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0" w:rsidRPr="00E53CC8" w:rsidRDefault="00062BA0" w:rsidP="006A3AD6">
      <w:pPr>
        <w:spacing w:after="0" w:line="240" w:lineRule="auto"/>
        <w:jc w:val="center"/>
        <w:rPr>
          <w:rFonts w:ascii="Times New Roman" w:hAnsi="Times New Roman" w:cs="Times New Roman"/>
          <w:b/>
          <w:sz w:val="28"/>
          <w:szCs w:val="28"/>
          <w:lang w:val="mk-MK"/>
        </w:rPr>
      </w:pPr>
      <w:r w:rsidRPr="00E53CC8">
        <w:rPr>
          <w:rFonts w:ascii="Times New Roman" w:hAnsi="Times New Roman" w:cs="Times New Roman"/>
          <w:b/>
          <w:sz w:val="28"/>
          <w:szCs w:val="28"/>
          <w:lang w:val="mk-MK"/>
        </w:rPr>
        <w:t>РЕЛАЦИИ НА ПОВРЗАНОСТ МЕЃУ БАЛКАНСКИТЕ БЕРЗИ И МОЖНОСТИ ЗА ДИВЕРЗИФИКАЦИЈА</w:t>
      </w:r>
    </w:p>
    <w:p w:rsidR="00062BA0" w:rsidRDefault="00062BA0" w:rsidP="00A14A10">
      <w:pPr>
        <w:spacing w:after="0" w:line="240" w:lineRule="auto"/>
        <w:rPr>
          <w:rFonts w:ascii="Times New Roman" w:hAnsi="Times New Roman" w:cs="Times New Roman"/>
          <w:b/>
          <w:lang w:val="mk-MK"/>
        </w:rPr>
      </w:pPr>
    </w:p>
    <w:p w:rsidR="006A3AD6" w:rsidRDefault="006A3AD6" w:rsidP="00A14A10">
      <w:pPr>
        <w:spacing w:after="0" w:line="240" w:lineRule="auto"/>
        <w:rPr>
          <w:rFonts w:ascii="Times New Roman" w:hAnsi="Times New Roman" w:cs="Times New Roman"/>
          <w:b/>
        </w:rPr>
      </w:pPr>
    </w:p>
    <w:p w:rsidR="003C5B2B" w:rsidRDefault="003C5B2B" w:rsidP="003C5B2B">
      <w:pPr>
        <w:spacing w:after="0" w:line="240" w:lineRule="auto"/>
        <w:jc w:val="center"/>
        <w:rPr>
          <w:rFonts w:ascii="Times New Roman" w:hAnsi="Times New Roman" w:cs="Times New Roman"/>
          <w:b/>
          <w:lang w:val="mk-MK"/>
        </w:rPr>
      </w:pPr>
      <w:r>
        <w:rPr>
          <w:rFonts w:ascii="Times New Roman" w:hAnsi="Times New Roman" w:cs="Times New Roman"/>
          <w:b/>
          <w:lang w:val="mk-MK"/>
        </w:rPr>
        <w:t>проф.</w:t>
      </w:r>
      <w:r>
        <w:rPr>
          <w:rFonts w:ascii="Times New Roman" w:hAnsi="Times New Roman" w:cs="Times New Roman"/>
          <w:b/>
        </w:rPr>
        <w:t xml:space="preserve"> </w:t>
      </w:r>
      <w:r>
        <w:rPr>
          <w:rFonts w:ascii="Times New Roman" w:hAnsi="Times New Roman" w:cs="Times New Roman"/>
          <w:b/>
          <w:lang w:val="mk-MK"/>
        </w:rPr>
        <w:t>д-р Сашо Арсов</w:t>
      </w:r>
    </w:p>
    <w:p w:rsidR="003C5B2B" w:rsidRDefault="003C5B2B" w:rsidP="003C5B2B">
      <w:pPr>
        <w:spacing w:after="0" w:line="240" w:lineRule="auto"/>
        <w:jc w:val="center"/>
        <w:rPr>
          <w:rFonts w:ascii="Times New Roman" w:hAnsi="Times New Roman" w:cs="Times New Roman"/>
          <w:lang w:val="mk-MK"/>
        </w:rPr>
      </w:pPr>
      <w:r>
        <w:rPr>
          <w:rFonts w:ascii="Times New Roman" w:hAnsi="Times New Roman" w:cs="Times New Roman"/>
          <w:lang w:val="mk-MK"/>
        </w:rPr>
        <w:t>Универзитет „Св.Кирил и Методиј" во Скопје</w:t>
      </w:r>
    </w:p>
    <w:p w:rsidR="003C5B2B" w:rsidRDefault="003C5B2B" w:rsidP="003C5B2B">
      <w:pPr>
        <w:spacing w:after="0" w:line="240" w:lineRule="auto"/>
        <w:jc w:val="center"/>
        <w:rPr>
          <w:rFonts w:ascii="Times New Roman" w:hAnsi="Times New Roman" w:cs="Times New Roman"/>
          <w:lang w:val="mk-MK"/>
        </w:rPr>
      </w:pPr>
      <w:r>
        <w:rPr>
          <w:rFonts w:ascii="Times New Roman" w:hAnsi="Times New Roman" w:cs="Times New Roman"/>
          <w:lang w:val="mk-MK"/>
        </w:rPr>
        <w:t>Економски факултет – Скопје, Р.Македонија</w:t>
      </w:r>
    </w:p>
    <w:p w:rsidR="003C5B2B" w:rsidRDefault="003C5B2B" w:rsidP="003C5B2B">
      <w:pPr>
        <w:spacing w:after="0" w:line="240" w:lineRule="auto"/>
        <w:jc w:val="center"/>
        <w:rPr>
          <w:rFonts w:ascii="Times New Roman" w:hAnsi="Times New Roman" w:cs="Times New Roman"/>
        </w:rPr>
      </w:pPr>
      <w:r>
        <w:rPr>
          <w:rFonts w:ascii="Times New Roman" w:hAnsi="Times New Roman" w:cs="Times New Roman"/>
        </w:rPr>
        <w:t>sarsov@eccf.ukim.edu.mk</w:t>
      </w:r>
    </w:p>
    <w:p w:rsidR="003C5B2B" w:rsidRPr="00464583" w:rsidRDefault="003C5B2B" w:rsidP="003C5B2B">
      <w:pPr>
        <w:spacing w:after="0" w:line="240" w:lineRule="auto"/>
        <w:jc w:val="center"/>
        <w:rPr>
          <w:rFonts w:ascii="Times New Roman" w:hAnsi="Times New Roman" w:cs="Times New Roman"/>
          <w:lang w:val="mk-MK"/>
        </w:rPr>
      </w:pPr>
    </w:p>
    <w:p w:rsidR="003C5B2B" w:rsidRPr="003C5B2B" w:rsidRDefault="003C5B2B" w:rsidP="00A14A10">
      <w:pPr>
        <w:spacing w:after="0" w:line="240" w:lineRule="auto"/>
        <w:rPr>
          <w:rFonts w:ascii="Times New Roman" w:hAnsi="Times New Roman" w:cs="Times New Roman"/>
          <w:b/>
        </w:rPr>
      </w:pPr>
    </w:p>
    <w:p w:rsidR="00062BA0" w:rsidRDefault="00062BA0" w:rsidP="003C5B2B">
      <w:pPr>
        <w:spacing w:after="0" w:line="240" w:lineRule="auto"/>
        <w:rPr>
          <w:rFonts w:ascii="Times New Roman" w:hAnsi="Times New Roman" w:cs="Times New Roman"/>
          <w:b/>
          <w:lang w:val="mk-MK"/>
        </w:rPr>
      </w:pPr>
      <w:r>
        <w:rPr>
          <w:rFonts w:ascii="Times New Roman" w:hAnsi="Times New Roman" w:cs="Times New Roman"/>
          <w:b/>
          <w:lang w:val="mk-MK"/>
        </w:rPr>
        <w:t>Апстракт</w:t>
      </w:r>
    </w:p>
    <w:p w:rsidR="00062BA0" w:rsidRDefault="00062BA0" w:rsidP="00A14A10">
      <w:pPr>
        <w:spacing w:after="0" w:line="240" w:lineRule="auto"/>
        <w:rPr>
          <w:rFonts w:ascii="Times New Roman" w:hAnsi="Times New Roman" w:cs="Times New Roman"/>
          <w:b/>
          <w:lang w:val="mk-MK"/>
        </w:rPr>
      </w:pPr>
    </w:p>
    <w:p w:rsidR="00062BA0" w:rsidRPr="00E53CC8" w:rsidRDefault="00062BA0" w:rsidP="00062BA0">
      <w:pPr>
        <w:spacing w:after="0" w:line="240" w:lineRule="auto"/>
        <w:jc w:val="both"/>
        <w:rPr>
          <w:rFonts w:ascii="Times New Roman" w:hAnsi="Times New Roman" w:cs="Times New Roman"/>
          <w:i/>
          <w:lang w:val="mk-MK"/>
        </w:rPr>
      </w:pPr>
      <w:r>
        <w:rPr>
          <w:rFonts w:ascii="Times New Roman" w:hAnsi="Times New Roman" w:cs="Times New Roman"/>
          <w:lang w:val="mk-MK"/>
        </w:rPr>
        <w:tab/>
      </w:r>
      <w:r w:rsidRPr="00E53CC8">
        <w:rPr>
          <w:rFonts w:ascii="Times New Roman" w:hAnsi="Times New Roman" w:cs="Times New Roman"/>
          <w:i/>
          <w:lang w:val="mk-MK"/>
        </w:rPr>
        <w:t>Во трудот се истражува степенот на усогласено движење на пазарите на капитал на неколку балкански земји, во контекст на создавањето на заедничка платформа за тргување од страна на берзите во Скопје, Софија и Загреб. Анализата на коефициентите на корелација помеѓу набљудуваните берзански индекси за периодот 2005-2015 година покажа дека корелираноста за целиот овој период е на високо ниво, но и дека таа во последниве години е значително намалена во однос на нивото од пред 5-6 години</w:t>
      </w:r>
      <w:r w:rsidR="006A3AD6" w:rsidRPr="00E53CC8">
        <w:rPr>
          <w:rFonts w:ascii="Times New Roman" w:hAnsi="Times New Roman" w:cs="Times New Roman"/>
          <w:i/>
          <w:lang w:val="mk-MK"/>
        </w:rPr>
        <w:t>, што отвора можности за диверзификација на ризикот</w:t>
      </w:r>
      <w:r w:rsidRPr="00E53CC8">
        <w:rPr>
          <w:rFonts w:ascii="Times New Roman" w:hAnsi="Times New Roman" w:cs="Times New Roman"/>
          <w:i/>
          <w:lang w:val="mk-MK"/>
        </w:rPr>
        <w:t>. Корелацијата е највисока во периодот на т.н. берзански бум, кој се одликува и со најголема волатилност на пазарите, што го потврдува постоењето на т.н. епидемија, односно ширење на заразата, карактеристична за пазарите ширум светот. Анализата на Гренџеровата каузалност врз основа на моделот на векторска авторегресија покажува дека помеѓу одделни пазари постојат силни врски на каузалност</w:t>
      </w:r>
      <w:r w:rsidR="00A67AB7" w:rsidRPr="00E53CC8">
        <w:rPr>
          <w:rFonts w:ascii="Times New Roman" w:hAnsi="Times New Roman" w:cs="Times New Roman"/>
          <w:i/>
          <w:lang w:val="mk-MK"/>
        </w:rPr>
        <w:t>, односно временска последовател</w:t>
      </w:r>
      <w:r w:rsidRPr="00E53CC8">
        <w:rPr>
          <w:rFonts w:ascii="Times New Roman" w:hAnsi="Times New Roman" w:cs="Times New Roman"/>
          <w:i/>
          <w:lang w:val="mk-MK"/>
        </w:rPr>
        <w:t xml:space="preserve">ност на трендовите, </w:t>
      </w:r>
      <w:r w:rsidR="00A67AB7" w:rsidRPr="00E53CC8">
        <w:rPr>
          <w:rFonts w:ascii="Times New Roman" w:hAnsi="Times New Roman" w:cs="Times New Roman"/>
          <w:i/>
          <w:lang w:val="mk-MK"/>
        </w:rPr>
        <w:t>сознание кое може да ги подучи</w:t>
      </w:r>
      <w:r w:rsidRPr="00E53CC8">
        <w:rPr>
          <w:rFonts w:ascii="Times New Roman" w:hAnsi="Times New Roman" w:cs="Times New Roman"/>
          <w:i/>
          <w:lang w:val="mk-MK"/>
        </w:rPr>
        <w:t xml:space="preserve"> инвеститорите</w:t>
      </w:r>
      <w:r w:rsidR="006A3AD6" w:rsidRPr="00E53CC8">
        <w:rPr>
          <w:rFonts w:ascii="Times New Roman" w:hAnsi="Times New Roman" w:cs="Times New Roman"/>
          <w:i/>
          <w:lang w:val="mk-MK"/>
        </w:rPr>
        <w:t xml:space="preserve"> да ги следат сигналите што доаѓаат од пазарите кои предводат во однос на оние кои ги следат пазарните движења.</w:t>
      </w:r>
    </w:p>
    <w:p w:rsidR="00A14A10" w:rsidRDefault="00A14A10" w:rsidP="003018C4">
      <w:pPr>
        <w:spacing w:after="0" w:line="240" w:lineRule="auto"/>
        <w:ind w:firstLine="720"/>
        <w:rPr>
          <w:rFonts w:ascii="Times New Roman" w:hAnsi="Times New Roman" w:cs="Times New Roman"/>
          <w:b/>
        </w:rPr>
      </w:pPr>
    </w:p>
    <w:p w:rsidR="00A14A10" w:rsidRPr="006A3AD6" w:rsidRDefault="006A3AD6" w:rsidP="003C5B2B">
      <w:pPr>
        <w:spacing w:after="0" w:line="240" w:lineRule="auto"/>
        <w:jc w:val="both"/>
        <w:rPr>
          <w:rFonts w:ascii="Times New Roman" w:hAnsi="Times New Roman" w:cs="Times New Roman"/>
          <w:lang w:val="mk-MK"/>
        </w:rPr>
      </w:pPr>
      <w:r w:rsidRPr="003C5B2B">
        <w:rPr>
          <w:rFonts w:ascii="Times New Roman" w:hAnsi="Times New Roman" w:cs="Times New Roman"/>
          <w:lang w:val="mk-MK"/>
        </w:rPr>
        <w:t>Клучни зборови:</w:t>
      </w:r>
      <w:r>
        <w:rPr>
          <w:rFonts w:ascii="Times New Roman" w:hAnsi="Times New Roman" w:cs="Times New Roman"/>
          <w:b/>
          <w:lang w:val="mk-MK"/>
        </w:rPr>
        <w:t xml:space="preserve"> </w:t>
      </w:r>
      <w:r w:rsidRPr="006A3AD6">
        <w:rPr>
          <w:rFonts w:ascii="Times New Roman" w:hAnsi="Times New Roman" w:cs="Times New Roman"/>
          <w:lang w:val="mk-MK"/>
        </w:rPr>
        <w:t xml:space="preserve">портфолио, берзански индекси, диверзификација, интегрираност, </w:t>
      </w:r>
      <w:r>
        <w:rPr>
          <w:rFonts w:ascii="Times New Roman" w:hAnsi="Times New Roman" w:cs="Times New Roman"/>
          <w:lang w:val="mk-MK"/>
        </w:rPr>
        <w:t>корелација.</w:t>
      </w:r>
    </w:p>
    <w:p w:rsidR="00A14A10" w:rsidRPr="006A3AD6" w:rsidRDefault="00A14A10" w:rsidP="003018C4">
      <w:pPr>
        <w:spacing w:after="0" w:line="240" w:lineRule="auto"/>
        <w:ind w:firstLine="720"/>
        <w:rPr>
          <w:rFonts w:ascii="Times New Roman" w:hAnsi="Times New Roman" w:cs="Times New Roman"/>
        </w:rPr>
      </w:pPr>
    </w:p>
    <w:p w:rsidR="00A14A10" w:rsidRPr="006A3AD6" w:rsidRDefault="00A14A10" w:rsidP="003018C4">
      <w:pPr>
        <w:spacing w:after="0" w:line="240" w:lineRule="auto"/>
        <w:ind w:firstLine="720"/>
        <w:rPr>
          <w:rFonts w:ascii="Times New Roman" w:hAnsi="Times New Roman" w:cs="Times New Roman"/>
        </w:rPr>
      </w:pPr>
    </w:p>
    <w:p w:rsidR="003018C4" w:rsidRDefault="003018C4" w:rsidP="00F62F37">
      <w:pPr>
        <w:spacing w:after="0" w:line="240" w:lineRule="auto"/>
        <w:jc w:val="center"/>
        <w:rPr>
          <w:rFonts w:ascii="Times New Roman" w:hAnsi="Times New Roman" w:cs="Times New Roman"/>
          <w:b/>
          <w:lang w:val="mk-MK"/>
        </w:rPr>
      </w:pPr>
      <w:r>
        <w:rPr>
          <w:rFonts w:ascii="Times New Roman" w:hAnsi="Times New Roman" w:cs="Times New Roman"/>
          <w:b/>
          <w:lang w:val="mk-MK"/>
        </w:rPr>
        <w:t>Вовед</w:t>
      </w:r>
    </w:p>
    <w:p w:rsidR="003018C4" w:rsidRDefault="003018C4" w:rsidP="005B46A8">
      <w:pPr>
        <w:spacing w:after="0" w:line="240" w:lineRule="auto"/>
        <w:rPr>
          <w:rFonts w:ascii="Times New Roman" w:hAnsi="Times New Roman" w:cs="Times New Roman"/>
          <w:b/>
          <w:lang w:val="mk-MK"/>
        </w:rPr>
      </w:pPr>
      <w:r>
        <w:rPr>
          <w:rFonts w:ascii="Times New Roman" w:hAnsi="Times New Roman" w:cs="Times New Roman"/>
          <w:b/>
          <w:lang w:val="mk-MK"/>
        </w:rPr>
        <w:tab/>
      </w:r>
    </w:p>
    <w:p w:rsidR="003018C4" w:rsidRPr="00C1327C" w:rsidRDefault="003018C4" w:rsidP="00E650C7">
      <w:pPr>
        <w:spacing w:after="0" w:line="240" w:lineRule="auto"/>
        <w:jc w:val="both"/>
        <w:rPr>
          <w:rFonts w:ascii="Times New Roman" w:hAnsi="Times New Roman" w:cs="Times New Roman"/>
        </w:rPr>
      </w:pPr>
      <w:r>
        <w:rPr>
          <w:rFonts w:ascii="Times New Roman" w:hAnsi="Times New Roman" w:cs="Times New Roman"/>
          <w:b/>
          <w:lang w:val="mk-MK"/>
        </w:rPr>
        <w:tab/>
      </w:r>
      <w:r>
        <w:rPr>
          <w:rFonts w:ascii="Times New Roman" w:hAnsi="Times New Roman" w:cs="Times New Roman"/>
          <w:lang w:val="mk-MK"/>
        </w:rPr>
        <w:t>Прашањето на поврзаноста на пазарите на капитал е предмет на зголемен интерес во науката за финансиите во последниве две децении, што е резултат на севкупниот процес на глобализација, на технолошкиот развој, како и на финансиските иновации и финансиската дерегулација. Брзиот трансфер на информациите на глобално ниво им овозможува на инвеститорите да реагираат на новостите што доаѓаат од другите пазари за само неколку минути. Овој процес, покрај другите последици, ја поставува дилемата на потребата и ефектите од меѓународната диверзификација, бидејќи нејзината суштина лежи токму во различните движења на пазарите и нискиот степен на меѓусебна корелираност.</w:t>
      </w:r>
      <w:r w:rsidR="00C1327C">
        <w:rPr>
          <w:rFonts w:ascii="Times New Roman" w:hAnsi="Times New Roman" w:cs="Times New Roman"/>
          <w:lang w:val="mk-MK"/>
        </w:rPr>
        <w:t xml:space="preserve"> </w:t>
      </w:r>
      <w:r w:rsidR="00E650C7">
        <w:rPr>
          <w:rFonts w:ascii="Times New Roman" w:hAnsi="Times New Roman" w:cs="Times New Roman"/>
          <w:lang w:val="mk-MK"/>
        </w:rPr>
        <w:t>По пазарниот крах од 1987 година, особено се зголемува интересот за истражување на интегрираноста на финансиските пазари (</w:t>
      </w:r>
      <w:r w:rsidR="00E650C7">
        <w:rPr>
          <w:rFonts w:ascii="Times New Roman" w:hAnsi="Times New Roman" w:cs="Times New Roman"/>
        </w:rPr>
        <w:t xml:space="preserve">Hamao </w:t>
      </w:r>
      <w:r w:rsidR="00E650C7">
        <w:rPr>
          <w:rFonts w:ascii="Times New Roman" w:hAnsi="Times New Roman" w:cs="Times New Roman"/>
          <w:lang w:val="mk-MK"/>
        </w:rPr>
        <w:t xml:space="preserve">и др., </w:t>
      </w:r>
      <w:r w:rsidR="00E650C7">
        <w:rPr>
          <w:rFonts w:ascii="Times New Roman" w:hAnsi="Times New Roman" w:cs="Times New Roman"/>
        </w:rPr>
        <w:t>1990</w:t>
      </w:r>
      <w:r w:rsidR="00E650C7">
        <w:rPr>
          <w:rFonts w:ascii="Times New Roman" w:hAnsi="Times New Roman" w:cs="Times New Roman"/>
          <w:lang w:val="mk-MK"/>
        </w:rPr>
        <w:t xml:space="preserve">; </w:t>
      </w:r>
      <w:r w:rsidR="00E650C7">
        <w:rPr>
          <w:rFonts w:ascii="Times New Roman" w:hAnsi="Times New Roman" w:cs="Times New Roman"/>
        </w:rPr>
        <w:t>Cheung and Ho</w:t>
      </w:r>
      <w:r w:rsidR="00E650C7">
        <w:rPr>
          <w:rFonts w:ascii="Times New Roman" w:hAnsi="Times New Roman" w:cs="Times New Roman"/>
          <w:lang w:val="mk-MK"/>
        </w:rPr>
        <w:t xml:space="preserve">, </w:t>
      </w:r>
      <w:r w:rsidR="00E650C7">
        <w:rPr>
          <w:rFonts w:ascii="Times New Roman" w:hAnsi="Times New Roman" w:cs="Times New Roman"/>
        </w:rPr>
        <w:t>1991</w:t>
      </w:r>
      <w:r w:rsidR="00E650C7">
        <w:rPr>
          <w:rFonts w:ascii="Times New Roman" w:hAnsi="Times New Roman" w:cs="Times New Roman"/>
          <w:lang w:val="mk-MK"/>
        </w:rPr>
        <w:t xml:space="preserve">; </w:t>
      </w:r>
      <w:r w:rsidR="00E650C7">
        <w:rPr>
          <w:rFonts w:ascii="Times New Roman" w:hAnsi="Times New Roman" w:cs="Times New Roman"/>
        </w:rPr>
        <w:t xml:space="preserve">Koch </w:t>
      </w:r>
      <w:r w:rsidR="00E650C7">
        <w:rPr>
          <w:rFonts w:ascii="Times New Roman" w:hAnsi="Times New Roman" w:cs="Times New Roman"/>
          <w:lang w:val="mk-MK"/>
        </w:rPr>
        <w:t>и</w:t>
      </w:r>
      <w:r w:rsidR="00E650C7">
        <w:rPr>
          <w:rFonts w:ascii="Times New Roman" w:hAnsi="Times New Roman" w:cs="Times New Roman"/>
        </w:rPr>
        <w:t xml:space="preserve"> Koch</w:t>
      </w:r>
      <w:r w:rsidR="00E650C7">
        <w:rPr>
          <w:rFonts w:ascii="Times New Roman" w:hAnsi="Times New Roman" w:cs="Times New Roman"/>
          <w:lang w:val="mk-MK"/>
        </w:rPr>
        <w:t xml:space="preserve">, </w:t>
      </w:r>
      <w:r w:rsidR="00E650C7">
        <w:rPr>
          <w:rFonts w:ascii="Times New Roman" w:hAnsi="Times New Roman" w:cs="Times New Roman"/>
        </w:rPr>
        <w:t>1991</w:t>
      </w:r>
      <w:r w:rsidR="00E650C7">
        <w:rPr>
          <w:rFonts w:ascii="Times New Roman" w:hAnsi="Times New Roman" w:cs="Times New Roman"/>
          <w:lang w:val="mk-MK"/>
        </w:rPr>
        <w:t xml:space="preserve">; </w:t>
      </w:r>
      <w:r w:rsidR="00E650C7">
        <w:rPr>
          <w:rFonts w:ascii="Times New Roman" w:hAnsi="Times New Roman" w:cs="Times New Roman"/>
        </w:rPr>
        <w:t xml:space="preserve">Lin </w:t>
      </w:r>
      <w:r w:rsidR="00E650C7">
        <w:rPr>
          <w:rFonts w:ascii="Times New Roman" w:hAnsi="Times New Roman" w:cs="Times New Roman"/>
          <w:lang w:val="mk-MK"/>
        </w:rPr>
        <w:t xml:space="preserve">и др., </w:t>
      </w:r>
      <w:r w:rsidR="00E650C7">
        <w:rPr>
          <w:rFonts w:ascii="Times New Roman" w:hAnsi="Times New Roman" w:cs="Times New Roman"/>
        </w:rPr>
        <w:t>1994</w:t>
      </w:r>
      <w:r w:rsidR="00E650C7">
        <w:rPr>
          <w:rFonts w:ascii="Times New Roman" w:hAnsi="Times New Roman" w:cs="Times New Roman"/>
          <w:lang w:val="mk-MK"/>
        </w:rPr>
        <w:t xml:space="preserve">; </w:t>
      </w:r>
      <w:r w:rsidR="00E650C7">
        <w:rPr>
          <w:rFonts w:ascii="Times New Roman" w:hAnsi="Times New Roman" w:cs="Times New Roman"/>
        </w:rPr>
        <w:t xml:space="preserve">Bekaert </w:t>
      </w:r>
      <w:r w:rsidR="00E650C7">
        <w:rPr>
          <w:rFonts w:ascii="Times New Roman" w:hAnsi="Times New Roman" w:cs="Times New Roman"/>
          <w:lang w:val="mk-MK"/>
        </w:rPr>
        <w:t xml:space="preserve">и </w:t>
      </w:r>
      <w:r w:rsidR="00E650C7">
        <w:rPr>
          <w:rFonts w:ascii="Times New Roman" w:hAnsi="Times New Roman" w:cs="Times New Roman"/>
        </w:rPr>
        <w:t>Harvey</w:t>
      </w:r>
      <w:r w:rsidR="00E650C7">
        <w:rPr>
          <w:rFonts w:ascii="Times New Roman" w:hAnsi="Times New Roman" w:cs="Times New Roman"/>
          <w:lang w:val="mk-MK"/>
        </w:rPr>
        <w:t xml:space="preserve">, </w:t>
      </w:r>
      <w:r w:rsidR="00E650C7">
        <w:rPr>
          <w:rFonts w:ascii="Times New Roman" w:hAnsi="Times New Roman" w:cs="Times New Roman"/>
        </w:rPr>
        <w:t>1995</w:t>
      </w:r>
      <w:r w:rsidR="00E650C7">
        <w:rPr>
          <w:rFonts w:ascii="Times New Roman" w:hAnsi="Times New Roman" w:cs="Times New Roman"/>
          <w:lang w:val="mk-MK"/>
        </w:rPr>
        <w:t>). Посебно</w:t>
      </w:r>
      <w:r w:rsidR="00C1327C">
        <w:rPr>
          <w:rFonts w:ascii="Times New Roman" w:hAnsi="Times New Roman" w:cs="Times New Roman"/>
          <w:lang w:val="mk-MK"/>
        </w:rPr>
        <w:t xml:space="preserve"> се истражува прашањето на </w:t>
      </w:r>
      <w:r w:rsidR="00C1327C">
        <w:rPr>
          <w:rFonts w:ascii="Times New Roman" w:hAnsi="Times New Roman" w:cs="Times New Roman"/>
          <w:lang w:val="mk-MK"/>
        </w:rPr>
        <w:lastRenderedPageBreak/>
        <w:t>т.н. епидемија</w:t>
      </w:r>
      <w:r w:rsidR="00E650C7">
        <w:rPr>
          <w:rFonts w:ascii="Times New Roman" w:hAnsi="Times New Roman" w:cs="Times New Roman"/>
          <w:lang w:val="mk-MK"/>
        </w:rPr>
        <w:t xml:space="preserve"> </w:t>
      </w:r>
      <w:r w:rsidR="00C1327C">
        <w:rPr>
          <w:rFonts w:ascii="Times New Roman" w:hAnsi="Times New Roman" w:cs="Times New Roman"/>
          <w:lang w:val="mk-MK"/>
        </w:rPr>
        <w:t>или зараза (</w:t>
      </w:r>
      <w:r w:rsidR="00C1327C">
        <w:rPr>
          <w:rFonts w:ascii="Times New Roman" w:hAnsi="Times New Roman" w:cs="Times New Roman"/>
        </w:rPr>
        <w:t xml:space="preserve">contagion), </w:t>
      </w:r>
      <w:r w:rsidR="00C1327C">
        <w:rPr>
          <w:rFonts w:ascii="Times New Roman" w:hAnsi="Times New Roman" w:cs="Times New Roman"/>
          <w:lang w:val="mk-MK"/>
        </w:rPr>
        <w:t xml:space="preserve">кое се однесува на порастот на меѓусебните корелации помеѓу пазарите во периоди на финансиска криза. </w:t>
      </w:r>
      <w:r w:rsidR="00C1327C">
        <w:rPr>
          <w:rFonts w:ascii="Times New Roman" w:hAnsi="Times New Roman" w:cs="Times New Roman"/>
        </w:rPr>
        <w:t xml:space="preserve"> </w:t>
      </w:r>
    </w:p>
    <w:p w:rsidR="00E650C7" w:rsidRPr="00C1327C" w:rsidRDefault="00C1327C" w:rsidP="00E650C7">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Основната причина која го поттикна моето истражување е создавањето на заедничка платформа за тргување помеѓу берзите во Скопје, Софија и Загреб, која почна да функционира во март 2016 година. </w:t>
      </w:r>
      <w:r w:rsidR="00104F2F">
        <w:rPr>
          <w:rFonts w:ascii="Times New Roman" w:hAnsi="Times New Roman" w:cs="Times New Roman"/>
          <w:lang w:val="mk-MK"/>
        </w:rPr>
        <w:t xml:space="preserve">Дополнително, и берзите во Белград и Љубљана пројавија интерес да се придружат кон платформата. </w:t>
      </w:r>
      <w:r>
        <w:rPr>
          <w:rFonts w:ascii="Times New Roman" w:hAnsi="Times New Roman" w:cs="Times New Roman"/>
          <w:lang w:val="mk-MK"/>
        </w:rPr>
        <w:t>Преку оваа платформа на инвеститорите од трите земји им е овозможено континуирано, на еден екран, да ги следат трансакциите и цените на хартиите од вредност на трите берзи, а и да тргуваа</w:t>
      </w:r>
      <w:r w:rsidR="00DD7902">
        <w:rPr>
          <w:rFonts w:ascii="Times New Roman" w:hAnsi="Times New Roman" w:cs="Times New Roman"/>
          <w:lang w:val="mk-MK"/>
        </w:rPr>
        <w:t>т</w:t>
      </w:r>
      <w:r>
        <w:rPr>
          <w:rFonts w:ascii="Times New Roman" w:hAnsi="Times New Roman" w:cs="Times New Roman"/>
          <w:lang w:val="mk-MK"/>
        </w:rPr>
        <w:t xml:space="preserve"> со нив. Покрај меѓународната видливост на компаниите, која се очекува да резултира со </w:t>
      </w:r>
      <w:r w:rsidR="00DD7902">
        <w:rPr>
          <w:rFonts w:ascii="Times New Roman" w:hAnsi="Times New Roman" w:cs="Times New Roman"/>
          <w:lang w:val="mk-MK"/>
        </w:rPr>
        <w:t>поголем промет на берзите, ваквиот начин на тргување треба да им овозможи на инвеситорите</w:t>
      </w:r>
      <w:r w:rsidR="00DD7902" w:rsidRPr="00DD7902">
        <w:rPr>
          <w:rFonts w:ascii="Times New Roman" w:hAnsi="Times New Roman" w:cs="Times New Roman"/>
          <w:lang w:val="mk-MK"/>
        </w:rPr>
        <w:t xml:space="preserve"> </w:t>
      </w:r>
      <w:r w:rsidR="00DD7902">
        <w:rPr>
          <w:rFonts w:ascii="Times New Roman" w:hAnsi="Times New Roman" w:cs="Times New Roman"/>
          <w:lang w:val="mk-MK"/>
        </w:rPr>
        <w:t>од некои од земјите (Македонија) и меѓународна диверзификација на нивните портфолија, која инаку законски не е дозволена. Токму тука се поставува прашањето на можните ефекти од таквата диверзификација доколку се има предвид степенот на меѓународна интеграција и корелираност на пазарите.</w:t>
      </w:r>
    </w:p>
    <w:p w:rsidR="00E650C7" w:rsidRDefault="00104F2F" w:rsidP="00E650C7">
      <w:pPr>
        <w:spacing w:after="0" w:line="240" w:lineRule="auto"/>
        <w:jc w:val="both"/>
        <w:rPr>
          <w:rFonts w:ascii="Times New Roman" w:hAnsi="Times New Roman" w:cs="Times New Roman"/>
          <w:lang w:val="mk-MK"/>
        </w:rPr>
      </w:pPr>
      <w:r>
        <w:rPr>
          <w:rFonts w:ascii="Times New Roman" w:hAnsi="Times New Roman" w:cs="Times New Roman"/>
          <w:b/>
        </w:rPr>
        <w:tab/>
      </w:r>
      <w:r>
        <w:rPr>
          <w:rFonts w:ascii="Times New Roman" w:hAnsi="Times New Roman" w:cs="Times New Roman"/>
          <w:lang w:val="mk-MK"/>
        </w:rPr>
        <w:t xml:space="preserve">За инвеститорите да имаат полза од меѓународната диверзификација неопходно е тие да идентификуваат пазари кои имаат понизок степен на корелација сонивните домашни пазари. Во овој труд, целта е да се утврди дали пазарите на Македонија, Бугарија, Хрватска, Србија и Словенија го исполнуваат овој услов, односно да се види колкав е степенот на усогласеност на нивното движење. Тоа ќе се направи со неколку техники. Најпрво ќе ги пресметаме </w:t>
      </w:r>
      <w:r w:rsidRPr="00B44261">
        <w:rPr>
          <w:rFonts w:ascii="Times New Roman" w:hAnsi="Times New Roman" w:cs="Times New Roman"/>
          <w:lang w:val="mk-MK"/>
        </w:rPr>
        <w:t xml:space="preserve">коефициентите на меѓусебна корелација во различни временски периоди. Целта на оваа пресметка е да се утврди </w:t>
      </w:r>
      <w:r w:rsidR="00E067FD" w:rsidRPr="00B44261">
        <w:rPr>
          <w:rFonts w:ascii="Times New Roman" w:hAnsi="Times New Roman" w:cs="Times New Roman"/>
          <w:lang w:val="mk-MK"/>
        </w:rPr>
        <w:t>дали дошло до промени во меѓусебната корелираност во текот на годините. Потоа, ќе извршиме пресметка на т.н. коефициенти на Гренџерова каузалност, со што ќе се обидеме да утврдиме колкав е степенот на влијание на една берза врз друга, односно дали инвеститорите можат да ги следат сигналите што доаѓаат од една берза за да ги предвидат движењата на друга.</w:t>
      </w:r>
    </w:p>
    <w:p w:rsidR="00104F2F" w:rsidRDefault="00104F2F" w:rsidP="00E650C7">
      <w:pPr>
        <w:spacing w:after="0" w:line="240" w:lineRule="auto"/>
        <w:jc w:val="both"/>
        <w:rPr>
          <w:rFonts w:ascii="Times New Roman" w:hAnsi="Times New Roman" w:cs="Times New Roman"/>
          <w:lang w:val="mk-MK"/>
        </w:rPr>
      </w:pPr>
    </w:p>
    <w:p w:rsidR="00E067FD" w:rsidRDefault="00E067FD" w:rsidP="00E650C7">
      <w:pPr>
        <w:spacing w:after="0" w:line="240" w:lineRule="auto"/>
        <w:jc w:val="both"/>
        <w:rPr>
          <w:rFonts w:ascii="Times New Roman" w:hAnsi="Times New Roman" w:cs="Times New Roman"/>
          <w:lang w:val="mk-MK"/>
        </w:rPr>
      </w:pPr>
    </w:p>
    <w:p w:rsidR="00E067FD" w:rsidRPr="00E067FD" w:rsidRDefault="00E067FD" w:rsidP="00F62F37">
      <w:pPr>
        <w:spacing w:after="0" w:line="240" w:lineRule="auto"/>
        <w:jc w:val="center"/>
        <w:rPr>
          <w:rFonts w:ascii="Times New Roman" w:hAnsi="Times New Roman" w:cs="Times New Roman"/>
          <w:b/>
          <w:lang w:val="mk-MK"/>
        </w:rPr>
      </w:pPr>
      <w:r w:rsidRPr="00E067FD">
        <w:rPr>
          <w:rFonts w:ascii="Times New Roman" w:hAnsi="Times New Roman" w:cs="Times New Roman"/>
          <w:b/>
          <w:lang w:val="mk-MK"/>
        </w:rPr>
        <w:t>Преглед на литературата</w:t>
      </w:r>
    </w:p>
    <w:p w:rsidR="00E067FD" w:rsidRDefault="00E067FD" w:rsidP="00E650C7">
      <w:pPr>
        <w:spacing w:after="0" w:line="240" w:lineRule="auto"/>
        <w:jc w:val="both"/>
        <w:rPr>
          <w:rFonts w:ascii="Times New Roman" w:hAnsi="Times New Roman" w:cs="Times New Roman"/>
          <w:lang w:val="mk-MK"/>
        </w:rPr>
      </w:pPr>
    </w:p>
    <w:p w:rsidR="005B46A8" w:rsidRPr="00CB1101" w:rsidRDefault="007A1CAF" w:rsidP="007A1CAF">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Како што беше погоре наведено, зголемениот интерес за истражување на усогласноста на пазарите на капитал на меѓународен план се појавува во последните три децении. Од друга страна, во последниве петнаесетина години научниците им посветуваат особено внимание на пазарите во подем и на пазарите во земјите што поминаа низ процес на транзиција. Со кризата од 2008 година стана очигледно дека поврзаноста и на овие пазари меѓусебе, како и со пазарите од развиените земји е мошне висока, наспроти дотогашните </w:t>
      </w:r>
      <w:r w:rsidRPr="00CB1101">
        <w:rPr>
          <w:rFonts w:ascii="Times New Roman" w:hAnsi="Times New Roman" w:cs="Times New Roman"/>
          <w:lang w:val="mk-MK"/>
        </w:rPr>
        <w:t>уверувања дека тие се прилично изолирани и дека нарушувањата на останатите пазари не можат да се пренесат кај нив.</w:t>
      </w:r>
    </w:p>
    <w:p w:rsidR="005B46A8" w:rsidRPr="00701257" w:rsidRDefault="00CB1101" w:rsidP="00CB1101">
      <w:pPr>
        <w:spacing w:after="0" w:line="240" w:lineRule="auto"/>
        <w:jc w:val="both"/>
        <w:rPr>
          <w:rFonts w:ascii="Times New Roman" w:hAnsi="Times New Roman" w:cs="Times New Roman"/>
          <w:lang w:val="mk-MK"/>
        </w:rPr>
      </w:pPr>
      <w:r w:rsidRPr="00CB1101">
        <w:rPr>
          <w:rFonts w:ascii="Times New Roman" w:hAnsi="Times New Roman" w:cs="Times New Roman"/>
        </w:rPr>
        <w:tab/>
      </w:r>
      <w:r w:rsidRPr="00CB1101">
        <w:rPr>
          <w:rFonts w:ascii="Times New Roman" w:hAnsi="Times New Roman" w:cs="Times New Roman"/>
          <w:szCs w:val="24"/>
        </w:rPr>
        <w:t xml:space="preserve">Samitas </w:t>
      </w:r>
      <w:r w:rsidRPr="00CB1101">
        <w:rPr>
          <w:rFonts w:ascii="Times New Roman" w:hAnsi="Times New Roman" w:cs="Times New Roman"/>
          <w:szCs w:val="24"/>
          <w:lang w:val="mk-MK"/>
        </w:rPr>
        <w:t>и др.</w:t>
      </w:r>
      <w:r w:rsidRPr="00CB1101">
        <w:rPr>
          <w:rFonts w:ascii="Times New Roman" w:hAnsi="Times New Roman" w:cs="Times New Roman"/>
          <w:szCs w:val="24"/>
        </w:rPr>
        <w:t xml:space="preserve"> (2006)</w:t>
      </w:r>
      <w:r>
        <w:rPr>
          <w:rFonts w:ascii="Times New Roman" w:hAnsi="Times New Roman" w:cs="Times New Roman"/>
          <w:szCs w:val="24"/>
          <w:lang w:val="mk-MK"/>
        </w:rPr>
        <w:t xml:space="preserve"> ги истражуваат релациите меѓу неколку берзи од балканските земји и неколку зрели пазари. Користејќи техника на коинтеграција, тие го потврдуваат постоењето на долгорочна усогласеност меѓу пазарите и исто така, утврдуваат дека трендовите на балканските пазари се под влијание на движењата на пазарите н поразвиените земји. </w:t>
      </w:r>
      <w:r w:rsidR="00701257" w:rsidRPr="00D23A40">
        <w:rPr>
          <w:rFonts w:ascii="Times New Roman" w:hAnsi="Times New Roman" w:cs="Times New Roman"/>
          <w:szCs w:val="24"/>
        </w:rPr>
        <w:t>Syriopulos</w:t>
      </w:r>
      <w:r w:rsidR="00701257">
        <w:rPr>
          <w:rFonts w:ascii="Times New Roman" w:hAnsi="Times New Roman" w:cs="Times New Roman"/>
          <w:szCs w:val="24"/>
        </w:rPr>
        <w:t xml:space="preserve"> (2007)</w:t>
      </w:r>
      <w:r w:rsidR="00701257">
        <w:rPr>
          <w:rFonts w:ascii="Times New Roman" w:hAnsi="Times New Roman" w:cs="Times New Roman"/>
          <w:szCs w:val="24"/>
          <w:lang w:val="mk-MK"/>
        </w:rPr>
        <w:t xml:space="preserve">, исто така, користи коинтеграциона анализа и доаѓа до заклучок дека </w:t>
      </w:r>
      <w:r w:rsidR="00E249E5">
        <w:rPr>
          <w:rFonts w:ascii="Times New Roman" w:hAnsi="Times New Roman" w:cs="Times New Roman"/>
          <w:szCs w:val="24"/>
          <w:lang w:val="mk-MK"/>
        </w:rPr>
        <w:t>постојат долгорочни односи на поврзаност меѓу пазарите на земјите од централна Европа и оние на САД и Германија, но и дека воведувањето на еврото немало влијание врз овие релации.</w:t>
      </w:r>
    </w:p>
    <w:p w:rsidR="00CB1101" w:rsidRPr="00E249E5" w:rsidRDefault="00E249E5" w:rsidP="00E249E5">
      <w:pPr>
        <w:spacing w:after="0" w:line="240" w:lineRule="auto"/>
        <w:jc w:val="both"/>
        <w:rPr>
          <w:rFonts w:ascii="Times New Roman" w:hAnsi="Times New Roman" w:cs="Times New Roman"/>
          <w:lang w:val="mk-MK"/>
        </w:rPr>
      </w:pPr>
      <w:r>
        <w:rPr>
          <w:rFonts w:ascii="Times New Roman" w:hAnsi="Times New Roman" w:cs="Times New Roman"/>
          <w:lang w:val="mk-MK"/>
        </w:rPr>
        <w:lastRenderedPageBreak/>
        <w:tab/>
      </w:r>
      <w:r w:rsidRPr="001B07D5">
        <w:rPr>
          <w:rFonts w:ascii="Times New Roman" w:hAnsi="Times New Roman" w:cs="Times New Roman"/>
          <w:szCs w:val="24"/>
        </w:rPr>
        <w:t>Égert</w:t>
      </w:r>
      <w:r>
        <w:rPr>
          <w:rFonts w:ascii="Times New Roman" w:hAnsi="Times New Roman" w:cs="Times New Roman"/>
          <w:szCs w:val="24"/>
        </w:rPr>
        <w:t xml:space="preserve"> </w:t>
      </w:r>
      <w:r>
        <w:rPr>
          <w:rFonts w:ascii="Times New Roman" w:hAnsi="Times New Roman" w:cs="Times New Roman"/>
          <w:szCs w:val="24"/>
          <w:lang w:val="mk-MK"/>
        </w:rPr>
        <w:t xml:space="preserve">и </w:t>
      </w:r>
      <w:r>
        <w:rPr>
          <w:rFonts w:ascii="Times New Roman" w:hAnsi="Times New Roman" w:cs="Times New Roman"/>
          <w:szCs w:val="24"/>
        </w:rPr>
        <w:t>Kocenda (2007)</w:t>
      </w:r>
      <w:r>
        <w:rPr>
          <w:rFonts w:ascii="Times New Roman" w:hAnsi="Times New Roman" w:cs="Times New Roman"/>
          <w:szCs w:val="24"/>
          <w:lang w:val="mk-MK"/>
        </w:rPr>
        <w:t xml:space="preserve"> применуваат коинтеграција на пазарите од Централна и </w:t>
      </w:r>
      <w:r w:rsidR="00032AF9">
        <w:rPr>
          <w:rFonts w:ascii="Times New Roman" w:hAnsi="Times New Roman" w:cs="Times New Roman"/>
          <w:szCs w:val="24"/>
          <w:lang w:val="mk-MK"/>
        </w:rPr>
        <w:t>И</w:t>
      </w:r>
      <w:r>
        <w:rPr>
          <w:rFonts w:ascii="Times New Roman" w:hAnsi="Times New Roman" w:cs="Times New Roman"/>
          <w:szCs w:val="24"/>
          <w:lang w:val="mk-MK"/>
        </w:rPr>
        <w:t>сточна Европа</w:t>
      </w:r>
      <w:r w:rsidR="00032AF9">
        <w:rPr>
          <w:rFonts w:ascii="Times New Roman" w:hAnsi="Times New Roman" w:cs="Times New Roman"/>
          <w:szCs w:val="24"/>
          <w:lang w:val="mk-MK"/>
        </w:rPr>
        <w:t xml:space="preserve"> (ЦИЕ)</w:t>
      </w:r>
      <w:r>
        <w:rPr>
          <w:rFonts w:ascii="Times New Roman" w:hAnsi="Times New Roman" w:cs="Times New Roman"/>
          <w:szCs w:val="24"/>
          <w:lang w:val="mk-MK"/>
        </w:rPr>
        <w:t xml:space="preserve"> со три пазари на земјите од Западна Европа врз основа на податоци со висока фреквенција. Во анализата два-по-два пазари, тие не наоѓаат коинтегораност помеѓу нив, но со гренџеровите тестови на каузалноста откриваат постоење на краткорочни меѓузависности.</w:t>
      </w:r>
      <w:r w:rsidRPr="00E249E5">
        <w:rPr>
          <w:rFonts w:ascii="Times New Roman" w:hAnsi="Times New Roman" w:cs="Times New Roman"/>
          <w:szCs w:val="24"/>
        </w:rPr>
        <w:t xml:space="preserve"> </w:t>
      </w:r>
      <w:r>
        <w:rPr>
          <w:rFonts w:ascii="Times New Roman" w:hAnsi="Times New Roman" w:cs="Times New Roman"/>
          <w:szCs w:val="24"/>
        </w:rPr>
        <w:t xml:space="preserve">Kenourgios </w:t>
      </w:r>
      <w:r>
        <w:rPr>
          <w:rFonts w:ascii="Times New Roman" w:hAnsi="Times New Roman" w:cs="Times New Roman"/>
          <w:szCs w:val="24"/>
          <w:lang w:val="mk-MK"/>
        </w:rPr>
        <w:t>и</w:t>
      </w:r>
      <w:r>
        <w:rPr>
          <w:rFonts w:ascii="Times New Roman" w:hAnsi="Times New Roman" w:cs="Times New Roman"/>
          <w:szCs w:val="24"/>
        </w:rPr>
        <w:t xml:space="preserve"> Samitas (2011)</w:t>
      </w:r>
      <w:r>
        <w:rPr>
          <w:rFonts w:ascii="Times New Roman" w:hAnsi="Times New Roman" w:cs="Times New Roman"/>
          <w:szCs w:val="24"/>
          <w:lang w:val="mk-MK"/>
        </w:rPr>
        <w:t xml:space="preserve"> ја испитуваат поврзаноста меѓу пет пазари од балканските земји, пазарот во САД и три европски развиени пазари. Користејќи </w:t>
      </w:r>
      <w:r>
        <w:rPr>
          <w:rFonts w:ascii="Times New Roman" w:hAnsi="Times New Roman" w:cs="Times New Roman"/>
          <w:szCs w:val="24"/>
        </w:rPr>
        <w:t>GARCH</w:t>
      </w:r>
      <w:r>
        <w:rPr>
          <w:rFonts w:ascii="Times New Roman" w:hAnsi="Times New Roman" w:cs="Times New Roman"/>
          <w:szCs w:val="24"/>
          <w:lang w:val="mk-MK"/>
        </w:rPr>
        <w:t xml:space="preserve"> </w:t>
      </w:r>
      <w:r w:rsidR="00D82048">
        <w:rPr>
          <w:rFonts w:ascii="Times New Roman" w:hAnsi="Times New Roman" w:cs="Times New Roman"/>
          <w:szCs w:val="24"/>
          <w:lang w:val="mk-MK"/>
        </w:rPr>
        <w:t xml:space="preserve">модел </w:t>
      </w:r>
      <w:r>
        <w:rPr>
          <w:rFonts w:ascii="Times New Roman" w:hAnsi="Times New Roman" w:cs="Times New Roman"/>
          <w:szCs w:val="24"/>
          <w:lang w:val="mk-MK"/>
        </w:rPr>
        <w:t xml:space="preserve">со повеќе варијабли, тие </w:t>
      </w:r>
      <w:r w:rsidR="00D82048">
        <w:rPr>
          <w:rFonts w:ascii="Times New Roman" w:hAnsi="Times New Roman" w:cs="Times New Roman"/>
          <w:szCs w:val="24"/>
          <w:lang w:val="mk-MK"/>
        </w:rPr>
        <w:t>утврдиле дека постои долгорочна коинтегрираност помеѓу балканските пазари, какои и помеѓу нив и развиените земји. Овие врски се зајакнале по финансиската криза од 2008 година.</w:t>
      </w:r>
    </w:p>
    <w:p w:rsidR="00CB1101" w:rsidRPr="009D15A3" w:rsidRDefault="00032AF9" w:rsidP="00032AF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Cs w:val="24"/>
        </w:rPr>
        <w:t xml:space="preserve">Ülkü (2011) </w:t>
      </w:r>
      <w:r>
        <w:rPr>
          <w:rFonts w:ascii="Times New Roman" w:hAnsi="Times New Roman" w:cs="Times New Roman"/>
          <w:szCs w:val="24"/>
          <w:lang w:val="mk-MK"/>
        </w:rPr>
        <w:t xml:space="preserve">ја испитува конкретната релација меѓу берзите во Истанбул и Будимпешта, поради согледувањето дека инвеститорите од обете земји редовно следат што се случува на другиот пазар, со цел да ги формираат сопствените прогнози за идните пазарни движења. Тој употребува структурен </w:t>
      </w:r>
      <w:r>
        <w:rPr>
          <w:rFonts w:ascii="Times New Roman" w:hAnsi="Times New Roman" w:cs="Times New Roman"/>
          <w:szCs w:val="24"/>
        </w:rPr>
        <w:t xml:space="preserve">VAR </w:t>
      </w:r>
      <w:r>
        <w:rPr>
          <w:rFonts w:ascii="Times New Roman" w:hAnsi="Times New Roman" w:cs="Times New Roman"/>
          <w:szCs w:val="24"/>
          <w:lang w:val="mk-MK"/>
        </w:rPr>
        <w:t xml:space="preserve">модел, со кој извлекува зклучок дека врската меѓу берзите е двонасочна, односно дека секоја од нив влијае на другата. </w:t>
      </w:r>
      <w:r>
        <w:rPr>
          <w:rFonts w:ascii="Times New Roman" w:hAnsi="Times New Roman" w:cs="Times New Roman"/>
        </w:rPr>
        <w:t>Daj</w:t>
      </w:r>
      <w:r>
        <w:rPr>
          <w:rFonts w:ascii="Times New Roman" w:hAnsi="Times New Roman" w:cs="Times New Roman"/>
          <w:szCs w:val="24"/>
        </w:rPr>
        <w:t>č</w:t>
      </w:r>
      <w:r>
        <w:rPr>
          <w:rFonts w:ascii="Times New Roman" w:hAnsi="Times New Roman" w:cs="Times New Roman"/>
        </w:rPr>
        <w:t xml:space="preserve">man </w:t>
      </w:r>
      <w:r>
        <w:rPr>
          <w:rFonts w:ascii="Times New Roman" w:hAnsi="Times New Roman" w:cs="Times New Roman"/>
          <w:lang w:val="mk-MK"/>
        </w:rPr>
        <w:t>и</w:t>
      </w:r>
      <w:r>
        <w:rPr>
          <w:rFonts w:ascii="Times New Roman" w:hAnsi="Times New Roman" w:cs="Times New Roman"/>
        </w:rPr>
        <w:t xml:space="preserve"> Festi</w:t>
      </w:r>
      <w:r>
        <w:rPr>
          <w:rFonts w:ascii="Times New Roman" w:hAnsi="Times New Roman" w:cs="Times New Roman"/>
          <w:szCs w:val="24"/>
        </w:rPr>
        <w:t xml:space="preserve">ć </w:t>
      </w:r>
      <w:r>
        <w:rPr>
          <w:rFonts w:ascii="Times New Roman" w:hAnsi="Times New Roman" w:cs="Times New Roman"/>
        </w:rPr>
        <w:t>(2012)</w:t>
      </w:r>
      <w:r>
        <w:rPr>
          <w:rFonts w:ascii="Times New Roman" w:hAnsi="Times New Roman" w:cs="Times New Roman"/>
          <w:lang w:val="mk-MK"/>
        </w:rPr>
        <w:t xml:space="preserve"> употребуваат една варијанта на </w:t>
      </w:r>
      <w:r>
        <w:rPr>
          <w:rFonts w:ascii="Times New Roman" w:hAnsi="Times New Roman" w:cs="Times New Roman"/>
          <w:szCs w:val="24"/>
        </w:rPr>
        <w:t>GARCH</w:t>
      </w:r>
      <w:r>
        <w:rPr>
          <w:rFonts w:ascii="Times New Roman" w:hAnsi="Times New Roman" w:cs="Times New Roman"/>
          <w:szCs w:val="24"/>
          <w:lang w:val="mk-MK"/>
        </w:rPr>
        <w:t xml:space="preserve"> модел и ја откриваат поврзаноста на словенечкиот пазар со пазарите на неколку развиени земји од ЕУ. Дополнително, тие утврдуваат дека овие корелации пораснале со текот на времето, а финснсиската криза од 2008 година имала свој удел во тој пораст. Слични истражувања на релациите помеѓу пазарите од ЦИЕ и оние </w:t>
      </w:r>
      <w:r w:rsidRPr="00A67AB7">
        <w:rPr>
          <w:rFonts w:ascii="Times New Roman" w:hAnsi="Times New Roman" w:cs="Times New Roman"/>
          <w:szCs w:val="24"/>
          <w:lang w:val="mk-MK"/>
        </w:rPr>
        <w:t xml:space="preserve">од Западна Европа прават и </w:t>
      </w:r>
      <w:r w:rsidRPr="00A67AB7">
        <w:rPr>
          <w:rFonts w:ascii="Times New Roman" w:hAnsi="Times New Roman" w:cs="Times New Roman"/>
        </w:rPr>
        <w:t>Horvath and Petrovski (2012)</w:t>
      </w:r>
      <w:r w:rsidRPr="00A67AB7">
        <w:rPr>
          <w:rFonts w:ascii="Times New Roman" w:hAnsi="Times New Roman" w:cs="Times New Roman"/>
          <w:lang w:val="mk-MK"/>
        </w:rPr>
        <w:t xml:space="preserve">, помеѓу некои балкански земји и пазарите на Германија и Унгарија прават </w:t>
      </w:r>
      <w:r w:rsidRPr="00A67AB7">
        <w:rPr>
          <w:rFonts w:ascii="Times New Roman" w:hAnsi="Times New Roman" w:cs="Times New Roman"/>
        </w:rPr>
        <w:t>Gradojevi</w:t>
      </w:r>
      <w:r w:rsidRPr="00A67AB7">
        <w:rPr>
          <w:rFonts w:ascii="Times New Roman" w:hAnsi="Times New Roman" w:cs="Times New Roman"/>
          <w:szCs w:val="24"/>
        </w:rPr>
        <w:t>ć</w:t>
      </w:r>
      <w:r w:rsidRPr="00A67AB7">
        <w:rPr>
          <w:rFonts w:ascii="Times New Roman" w:hAnsi="Times New Roman" w:cs="Times New Roman"/>
        </w:rPr>
        <w:t xml:space="preserve"> and Dobard</w:t>
      </w:r>
      <w:r w:rsidRPr="00A67AB7">
        <w:rPr>
          <w:rFonts w:ascii="Times New Roman" w:hAnsi="Times New Roman" w:cs="Times New Roman"/>
          <w:szCs w:val="24"/>
        </w:rPr>
        <w:t>ž</w:t>
      </w:r>
      <w:r w:rsidRPr="00A67AB7">
        <w:rPr>
          <w:rFonts w:ascii="Times New Roman" w:hAnsi="Times New Roman" w:cs="Times New Roman"/>
        </w:rPr>
        <w:t>i</w:t>
      </w:r>
      <w:r w:rsidRPr="00A67AB7">
        <w:rPr>
          <w:rFonts w:ascii="Times New Roman" w:hAnsi="Times New Roman" w:cs="Times New Roman"/>
          <w:szCs w:val="24"/>
        </w:rPr>
        <w:t>ć</w:t>
      </w:r>
      <w:r w:rsidRPr="00A67AB7">
        <w:rPr>
          <w:rFonts w:ascii="Times New Roman" w:hAnsi="Times New Roman" w:cs="Times New Roman"/>
        </w:rPr>
        <w:t xml:space="preserve"> (2013)</w:t>
      </w:r>
      <w:r w:rsidRPr="00A67AB7">
        <w:rPr>
          <w:rFonts w:ascii="Times New Roman" w:hAnsi="Times New Roman" w:cs="Times New Roman"/>
          <w:lang w:val="mk-MK"/>
        </w:rPr>
        <w:t xml:space="preserve">, додека </w:t>
      </w:r>
      <w:r w:rsidRPr="00A67AB7">
        <w:rPr>
          <w:rFonts w:ascii="Times New Roman" w:hAnsi="Times New Roman" w:cs="Times New Roman"/>
        </w:rPr>
        <w:t>Oki</w:t>
      </w:r>
      <w:r w:rsidR="00A67AB7" w:rsidRPr="00A67AB7">
        <w:rPr>
          <w:rFonts w:ascii="Times New Roman" w:hAnsi="Times New Roman" w:cs="Times New Roman"/>
          <w:szCs w:val="24"/>
        </w:rPr>
        <w:t>č</w:t>
      </w:r>
      <w:r w:rsidRPr="00A67AB7">
        <w:rPr>
          <w:rFonts w:ascii="Times New Roman" w:hAnsi="Times New Roman" w:cs="Times New Roman"/>
        </w:rPr>
        <w:t>i</w:t>
      </w:r>
      <w:r w:rsidRPr="00A67AB7">
        <w:rPr>
          <w:rFonts w:ascii="Times New Roman" w:hAnsi="Times New Roman" w:cs="Times New Roman"/>
          <w:szCs w:val="24"/>
        </w:rPr>
        <w:t>ć</w:t>
      </w:r>
      <w:r w:rsidRPr="00A67AB7">
        <w:rPr>
          <w:rFonts w:ascii="Times New Roman" w:hAnsi="Times New Roman" w:cs="Times New Roman"/>
        </w:rPr>
        <w:t xml:space="preserve"> (2014)</w:t>
      </w:r>
      <w:r w:rsidRPr="00A67AB7">
        <w:rPr>
          <w:rFonts w:ascii="Times New Roman" w:hAnsi="Times New Roman" w:cs="Times New Roman"/>
          <w:lang w:val="mk-MK"/>
        </w:rPr>
        <w:t xml:space="preserve"> се задржува на меѓусебната поврзаност на пазарите од ЦИЕ. Таа открива ефект на левериџ</w:t>
      </w:r>
      <w:r>
        <w:rPr>
          <w:rFonts w:ascii="Times New Roman" w:hAnsi="Times New Roman" w:cs="Times New Roman"/>
          <w:lang w:val="mk-MK"/>
        </w:rPr>
        <w:t xml:space="preserve"> помеѓу нив, односно ситуација во која негативните пазарни шокови имаат </w:t>
      </w:r>
      <w:r w:rsidRPr="009D15A3">
        <w:rPr>
          <w:rFonts w:ascii="Times New Roman" w:hAnsi="Times New Roman" w:cs="Times New Roman"/>
          <w:lang w:val="mk-MK"/>
        </w:rPr>
        <w:t>поголемо влијание врз волатилноста на пазарот отколку позитивните шокови. Тевдовски</w:t>
      </w:r>
      <w:r w:rsidR="009D15A3" w:rsidRPr="009D15A3">
        <w:rPr>
          <w:rFonts w:ascii="Times New Roman" w:hAnsi="Times New Roman" w:cs="Times New Roman"/>
        </w:rPr>
        <w:t xml:space="preserve"> (2010) </w:t>
      </w:r>
      <w:r w:rsidR="009D15A3" w:rsidRPr="009D15A3">
        <w:rPr>
          <w:rFonts w:ascii="Times New Roman" w:hAnsi="Times New Roman" w:cs="Times New Roman"/>
          <w:lang w:val="mk-MK"/>
        </w:rPr>
        <w:t>применува коинтеграциона анализа и потврдува постоење на долгорочна релација меѓу</w:t>
      </w:r>
      <w:r w:rsidR="009D15A3">
        <w:rPr>
          <w:rFonts w:ascii="Times New Roman" w:hAnsi="Times New Roman" w:cs="Times New Roman"/>
          <w:lang w:val="mk-MK"/>
        </w:rPr>
        <w:t xml:space="preserve"> берзите во Скопје, Белград, Софија, Загреб и Љубана, а утврдува дека постои и билатерална интегрираност меѓу македонскиот берзански индекс и индексот на Лондонската берза, </w:t>
      </w:r>
      <w:r w:rsidR="009D15A3">
        <w:rPr>
          <w:rFonts w:ascii="Times New Roman" w:hAnsi="Times New Roman" w:cs="Times New Roman"/>
        </w:rPr>
        <w:t>FTSE.</w:t>
      </w:r>
    </w:p>
    <w:p w:rsidR="005B46A8" w:rsidRPr="00032AF9" w:rsidRDefault="005B46A8" w:rsidP="00CB1101">
      <w:pPr>
        <w:spacing w:after="0" w:line="240" w:lineRule="auto"/>
        <w:jc w:val="both"/>
        <w:rPr>
          <w:rFonts w:ascii="Times New Roman" w:hAnsi="Times New Roman" w:cs="Times New Roman"/>
          <w:szCs w:val="24"/>
          <w:lang w:val="mk-MK"/>
        </w:rPr>
      </w:pPr>
      <w:r w:rsidRPr="00CB1101">
        <w:rPr>
          <w:rFonts w:ascii="Times New Roman" w:hAnsi="Times New Roman" w:cs="Times New Roman"/>
        </w:rPr>
        <w:tab/>
      </w:r>
      <w:r w:rsidR="00032AF9">
        <w:rPr>
          <w:rFonts w:ascii="Times New Roman" w:hAnsi="Times New Roman" w:cs="Times New Roman"/>
          <w:lang w:val="mk-MK"/>
        </w:rPr>
        <w:t xml:space="preserve">Како општ заклучок од анализираната литератра можеме да кажеме дека во поголемиот дел од трудовите се користат техники на векторска аворегресија, коинтеграција или одредени варијанти на </w:t>
      </w:r>
      <w:r w:rsidR="00032AF9">
        <w:rPr>
          <w:rFonts w:ascii="Times New Roman" w:hAnsi="Times New Roman" w:cs="Times New Roman"/>
          <w:szCs w:val="24"/>
        </w:rPr>
        <w:t>GARCH</w:t>
      </w:r>
      <w:r w:rsidR="00032AF9">
        <w:rPr>
          <w:rFonts w:ascii="Times New Roman" w:hAnsi="Times New Roman" w:cs="Times New Roman"/>
          <w:szCs w:val="24"/>
          <w:lang w:val="mk-MK"/>
        </w:rPr>
        <w:t xml:space="preserve"> моделите, со цел да се истражат меѓусебните поврзаности на пазарите и трансферот на влијанијата помеѓу нив. </w:t>
      </w:r>
      <w:r w:rsidR="00E54B95">
        <w:rPr>
          <w:rFonts w:ascii="Times New Roman" w:hAnsi="Times New Roman" w:cs="Times New Roman"/>
          <w:szCs w:val="24"/>
          <w:lang w:val="mk-MK"/>
        </w:rPr>
        <w:t>Најголем дел од нив, пак, се фокусираат исклучиво на движењето на берзанските индекси, односно цените на акциите, без притоа да навлегуваат во економските детерминанти на нивните промени. Најчест заклучок е дека поврзаноста меѓу пазарите е реалност, како и дека меѓусебнта корелираност расте во финансиски турбулентни периоди.</w:t>
      </w:r>
    </w:p>
    <w:p w:rsidR="00922FA3" w:rsidRDefault="00922FA3" w:rsidP="00F62F37">
      <w:pPr>
        <w:jc w:val="center"/>
        <w:rPr>
          <w:rFonts w:ascii="Times New Roman" w:hAnsi="Times New Roman" w:cs="Times New Roman"/>
          <w:b/>
          <w:lang w:val="mk-MK"/>
        </w:rPr>
      </w:pPr>
    </w:p>
    <w:p w:rsidR="005C20A6" w:rsidRDefault="005C20A6" w:rsidP="00F62F37">
      <w:pPr>
        <w:jc w:val="center"/>
        <w:rPr>
          <w:rFonts w:ascii="Times New Roman" w:hAnsi="Times New Roman" w:cs="Times New Roman"/>
          <w:b/>
          <w:lang w:val="mk-MK"/>
        </w:rPr>
      </w:pPr>
      <w:r>
        <w:rPr>
          <w:rFonts w:ascii="Times New Roman" w:hAnsi="Times New Roman" w:cs="Times New Roman"/>
          <w:b/>
          <w:lang w:val="mk-MK"/>
        </w:rPr>
        <w:t>Примерок и метод на истражување</w:t>
      </w:r>
    </w:p>
    <w:p w:rsidR="005C20A6" w:rsidRDefault="005C20A6" w:rsidP="005B46A8">
      <w:pPr>
        <w:spacing w:after="0" w:line="240" w:lineRule="auto"/>
        <w:jc w:val="both"/>
        <w:rPr>
          <w:rFonts w:ascii="Times New Roman" w:hAnsi="Times New Roman" w:cs="Times New Roman"/>
          <w:lang w:val="mk-MK"/>
        </w:rPr>
      </w:pPr>
      <w:r>
        <w:rPr>
          <w:rFonts w:ascii="Times New Roman" w:hAnsi="Times New Roman" w:cs="Times New Roman"/>
          <w:b/>
          <w:lang w:val="mk-MK"/>
        </w:rPr>
        <w:tab/>
      </w:r>
      <w:r>
        <w:rPr>
          <w:rFonts w:ascii="Times New Roman" w:hAnsi="Times New Roman" w:cs="Times New Roman"/>
          <w:lang w:val="mk-MK"/>
        </w:rPr>
        <w:t xml:space="preserve">За потребите на истражувањето е составена временска серија за движењето на берзанските индекси на претходно наведените берзи и тоа </w:t>
      </w:r>
      <w:r>
        <w:rPr>
          <w:rFonts w:ascii="Times New Roman" w:hAnsi="Times New Roman" w:cs="Times New Roman"/>
        </w:rPr>
        <w:t xml:space="preserve">MBI-10, BELEX 15, CROBEX, SOFIX </w:t>
      </w:r>
      <w:r>
        <w:rPr>
          <w:rFonts w:ascii="Times New Roman" w:hAnsi="Times New Roman" w:cs="Times New Roman"/>
          <w:lang w:val="mk-MK"/>
        </w:rPr>
        <w:t xml:space="preserve">и </w:t>
      </w:r>
      <w:r>
        <w:rPr>
          <w:rFonts w:ascii="Times New Roman" w:hAnsi="Times New Roman" w:cs="Times New Roman"/>
        </w:rPr>
        <w:t xml:space="preserve">SBI-10. </w:t>
      </w:r>
      <w:r>
        <w:rPr>
          <w:rFonts w:ascii="Times New Roman" w:hAnsi="Times New Roman" w:cs="Times New Roman"/>
          <w:lang w:val="mk-MK"/>
        </w:rPr>
        <w:t>Користиме временска серија со податоци за вредностите на индексот почнувајќи од 5.10.2005 до 31.12.2015 година. Во истражувањето користиме неделни вредности на индексите, од причина што податоци со повисока фреквенција не се на располагање за сите индекси, а и пренесувањето на информациите, односно реакцијата на одреден пазар на информациите од друг сметаме дека во наведениот период не се случува толку брзо за да оправда покуси временски периоди за пресметка на приносите.</w:t>
      </w:r>
    </w:p>
    <w:p w:rsidR="005C20A6" w:rsidRDefault="005C20A6" w:rsidP="005B46A8">
      <w:pPr>
        <w:spacing w:after="0" w:line="240" w:lineRule="auto"/>
        <w:jc w:val="both"/>
        <w:rPr>
          <w:rFonts w:ascii="Times New Roman" w:hAnsi="Times New Roman" w:cs="Times New Roman"/>
          <w:lang w:val="mk-MK"/>
        </w:rPr>
      </w:pPr>
      <w:r>
        <w:rPr>
          <w:rFonts w:ascii="Times New Roman" w:hAnsi="Times New Roman" w:cs="Times New Roman"/>
          <w:lang w:val="mk-MK"/>
        </w:rPr>
        <w:lastRenderedPageBreak/>
        <w:tab/>
        <w:t xml:space="preserve">Анализата ќе ја извршиме на тој начин што најпрво ќе пресметаме корелации помеѓу одделните индекси, во двојки, за различни временски периоди, со цел да согледаме дали дошло до промени во меѓусебата корелираност во текот на целиот набљудуван период. Во вториот дел од истражувањето, ќе користиме Гренџерови тестови на каузалноста, </w:t>
      </w:r>
      <w:r w:rsidR="009212CF">
        <w:rPr>
          <w:rFonts w:ascii="Times New Roman" w:hAnsi="Times New Roman" w:cs="Times New Roman"/>
          <w:lang w:val="mk-MK"/>
        </w:rPr>
        <w:t>за да согледаме дали помеѓу одд</w:t>
      </w:r>
      <w:r w:rsidR="00B44261">
        <w:rPr>
          <w:rFonts w:ascii="Times New Roman" w:hAnsi="Times New Roman" w:cs="Times New Roman"/>
          <w:lang w:val="mk-MK"/>
        </w:rPr>
        <w:t>е</w:t>
      </w:r>
      <w:r w:rsidR="009212CF">
        <w:rPr>
          <w:rFonts w:ascii="Times New Roman" w:hAnsi="Times New Roman" w:cs="Times New Roman"/>
          <w:lang w:val="mk-MK"/>
        </w:rPr>
        <w:t>лните индекси постојат релации на меѓусебна Гренџерова условеност и кои се тие</w:t>
      </w:r>
      <w:r w:rsidR="00B44261">
        <w:rPr>
          <w:rFonts w:ascii="Times New Roman" w:hAnsi="Times New Roman" w:cs="Times New Roman"/>
          <w:lang w:val="mk-MK"/>
        </w:rPr>
        <w:t>.</w:t>
      </w:r>
    </w:p>
    <w:p w:rsidR="005C20A6" w:rsidRPr="005C20A6" w:rsidRDefault="005C20A6" w:rsidP="005B46A8">
      <w:pPr>
        <w:spacing w:after="0" w:line="240" w:lineRule="auto"/>
        <w:jc w:val="both"/>
        <w:rPr>
          <w:rFonts w:ascii="Times New Roman" w:hAnsi="Times New Roman" w:cs="Times New Roman"/>
          <w:lang w:val="mk-MK"/>
        </w:rPr>
      </w:pPr>
    </w:p>
    <w:p w:rsidR="005C20A6" w:rsidRDefault="005C20A6" w:rsidP="005B46A8">
      <w:pPr>
        <w:spacing w:after="0" w:line="240" w:lineRule="auto"/>
        <w:jc w:val="both"/>
        <w:rPr>
          <w:rFonts w:ascii="Times New Roman" w:hAnsi="Times New Roman" w:cs="Times New Roman"/>
          <w:b/>
          <w:lang w:val="mk-MK"/>
        </w:rPr>
      </w:pPr>
      <w:r w:rsidRPr="005C20A6">
        <w:rPr>
          <w:rFonts w:ascii="Times New Roman" w:hAnsi="Times New Roman" w:cs="Times New Roman"/>
          <w:b/>
        </w:rPr>
        <w:tab/>
      </w:r>
    </w:p>
    <w:p w:rsidR="005B46A8" w:rsidRDefault="005C20A6" w:rsidP="00F62F37">
      <w:pPr>
        <w:spacing w:after="0" w:line="240" w:lineRule="auto"/>
        <w:jc w:val="center"/>
        <w:rPr>
          <w:rFonts w:ascii="Times New Roman" w:hAnsi="Times New Roman" w:cs="Times New Roman"/>
          <w:lang w:val="mk-MK"/>
        </w:rPr>
      </w:pPr>
      <w:r w:rsidRPr="005C20A6">
        <w:rPr>
          <w:rFonts w:ascii="Times New Roman" w:hAnsi="Times New Roman" w:cs="Times New Roman"/>
          <w:b/>
          <w:lang w:val="mk-MK"/>
        </w:rPr>
        <w:t>Корелации и промени во корелираноста</w:t>
      </w:r>
    </w:p>
    <w:p w:rsidR="005C20A6" w:rsidRDefault="005C20A6" w:rsidP="005B46A8">
      <w:pPr>
        <w:spacing w:after="0" w:line="240" w:lineRule="auto"/>
        <w:jc w:val="both"/>
        <w:rPr>
          <w:rFonts w:ascii="Times New Roman" w:hAnsi="Times New Roman" w:cs="Times New Roman"/>
          <w:lang w:val="mk-MK"/>
        </w:rPr>
      </w:pPr>
    </w:p>
    <w:p w:rsidR="005C20A6" w:rsidRDefault="005C20A6"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Првото ме</w:t>
      </w:r>
      <w:r w:rsidR="009212CF">
        <w:rPr>
          <w:rFonts w:ascii="Times New Roman" w:hAnsi="Times New Roman" w:cs="Times New Roman"/>
          <w:lang w:val="mk-MK"/>
        </w:rPr>
        <w:t>р</w:t>
      </w:r>
      <w:r>
        <w:rPr>
          <w:rFonts w:ascii="Times New Roman" w:hAnsi="Times New Roman" w:cs="Times New Roman"/>
          <w:lang w:val="mk-MK"/>
        </w:rPr>
        <w:t>ило со кое ќе се обидеме да добиеме претстава</w:t>
      </w:r>
      <w:r w:rsidR="005315CB">
        <w:rPr>
          <w:rFonts w:ascii="Times New Roman" w:hAnsi="Times New Roman" w:cs="Times New Roman"/>
          <w:lang w:val="mk-MK"/>
        </w:rPr>
        <w:t xml:space="preserve"> за поврзаноста меѓу анализираните пазари е едноставната статистичка корелација. За таа цел, прво ги пресметавме корелациите меѓу пазарите и тоа за целиот анализиран период и по години. Поради краткиот период на временската серија, 2005 година ја изоставуваме од табелата. Корелациите се пресметани врз основа на неделните приноси на пазарите, така што добиените резултати претставуваат корелации на приносите, а не на индексите во апсолутна вредност. Резултатите се прикажани во табела 1.</w:t>
      </w:r>
    </w:p>
    <w:p w:rsidR="005315CB" w:rsidRDefault="005315CB" w:rsidP="005B46A8">
      <w:pPr>
        <w:spacing w:after="0" w:line="240" w:lineRule="auto"/>
        <w:jc w:val="both"/>
        <w:rPr>
          <w:rFonts w:ascii="Times New Roman" w:hAnsi="Times New Roman" w:cs="Times New Roman"/>
          <w:lang w:val="mk-MK"/>
        </w:rPr>
      </w:pPr>
    </w:p>
    <w:p w:rsidR="005315CB" w:rsidRPr="00E53CC8" w:rsidRDefault="005315CB" w:rsidP="005B46A8">
      <w:pPr>
        <w:spacing w:after="0" w:line="240" w:lineRule="auto"/>
        <w:jc w:val="both"/>
        <w:rPr>
          <w:rFonts w:ascii="Times New Roman" w:hAnsi="Times New Roman" w:cs="Times New Roman"/>
          <w:i/>
          <w:sz w:val="22"/>
          <w:lang w:val="mk-MK"/>
        </w:rPr>
      </w:pPr>
      <w:r w:rsidRPr="00E53CC8">
        <w:rPr>
          <w:rFonts w:ascii="Times New Roman" w:hAnsi="Times New Roman" w:cs="Times New Roman"/>
          <w:i/>
          <w:sz w:val="22"/>
          <w:lang w:val="mk-MK"/>
        </w:rPr>
        <w:t>Табела 1</w:t>
      </w:r>
      <w:r w:rsidRPr="00E53CC8">
        <w:rPr>
          <w:rFonts w:ascii="Times New Roman" w:hAnsi="Times New Roman" w:cs="Times New Roman"/>
          <w:i/>
          <w:sz w:val="22"/>
          <w:lang w:val="mk-MK"/>
        </w:rPr>
        <w:tab/>
        <w:t>Коефициенти на корелација меѓу пазарите</w:t>
      </w:r>
    </w:p>
    <w:p w:rsidR="005315CB" w:rsidRDefault="005315CB" w:rsidP="005B46A8">
      <w:pPr>
        <w:spacing w:after="0" w:line="240" w:lineRule="auto"/>
        <w:jc w:val="both"/>
        <w:rPr>
          <w:rFonts w:ascii="Times New Roman" w:hAnsi="Times New Roman" w:cs="Times New Roman"/>
          <w:lang w:val="mk-MK"/>
        </w:rPr>
      </w:pPr>
    </w:p>
    <w:tbl>
      <w:tblPr>
        <w:tblW w:w="99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850"/>
        <w:gridCol w:w="708"/>
        <w:gridCol w:w="775"/>
        <w:gridCol w:w="785"/>
        <w:gridCol w:w="705"/>
        <w:gridCol w:w="709"/>
        <w:gridCol w:w="686"/>
        <w:gridCol w:w="789"/>
        <w:gridCol w:w="789"/>
        <w:gridCol w:w="789"/>
        <w:gridCol w:w="790"/>
      </w:tblGrid>
      <w:tr w:rsidR="005315CB" w:rsidRPr="005315CB" w:rsidTr="005D63E6">
        <w:trPr>
          <w:trHeight w:val="225"/>
        </w:trPr>
        <w:tc>
          <w:tcPr>
            <w:tcW w:w="1575" w:type="dxa"/>
            <w:shd w:val="clear" w:color="auto" w:fill="auto"/>
            <w:noWrap/>
            <w:vAlign w:val="bottom"/>
            <w:hideMark/>
          </w:tcPr>
          <w:p w:rsidR="005315CB" w:rsidRPr="005315CB" w:rsidRDefault="005315CB" w:rsidP="005315CB">
            <w:pPr>
              <w:spacing w:after="0" w:line="240" w:lineRule="auto"/>
              <w:rPr>
                <w:rFonts w:ascii="Calibri" w:eastAsia="Times New Roman" w:hAnsi="Calibri" w:cs="Times New Roman"/>
                <w:color w:val="000000"/>
                <w:sz w:val="22"/>
              </w:rPr>
            </w:pPr>
          </w:p>
        </w:tc>
        <w:tc>
          <w:tcPr>
            <w:tcW w:w="850" w:type="dxa"/>
            <w:vAlign w:val="center"/>
          </w:tcPr>
          <w:p w:rsidR="005315CB" w:rsidRPr="005315CB" w:rsidRDefault="005315CB" w:rsidP="005D63E6">
            <w:pPr>
              <w:spacing w:after="0" w:line="240" w:lineRule="auto"/>
              <w:jc w:val="center"/>
              <w:rPr>
                <w:rFonts w:ascii="Calibri" w:eastAsia="Times New Roman" w:hAnsi="Calibri" w:cs="Times New Roman"/>
                <w:b/>
                <w:bCs/>
                <w:color w:val="000000"/>
                <w:sz w:val="20"/>
                <w:szCs w:val="20"/>
                <w:lang w:val="mk-MK"/>
              </w:rPr>
            </w:pPr>
            <w:r w:rsidRPr="005315CB">
              <w:rPr>
                <w:rFonts w:ascii="Calibri" w:eastAsia="Times New Roman" w:hAnsi="Calibri" w:cs="Times New Roman"/>
                <w:b/>
                <w:bCs/>
                <w:color w:val="000000"/>
                <w:sz w:val="20"/>
                <w:szCs w:val="20"/>
                <w:lang w:val="mk-MK"/>
              </w:rPr>
              <w:t>ВКУП.</w:t>
            </w:r>
          </w:p>
        </w:tc>
        <w:tc>
          <w:tcPr>
            <w:tcW w:w="708"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2006</w:t>
            </w:r>
          </w:p>
        </w:tc>
        <w:tc>
          <w:tcPr>
            <w:tcW w:w="775"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2007</w:t>
            </w:r>
          </w:p>
        </w:tc>
        <w:tc>
          <w:tcPr>
            <w:tcW w:w="785"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2008</w:t>
            </w:r>
          </w:p>
        </w:tc>
        <w:tc>
          <w:tcPr>
            <w:tcW w:w="705"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2009</w:t>
            </w:r>
          </w:p>
        </w:tc>
        <w:tc>
          <w:tcPr>
            <w:tcW w:w="709"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2010</w:t>
            </w:r>
          </w:p>
        </w:tc>
        <w:tc>
          <w:tcPr>
            <w:tcW w:w="686"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2011</w:t>
            </w:r>
          </w:p>
        </w:tc>
        <w:tc>
          <w:tcPr>
            <w:tcW w:w="789"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2012</w:t>
            </w:r>
          </w:p>
        </w:tc>
        <w:tc>
          <w:tcPr>
            <w:tcW w:w="789"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2013</w:t>
            </w:r>
          </w:p>
        </w:tc>
        <w:tc>
          <w:tcPr>
            <w:tcW w:w="789"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2014</w:t>
            </w:r>
          </w:p>
        </w:tc>
        <w:tc>
          <w:tcPr>
            <w:tcW w:w="790" w:type="dxa"/>
            <w:shd w:val="clear" w:color="auto" w:fill="auto"/>
            <w:noWrap/>
            <w:vAlign w:val="center"/>
            <w:hideMark/>
          </w:tcPr>
          <w:p w:rsidR="005315CB" w:rsidRPr="005315CB" w:rsidRDefault="005315CB" w:rsidP="005D63E6">
            <w:pPr>
              <w:spacing w:after="0" w:line="240" w:lineRule="auto"/>
              <w:jc w:val="center"/>
              <w:rPr>
                <w:rFonts w:ascii="Calibri" w:eastAsia="Times New Roman" w:hAnsi="Calibri" w:cs="Times New Roman"/>
                <w:b/>
                <w:bCs/>
                <w:color w:val="000000"/>
                <w:sz w:val="22"/>
              </w:rPr>
            </w:pPr>
            <w:r w:rsidRPr="005315CB">
              <w:rPr>
                <w:rFonts w:ascii="Calibri" w:eastAsia="Times New Roman" w:hAnsi="Calibri" w:cs="Times New Roman"/>
                <w:b/>
                <w:bCs/>
                <w:color w:val="000000"/>
                <w:sz w:val="22"/>
              </w:rPr>
              <w:t>2015</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SOFIX-MBI</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0,29</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0,08</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-0,16</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0,59</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0,25</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0,02</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0,44</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0,28</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0,08</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SOFIX-CROBEX</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0,43</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-0,14</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0,13</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0,62</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0,41</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0,23</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0,24</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0,13</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0,13</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SOFIX-BELEX</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0,40</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0,38</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0,11</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0,56</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0,43</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0,24</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0,51</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0,14</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-0,12</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SOFIX-SBI</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0,41</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0,06</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0,37</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0,68</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0,17</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0,28</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0,13</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0,10</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MBI-CROBEX</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0,45</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0,10</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0,20</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0,59</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0,65</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0,51</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-0,11</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0,14</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-0,18</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0,12</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MBI-BELEX</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0,41</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0,33</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0,54</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0,41</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0,14</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0,57</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0,08</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0,22</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0,00</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-0,04</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MBI-SBI</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0,34</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-0,17</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0,20</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0,59</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0,52</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0,31</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-0,16</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-0,13</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0,08</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0,24</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CROBEX-BELEX</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0,49</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0,04</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0,49</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0,59</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0,45</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0,37</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0,49</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0,19</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0,32</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0,15</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-0,11</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CROBEX-SBI</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0,49</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-0,08</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0,27</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0,72</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0,47</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0,41</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0,37</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0,32</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0,27</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0,26</w:t>
            </w:r>
          </w:p>
        </w:tc>
      </w:tr>
      <w:tr w:rsidR="005D63E6" w:rsidRPr="005315CB" w:rsidTr="0072703E">
        <w:trPr>
          <w:trHeight w:val="300"/>
        </w:trPr>
        <w:tc>
          <w:tcPr>
            <w:tcW w:w="1575" w:type="dxa"/>
            <w:shd w:val="clear" w:color="auto" w:fill="auto"/>
            <w:noWrap/>
            <w:vAlign w:val="bottom"/>
            <w:hideMark/>
          </w:tcPr>
          <w:p w:rsidR="005D63E6" w:rsidRPr="005315CB" w:rsidRDefault="005D63E6" w:rsidP="005315CB">
            <w:pPr>
              <w:spacing w:after="0" w:line="240" w:lineRule="auto"/>
              <w:rPr>
                <w:rFonts w:ascii="Calibri" w:eastAsia="Times New Roman" w:hAnsi="Calibri" w:cs="Times New Roman"/>
                <w:color w:val="000000"/>
                <w:sz w:val="22"/>
              </w:rPr>
            </w:pPr>
            <w:r w:rsidRPr="005315CB">
              <w:rPr>
                <w:rFonts w:ascii="Calibri" w:eastAsia="Times New Roman" w:hAnsi="Calibri" w:cs="Times New Roman"/>
                <w:color w:val="000000"/>
                <w:sz w:val="22"/>
              </w:rPr>
              <w:t>BELEX-SBI</w:t>
            </w:r>
          </w:p>
        </w:tc>
        <w:tc>
          <w:tcPr>
            <w:tcW w:w="850" w:type="dxa"/>
            <w:vAlign w:val="bottom"/>
          </w:tcPr>
          <w:p w:rsidR="005D63E6" w:rsidRPr="005315CB" w:rsidRDefault="005D63E6" w:rsidP="005315CB">
            <w:pPr>
              <w:spacing w:after="0" w:line="240" w:lineRule="auto"/>
              <w:jc w:val="center"/>
              <w:rPr>
                <w:rFonts w:ascii="Calibri" w:hAnsi="Calibri"/>
                <w:b/>
                <w:color w:val="000000"/>
                <w:sz w:val="22"/>
              </w:rPr>
            </w:pPr>
            <w:r w:rsidRPr="005315CB">
              <w:rPr>
                <w:rFonts w:ascii="Calibri" w:hAnsi="Calibri"/>
                <w:b/>
                <w:color w:val="000000"/>
                <w:sz w:val="22"/>
              </w:rPr>
              <w:t>0,37</w:t>
            </w:r>
          </w:p>
        </w:tc>
        <w:tc>
          <w:tcPr>
            <w:tcW w:w="708"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0,03</w:t>
            </w:r>
          </w:p>
        </w:tc>
        <w:tc>
          <w:tcPr>
            <w:tcW w:w="77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0,16</w:t>
            </w:r>
          </w:p>
        </w:tc>
        <w:tc>
          <w:tcPr>
            <w:tcW w:w="78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0,46</w:t>
            </w:r>
          </w:p>
        </w:tc>
        <w:tc>
          <w:tcPr>
            <w:tcW w:w="705"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0,55</w:t>
            </w:r>
          </w:p>
        </w:tc>
        <w:tc>
          <w:tcPr>
            <w:tcW w:w="70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0,44</w:t>
            </w:r>
          </w:p>
        </w:tc>
        <w:tc>
          <w:tcPr>
            <w:tcW w:w="686"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0,34</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0,06</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0,05</w:t>
            </w:r>
          </w:p>
        </w:tc>
        <w:tc>
          <w:tcPr>
            <w:tcW w:w="789"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0,36</w:t>
            </w:r>
          </w:p>
        </w:tc>
        <w:tc>
          <w:tcPr>
            <w:tcW w:w="790" w:type="dxa"/>
            <w:shd w:val="clear" w:color="auto" w:fill="auto"/>
            <w:noWrap/>
            <w:vAlign w:val="bottom"/>
            <w:hideMark/>
          </w:tcPr>
          <w:p w:rsidR="005D63E6" w:rsidRDefault="005D63E6" w:rsidP="005D63E6">
            <w:pPr>
              <w:spacing w:after="0" w:line="240" w:lineRule="auto"/>
              <w:jc w:val="right"/>
              <w:rPr>
                <w:rFonts w:ascii="Calibri" w:hAnsi="Calibri"/>
                <w:color w:val="000000"/>
                <w:sz w:val="22"/>
              </w:rPr>
            </w:pPr>
            <w:r>
              <w:rPr>
                <w:rFonts w:ascii="Calibri" w:hAnsi="Calibri"/>
                <w:color w:val="000000"/>
                <w:sz w:val="22"/>
              </w:rPr>
              <w:t>0,03</w:t>
            </w:r>
          </w:p>
        </w:tc>
      </w:tr>
    </w:tbl>
    <w:p w:rsidR="005315CB" w:rsidRDefault="005315CB" w:rsidP="005B46A8">
      <w:pPr>
        <w:spacing w:after="0" w:line="240" w:lineRule="auto"/>
        <w:jc w:val="both"/>
        <w:rPr>
          <w:rFonts w:ascii="Times New Roman" w:hAnsi="Times New Roman" w:cs="Times New Roman"/>
          <w:lang w:val="mk-MK"/>
        </w:rPr>
      </w:pPr>
    </w:p>
    <w:p w:rsidR="005315CB" w:rsidRDefault="005D63E6"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Може да се забележи дека коефициентите на корелација за целиот период се позитивни и мошне високи и се движат во опсегот од 0,3 до 0,5, што говори за висок степен на усогласено движење на пазарите. Тоа, од своја страна, ја намалува полезноста на диверзификацијата, бидејќи за оптимализирање на портфолиото на инвеститорите им се потребни пониски коефициенти на корелација. Друг заклучок што може да се извлече од табелата 1 е дека во периодот помеѓу 2007 и 2011 година сите коефициенти на корелација се на повисоко ниво од просечното и речиси и да нема негативни коефициенти на корелација. За подобра визуелна претстава, овие коефициенти ги претставуваме графички, на слика 1.</w:t>
      </w:r>
    </w:p>
    <w:p w:rsidR="005315CB" w:rsidRDefault="005315CB" w:rsidP="005B46A8">
      <w:pPr>
        <w:spacing w:after="0" w:line="240" w:lineRule="auto"/>
        <w:jc w:val="both"/>
        <w:rPr>
          <w:rFonts w:ascii="Times New Roman" w:hAnsi="Times New Roman" w:cs="Times New Roman"/>
          <w:lang w:val="mk-MK"/>
        </w:rPr>
      </w:pPr>
    </w:p>
    <w:p w:rsidR="005D63E6" w:rsidRPr="00E53CC8" w:rsidRDefault="005D63E6" w:rsidP="005B46A8">
      <w:pPr>
        <w:spacing w:after="0" w:line="240" w:lineRule="auto"/>
        <w:jc w:val="both"/>
        <w:rPr>
          <w:rFonts w:ascii="Times New Roman" w:hAnsi="Times New Roman" w:cs="Times New Roman"/>
          <w:i/>
          <w:sz w:val="22"/>
          <w:lang w:val="mk-MK"/>
        </w:rPr>
      </w:pPr>
      <w:r w:rsidRPr="00E53CC8">
        <w:rPr>
          <w:rFonts w:ascii="Times New Roman" w:hAnsi="Times New Roman" w:cs="Times New Roman"/>
          <w:i/>
          <w:sz w:val="22"/>
          <w:lang w:val="mk-MK"/>
        </w:rPr>
        <w:t>Слика 1</w:t>
      </w:r>
      <w:r w:rsidRPr="00E53CC8">
        <w:rPr>
          <w:rFonts w:ascii="Times New Roman" w:hAnsi="Times New Roman" w:cs="Times New Roman"/>
          <w:i/>
          <w:sz w:val="22"/>
          <w:lang w:val="mk-MK"/>
        </w:rPr>
        <w:tab/>
        <w:t>Движење  на коефициентите на корелација</w:t>
      </w:r>
    </w:p>
    <w:p w:rsidR="005D63E6" w:rsidRDefault="005D63E6" w:rsidP="005B46A8">
      <w:pPr>
        <w:spacing w:after="0" w:line="240" w:lineRule="auto"/>
        <w:jc w:val="both"/>
        <w:rPr>
          <w:rFonts w:ascii="Times New Roman" w:hAnsi="Times New Roman" w:cs="Times New Roman"/>
          <w:lang w:val="mk-MK"/>
        </w:rPr>
      </w:pPr>
    </w:p>
    <w:p w:rsidR="005D63E6" w:rsidRDefault="005D63E6" w:rsidP="005B46A8">
      <w:pPr>
        <w:spacing w:after="0" w:line="240" w:lineRule="auto"/>
        <w:jc w:val="both"/>
        <w:rPr>
          <w:rFonts w:ascii="Times New Roman" w:hAnsi="Times New Roman" w:cs="Times New Roman"/>
          <w:lang w:val="mk-MK"/>
        </w:rPr>
      </w:pPr>
      <w:r>
        <w:rPr>
          <w:noProof/>
        </w:rPr>
        <w:lastRenderedPageBreak/>
        <w:drawing>
          <wp:inline distT="0" distB="0" distL="0" distR="0" wp14:anchorId="09D2F4F9" wp14:editId="5516DBC5">
            <wp:extent cx="5943600" cy="2385695"/>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63E6" w:rsidRDefault="005D63E6" w:rsidP="005B46A8">
      <w:pPr>
        <w:spacing w:after="0" w:line="240" w:lineRule="auto"/>
        <w:jc w:val="both"/>
        <w:rPr>
          <w:rFonts w:ascii="Times New Roman" w:hAnsi="Times New Roman" w:cs="Times New Roman"/>
          <w:lang w:val="mk-MK"/>
        </w:rPr>
      </w:pPr>
    </w:p>
    <w:p w:rsidR="005D63E6" w:rsidRDefault="005D63E6"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Иако сликата </w:t>
      </w:r>
      <w:r w:rsidR="008408F6">
        <w:rPr>
          <w:rFonts w:ascii="Times New Roman" w:hAnsi="Times New Roman" w:cs="Times New Roman"/>
          <w:lang w:val="mk-MK"/>
        </w:rPr>
        <w:t>не е доволно прегледна, л</w:t>
      </w:r>
      <w:r>
        <w:rPr>
          <w:rFonts w:ascii="Times New Roman" w:hAnsi="Times New Roman" w:cs="Times New Roman"/>
          <w:lang w:val="mk-MK"/>
        </w:rPr>
        <w:t xml:space="preserve">есно може да се забележи дека </w:t>
      </w:r>
      <w:r w:rsidR="008408F6">
        <w:rPr>
          <w:rFonts w:ascii="Times New Roman" w:hAnsi="Times New Roman" w:cs="Times New Roman"/>
          <w:lang w:val="mk-MK"/>
        </w:rPr>
        <w:t>наведениот период 2007-2011 се одликува со пораст на корелираноста меѓу пазарите. Тоа особено се однесува на 2007</w:t>
      </w:r>
      <w:r w:rsidR="00922FA3">
        <w:rPr>
          <w:rFonts w:ascii="Times New Roman" w:hAnsi="Times New Roman" w:cs="Times New Roman"/>
          <w:lang w:val="mk-MK"/>
        </w:rPr>
        <w:t xml:space="preserve"> година</w:t>
      </w:r>
      <w:r w:rsidR="008408F6">
        <w:rPr>
          <w:rFonts w:ascii="Times New Roman" w:hAnsi="Times New Roman" w:cs="Times New Roman"/>
          <w:lang w:val="mk-MK"/>
        </w:rPr>
        <w:t xml:space="preserve"> кога корелираноста расте и 2008</w:t>
      </w:r>
      <w:r w:rsidR="00922FA3">
        <w:rPr>
          <w:rFonts w:ascii="Times New Roman" w:hAnsi="Times New Roman" w:cs="Times New Roman"/>
          <w:lang w:val="mk-MK"/>
        </w:rPr>
        <w:t xml:space="preserve"> година</w:t>
      </w:r>
      <w:r w:rsidR="008408F6">
        <w:rPr>
          <w:rFonts w:ascii="Times New Roman" w:hAnsi="Times New Roman" w:cs="Times New Roman"/>
          <w:lang w:val="mk-MK"/>
        </w:rPr>
        <w:t>, кога таа го достигнува својот максимум. Тоа е периодот на пазарниот бум (2007), но и пазарниот пад (2008), што одговара на очекувањата дека во периоди на пазарен пад поголема е усогласеноста на пазарите (паниката брзо се шири). Потоа, во 2011 година имаме уште една епизода на пораст на корелациите, по што тие се стабилизираат на нивото од 0 до 0,25.</w:t>
      </w:r>
    </w:p>
    <w:p w:rsidR="008408F6" w:rsidRDefault="008408F6"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,,Епидемијата“ како појава на пазарите се одликува со зголемување на корелациите во периоди кога волатилноста на пазарите е повисока. За таа цел, ги пресметавме стандардните девијации</w:t>
      </w:r>
      <w:r w:rsidR="008A2A72">
        <w:rPr>
          <w:rFonts w:ascii="Times New Roman" w:hAnsi="Times New Roman" w:cs="Times New Roman"/>
          <w:lang w:val="mk-MK"/>
        </w:rPr>
        <w:t xml:space="preserve"> на неделните приноси за секоја година одделно. Без да ја даваме табелата, ги претставуваме само графички на слика 2.</w:t>
      </w:r>
    </w:p>
    <w:p w:rsidR="008A2A72" w:rsidRDefault="008A2A72" w:rsidP="005B46A8">
      <w:pPr>
        <w:spacing w:after="0" w:line="240" w:lineRule="auto"/>
        <w:jc w:val="both"/>
        <w:rPr>
          <w:rFonts w:ascii="Times New Roman" w:hAnsi="Times New Roman" w:cs="Times New Roman"/>
          <w:lang w:val="mk-MK"/>
        </w:rPr>
      </w:pPr>
    </w:p>
    <w:p w:rsidR="008A2A72" w:rsidRPr="00E53CC8" w:rsidRDefault="008A2A72" w:rsidP="005B46A8">
      <w:pPr>
        <w:spacing w:after="0" w:line="240" w:lineRule="auto"/>
        <w:jc w:val="both"/>
        <w:rPr>
          <w:rFonts w:ascii="Times New Roman" w:hAnsi="Times New Roman" w:cs="Times New Roman"/>
          <w:i/>
          <w:sz w:val="22"/>
          <w:lang w:val="mk-MK"/>
        </w:rPr>
      </w:pPr>
      <w:r w:rsidRPr="00E53CC8">
        <w:rPr>
          <w:rFonts w:ascii="Times New Roman" w:hAnsi="Times New Roman" w:cs="Times New Roman"/>
          <w:i/>
          <w:sz w:val="22"/>
          <w:lang w:val="mk-MK"/>
        </w:rPr>
        <w:t xml:space="preserve">Слика 2 </w:t>
      </w:r>
      <w:r w:rsidRPr="00E53CC8">
        <w:rPr>
          <w:rFonts w:ascii="Times New Roman" w:hAnsi="Times New Roman" w:cs="Times New Roman"/>
          <w:i/>
          <w:sz w:val="22"/>
          <w:lang w:val="mk-MK"/>
        </w:rPr>
        <w:tab/>
        <w:t>Стандардни девијации на неделните приноси</w:t>
      </w:r>
    </w:p>
    <w:p w:rsidR="008A2A72" w:rsidRDefault="008A2A72" w:rsidP="005B46A8">
      <w:pPr>
        <w:spacing w:after="0" w:line="240" w:lineRule="auto"/>
        <w:jc w:val="both"/>
        <w:rPr>
          <w:rFonts w:ascii="Times New Roman" w:hAnsi="Times New Roman" w:cs="Times New Roman"/>
          <w:lang w:val="mk-MK"/>
        </w:rPr>
      </w:pPr>
      <w:r>
        <w:rPr>
          <w:noProof/>
        </w:rPr>
        <w:drawing>
          <wp:inline distT="0" distB="0" distL="0" distR="0" wp14:anchorId="34E5E7E0" wp14:editId="371125E5">
            <wp:extent cx="5943600" cy="2223135"/>
            <wp:effectExtent l="0" t="0" r="1905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2A72" w:rsidRDefault="008A2A72" w:rsidP="005B46A8">
      <w:pPr>
        <w:spacing w:after="0" w:line="240" w:lineRule="auto"/>
        <w:jc w:val="both"/>
        <w:rPr>
          <w:rFonts w:ascii="Times New Roman" w:hAnsi="Times New Roman" w:cs="Times New Roman"/>
          <w:lang w:val="mk-MK"/>
        </w:rPr>
      </w:pPr>
    </w:p>
    <w:p w:rsidR="008A2A72" w:rsidRDefault="008A2A72" w:rsidP="005B46A8">
      <w:pPr>
        <w:spacing w:after="0" w:line="240" w:lineRule="auto"/>
        <w:jc w:val="both"/>
        <w:rPr>
          <w:rFonts w:ascii="Times New Roman" w:hAnsi="Times New Roman" w:cs="Times New Roman"/>
        </w:rPr>
      </w:pPr>
      <w:r>
        <w:rPr>
          <w:rFonts w:ascii="Times New Roman" w:hAnsi="Times New Roman" w:cs="Times New Roman"/>
          <w:lang w:val="mk-MK"/>
        </w:rPr>
        <w:tab/>
        <w:t xml:space="preserve">Од сликата извлекуваме два заклучоци. Прво, евидентно е дека стандардните девијации не се исти во </w:t>
      </w:r>
      <w:r w:rsidR="00B44261">
        <w:rPr>
          <w:rFonts w:ascii="Times New Roman" w:hAnsi="Times New Roman" w:cs="Times New Roman"/>
          <w:lang w:val="mk-MK"/>
        </w:rPr>
        <w:t xml:space="preserve">текот на </w:t>
      </w:r>
      <w:r>
        <w:rPr>
          <w:rFonts w:ascii="Times New Roman" w:hAnsi="Times New Roman" w:cs="Times New Roman"/>
          <w:lang w:val="mk-MK"/>
        </w:rPr>
        <w:t xml:space="preserve">целиот набљудуван период. Второ, </w:t>
      </w:r>
      <w:r w:rsidR="00B44261">
        <w:rPr>
          <w:rFonts w:ascii="Times New Roman" w:hAnsi="Times New Roman" w:cs="Times New Roman"/>
          <w:lang w:val="mk-MK"/>
        </w:rPr>
        <w:t xml:space="preserve">доколку двата графици се гледаат паралелно, ќе се забележи дека </w:t>
      </w:r>
      <w:r>
        <w:rPr>
          <w:rFonts w:ascii="Times New Roman" w:hAnsi="Times New Roman" w:cs="Times New Roman"/>
          <w:lang w:val="mk-MK"/>
        </w:rPr>
        <w:t xml:space="preserve">волатилноста на пазарите е највисока токму во периодот на пазарниот бум, односно, набљудувано обратно, во периодите кога девијациите се највисоки, највисоки се и коефициените на корелација. Од ова извлекуваме </w:t>
      </w:r>
      <w:r>
        <w:rPr>
          <w:rFonts w:ascii="Times New Roman" w:hAnsi="Times New Roman" w:cs="Times New Roman"/>
          <w:lang w:val="mk-MK"/>
        </w:rPr>
        <w:lastRenderedPageBreak/>
        <w:t>заклучок дека и кај берзите на балканските земји може да се зборува за постоење на епидемија, односно дека токму во периодите на висока волатилност доаѓа и до пораст на корелираноста меѓу пазарите. Во периодот по 2011 година, кога волатилноста е многу пониска, паѓа и корелираноста.</w:t>
      </w:r>
    </w:p>
    <w:p w:rsidR="007B0D99" w:rsidRDefault="007B0D99" w:rsidP="005B46A8">
      <w:pPr>
        <w:spacing w:after="0" w:line="240" w:lineRule="auto"/>
        <w:jc w:val="both"/>
        <w:rPr>
          <w:rFonts w:ascii="Times New Roman" w:hAnsi="Times New Roman" w:cs="Times New Roman"/>
          <w:lang w:val="mk-MK"/>
        </w:rPr>
      </w:pPr>
    </w:p>
    <w:p w:rsidR="007B0D99" w:rsidRPr="007B0D99" w:rsidRDefault="007B0D99" w:rsidP="005B46A8">
      <w:pPr>
        <w:spacing w:after="0" w:line="240" w:lineRule="auto"/>
        <w:jc w:val="both"/>
        <w:rPr>
          <w:rFonts w:ascii="Times New Roman" w:hAnsi="Times New Roman" w:cs="Times New Roman"/>
          <w:lang w:val="mk-MK"/>
        </w:rPr>
      </w:pPr>
    </w:p>
    <w:p w:rsidR="007B0D99" w:rsidRPr="007B0D99" w:rsidRDefault="007B0D99" w:rsidP="00F62F37">
      <w:pPr>
        <w:spacing w:after="0" w:line="240" w:lineRule="auto"/>
        <w:jc w:val="center"/>
        <w:rPr>
          <w:rFonts w:ascii="Times New Roman" w:hAnsi="Times New Roman" w:cs="Times New Roman"/>
          <w:b/>
          <w:lang w:val="mk-MK"/>
        </w:rPr>
      </w:pPr>
      <w:r w:rsidRPr="007B0D99">
        <w:rPr>
          <w:rFonts w:ascii="Times New Roman" w:hAnsi="Times New Roman" w:cs="Times New Roman"/>
          <w:b/>
          <w:lang w:val="mk-MK"/>
        </w:rPr>
        <w:t>Испитување на каузалните врски меѓу пазарите</w:t>
      </w:r>
    </w:p>
    <w:p w:rsidR="007B0D99" w:rsidRDefault="007B0D99"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r>
    </w:p>
    <w:p w:rsidR="007B0D99" w:rsidRDefault="007B0D99"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r>
      <w:r w:rsidR="00FB4D43">
        <w:rPr>
          <w:rFonts w:ascii="Times New Roman" w:hAnsi="Times New Roman" w:cs="Times New Roman"/>
          <w:lang w:val="mk-MK"/>
        </w:rPr>
        <w:t>Во продолжение, сакаме да утврдиме дали може да се открие одредена каузалност помеѓу пазарите на капитал, врз основа на нивните берзански индекси. Со други зборови, сакаме да откриеме дали помеѓу промените на цените (индексите) на овие пазари постои одредена условеност или последователност. Доколку постои, тоа може да биде значајна информација за инвеститорите, кои би можеле да ги следат случувањата на одреден пазар како своевиден сигнал за она што може да се очекува на некој друг пазар.</w:t>
      </w:r>
    </w:p>
    <w:p w:rsidR="00FB4D43" w:rsidRDefault="00FB4D43"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Испитувањето на овие врски ќе го спроведеме со утврдување на т.н. Гренџерова каузалност од моделите на Векторска авторегресија (</w:t>
      </w:r>
      <w:r>
        <w:rPr>
          <w:rFonts w:ascii="Times New Roman" w:hAnsi="Times New Roman" w:cs="Times New Roman"/>
        </w:rPr>
        <w:t xml:space="preserve">VAR). </w:t>
      </w:r>
      <w:r>
        <w:rPr>
          <w:rFonts w:ascii="Times New Roman" w:hAnsi="Times New Roman" w:cs="Times New Roman"/>
          <w:lang w:val="mk-MK"/>
        </w:rPr>
        <w:t>Самата Векторска авторегресија е економетриски модел</w:t>
      </w:r>
      <w:r w:rsidR="00CE5DD3">
        <w:rPr>
          <w:rFonts w:ascii="Times New Roman" w:hAnsi="Times New Roman" w:cs="Times New Roman"/>
          <w:lang w:val="mk-MK"/>
        </w:rPr>
        <w:t xml:space="preserve"> во кој се испитува заемната меѓузав</w:t>
      </w:r>
      <w:r w:rsidR="00830CC7">
        <w:rPr>
          <w:rFonts w:ascii="Times New Roman" w:hAnsi="Times New Roman" w:cs="Times New Roman"/>
          <w:lang w:val="mk-MK"/>
        </w:rPr>
        <w:t>и</w:t>
      </w:r>
      <w:r w:rsidR="00CE5DD3">
        <w:rPr>
          <w:rFonts w:ascii="Times New Roman" w:hAnsi="Times New Roman" w:cs="Times New Roman"/>
          <w:lang w:val="mk-MK"/>
        </w:rPr>
        <w:t xml:space="preserve">сност на повеќе варијабли истовремено, земајќи ги предвид нивните минати вредности, т.е. големините на варијаблите со одредено временско заостанување. Ние нема да се задржуваме на резултатите на самата регресија, </w:t>
      </w:r>
      <w:bookmarkStart w:id="0" w:name="_GoBack"/>
      <w:bookmarkEnd w:id="0"/>
      <w:r w:rsidR="00CE5DD3">
        <w:rPr>
          <w:rFonts w:ascii="Times New Roman" w:hAnsi="Times New Roman" w:cs="Times New Roman"/>
          <w:lang w:val="mk-MK"/>
        </w:rPr>
        <w:t xml:space="preserve">туку единствено ќе се осврнеме на мерките на Гренџеровата каузалност. </w:t>
      </w:r>
    </w:p>
    <w:p w:rsidR="00CE5DD3" w:rsidRDefault="00CE5DD3" w:rsidP="005B46A8">
      <w:pPr>
        <w:spacing w:after="0" w:line="240" w:lineRule="auto"/>
        <w:jc w:val="both"/>
        <w:rPr>
          <w:rFonts w:ascii="Times New Roman" w:hAnsi="Times New Roman" w:cs="Times New Roman"/>
          <w:lang w:val="mk-MK"/>
        </w:rPr>
      </w:pPr>
      <w:r>
        <w:rPr>
          <w:rFonts w:ascii="Times New Roman" w:hAnsi="Times New Roman" w:cs="Times New Roman"/>
          <w:lang w:val="mk-MK"/>
        </w:rPr>
        <w:tab/>
        <w:t>За потребите на оваа пресметка, неопходно е да се пресметаат неделните приноси на индексите и тоа во нивниот логаритмиран облик. Така, приносот го добиваме  со равенката:</w:t>
      </w:r>
    </w:p>
    <w:p w:rsidR="00CE5DD3" w:rsidRDefault="00CE5DD3" w:rsidP="005B46A8">
      <w:pPr>
        <w:spacing w:after="0" w:line="240" w:lineRule="auto"/>
        <w:jc w:val="both"/>
        <w:rPr>
          <w:rFonts w:ascii="Times New Roman" w:hAnsi="Times New Roman" w:cs="Times New Roman"/>
          <w:lang w:val="mk-MK"/>
        </w:rPr>
      </w:pPr>
    </w:p>
    <w:p w:rsidR="00CE5DD3" w:rsidRPr="00CE5DD3" w:rsidRDefault="0015098E" w:rsidP="005B46A8">
      <w:pPr>
        <w:spacing w:after="0" w:line="240" w:lineRule="auto"/>
        <w:jc w:val="both"/>
        <w:rPr>
          <w:rFonts w:ascii="Times New Roman" w:eastAsiaTheme="minorEastAsia" w:hAnsi="Times New Roman" w:cs="Times New Roman"/>
        </w:rPr>
      </w:pPr>
      <m:oMathPara>
        <m:oMath>
          <m:sSub>
            <m:sSubPr>
              <m:ctrlPr>
                <w:rPr>
                  <w:rFonts w:ascii="Cambria Math" w:hAnsi="Cambria Math" w:cs="Times New Roman"/>
                  <w:i/>
                  <w:lang w:val="mk-MK"/>
                </w:rPr>
              </m:ctrlPr>
            </m:sSubPr>
            <m:e>
              <m:r>
                <w:rPr>
                  <w:rFonts w:ascii="Cambria Math" w:hAnsi="Cambria Math" w:cs="Times New Roman"/>
                  <w:lang w:val="mk-MK"/>
                </w:rPr>
                <m:t>r</m:t>
              </m:r>
            </m:e>
            <m:sub>
              <m:r>
                <w:rPr>
                  <w:rFonts w:ascii="Cambria Math" w:hAnsi="Cambria Math" w:cs="Times New Roman"/>
                  <w:lang w:val="mk-MK"/>
                </w:rPr>
                <m:t>it</m:t>
              </m:r>
            </m:sub>
          </m:sSub>
          <m:r>
            <w:rPr>
              <w:rFonts w:ascii="Cambria Math" w:hAnsi="Cambria Math" w:cs="Times New Roman"/>
              <w:lang w:val="mk-MK"/>
            </w:rPr>
            <m:t>=</m:t>
          </m:r>
          <m:func>
            <m:funcPr>
              <m:ctrlPr>
                <w:rPr>
                  <w:rFonts w:ascii="Cambria Math" w:hAnsi="Cambria Math" w:cs="Times New Roman"/>
                  <w:i/>
                  <w:lang w:val="mk-MK"/>
                </w:rPr>
              </m:ctrlPr>
            </m:funcPr>
            <m:fName>
              <m:r>
                <m:rPr>
                  <m:sty m:val="p"/>
                </m:rPr>
                <w:rPr>
                  <w:rFonts w:ascii="Cambria Math" w:hAnsi="Cambria Math" w:cs="Times New Roman"/>
                  <w:lang w:val="mk-MK"/>
                </w:rPr>
                <m:t>ln</m:t>
              </m:r>
            </m:fName>
            <m:e>
              <m:sSub>
                <m:sSubPr>
                  <m:ctrlPr>
                    <w:rPr>
                      <w:rFonts w:ascii="Cambria Math" w:hAnsi="Cambria Math" w:cs="Times New Roman"/>
                      <w:i/>
                      <w:lang w:val="mk-MK"/>
                    </w:rPr>
                  </m:ctrlPr>
                </m:sSubPr>
                <m:e>
                  <m:r>
                    <w:rPr>
                      <w:rFonts w:ascii="Cambria Math" w:hAnsi="Cambria Math" w:cs="Times New Roman"/>
                      <w:lang w:val="mk-MK"/>
                    </w:rPr>
                    <m:t>i</m:t>
                  </m:r>
                </m:e>
                <m:sub>
                  <m:r>
                    <w:rPr>
                      <w:rFonts w:ascii="Cambria Math" w:hAnsi="Cambria Math" w:cs="Times New Roman"/>
                      <w:lang w:val="mk-MK"/>
                    </w:rPr>
                    <m:t>t</m:t>
                  </m:r>
                </m:sub>
              </m:sSub>
              <m:r>
                <w:rPr>
                  <w:rFonts w:ascii="Cambria Math" w:hAnsi="Cambria Math" w:cs="Times New Roman"/>
                  <w:lang w:val="mk-MK"/>
                </w:rPr>
                <m:t>-</m:t>
              </m:r>
              <m:r>
                <w:rPr>
                  <w:rFonts w:ascii="Cambria Math" w:hAnsi="Cambria Math"/>
                </w:rPr>
                <m:t>ln</m:t>
              </m:r>
              <m:sSub>
                <m:sSubPr>
                  <m:ctrlPr>
                    <w:rPr>
                      <w:rFonts w:ascii="Cambria Math" w:hAnsi="Cambria Math"/>
                      <w:i/>
                    </w:rPr>
                  </m:ctrlPr>
                </m:sSubPr>
                <m:e>
                  <m:r>
                    <w:rPr>
                      <w:rFonts w:ascii="Cambria Math" w:hAnsi="Cambria Math"/>
                    </w:rPr>
                    <m:t xml:space="preserve"> i</m:t>
                  </m:r>
                </m:e>
                <m:sub>
                  <m:r>
                    <w:rPr>
                      <w:rFonts w:ascii="Cambria Math" w:hAnsi="Cambria Math"/>
                    </w:rPr>
                    <m:t>t-1</m:t>
                  </m:r>
                </m:sub>
              </m:sSub>
            </m:e>
          </m:func>
        </m:oMath>
      </m:oMathPara>
    </w:p>
    <w:p w:rsidR="00CE5DD3" w:rsidRDefault="00CE5DD3" w:rsidP="005B46A8">
      <w:pPr>
        <w:spacing w:after="0" w:line="240" w:lineRule="auto"/>
        <w:jc w:val="both"/>
        <w:rPr>
          <w:rFonts w:ascii="Times New Roman" w:eastAsiaTheme="minorEastAsia" w:hAnsi="Times New Roman" w:cs="Times New Roman"/>
        </w:rPr>
      </w:pPr>
    </w:p>
    <w:p w:rsidR="00CE5DD3" w:rsidRDefault="00CE5DD3" w:rsidP="005B46A8">
      <w:pPr>
        <w:spacing w:after="0" w:line="240" w:lineRule="auto"/>
        <w:jc w:val="both"/>
        <w:rPr>
          <w:rFonts w:ascii="Times New Roman" w:eastAsiaTheme="minorEastAsia" w:hAnsi="Times New Roman" w:cs="Times New Roman"/>
          <w:lang w:val="mk-MK"/>
        </w:rPr>
      </w:pPr>
      <w:r>
        <w:rPr>
          <w:rFonts w:ascii="Times New Roman" w:eastAsiaTheme="minorEastAsia" w:hAnsi="Times New Roman" w:cs="Times New Roman"/>
        </w:rPr>
        <w:tab/>
      </w:r>
      <w:r>
        <w:rPr>
          <w:rFonts w:ascii="Times New Roman" w:eastAsiaTheme="minorEastAsia" w:hAnsi="Times New Roman" w:cs="Times New Roman"/>
          <w:lang w:val="mk-MK"/>
        </w:rPr>
        <w:t xml:space="preserve">Каде што </w:t>
      </w:r>
      <w:r w:rsidRPr="00CE5DD3">
        <w:rPr>
          <w:rFonts w:ascii="Times New Roman" w:eastAsiaTheme="minorEastAsia" w:hAnsi="Times New Roman" w:cs="Times New Roman"/>
          <w:i/>
        </w:rPr>
        <w:t>r</w:t>
      </w:r>
      <w:r w:rsidRPr="00CE5DD3">
        <w:rPr>
          <w:rFonts w:ascii="Times New Roman" w:eastAsiaTheme="minorEastAsia" w:hAnsi="Times New Roman" w:cs="Times New Roman"/>
          <w:i/>
          <w:vertAlign w:val="subscript"/>
        </w:rPr>
        <w:t>it</w:t>
      </w:r>
      <w:r w:rsidRPr="00CE5DD3">
        <w:rPr>
          <w:rFonts w:ascii="Times New Roman" w:eastAsiaTheme="minorEastAsia" w:hAnsi="Times New Roman" w:cs="Times New Roman"/>
          <w:i/>
          <w:lang w:val="mk-MK"/>
        </w:rPr>
        <w:t xml:space="preserve"> </w:t>
      </w:r>
      <w:r>
        <w:rPr>
          <w:rFonts w:ascii="Times New Roman" w:eastAsiaTheme="minorEastAsia" w:hAnsi="Times New Roman" w:cs="Times New Roman"/>
          <w:lang w:val="mk-MK"/>
        </w:rPr>
        <w:t xml:space="preserve">е приносот на индексот </w:t>
      </w:r>
      <w:r w:rsidRPr="00CE5DD3">
        <w:rPr>
          <w:rFonts w:ascii="Times New Roman" w:eastAsiaTheme="minorEastAsia" w:hAnsi="Times New Roman" w:cs="Times New Roman"/>
          <w:i/>
        </w:rPr>
        <w:t>i</w:t>
      </w:r>
      <w:r>
        <w:rPr>
          <w:rFonts w:ascii="Times New Roman" w:eastAsiaTheme="minorEastAsia" w:hAnsi="Times New Roman" w:cs="Times New Roman"/>
          <w:lang w:val="mk-MK"/>
        </w:rPr>
        <w:t xml:space="preserve"> во период </w:t>
      </w:r>
      <w:r w:rsidRPr="00CE5DD3">
        <w:rPr>
          <w:rFonts w:ascii="Times New Roman" w:eastAsiaTheme="minorEastAsia" w:hAnsi="Times New Roman" w:cs="Times New Roman"/>
          <w:i/>
        </w:rPr>
        <w:t>t</w:t>
      </w:r>
      <w:r>
        <w:rPr>
          <w:rFonts w:ascii="Times New Roman" w:eastAsiaTheme="minorEastAsia" w:hAnsi="Times New Roman" w:cs="Times New Roman"/>
        </w:rPr>
        <w:t>,</w:t>
      </w:r>
      <w:r>
        <w:rPr>
          <w:rFonts w:ascii="Times New Roman" w:eastAsiaTheme="minorEastAsia" w:hAnsi="Times New Roman" w:cs="Times New Roman"/>
          <w:lang w:val="mk-MK"/>
        </w:rPr>
        <w:t xml:space="preserve"> а</w:t>
      </w:r>
      <w:r>
        <w:rPr>
          <w:rFonts w:ascii="Times New Roman" w:eastAsiaTheme="minorEastAsia" w:hAnsi="Times New Roman" w:cs="Times New Roman"/>
        </w:rPr>
        <w:t xml:space="preserve"> </w:t>
      </w:r>
      <w:r w:rsidRPr="00CE5DD3">
        <w:rPr>
          <w:rFonts w:ascii="Times New Roman" w:eastAsiaTheme="minorEastAsia" w:hAnsi="Times New Roman" w:cs="Times New Roman"/>
          <w:i/>
        </w:rPr>
        <w:t>i</w:t>
      </w:r>
      <w:r w:rsidRPr="00CE5DD3">
        <w:rPr>
          <w:rFonts w:ascii="Times New Roman" w:eastAsiaTheme="minorEastAsia" w:hAnsi="Times New Roman" w:cs="Times New Roman"/>
          <w:i/>
          <w:vertAlign w:val="subscript"/>
        </w:rPr>
        <w:t>t</w:t>
      </w:r>
      <w:r w:rsidRPr="00CE5DD3">
        <w:rPr>
          <w:rFonts w:ascii="Times New Roman" w:eastAsiaTheme="minorEastAsia" w:hAnsi="Times New Roman" w:cs="Times New Roman"/>
          <w:i/>
        </w:rPr>
        <w:t xml:space="preserve"> </w:t>
      </w:r>
      <w:r>
        <w:rPr>
          <w:rFonts w:ascii="Times New Roman" w:eastAsiaTheme="minorEastAsia" w:hAnsi="Times New Roman" w:cs="Times New Roman"/>
          <w:lang w:val="mk-MK"/>
        </w:rPr>
        <w:t>е вредноста на индексот</w:t>
      </w:r>
      <w:r>
        <w:rPr>
          <w:rFonts w:ascii="Times New Roman" w:eastAsiaTheme="minorEastAsia" w:hAnsi="Times New Roman" w:cs="Times New Roman"/>
        </w:rPr>
        <w:t xml:space="preserve"> </w:t>
      </w:r>
      <w:r w:rsidRPr="00CE5DD3">
        <w:rPr>
          <w:rFonts w:ascii="Times New Roman" w:eastAsiaTheme="minorEastAsia" w:hAnsi="Times New Roman" w:cs="Times New Roman"/>
          <w:i/>
        </w:rPr>
        <w:t>i</w:t>
      </w:r>
      <w:r>
        <w:rPr>
          <w:rFonts w:ascii="Times New Roman" w:eastAsiaTheme="minorEastAsia" w:hAnsi="Times New Roman" w:cs="Times New Roman"/>
        </w:rPr>
        <w:t xml:space="preserve"> </w:t>
      </w:r>
      <w:r>
        <w:rPr>
          <w:rFonts w:ascii="Times New Roman" w:eastAsiaTheme="minorEastAsia" w:hAnsi="Times New Roman" w:cs="Times New Roman"/>
          <w:lang w:val="mk-MK"/>
        </w:rPr>
        <w:t>во</w:t>
      </w:r>
      <w:r>
        <w:rPr>
          <w:rFonts w:ascii="Times New Roman" w:eastAsiaTheme="minorEastAsia" w:hAnsi="Times New Roman" w:cs="Times New Roman"/>
        </w:rPr>
        <w:t xml:space="preserve"> </w:t>
      </w:r>
      <w:r>
        <w:rPr>
          <w:rFonts w:ascii="Times New Roman" w:eastAsiaTheme="minorEastAsia" w:hAnsi="Times New Roman" w:cs="Times New Roman"/>
          <w:lang w:val="mk-MK"/>
        </w:rPr>
        <w:t>период</w:t>
      </w:r>
      <w:r>
        <w:rPr>
          <w:rFonts w:ascii="Times New Roman" w:eastAsiaTheme="minorEastAsia" w:hAnsi="Times New Roman" w:cs="Times New Roman"/>
        </w:rPr>
        <w:t xml:space="preserve"> </w:t>
      </w:r>
      <w:r w:rsidRPr="00CE5DD3">
        <w:rPr>
          <w:rFonts w:ascii="Times New Roman" w:eastAsiaTheme="minorEastAsia" w:hAnsi="Times New Roman" w:cs="Times New Roman"/>
          <w:i/>
        </w:rPr>
        <w:t>t</w:t>
      </w:r>
      <w:r>
        <w:rPr>
          <w:rFonts w:ascii="Times New Roman" w:eastAsiaTheme="minorEastAsia" w:hAnsi="Times New Roman" w:cs="Times New Roman"/>
        </w:rPr>
        <w:t>.</w:t>
      </w:r>
    </w:p>
    <w:p w:rsidR="00DB75A6" w:rsidRDefault="00DB75A6" w:rsidP="005B46A8">
      <w:pPr>
        <w:spacing w:after="0" w:line="240" w:lineRule="auto"/>
        <w:jc w:val="both"/>
        <w:rPr>
          <w:rFonts w:ascii="Times New Roman" w:eastAsiaTheme="minorEastAsia" w:hAnsi="Times New Roman" w:cs="Times New Roman"/>
          <w:lang w:val="mk-MK"/>
        </w:rPr>
      </w:pPr>
      <w:r>
        <w:rPr>
          <w:rFonts w:ascii="Times New Roman" w:eastAsiaTheme="minorEastAsia" w:hAnsi="Times New Roman" w:cs="Times New Roman"/>
          <w:lang w:val="mk-MK"/>
        </w:rPr>
        <w:tab/>
        <w:t xml:space="preserve">Бидејќи оваа пресметка настојува да утврди дали помеѓу вклучените варијабли постои одредена поврзаност со одреден број периоди </w:t>
      </w:r>
      <w:r w:rsidR="00423751">
        <w:rPr>
          <w:rFonts w:ascii="Times New Roman" w:eastAsiaTheme="minorEastAsia" w:hAnsi="Times New Roman" w:cs="Times New Roman"/>
          <w:lang w:val="mk-MK"/>
        </w:rPr>
        <w:t xml:space="preserve">на </w:t>
      </w:r>
      <w:r>
        <w:rPr>
          <w:rFonts w:ascii="Times New Roman" w:eastAsiaTheme="minorEastAsia" w:hAnsi="Times New Roman" w:cs="Times New Roman"/>
          <w:lang w:val="mk-MK"/>
        </w:rPr>
        <w:t xml:space="preserve">заостанување, потребно е да го пресметаме оптималниот број периоди на заостанување. Тоа ќе го сториме со примена на критериумите за должина на заостанувањето во програмата </w:t>
      </w:r>
      <w:r>
        <w:rPr>
          <w:rFonts w:ascii="Times New Roman" w:eastAsiaTheme="minorEastAsia" w:hAnsi="Times New Roman" w:cs="Times New Roman"/>
        </w:rPr>
        <w:t>EViews.</w:t>
      </w:r>
      <w:r w:rsidR="00423751">
        <w:rPr>
          <w:rFonts w:ascii="Times New Roman" w:eastAsiaTheme="minorEastAsia" w:hAnsi="Times New Roman" w:cs="Times New Roman"/>
        </w:rPr>
        <w:t xml:space="preserve"> </w:t>
      </w:r>
      <w:r w:rsidR="00423751">
        <w:rPr>
          <w:rFonts w:ascii="Times New Roman" w:eastAsiaTheme="minorEastAsia" w:hAnsi="Times New Roman" w:cs="Times New Roman"/>
          <w:lang w:val="mk-MK"/>
        </w:rPr>
        <w:t xml:space="preserve">Резултатите од оваа пресметка се дадени во табелата 2. </w:t>
      </w:r>
    </w:p>
    <w:p w:rsidR="00423751" w:rsidRDefault="00423751" w:rsidP="005B46A8">
      <w:pPr>
        <w:spacing w:after="0" w:line="240" w:lineRule="auto"/>
        <w:jc w:val="both"/>
        <w:rPr>
          <w:rFonts w:ascii="Times New Roman" w:eastAsiaTheme="minorEastAsia" w:hAnsi="Times New Roman" w:cs="Times New Roman"/>
          <w:lang w:val="mk-MK"/>
        </w:rPr>
      </w:pPr>
    </w:p>
    <w:p w:rsidR="00423751" w:rsidRPr="00E53CC8" w:rsidRDefault="00423751" w:rsidP="005B46A8">
      <w:pPr>
        <w:spacing w:after="0" w:line="240" w:lineRule="auto"/>
        <w:jc w:val="both"/>
        <w:rPr>
          <w:rFonts w:ascii="Times New Roman" w:eastAsiaTheme="minorEastAsia" w:hAnsi="Times New Roman" w:cs="Times New Roman"/>
          <w:i/>
          <w:sz w:val="22"/>
          <w:lang w:val="mk-MK"/>
        </w:rPr>
      </w:pPr>
      <w:r w:rsidRPr="00E53CC8">
        <w:rPr>
          <w:rFonts w:ascii="Times New Roman" w:eastAsiaTheme="minorEastAsia" w:hAnsi="Times New Roman" w:cs="Times New Roman"/>
          <w:i/>
          <w:sz w:val="22"/>
          <w:lang w:val="mk-MK"/>
        </w:rPr>
        <w:t xml:space="preserve">Табела 2 </w:t>
      </w:r>
      <w:r w:rsidRPr="00E53CC8">
        <w:rPr>
          <w:rFonts w:ascii="Times New Roman" w:eastAsiaTheme="minorEastAsia" w:hAnsi="Times New Roman" w:cs="Times New Roman"/>
          <w:i/>
          <w:sz w:val="22"/>
          <w:lang w:val="mk-MK"/>
        </w:rPr>
        <w:tab/>
        <w:t>Критериуми за одредување на оптималниот период на доцнење</w:t>
      </w:r>
    </w:p>
    <w:p w:rsidR="00423751" w:rsidRDefault="00423751" w:rsidP="00423751">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862"/>
        <w:gridCol w:w="1313"/>
        <w:gridCol w:w="1312"/>
        <w:gridCol w:w="1313"/>
        <w:gridCol w:w="1312"/>
        <w:gridCol w:w="1313"/>
        <w:gridCol w:w="1312"/>
      </w:tblGrid>
      <w:tr w:rsidR="00423751" w:rsidTr="00DE4801">
        <w:trPr>
          <w:trHeight w:hRule="exact" w:val="90"/>
        </w:trPr>
        <w:tc>
          <w:tcPr>
            <w:tcW w:w="862"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single" w:sz="4" w:space="0" w:color="auto"/>
              <w:right w:val="nil"/>
            </w:tcBorders>
            <w:vAlign w:val="bottom"/>
          </w:tcPr>
          <w:p w:rsidR="00423751" w:rsidRDefault="00423751">
            <w:pPr>
              <w:autoSpaceDE w:val="0"/>
              <w:autoSpaceDN w:val="0"/>
              <w:adjustRightInd w:val="0"/>
              <w:spacing w:after="0" w:line="240" w:lineRule="auto"/>
              <w:jc w:val="center"/>
              <w:rPr>
                <w:rFonts w:ascii="Arial" w:hAnsi="Arial" w:cs="Arial"/>
                <w:color w:val="000000"/>
                <w:sz w:val="18"/>
                <w:szCs w:val="18"/>
              </w:rPr>
            </w:pP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rsidP="00DE4801">
            <w:pPr>
              <w:autoSpaceDE w:val="0"/>
              <w:autoSpaceDN w:val="0"/>
              <w:adjustRightInd w:val="0"/>
              <w:spacing w:after="0" w:line="240" w:lineRule="auto"/>
              <w:jc w:val="center"/>
              <w:rPr>
                <w:rFonts w:ascii="Times New Roman" w:hAnsi="Times New Roman" w:cs="Times New Roman"/>
                <w:color w:val="000000"/>
                <w:sz w:val="22"/>
                <w:lang w:val="mk-MK"/>
              </w:rPr>
            </w:pPr>
            <w:r w:rsidRPr="00D85479">
              <w:rPr>
                <w:rFonts w:ascii="Times New Roman" w:hAnsi="Times New Roman" w:cs="Times New Roman"/>
                <w:color w:val="000000"/>
                <w:sz w:val="22"/>
              </w:rPr>
              <w:t> </w:t>
            </w:r>
            <w:r w:rsidR="00DE4801" w:rsidRPr="00D85479">
              <w:rPr>
                <w:rFonts w:ascii="Times New Roman" w:hAnsi="Times New Roman" w:cs="Times New Roman"/>
                <w:color w:val="000000"/>
                <w:sz w:val="22"/>
                <w:lang w:val="mk-MK"/>
              </w:rPr>
              <w:t>Број на периоди</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LogL</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LR</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FPE</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AIC</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SC</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HQ</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0</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5640</w:t>
            </w:r>
            <w:r w:rsidR="00D85479">
              <w:rPr>
                <w:rFonts w:ascii="Times New Roman" w:hAnsi="Times New Roman" w:cs="Times New Roman"/>
                <w:color w:val="000000"/>
                <w:sz w:val="22"/>
              </w:rPr>
              <w:t>,</w:t>
            </w:r>
            <w:r w:rsidRPr="00D85479">
              <w:rPr>
                <w:rFonts w:ascii="Times New Roman" w:hAnsi="Times New Roman" w:cs="Times New Roman"/>
                <w:color w:val="000000"/>
                <w:sz w:val="22"/>
              </w:rPr>
              <w:t>505</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NA </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3</w:t>
            </w:r>
            <w:r w:rsidR="00D85479">
              <w:rPr>
                <w:rFonts w:ascii="Times New Roman" w:hAnsi="Times New Roman" w:cs="Times New Roman"/>
                <w:color w:val="000000"/>
                <w:sz w:val="22"/>
              </w:rPr>
              <w:t>,</w:t>
            </w:r>
            <w:r w:rsidRPr="00D85479">
              <w:rPr>
                <w:rFonts w:ascii="Times New Roman" w:hAnsi="Times New Roman" w:cs="Times New Roman"/>
                <w:color w:val="000000"/>
                <w:sz w:val="22"/>
              </w:rPr>
              <w:t>40e-16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42778</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b/>
                <w:color w:val="000000"/>
                <w:sz w:val="22"/>
              </w:rPr>
            </w:pPr>
            <w:r w:rsidRPr="00D85479">
              <w:rPr>
                <w:rFonts w:ascii="Times New Roman" w:hAnsi="Times New Roman" w:cs="Times New Roman"/>
                <w:b/>
                <w:color w:val="000000"/>
                <w:sz w:val="22"/>
              </w:rPr>
              <w:t> -21</w:t>
            </w:r>
            <w:r w:rsidR="00D85479" w:rsidRPr="00D85479">
              <w:rPr>
                <w:rFonts w:ascii="Times New Roman" w:hAnsi="Times New Roman" w:cs="Times New Roman"/>
                <w:b/>
                <w:color w:val="000000"/>
                <w:sz w:val="22"/>
              </w:rPr>
              <w:t>,</w:t>
            </w:r>
            <w:r w:rsidRPr="00D85479">
              <w:rPr>
                <w:rFonts w:ascii="Times New Roman" w:hAnsi="Times New Roman" w:cs="Times New Roman"/>
                <w:b/>
                <w:color w:val="000000"/>
                <w:sz w:val="22"/>
              </w:rPr>
              <w:t>38723*</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41190</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1</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5686</w:t>
            </w:r>
            <w:r w:rsidR="00D85479">
              <w:rPr>
                <w:rFonts w:ascii="Times New Roman" w:hAnsi="Times New Roman" w:cs="Times New Roman"/>
                <w:color w:val="000000"/>
                <w:sz w:val="22"/>
              </w:rPr>
              <w:t>,</w:t>
            </w:r>
            <w:r w:rsidRPr="00D85479">
              <w:rPr>
                <w:rFonts w:ascii="Times New Roman" w:hAnsi="Times New Roman" w:cs="Times New Roman"/>
                <w:color w:val="000000"/>
                <w:sz w:val="22"/>
              </w:rPr>
              <w:t>778</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91</w:t>
            </w:r>
            <w:r w:rsidR="00D85479">
              <w:rPr>
                <w:rFonts w:ascii="Times New Roman" w:hAnsi="Times New Roman" w:cs="Times New Roman"/>
                <w:color w:val="000000"/>
                <w:sz w:val="22"/>
              </w:rPr>
              <w:t>,</w:t>
            </w:r>
            <w:r w:rsidRPr="00D85479">
              <w:rPr>
                <w:rFonts w:ascii="Times New Roman" w:hAnsi="Times New Roman" w:cs="Times New Roman"/>
                <w:color w:val="000000"/>
                <w:sz w:val="22"/>
              </w:rPr>
              <w:t>48990</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3</w:t>
            </w:r>
            <w:r w:rsidR="00D85479">
              <w:rPr>
                <w:rFonts w:ascii="Times New Roman" w:hAnsi="Times New Roman" w:cs="Times New Roman"/>
                <w:color w:val="000000"/>
                <w:sz w:val="22"/>
              </w:rPr>
              <w:t>,</w:t>
            </w:r>
            <w:r w:rsidRPr="00D85479">
              <w:rPr>
                <w:rFonts w:ascii="Times New Roman" w:hAnsi="Times New Roman" w:cs="Times New Roman"/>
                <w:color w:val="000000"/>
                <w:sz w:val="22"/>
              </w:rPr>
              <w:t>14e-16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50866</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26539</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41341</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5730</w:t>
            </w:r>
            <w:r w:rsidR="00D85479">
              <w:rPr>
                <w:rFonts w:ascii="Times New Roman" w:hAnsi="Times New Roman" w:cs="Times New Roman"/>
                <w:color w:val="000000"/>
                <w:sz w:val="22"/>
              </w:rPr>
              <w:t>,</w:t>
            </w:r>
            <w:r w:rsidRPr="00D85479">
              <w:rPr>
                <w:rFonts w:ascii="Times New Roman" w:hAnsi="Times New Roman" w:cs="Times New Roman"/>
                <w:color w:val="000000"/>
                <w:sz w:val="22"/>
              </w:rPr>
              <w:t>506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85</w:t>
            </w:r>
            <w:r w:rsidR="00D85479">
              <w:rPr>
                <w:rFonts w:ascii="Times New Roman" w:hAnsi="Times New Roman" w:cs="Times New Roman"/>
                <w:color w:val="000000"/>
                <w:sz w:val="22"/>
              </w:rPr>
              <w:t>,</w:t>
            </w:r>
            <w:r w:rsidRPr="00D85479">
              <w:rPr>
                <w:rFonts w:ascii="Times New Roman" w:hAnsi="Times New Roman" w:cs="Times New Roman"/>
                <w:color w:val="000000"/>
                <w:sz w:val="22"/>
              </w:rPr>
              <w:t>62682</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92e-16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57987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13388</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40524</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3</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5781</w:t>
            </w:r>
            <w:r w:rsidR="00D85479">
              <w:rPr>
                <w:rFonts w:ascii="Times New Roman" w:hAnsi="Times New Roman" w:cs="Times New Roman"/>
                <w:color w:val="000000"/>
                <w:sz w:val="22"/>
              </w:rPr>
              <w:t>,</w:t>
            </w:r>
            <w:r w:rsidRPr="00D85479">
              <w:rPr>
                <w:rFonts w:ascii="Times New Roman" w:hAnsi="Times New Roman" w:cs="Times New Roman"/>
                <w:color w:val="000000"/>
                <w:sz w:val="22"/>
              </w:rPr>
              <w:t>767</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99</w:t>
            </w:r>
            <w:r w:rsidR="00D85479">
              <w:rPr>
                <w:rFonts w:ascii="Times New Roman" w:hAnsi="Times New Roman" w:cs="Times New Roman"/>
                <w:color w:val="000000"/>
                <w:sz w:val="22"/>
              </w:rPr>
              <w:t>,</w:t>
            </w:r>
            <w:r w:rsidRPr="00D85479">
              <w:rPr>
                <w:rFonts w:ascii="Times New Roman" w:hAnsi="Times New Roman" w:cs="Times New Roman"/>
                <w:color w:val="000000"/>
                <w:sz w:val="22"/>
              </w:rPr>
              <w:t>40330</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b/>
                <w:color w:val="000000"/>
                <w:sz w:val="22"/>
              </w:rPr>
            </w:pPr>
            <w:r w:rsidRPr="00D85479">
              <w:rPr>
                <w:rFonts w:ascii="Times New Roman" w:hAnsi="Times New Roman" w:cs="Times New Roman"/>
                <w:b/>
                <w:color w:val="000000"/>
                <w:sz w:val="22"/>
              </w:rPr>
              <w:t>  2</w:t>
            </w:r>
            <w:r w:rsidR="00D85479" w:rsidRPr="00D85479">
              <w:rPr>
                <w:rFonts w:ascii="Times New Roman" w:hAnsi="Times New Roman" w:cs="Times New Roman"/>
                <w:b/>
                <w:color w:val="000000"/>
                <w:sz w:val="22"/>
              </w:rPr>
              <w:t>,</w:t>
            </w:r>
            <w:r w:rsidRPr="00D85479">
              <w:rPr>
                <w:rFonts w:ascii="Times New Roman" w:hAnsi="Times New Roman" w:cs="Times New Roman"/>
                <w:b/>
                <w:color w:val="000000"/>
                <w:sz w:val="22"/>
              </w:rPr>
              <w:t>64e-16*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b/>
                <w:color w:val="000000"/>
                <w:sz w:val="22"/>
              </w:rPr>
            </w:pPr>
            <w:r w:rsidRPr="00D85479">
              <w:rPr>
                <w:rFonts w:ascii="Times New Roman" w:hAnsi="Times New Roman" w:cs="Times New Roman"/>
                <w:b/>
                <w:color w:val="000000"/>
                <w:sz w:val="22"/>
              </w:rPr>
              <w:t> -21</w:t>
            </w:r>
            <w:r w:rsidR="00D85479" w:rsidRPr="00D85479">
              <w:rPr>
                <w:rFonts w:ascii="Times New Roman" w:hAnsi="Times New Roman" w:cs="Times New Roman"/>
                <w:b/>
                <w:color w:val="000000"/>
                <w:sz w:val="22"/>
              </w:rPr>
              <w:t>,</w:t>
            </w:r>
            <w:r w:rsidRPr="00D85479">
              <w:rPr>
                <w:rFonts w:ascii="Times New Roman" w:hAnsi="Times New Roman" w:cs="Times New Roman"/>
                <w:b/>
                <w:color w:val="000000"/>
                <w:sz w:val="22"/>
              </w:rPr>
              <w:t>67972*</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03101</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b/>
                <w:color w:val="000000"/>
                <w:sz w:val="22"/>
              </w:rPr>
            </w:pPr>
            <w:r w:rsidRPr="00D85479">
              <w:rPr>
                <w:rFonts w:ascii="Times New Roman" w:hAnsi="Times New Roman" w:cs="Times New Roman"/>
                <w:color w:val="000000"/>
                <w:sz w:val="22"/>
              </w:rPr>
              <w:t> </w:t>
            </w:r>
            <w:r w:rsidRPr="00D85479">
              <w:rPr>
                <w:rFonts w:ascii="Times New Roman" w:hAnsi="Times New Roman" w:cs="Times New Roman"/>
                <w:b/>
                <w:color w:val="000000"/>
                <w:sz w:val="22"/>
              </w:rPr>
              <w:t>-21</w:t>
            </w:r>
            <w:r w:rsidR="00D85479" w:rsidRPr="00D85479">
              <w:rPr>
                <w:rFonts w:ascii="Times New Roman" w:hAnsi="Times New Roman" w:cs="Times New Roman"/>
                <w:b/>
                <w:color w:val="000000"/>
                <w:sz w:val="22"/>
              </w:rPr>
              <w:t>,</w:t>
            </w:r>
            <w:r w:rsidRPr="00D85479">
              <w:rPr>
                <w:rFonts w:ascii="Times New Roman" w:hAnsi="Times New Roman" w:cs="Times New Roman"/>
                <w:b/>
                <w:color w:val="000000"/>
                <w:sz w:val="22"/>
              </w:rPr>
              <w:t>42572*</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4</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5803</w:t>
            </w:r>
            <w:r w:rsidR="00D85479">
              <w:rPr>
                <w:rFonts w:ascii="Times New Roman" w:hAnsi="Times New Roman" w:cs="Times New Roman"/>
                <w:color w:val="000000"/>
                <w:sz w:val="22"/>
              </w:rPr>
              <w:t>,</w:t>
            </w:r>
            <w:r w:rsidRPr="00D85479">
              <w:rPr>
                <w:rFonts w:ascii="Times New Roman" w:hAnsi="Times New Roman" w:cs="Times New Roman"/>
                <w:color w:val="000000"/>
                <w:sz w:val="22"/>
              </w:rPr>
              <w:t>433</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41</w:t>
            </w:r>
            <w:r w:rsidR="00D85479">
              <w:rPr>
                <w:rFonts w:ascii="Times New Roman" w:hAnsi="Times New Roman" w:cs="Times New Roman"/>
                <w:color w:val="000000"/>
                <w:sz w:val="22"/>
              </w:rPr>
              <w:t>,</w:t>
            </w:r>
            <w:r w:rsidRPr="00D85479">
              <w:rPr>
                <w:rFonts w:ascii="Times New Roman" w:hAnsi="Times New Roman" w:cs="Times New Roman"/>
                <w:color w:val="000000"/>
                <w:sz w:val="22"/>
              </w:rPr>
              <w:t>60344</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68e-16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66705</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-20</w:t>
            </w:r>
            <w:r w:rsidR="00D85479">
              <w:rPr>
                <w:rFonts w:ascii="Times New Roman" w:hAnsi="Times New Roman" w:cs="Times New Roman"/>
                <w:color w:val="000000"/>
                <w:sz w:val="22"/>
              </w:rPr>
              <w:t>,</w:t>
            </w:r>
            <w:r w:rsidRPr="00D85479">
              <w:rPr>
                <w:rFonts w:ascii="Times New Roman" w:hAnsi="Times New Roman" w:cs="Times New Roman"/>
                <w:color w:val="000000"/>
                <w:sz w:val="22"/>
              </w:rPr>
              <w:t>81561</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33367</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5</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5825</w:t>
            </w:r>
            <w:r w:rsidR="00D85479">
              <w:rPr>
                <w:rFonts w:ascii="Times New Roman" w:hAnsi="Times New Roman" w:cs="Times New Roman"/>
                <w:color w:val="000000"/>
                <w:sz w:val="22"/>
              </w:rPr>
              <w:t>,</w:t>
            </w:r>
            <w:r w:rsidRPr="00D85479">
              <w:rPr>
                <w:rFonts w:ascii="Times New Roman" w:hAnsi="Times New Roman" w:cs="Times New Roman"/>
                <w:color w:val="000000"/>
                <w:sz w:val="22"/>
              </w:rPr>
              <w:t>417</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41</w:t>
            </w:r>
            <w:r w:rsidR="00D85479">
              <w:rPr>
                <w:rFonts w:ascii="Times New Roman" w:hAnsi="Times New Roman" w:cs="Times New Roman"/>
                <w:color w:val="000000"/>
                <w:sz w:val="22"/>
              </w:rPr>
              <w:t>,</w:t>
            </w:r>
            <w:r w:rsidRPr="00D85479">
              <w:rPr>
                <w:rFonts w:ascii="Times New Roman" w:hAnsi="Times New Roman" w:cs="Times New Roman"/>
                <w:color w:val="000000"/>
                <w:sz w:val="22"/>
              </w:rPr>
              <w:t>79447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71e-16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65558</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-20</w:t>
            </w:r>
            <w:r w:rsidR="00D85479">
              <w:rPr>
                <w:rFonts w:ascii="Times New Roman" w:hAnsi="Times New Roman" w:cs="Times New Roman"/>
                <w:color w:val="000000"/>
                <w:sz w:val="22"/>
              </w:rPr>
              <w:t>,</w:t>
            </w:r>
            <w:r w:rsidRPr="00D85479">
              <w:rPr>
                <w:rFonts w:ascii="Times New Roman" w:hAnsi="Times New Roman" w:cs="Times New Roman"/>
                <w:color w:val="000000"/>
                <w:sz w:val="22"/>
              </w:rPr>
              <w:t>60142</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24283</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6</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5847</w:t>
            </w:r>
            <w:r w:rsidR="00D85479">
              <w:rPr>
                <w:rFonts w:ascii="Times New Roman" w:hAnsi="Times New Roman" w:cs="Times New Roman"/>
                <w:color w:val="000000"/>
                <w:sz w:val="22"/>
              </w:rPr>
              <w:t>,</w:t>
            </w:r>
            <w:r w:rsidRPr="00D85479">
              <w:rPr>
                <w:rFonts w:ascii="Times New Roman" w:hAnsi="Times New Roman" w:cs="Times New Roman"/>
                <w:color w:val="000000"/>
                <w:sz w:val="22"/>
              </w:rPr>
              <w:t>295</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41</w:t>
            </w:r>
            <w:r w:rsidR="00D85479">
              <w:rPr>
                <w:rFonts w:ascii="Times New Roman" w:hAnsi="Times New Roman" w:cs="Times New Roman"/>
                <w:color w:val="000000"/>
                <w:sz w:val="22"/>
              </w:rPr>
              <w:t>,</w:t>
            </w:r>
            <w:r w:rsidRPr="00D85479">
              <w:rPr>
                <w:rFonts w:ascii="Times New Roman" w:hAnsi="Times New Roman" w:cs="Times New Roman"/>
                <w:color w:val="000000"/>
                <w:sz w:val="22"/>
              </w:rPr>
              <w:t>17783</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74e-16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64371</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-20</w:t>
            </w:r>
            <w:r w:rsidR="00D85479">
              <w:rPr>
                <w:rFonts w:ascii="Times New Roman" w:hAnsi="Times New Roman" w:cs="Times New Roman"/>
                <w:color w:val="000000"/>
                <w:sz w:val="22"/>
              </w:rPr>
              <w:t>,</w:t>
            </w:r>
            <w:r w:rsidRPr="00D85479">
              <w:rPr>
                <w:rFonts w:ascii="Times New Roman" w:hAnsi="Times New Roman" w:cs="Times New Roman"/>
                <w:color w:val="000000"/>
                <w:sz w:val="22"/>
              </w:rPr>
              <w:t>38682</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15158</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5870</w:t>
            </w:r>
            <w:r w:rsidR="00D85479">
              <w:rPr>
                <w:rFonts w:ascii="Times New Roman" w:hAnsi="Times New Roman" w:cs="Times New Roman"/>
                <w:color w:val="000000"/>
                <w:sz w:val="22"/>
              </w:rPr>
              <w:t>,</w:t>
            </w:r>
            <w:r w:rsidRPr="00D85479">
              <w:rPr>
                <w:rFonts w:ascii="Times New Roman" w:hAnsi="Times New Roman" w:cs="Times New Roman"/>
                <w:color w:val="000000"/>
                <w:sz w:val="22"/>
              </w:rPr>
              <w:t>496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b/>
                <w:color w:val="000000"/>
                <w:sz w:val="22"/>
              </w:rPr>
            </w:pPr>
            <w:r w:rsidRPr="00D85479">
              <w:rPr>
                <w:rFonts w:ascii="Times New Roman" w:hAnsi="Times New Roman" w:cs="Times New Roman"/>
                <w:color w:val="000000"/>
                <w:sz w:val="22"/>
              </w:rPr>
              <w:t>  </w:t>
            </w:r>
            <w:r w:rsidRPr="00D85479">
              <w:rPr>
                <w:rFonts w:ascii="Times New Roman" w:hAnsi="Times New Roman" w:cs="Times New Roman"/>
                <w:b/>
                <w:color w:val="000000"/>
                <w:sz w:val="22"/>
              </w:rPr>
              <w:t>43</w:t>
            </w:r>
            <w:r w:rsidR="00D85479" w:rsidRPr="00D85479">
              <w:rPr>
                <w:rFonts w:ascii="Times New Roman" w:hAnsi="Times New Roman" w:cs="Times New Roman"/>
                <w:b/>
                <w:color w:val="000000"/>
                <w:sz w:val="22"/>
              </w:rPr>
              <w:t>,</w:t>
            </w:r>
            <w:r w:rsidRPr="00D85479">
              <w:rPr>
                <w:rFonts w:ascii="Times New Roman" w:hAnsi="Times New Roman" w:cs="Times New Roman"/>
                <w:b/>
                <w:color w:val="000000"/>
                <w:sz w:val="22"/>
              </w:rPr>
              <w:t>22442*</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76e-16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63687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-20</w:t>
            </w:r>
            <w:r w:rsidR="00D85479">
              <w:rPr>
                <w:rFonts w:ascii="Times New Roman" w:hAnsi="Times New Roman" w:cs="Times New Roman"/>
                <w:color w:val="000000"/>
                <w:sz w:val="22"/>
              </w:rPr>
              <w:t>,</w:t>
            </w:r>
            <w:r w:rsidRPr="00D85479">
              <w:rPr>
                <w:rFonts w:ascii="Times New Roman" w:hAnsi="Times New Roman" w:cs="Times New Roman"/>
                <w:color w:val="000000"/>
                <w:sz w:val="22"/>
              </w:rPr>
              <w:t>17726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06536</w:t>
            </w:r>
          </w:p>
        </w:tc>
      </w:tr>
      <w:tr w:rsidR="00423751" w:rsidTr="00DE4801">
        <w:trPr>
          <w:trHeight w:val="225"/>
        </w:trPr>
        <w:tc>
          <w:tcPr>
            <w:tcW w:w="86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lastRenderedPageBreak/>
              <w:t>8</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5889</w:t>
            </w:r>
            <w:r w:rsidR="00D85479">
              <w:rPr>
                <w:rFonts w:ascii="Times New Roman" w:hAnsi="Times New Roman" w:cs="Times New Roman"/>
                <w:color w:val="000000"/>
                <w:sz w:val="22"/>
              </w:rPr>
              <w:t>,</w:t>
            </w:r>
            <w:r w:rsidRPr="00D85479">
              <w:rPr>
                <w:rFonts w:ascii="Times New Roman" w:hAnsi="Times New Roman" w:cs="Times New Roman"/>
                <w:color w:val="000000"/>
                <w:sz w:val="22"/>
              </w:rPr>
              <w:t>973</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35</w:t>
            </w:r>
            <w:r w:rsidR="00D85479">
              <w:rPr>
                <w:rFonts w:ascii="Times New Roman" w:hAnsi="Times New Roman" w:cs="Times New Roman"/>
                <w:color w:val="000000"/>
                <w:sz w:val="22"/>
              </w:rPr>
              <w:t>,</w:t>
            </w:r>
            <w:r w:rsidRPr="00D85479">
              <w:rPr>
                <w:rFonts w:ascii="Times New Roman" w:hAnsi="Times New Roman" w:cs="Times New Roman"/>
                <w:color w:val="000000"/>
                <w:sz w:val="22"/>
              </w:rPr>
              <w:t>91847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 2</w:t>
            </w:r>
            <w:r w:rsidR="00D85479">
              <w:rPr>
                <w:rFonts w:ascii="Times New Roman" w:hAnsi="Times New Roman" w:cs="Times New Roman"/>
                <w:color w:val="000000"/>
                <w:sz w:val="22"/>
              </w:rPr>
              <w:t>,</w:t>
            </w:r>
            <w:r w:rsidRPr="00D85479">
              <w:rPr>
                <w:rFonts w:ascii="Times New Roman" w:hAnsi="Times New Roman" w:cs="Times New Roman"/>
                <w:color w:val="000000"/>
                <w:sz w:val="22"/>
              </w:rPr>
              <w:t>82e-16</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-21</w:t>
            </w:r>
            <w:r w:rsidR="00D85479">
              <w:rPr>
                <w:rFonts w:ascii="Times New Roman" w:hAnsi="Times New Roman" w:cs="Times New Roman"/>
                <w:color w:val="000000"/>
                <w:sz w:val="22"/>
              </w:rPr>
              <w:t>,</w:t>
            </w:r>
            <w:r w:rsidRPr="00D85479">
              <w:rPr>
                <w:rFonts w:ascii="Times New Roman" w:hAnsi="Times New Roman" w:cs="Times New Roman"/>
                <w:color w:val="000000"/>
                <w:sz w:val="22"/>
              </w:rPr>
              <w:t>61587</w:t>
            </w:r>
          </w:p>
        </w:tc>
        <w:tc>
          <w:tcPr>
            <w:tcW w:w="1313"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-19</w:t>
            </w:r>
            <w:r w:rsidR="00D85479">
              <w:rPr>
                <w:rFonts w:ascii="Times New Roman" w:hAnsi="Times New Roman" w:cs="Times New Roman"/>
                <w:color w:val="000000"/>
                <w:sz w:val="22"/>
              </w:rPr>
              <w:t>,</w:t>
            </w:r>
            <w:r w:rsidRPr="00D85479">
              <w:rPr>
                <w:rFonts w:ascii="Times New Roman" w:hAnsi="Times New Roman" w:cs="Times New Roman"/>
                <w:color w:val="000000"/>
                <w:sz w:val="22"/>
              </w:rPr>
              <w:t>95353</w:t>
            </w:r>
          </w:p>
        </w:tc>
        <w:tc>
          <w:tcPr>
            <w:tcW w:w="1312" w:type="dxa"/>
            <w:tcBorders>
              <w:top w:val="single" w:sz="4" w:space="0" w:color="auto"/>
              <w:left w:val="single" w:sz="4" w:space="0" w:color="auto"/>
              <w:bottom w:val="single" w:sz="4" w:space="0" w:color="auto"/>
              <w:right w:val="single" w:sz="4" w:space="0" w:color="auto"/>
            </w:tcBorders>
            <w:vAlign w:val="bottom"/>
          </w:tcPr>
          <w:p w:rsidR="00423751" w:rsidRPr="00D85479" w:rsidRDefault="00423751">
            <w:pPr>
              <w:autoSpaceDE w:val="0"/>
              <w:autoSpaceDN w:val="0"/>
              <w:adjustRightInd w:val="0"/>
              <w:spacing w:after="0" w:line="240" w:lineRule="auto"/>
              <w:jc w:val="center"/>
              <w:rPr>
                <w:rFonts w:ascii="Times New Roman" w:hAnsi="Times New Roman" w:cs="Times New Roman"/>
                <w:color w:val="000000"/>
                <w:sz w:val="22"/>
              </w:rPr>
            </w:pPr>
            <w:r w:rsidRPr="00D85479">
              <w:rPr>
                <w:rFonts w:ascii="Times New Roman" w:hAnsi="Times New Roman" w:cs="Times New Roman"/>
                <w:color w:val="000000"/>
                <w:sz w:val="22"/>
              </w:rPr>
              <w:t>-20</w:t>
            </w:r>
            <w:r w:rsidR="00D85479">
              <w:rPr>
                <w:rFonts w:ascii="Times New Roman" w:hAnsi="Times New Roman" w:cs="Times New Roman"/>
                <w:color w:val="000000"/>
                <w:sz w:val="22"/>
              </w:rPr>
              <w:t>,</w:t>
            </w:r>
            <w:r w:rsidRPr="00D85479">
              <w:rPr>
                <w:rFonts w:ascii="Times New Roman" w:hAnsi="Times New Roman" w:cs="Times New Roman"/>
                <w:color w:val="000000"/>
                <w:sz w:val="22"/>
              </w:rPr>
              <w:t>96499</w:t>
            </w:r>
          </w:p>
        </w:tc>
      </w:tr>
    </w:tbl>
    <w:p w:rsidR="00423751" w:rsidRDefault="00423751" w:rsidP="005B46A8">
      <w:pPr>
        <w:spacing w:after="0" w:line="240" w:lineRule="auto"/>
        <w:jc w:val="both"/>
        <w:rPr>
          <w:rFonts w:ascii="Times New Roman" w:hAnsi="Times New Roman" w:cs="Times New Roman"/>
          <w:lang w:val="mk-MK"/>
        </w:rPr>
      </w:pPr>
    </w:p>
    <w:p w:rsidR="00423751" w:rsidRDefault="00423751" w:rsidP="005B46A8">
      <w:pPr>
        <w:spacing w:after="0" w:line="240" w:lineRule="auto"/>
        <w:jc w:val="both"/>
        <w:rPr>
          <w:rFonts w:ascii="Times New Roman" w:hAnsi="Times New Roman" w:cs="Times New Roman"/>
        </w:rPr>
      </w:pPr>
      <w:r>
        <w:rPr>
          <w:rFonts w:ascii="Times New Roman" w:hAnsi="Times New Roman" w:cs="Times New Roman"/>
          <w:lang w:val="mk-MK"/>
        </w:rPr>
        <w:tab/>
        <w:t xml:space="preserve">Ѕвездичките покрај броевите означуваат оптимален број периоди според секој од критериумите. Очигледно е дека три од критериумите посочуваат дека оптимален број периоди е 3, додека критериумот на </w:t>
      </w:r>
      <w:r>
        <w:rPr>
          <w:rFonts w:ascii="Times New Roman" w:hAnsi="Times New Roman" w:cs="Times New Roman"/>
        </w:rPr>
        <w:t xml:space="preserve">Schwarz </w:t>
      </w:r>
      <w:r>
        <w:rPr>
          <w:rFonts w:ascii="Times New Roman" w:hAnsi="Times New Roman" w:cs="Times New Roman"/>
          <w:lang w:val="mk-MK"/>
        </w:rPr>
        <w:t xml:space="preserve">и </w:t>
      </w:r>
      <w:r>
        <w:rPr>
          <w:rFonts w:ascii="Times New Roman" w:hAnsi="Times New Roman" w:cs="Times New Roman"/>
        </w:rPr>
        <w:t>FPE</w:t>
      </w:r>
      <w:r>
        <w:rPr>
          <w:rFonts w:ascii="Times New Roman" w:hAnsi="Times New Roman" w:cs="Times New Roman"/>
          <w:lang w:val="mk-MK"/>
        </w:rPr>
        <w:t xml:space="preserve"> укажуваат на 0, односно 7 периоди. Овие два резултати ги сметаме за нелогични, така што нашата анализа ќе се заснова на примената на 3 недели како оптимален број периоди на </w:t>
      </w:r>
      <w:r w:rsidR="007D42CC">
        <w:rPr>
          <w:rFonts w:ascii="Times New Roman" w:hAnsi="Times New Roman" w:cs="Times New Roman"/>
          <w:lang w:val="mk-MK"/>
        </w:rPr>
        <w:t>доцнење</w:t>
      </w:r>
      <w:r>
        <w:rPr>
          <w:rFonts w:ascii="Times New Roman" w:hAnsi="Times New Roman" w:cs="Times New Roman"/>
          <w:lang w:val="mk-MK"/>
        </w:rPr>
        <w:t>.</w:t>
      </w:r>
    </w:p>
    <w:p w:rsidR="007D42CC" w:rsidRDefault="007D42CC" w:rsidP="005B46A8">
      <w:pPr>
        <w:spacing w:after="0" w:line="240" w:lineRule="auto"/>
        <w:jc w:val="both"/>
        <w:rPr>
          <w:rFonts w:ascii="Times New Roman" w:hAnsi="Times New Roman" w:cs="Times New Roman"/>
          <w:lang w:val="mk-MK"/>
        </w:rPr>
      </w:pPr>
    </w:p>
    <w:p w:rsidR="00D36EAA" w:rsidRPr="00E53CC8" w:rsidRDefault="007D42CC" w:rsidP="005B46A8">
      <w:pPr>
        <w:spacing w:after="0" w:line="240" w:lineRule="auto"/>
        <w:jc w:val="both"/>
        <w:rPr>
          <w:rFonts w:ascii="Times New Roman" w:hAnsi="Times New Roman" w:cs="Times New Roman"/>
          <w:i/>
          <w:sz w:val="22"/>
          <w:lang w:val="mk-MK"/>
        </w:rPr>
      </w:pPr>
      <w:r w:rsidRPr="00E53CC8">
        <w:rPr>
          <w:rFonts w:ascii="Times New Roman" w:hAnsi="Times New Roman" w:cs="Times New Roman"/>
          <w:i/>
          <w:sz w:val="22"/>
          <w:lang w:val="mk-MK"/>
        </w:rPr>
        <w:t xml:space="preserve">Табела 3 </w:t>
      </w:r>
      <w:r w:rsidRPr="00E53CC8">
        <w:rPr>
          <w:rFonts w:ascii="Times New Roman" w:hAnsi="Times New Roman" w:cs="Times New Roman"/>
          <w:i/>
          <w:sz w:val="22"/>
          <w:lang w:val="mk-MK"/>
        </w:rPr>
        <w:tab/>
        <w:t>Гренџеров тест на каузалноста (Хи-квадрат вредности)</w:t>
      </w:r>
    </w:p>
    <w:p w:rsidR="007D42CC" w:rsidRDefault="007D42CC" w:rsidP="005B46A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235"/>
        <w:gridCol w:w="1468"/>
        <w:gridCol w:w="1468"/>
        <w:gridCol w:w="1468"/>
        <w:gridCol w:w="1468"/>
        <w:gridCol w:w="1469"/>
      </w:tblGrid>
      <w:tr w:rsidR="007D42CC" w:rsidTr="00FE19B7">
        <w:tc>
          <w:tcPr>
            <w:tcW w:w="2235" w:type="dxa"/>
          </w:tcPr>
          <w:p w:rsidR="007D42CC" w:rsidRPr="00FE19B7" w:rsidRDefault="00FE19B7" w:rsidP="00FE19B7">
            <w:pPr>
              <w:jc w:val="both"/>
              <w:rPr>
                <w:rFonts w:ascii="Times New Roman" w:hAnsi="Times New Roman" w:cs="Times New Roman"/>
                <w:sz w:val="22"/>
                <w:lang w:val="mk-MK"/>
              </w:rPr>
            </w:pPr>
            <w:r>
              <w:rPr>
                <w:rFonts w:ascii="Times New Roman" w:hAnsi="Times New Roman" w:cs="Times New Roman"/>
                <w:sz w:val="22"/>
                <w:lang w:val="mk-MK"/>
              </w:rPr>
              <w:t>Под влијание на:</w:t>
            </w:r>
          </w:p>
        </w:tc>
        <w:tc>
          <w:tcPr>
            <w:tcW w:w="1468" w:type="dxa"/>
          </w:tcPr>
          <w:p w:rsidR="007D42CC" w:rsidRPr="00FE19B7" w:rsidRDefault="007D42CC" w:rsidP="00FE19B7">
            <w:pPr>
              <w:jc w:val="center"/>
              <w:rPr>
                <w:rFonts w:ascii="Times New Roman" w:hAnsi="Times New Roman" w:cs="Times New Roman"/>
                <w:b/>
                <w:sz w:val="22"/>
                <w:lang w:val="mk-MK"/>
              </w:rPr>
            </w:pPr>
            <w:r w:rsidRPr="00FE19B7">
              <w:rPr>
                <w:rFonts w:ascii="Times New Roman" w:hAnsi="Times New Roman" w:cs="Times New Roman"/>
                <w:b/>
                <w:sz w:val="22"/>
              </w:rPr>
              <w:t>RMBI</w:t>
            </w:r>
          </w:p>
        </w:tc>
        <w:tc>
          <w:tcPr>
            <w:tcW w:w="1468" w:type="dxa"/>
          </w:tcPr>
          <w:p w:rsidR="007D42CC" w:rsidRPr="00FE19B7" w:rsidRDefault="007D42CC" w:rsidP="00FE19B7">
            <w:pPr>
              <w:jc w:val="center"/>
              <w:rPr>
                <w:rFonts w:ascii="Times New Roman" w:hAnsi="Times New Roman" w:cs="Times New Roman"/>
                <w:b/>
                <w:sz w:val="22"/>
              </w:rPr>
            </w:pPr>
            <w:r w:rsidRPr="00FE19B7">
              <w:rPr>
                <w:rFonts w:ascii="Times New Roman" w:hAnsi="Times New Roman" w:cs="Times New Roman"/>
                <w:b/>
                <w:sz w:val="22"/>
              </w:rPr>
              <w:t>RCRO</w:t>
            </w:r>
          </w:p>
        </w:tc>
        <w:tc>
          <w:tcPr>
            <w:tcW w:w="1468" w:type="dxa"/>
          </w:tcPr>
          <w:p w:rsidR="007D42CC" w:rsidRPr="00FE19B7" w:rsidRDefault="007D42CC" w:rsidP="00FE19B7">
            <w:pPr>
              <w:jc w:val="center"/>
              <w:rPr>
                <w:rFonts w:ascii="Times New Roman" w:hAnsi="Times New Roman" w:cs="Times New Roman"/>
                <w:b/>
                <w:sz w:val="22"/>
              </w:rPr>
            </w:pPr>
            <w:r w:rsidRPr="00FE19B7">
              <w:rPr>
                <w:rFonts w:ascii="Times New Roman" w:hAnsi="Times New Roman" w:cs="Times New Roman"/>
                <w:b/>
                <w:sz w:val="22"/>
              </w:rPr>
              <w:t>RSOF</w:t>
            </w:r>
          </w:p>
        </w:tc>
        <w:tc>
          <w:tcPr>
            <w:tcW w:w="1468" w:type="dxa"/>
          </w:tcPr>
          <w:p w:rsidR="007D42CC" w:rsidRPr="00FE19B7" w:rsidRDefault="007D42CC" w:rsidP="00FE19B7">
            <w:pPr>
              <w:jc w:val="center"/>
              <w:rPr>
                <w:rFonts w:ascii="Times New Roman" w:hAnsi="Times New Roman" w:cs="Times New Roman"/>
                <w:b/>
                <w:sz w:val="22"/>
              </w:rPr>
            </w:pPr>
            <w:r w:rsidRPr="00FE19B7">
              <w:rPr>
                <w:rFonts w:ascii="Times New Roman" w:hAnsi="Times New Roman" w:cs="Times New Roman"/>
                <w:b/>
                <w:sz w:val="22"/>
              </w:rPr>
              <w:t>RLJU</w:t>
            </w:r>
          </w:p>
        </w:tc>
        <w:tc>
          <w:tcPr>
            <w:tcW w:w="1469" w:type="dxa"/>
          </w:tcPr>
          <w:p w:rsidR="007D42CC" w:rsidRPr="00FE19B7" w:rsidRDefault="007D42CC" w:rsidP="00FE19B7">
            <w:pPr>
              <w:jc w:val="center"/>
              <w:rPr>
                <w:rFonts w:ascii="Times New Roman" w:hAnsi="Times New Roman" w:cs="Times New Roman"/>
                <w:b/>
                <w:sz w:val="22"/>
              </w:rPr>
            </w:pPr>
            <w:r w:rsidRPr="00FE19B7">
              <w:rPr>
                <w:rFonts w:ascii="Times New Roman" w:hAnsi="Times New Roman" w:cs="Times New Roman"/>
                <w:b/>
                <w:sz w:val="22"/>
              </w:rPr>
              <w:t>RBEL</w:t>
            </w:r>
          </w:p>
        </w:tc>
      </w:tr>
      <w:tr w:rsidR="007D42CC" w:rsidTr="00FE19B7">
        <w:tc>
          <w:tcPr>
            <w:tcW w:w="2235" w:type="dxa"/>
          </w:tcPr>
          <w:p w:rsidR="007D42CC" w:rsidRPr="00FE19B7" w:rsidRDefault="007D42CC" w:rsidP="00FE19B7">
            <w:pPr>
              <w:rPr>
                <w:rFonts w:ascii="Times New Roman" w:hAnsi="Times New Roman" w:cs="Times New Roman"/>
                <w:b/>
                <w:sz w:val="22"/>
              </w:rPr>
            </w:pPr>
            <w:r w:rsidRPr="00FE19B7">
              <w:rPr>
                <w:rFonts w:ascii="Times New Roman" w:hAnsi="Times New Roman" w:cs="Times New Roman"/>
                <w:b/>
                <w:sz w:val="22"/>
              </w:rPr>
              <w:t>RMBI</w:t>
            </w:r>
          </w:p>
        </w:tc>
        <w:tc>
          <w:tcPr>
            <w:tcW w:w="1468" w:type="dxa"/>
          </w:tcPr>
          <w:p w:rsidR="007D42CC" w:rsidRPr="007D42CC" w:rsidRDefault="007D42CC" w:rsidP="005B46A8">
            <w:pPr>
              <w:jc w:val="both"/>
              <w:rPr>
                <w:rFonts w:ascii="Times New Roman" w:hAnsi="Times New Roman" w:cs="Times New Roman"/>
                <w:sz w:val="22"/>
              </w:rPr>
            </w:pP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4,2709</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sidRPr="007D42CC">
              <w:rPr>
                <w:rFonts w:ascii="Times New Roman" w:hAnsi="Times New Roman" w:cs="Times New Roman"/>
                <w:color w:val="000000"/>
                <w:sz w:val="22"/>
              </w:rPr>
              <w:t> </w:t>
            </w:r>
            <w:r>
              <w:rPr>
                <w:rFonts w:ascii="Times New Roman" w:hAnsi="Times New Roman" w:cs="Times New Roman"/>
                <w:color w:val="000000"/>
                <w:sz w:val="22"/>
              </w:rPr>
              <w:t>11,144**</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2,3467</w:t>
            </w:r>
          </w:p>
        </w:tc>
        <w:tc>
          <w:tcPr>
            <w:tcW w:w="1469"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0,3758</w:t>
            </w:r>
          </w:p>
        </w:tc>
      </w:tr>
      <w:tr w:rsidR="007D42CC" w:rsidTr="00FE19B7">
        <w:tc>
          <w:tcPr>
            <w:tcW w:w="2235" w:type="dxa"/>
          </w:tcPr>
          <w:p w:rsidR="007D42CC" w:rsidRPr="00FE19B7" w:rsidRDefault="007D42CC" w:rsidP="00FE19B7">
            <w:pPr>
              <w:rPr>
                <w:rFonts w:ascii="Times New Roman" w:hAnsi="Times New Roman" w:cs="Times New Roman"/>
                <w:b/>
                <w:sz w:val="22"/>
              </w:rPr>
            </w:pPr>
            <w:r w:rsidRPr="00FE19B7">
              <w:rPr>
                <w:rFonts w:ascii="Times New Roman" w:hAnsi="Times New Roman" w:cs="Times New Roman"/>
                <w:b/>
                <w:sz w:val="22"/>
              </w:rPr>
              <w:t>RCRO</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sidRPr="007D42CC">
              <w:rPr>
                <w:rFonts w:ascii="Times New Roman" w:hAnsi="Times New Roman" w:cs="Times New Roman"/>
                <w:color w:val="000000"/>
                <w:sz w:val="22"/>
              </w:rPr>
              <w:t> 1</w:t>
            </w:r>
            <w:r>
              <w:rPr>
                <w:rFonts w:ascii="Times New Roman" w:hAnsi="Times New Roman" w:cs="Times New Roman"/>
                <w:color w:val="000000"/>
                <w:sz w:val="22"/>
              </w:rPr>
              <w:t>,</w:t>
            </w:r>
            <w:r w:rsidRPr="007D42CC">
              <w:rPr>
                <w:rFonts w:ascii="Times New Roman" w:hAnsi="Times New Roman" w:cs="Times New Roman"/>
                <w:color w:val="000000"/>
                <w:sz w:val="22"/>
              </w:rPr>
              <w:t>9197</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5,9933</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sidRPr="007D42CC">
              <w:rPr>
                <w:rFonts w:ascii="Times New Roman" w:hAnsi="Times New Roman" w:cs="Times New Roman"/>
                <w:color w:val="000000"/>
                <w:sz w:val="22"/>
              </w:rPr>
              <w:t> </w:t>
            </w:r>
            <w:r>
              <w:rPr>
                <w:rFonts w:ascii="Times New Roman" w:hAnsi="Times New Roman" w:cs="Times New Roman"/>
                <w:color w:val="000000"/>
                <w:sz w:val="22"/>
              </w:rPr>
              <w:t>2,7243</w:t>
            </w:r>
          </w:p>
        </w:tc>
        <w:tc>
          <w:tcPr>
            <w:tcW w:w="1469"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11,951**</w:t>
            </w:r>
          </w:p>
        </w:tc>
      </w:tr>
      <w:tr w:rsidR="007D42CC" w:rsidTr="00FE19B7">
        <w:tc>
          <w:tcPr>
            <w:tcW w:w="2235" w:type="dxa"/>
          </w:tcPr>
          <w:p w:rsidR="007D42CC" w:rsidRPr="00FE19B7" w:rsidRDefault="007D42CC" w:rsidP="00FE19B7">
            <w:pPr>
              <w:rPr>
                <w:rFonts w:ascii="Times New Roman" w:hAnsi="Times New Roman" w:cs="Times New Roman"/>
                <w:b/>
                <w:sz w:val="22"/>
              </w:rPr>
            </w:pPr>
            <w:r w:rsidRPr="00FE19B7">
              <w:rPr>
                <w:rFonts w:ascii="Times New Roman" w:hAnsi="Times New Roman" w:cs="Times New Roman"/>
                <w:b/>
                <w:sz w:val="22"/>
              </w:rPr>
              <w:t>RSOF</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sidRPr="007D42CC">
              <w:rPr>
                <w:rFonts w:ascii="Times New Roman" w:hAnsi="Times New Roman" w:cs="Times New Roman"/>
                <w:color w:val="000000"/>
                <w:sz w:val="22"/>
              </w:rPr>
              <w:t> 7</w:t>
            </w:r>
            <w:r>
              <w:rPr>
                <w:rFonts w:ascii="Times New Roman" w:hAnsi="Times New Roman" w:cs="Times New Roman"/>
                <w:color w:val="000000"/>
                <w:sz w:val="22"/>
              </w:rPr>
              <w:t>,</w:t>
            </w:r>
            <w:r w:rsidRPr="007D42CC">
              <w:rPr>
                <w:rFonts w:ascii="Times New Roman" w:hAnsi="Times New Roman" w:cs="Times New Roman"/>
                <w:color w:val="000000"/>
                <w:sz w:val="22"/>
              </w:rPr>
              <w:t>2776</w:t>
            </w:r>
            <w:r>
              <w:rPr>
                <w:rFonts w:ascii="Times New Roman" w:hAnsi="Times New Roman" w:cs="Times New Roman"/>
                <w:color w:val="000000"/>
                <w:sz w:val="22"/>
              </w:rPr>
              <w:t>*</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46,828***</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10,095*</w:t>
            </w:r>
          </w:p>
        </w:tc>
        <w:tc>
          <w:tcPr>
            <w:tcW w:w="1469"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sidRPr="007D42CC">
              <w:rPr>
                <w:rFonts w:ascii="Times New Roman" w:hAnsi="Times New Roman" w:cs="Times New Roman"/>
                <w:color w:val="000000"/>
                <w:sz w:val="22"/>
              </w:rPr>
              <w:t> </w:t>
            </w:r>
            <w:r>
              <w:rPr>
                <w:rFonts w:ascii="Times New Roman" w:hAnsi="Times New Roman" w:cs="Times New Roman"/>
                <w:color w:val="000000"/>
                <w:sz w:val="22"/>
              </w:rPr>
              <w:t>12,732**</w:t>
            </w:r>
          </w:p>
        </w:tc>
      </w:tr>
      <w:tr w:rsidR="007D42CC" w:rsidTr="00FE19B7">
        <w:tc>
          <w:tcPr>
            <w:tcW w:w="2235" w:type="dxa"/>
          </w:tcPr>
          <w:p w:rsidR="007D42CC" w:rsidRPr="00FE19B7" w:rsidRDefault="007D42CC" w:rsidP="00FE19B7">
            <w:pPr>
              <w:rPr>
                <w:rFonts w:ascii="Times New Roman" w:hAnsi="Times New Roman" w:cs="Times New Roman"/>
                <w:b/>
                <w:sz w:val="22"/>
              </w:rPr>
            </w:pPr>
            <w:r w:rsidRPr="00FE19B7">
              <w:rPr>
                <w:rFonts w:ascii="Times New Roman" w:hAnsi="Times New Roman" w:cs="Times New Roman"/>
                <w:b/>
                <w:sz w:val="22"/>
              </w:rPr>
              <w:t>RLJU</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0,9121</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2,2096</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2,7144</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p>
        </w:tc>
        <w:tc>
          <w:tcPr>
            <w:tcW w:w="1469"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0,8228</w:t>
            </w:r>
          </w:p>
        </w:tc>
      </w:tr>
      <w:tr w:rsidR="007D42CC" w:rsidTr="00FE19B7">
        <w:tc>
          <w:tcPr>
            <w:tcW w:w="2235" w:type="dxa"/>
          </w:tcPr>
          <w:p w:rsidR="007D42CC" w:rsidRPr="00FE19B7" w:rsidRDefault="007D42CC" w:rsidP="00FE19B7">
            <w:pPr>
              <w:rPr>
                <w:rFonts w:ascii="Times New Roman" w:hAnsi="Times New Roman" w:cs="Times New Roman"/>
                <w:b/>
                <w:sz w:val="22"/>
              </w:rPr>
            </w:pPr>
            <w:r w:rsidRPr="00FE19B7">
              <w:rPr>
                <w:rFonts w:ascii="Times New Roman" w:hAnsi="Times New Roman" w:cs="Times New Roman"/>
                <w:b/>
                <w:sz w:val="22"/>
              </w:rPr>
              <w:t>RBEL</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17,840***</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4,4936</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4,8297</w:t>
            </w:r>
          </w:p>
        </w:tc>
        <w:tc>
          <w:tcPr>
            <w:tcW w:w="1468" w:type="dxa"/>
            <w:vAlign w:val="bottom"/>
          </w:tcPr>
          <w:p w:rsidR="007D42CC" w:rsidRPr="007D42CC" w:rsidRDefault="007D42CC" w:rsidP="007D42CC">
            <w:pPr>
              <w:autoSpaceDE w:val="0"/>
              <w:autoSpaceDN w:val="0"/>
              <w:adjustRightInd w:val="0"/>
              <w:jc w:val="center"/>
              <w:rPr>
                <w:rFonts w:ascii="Times New Roman" w:hAnsi="Times New Roman" w:cs="Times New Roman"/>
                <w:color w:val="000000"/>
                <w:sz w:val="22"/>
              </w:rPr>
            </w:pPr>
            <w:r>
              <w:rPr>
                <w:rFonts w:ascii="Times New Roman" w:hAnsi="Times New Roman" w:cs="Times New Roman"/>
                <w:color w:val="000000"/>
                <w:sz w:val="22"/>
              </w:rPr>
              <w:t> 4,1292</w:t>
            </w:r>
          </w:p>
        </w:tc>
        <w:tc>
          <w:tcPr>
            <w:tcW w:w="1469" w:type="dxa"/>
          </w:tcPr>
          <w:p w:rsidR="007D42CC" w:rsidRPr="007D42CC" w:rsidRDefault="007D42CC" w:rsidP="005B46A8">
            <w:pPr>
              <w:jc w:val="both"/>
              <w:rPr>
                <w:rFonts w:ascii="Times New Roman" w:hAnsi="Times New Roman" w:cs="Times New Roman"/>
                <w:sz w:val="22"/>
              </w:rPr>
            </w:pPr>
          </w:p>
        </w:tc>
      </w:tr>
    </w:tbl>
    <w:p w:rsidR="007D42CC" w:rsidRPr="00FE19B7" w:rsidRDefault="00B75027" w:rsidP="005B46A8">
      <w:pPr>
        <w:spacing w:after="0" w:line="240" w:lineRule="auto"/>
        <w:jc w:val="both"/>
        <w:rPr>
          <w:rFonts w:ascii="Times New Roman" w:hAnsi="Times New Roman" w:cs="Times New Roman"/>
          <w:sz w:val="22"/>
          <w:lang w:val="mk-MK"/>
        </w:rPr>
      </w:pPr>
      <w:r>
        <w:rPr>
          <w:rFonts w:ascii="Times New Roman" w:hAnsi="Times New Roman" w:cs="Times New Roman"/>
          <w:sz w:val="22"/>
        </w:rPr>
        <w:t>RMBI, RCRO, RSOF, RLJU</w:t>
      </w:r>
      <w:r>
        <w:rPr>
          <w:rFonts w:ascii="Times New Roman" w:hAnsi="Times New Roman" w:cs="Times New Roman"/>
          <w:sz w:val="22"/>
          <w:lang w:val="mk-MK"/>
        </w:rPr>
        <w:t xml:space="preserve"> и</w:t>
      </w:r>
      <w:r>
        <w:rPr>
          <w:rFonts w:ascii="Times New Roman" w:hAnsi="Times New Roman" w:cs="Times New Roman"/>
          <w:sz w:val="22"/>
        </w:rPr>
        <w:t xml:space="preserve"> RBEL</w:t>
      </w:r>
      <w:r>
        <w:rPr>
          <w:rFonts w:ascii="Times New Roman" w:hAnsi="Times New Roman" w:cs="Times New Roman"/>
          <w:sz w:val="22"/>
          <w:lang w:val="mk-MK"/>
        </w:rPr>
        <w:t xml:space="preserve"> се ознаки на неделните приноси на секој од берзанските индекси. </w:t>
      </w:r>
      <w:r w:rsidR="007D42CC" w:rsidRPr="00FE19B7">
        <w:rPr>
          <w:rFonts w:ascii="Times New Roman" w:hAnsi="Times New Roman" w:cs="Times New Roman"/>
          <w:sz w:val="22"/>
          <w:lang w:val="mk-MK"/>
        </w:rPr>
        <w:t>Вр</w:t>
      </w:r>
      <w:r w:rsidR="00FE19B7" w:rsidRPr="00FE19B7">
        <w:rPr>
          <w:rFonts w:ascii="Times New Roman" w:hAnsi="Times New Roman" w:cs="Times New Roman"/>
          <w:sz w:val="22"/>
          <w:lang w:val="mk-MK"/>
        </w:rPr>
        <w:t>едностите во табелата ги претста</w:t>
      </w:r>
      <w:r w:rsidR="007D42CC" w:rsidRPr="00FE19B7">
        <w:rPr>
          <w:rFonts w:ascii="Times New Roman" w:hAnsi="Times New Roman" w:cs="Times New Roman"/>
          <w:sz w:val="22"/>
          <w:lang w:val="mk-MK"/>
        </w:rPr>
        <w:t xml:space="preserve">вуваат добиените Хи-квадрат резултати од Гренџеровиот тест на каузалноста. </w:t>
      </w:r>
      <w:r w:rsidR="00FE19B7" w:rsidRPr="00FE19B7">
        <w:rPr>
          <w:rFonts w:ascii="Times New Roman" w:hAnsi="Times New Roman" w:cs="Times New Roman"/>
          <w:sz w:val="22"/>
          <w:lang w:val="mk-MK"/>
        </w:rPr>
        <w:t>Вредностите во колоните означуваат постоење на Гренџерова каузалност на пазарот во колоната од секој од пазарите дадеи</w:t>
      </w:r>
      <w:r w:rsidR="00FE19B7">
        <w:rPr>
          <w:rFonts w:ascii="Times New Roman" w:hAnsi="Times New Roman" w:cs="Times New Roman"/>
          <w:sz w:val="22"/>
          <w:lang w:val="mk-MK"/>
        </w:rPr>
        <w:t>и</w:t>
      </w:r>
      <w:r w:rsidR="00FE19B7" w:rsidRPr="00FE19B7">
        <w:rPr>
          <w:rFonts w:ascii="Times New Roman" w:hAnsi="Times New Roman" w:cs="Times New Roman"/>
          <w:sz w:val="22"/>
          <w:lang w:val="mk-MK"/>
        </w:rPr>
        <w:t xml:space="preserve"> во редовите.</w:t>
      </w:r>
      <w:r w:rsidR="00FE19B7">
        <w:rPr>
          <w:rFonts w:ascii="Times New Roman" w:hAnsi="Times New Roman" w:cs="Times New Roman"/>
          <w:sz w:val="22"/>
          <w:lang w:val="mk-MK"/>
        </w:rPr>
        <w:t xml:space="preserve"> *-значајно на ниво од 1</w:t>
      </w:r>
      <w:r>
        <w:rPr>
          <w:rFonts w:ascii="Times New Roman" w:hAnsi="Times New Roman" w:cs="Times New Roman"/>
          <w:sz w:val="22"/>
          <w:lang w:val="mk-MK"/>
        </w:rPr>
        <w:t>0</w:t>
      </w:r>
      <w:r w:rsidR="00FE19B7">
        <w:rPr>
          <w:rFonts w:ascii="Times New Roman" w:hAnsi="Times New Roman" w:cs="Times New Roman"/>
          <w:sz w:val="22"/>
          <w:lang w:val="mk-MK"/>
        </w:rPr>
        <w:t>%; **-значајно на ниво од 5%; ***-</w:t>
      </w:r>
      <w:r>
        <w:rPr>
          <w:rFonts w:ascii="Times New Roman" w:hAnsi="Times New Roman" w:cs="Times New Roman"/>
          <w:sz w:val="22"/>
          <w:lang w:val="mk-MK"/>
        </w:rPr>
        <w:t>значајно на ниво од 1%</w:t>
      </w:r>
    </w:p>
    <w:p w:rsidR="007D42CC" w:rsidRDefault="007D42CC" w:rsidP="005B46A8">
      <w:pPr>
        <w:spacing w:after="0" w:line="240" w:lineRule="auto"/>
        <w:jc w:val="both"/>
        <w:rPr>
          <w:rFonts w:ascii="Times New Roman" w:hAnsi="Times New Roman" w:cs="Times New Roman"/>
          <w:sz w:val="22"/>
          <w:lang w:val="mk-MK"/>
        </w:rPr>
      </w:pPr>
    </w:p>
    <w:p w:rsidR="00B75027" w:rsidRDefault="00B75027" w:rsidP="005B46A8">
      <w:pPr>
        <w:spacing w:after="0" w:line="240" w:lineRule="auto"/>
        <w:jc w:val="both"/>
        <w:rPr>
          <w:rFonts w:ascii="Times New Roman" w:hAnsi="Times New Roman" w:cs="Times New Roman"/>
          <w:szCs w:val="24"/>
          <w:lang w:val="mk-MK"/>
        </w:rPr>
      </w:pPr>
      <w:r>
        <w:rPr>
          <w:rFonts w:ascii="Times New Roman" w:hAnsi="Times New Roman" w:cs="Times New Roman"/>
          <w:sz w:val="22"/>
          <w:lang w:val="mk-MK"/>
        </w:rPr>
        <w:tab/>
      </w:r>
      <w:r w:rsidRPr="00DE4801">
        <w:rPr>
          <w:rFonts w:ascii="Times New Roman" w:hAnsi="Times New Roman" w:cs="Times New Roman"/>
          <w:szCs w:val="24"/>
          <w:lang w:val="mk-MK"/>
        </w:rPr>
        <w:t xml:space="preserve">Од табелата 3 можеме да извлечеме неколку заклучоци. Приносите на Македонската берза се условни од приносите на Белградската берза, а истото може да се каже и за приносите на Загрепската берза и нејзината условеност од Софиската берза. Приносите на Белградската берза се условени од оние на </w:t>
      </w:r>
      <w:r w:rsidR="00DE4801" w:rsidRPr="00DE4801">
        <w:rPr>
          <w:rFonts w:ascii="Times New Roman" w:hAnsi="Times New Roman" w:cs="Times New Roman"/>
          <w:szCs w:val="24"/>
          <w:lang w:val="mk-MK"/>
        </w:rPr>
        <w:t xml:space="preserve">Загрепската и Софиската берза, итн. Треба да се има предвид дека Гренџеровата каузалност не значи дека приносите на одредена берза се причинител на промените на некоја друга берза, туку повеќе дека приносите на одредена берз временски им претходат на приносите на некоја друга берза. Тоа би требало да им послужи на инвеститорите како </w:t>
      </w:r>
      <w:r w:rsidR="00DE4801">
        <w:rPr>
          <w:rFonts w:ascii="Times New Roman" w:hAnsi="Times New Roman" w:cs="Times New Roman"/>
          <w:szCs w:val="24"/>
          <w:lang w:val="mk-MK"/>
        </w:rPr>
        <w:t>сознание</w:t>
      </w:r>
      <w:r w:rsidR="00DE4801" w:rsidRPr="00DE4801">
        <w:rPr>
          <w:rFonts w:ascii="Times New Roman" w:hAnsi="Times New Roman" w:cs="Times New Roman"/>
          <w:szCs w:val="24"/>
          <w:lang w:val="mk-MK"/>
        </w:rPr>
        <w:t xml:space="preserve"> </w:t>
      </w:r>
      <w:r w:rsidR="00DE4801">
        <w:rPr>
          <w:rFonts w:ascii="Times New Roman" w:hAnsi="Times New Roman" w:cs="Times New Roman"/>
          <w:szCs w:val="24"/>
          <w:lang w:val="mk-MK"/>
        </w:rPr>
        <w:t>за тоа која од берзите да ја следат, со цел да ги предвидат случувањата на некоја друга берза.</w:t>
      </w:r>
      <w:r w:rsidR="00D85479">
        <w:rPr>
          <w:rFonts w:ascii="Times New Roman" w:hAnsi="Times New Roman" w:cs="Times New Roman"/>
          <w:szCs w:val="24"/>
        </w:rPr>
        <w:t xml:space="preserve"> </w:t>
      </w:r>
      <w:r w:rsidR="00D85479">
        <w:rPr>
          <w:rFonts w:ascii="Times New Roman" w:hAnsi="Times New Roman" w:cs="Times New Roman"/>
          <w:szCs w:val="24"/>
          <w:lang w:val="mk-MK"/>
        </w:rPr>
        <w:t>Исто така, од резултатите се чини дека Софиската берза им претходи на најголемиот број од останатите пазари, како и дека за приносите на акциите на Љубљанската берза речиси воопшто и не може да се најде поврзаност со приносите на останатите берзи.</w:t>
      </w:r>
    </w:p>
    <w:p w:rsidR="001C5212" w:rsidRDefault="001C5212" w:rsidP="005B46A8">
      <w:pPr>
        <w:spacing w:after="0" w:line="240" w:lineRule="auto"/>
        <w:jc w:val="both"/>
        <w:rPr>
          <w:rFonts w:ascii="Times New Roman" w:hAnsi="Times New Roman" w:cs="Times New Roman"/>
          <w:szCs w:val="24"/>
        </w:rPr>
      </w:pPr>
    </w:p>
    <w:p w:rsidR="00F62F37" w:rsidRPr="00F62F37" w:rsidRDefault="00F62F37" w:rsidP="005B46A8">
      <w:pPr>
        <w:spacing w:after="0" w:line="240" w:lineRule="auto"/>
        <w:jc w:val="both"/>
        <w:rPr>
          <w:rFonts w:ascii="Times New Roman" w:hAnsi="Times New Roman" w:cs="Times New Roman"/>
          <w:szCs w:val="24"/>
        </w:rPr>
      </w:pPr>
    </w:p>
    <w:p w:rsidR="001C5212" w:rsidRPr="001C5212" w:rsidRDefault="001C5212" w:rsidP="00F62F37">
      <w:pPr>
        <w:spacing w:after="0" w:line="240" w:lineRule="auto"/>
        <w:jc w:val="center"/>
        <w:rPr>
          <w:rFonts w:ascii="Times New Roman" w:hAnsi="Times New Roman" w:cs="Times New Roman"/>
          <w:b/>
          <w:szCs w:val="24"/>
          <w:lang w:val="mk-MK"/>
        </w:rPr>
      </w:pPr>
      <w:r w:rsidRPr="001C5212">
        <w:rPr>
          <w:rFonts w:ascii="Times New Roman" w:hAnsi="Times New Roman" w:cs="Times New Roman"/>
          <w:b/>
          <w:szCs w:val="24"/>
          <w:lang w:val="mk-MK"/>
        </w:rPr>
        <w:t>Заклучок</w:t>
      </w:r>
    </w:p>
    <w:p w:rsidR="001C5212" w:rsidRDefault="001C5212" w:rsidP="005B46A8">
      <w:pPr>
        <w:spacing w:after="0" w:line="240" w:lineRule="auto"/>
        <w:jc w:val="both"/>
        <w:rPr>
          <w:rFonts w:ascii="Times New Roman" w:hAnsi="Times New Roman" w:cs="Times New Roman"/>
          <w:szCs w:val="24"/>
          <w:lang w:val="mk-MK"/>
        </w:rPr>
      </w:pPr>
    </w:p>
    <w:p w:rsidR="001C5212" w:rsidRDefault="001C5212" w:rsidP="005B46A8">
      <w:pPr>
        <w:spacing w:after="0" w:line="240" w:lineRule="auto"/>
        <w:jc w:val="both"/>
        <w:rPr>
          <w:rFonts w:ascii="Times New Roman" w:hAnsi="Times New Roman" w:cs="Times New Roman"/>
          <w:szCs w:val="24"/>
          <w:lang w:val="mk-MK"/>
        </w:rPr>
      </w:pPr>
      <w:r>
        <w:rPr>
          <w:rFonts w:ascii="Times New Roman" w:hAnsi="Times New Roman" w:cs="Times New Roman"/>
          <w:szCs w:val="24"/>
          <w:lang w:val="mk-MK"/>
        </w:rPr>
        <w:tab/>
      </w:r>
      <w:r w:rsidR="008649CA">
        <w:rPr>
          <w:rFonts w:ascii="Times New Roman" w:hAnsi="Times New Roman" w:cs="Times New Roman"/>
          <w:szCs w:val="24"/>
          <w:lang w:val="mk-MK"/>
        </w:rPr>
        <w:t>Економската глобализација, размената на информации и финансиската дерегулација се главни причинители на финансиската глобализација. Таа се манифестира на разни начини, а на пазарите на капитал негова главна индикација претставуваат зглемените корелации помеѓу берзите односно берзанските индекси. Тоа значи дека пазарите се движат меѓусебно усогласено, што ги доведува во прашање бенефитите од меѓународната диверзификација. Кога на ова ќе се додаде фактот дека оваа корелираност дополнително се зголемува во периодите на поголема пазарна турбуленција, доаѓаме до сознанието за постоење на т.н. епидемија, односно пренесување на заразата меѓу пазарите.</w:t>
      </w:r>
    </w:p>
    <w:p w:rsidR="008649CA" w:rsidRPr="00922FA3" w:rsidRDefault="008649CA" w:rsidP="005B46A8">
      <w:pPr>
        <w:spacing w:after="0" w:line="240" w:lineRule="auto"/>
        <w:jc w:val="both"/>
        <w:rPr>
          <w:rFonts w:ascii="Times New Roman" w:hAnsi="Times New Roman" w:cs="Times New Roman"/>
          <w:szCs w:val="24"/>
          <w:lang w:val="mk-MK"/>
        </w:rPr>
      </w:pPr>
      <w:r>
        <w:rPr>
          <w:rFonts w:ascii="Times New Roman" w:hAnsi="Times New Roman" w:cs="Times New Roman"/>
          <w:szCs w:val="24"/>
          <w:lang w:val="mk-MK"/>
        </w:rPr>
        <w:lastRenderedPageBreak/>
        <w:tab/>
        <w:t xml:space="preserve">Во овој труд </w:t>
      </w:r>
      <w:r w:rsidR="009E5E35">
        <w:rPr>
          <w:rFonts w:ascii="Times New Roman" w:hAnsi="Times New Roman" w:cs="Times New Roman"/>
          <w:szCs w:val="24"/>
          <w:lang w:val="mk-MK"/>
        </w:rPr>
        <w:t>го испитавме постоењето на усогласено движење на пазарите во неколку балкански земји. Едноставната споредба на коефициентите на корелација и нивната споредба со стандардните девијации на приносите покажа дека корелациите биле највисоки во периодот помеѓу 2007 и 2011 година, по што тие опаѓаат. Тоа е и време на најголема пазарна волатилност, што потврдува дека и на овие пазари нивото на корелираноста е повразно со степенот на турбулентност на пазарите.</w:t>
      </w:r>
      <w:r w:rsidR="00922FA3">
        <w:rPr>
          <w:rFonts w:ascii="Times New Roman" w:hAnsi="Times New Roman" w:cs="Times New Roman"/>
          <w:szCs w:val="24"/>
          <w:lang w:val="mk-MK"/>
        </w:rPr>
        <w:t xml:space="preserve"> Дополнително, пониското ниво на корелираност создава можности за диверзификација на портфолијата што регионалните инвеститори би можеле да го искористат.</w:t>
      </w:r>
    </w:p>
    <w:p w:rsidR="006A3AD6" w:rsidRDefault="009E5E35" w:rsidP="005B46A8">
      <w:pPr>
        <w:spacing w:after="0" w:line="240" w:lineRule="auto"/>
        <w:jc w:val="both"/>
        <w:rPr>
          <w:rFonts w:ascii="Times New Roman" w:hAnsi="Times New Roman" w:cs="Times New Roman"/>
          <w:szCs w:val="24"/>
        </w:rPr>
      </w:pPr>
      <w:r>
        <w:rPr>
          <w:rFonts w:ascii="Times New Roman" w:hAnsi="Times New Roman" w:cs="Times New Roman"/>
          <w:szCs w:val="24"/>
          <w:lang w:val="mk-MK"/>
        </w:rPr>
        <w:tab/>
        <w:t xml:space="preserve">Гренџеровиот тест на каузалноста покажа дека меѓу пазарите постојат </w:t>
      </w:r>
      <w:r w:rsidR="00A313CA">
        <w:rPr>
          <w:rFonts w:ascii="Times New Roman" w:hAnsi="Times New Roman" w:cs="Times New Roman"/>
          <w:szCs w:val="24"/>
          <w:lang w:val="mk-MK"/>
        </w:rPr>
        <w:t xml:space="preserve">одредени релации на меѓусебна условеност во движењето на приносите. Тоа може да е резултат на трансфер на вишоците на ликвидност од еден пазар на друг, но и </w:t>
      </w:r>
      <w:r w:rsidR="00922FA3">
        <w:rPr>
          <w:rFonts w:ascii="Times New Roman" w:hAnsi="Times New Roman" w:cs="Times New Roman"/>
          <w:szCs w:val="24"/>
          <w:lang w:val="mk-MK"/>
        </w:rPr>
        <w:t xml:space="preserve">едноставно </w:t>
      </w:r>
      <w:r w:rsidR="00A313CA">
        <w:rPr>
          <w:rFonts w:ascii="Times New Roman" w:hAnsi="Times New Roman" w:cs="Times New Roman"/>
          <w:szCs w:val="24"/>
          <w:lang w:val="mk-MK"/>
        </w:rPr>
        <w:t xml:space="preserve">на психолошки феномени на следење и имитација на лидерот (позрелите пазари). Овие релации покажуваат дека случувањата на Софиската берза им претходат на оние на Загрепската, додека Белградската берза на сличен начин влијае врз Македонската берза. Познавањето на овие релации може да им </w:t>
      </w:r>
      <w:r w:rsidR="00922FA3">
        <w:rPr>
          <w:rFonts w:ascii="Times New Roman" w:hAnsi="Times New Roman" w:cs="Times New Roman"/>
          <w:szCs w:val="24"/>
          <w:lang w:val="mk-MK"/>
        </w:rPr>
        <w:t>помогне</w:t>
      </w:r>
      <w:r w:rsidR="00A313CA">
        <w:rPr>
          <w:rFonts w:ascii="Times New Roman" w:hAnsi="Times New Roman" w:cs="Times New Roman"/>
          <w:szCs w:val="24"/>
          <w:lang w:val="mk-MK"/>
        </w:rPr>
        <w:t xml:space="preserve"> на инвеститорите да ги предвидат идн</w:t>
      </w:r>
      <w:r w:rsidR="00922FA3">
        <w:rPr>
          <w:rFonts w:ascii="Times New Roman" w:hAnsi="Times New Roman" w:cs="Times New Roman"/>
          <w:szCs w:val="24"/>
          <w:lang w:val="mk-MK"/>
        </w:rPr>
        <w:t>ите пазарни тре</w:t>
      </w:r>
      <w:r w:rsidR="00A313CA">
        <w:rPr>
          <w:rFonts w:ascii="Times New Roman" w:hAnsi="Times New Roman" w:cs="Times New Roman"/>
          <w:szCs w:val="24"/>
          <w:lang w:val="mk-MK"/>
        </w:rPr>
        <w:t>ндови и соодветно на тоа да ги прилагодат и своите портфолија.</w:t>
      </w:r>
    </w:p>
    <w:p w:rsidR="00922DCD" w:rsidRDefault="00922DCD" w:rsidP="005B46A8">
      <w:pPr>
        <w:spacing w:after="0" w:line="240" w:lineRule="auto"/>
        <w:jc w:val="both"/>
        <w:rPr>
          <w:rFonts w:ascii="Times New Roman" w:hAnsi="Times New Roman" w:cs="Times New Roman"/>
          <w:szCs w:val="24"/>
        </w:rPr>
      </w:pPr>
    </w:p>
    <w:p w:rsidR="00922DCD" w:rsidRDefault="00922DCD" w:rsidP="005B46A8">
      <w:pPr>
        <w:spacing w:after="0" w:line="240" w:lineRule="auto"/>
        <w:jc w:val="both"/>
        <w:rPr>
          <w:rFonts w:ascii="Times New Roman" w:hAnsi="Times New Roman" w:cs="Times New Roman"/>
          <w:szCs w:val="24"/>
          <w:lang w:val="mk-MK"/>
        </w:rPr>
      </w:pPr>
    </w:p>
    <w:p w:rsidR="00922FA3" w:rsidRPr="00922FA3" w:rsidRDefault="00922FA3" w:rsidP="005B46A8">
      <w:pPr>
        <w:spacing w:after="0" w:line="240" w:lineRule="auto"/>
        <w:jc w:val="both"/>
        <w:rPr>
          <w:rFonts w:ascii="Times New Roman" w:hAnsi="Times New Roman" w:cs="Times New Roman"/>
          <w:szCs w:val="24"/>
          <w:lang w:val="mk-MK"/>
        </w:rPr>
      </w:pPr>
    </w:p>
    <w:p w:rsidR="00922DCD" w:rsidRDefault="00922DCD" w:rsidP="00922DCD">
      <w:pPr>
        <w:spacing w:after="0" w:line="240" w:lineRule="auto"/>
        <w:jc w:val="center"/>
        <w:rPr>
          <w:rFonts w:ascii="Times New Roman" w:hAnsi="Times New Roman" w:cs="Times New Roman"/>
          <w:szCs w:val="24"/>
          <w:lang w:val="mk-MK"/>
        </w:rPr>
      </w:pPr>
      <w:r>
        <w:rPr>
          <w:rFonts w:ascii="Times New Roman" w:hAnsi="Times New Roman" w:cs="Times New Roman"/>
          <w:szCs w:val="24"/>
          <w:lang w:val="mk-MK"/>
        </w:rPr>
        <w:t>ЛИТЕРАТУРА</w:t>
      </w:r>
    </w:p>
    <w:p w:rsidR="00922FA3" w:rsidRDefault="00922FA3" w:rsidP="00922DCD">
      <w:pPr>
        <w:spacing w:after="0" w:line="240" w:lineRule="auto"/>
        <w:jc w:val="center"/>
        <w:rPr>
          <w:rFonts w:ascii="Times New Roman" w:hAnsi="Times New Roman" w:cs="Times New Roman"/>
          <w:szCs w:val="24"/>
          <w:lang w:val="mk-MK"/>
        </w:rPr>
      </w:pPr>
    </w:p>
    <w:p w:rsidR="00922DCD" w:rsidRDefault="00922DCD" w:rsidP="00922DCD">
      <w:pPr>
        <w:spacing w:after="0" w:line="240" w:lineRule="auto"/>
        <w:jc w:val="center"/>
        <w:rPr>
          <w:rFonts w:ascii="Times New Roman" w:hAnsi="Times New Roman" w:cs="Times New Roman"/>
          <w:szCs w:val="24"/>
          <w:lang w:val="mk-MK"/>
        </w:rPr>
      </w:pPr>
    </w:p>
    <w:p w:rsidR="00922FA3" w:rsidRPr="005A3144" w:rsidRDefault="005A3144" w:rsidP="005A3144">
      <w:pPr>
        <w:autoSpaceDE w:val="0"/>
        <w:autoSpaceDN w:val="0"/>
        <w:adjustRightInd w:val="0"/>
        <w:spacing w:after="60" w:line="240" w:lineRule="auto"/>
        <w:ind w:left="284" w:hanging="284"/>
        <w:jc w:val="both"/>
        <w:rPr>
          <w:rFonts w:ascii="Times New Roman" w:hAnsi="Times New Roman" w:cs="Times New Roman"/>
          <w:sz w:val="22"/>
        </w:rPr>
      </w:pPr>
      <w:r>
        <w:rPr>
          <w:rFonts w:ascii="Times New Roman" w:hAnsi="Times New Roman" w:cs="Times New Roman"/>
          <w:sz w:val="22"/>
        </w:rPr>
        <w:t>Bekaert, G. and C.R. Harvey (</w:t>
      </w:r>
      <w:r w:rsidR="00922FA3" w:rsidRPr="005A3144">
        <w:rPr>
          <w:rFonts w:ascii="Times New Roman" w:hAnsi="Times New Roman" w:cs="Times New Roman"/>
          <w:sz w:val="22"/>
        </w:rPr>
        <w:t>1995</w:t>
      </w:r>
      <w:r>
        <w:rPr>
          <w:rFonts w:ascii="Times New Roman" w:hAnsi="Times New Roman" w:cs="Times New Roman"/>
          <w:sz w:val="22"/>
        </w:rPr>
        <w:t>):</w:t>
      </w:r>
      <w:r w:rsidR="00922FA3" w:rsidRPr="005A3144">
        <w:rPr>
          <w:rFonts w:ascii="Times New Roman" w:hAnsi="Times New Roman" w:cs="Times New Roman"/>
          <w:sz w:val="22"/>
        </w:rPr>
        <w:t xml:space="preserve"> </w:t>
      </w:r>
      <w:r>
        <w:rPr>
          <w:rFonts w:ascii="Times New Roman" w:hAnsi="Times New Roman" w:cs="Times New Roman"/>
          <w:sz w:val="22"/>
        </w:rPr>
        <w:t>“</w:t>
      </w:r>
      <w:r w:rsidR="00922FA3" w:rsidRPr="005A3144">
        <w:rPr>
          <w:rFonts w:ascii="Times New Roman" w:hAnsi="Times New Roman" w:cs="Times New Roman"/>
          <w:sz w:val="22"/>
        </w:rPr>
        <w:t>Time-Varying World Market Integration</w:t>
      </w:r>
      <w:r>
        <w:rPr>
          <w:rFonts w:ascii="Times New Roman" w:hAnsi="Times New Roman" w:cs="Times New Roman"/>
          <w:sz w:val="22"/>
        </w:rPr>
        <w:t>”,</w:t>
      </w:r>
      <w:r w:rsidR="00922FA3" w:rsidRPr="005A3144">
        <w:rPr>
          <w:rFonts w:ascii="Times New Roman" w:hAnsi="Times New Roman" w:cs="Times New Roman"/>
          <w:sz w:val="22"/>
        </w:rPr>
        <w:t xml:space="preserve"> </w:t>
      </w:r>
      <w:r w:rsidR="00922FA3" w:rsidRPr="005A3144">
        <w:rPr>
          <w:rFonts w:ascii="Times New Roman" w:hAnsi="Times New Roman" w:cs="Times New Roman"/>
          <w:i/>
          <w:iCs/>
          <w:sz w:val="22"/>
        </w:rPr>
        <w:t>Journal of Finance</w:t>
      </w:r>
      <w:r w:rsidR="00922FA3" w:rsidRPr="005A3144">
        <w:rPr>
          <w:rFonts w:ascii="Times New Roman" w:hAnsi="Times New Roman" w:cs="Times New Roman"/>
          <w:sz w:val="22"/>
        </w:rPr>
        <w:t>, 50(2), 403-444.</w:t>
      </w:r>
    </w:p>
    <w:p w:rsidR="00922FA3" w:rsidRPr="005A3144" w:rsidRDefault="00922FA3" w:rsidP="005A3144">
      <w:pPr>
        <w:spacing w:after="60" w:line="240" w:lineRule="auto"/>
        <w:ind w:left="284" w:hanging="284"/>
        <w:jc w:val="both"/>
        <w:rPr>
          <w:rFonts w:ascii="Times New Roman" w:eastAsia="Times New Roman" w:hAnsi="Times New Roman" w:cs="Times New Roman"/>
          <w:sz w:val="22"/>
        </w:rPr>
      </w:pPr>
      <w:r w:rsidRPr="005A3144">
        <w:rPr>
          <w:rFonts w:ascii="Times New Roman" w:eastAsia="Times New Roman" w:hAnsi="Times New Roman" w:cs="Times New Roman"/>
          <w:sz w:val="22"/>
        </w:rPr>
        <w:t>Cheung, Y., Y. Ho (1991)</w:t>
      </w:r>
      <w:r w:rsidR="005A3144">
        <w:rPr>
          <w:rFonts w:ascii="Times New Roman" w:eastAsia="Times New Roman" w:hAnsi="Times New Roman" w:cs="Times New Roman"/>
          <w:sz w:val="22"/>
        </w:rPr>
        <w:t>:</w:t>
      </w:r>
      <w:r w:rsidRPr="005A3144">
        <w:rPr>
          <w:rFonts w:ascii="Times New Roman" w:eastAsia="Times New Roman" w:hAnsi="Times New Roman" w:cs="Times New Roman"/>
          <w:sz w:val="22"/>
        </w:rPr>
        <w:t xml:space="preserve"> “The intertemporal stability of the relationships between the Asian emerging equity markets and the developed equity markets”, </w:t>
      </w:r>
      <w:r w:rsidRPr="005A3144">
        <w:rPr>
          <w:rFonts w:ascii="Times New Roman" w:eastAsia="Times New Roman" w:hAnsi="Times New Roman" w:cs="Times New Roman"/>
          <w:i/>
          <w:sz w:val="22"/>
        </w:rPr>
        <w:t xml:space="preserve">Journal of Business Finance and Accounting, </w:t>
      </w:r>
      <w:r w:rsidRPr="005A3144">
        <w:rPr>
          <w:rFonts w:ascii="Times New Roman" w:eastAsia="Times New Roman" w:hAnsi="Times New Roman" w:cs="Times New Roman"/>
          <w:sz w:val="22"/>
        </w:rPr>
        <w:t xml:space="preserve">18, 235 – 254. </w:t>
      </w:r>
    </w:p>
    <w:p w:rsidR="000F2E43" w:rsidRPr="005A3144" w:rsidRDefault="000F2E43" w:rsidP="005A3144">
      <w:pPr>
        <w:spacing w:after="60" w:line="240" w:lineRule="auto"/>
        <w:ind w:left="284" w:hanging="284"/>
        <w:jc w:val="both"/>
        <w:rPr>
          <w:rFonts w:ascii="Times New Roman" w:hAnsi="Times New Roman" w:cs="Times New Roman"/>
          <w:sz w:val="22"/>
        </w:rPr>
      </w:pPr>
      <w:r w:rsidRPr="005A3144">
        <w:rPr>
          <w:rFonts w:ascii="Times New Roman" w:hAnsi="Times New Roman" w:cs="Times New Roman"/>
          <w:sz w:val="22"/>
        </w:rPr>
        <w:t>Dajčman, S., M. Festić (2012)</w:t>
      </w:r>
      <w:r w:rsidR="005A3144">
        <w:rPr>
          <w:rFonts w:ascii="Times New Roman" w:hAnsi="Times New Roman" w:cs="Times New Roman"/>
          <w:sz w:val="22"/>
        </w:rPr>
        <w:t>:</w:t>
      </w:r>
      <w:r w:rsidRPr="005A3144">
        <w:rPr>
          <w:rFonts w:ascii="Times New Roman" w:hAnsi="Times New Roman" w:cs="Times New Roman"/>
          <w:sz w:val="22"/>
        </w:rPr>
        <w:t xml:space="preserve"> “Interdependence between the Slovenian and European Stock Markets -  A DCC-Garch Analysis”, </w:t>
      </w:r>
      <w:r w:rsidRPr="005A3144">
        <w:rPr>
          <w:rFonts w:ascii="Times New Roman" w:hAnsi="Times New Roman" w:cs="Times New Roman"/>
          <w:i/>
          <w:sz w:val="22"/>
        </w:rPr>
        <w:t>Economic Research – Ekonomska Istra</w:t>
      </w:r>
      <w:r w:rsidRPr="005A3144">
        <w:rPr>
          <w:rFonts w:ascii="Times New Roman" w:hAnsi="Times New Roman" w:cs="Times New Roman"/>
          <w:bCs/>
          <w:sz w:val="22"/>
        </w:rPr>
        <w:t>ž</w:t>
      </w:r>
      <w:r w:rsidRPr="005A3144">
        <w:rPr>
          <w:rFonts w:ascii="Times New Roman" w:hAnsi="Times New Roman" w:cs="Times New Roman"/>
          <w:i/>
          <w:sz w:val="22"/>
        </w:rPr>
        <w:t>ivanja</w:t>
      </w:r>
      <w:r w:rsidRPr="005A3144">
        <w:rPr>
          <w:rFonts w:ascii="Times New Roman" w:hAnsi="Times New Roman" w:cs="Times New Roman"/>
          <w:sz w:val="22"/>
        </w:rPr>
        <w:t>, Vol. 25 (2), pp.379-396.</w:t>
      </w:r>
    </w:p>
    <w:p w:rsidR="00922FA3" w:rsidRPr="005A3144" w:rsidRDefault="005A3144" w:rsidP="005A3144">
      <w:pPr>
        <w:autoSpaceDE w:val="0"/>
        <w:autoSpaceDN w:val="0"/>
        <w:adjustRightInd w:val="0"/>
        <w:spacing w:after="60" w:line="240" w:lineRule="auto"/>
        <w:ind w:left="284" w:hanging="284"/>
        <w:jc w:val="both"/>
        <w:rPr>
          <w:rFonts w:ascii="LMRoman10-Regular" w:hAnsi="LMRoman10-Regular" w:cs="LMRoman10-Regular"/>
          <w:sz w:val="22"/>
        </w:rPr>
      </w:pPr>
      <w:r>
        <w:rPr>
          <w:rFonts w:ascii="LMRoman10-Regular" w:hAnsi="LMRoman10-Regular" w:cs="LMRoman10-Regular"/>
          <w:sz w:val="22"/>
        </w:rPr>
        <w:t>Egert, B. and Kocenda, E. (</w:t>
      </w:r>
      <w:r w:rsidR="00922FA3" w:rsidRPr="005A3144">
        <w:rPr>
          <w:rFonts w:ascii="LMRoman10-Regular" w:hAnsi="LMRoman10-Regular" w:cs="LMRoman10-Regular"/>
          <w:sz w:val="22"/>
        </w:rPr>
        <w:t>2007</w:t>
      </w:r>
      <w:r>
        <w:rPr>
          <w:rFonts w:ascii="LMRoman10-Regular" w:hAnsi="LMRoman10-Regular" w:cs="LMRoman10-Regular"/>
          <w:sz w:val="22"/>
        </w:rPr>
        <w:t>):</w:t>
      </w:r>
      <w:r w:rsidR="00922FA3" w:rsidRPr="005A3144">
        <w:rPr>
          <w:rFonts w:ascii="LMRoman10-Regular" w:hAnsi="LMRoman10-Regular" w:cs="LMRoman10-Regular"/>
          <w:sz w:val="22"/>
        </w:rPr>
        <w:t xml:space="preserve"> </w:t>
      </w:r>
      <w:r>
        <w:rPr>
          <w:rFonts w:ascii="LMRoman10-Regular" w:hAnsi="LMRoman10-Regular" w:cs="LMRoman10-Regular"/>
          <w:sz w:val="22"/>
        </w:rPr>
        <w:t>“</w:t>
      </w:r>
      <w:r w:rsidR="00922FA3" w:rsidRPr="005A3144">
        <w:rPr>
          <w:rFonts w:ascii="LMRoman10-Regular" w:hAnsi="LMRoman10-Regular" w:cs="LMRoman10-Regular"/>
          <w:sz w:val="22"/>
        </w:rPr>
        <w:t>Interdependence between Eastern and Western European stock markets: Evidence from intraday data</w:t>
      </w:r>
      <w:r>
        <w:rPr>
          <w:rFonts w:ascii="LMRoman10-Regular" w:hAnsi="LMRoman10-Regular" w:cs="LMRoman10-Regular"/>
          <w:sz w:val="22"/>
        </w:rPr>
        <w:t>”,</w:t>
      </w:r>
      <w:r w:rsidR="00922FA3" w:rsidRPr="005A3144">
        <w:rPr>
          <w:rFonts w:ascii="LMRoman10-Regular" w:hAnsi="LMRoman10-Regular" w:cs="LMRoman10-Regular"/>
          <w:sz w:val="22"/>
        </w:rPr>
        <w:t xml:space="preserve"> </w:t>
      </w:r>
      <w:r w:rsidR="00922FA3" w:rsidRPr="005A3144">
        <w:rPr>
          <w:rFonts w:ascii="LMRoman10-Italic" w:hAnsi="LMRoman10-Italic" w:cs="LMRoman10-Italic"/>
          <w:i/>
          <w:iCs/>
          <w:sz w:val="22"/>
        </w:rPr>
        <w:t>Economic Systems</w:t>
      </w:r>
      <w:r w:rsidR="00922FA3" w:rsidRPr="005A3144">
        <w:rPr>
          <w:rFonts w:ascii="LMRoman10-Regular" w:hAnsi="LMRoman10-Regular" w:cs="LMRoman10-Regular"/>
          <w:sz w:val="22"/>
        </w:rPr>
        <w:t>, 31(2), 184-203.</w:t>
      </w:r>
    </w:p>
    <w:p w:rsidR="000F2E43" w:rsidRPr="005A3144" w:rsidRDefault="000F2E43" w:rsidP="005A3144">
      <w:pPr>
        <w:autoSpaceDE w:val="0"/>
        <w:autoSpaceDN w:val="0"/>
        <w:adjustRightInd w:val="0"/>
        <w:spacing w:after="60" w:line="240" w:lineRule="auto"/>
        <w:ind w:left="284" w:hanging="284"/>
        <w:jc w:val="both"/>
        <w:rPr>
          <w:rFonts w:ascii="Times New Roman" w:hAnsi="Times New Roman" w:cs="Times New Roman"/>
          <w:sz w:val="22"/>
        </w:rPr>
      </w:pPr>
      <w:r w:rsidRPr="005A3144">
        <w:rPr>
          <w:rFonts w:ascii="Times New Roman" w:hAnsi="Times New Roman" w:cs="Times New Roman"/>
          <w:bCs/>
          <w:sz w:val="22"/>
        </w:rPr>
        <w:t>Gradojević, N., E. Dobardžić (2013)</w:t>
      </w:r>
      <w:r w:rsidR="005A3144">
        <w:rPr>
          <w:rFonts w:ascii="Times New Roman" w:hAnsi="Times New Roman" w:cs="Times New Roman"/>
          <w:bCs/>
          <w:sz w:val="22"/>
        </w:rPr>
        <w:t>:</w:t>
      </w:r>
      <w:r w:rsidRPr="005A3144">
        <w:rPr>
          <w:rFonts w:ascii="Times New Roman" w:hAnsi="Times New Roman" w:cs="Times New Roman"/>
          <w:bCs/>
          <w:sz w:val="22"/>
        </w:rPr>
        <w:t xml:space="preserve"> </w:t>
      </w:r>
      <w:r w:rsidR="005A3144">
        <w:rPr>
          <w:rFonts w:ascii="Times New Roman" w:hAnsi="Times New Roman" w:cs="Times New Roman"/>
          <w:bCs/>
          <w:sz w:val="22"/>
        </w:rPr>
        <w:t>“</w:t>
      </w:r>
      <w:r w:rsidRPr="005A3144">
        <w:rPr>
          <w:rFonts w:ascii="Times New Roman" w:hAnsi="Times New Roman" w:cs="Times New Roman"/>
          <w:bCs/>
          <w:sz w:val="22"/>
        </w:rPr>
        <w:t>Causality between Regional Stock Markets: A Frequency Domain Approach</w:t>
      </w:r>
      <w:r w:rsidR="005A3144">
        <w:rPr>
          <w:rFonts w:ascii="Times New Roman" w:hAnsi="Times New Roman" w:cs="Times New Roman"/>
          <w:bCs/>
          <w:sz w:val="22"/>
        </w:rPr>
        <w:t>”</w:t>
      </w:r>
      <w:r w:rsidRPr="005A3144">
        <w:rPr>
          <w:rFonts w:ascii="Times New Roman" w:hAnsi="Times New Roman" w:cs="Times New Roman"/>
          <w:bCs/>
          <w:sz w:val="22"/>
        </w:rPr>
        <w:t xml:space="preserve">, </w:t>
      </w:r>
      <w:r w:rsidRPr="005A3144">
        <w:rPr>
          <w:rFonts w:ascii="Times New Roman" w:hAnsi="Times New Roman" w:cs="Times New Roman"/>
          <w:i/>
          <w:sz w:val="22"/>
        </w:rPr>
        <w:t>Panoeconomicus</w:t>
      </w:r>
      <w:r w:rsidRPr="005A3144">
        <w:rPr>
          <w:rFonts w:ascii="Times New Roman" w:hAnsi="Times New Roman" w:cs="Times New Roman"/>
          <w:sz w:val="22"/>
        </w:rPr>
        <w:t>, 2013, 5, pp. 633-647</w:t>
      </w:r>
    </w:p>
    <w:p w:rsidR="00922FA3" w:rsidRPr="005A3144" w:rsidRDefault="00922FA3" w:rsidP="005A3144">
      <w:pPr>
        <w:pStyle w:val="Heading2"/>
        <w:spacing w:before="0" w:after="60" w:line="240" w:lineRule="auto"/>
        <w:ind w:left="284" w:hanging="284"/>
        <w:jc w:val="both"/>
        <w:rPr>
          <w:rFonts w:ascii="Times New Roman" w:hAnsi="Times New Roman" w:cs="Times New Roman"/>
          <w:b w:val="0"/>
          <w:color w:val="auto"/>
          <w:sz w:val="22"/>
          <w:szCs w:val="22"/>
        </w:rPr>
      </w:pPr>
      <w:r w:rsidRPr="005A3144">
        <w:rPr>
          <w:rFonts w:ascii="Times New Roman" w:hAnsi="Times New Roman" w:cs="Times New Roman"/>
          <w:b w:val="0"/>
          <w:color w:val="auto"/>
          <w:sz w:val="22"/>
          <w:szCs w:val="22"/>
        </w:rPr>
        <w:t xml:space="preserve">Kenourgios D., A. </w:t>
      </w:r>
      <w:r w:rsidRPr="005A3144">
        <w:rPr>
          <w:rFonts w:ascii="Times New Roman" w:eastAsia="Times New Roman" w:hAnsi="Times New Roman" w:cs="Times New Roman"/>
          <w:b w:val="0"/>
          <w:color w:val="auto"/>
          <w:kern w:val="36"/>
          <w:sz w:val="22"/>
          <w:szCs w:val="22"/>
        </w:rPr>
        <w:t>Samitas (</w:t>
      </w:r>
      <w:r w:rsidRPr="005A3144">
        <w:rPr>
          <w:rFonts w:ascii="Times New Roman" w:hAnsi="Times New Roman" w:cs="Times New Roman"/>
          <w:b w:val="0"/>
          <w:color w:val="auto"/>
          <w:sz w:val="22"/>
          <w:szCs w:val="22"/>
        </w:rPr>
        <w:t>2011)</w:t>
      </w:r>
      <w:r w:rsidR="005A3144">
        <w:rPr>
          <w:rFonts w:ascii="Times New Roman" w:hAnsi="Times New Roman" w:cs="Times New Roman"/>
          <w:b w:val="0"/>
          <w:color w:val="auto"/>
          <w:sz w:val="22"/>
          <w:szCs w:val="22"/>
        </w:rPr>
        <w:t>: “</w:t>
      </w:r>
      <w:r w:rsidRPr="005A3144">
        <w:rPr>
          <w:rFonts w:ascii="Times New Roman" w:hAnsi="Times New Roman" w:cs="Times New Roman"/>
          <w:b w:val="0"/>
          <w:color w:val="auto"/>
          <w:sz w:val="22"/>
          <w:szCs w:val="22"/>
        </w:rPr>
        <w:t>Equity Market Integration in Emerging Balkan Markets</w:t>
      </w:r>
      <w:r w:rsidR="005A3144">
        <w:rPr>
          <w:rFonts w:ascii="Times New Roman" w:hAnsi="Times New Roman" w:cs="Times New Roman"/>
          <w:b w:val="0"/>
          <w:color w:val="auto"/>
          <w:sz w:val="22"/>
          <w:szCs w:val="22"/>
        </w:rPr>
        <w:t>”,</w:t>
      </w:r>
      <w:r w:rsidRPr="005A3144">
        <w:rPr>
          <w:rFonts w:ascii="Times New Roman" w:hAnsi="Times New Roman" w:cs="Times New Roman"/>
          <w:b w:val="0"/>
          <w:i/>
          <w:iCs/>
          <w:color w:val="auto"/>
          <w:sz w:val="22"/>
          <w:szCs w:val="22"/>
        </w:rPr>
        <w:t xml:space="preserve"> Research in International Business and Finance, </w:t>
      </w:r>
      <w:r w:rsidRPr="005A3144">
        <w:rPr>
          <w:rFonts w:ascii="Times New Roman" w:hAnsi="Times New Roman" w:cs="Times New Roman"/>
          <w:b w:val="0"/>
          <w:iCs/>
          <w:color w:val="auto"/>
          <w:sz w:val="22"/>
          <w:szCs w:val="22"/>
        </w:rPr>
        <w:t>Vol. 25, No. 3, pp. 296-307</w:t>
      </w:r>
    </w:p>
    <w:p w:rsidR="005C67B9" w:rsidRPr="005A3144" w:rsidRDefault="005C67B9" w:rsidP="005A3144">
      <w:pPr>
        <w:spacing w:after="60" w:line="240" w:lineRule="auto"/>
        <w:ind w:left="284" w:hanging="284"/>
        <w:jc w:val="both"/>
        <w:rPr>
          <w:rFonts w:ascii="Times New Roman" w:eastAsia="Times New Roman" w:hAnsi="Times New Roman" w:cs="Times New Roman"/>
          <w:sz w:val="22"/>
        </w:rPr>
      </w:pPr>
      <w:r w:rsidRPr="005A3144">
        <w:rPr>
          <w:rFonts w:ascii="Times New Roman" w:eastAsia="Times New Roman" w:hAnsi="Times New Roman" w:cs="Times New Roman"/>
          <w:sz w:val="22"/>
        </w:rPr>
        <w:t>Hamao</w:t>
      </w:r>
      <w:r w:rsidRPr="005A3144">
        <w:rPr>
          <w:rFonts w:ascii="Times New Roman" w:eastAsia="Times New Roman" w:hAnsi="Times New Roman" w:cs="Times New Roman"/>
          <w:sz w:val="22"/>
          <w:lang w:val="mk-MK"/>
        </w:rPr>
        <w:t xml:space="preserve">, </w:t>
      </w:r>
      <w:r w:rsidRPr="005A3144">
        <w:rPr>
          <w:rFonts w:ascii="Times New Roman" w:eastAsia="Times New Roman" w:hAnsi="Times New Roman" w:cs="Times New Roman"/>
          <w:sz w:val="22"/>
        </w:rPr>
        <w:t>Y., R. W. Masulis and V. Ng (1990)</w:t>
      </w:r>
      <w:r w:rsidR="005A3144">
        <w:rPr>
          <w:rFonts w:ascii="Times New Roman" w:eastAsia="Times New Roman" w:hAnsi="Times New Roman" w:cs="Times New Roman"/>
          <w:sz w:val="22"/>
        </w:rPr>
        <w:t>:</w:t>
      </w:r>
      <w:r w:rsidRPr="005A3144">
        <w:rPr>
          <w:rFonts w:ascii="Times New Roman" w:eastAsia="Times New Roman" w:hAnsi="Times New Roman" w:cs="Times New Roman"/>
          <w:sz w:val="22"/>
        </w:rPr>
        <w:t xml:space="preserve"> </w:t>
      </w:r>
      <w:r w:rsidR="005A3144">
        <w:rPr>
          <w:rFonts w:ascii="Times New Roman" w:eastAsia="Times New Roman" w:hAnsi="Times New Roman" w:cs="Times New Roman"/>
          <w:sz w:val="22"/>
        </w:rPr>
        <w:t>“</w:t>
      </w:r>
      <w:r w:rsidRPr="005A3144">
        <w:rPr>
          <w:rFonts w:ascii="Times New Roman" w:eastAsia="Times New Roman" w:hAnsi="Times New Roman" w:cs="Times New Roman"/>
          <w:bCs/>
          <w:kern w:val="36"/>
          <w:sz w:val="22"/>
        </w:rPr>
        <w:t>Correlations in Price Changes and Volatility across International Stock Markets</w:t>
      </w:r>
      <w:r w:rsidR="005A3144">
        <w:rPr>
          <w:rFonts w:ascii="Times New Roman" w:eastAsia="Times New Roman" w:hAnsi="Times New Roman" w:cs="Times New Roman"/>
          <w:bCs/>
          <w:kern w:val="36"/>
          <w:sz w:val="22"/>
        </w:rPr>
        <w:t>”</w:t>
      </w:r>
      <w:r w:rsidRPr="005A3144">
        <w:rPr>
          <w:rFonts w:ascii="Times New Roman" w:eastAsia="Times New Roman" w:hAnsi="Times New Roman" w:cs="Times New Roman"/>
          <w:bCs/>
          <w:kern w:val="36"/>
          <w:sz w:val="22"/>
        </w:rPr>
        <w:t xml:space="preserve">, </w:t>
      </w:r>
      <w:r w:rsidRPr="005A3144">
        <w:rPr>
          <w:rFonts w:ascii="Times New Roman" w:eastAsia="Times New Roman" w:hAnsi="Times New Roman" w:cs="Times New Roman"/>
          <w:i/>
          <w:iCs/>
          <w:sz w:val="22"/>
        </w:rPr>
        <w:t xml:space="preserve">The Review of Financial Studies, </w:t>
      </w:r>
      <w:r w:rsidRPr="005A3144">
        <w:rPr>
          <w:rFonts w:ascii="Times New Roman" w:eastAsia="Times New Roman" w:hAnsi="Times New Roman" w:cs="Times New Roman"/>
          <w:sz w:val="22"/>
        </w:rPr>
        <w:t xml:space="preserve">Vol. 3, No. 2, pp. 281-307 </w:t>
      </w:r>
    </w:p>
    <w:p w:rsidR="005C67B9" w:rsidRPr="005A3144" w:rsidRDefault="005C67B9" w:rsidP="005A3144">
      <w:pPr>
        <w:autoSpaceDE w:val="0"/>
        <w:autoSpaceDN w:val="0"/>
        <w:adjustRightInd w:val="0"/>
        <w:spacing w:after="60" w:line="240" w:lineRule="auto"/>
        <w:ind w:left="284" w:hanging="284"/>
        <w:jc w:val="both"/>
        <w:rPr>
          <w:rFonts w:ascii="Times New Roman" w:hAnsi="Times New Roman" w:cs="Times New Roman"/>
          <w:sz w:val="22"/>
        </w:rPr>
      </w:pPr>
      <w:r w:rsidRPr="005A3144">
        <w:rPr>
          <w:rFonts w:ascii="Times New Roman" w:hAnsi="Times New Roman" w:cs="Times New Roman"/>
          <w:iCs/>
          <w:sz w:val="22"/>
        </w:rPr>
        <w:t>Horvath, R., D. Petrovski (2012)</w:t>
      </w:r>
      <w:r w:rsidR="005A3144">
        <w:rPr>
          <w:rFonts w:ascii="Times New Roman" w:hAnsi="Times New Roman" w:cs="Times New Roman"/>
          <w:iCs/>
          <w:sz w:val="22"/>
        </w:rPr>
        <w:t>:</w:t>
      </w:r>
      <w:r w:rsidRPr="005A3144">
        <w:rPr>
          <w:rFonts w:ascii="Times New Roman" w:hAnsi="Times New Roman" w:cs="Times New Roman"/>
          <w:iCs/>
          <w:sz w:val="22"/>
        </w:rPr>
        <w:t xml:space="preserve"> </w:t>
      </w:r>
      <w:r w:rsidR="005A3144">
        <w:rPr>
          <w:rFonts w:ascii="Times New Roman" w:hAnsi="Times New Roman" w:cs="Times New Roman"/>
          <w:iCs/>
          <w:sz w:val="22"/>
        </w:rPr>
        <w:t>“</w:t>
      </w:r>
      <w:r w:rsidRPr="005A3144">
        <w:rPr>
          <w:rFonts w:ascii="Times New Roman" w:hAnsi="Times New Roman" w:cs="Times New Roman"/>
          <w:bCs/>
          <w:sz w:val="22"/>
        </w:rPr>
        <w:t>International Stock Market Integration: Central and South Eastern Europe Compared</w:t>
      </w:r>
      <w:r w:rsidR="005A3144">
        <w:rPr>
          <w:rFonts w:ascii="Times New Roman" w:hAnsi="Times New Roman" w:cs="Times New Roman"/>
          <w:bCs/>
          <w:sz w:val="22"/>
        </w:rPr>
        <w:t>”</w:t>
      </w:r>
      <w:r w:rsidRPr="005A3144">
        <w:rPr>
          <w:rFonts w:ascii="Times New Roman" w:hAnsi="Times New Roman" w:cs="Times New Roman"/>
          <w:bCs/>
          <w:sz w:val="22"/>
        </w:rPr>
        <w:t xml:space="preserve">, </w:t>
      </w:r>
      <w:r w:rsidRPr="005A3144">
        <w:rPr>
          <w:rFonts w:ascii="Times New Roman" w:hAnsi="Times New Roman" w:cs="Times New Roman"/>
          <w:sz w:val="22"/>
        </w:rPr>
        <w:t>William Davidson Institute Working Paper Number 1028</w:t>
      </w:r>
    </w:p>
    <w:p w:rsidR="00922FA3" w:rsidRPr="005A3144" w:rsidRDefault="00922FA3" w:rsidP="005A3144">
      <w:pPr>
        <w:spacing w:after="60" w:line="240" w:lineRule="auto"/>
        <w:ind w:left="284" w:hanging="284"/>
        <w:jc w:val="both"/>
        <w:rPr>
          <w:rFonts w:ascii="Times New Roman" w:hAnsi="Times New Roman" w:cs="Times New Roman"/>
          <w:sz w:val="22"/>
        </w:rPr>
      </w:pPr>
      <w:r w:rsidRPr="005A3144">
        <w:rPr>
          <w:rFonts w:ascii="Times New Roman" w:hAnsi="Times New Roman" w:cs="Times New Roman"/>
          <w:sz w:val="22"/>
        </w:rPr>
        <w:t>Koch, P.D., T.W. Koch (1991)</w:t>
      </w:r>
      <w:r w:rsidR="005A3144">
        <w:rPr>
          <w:rFonts w:ascii="Times New Roman" w:hAnsi="Times New Roman" w:cs="Times New Roman"/>
          <w:sz w:val="22"/>
        </w:rPr>
        <w:t>:</w:t>
      </w:r>
      <w:r w:rsidRPr="005A3144">
        <w:rPr>
          <w:rFonts w:ascii="Times New Roman" w:hAnsi="Times New Roman" w:cs="Times New Roman"/>
          <w:sz w:val="22"/>
        </w:rPr>
        <w:t xml:space="preserve"> “Evolution in Dynamic Linkage Across Daily National Stock Indexes”, </w:t>
      </w:r>
      <w:r w:rsidRPr="005A3144">
        <w:rPr>
          <w:rFonts w:ascii="Times New Roman" w:hAnsi="Times New Roman" w:cs="Times New Roman"/>
          <w:i/>
          <w:sz w:val="22"/>
        </w:rPr>
        <w:t>Journal of International Money and Finance</w:t>
      </w:r>
      <w:r w:rsidRPr="005A3144">
        <w:rPr>
          <w:sz w:val="22"/>
        </w:rPr>
        <w:t>, 10(2):231-251</w:t>
      </w:r>
    </w:p>
    <w:p w:rsidR="00922FA3" w:rsidRPr="005A3144" w:rsidRDefault="00922FA3" w:rsidP="005A3144">
      <w:pPr>
        <w:spacing w:after="60" w:line="240" w:lineRule="auto"/>
        <w:ind w:left="284" w:hanging="284"/>
        <w:jc w:val="both"/>
        <w:rPr>
          <w:rFonts w:ascii="Times New Roman" w:hAnsi="Times New Roman" w:cs="Times New Roman"/>
          <w:sz w:val="22"/>
        </w:rPr>
      </w:pPr>
      <w:r w:rsidRPr="005A3144">
        <w:rPr>
          <w:rFonts w:ascii="Times New Roman" w:eastAsia="Times New Roman" w:hAnsi="Times New Roman" w:cs="Times New Roman"/>
          <w:sz w:val="22"/>
        </w:rPr>
        <w:t>Lin, Wen-Ling, R. F. Engle, T. Ito (1994)</w:t>
      </w:r>
      <w:r w:rsidR="005A3144">
        <w:rPr>
          <w:rFonts w:ascii="Times New Roman" w:eastAsia="Times New Roman" w:hAnsi="Times New Roman" w:cs="Times New Roman"/>
          <w:sz w:val="22"/>
        </w:rPr>
        <w:t>:</w:t>
      </w:r>
      <w:r w:rsidRPr="005A3144">
        <w:rPr>
          <w:rFonts w:ascii="Times New Roman" w:eastAsia="Times New Roman" w:hAnsi="Times New Roman" w:cs="Times New Roman"/>
          <w:sz w:val="22"/>
        </w:rPr>
        <w:t xml:space="preserve"> “Do bulls and bears move across borders? International transmission of stock returns and volatility”, </w:t>
      </w:r>
      <w:r w:rsidRPr="005A3144">
        <w:rPr>
          <w:rFonts w:ascii="Times New Roman" w:eastAsia="Times New Roman" w:hAnsi="Times New Roman" w:cs="Times New Roman"/>
          <w:i/>
          <w:sz w:val="22"/>
        </w:rPr>
        <w:t>The Review of Financial Studies</w:t>
      </w:r>
      <w:r w:rsidRPr="005A3144">
        <w:rPr>
          <w:rFonts w:ascii="Times New Roman" w:eastAsia="Times New Roman" w:hAnsi="Times New Roman" w:cs="Times New Roman"/>
          <w:sz w:val="22"/>
        </w:rPr>
        <w:t>, 7, 507-538</w:t>
      </w:r>
    </w:p>
    <w:p w:rsidR="005C67B9" w:rsidRPr="005A3144" w:rsidRDefault="005C67B9" w:rsidP="005A3144">
      <w:pPr>
        <w:autoSpaceDE w:val="0"/>
        <w:autoSpaceDN w:val="0"/>
        <w:adjustRightInd w:val="0"/>
        <w:spacing w:after="60" w:line="240" w:lineRule="auto"/>
        <w:ind w:left="284" w:hanging="284"/>
        <w:jc w:val="both"/>
        <w:rPr>
          <w:rFonts w:ascii="Times New Roman" w:hAnsi="Times New Roman" w:cs="Times New Roman"/>
          <w:sz w:val="22"/>
        </w:rPr>
      </w:pPr>
      <w:r w:rsidRPr="005A3144">
        <w:rPr>
          <w:rFonts w:ascii="Times New Roman" w:hAnsi="Times New Roman" w:cs="Times New Roman"/>
          <w:sz w:val="22"/>
        </w:rPr>
        <w:t>Okičić J. (2014)</w:t>
      </w:r>
      <w:r w:rsidR="005A3144">
        <w:rPr>
          <w:rFonts w:ascii="Times New Roman" w:hAnsi="Times New Roman" w:cs="Times New Roman"/>
          <w:sz w:val="22"/>
        </w:rPr>
        <w:t>:</w:t>
      </w:r>
      <w:r w:rsidRPr="005A3144">
        <w:rPr>
          <w:rFonts w:ascii="Times New Roman" w:hAnsi="Times New Roman" w:cs="Times New Roman"/>
          <w:sz w:val="22"/>
        </w:rPr>
        <w:t xml:space="preserve"> </w:t>
      </w:r>
      <w:r w:rsidR="005A3144">
        <w:rPr>
          <w:rFonts w:ascii="Times New Roman" w:hAnsi="Times New Roman" w:cs="Times New Roman"/>
          <w:sz w:val="22"/>
        </w:rPr>
        <w:t>“</w:t>
      </w:r>
      <w:r w:rsidRPr="005A3144">
        <w:rPr>
          <w:rFonts w:ascii="Times New Roman" w:hAnsi="Times New Roman" w:cs="Times New Roman"/>
          <w:sz w:val="22"/>
        </w:rPr>
        <w:t>An Empirical Analysis of Stock Returns and Volatility: the Case of Stock Markets from Central and Eastern Europe</w:t>
      </w:r>
      <w:r w:rsidR="005A3144">
        <w:rPr>
          <w:rFonts w:ascii="Times New Roman" w:hAnsi="Times New Roman" w:cs="Times New Roman"/>
          <w:sz w:val="22"/>
        </w:rPr>
        <w:t>”</w:t>
      </w:r>
      <w:r w:rsidRPr="005A3144">
        <w:rPr>
          <w:rFonts w:ascii="Times New Roman" w:hAnsi="Times New Roman" w:cs="Times New Roman"/>
          <w:sz w:val="22"/>
        </w:rPr>
        <w:t xml:space="preserve">, </w:t>
      </w:r>
      <w:r w:rsidRPr="005A3144">
        <w:rPr>
          <w:rFonts w:ascii="Times New Roman" w:hAnsi="Times New Roman" w:cs="Times New Roman"/>
          <w:i/>
          <w:sz w:val="22"/>
        </w:rPr>
        <w:t>South East European Journal of Economics and Business</w:t>
      </w:r>
      <w:r w:rsidRPr="005A3144">
        <w:rPr>
          <w:rFonts w:ascii="Times New Roman" w:hAnsi="Times New Roman" w:cs="Times New Roman"/>
          <w:sz w:val="22"/>
        </w:rPr>
        <w:t>, Volume 9 (1) 2014, 7-15</w:t>
      </w:r>
    </w:p>
    <w:p w:rsidR="005C67B9" w:rsidRPr="005A3144" w:rsidRDefault="005C67B9" w:rsidP="005A3144">
      <w:pPr>
        <w:autoSpaceDE w:val="0"/>
        <w:autoSpaceDN w:val="0"/>
        <w:adjustRightInd w:val="0"/>
        <w:spacing w:after="60" w:line="240" w:lineRule="auto"/>
        <w:ind w:left="284" w:hanging="284"/>
        <w:jc w:val="both"/>
        <w:rPr>
          <w:rFonts w:ascii="Times New Roman" w:hAnsi="Times New Roman" w:cs="Times New Roman"/>
          <w:sz w:val="22"/>
        </w:rPr>
      </w:pPr>
      <w:r w:rsidRPr="005A3144">
        <w:rPr>
          <w:rFonts w:ascii="Times New Roman" w:hAnsi="Times New Roman" w:cs="Times New Roman"/>
          <w:sz w:val="22"/>
        </w:rPr>
        <w:lastRenderedPageBreak/>
        <w:t>Samitas, A. D. Kenourgios, N. Paltalidis (2006)</w:t>
      </w:r>
      <w:r w:rsidR="005A3144">
        <w:rPr>
          <w:rFonts w:ascii="Times New Roman" w:hAnsi="Times New Roman" w:cs="Times New Roman"/>
          <w:sz w:val="22"/>
        </w:rPr>
        <w:t>:</w:t>
      </w:r>
      <w:r w:rsidRPr="005A3144">
        <w:rPr>
          <w:rFonts w:ascii="Times New Roman" w:hAnsi="Times New Roman" w:cs="Times New Roman"/>
          <w:sz w:val="22"/>
        </w:rPr>
        <w:t xml:space="preserve"> </w:t>
      </w:r>
      <w:r w:rsidR="005A3144">
        <w:rPr>
          <w:rFonts w:ascii="Times New Roman" w:hAnsi="Times New Roman" w:cs="Times New Roman"/>
          <w:sz w:val="22"/>
        </w:rPr>
        <w:t>“</w:t>
      </w:r>
      <w:r w:rsidRPr="005A3144">
        <w:rPr>
          <w:rFonts w:ascii="Times New Roman" w:hAnsi="Times New Roman" w:cs="Times New Roman"/>
          <w:bCs/>
          <w:sz w:val="22"/>
        </w:rPr>
        <w:t>Short and long run parametric dynamics in the Balkans stock markets</w:t>
      </w:r>
      <w:r w:rsidR="005A3144">
        <w:rPr>
          <w:rFonts w:ascii="Times New Roman" w:hAnsi="Times New Roman" w:cs="Times New Roman"/>
          <w:bCs/>
          <w:sz w:val="22"/>
        </w:rPr>
        <w:t>”</w:t>
      </w:r>
      <w:r w:rsidRPr="005A3144">
        <w:rPr>
          <w:rFonts w:ascii="Times New Roman" w:hAnsi="Times New Roman" w:cs="Times New Roman"/>
          <w:bCs/>
          <w:sz w:val="22"/>
        </w:rPr>
        <w:t>,</w:t>
      </w:r>
      <w:r w:rsidR="005A3144">
        <w:rPr>
          <w:rFonts w:ascii="Times New Roman" w:hAnsi="Times New Roman" w:cs="Times New Roman"/>
          <w:bCs/>
          <w:sz w:val="22"/>
        </w:rPr>
        <w:t xml:space="preserve"> </w:t>
      </w:r>
      <w:r w:rsidRPr="005A3144">
        <w:rPr>
          <w:rFonts w:ascii="Times New Roman" w:hAnsi="Times New Roman" w:cs="Times New Roman"/>
          <w:bCs/>
          <w:sz w:val="22"/>
        </w:rPr>
        <w:t xml:space="preserve"> </w:t>
      </w:r>
      <w:r w:rsidRPr="005A3144">
        <w:rPr>
          <w:rFonts w:ascii="Times New Roman" w:hAnsi="Times New Roman" w:cs="Times New Roman"/>
          <w:bCs/>
          <w:i/>
          <w:sz w:val="22"/>
        </w:rPr>
        <w:t>International Journal of Business, Management and Economics</w:t>
      </w:r>
      <w:r w:rsidRPr="005A3144">
        <w:rPr>
          <w:rFonts w:ascii="Times New Roman" w:hAnsi="Times New Roman" w:cs="Times New Roman"/>
          <w:bCs/>
          <w:sz w:val="22"/>
        </w:rPr>
        <w:t>, Vol. 2, No. 8, pp. 5-20</w:t>
      </w:r>
    </w:p>
    <w:p w:rsidR="004C5432" w:rsidRPr="005A3144" w:rsidRDefault="004C5432" w:rsidP="005A3144">
      <w:pPr>
        <w:spacing w:after="60" w:line="240" w:lineRule="auto"/>
        <w:ind w:left="284" w:hanging="284"/>
        <w:jc w:val="both"/>
        <w:rPr>
          <w:rFonts w:ascii="Times New Roman" w:eastAsia="Times New Roman" w:hAnsi="Times New Roman" w:cs="Times New Roman"/>
          <w:sz w:val="22"/>
        </w:rPr>
      </w:pPr>
      <w:r w:rsidRPr="005A3144">
        <w:rPr>
          <w:rFonts w:ascii="Times New Roman" w:eastAsia="Times New Roman" w:hAnsi="Times New Roman" w:cs="Times New Roman"/>
          <w:sz w:val="22"/>
        </w:rPr>
        <w:t>Syriopoulos, T. (2007)</w:t>
      </w:r>
      <w:r w:rsidR="005A3144">
        <w:rPr>
          <w:rFonts w:ascii="Times New Roman" w:eastAsia="Times New Roman" w:hAnsi="Times New Roman" w:cs="Times New Roman"/>
          <w:sz w:val="22"/>
        </w:rPr>
        <w:t>:</w:t>
      </w:r>
      <w:r w:rsidRPr="005A3144">
        <w:rPr>
          <w:rFonts w:ascii="Times New Roman" w:eastAsia="Times New Roman" w:hAnsi="Times New Roman" w:cs="Times New Roman"/>
          <w:sz w:val="22"/>
        </w:rPr>
        <w:t xml:space="preserve"> “Dynamic linkages between emerging European and developed stock markets: Has the EMU any impact?”, </w:t>
      </w:r>
      <w:r w:rsidRPr="005A3144">
        <w:rPr>
          <w:rFonts w:ascii="Times New Roman" w:eastAsia="Times New Roman" w:hAnsi="Times New Roman" w:cs="Times New Roman"/>
          <w:i/>
          <w:sz w:val="22"/>
        </w:rPr>
        <w:t>International Review of Financial Analysis</w:t>
      </w:r>
      <w:r w:rsidRPr="005A3144">
        <w:rPr>
          <w:rFonts w:ascii="Times New Roman" w:eastAsia="Times New Roman" w:hAnsi="Times New Roman" w:cs="Times New Roman"/>
          <w:sz w:val="22"/>
        </w:rPr>
        <w:t>, vol. 16, no. 1, pp. 41-60.</w:t>
      </w:r>
    </w:p>
    <w:p w:rsidR="00922FA3" w:rsidRPr="005A3144" w:rsidRDefault="00922FA3" w:rsidP="005A3144">
      <w:pPr>
        <w:spacing w:after="60" w:line="240" w:lineRule="auto"/>
        <w:ind w:left="284" w:hanging="284"/>
        <w:jc w:val="both"/>
        <w:rPr>
          <w:rFonts w:ascii="Times New Roman" w:hAnsi="Times New Roman" w:cs="Times New Roman"/>
          <w:sz w:val="22"/>
          <w:lang w:val="mk-MK"/>
        </w:rPr>
      </w:pPr>
      <w:r w:rsidRPr="005A3144">
        <w:rPr>
          <w:rFonts w:ascii="Times New Roman" w:hAnsi="Times New Roman" w:cs="Times New Roman"/>
          <w:sz w:val="22"/>
          <w:lang w:val="mk-MK"/>
        </w:rPr>
        <w:t xml:space="preserve">Тевдовски, Д. </w:t>
      </w:r>
      <w:r w:rsidRPr="005A3144">
        <w:rPr>
          <w:rFonts w:ascii="Times New Roman" w:hAnsi="Times New Roman" w:cs="Times New Roman"/>
          <w:sz w:val="22"/>
        </w:rPr>
        <w:t>(2010)</w:t>
      </w:r>
      <w:r w:rsidR="005A3144">
        <w:rPr>
          <w:rFonts w:ascii="Times New Roman" w:hAnsi="Times New Roman" w:cs="Times New Roman"/>
          <w:sz w:val="22"/>
        </w:rPr>
        <w:t>:</w:t>
      </w:r>
      <w:r w:rsidRPr="005A3144">
        <w:rPr>
          <w:rFonts w:ascii="Times New Roman" w:hAnsi="Times New Roman" w:cs="Times New Roman"/>
          <w:sz w:val="22"/>
        </w:rPr>
        <w:t xml:space="preserve"> </w:t>
      </w:r>
      <w:r w:rsidRPr="005A3144">
        <w:rPr>
          <w:rFonts w:ascii="Times New Roman" w:hAnsi="Times New Roman" w:cs="Times New Roman"/>
          <w:sz w:val="22"/>
          <w:lang w:val="mk-MK"/>
        </w:rPr>
        <w:t xml:space="preserve">,,Испитување на интегрираноста на Македонската берза со неколку избрани берзи на хартии од вредност“, </w:t>
      </w:r>
      <w:r w:rsidRPr="005A3144">
        <w:rPr>
          <w:rFonts w:ascii="Times New Roman" w:hAnsi="Times New Roman" w:cs="Times New Roman"/>
          <w:i/>
          <w:sz w:val="22"/>
          <w:lang w:val="mk-MK"/>
        </w:rPr>
        <w:t>Годишник на Економскиот факултет</w:t>
      </w:r>
      <w:r w:rsidRPr="005A3144">
        <w:rPr>
          <w:rFonts w:ascii="Times New Roman" w:hAnsi="Times New Roman" w:cs="Times New Roman"/>
          <w:sz w:val="22"/>
          <w:lang w:val="mk-MK"/>
        </w:rPr>
        <w:t>, Том 45.</w:t>
      </w:r>
    </w:p>
    <w:p w:rsidR="00922FA3" w:rsidRPr="005A3144" w:rsidRDefault="00922FA3" w:rsidP="005A3144">
      <w:pPr>
        <w:pStyle w:val="Heading1"/>
        <w:spacing w:before="0" w:beforeAutospacing="0" w:after="60" w:afterAutospacing="0"/>
        <w:ind w:left="284" w:hanging="284"/>
        <w:jc w:val="both"/>
        <w:rPr>
          <w:rFonts w:eastAsiaTheme="minorHAnsi"/>
          <w:b w:val="0"/>
          <w:kern w:val="0"/>
          <w:sz w:val="22"/>
          <w:szCs w:val="22"/>
        </w:rPr>
      </w:pPr>
      <w:r w:rsidRPr="005A3144">
        <w:rPr>
          <w:rFonts w:eastAsiaTheme="minorHAnsi"/>
          <w:b w:val="0"/>
          <w:kern w:val="0"/>
          <w:sz w:val="22"/>
          <w:szCs w:val="22"/>
        </w:rPr>
        <w:t>Ülkü, N. (2011)</w:t>
      </w:r>
      <w:r w:rsidR="005A3144">
        <w:rPr>
          <w:rFonts w:eastAsiaTheme="minorHAnsi"/>
          <w:b w:val="0"/>
          <w:kern w:val="0"/>
          <w:sz w:val="22"/>
          <w:szCs w:val="22"/>
        </w:rPr>
        <w:t>:</w:t>
      </w:r>
      <w:r w:rsidRPr="005A3144">
        <w:rPr>
          <w:rFonts w:eastAsiaTheme="minorHAnsi"/>
          <w:b w:val="0"/>
          <w:kern w:val="0"/>
          <w:sz w:val="22"/>
          <w:szCs w:val="22"/>
        </w:rPr>
        <w:t xml:space="preserve"> “Modeling Comovement among Emerging Stock Markets: The Case of Budapest and Istanbul”, </w:t>
      </w:r>
      <w:r w:rsidRPr="005A3144">
        <w:rPr>
          <w:rFonts w:eastAsiaTheme="minorHAnsi"/>
          <w:b w:val="0"/>
          <w:i/>
          <w:kern w:val="0"/>
          <w:sz w:val="22"/>
          <w:szCs w:val="22"/>
        </w:rPr>
        <w:t>Czech Journal of Economics and Finance (Finance a uver)</w:t>
      </w:r>
      <w:r w:rsidRPr="005A3144">
        <w:rPr>
          <w:rFonts w:eastAsiaTheme="minorHAnsi"/>
          <w:b w:val="0"/>
          <w:kern w:val="0"/>
          <w:sz w:val="22"/>
          <w:szCs w:val="22"/>
        </w:rPr>
        <w:t>, 61, No.3</w:t>
      </w:r>
    </w:p>
    <w:p w:rsidR="00922FA3" w:rsidRDefault="00A67AB7" w:rsidP="006C1BB4">
      <w:pPr>
        <w:jc w:val="center"/>
        <w:rPr>
          <w:rFonts w:ascii="Times New Roman" w:hAnsi="Times New Roman" w:cs="Times New Roman"/>
          <w:szCs w:val="24"/>
          <w:lang w:val="mk-MK"/>
        </w:rPr>
      </w:pPr>
      <w:r>
        <w:br/>
      </w:r>
      <w:r>
        <w:br/>
      </w:r>
    </w:p>
    <w:p w:rsidR="006C1BB4" w:rsidRDefault="006C1BB4" w:rsidP="006C1BB4">
      <w:pPr>
        <w:jc w:val="center"/>
        <w:rPr>
          <w:rFonts w:ascii="Times New Roman" w:hAnsi="Times New Roman" w:cs="Times New Roman"/>
          <w:szCs w:val="24"/>
          <w:lang w:val="mk-MK"/>
        </w:rPr>
      </w:pPr>
    </w:p>
    <w:p w:rsidR="006C1BB4" w:rsidRPr="006C1BB4" w:rsidRDefault="006C1BB4" w:rsidP="006C1BB4">
      <w:pPr>
        <w:jc w:val="center"/>
        <w:rPr>
          <w:rFonts w:ascii="Times New Roman" w:hAnsi="Times New Roman" w:cs="Times New Roman"/>
          <w:szCs w:val="24"/>
          <w:lang w:val="mk-MK"/>
        </w:rPr>
      </w:pPr>
    </w:p>
    <w:p w:rsidR="003C5B2B" w:rsidRDefault="003C5B2B" w:rsidP="003C5B2B">
      <w:pPr>
        <w:spacing w:after="0" w:line="240" w:lineRule="auto"/>
        <w:rPr>
          <w:rFonts w:ascii="Times New Roman" w:hAnsi="Times New Roman" w:cs="Times New Roman"/>
          <w:b/>
        </w:rPr>
      </w:pPr>
      <w:r>
        <w:rPr>
          <w:rFonts w:ascii="Times New Roman" w:hAnsi="Times New Roman" w:cs="Times New Roman"/>
          <w:b/>
        </w:rPr>
        <w:t>Summary</w:t>
      </w:r>
    </w:p>
    <w:p w:rsidR="003C5B2B" w:rsidRDefault="003C5B2B" w:rsidP="003C5B2B">
      <w:pPr>
        <w:spacing w:after="0" w:line="240" w:lineRule="auto"/>
        <w:rPr>
          <w:rFonts w:ascii="Times New Roman" w:hAnsi="Times New Roman" w:cs="Times New Roman"/>
          <w:b/>
        </w:rPr>
      </w:pPr>
    </w:p>
    <w:p w:rsidR="003C5B2B" w:rsidRDefault="003C5B2B" w:rsidP="003C5B2B">
      <w:pPr>
        <w:spacing w:after="0" w:line="240" w:lineRule="auto"/>
        <w:rPr>
          <w:rFonts w:ascii="Times New Roman" w:hAnsi="Times New Roman" w:cs="Times New Roman"/>
          <w:b/>
        </w:rPr>
      </w:pPr>
    </w:p>
    <w:p w:rsidR="003C5B2B" w:rsidRDefault="003C5B2B" w:rsidP="003C5B2B">
      <w:pPr>
        <w:spacing w:after="0" w:line="240" w:lineRule="auto"/>
        <w:rPr>
          <w:rFonts w:ascii="Times New Roman" w:hAnsi="Times New Roman" w:cs="Times New Roman"/>
          <w:b/>
        </w:rPr>
      </w:pPr>
    </w:p>
    <w:p w:rsidR="00822341" w:rsidRPr="006A3AD6" w:rsidRDefault="00822341" w:rsidP="00822341">
      <w:pPr>
        <w:spacing w:after="0" w:line="240" w:lineRule="auto"/>
        <w:jc w:val="center"/>
        <w:rPr>
          <w:rFonts w:ascii="Times New Roman" w:hAnsi="Times New Roman" w:cs="Times New Roman"/>
          <w:b/>
        </w:rPr>
      </w:pPr>
      <w:r>
        <w:rPr>
          <w:rFonts w:ascii="Times New Roman" w:hAnsi="Times New Roman" w:cs="Times New Roman"/>
          <w:b/>
        </w:rPr>
        <w:t>RELATIONSHIPS OF INTEGRATION AMONG THE STOCK EXCHANGES FROM THE BALKANS AND DIVERSIFICATION OPPORTUNITIES</w:t>
      </w:r>
    </w:p>
    <w:p w:rsidR="00822341" w:rsidRDefault="00822341" w:rsidP="00822341">
      <w:pPr>
        <w:spacing w:after="0" w:line="240" w:lineRule="auto"/>
        <w:jc w:val="center"/>
        <w:rPr>
          <w:rFonts w:ascii="Times New Roman" w:hAnsi="Times New Roman" w:cs="Times New Roman"/>
          <w:b/>
        </w:rPr>
      </w:pPr>
    </w:p>
    <w:p w:rsidR="00822341" w:rsidRDefault="00822341" w:rsidP="00822341">
      <w:pPr>
        <w:spacing w:after="0" w:line="240" w:lineRule="auto"/>
        <w:jc w:val="center"/>
        <w:rPr>
          <w:rFonts w:ascii="Times New Roman" w:hAnsi="Times New Roman" w:cs="Times New Roman"/>
          <w:b/>
        </w:rPr>
      </w:pPr>
      <w:r>
        <w:rPr>
          <w:rFonts w:ascii="Times New Roman" w:hAnsi="Times New Roman" w:cs="Times New Roman"/>
          <w:b/>
        </w:rPr>
        <w:t>Sasho Arsov, PhD</w:t>
      </w:r>
    </w:p>
    <w:p w:rsidR="00822341" w:rsidRDefault="00822341" w:rsidP="00822341">
      <w:pPr>
        <w:spacing w:after="0" w:line="240" w:lineRule="auto"/>
        <w:jc w:val="center"/>
        <w:rPr>
          <w:rFonts w:ascii="Times New Roman" w:hAnsi="Times New Roman" w:cs="Times New Roman"/>
        </w:rPr>
      </w:pPr>
      <w:r>
        <w:rPr>
          <w:rFonts w:ascii="Times New Roman" w:hAnsi="Times New Roman" w:cs="Times New Roman"/>
        </w:rPr>
        <w:t>Ss. Cyril and Methodius University in Skopje</w:t>
      </w:r>
    </w:p>
    <w:p w:rsidR="00822341" w:rsidRDefault="00822341" w:rsidP="00822341">
      <w:pPr>
        <w:spacing w:after="0" w:line="240" w:lineRule="auto"/>
        <w:jc w:val="center"/>
        <w:rPr>
          <w:rFonts w:ascii="Times New Roman" w:hAnsi="Times New Roman" w:cs="Times New Roman"/>
        </w:rPr>
      </w:pPr>
      <w:r>
        <w:rPr>
          <w:rFonts w:ascii="Times New Roman" w:hAnsi="Times New Roman" w:cs="Times New Roman"/>
        </w:rPr>
        <w:t>Faculty of Economics - Skopje</w:t>
      </w:r>
    </w:p>
    <w:p w:rsidR="00822341" w:rsidRDefault="00822341" w:rsidP="00822341">
      <w:pPr>
        <w:spacing w:after="0" w:line="240" w:lineRule="auto"/>
        <w:jc w:val="center"/>
        <w:rPr>
          <w:rFonts w:ascii="Times New Roman" w:hAnsi="Times New Roman" w:cs="Times New Roman"/>
        </w:rPr>
      </w:pPr>
      <w:r>
        <w:rPr>
          <w:rFonts w:ascii="Times New Roman" w:hAnsi="Times New Roman" w:cs="Times New Roman"/>
        </w:rPr>
        <w:t>sarsov@eccf.ukim.edu.mk</w:t>
      </w:r>
    </w:p>
    <w:p w:rsidR="00822341" w:rsidRPr="003C5B2B" w:rsidRDefault="00822341" w:rsidP="00822341">
      <w:pPr>
        <w:spacing w:after="0" w:line="240" w:lineRule="auto"/>
        <w:jc w:val="center"/>
        <w:rPr>
          <w:rFonts w:ascii="Times New Roman" w:hAnsi="Times New Roman" w:cs="Times New Roman"/>
          <w:b/>
        </w:rPr>
      </w:pPr>
    </w:p>
    <w:p w:rsidR="00822341" w:rsidRDefault="00822341" w:rsidP="00822341">
      <w:pPr>
        <w:spacing w:after="0" w:line="240" w:lineRule="auto"/>
        <w:rPr>
          <w:rFonts w:ascii="Times New Roman" w:hAnsi="Times New Roman" w:cs="Times New Roman"/>
          <w:b/>
        </w:rPr>
      </w:pPr>
    </w:p>
    <w:p w:rsidR="00822341" w:rsidRDefault="00822341" w:rsidP="00822341">
      <w:pPr>
        <w:spacing w:after="0" w:line="240" w:lineRule="auto"/>
        <w:jc w:val="both"/>
        <w:rPr>
          <w:rFonts w:ascii="Times New Roman" w:hAnsi="Times New Roman" w:cs="Times New Roman"/>
        </w:rPr>
      </w:pPr>
      <w:r w:rsidRPr="006A3AD6">
        <w:rPr>
          <w:rFonts w:ascii="Times New Roman" w:hAnsi="Times New Roman" w:cs="Times New Roman"/>
        </w:rPr>
        <w:tab/>
        <w:t>This paper</w:t>
      </w:r>
      <w:r>
        <w:rPr>
          <w:rFonts w:ascii="Times New Roman" w:hAnsi="Times New Roman" w:cs="Times New Roman"/>
        </w:rPr>
        <w:t xml:space="preserve"> analyses the degree of integration and co-movement among the capital markets of several Balkan countries with regards to the opening of a joint trading platform created by the exchanges in Skopje, Sofia and Zagreb. The analysis of the correlation coefficients between the observed stock exchange indices for the period 2005-2015 has shown that the average correlations have been high, but also that they have dropped in the last 5-6 years, thus opening diversification opportunities for the investors. The correlations have been at their highest during the so-called market boom, which could also be related to the highest market volatility observed during the same period. </w:t>
      </w:r>
      <w:r w:rsidRPr="00045CC1">
        <w:rPr>
          <w:rFonts w:ascii="Times New Roman" w:hAnsi="Times New Roman" w:cs="Times New Roman"/>
        </w:rPr>
        <w:t>This c</w:t>
      </w:r>
      <w:r>
        <w:rPr>
          <w:rFonts w:ascii="Times New Roman" w:hAnsi="Times New Roman" w:cs="Times New Roman"/>
        </w:rPr>
        <w:t>onfirms the existence of conta</w:t>
      </w:r>
      <w:r w:rsidRPr="00045CC1">
        <w:rPr>
          <w:rFonts w:ascii="Times New Roman" w:hAnsi="Times New Roman" w:cs="Times New Roman"/>
        </w:rPr>
        <w:t xml:space="preserve">gion among the markets which is a world-known phenomenon. The analysis of the Granger causalities based on a </w:t>
      </w:r>
      <w:r>
        <w:rPr>
          <w:rFonts w:ascii="Times New Roman" w:hAnsi="Times New Roman" w:cs="Times New Roman"/>
        </w:rPr>
        <w:t>V</w:t>
      </w:r>
      <w:r w:rsidRPr="00045CC1">
        <w:rPr>
          <w:rFonts w:ascii="Times New Roman" w:hAnsi="Times New Roman" w:cs="Times New Roman"/>
        </w:rPr>
        <w:t>ector Autoregressive model</w:t>
      </w:r>
      <w:r>
        <w:rPr>
          <w:rFonts w:ascii="Times New Roman" w:hAnsi="Times New Roman" w:cs="Times New Roman"/>
        </w:rPr>
        <w:t xml:space="preserve"> showed that there strong causality links exist between some of the markets, i.e. there are lead-lag relationships which could serve as a hint to the investors to follow the signals coming from the leading market when managing their portfolios on the lagging ones. </w:t>
      </w:r>
    </w:p>
    <w:p w:rsidR="00822341" w:rsidRDefault="00822341" w:rsidP="00822341">
      <w:pPr>
        <w:spacing w:after="0" w:line="240" w:lineRule="auto"/>
        <w:jc w:val="both"/>
        <w:rPr>
          <w:rFonts w:ascii="Times New Roman" w:hAnsi="Times New Roman" w:cs="Times New Roman"/>
        </w:rPr>
      </w:pPr>
    </w:p>
    <w:p w:rsidR="00822341" w:rsidRDefault="00822341" w:rsidP="00822341">
      <w:pPr>
        <w:spacing w:after="0" w:line="240" w:lineRule="auto"/>
        <w:jc w:val="both"/>
        <w:rPr>
          <w:rFonts w:ascii="Times New Roman" w:hAnsi="Times New Roman" w:cs="Times New Roman"/>
        </w:rPr>
      </w:pPr>
      <w:r>
        <w:rPr>
          <w:rFonts w:ascii="Times New Roman" w:hAnsi="Times New Roman" w:cs="Times New Roman"/>
        </w:rPr>
        <w:t>Keywords: portfolio, stock exchange indices, diversification, integration, correlation</w:t>
      </w:r>
    </w:p>
    <w:sectPr w:rsidR="0082234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8E" w:rsidRDefault="0015098E" w:rsidP="002D4518">
      <w:pPr>
        <w:spacing w:after="0" w:line="240" w:lineRule="auto"/>
      </w:pPr>
      <w:r>
        <w:separator/>
      </w:r>
    </w:p>
  </w:endnote>
  <w:endnote w:type="continuationSeparator" w:id="0">
    <w:p w:rsidR="0015098E" w:rsidRDefault="0015098E" w:rsidP="002D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edonian T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LMRoman10-Regular">
    <w:altName w:val="Times New Roman"/>
    <w:panose1 w:val="00000000000000000000"/>
    <w:charset w:val="00"/>
    <w:family w:val="auto"/>
    <w:notTrueType/>
    <w:pitch w:val="default"/>
    <w:sig w:usb0="00000003" w:usb1="00000000" w:usb2="00000000" w:usb3="00000000" w:csb0="00000001" w:csb1="00000000"/>
  </w:font>
  <w:font w:name="LMRoman10-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077"/>
      <w:docPartObj>
        <w:docPartGallery w:val="Page Numbers (Bottom of Page)"/>
        <w:docPartUnique/>
      </w:docPartObj>
    </w:sdtPr>
    <w:sdtEndPr>
      <w:rPr>
        <w:noProof/>
      </w:rPr>
    </w:sdtEndPr>
    <w:sdtContent>
      <w:p w:rsidR="00062BA0" w:rsidRDefault="00062BA0">
        <w:pPr>
          <w:pStyle w:val="Footer"/>
          <w:jc w:val="right"/>
        </w:pPr>
        <w:r>
          <w:fldChar w:fldCharType="begin"/>
        </w:r>
        <w:r>
          <w:instrText xml:space="preserve"> PAGE   \* MERGEFORMAT </w:instrText>
        </w:r>
        <w:r>
          <w:fldChar w:fldCharType="separate"/>
        </w:r>
        <w:r w:rsidR="00830CC7">
          <w:rPr>
            <w:noProof/>
          </w:rPr>
          <w:t>8</w:t>
        </w:r>
        <w:r>
          <w:rPr>
            <w:noProof/>
          </w:rPr>
          <w:fldChar w:fldCharType="end"/>
        </w:r>
      </w:p>
    </w:sdtContent>
  </w:sdt>
  <w:p w:rsidR="00062BA0" w:rsidRDefault="0006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8E" w:rsidRDefault="0015098E" w:rsidP="002D4518">
      <w:pPr>
        <w:spacing w:after="0" w:line="240" w:lineRule="auto"/>
      </w:pPr>
      <w:r>
        <w:separator/>
      </w:r>
    </w:p>
  </w:footnote>
  <w:footnote w:type="continuationSeparator" w:id="0">
    <w:p w:rsidR="0015098E" w:rsidRDefault="0015098E" w:rsidP="002D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A8"/>
    <w:rsid w:val="00032AF9"/>
    <w:rsid w:val="00045CC1"/>
    <w:rsid w:val="00062BA0"/>
    <w:rsid w:val="000F2E43"/>
    <w:rsid w:val="00104F2F"/>
    <w:rsid w:val="00136CE3"/>
    <w:rsid w:val="0015098E"/>
    <w:rsid w:val="00186697"/>
    <w:rsid w:val="001C5212"/>
    <w:rsid w:val="002B43A2"/>
    <w:rsid w:val="002D4518"/>
    <w:rsid w:val="003018C4"/>
    <w:rsid w:val="00356863"/>
    <w:rsid w:val="003C5B2B"/>
    <w:rsid w:val="00423751"/>
    <w:rsid w:val="004C5432"/>
    <w:rsid w:val="005315CB"/>
    <w:rsid w:val="00540E0E"/>
    <w:rsid w:val="005A3144"/>
    <w:rsid w:val="005B46A8"/>
    <w:rsid w:val="005C20A6"/>
    <w:rsid w:val="005C67B9"/>
    <w:rsid w:val="005D63E6"/>
    <w:rsid w:val="00656B3C"/>
    <w:rsid w:val="006A3AD6"/>
    <w:rsid w:val="006C1BB4"/>
    <w:rsid w:val="00701257"/>
    <w:rsid w:val="0072703E"/>
    <w:rsid w:val="00754F1F"/>
    <w:rsid w:val="007A1CAF"/>
    <w:rsid w:val="007B0D99"/>
    <w:rsid w:val="007D42CC"/>
    <w:rsid w:val="00822341"/>
    <w:rsid w:val="00830CC7"/>
    <w:rsid w:val="008408F6"/>
    <w:rsid w:val="008649CA"/>
    <w:rsid w:val="00880D5D"/>
    <w:rsid w:val="008A2A72"/>
    <w:rsid w:val="008E449C"/>
    <w:rsid w:val="009212CF"/>
    <w:rsid w:val="00922DCD"/>
    <w:rsid w:val="00922FA3"/>
    <w:rsid w:val="009510C9"/>
    <w:rsid w:val="009D15A3"/>
    <w:rsid w:val="009E5E35"/>
    <w:rsid w:val="00A14A10"/>
    <w:rsid w:val="00A313CA"/>
    <w:rsid w:val="00A67AB7"/>
    <w:rsid w:val="00B44261"/>
    <w:rsid w:val="00B75027"/>
    <w:rsid w:val="00B85847"/>
    <w:rsid w:val="00C1327C"/>
    <w:rsid w:val="00CB1101"/>
    <w:rsid w:val="00CC12D7"/>
    <w:rsid w:val="00CE5DD3"/>
    <w:rsid w:val="00D36EAA"/>
    <w:rsid w:val="00D442EF"/>
    <w:rsid w:val="00D82048"/>
    <w:rsid w:val="00D85479"/>
    <w:rsid w:val="00DB75A6"/>
    <w:rsid w:val="00DD7902"/>
    <w:rsid w:val="00DE4801"/>
    <w:rsid w:val="00E067FD"/>
    <w:rsid w:val="00E249E5"/>
    <w:rsid w:val="00E32DC0"/>
    <w:rsid w:val="00E53CC8"/>
    <w:rsid w:val="00E54B95"/>
    <w:rsid w:val="00E650C7"/>
    <w:rsid w:val="00F62F37"/>
    <w:rsid w:val="00FB4D43"/>
    <w:rsid w:val="00FE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cedonian Tms" w:eastAsiaTheme="minorHAnsi" w:hAnsi="Macedonian T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A8"/>
  </w:style>
  <w:style w:type="paragraph" w:styleId="Heading1">
    <w:name w:val="heading 1"/>
    <w:basedOn w:val="Normal"/>
    <w:link w:val="Heading1Char"/>
    <w:uiPriority w:val="9"/>
    <w:qFormat/>
    <w:rsid w:val="00A67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7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18"/>
  </w:style>
  <w:style w:type="paragraph" w:styleId="Footer">
    <w:name w:val="footer"/>
    <w:basedOn w:val="Normal"/>
    <w:link w:val="FooterChar"/>
    <w:uiPriority w:val="99"/>
    <w:unhideWhenUsed/>
    <w:rsid w:val="002D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18"/>
  </w:style>
  <w:style w:type="paragraph" w:styleId="BalloonText">
    <w:name w:val="Balloon Text"/>
    <w:basedOn w:val="Normal"/>
    <w:link w:val="BalloonTextChar"/>
    <w:uiPriority w:val="99"/>
    <w:semiHidden/>
    <w:unhideWhenUsed/>
    <w:rsid w:val="005D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E6"/>
    <w:rPr>
      <w:rFonts w:ascii="Tahoma" w:hAnsi="Tahoma" w:cs="Tahoma"/>
      <w:sz w:val="16"/>
      <w:szCs w:val="16"/>
    </w:rPr>
  </w:style>
  <w:style w:type="table" w:styleId="TableGrid">
    <w:name w:val="Table Grid"/>
    <w:basedOn w:val="TableNormal"/>
    <w:uiPriority w:val="59"/>
    <w:rsid w:val="007D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7A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A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67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cedonian Tms" w:eastAsiaTheme="minorHAnsi" w:hAnsi="Macedonian T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A8"/>
  </w:style>
  <w:style w:type="paragraph" w:styleId="Heading1">
    <w:name w:val="heading 1"/>
    <w:basedOn w:val="Normal"/>
    <w:link w:val="Heading1Char"/>
    <w:uiPriority w:val="9"/>
    <w:qFormat/>
    <w:rsid w:val="00A67A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7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18"/>
  </w:style>
  <w:style w:type="paragraph" w:styleId="Footer">
    <w:name w:val="footer"/>
    <w:basedOn w:val="Normal"/>
    <w:link w:val="FooterChar"/>
    <w:uiPriority w:val="99"/>
    <w:unhideWhenUsed/>
    <w:rsid w:val="002D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18"/>
  </w:style>
  <w:style w:type="paragraph" w:styleId="BalloonText">
    <w:name w:val="Balloon Text"/>
    <w:basedOn w:val="Normal"/>
    <w:link w:val="BalloonTextChar"/>
    <w:uiPriority w:val="99"/>
    <w:semiHidden/>
    <w:unhideWhenUsed/>
    <w:rsid w:val="005D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E6"/>
    <w:rPr>
      <w:rFonts w:ascii="Tahoma" w:hAnsi="Tahoma" w:cs="Tahoma"/>
      <w:sz w:val="16"/>
      <w:szCs w:val="16"/>
    </w:rPr>
  </w:style>
  <w:style w:type="table" w:styleId="TableGrid">
    <w:name w:val="Table Grid"/>
    <w:basedOn w:val="TableNormal"/>
    <w:uiPriority w:val="59"/>
    <w:rsid w:val="007D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7A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A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67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80786">
      <w:bodyDiv w:val="1"/>
      <w:marLeft w:val="0"/>
      <w:marRight w:val="0"/>
      <w:marTop w:val="0"/>
      <w:marBottom w:val="0"/>
      <w:divBdr>
        <w:top w:val="none" w:sz="0" w:space="0" w:color="auto"/>
        <w:left w:val="none" w:sz="0" w:space="0" w:color="auto"/>
        <w:bottom w:val="none" w:sz="0" w:space="0" w:color="auto"/>
        <w:right w:val="none" w:sz="0" w:space="0" w:color="auto"/>
      </w:divBdr>
      <w:divsChild>
        <w:div w:id="1430389881">
          <w:marLeft w:val="0"/>
          <w:marRight w:val="0"/>
          <w:marTop w:val="0"/>
          <w:marBottom w:val="0"/>
          <w:divBdr>
            <w:top w:val="none" w:sz="0" w:space="0" w:color="auto"/>
            <w:left w:val="none" w:sz="0" w:space="0" w:color="auto"/>
            <w:bottom w:val="none" w:sz="0" w:space="0" w:color="auto"/>
            <w:right w:val="none" w:sz="0" w:space="0" w:color="auto"/>
          </w:divBdr>
        </w:div>
      </w:divsChild>
    </w:div>
    <w:div w:id="472599754">
      <w:bodyDiv w:val="1"/>
      <w:marLeft w:val="0"/>
      <w:marRight w:val="0"/>
      <w:marTop w:val="0"/>
      <w:marBottom w:val="0"/>
      <w:divBdr>
        <w:top w:val="none" w:sz="0" w:space="0" w:color="auto"/>
        <w:left w:val="none" w:sz="0" w:space="0" w:color="auto"/>
        <w:bottom w:val="none" w:sz="0" w:space="0" w:color="auto"/>
        <w:right w:val="none" w:sz="0" w:space="0" w:color="auto"/>
      </w:divBdr>
    </w:div>
    <w:div w:id="701520321">
      <w:bodyDiv w:val="1"/>
      <w:marLeft w:val="0"/>
      <w:marRight w:val="0"/>
      <w:marTop w:val="0"/>
      <w:marBottom w:val="0"/>
      <w:divBdr>
        <w:top w:val="none" w:sz="0" w:space="0" w:color="auto"/>
        <w:left w:val="none" w:sz="0" w:space="0" w:color="auto"/>
        <w:bottom w:val="none" w:sz="0" w:space="0" w:color="auto"/>
        <w:right w:val="none" w:sz="0" w:space="0" w:color="auto"/>
      </w:divBdr>
      <w:divsChild>
        <w:div w:id="1526867109">
          <w:marLeft w:val="0"/>
          <w:marRight w:val="0"/>
          <w:marTop w:val="0"/>
          <w:marBottom w:val="0"/>
          <w:divBdr>
            <w:top w:val="none" w:sz="0" w:space="0" w:color="auto"/>
            <w:left w:val="none" w:sz="0" w:space="0" w:color="auto"/>
            <w:bottom w:val="none" w:sz="0" w:space="0" w:color="auto"/>
            <w:right w:val="none" w:sz="0" w:space="0" w:color="auto"/>
          </w:divBdr>
        </w:div>
        <w:div w:id="1745837240">
          <w:marLeft w:val="0"/>
          <w:marRight w:val="0"/>
          <w:marTop w:val="0"/>
          <w:marBottom w:val="0"/>
          <w:divBdr>
            <w:top w:val="none" w:sz="0" w:space="0" w:color="auto"/>
            <w:left w:val="none" w:sz="0" w:space="0" w:color="auto"/>
            <w:bottom w:val="none" w:sz="0" w:space="0" w:color="auto"/>
            <w:right w:val="none" w:sz="0" w:space="0" w:color="auto"/>
          </w:divBdr>
        </w:div>
        <w:div w:id="840774211">
          <w:marLeft w:val="0"/>
          <w:marRight w:val="0"/>
          <w:marTop w:val="0"/>
          <w:marBottom w:val="0"/>
          <w:divBdr>
            <w:top w:val="none" w:sz="0" w:space="0" w:color="auto"/>
            <w:left w:val="none" w:sz="0" w:space="0" w:color="auto"/>
            <w:bottom w:val="none" w:sz="0" w:space="0" w:color="auto"/>
            <w:right w:val="none" w:sz="0" w:space="0" w:color="auto"/>
          </w:divBdr>
        </w:div>
        <w:div w:id="1580750192">
          <w:marLeft w:val="0"/>
          <w:marRight w:val="0"/>
          <w:marTop w:val="0"/>
          <w:marBottom w:val="0"/>
          <w:divBdr>
            <w:top w:val="none" w:sz="0" w:space="0" w:color="auto"/>
            <w:left w:val="none" w:sz="0" w:space="0" w:color="auto"/>
            <w:bottom w:val="none" w:sz="0" w:space="0" w:color="auto"/>
            <w:right w:val="none" w:sz="0" w:space="0" w:color="auto"/>
          </w:divBdr>
        </w:div>
        <w:div w:id="1280721108">
          <w:marLeft w:val="0"/>
          <w:marRight w:val="0"/>
          <w:marTop w:val="0"/>
          <w:marBottom w:val="0"/>
          <w:divBdr>
            <w:top w:val="none" w:sz="0" w:space="0" w:color="auto"/>
            <w:left w:val="none" w:sz="0" w:space="0" w:color="auto"/>
            <w:bottom w:val="none" w:sz="0" w:space="0" w:color="auto"/>
            <w:right w:val="none" w:sz="0" w:space="0" w:color="auto"/>
          </w:divBdr>
        </w:div>
        <w:div w:id="662318701">
          <w:marLeft w:val="0"/>
          <w:marRight w:val="0"/>
          <w:marTop w:val="0"/>
          <w:marBottom w:val="0"/>
          <w:divBdr>
            <w:top w:val="none" w:sz="0" w:space="0" w:color="auto"/>
            <w:left w:val="none" w:sz="0" w:space="0" w:color="auto"/>
            <w:bottom w:val="none" w:sz="0" w:space="0" w:color="auto"/>
            <w:right w:val="none" w:sz="0" w:space="0" w:color="auto"/>
          </w:divBdr>
        </w:div>
      </w:divsChild>
    </w:div>
    <w:div w:id="1331910748">
      <w:bodyDiv w:val="1"/>
      <w:marLeft w:val="0"/>
      <w:marRight w:val="0"/>
      <w:marTop w:val="0"/>
      <w:marBottom w:val="0"/>
      <w:divBdr>
        <w:top w:val="none" w:sz="0" w:space="0" w:color="auto"/>
        <w:left w:val="none" w:sz="0" w:space="0" w:color="auto"/>
        <w:bottom w:val="none" w:sz="0" w:space="0" w:color="auto"/>
        <w:right w:val="none" w:sz="0" w:space="0" w:color="auto"/>
      </w:divBdr>
      <w:divsChild>
        <w:div w:id="352074910">
          <w:marLeft w:val="0"/>
          <w:marRight w:val="0"/>
          <w:marTop w:val="0"/>
          <w:marBottom w:val="0"/>
          <w:divBdr>
            <w:top w:val="none" w:sz="0" w:space="0" w:color="auto"/>
            <w:left w:val="none" w:sz="0" w:space="0" w:color="auto"/>
            <w:bottom w:val="none" w:sz="0" w:space="0" w:color="auto"/>
            <w:right w:val="none" w:sz="0" w:space="0" w:color="auto"/>
          </w:divBdr>
        </w:div>
      </w:divsChild>
    </w:div>
    <w:div w:id="1684359758">
      <w:bodyDiv w:val="1"/>
      <w:marLeft w:val="0"/>
      <w:marRight w:val="0"/>
      <w:marTop w:val="0"/>
      <w:marBottom w:val="0"/>
      <w:divBdr>
        <w:top w:val="none" w:sz="0" w:space="0" w:color="auto"/>
        <w:left w:val="none" w:sz="0" w:space="0" w:color="auto"/>
        <w:bottom w:val="none" w:sz="0" w:space="0" w:color="auto"/>
        <w:right w:val="none" w:sz="0" w:space="0" w:color="auto"/>
      </w:divBdr>
      <w:divsChild>
        <w:div w:id="832528074">
          <w:marLeft w:val="0"/>
          <w:marRight w:val="0"/>
          <w:marTop w:val="0"/>
          <w:marBottom w:val="0"/>
          <w:divBdr>
            <w:top w:val="none" w:sz="0" w:space="0" w:color="auto"/>
            <w:left w:val="none" w:sz="0" w:space="0" w:color="auto"/>
            <w:bottom w:val="none" w:sz="0" w:space="0" w:color="auto"/>
            <w:right w:val="none" w:sz="0" w:space="0" w:color="auto"/>
          </w:divBdr>
        </w:div>
        <w:div w:id="240724895">
          <w:marLeft w:val="0"/>
          <w:marRight w:val="0"/>
          <w:marTop w:val="0"/>
          <w:marBottom w:val="0"/>
          <w:divBdr>
            <w:top w:val="none" w:sz="0" w:space="0" w:color="auto"/>
            <w:left w:val="none" w:sz="0" w:space="0" w:color="auto"/>
            <w:bottom w:val="none" w:sz="0" w:space="0" w:color="auto"/>
            <w:right w:val="none" w:sz="0" w:space="0" w:color="auto"/>
          </w:divBdr>
        </w:div>
        <w:div w:id="225918757">
          <w:marLeft w:val="0"/>
          <w:marRight w:val="0"/>
          <w:marTop w:val="0"/>
          <w:marBottom w:val="0"/>
          <w:divBdr>
            <w:top w:val="none" w:sz="0" w:space="0" w:color="auto"/>
            <w:left w:val="none" w:sz="0" w:space="0" w:color="auto"/>
            <w:bottom w:val="none" w:sz="0" w:space="0" w:color="auto"/>
            <w:right w:val="none" w:sz="0" w:space="0" w:color="auto"/>
          </w:divBdr>
        </w:div>
        <w:div w:id="74204614">
          <w:marLeft w:val="0"/>
          <w:marRight w:val="0"/>
          <w:marTop w:val="0"/>
          <w:marBottom w:val="0"/>
          <w:divBdr>
            <w:top w:val="none" w:sz="0" w:space="0" w:color="auto"/>
            <w:left w:val="none" w:sz="0" w:space="0" w:color="auto"/>
            <w:bottom w:val="none" w:sz="0" w:space="0" w:color="auto"/>
            <w:right w:val="none" w:sz="0" w:space="0" w:color="auto"/>
          </w:divBdr>
        </w:div>
        <w:div w:id="1471440089">
          <w:marLeft w:val="0"/>
          <w:marRight w:val="0"/>
          <w:marTop w:val="0"/>
          <w:marBottom w:val="0"/>
          <w:divBdr>
            <w:top w:val="none" w:sz="0" w:space="0" w:color="auto"/>
            <w:left w:val="none" w:sz="0" w:space="0" w:color="auto"/>
            <w:bottom w:val="none" w:sz="0" w:space="0" w:color="auto"/>
            <w:right w:val="none" w:sz="0" w:space="0" w:color="auto"/>
          </w:divBdr>
        </w:div>
        <w:div w:id="1867402944">
          <w:marLeft w:val="0"/>
          <w:marRight w:val="0"/>
          <w:marTop w:val="0"/>
          <w:marBottom w:val="0"/>
          <w:divBdr>
            <w:top w:val="none" w:sz="0" w:space="0" w:color="auto"/>
            <w:left w:val="none" w:sz="0" w:space="0" w:color="auto"/>
            <w:bottom w:val="none" w:sz="0" w:space="0" w:color="auto"/>
            <w:right w:val="none" w:sz="0" w:space="0" w:color="auto"/>
          </w:divBdr>
        </w:div>
        <w:div w:id="1034230538">
          <w:marLeft w:val="0"/>
          <w:marRight w:val="0"/>
          <w:marTop w:val="0"/>
          <w:marBottom w:val="0"/>
          <w:divBdr>
            <w:top w:val="none" w:sz="0" w:space="0" w:color="auto"/>
            <w:left w:val="none" w:sz="0" w:space="0" w:color="auto"/>
            <w:bottom w:val="none" w:sz="0" w:space="0" w:color="auto"/>
            <w:right w:val="none" w:sz="0" w:space="0" w:color="auto"/>
          </w:divBdr>
        </w:div>
      </w:divsChild>
    </w:div>
    <w:div w:id="1889410228">
      <w:bodyDiv w:val="1"/>
      <w:marLeft w:val="0"/>
      <w:marRight w:val="0"/>
      <w:marTop w:val="0"/>
      <w:marBottom w:val="0"/>
      <w:divBdr>
        <w:top w:val="none" w:sz="0" w:space="0" w:color="auto"/>
        <w:left w:val="none" w:sz="0" w:space="0" w:color="auto"/>
        <w:bottom w:val="none" w:sz="0" w:space="0" w:color="auto"/>
        <w:right w:val="none" w:sz="0" w:space="0" w:color="auto"/>
      </w:divBdr>
    </w:div>
    <w:div w:id="20908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Documents\Trud-Stock%20markets%20in%20post%20transition\Nedelni%20indeksi-7%20berz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8\Documents\Trud-Stock%20markets%20in%20post%20transition\Nedelni%20indeksi-7%20berz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'Godisni korelacii'!$J$18</c:f>
              <c:strCache>
                <c:ptCount val="1"/>
                <c:pt idx="0">
                  <c:v>SOFIX-MBI</c:v>
                </c:pt>
              </c:strCache>
            </c:strRef>
          </c:tx>
          <c:spPr>
            <a:ln>
              <a:prstDash val="dash"/>
            </a:ln>
          </c:spPr>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korelacii'!$K$18:$U$18</c:f>
              <c:numCache>
                <c:formatCode>0,00</c:formatCode>
                <c:ptCount val="11"/>
                <c:pt idx="0">
                  <c:v>0.42478702108421063</c:v>
                </c:pt>
                <c:pt idx="1">
                  <c:v>8.1933294512466184E-2</c:v>
                </c:pt>
                <c:pt idx="2">
                  <c:v>-0.15532164652142069</c:v>
                </c:pt>
                <c:pt idx="3">
                  <c:v>0.58524409367183716</c:v>
                </c:pt>
                <c:pt idx="4">
                  <c:v>0.24551612873136341</c:v>
                </c:pt>
                <c:pt idx="5">
                  <c:v>1.9248217099830003E-2</c:v>
                </c:pt>
                <c:pt idx="6">
                  <c:v>0.4414086655165585</c:v>
                </c:pt>
                <c:pt idx="7">
                  <c:v>-0.24695307741536052</c:v>
                </c:pt>
                <c:pt idx="8">
                  <c:v>0.14697809212670629</c:v>
                </c:pt>
                <c:pt idx="9">
                  <c:v>0.28237760773090226</c:v>
                </c:pt>
                <c:pt idx="10">
                  <c:v>7.5158901705256131E-2</c:v>
                </c:pt>
              </c:numCache>
            </c:numRef>
          </c:val>
          <c:smooth val="0"/>
        </c:ser>
        <c:ser>
          <c:idx val="1"/>
          <c:order val="1"/>
          <c:tx>
            <c:strRef>
              <c:f>'Godisni korelacii'!$J$19</c:f>
              <c:strCache>
                <c:ptCount val="1"/>
                <c:pt idx="0">
                  <c:v>SOFIX-CROBEX</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korelacii'!$K$19:$U$19</c:f>
              <c:numCache>
                <c:formatCode>0,00</c:formatCode>
                <c:ptCount val="11"/>
                <c:pt idx="0">
                  <c:v>0.57470251298587482</c:v>
                </c:pt>
                <c:pt idx="1">
                  <c:v>-0.14070384597755659</c:v>
                </c:pt>
                <c:pt idx="2">
                  <c:v>0.12879489953820125</c:v>
                </c:pt>
                <c:pt idx="3">
                  <c:v>0.62370513042996845</c:v>
                </c:pt>
                <c:pt idx="4">
                  <c:v>0.41490174176514716</c:v>
                </c:pt>
                <c:pt idx="5">
                  <c:v>0.23337941029415554</c:v>
                </c:pt>
                <c:pt idx="6">
                  <c:v>0.24230592574261223</c:v>
                </c:pt>
                <c:pt idx="7">
                  <c:v>0.24689074468060671</c:v>
                </c:pt>
                <c:pt idx="8">
                  <c:v>0.13352710147577354</c:v>
                </c:pt>
                <c:pt idx="9">
                  <c:v>-0.14989213138531918</c:v>
                </c:pt>
                <c:pt idx="10">
                  <c:v>0.13486626673479424</c:v>
                </c:pt>
              </c:numCache>
            </c:numRef>
          </c:val>
          <c:smooth val="0"/>
        </c:ser>
        <c:ser>
          <c:idx val="2"/>
          <c:order val="2"/>
          <c:tx>
            <c:strRef>
              <c:f>'Godisni korelacii'!$J$20</c:f>
              <c:strCache>
                <c:ptCount val="1"/>
                <c:pt idx="0">
                  <c:v>SOFIX-BELEX</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korelacii'!$K$20:$U$20</c:f>
              <c:numCache>
                <c:formatCode>0,00</c:formatCode>
                <c:ptCount val="11"/>
                <c:pt idx="0">
                  <c:v>-2.6368041180681867E-2</c:v>
                </c:pt>
                <c:pt idx="1">
                  <c:v>0.37571924222973907</c:v>
                </c:pt>
                <c:pt idx="2">
                  <c:v>0.11059807816708422</c:v>
                </c:pt>
                <c:pt idx="3">
                  <c:v>0.56164026628885511</c:v>
                </c:pt>
                <c:pt idx="4">
                  <c:v>0.43303786898039837</c:v>
                </c:pt>
                <c:pt idx="5">
                  <c:v>0.24070501669587746</c:v>
                </c:pt>
                <c:pt idx="6">
                  <c:v>0.50926766192297179</c:v>
                </c:pt>
                <c:pt idx="7">
                  <c:v>0.14170937551488158</c:v>
                </c:pt>
                <c:pt idx="8">
                  <c:v>-0.14528428729573148</c:v>
                </c:pt>
                <c:pt idx="9">
                  <c:v>-0.11706277924839503</c:v>
                </c:pt>
                <c:pt idx="10">
                  <c:v>0.14851191158149438</c:v>
                </c:pt>
              </c:numCache>
            </c:numRef>
          </c:val>
          <c:smooth val="0"/>
        </c:ser>
        <c:ser>
          <c:idx val="3"/>
          <c:order val="3"/>
          <c:tx>
            <c:strRef>
              <c:f>'Godisni korelacii'!$J$21</c:f>
              <c:strCache>
                <c:ptCount val="1"/>
                <c:pt idx="0">
                  <c:v>SOFIX-SBI</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korelacii'!$K$21:$U$21</c:f>
              <c:numCache>
                <c:formatCode>0,00</c:formatCode>
                <c:ptCount val="11"/>
                <c:pt idx="0">
                  <c:v>-0.17049232978970563</c:v>
                </c:pt>
                <c:pt idx="1">
                  <c:v>6.343190254779231E-2</c:v>
                </c:pt>
                <c:pt idx="2">
                  <c:v>0.36942295711205031</c:v>
                </c:pt>
                <c:pt idx="3">
                  <c:v>0.67570565220696166</c:v>
                </c:pt>
                <c:pt idx="4">
                  <c:v>0.25577100031154887</c:v>
                </c:pt>
                <c:pt idx="5">
                  <c:v>0.17247596882841296</c:v>
                </c:pt>
                <c:pt idx="6">
                  <c:v>0.27985009499234265</c:v>
                </c:pt>
                <c:pt idx="7">
                  <c:v>0.12739520236225021</c:v>
                </c:pt>
                <c:pt idx="8">
                  <c:v>0.1511106825575782</c:v>
                </c:pt>
                <c:pt idx="9">
                  <c:v>0.26348904369133785</c:v>
                </c:pt>
                <c:pt idx="10">
                  <c:v>9.7861521988765035E-2</c:v>
                </c:pt>
              </c:numCache>
            </c:numRef>
          </c:val>
          <c:smooth val="0"/>
        </c:ser>
        <c:ser>
          <c:idx val="4"/>
          <c:order val="4"/>
          <c:tx>
            <c:strRef>
              <c:f>'Godisni korelacii'!$J$22</c:f>
              <c:strCache>
                <c:ptCount val="1"/>
                <c:pt idx="0">
                  <c:v>MBI-CROBEX</c:v>
                </c:pt>
              </c:strCache>
            </c:strRef>
          </c:tx>
          <c:spPr>
            <a:ln>
              <a:prstDash val="sysDash"/>
            </a:ln>
          </c:spPr>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korelacii'!$K$22:$U$22</c:f>
              <c:numCache>
                <c:formatCode>0,00</c:formatCode>
                <c:ptCount val="11"/>
                <c:pt idx="0">
                  <c:v>0.20855502316754848</c:v>
                </c:pt>
                <c:pt idx="1">
                  <c:v>0.10199838433108198</c:v>
                </c:pt>
                <c:pt idx="2">
                  <c:v>0.20291533888280794</c:v>
                </c:pt>
                <c:pt idx="3">
                  <c:v>0.59091647977564754</c:v>
                </c:pt>
                <c:pt idx="4">
                  <c:v>0.64642783303153628</c:v>
                </c:pt>
                <c:pt idx="5">
                  <c:v>0.25805235934059673</c:v>
                </c:pt>
                <c:pt idx="6">
                  <c:v>0.50770099800236923</c:v>
                </c:pt>
                <c:pt idx="7">
                  <c:v>-0.10570553697429914</c:v>
                </c:pt>
                <c:pt idx="8">
                  <c:v>0.14428582058212275</c:v>
                </c:pt>
                <c:pt idx="9">
                  <c:v>-0.17728639298769081</c:v>
                </c:pt>
                <c:pt idx="10">
                  <c:v>0.12479397758806123</c:v>
                </c:pt>
              </c:numCache>
            </c:numRef>
          </c:val>
          <c:smooth val="0"/>
        </c:ser>
        <c:ser>
          <c:idx val="5"/>
          <c:order val="5"/>
          <c:tx>
            <c:strRef>
              <c:f>'Godisni korelacii'!$J$23</c:f>
              <c:strCache>
                <c:ptCount val="1"/>
                <c:pt idx="0">
                  <c:v>MBI-BELEX</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korelacii'!$K$23:$U$23</c:f>
              <c:numCache>
                <c:formatCode>0,00</c:formatCode>
                <c:ptCount val="11"/>
                <c:pt idx="0">
                  <c:v>9.4053750406422915E-2</c:v>
                </c:pt>
                <c:pt idx="1">
                  <c:v>0.15050273095503061</c:v>
                </c:pt>
                <c:pt idx="2">
                  <c:v>0.32600783660383037</c:v>
                </c:pt>
                <c:pt idx="3">
                  <c:v>0.54443728483563703</c:v>
                </c:pt>
                <c:pt idx="4">
                  <c:v>0.41269290339698689</c:v>
                </c:pt>
                <c:pt idx="5">
                  <c:v>0.14153173591886969</c:v>
                </c:pt>
                <c:pt idx="6">
                  <c:v>0.56875801145149241</c:v>
                </c:pt>
                <c:pt idx="7">
                  <c:v>8.2938760737274825E-2</c:v>
                </c:pt>
                <c:pt idx="8">
                  <c:v>0.2187551771608921</c:v>
                </c:pt>
                <c:pt idx="9">
                  <c:v>4.4118267071560227E-3</c:v>
                </c:pt>
                <c:pt idx="10">
                  <c:v>-3.8737141227792246E-2</c:v>
                </c:pt>
              </c:numCache>
            </c:numRef>
          </c:val>
          <c:smooth val="0"/>
        </c:ser>
        <c:ser>
          <c:idx val="6"/>
          <c:order val="6"/>
          <c:tx>
            <c:strRef>
              <c:f>'Godisni korelacii'!$J$24</c:f>
              <c:strCache>
                <c:ptCount val="1"/>
                <c:pt idx="0">
                  <c:v>MBI-SBI</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korelacii'!$K$24:$U$24</c:f>
              <c:numCache>
                <c:formatCode>0,00</c:formatCode>
                <c:ptCount val="11"/>
                <c:pt idx="0">
                  <c:v>0.36601117575419523</c:v>
                </c:pt>
                <c:pt idx="1">
                  <c:v>-0.17376597010354866</c:v>
                </c:pt>
                <c:pt idx="2">
                  <c:v>0.2033802989602963</c:v>
                </c:pt>
                <c:pt idx="3">
                  <c:v>0.58556979194439207</c:v>
                </c:pt>
                <c:pt idx="4">
                  <c:v>0.52485161770905409</c:v>
                </c:pt>
                <c:pt idx="5">
                  <c:v>0.26087284046674675</c:v>
                </c:pt>
                <c:pt idx="6">
                  <c:v>0.30743241565343943</c:v>
                </c:pt>
                <c:pt idx="7">
                  <c:v>-0.15949159098247981</c:v>
                </c:pt>
                <c:pt idx="8">
                  <c:v>-0.12991195317640092</c:v>
                </c:pt>
                <c:pt idx="9">
                  <c:v>7.9738779427165007E-2</c:v>
                </c:pt>
                <c:pt idx="10">
                  <c:v>0.23895350718207067</c:v>
                </c:pt>
              </c:numCache>
            </c:numRef>
          </c:val>
          <c:smooth val="0"/>
        </c:ser>
        <c:ser>
          <c:idx val="7"/>
          <c:order val="7"/>
          <c:tx>
            <c:strRef>
              <c:f>'Godisni korelacii'!$J$25</c:f>
              <c:strCache>
                <c:ptCount val="1"/>
                <c:pt idx="0">
                  <c:v>CROBEX-BELEX</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korelacii'!$K$25:$U$25</c:f>
              <c:numCache>
                <c:formatCode>0,00</c:formatCode>
                <c:ptCount val="11"/>
                <c:pt idx="0">
                  <c:v>-0.26560058747317561</c:v>
                </c:pt>
                <c:pt idx="1">
                  <c:v>4.3253836498633715E-2</c:v>
                </c:pt>
                <c:pt idx="2">
                  <c:v>0.48724951618858692</c:v>
                </c:pt>
                <c:pt idx="3">
                  <c:v>0.59434271858359011</c:v>
                </c:pt>
                <c:pt idx="4">
                  <c:v>0.45488979234886079</c:v>
                </c:pt>
                <c:pt idx="5">
                  <c:v>0.36682821236791635</c:v>
                </c:pt>
                <c:pt idx="6">
                  <c:v>0.48610011442236251</c:v>
                </c:pt>
                <c:pt idx="7">
                  <c:v>0.18828070896834706</c:v>
                </c:pt>
                <c:pt idx="8">
                  <c:v>0.31774924387625547</c:v>
                </c:pt>
                <c:pt idx="9">
                  <c:v>0.15358817460463367</c:v>
                </c:pt>
                <c:pt idx="10">
                  <c:v>-0.1065184401610441</c:v>
                </c:pt>
              </c:numCache>
            </c:numRef>
          </c:val>
          <c:smooth val="0"/>
        </c:ser>
        <c:ser>
          <c:idx val="8"/>
          <c:order val="8"/>
          <c:tx>
            <c:strRef>
              <c:f>'Godisni korelacii'!$J$26</c:f>
              <c:strCache>
                <c:ptCount val="1"/>
                <c:pt idx="0">
                  <c:v>CROBEX-SBI</c:v>
                </c:pt>
              </c:strCache>
            </c:strRef>
          </c:tx>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korelacii'!$K$26:$U$26</c:f>
              <c:numCache>
                <c:formatCode>0,00</c:formatCode>
                <c:ptCount val="11"/>
                <c:pt idx="0">
                  <c:v>5.5446021035891026E-3</c:v>
                </c:pt>
                <c:pt idx="1">
                  <c:v>-7.5341486879667574E-2</c:v>
                </c:pt>
                <c:pt idx="2">
                  <c:v>0.26568255744398217</c:v>
                </c:pt>
                <c:pt idx="3">
                  <c:v>0.72106075389880775</c:v>
                </c:pt>
                <c:pt idx="4">
                  <c:v>0.46842171423931767</c:v>
                </c:pt>
                <c:pt idx="5">
                  <c:v>0.41012759773455193</c:v>
                </c:pt>
                <c:pt idx="6">
                  <c:v>0.36825284556194676</c:v>
                </c:pt>
                <c:pt idx="7">
                  <c:v>0.31726372527845137</c:v>
                </c:pt>
                <c:pt idx="8">
                  <c:v>0.2576826561132779</c:v>
                </c:pt>
                <c:pt idx="9">
                  <c:v>0.26959922857992824</c:v>
                </c:pt>
                <c:pt idx="10">
                  <c:v>0.26274630602232929</c:v>
                </c:pt>
              </c:numCache>
            </c:numRef>
          </c:val>
          <c:smooth val="0"/>
        </c:ser>
        <c:ser>
          <c:idx val="9"/>
          <c:order val="9"/>
          <c:tx>
            <c:strRef>
              <c:f>'Godisni korelacii'!$J$27</c:f>
              <c:strCache>
                <c:ptCount val="1"/>
                <c:pt idx="0">
                  <c:v>BELEX-SBI</c:v>
                </c:pt>
              </c:strCache>
            </c:strRef>
          </c:tx>
          <c:spPr>
            <a:ln>
              <a:prstDash val="lgDashDot"/>
            </a:ln>
          </c:spPr>
          <c:marker>
            <c:symbol val="none"/>
          </c:marker>
          <c:cat>
            <c:numRef>
              <c:f>'Godisni korelacii'!$K$17:$U$17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'Godisni korelacii'!$K$27:$U$27</c:f>
              <c:numCache>
                <c:formatCode>0,00</c:formatCode>
                <c:ptCount val="11"/>
                <c:pt idx="0">
                  <c:v>-8.0838437410526737E-2</c:v>
                </c:pt>
                <c:pt idx="1">
                  <c:v>2.781671815465056E-2</c:v>
                </c:pt>
                <c:pt idx="2">
                  <c:v>0.15674694687215251</c:v>
                </c:pt>
                <c:pt idx="3">
                  <c:v>0.46344763133151401</c:v>
                </c:pt>
                <c:pt idx="4">
                  <c:v>0.54773809986622102</c:v>
                </c:pt>
                <c:pt idx="5">
                  <c:v>0.43522094388872007</c:v>
                </c:pt>
                <c:pt idx="6">
                  <c:v>0.33557548501175571</c:v>
                </c:pt>
                <c:pt idx="7">
                  <c:v>5.7661475375496214E-2</c:v>
                </c:pt>
                <c:pt idx="8">
                  <c:v>5.3761209983275278E-2</c:v>
                </c:pt>
                <c:pt idx="9">
                  <c:v>0.36139369712712144</c:v>
                </c:pt>
                <c:pt idx="10">
                  <c:v>2.5251820493519924E-2</c:v>
                </c:pt>
              </c:numCache>
            </c:numRef>
          </c:val>
          <c:smooth val="0"/>
        </c:ser>
        <c:dLbls>
          <c:showLegendKey val="0"/>
          <c:showVal val="0"/>
          <c:showCatName val="0"/>
          <c:showSerName val="0"/>
          <c:showPercent val="0"/>
          <c:showBubbleSize val="0"/>
        </c:dLbls>
        <c:marker val="1"/>
        <c:smooth val="0"/>
        <c:axId val="126911232"/>
        <c:axId val="126912768"/>
      </c:lineChart>
      <c:catAx>
        <c:axId val="126911232"/>
        <c:scaling>
          <c:orientation val="minMax"/>
        </c:scaling>
        <c:delete val="0"/>
        <c:axPos val="b"/>
        <c:numFmt formatCode="General" sourceLinked="1"/>
        <c:majorTickMark val="out"/>
        <c:minorTickMark val="none"/>
        <c:tickLblPos val="nextTo"/>
        <c:crossAx val="126912768"/>
        <c:crosses val="autoZero"/>
        <c:auto val="1"/>
        <c:lblAlgn val="ctr"/>
        <c:lblOffset val="100"/>
        <c:noMultiLvlLbl val="0"/>
      </c:catAx>
      <c:valAx>
        <c:axId val="126912768"/>
        <c:scaling>
          <c:orientation val="minMax"/>
        </c:scaling>
        <c:delete val="0"/>
        <c:axPos val="l"/>
        <c:majorGridlines/>
        <c:numFmt formatCode="0,00" sourceLinked="1"/>
        <c:majorTickMark val="out"/>
        <c:minorTickMark val="none"/>
        <c:tickLblPos val="nextTo"/>
        <c:crossAx val="126911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'Godisni korelacii'!$J$87</c:f>
              <c:strCache>
                <c:ptCount val="1"/>
                <c:pt idx="0">
                  <c:v>MBI</c:v>
                </c:pt>
              </c:strCache>
            </c:strRef>
          </c:tx>
          <c:marker>
            <c:symbol val="none"/>
          </c:marker>
          <c:cat>
            <c:numRef>
              <c:f>'Godisni korelacii'!$K$86:$T$86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'Godisni korelacii'!$K$87:$T$87</c:f>
              <c:numCache>
                <c:formatCode>0,000</c:formatCode>
                <c:ptCount val="10"/>
                <c:pt idx="0">
                  <c:v>3.3965385441311366</c:v>
                </c:pt>
                <c:pt idx="1">
                  <c:v>5.3803225372420647</c:v>
                </c:pt>
                <c:pt idx="2">
                  <c:v>4.9577242139196356</c:v>
                </c:pt>
                <c:pt idx="3">
                  <c:v>4.9242515301380774</c:v>
                </c:pt>
                <c:pt idx="4">
                  <c:v>2.7546225242583584</c:v>
                </c:pt>
                <c:pt idx="5">
                  <c:v>1.8970105161637694</c:v>
                </c:pt>
                <c:pt idx="6">
                  <c:v>1.711619068559848</c:v>
                </c:pt>
                <c:pt idx="7">
                  <c:v>1.991374222271366</c:v>
                </c:pt>
                <c:pt idx="8">
                  <c:v>1.9771927278831818</c:v>
                </c:pt>
                <c:pt idx="9">
                  <c:v>1.0998780227129443</c:v>
                </c:pt>
              </c:numCache>
            </c:numRef>
          </c:val>
          <c:smooth val="0"/>
        </c:ser>
        <c:ser>
          <c:idx val="1"/>
          <c:order val="1"/>
          <c:tx>
            <c:strRef>
              <c:f>'Godisni korelacii'!$J$88</c:f>
              <c:strCache>
                <c:ptCount val="1"/>
                <c:pt idx="0">
                  <c:v>CROBEX</c:v>
                </c:pt>
              </c:strCache>
            </c:strRef>
          </c:tx>
          <c:marker>
            <c:symbol val="none"/>
          </c:marker>
          <c:cat>
            <c:numRef>
              <c:f>'Godisni korelacii'!$K$86:$T$86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'Godisni korelacii'!$K$88:$T$88</c:f>
              <c:numCache>
                <c:formatCode>0,000</c:formatCode>
                <c:ptCount val="10"/>
                <c:pt idx="0">
                  <c:v>1.9831972223163938</c:v>
                </c:pt>
                <c:pt idx="1">
                  <c:v>2.9811281570619577</c:v>
                </c:pt>
                <c:pt idx="2">
                  <c:v>5.9101234032733974</c:v>
                </c:pt>
                <c:pt idx="3">
                  <c:v>4.5292462948155725</c:v>
                </c:pt>
                <c:pt idx="4">
                  <c:v>2.1414082026662848</c:v>
                </c:pt>
                <c:pt idx="5">
                  <c:v>2.0464936652300585</c:v>
                </c:pt>
                <c:pt idx="6">
                  <c:v>1.6928343826004169</c:v>
                </c:pt>
                <c:pt idx="7">
                  <c:v>1.0767283727231605</c:v>
                </c:pt>
                <c:pt idx="8">
                  <c:v>1.1760335069748167</c:v>
                </c:pt>
                <c:pt idx="9">
                  <c:v>0.92887997563562674</c:v>
                </c:pt>
              </c:numCache>
            </c:numRef>
          </c:val>
          <c:smooth val="0"/>
        </c:ser>
        <c:ser>
          <c:idx val="2"/>
          <c:order val="2"/>
          <c:tx>
            <c:strRef>
              <c:f>'Godisni korelacii'!$J$89</c:f>
              <c:strCache>
                <c:ptCount val="1"/>
                <c:pt idx="0">
                  <c:v>BELEX</c:v>
                </c:pt>
              </c:strCache>
            </c:strRef>
          </c:tx>
          <c:marker>
            <c:symbol val="none"/>
          </c:marker>
          <c:cat>
            <c:numRef>
              <c:f>'Godisni korelacii'!$K$86:$T$86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'Godisni korelacii'!$K$89:$T$89</c:f>
              <c:numCache>
                <c:formatCode>0,000</c:formatCode>
                <c:ptCount val="10"/>
                <c:pt idx="0">
                  <c:v>2.3686739796853749</c:v>
                </c:pt>
                <c:pt idx="1">
                  <c:v>3.9038388128631736</c:v>
                </c:pt>
                <c:pt idx="2">
                  <c:v>6.8463203011340186</c:v>
                </c:pt>
                <c:pt idx="3">
                  <c:v>6.0567298921960759</c:v>
                </c:pt>
                <c:pt idx="4">
                  <c:v>2.6160947878575014</c:v>
                </c:pt>
                <c:pt idx="5">
                  <c:v>2.360583409499843</c:v>
                </c:pt>
                <c:pt idx="6">
                  <c:v>2.3072155029866317</c:v>
                </c:pt>
                <c:pt idx="7">
                  <c:v>1.5877188385027132</c:v>
                </c:pt>
                <c:pt idx="8">
                  <c:v>1.2861119669619396</c:v>
                </c:pt>
                <c:pt idx="9">
                  <c:v>1.8946701631778928</c:v>
                </c:pt>
              </c:numCache>
            </c:numRef>
          </c:val>
          <c:smooth val="0"/>
        </c:ser>
        <c:ser>
          <c:idx val="3"/>
          <c:order val="3"/>
          <c:tx>
            <c:strRef>
              <c:f>'Godisni korelacii'!$J$90</c:f>
              <c:strCache>
                <c:ptCount val="1"/>
                <c:pt idx="0">
                  <c:v>SOFIX</c:v>
                </c:pt>
              </c:strCache>
            </c:strRef>
          </c:tx>
          <c:marker>
            <c:symbol val="none"/>
          </c:marker>
          <c:cat>
            <c:numRef>
              <c:f>'Godisni korelacii'!$K$86:$T$86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'Godisni korelacii'!$K$90:$T$90</c:f>
              <c:numCache>
                <c:formatCode>0,000</c:formatCode>
                <c:ptCount val="10"/>
                <c:pt idx="0">
                  <c:v>1.7378952208587393</c:v>
                </c:pt>
                <c:pt idx="1">
                  <c:v>3.3083254369973312</c:v>
                </c:pt>
                <c:pt idx="2">
                  <c:v>5.6886751209707311</c:v>
                </c:pt>
                <c:pt idx="3">
                  <c:v>4.2557519806720219</c:v>
                </c:pt>
                <c:pt idx="4">
                  <c:v>2.3011496628527905</c:v>
                </c:pt>
                <c:pt idx="5">
                  <c:v>1.9923831850823153</c:v>
                </c:pt>
                <c:pt idx="6">
                  <c:v>1.7294530368181062</c:v>
                </c:pt>
                <c:pt idx="7">
                  <c:v>1.7492342868587469</c:v>
                </c:pt>
                <c:pt idx="8">
                  <c:v>2.4607813236130576</c:v>
                </c:pt>
                <c:pt idx="9">
                  <c:v>1.3819534651106244</c:v>
                </c:pt>
              </c:numCache>
            </c:numRef>
          </c:val>
          <c:smooth val="0"/>
        </c:ser>
        <c:ser>
          <c:idx val="4"/>
          <c:order val="4"/>
          <c:tx>
            <c:strRef>
              <c:f>'Godisni korelacii'!$J$91</c:f>
              <c:strCache>
                <c:ptCount val="1"/>
                <c:pt idx="0">
                  <c:v>LJUB</c:v>
                </c:pt>
              </c:strCache>
            </c:strRef>
          </c:tx>
          <c:marker>
            <c:symbol val="none"/>
          </c:marker>
          <c:cat>
            <c:numRef>
              <c:f>'Godisni korelacii'!$K$86:$T$86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'Godisni korelacii'!$K$91:$T$91</c:f>
              <c:numCache>
                <c:formatCode>0,000</c:formatCode>
                <c:ptCount val="10"/>
                <c:pt idx="0">
                  <c:v>2.1073706102443381</c:v>
                </c:pt>
                <c:pt idx="1">
                  <c:v>2.7107877162217804</c:v>
                </c:pt>
                <c:pt idx="2">
                  <c:v>4.6950747903540488</c:v>
                </c:pt>
                <c:pt idx="3">
                  <c:v>2.6429697765129707</c:v>
                </c:pt>
                <c:pt idx="4">
                  <c:v>1.9300986537402658</c:v>
                </c:pt>
                <c:pt idx="5">
                  <c:v>2.3541853011773748</c:v>
                </c:pt>
                <c:pt idx="6">
                  <c:v>2.6954063931901739</c:v>
                </c:pt>
                <c:pt idx="7">
                  <c:v>2.2004491952097069</c:v>
                </c:pt>
                <c:pt idx="8">
                  <c:v>2.2383029341078204</c:v>
                </c:pt>
                <c:pt idx="9">
                  <c:v>1.5415687238978903</c:v>
                </c:pt>
              </c:numCache>
            </c:numRef>
          </c:val>
          <c:smooth val="0"/>
        </c:ser>
        <c:dLbls>
          <c:showLegendKey val="0"/>
          <c:showVal val="0"/>
          <c:showCatName val="0"/>
          <c:showSerName val="0"/>
          <c:showPercent val="0"/>
          <c:showBubbleSize val="0"/>
        </c:dLbls>
        <c:marker val="1"/>
        <c:smooth val="0"/>
        <c:axId val="126928000"/>
        <c:axId val="126929536"/>
      </c:lineChart>
      <c:catAx>
        <c:axId val="126928000"/>
        <c:scaling>
          <c:orientation val="minMax"/>
        </c:scaling>
        <c:delete val="0"/>
        <c:axPos val="b"/>
        <c:numFmt formatCode="General" sourceLinked="1"/>
        <c:majorTickMark val="out"/>
        <c:minorTickMark val="none"/>
        <c:tickLblPos val="nextTo"/>
        <c:crossAx val="126929536"/>
        <c:crosses val="autoZero"/>
        <c:auto val="1"/>
        <c:lblAlgn val="ctr"/>
        <c:lblOffset val="100"/>
        <c:noMultiLvlLbl val="0"/>
      </c:catAx>
      <c:valAx>
        <c:axId val="126929536"/>
        <c:scaling>
          <c:orientation val="minMax"/>
        </c:scaling>
        <c:delete val="0"/>
        <c:axPos val="l"/>
        <c:majorGridlines/>
        <c:numFmt formatCode="0,000" sourceLinked="1"/>
        <c:majorTickMark val="out"/>
        <c:minorTickMark val="none"/>
        <c:tickLblPos val="nextTo"/>
        <c:crossAx val="126928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3</cp:revision>
  <dcterms:created xsi:type="dcterms:W3CDTF">2016-08-28T20:03:00Z</dcterms:created>
  <dcterms:modified xsi:type="dcterms:W3CDTF">2017-08-28T14:53:00Z</dcterms:modified>
</cp:coreProperties>
</file>