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83" w:rsidRDefault="00F93422" w:rsidP="002977CF">
      <w:pPr>
        <w:spacing w:line="480" w:lineRule="auto"/>
        <w:contextualSpacing/>
        <w:rPr>
          <w:b/>
        </w:rPr>
      </w:pPr>
      <w:bookmarkStart w:id="0" w:name="_GoBack"/>
      <w:bookmarkEnd w:id="0"/>
      <w:r>
        <w:rPr>
          <w:b/>
        </w:rPr>
        <w:t>Research Article</w:t>
      </w:r>
    </w:p>
    <w:p w:rsidR="00CC1496" w:rsidRDefault="008E742F" w:rsidP="002C6185">
      <w:pPr>
        <w:spacing w:line="480" w:lineRule="auto"/>
        <w:contextualSpacing/>
        <w:jc w:val="center"/>
        <w:rPr>
          <w:b/>
        </w:rPr>
      </w:pPr>
      <w:r w:rsidRPr="00AD0209">
        <w:rPr>
          <w:b/>
        </w:rPr>
        <w:t xml:space="preserve">Measuring </w:t>
      </w:r>
      <w:r>
        <w:rPr>
          <w:b/>
        </w:rPr>
        <w:t>t</w:t>
      </w:r>
      <w:r w:rsidRPr="00AD0209">
        <w:rPr>
          <w:b/>
        </w:rPr>
        <w:t xml:space="preserve">he Effects </w:t>
      </w:r>
      <w:r>
        <w:rPr>
          <w:b/>
        </w:rPr>
        <w:t>o</w:t>
      </w:r>
      <w:r w:rsidRPr="00AD0209">
        <w:rPr>
          <w:b/>
        </w:rPr>
        <w:t xml:space="preserve">f Customs </w:t>
      </w:r>
      <w:r>
        <w:rPr>
          <w:b/>
        </w:rPr>
        <w:t>a</w:t>
      </w:r>
      <w:r w:rsidRPr="00AD0209">
        <w:rPr>
          <w:b/>
        </w:rPr>
        <w:t>nd Administrative Procedure</w:t>
      </w:r>
      <w:r>
        <w:rPr>
          <w:b/>
        </w:rPr>
        <w:t>s</w:t>
      </w:r>
      <w:r w:rsidRPr="00AD0209">
        <w:rPr>
          <w:b/>
        </w:rPr>
        <w:t xml:space="preserve"> </w:t>
      </w:r>
      <w:r>
        <w:rPr>
          <w:b/>
        </w:rPr>
        <w:t>o</w:t>
      </w:r>
      <w:r w:rsidRPr="00AD0209">
        <w:rPr>
          <w:b/>
        </w:rPr>
        <w:t xml:space="preserve">n Trade: Gravity Model </w:t>
      </w:r>
      <w:r w:rsidR="00417AC4">
        <w:rPr>
          <w:b/>
        </w:rPr>
        <w:t>f</w:t>
      </w:r>
      <w:r w:rsidRPr="00AD0209">
        <w:rPr>
          <w:b/>
        </w:rPr>
        <w:t>or South-Eastern Europe</w:t>
      </w:r>
      <w:r w:rsidR="00256083">
        <w:rPr>
          <w:rStyle w:val="FootnoteReference"/>
          <w:b/>
        </w:rPr>
        <w:footnoteReference w:id="1"/>
      </w:r>
    </w:p>
    <w:p w:rsidR="00FF6AC0" w:rsidRPr="00AD0209" w:rsidRDefault="00FF6AC0" w:rsidP="002C6185">
      <w:pPr>
        <w:spacing w:line="480" w:lineRule="auto"/>
        <w:contextualSpacing/>
        <w:jc w:val="center"/>
        <w:rPr>
          <w:b/>
        </w:rPr>
      </w:pPr>
    </w:p>
    <w:p w:rsidR="00FE05F6" w:rsidRPr="00AD0209" w:rsidRDefault="00840C46" w:rsidP="002C6185">
      <w:pPr>
        <w:spacing w:line="480" w:lineRule="auto"/>
        <w:contextualSpacing/>
        <w:jc w:val="center"/>
      </w:pPr>
      <w:r w:rsidRPr="00AD0209">
        <w:t>Katerina To</w:t>
      </w:r>
      <w:r w:rsidR="00553DD3">
        <w:t>š</w:t>
      </w:r>
      <w:r w:rsidRPr="00AD0209">
        <w:t>evska</w:t>
      </w:r>
      <w:r w:rsidR="008E742F">
        <w:t>-</w:t>
      </w:r>
      <w:r w:rsidRPr="00AD0209">
        <w:t>Trp</w:t>
      </w:r>
      <w:r w:rsidR="00553DD3">
        <w:t>č</w:t>
      </w:r>
      <w:r w:rsidRPr="00AD0209">
        <w:t>evska</w:t>
      </w:r>
    </w:p>
    <w:p w:rsidR="00F93422" w:rsidRDefault="00FE05F6" w:rsidP="002C6185">
      <w:pPr>
        <w:spacing w:line="480" w:lineRule="auto"/>
        <w:contextualSpacing/>
        <w:jc w:val="center"/>
      </w:pPr>
      <w:r w:rsidRPr="00AD0209">
        <w:t xml:space="preserve">Ss. Cyril and Methodius University in Skopje, </w:t>
      </w:r>
    </w:p>
    <w:p w:rsidR="00840C46" w:rsidRPr="00AD0209" w:rsidRDefault="00FE05F6" w:rsidP="002C6185">
      <w:pPr>
        <w:spacing w:line="480" w:lineRule="auto"/>
        <w:contextualSpacing/>
        <w:jc w:val="center"/>
      </w:pPr>
      <w:r w:rsidRPr="00AD0209">
        <w:t>Faculty of Economics</w:t>
      </w:r>
      <w:r w:rsidR="00256083">
        <w:t xml:space="preserve">, </w:t>
      </w:r>
      <w:r w:rsidR="00F93422">
        <w:t xml:space="preserve">FYR </w:t>
      </w:r>
      <w:r w:rsidR="00EB2224">
        <w:t xml:space="preserve">of </w:t>
      </w:r>
      <w:r w:rsidR="00256083">
        <w:t>Macedonia</w:t>
      </w:r>
    </w:p>
    <w:p w:rsidR="00FE05F6" w:rsidRPr="0038336D" w:rsidRDefault="009C5963" w:rsidP="002C6185">
      <w:pPr>
        <w:spacing w:line="480" w:lineRule="auto"/>
        <w:contextualSpacing/>
        <w:jc w:val="center"/>
        <w:rPr>
          <w:rStyle w:val="allowtextselection"/>
          <w:lang w:val="da-DK"/>
        </w:rPr>
      </w:pPr>
      <w:r w:rsidRPr="0038336D">
        <w:rPr>
          <w:rStyle w:val="allowtextselection"/>
          <w:lang w:val="da-DK"/>
        </w:rPr>
        <w:t>tosevska@eccf.ukim.edu.mk</w:t>
      </w:r>
    </w:p>
    <w:p w:rsidR="00FF6AC0" w:rsidRPr="0038336D" w:rsidRDefault="00FF6AC0" w:rsidP="002C6185">
      <w:pPr>
        <w:spacing w:line="480" w:lineRule="auto"/>
        <w:contextualSpacing/>
        <w:jc w:val="center"/>
        <w:rPr>
          <w:lang w:val="da-DK"/>
        </w:rPr>
      </w:pPr>
    </w:p>
    <w:p w:rsidR="00FE05F6" w:rsidRPr="0038336D" w:rsidRDefault="00FE05F6" w:rsidP="002C6185">
      <w:pPr>
        <w:spacing w:line="480" w:lineRule="auto"/>
        <w:contextualSpacing/>
        <w:jc w:val="center"/>
        <w:rPr>
          <w:lang w:val="da-DK"/>
        </w:rPr>
      </w:pPr>
      <w:r w:rsidRPr="0038336D">
        <w:rPr>
          <w:lang w:val="da-DK"/>
        </w:rPr>
        <w:t>Dragan Tevdovski</w:t>
      </w:r>
    </w:p>
    <w:p w:rsidR="00F93422" w:rsidRDefault="00FE05F6" w:rsidP="002C6185">
      <w:pPr>
        <w:spacing w:line="480" w:lineRule="auto"/>
        <w:contextualSpacing/>
        <w:jc w:val="center"/>
      </w:pPr>
      <w:r w:rsidRPr="00AD0209">
        <w:t xml:space="preserve">Ss. Cyril and Methodius University in Skopje, </w:t>
      </w:r>
    </w:p>
    <w:p w:rsidR="00FE05F6" w:rsidRPr="00AD0209" w:rsidRDefault="00FE05F6" w:rsidP="002C6185">
      <w:pPr>
        <w:spacing w:line="480" w:lineRule="auto"/>
        <w:contextualSpacing/>
        <w:jc w:val="center"/>
      </w:pPr>
      <w:r w:rsidRPr="00AD0209">
        <w:t>Faculty of Economics</w:t>
      </w:r>
      <w:r w:rsidR="00256083">
        <w:t xml:space="preserve">, </w:t>
      </w:r>
      <w:r w:rsidR="00F93422">
        <w:t xml:space="preserve">FYR </w:t>
      </w:r>
      <w:r w:rsidR="00EB2224">
        <w:t xml:space="preserve">of </w:t>
      </w:r>
      <w:r w:rsidR="00256083">
        <w:t>Macedonia</w:t>
      </w:r>
    </w:p>
    <w:p w:rsidR="00FE05F6" w:rsidRPr="00AD0209" w:rsidRDefault="00256083" w:rsidP="002C6185">
      <w:pPr>
        <w:spacing w:line="480" w:lineRule="auto"/>
        <w:contextualSpacing/>
        <w:jc w:val="center"/>
      </w:pPr>
      <w:r>
        <w:t xml:space="preserve">and </w:t>
      </w:r>
      <w:r w:rsidR="00FE05F6" w:rsidRPr="00AD0209">
        <w:t>Aarhus University</w:t>
      </w:r>
      <w:r w:rsidR="003A0C80" w:rsidRPr="00AD0209">
        <w:t>, CREATES</w:t>
      </w:r>
      <w:r>
        <w:t>, Denmark</w:t>
      </w:r>
    </w:p>
    <w:p w:rsidR="00FE05F6" w:rsidRPr="00AD0209" w:rsidRDefault="00B64390" w:rsidP="002C6185">
      <w:pPr>
        <w:spacing w:line="480" w:lineRule="auto"/>
        <w:contextualSpacing/>
        <w:jc w:val="center"/>
      </w:pPr>
      <w:hyperlink r:id="rId9" w:history="1">
        <w:r w:rsidR="004F29E3" w:rsidRPr="00FE05F6">
          <w:rPr>
            <w:rStyle w:val="Hyperlink"/>
            <w:color w:val="auto"/>
            <w:u w:val="none"/>
            <w:shd w:val="clear" w:color="auto" w:fill="FFFFFF"/>
          </w:rPr>
          <w:t>dtevdovski@creates.au.dk</w:t>
        </w:r>
      </w:hyperlink>
    </w:p>
    <w:p w:rsidR="00CC1496" w:rsidRDefault="00CC1496" w:rsidP="002C6185">
      <w:pPr>
        <w:spacing w:line="480" w:lineRule="auto"/>
        <w:contextualSpacing/>
        <w:jc w:val="both"/>
      </w:pPr>
    </w:p>
    <w:p w:rsidR="00FF6AC0" w:rsidRDefault="00FF6AC0" w:rsidP="00FF6AC0">
      <w:pPr>
        <w:spacing w:line="480" w:lineRule="auto"/>
        <w:jc w:val="both"/>
      </w:pPr>
    </w:p>
    <w:p w:rsidR="00FF6AC0" w:rsidRDefault="00FF6AC0" w:rsidP="00FF6AC0">
      <w:pPr>
        <w:spacing w:line="480" w:lineRule="auto"/>
        <w:jc w:val="both"/>
      </w:pPr>
    </w:p>
    <w:p w:rsidR="00FF6AC0" w:rsidRDefault="00FF6AC0" w:rsidP="00FF6AC0">
      <w:pPr>
        <w:spacing w:line="480" w:lineRule="auto"/>
        <w:jc w:val="both"/>
      </w:pPr>
    </w:p>
    <w:p w:rsidR="00FF6AC0" w:rsidRDefault="00FF6AC0">
      <w:pPr>
        <w:spacing w:after="200" w:line="276" w:lineRule="auto"/>
        <w:rPr>
          <w:b/>
        </w:rPr>
      </w:pPr>
      <w:r>
        <w:rPr>
          <w:b/>
        </w:rPr>
        <w:br w:type="page"/>
      </w:r>
    </w:p>
    <w:p w:rsidR="00FF6AC0" w:rsidRDefault="00FF6AC0" w:rsidP="00FF6AC0">
      <w:pPr>
        <w:autoSpaceDE w:val="0"/>
        <w:autoSpaceDN w:val="0"/>
        <w:adjustRightInd w:val="0"/>
        <w:spacing w:line="480" w:lineRule="auto"/>
        <w:contextualSpacing/>
        <w:jc w:val="both"/>
        <w:rPr>
          <w:b/>
        </w:rPr>
      </w:pPr>
      <w:r>
        <w:rPr>
          <w:b/>
        </w:rPr>
        <w:lastRenderedPageBreak/>
        <w:t>Abstract</w:t>
      </w:r>
    </w:p>
    <w:p w:rsidR="005D1DF3" w:rsidRPr="00AD0209" w:rsidRDefault="00E059AF" w:rsidP="00FF6AC0">
      <w:pPr>
        <w:autoSpaceDE w:val="0"/>
        <w:autoSpaceDN w:val="0"/>
        <w:adjustRightInd w:val="0"/>
        <w:spacing w:line="480" w:lineRule="auto"/>
        <w:contextualSpacing/>
        <w:jc w:val="both"/>
      </w:pPr>
      <w:r>
        <w:t>T</w:t>
      </w:r>
      <w:r w:rsidR="006F69CE" w:rsidRPr="00AD0209">
        <w:t>his paper measure</w:t>
      </w:r>
      <w:r>
        <w:t>s</w:t>
      </w:r>
      <w:r w:rsidR="006F69CE" w:rsidRPr="00AD0209">
        <w:t xml:space="preserve"> the effects of certain customs and administrative procedures on trade between the countries of South</w:t>
      </w:r>
      <w:r w:rsidR="00276242">
        <w:t>-</w:t>
      </w:r>
      <w:r w:rsidR="006F69CE" w:rsidRPr="00AD0209">
        <w:t>Eastern Europe</w:t>
      </w:r>
      <w:r w:rsidR="00115A6E">
        <w:t xml:space="preserve"> </w:t>
      </w:r>
      <w:r w:rsidR="0038336D">
        <w:t xml:space="preserve">in the </w:t>
      </w:r>
      <w:r w:rsidR="00502E51">
        <w:t xml:space="preserve">period </w:t>
      </w:r>
      <w:r w:rsidR="0038336D">
        <w:t>2008-2012</w:t>
      </w:r>
      <w:r w:rsidR="006F69CE" w:rsidRPr="00AD0209">
        <w:t>.</w:t>
      </w:r>
      <w:r w:rsidR="00B55FA4">
        <w:t xml:space="preserve"> </w:t>
      </w:r>
      <w:r>
        <w:t>F</w:t>
      </w:r>
      <w:r w:rsidR="00B55FA4">
        <w:rPr>
          <w:rFonts w:eastAsiaTheme="minorEastAsia"/>
        </w:rPr>
        <w:t>ollowing OECD methodology</w:t>
      </w:r>
      <w:r>
        <w:rPr>
          <w:rFonts w:eastAsiaTheme="minorEastAsia"/>
        </w:rPr>
        <w:t>, w</w:t>
      </w:r>
      <w:r>
        <w:t>e employ</w:t>
      </w:r>
      <w:r w:rsidR="00182319">
        <w:t xml:space="preserve"> the</w:t>
      </w:r>
      <w:r>
        <w:rPr>
          <w:rFonts w:eastAsiaTheme="minorEastAsia"/>
        </w:rPr>
        <w:t xml:space="preserve"> augment</w:t>
      </w:r>
      <w:r w:rsidR="00182319">
        <w:rPr>
          <w:rFonts w:eastAsiaTheme="minorEastAsia"/>
        </w:rPr>
        <w:t>ed</w:t>
      </w:r>
      <w:r>
        <w:rPr>
          <w:rFonts w:eastAsiaTheme="minorEastAsia"/>
        </w:rPr>
        <w:t xml:space="preserve"> gravity model</w:t>
      </w:r>
      <w:r w:rsidR="00B55FA4">
        <w:rPr>
          <w:rFonts w:eastAsiaTheme="minorEastAsia"/>
        </w:rPr>
        <w:t>.</w:t>
      </w:r>
      <w:r w:rsidR="00F031B9">
        <w:t xml:space="preserve"> </w:t>
      </w:r>
      <w:r w:rsidR="006F69CE" w:rsidRPr="00AD0209">
        <w:t xml:space="preserve">The </w:t>
      </w:r>
      <w:r w:rsidR="00B34644">
        <w:t xml:space="preserve">empirical </w:t>
      </w:r>
      <w:r w:rsidR="006F69CE" w:rsidRPr="00AD0209">
        <w:t xml:space="preserve">results </w:t>
      </w:r>
      <w:r w:rsidR="00B34644">
        <w:t>suggest</w:t>
      </w:r>
      <w:r w:rsidR="006F69CE" w:rsidRPr="00AD0209">
        <w:t xml:space="preserve"> that</w:t>
      </w:r>
      <w:r w:rsidR="00115A6E">
        <w:t xml:space="preserve"> </w:t>
      </w:r>
      <w:r w:rsidR="00502E51">
        <w:t xml:space="preserve">the </w:t>
      </w:r>
      <w:r w:rsidR="00B34644">
        <w:t>number of</w:t>
      </w:r>
      <w:r w:rsidR="00502E51">
        <w:t xml:space="preserve"> </w:t>
      </w:r>
      <w:r w:rsidR="00B55FA4" w:rsidRPr="00AD0209">
        <w:t xml:space="preserve">days </w:t>
      </w:r>
      <w:r w:rsidR="00B34644">
        <w:t xml:space="preserve">spent </w:t>
      </w:r>
      <w:r w:rsidR="00B55FA4" w:rsidRPr="00AD0209">
        <w:t>at the border</w:t>
      </w:r>
      <w:r w:rsidR="00B55FA4">
        <w:t xml:space="preserve"> </w:t>
      </w:r>
      <w:r w:rsidR="00B55FA4" w:rsidRPr="00AD0209">
        <w:t xml:space="preserve">and costs paid </w:t>
      </w:r>
      <w:r w:rsidR="00B55FA4">
        <w:t>in both import</w:t>
      </w:r>
      <w:r w:rsidR="007C7540">
        <w:t>er</w:t>
      </w:r>
      <w:r w:rsidR="00B55FA4">
        <w:t xml:space="preserve"> and export</w:t>
      </w:r>
      <w:r w:rsidR="007C7540">
        <w:t>er</w:t>
      </w:r>
      <w:r w:rsidR="00B55FA4">
        <w:t xml:space="preserve"> countries </w:t>
      </w:r>
      <w:r w:rsidR="00B55FA4" w:rsidRPr="00F031B9">
        <w:t>ha</w:t>
      </w:r>
      <w:r w:rsidR="00B34644">
        <w:t>d</w:t>
      </w:r>
      <w:r w:rsidR="00B55FA4" w:rsidRPr="00F031B9">
        <w:t xml:space="preserve"> significant negative influence o</w:t>
      </w:r>
      <w:r>
        <w:t>n</w:t>
      </w:r>
      <w:r w:rsidR="00B55FA4" w:rsidRPr="00F031B9">
        <w:t xml:space="preserve"> </w:t>
      </w:r>
      <w:r w:rsidR="00182319">
        <w:t xml:space="preserve">the </w:t>
      </w:r>
      <w:r w:rsidR="00B34644">
        <w:t xml:space="preserve">volume of </w:t>
      </w:r>
      <w:r w:rsidR="00B55FA4" w:rsidRPr="00F031B9">
        <w:t>trade</w:t>
      </w:r>
      <w:r w:rsidR="00D936A0">
        <w:t xml:space="preserve"> </w:t>
      </w:r>
      <w:r w:rsidR="00B55FA4" w:rsidRPr="00F031B9">
        <w:t xml:space="preserve">in the </w:t>
      </w:r>
      <w:r w:rsidR="00502E51">
        <w:t xml:space="preserve">period </w:t>
      </w:r>
      <w:r w:rsidR="00B55FA4" w:rsidRPr="00F031B9">
        <w:t xml:space="preserve">2008-2012. </w:t>
      </w:r>
      <w:r w:rsidR="00115A6E">
        <w:t xml:space="preserve">In addition, the model underlines </w:t>
      </w:r>
      <w:r w:rsidR="00502E51">
        <w:t xml:space="preserve">that </w:t>
      </w:r>
      <w:r w:rsidR="00115A6E">
        <w:t>s</w:t>
      </w:r>
      <w:r w:rsidR="00115A6E" w:rsidRPr="00AD0209">
        <w:t>haring the same border and being part of the former Yugoslav market</w:t>
      </w:r>
      <w:r w:rsidR="00115A6E">
        <w:t xml:space="preserve"> a</w:t>
      </w:r>
      <w:r w:rsidR="00502E51">
        <w:t>re</w:t>
      </w:r>
      <w:r w:rsidR="00115A6E">
        <w:t xml:space="preserve"> important determinants of trade in the region. </w:t>
      </w:r>
      <w:r w:rsidR="006F69CE" w:rsidRPr="00AD0209">
        <w:t xml:space="preserve"> </w:t>
      </w:r>
    </w:p>
    <w:p w:rsidR="00CC1496" w:rsidRPr="00AD0209" w:rsidRDefault="00CC1496" w:rsidP="002C6185">
      <w:pPr>
        <w:spacing w:line="480" w:lineRule="auto"/>
        <w:contextualSpacing/>
        <w:jc w:val="both"/>
      </w:pPr>
      <w:r w:rsidRPr="00AD0209">
        <w:rPr>
          <w:b/>
        </w:rPr>
        <w:t>Keywords:</w:t>
      </w:r>
      <w:r w:rsidRPr="00AD0209">
        <w:t xml:space="preserve"> </w:t>
      </w:r>
      <w:r w:rsidR="003A0C80" w:rsidRPr="00AD0209">
        <w:t xml:space="preserve">gravity model, </w:t>
      </w:r>
      <w:r w:rsidRPr="00AD0209">
        <w:t>customs and administrative procedures, South</w:t>
      </w:r>
      <w:r w:rsidR="00276242">
        <w:t>-</w:t>
      </w:r>
      <w:r w:rsidRPr="00AD0209">
        <w:t xml:space="preserve">Eastern Europe.  </w:t>
      </w:r>
    </w:p>
    <w:p w:rsidR="008F47B3" w:rsidRPr="00AD0209" w:rsidRDefault="0022335C" w:rsidP="002C6185">
      <w:pPr>
        <w:spacing w:line="480" w:lineRule="auto"/>
        <w:contextualSpacing/>
        <w:jc w:val="both"/>
      </w:pPr>
      <w:r w:rsidRPr="00AD0209">
        <w:rPr>
          <w:b/>
        </w:rPr>
        <w:t>JEL</w:t>
      </w:r>
      <w:r w:rsidR="00F93422">
        <w:rPr>
          <w:b/>
        </w:rPr>
        <w:t xml:space="preserve"> classification</w:t>
      </w:r>
      <w:r w:rsidR="00D052EF" w:rsidRPr="00AD0209">
        <w:rPr>
          <w:b/>
        </w:rPr>
        <w:t xml:space="preserve">: </w:t>
      </w:r>
      <w:r w:rsidR="00D052EF" w:rsidRPr="00AD0209">
        <w:t>F</w:t>
      </w:r>
      <w:r w:rsidR="003F7185" w:rsidRPr="00AD0209">
        <w:t>10, F1</w:t>
      </w:r>
      <w:r w:rsidR="00A82C46">
        <w:t>4</w:t>
      </w:r>
      <w:r w:rsidR="003F7185" w:rsidRPr="00AD0209">
        <w:t>, F1</w:t>
      </w:r>
      <w:r w:rsidR="00A82C46">
        <w:t>5</w:t>
      </w:r>
    </w:p>
    <w:p w:rsidR="003F7185" w:rsidRPr="00AD0209" w:rsidRDefault="003F7185" w:rsidP="002C6185">
      <w:pPr>
        <w:spacing w:line="480" w:lineRule="auto"/>
        <w:ind w:firstLine="720"/>
        <w:contextualSpacing/>
        <w:jc w:val="both"/>
      </w:pPr>
    </w:p>
    <w:p w:rsidR="002C6185" w:rsidRPr="002C6185" w:rsidRDefault="002C6185" w:rsidP="002C6185">
      <w:pPr>
        <w:pStyle w:val="ListParagraph"/>
        <w:numPr>
          <w:ilvl w:val="0"/>
          <w:numId w:val="2"/>
        </w:numPr>
        <w:spacing w:line="480" w:lineRule="auto"/>
        <w:jc w:val="both"/>
        <w:rPr>
          <w:b/>
        </w:rPr>
      </w:pPr>
      <w:r w:rsidRPr="002C6185">
        <w:rPr>
          <w:b/>
        </w:rPr>
        <w:t>Introduction</w:t>
      </w:r>
    </w:p>
    <w:p w:rsidR="002C6185" w:rsidRDefault="002C6185" w:rsidP="002C6185">
      <w:pPr>
        <w:spacing w:line="480" w:lineRule="auto"/>
        <w:contextualSpacing/>
        <w:jc w:val="both"/>
      </w:pPr>
    </w:p>
    <w:p w:rsidR="00290B60" w:rsidRPr="00AD0209" w:rsidRDefault="00290B60" w:rsidP="002C6185">
      <w:pPr>
        <w:spacing w:line="480" w:lineRule="auto"/>
        <w:contextualSpacing/>
        <w:jc w:val="both"/>
      </w:pPr>
      <w:r w:rsidRPr="00AD0209">
        <w:t xml:space="preserve">In the last two decades it has become </w:t>
      </w:r>
      <w:r w:rsidR="00387A16">
        <w:t>evident</w:t>
      </w:r>
      <w:r w:rsidR="00387A16" w:rsidRPr="00AD0209">
        <w:t xml:space="preserve"> </w:t>
      </w:r>
      <w:r w:rsidRPr="00AD0209">
        <w:t xml:space="preserve">that trade facilitation is </w:t>
      </w:r>
      <w:r w:rsidR="00A95A35">
        <w:t>a</w:t>
      </w:r>
      <w:r w:rsidRPr="00AD0209">
        <w:t xml:space="preserve"> field where further liberalization </w:t>
      </w:r>
      <w:r w:rsidR="00A95A35">
        <w:t>could</w:t>
      </w:r>
      <w:r w:rsidR="00A95A35" w:rsidRPr="00AD0209">
        <w:t xml:space="preserve"> </w:t>
      </w:r>
      <w:r w:rsidRPr="00AD0209">
        <w:t xml:space="preserve">be </w:t>
      </w:r>
      <w:r w:rsidR="00A95A35">
        <w:t>achieved</w:t>
      </w:r>
      <w:r w:rsidRPr="00AD0209">
        <w:t xml:space="preserve">. </w:t>
      </w:r>
      <w:r w:rsidR="005C616C">
        <w:t>T</w:t>
      </w:r>
      <w:r w:rsidRPr="00AD0209">
        <w:t>he rul</w:t>
      </w:r>
      <w:r w:rsidR="00C74308" w:rsidRPr="00AD0209">
        <w:t>es and procedures of the World Trade O</w:t>
      </w:r>
      <w:r w:rsidRPr="00AD0209">
        <w:t xml:space="preserve">rganization mainly </w:t>
      </w:r>
      <w:r w:rsidR="005C616C">
        <w:t>refer to</w:t>
      </w:r>
      <w:r w:rsidR="00C74308" w:rsidRPr="00AD0209">
        <w:t xml:space="preserve"> tariff</w:t>
      </w:r>
      <w:r w:rsidR="00F9239B" w:rsidRPr="00AD0209">
        <w:t>s</w:t>
      </w:r>
      <w:r w:rsidR="00C74308" w:rsidRPr="00AD0209">
        <w:t xml:space="preserve"> and other non-tariff instruments. On the other hand</w:t>
      </w:r>
      <w:r w:rsidR="0045652D">
        <w:t>,</w:t>
      </w:r>
      <w:r w:rsidR="00C74308" w:rsidRPr="00AD0209">
        <w:t xml:space="preserve"> it has become more </w:t>
      </w:r>
      <w:r w:rsidR="00A95A35">
        <w:t>appar</w:t>
      </w:r>
      <w:r w:rsidR="002F715A">
        <w:t>e</w:t>
      </w:r>
      <w:r w:rsidR="00A95A35">
        <w:t>nt</w:t>
      </w:r>
      <w:r w:rsidR="00A95A35" w:rsidRPr="00AD0209">
        <w:t xml:space="preserve"> </w:t>
      </w:r>
      <w:r w:rsidR="00C74308" w:rsidRPr="00AD0209">
        <w:t>that nowadays actors in international trade face different types of barriers. These barriers are administrative and sometimes informal but have significant influence o</w:t>
      </w:r>
      <w:r w:rsidR="003D600A">
        <w:t>n</w:t>
      </w:r>
      <w:r w:rsidR="00C74308" w:rsidRPr="00AD0209">
        <w:t xml:space="preserve"> the </w:t>
      </w:r>
      <w:r w:rsidR="005C616C">
        <w:t>trade</w:t>
      </w:r>
      <w:r w:rsidR="00C74308" w:rsidRPr="00AD0209">
        <w:t xml:space="preserve"> of goods </w:t>
      </w:r>
      <w:r w:rsidR="00F9239B" w:rsidRPr="00AD0209">
        <w:t>on the</w:t>
      </w:r>
      <w:r w:rsidR="00C74308" w:rsidRPr="00AD0209">
        <w:t xml:space="preserve"> international </w:t>
      </w:r>
      <w:r w:rsidR="00A3736C" w:rsidRPr="00AD0209">
        <w:t>scene</w:t>
      </w:r>
      <w:r w:rsidR="00C74308" w:rsidRPr="00AD0209">
        <w:t xml:space="preserve">. </w:t>
      </w:r>
      <w:r w:rsidR="00A3736C" w:rsidRPr="00AD0209">
        <w:t xml:space="preserve">The </w:t>
      </w:r>
      <w:r w:rsidR="005C616C">
        <w:t xml:space="preserve">administrative </w:t>
      </w:r>
      <w:r w:rsidR="00A3736C" w:rsidRPr="00AD0209">
        <w:t>barriers</w:t>
      </w:r>
      <w:r w:rsidR="00F9239B" w:rsidRPr="00AD0209">
        <w:t xml:space="preserve"> </w:t>
      </w:r>
      <w:r w:rsidR="00A3736C" w:rsidRPr="00AD0209">
        <w:t xml:space="preserve">mainly </w:t>
      </w:r>
      <w:r w:rsidR="005C616C">
        <w:t>comprise</w:t>
      </w:r>
      <w:r w:rsidR="00A3736C" w:rsidRPr="00AD0209">
        <w:t xml:space="preserve"> complicated customs procedures and </w:t>
      </w:r>
      <w:r w:rsidR="00A3736C" w:rsidRPr="00AD0209">
        <w:lastRenderedPageBreak/>
        <w:t>complex documentation</w:t>
      </w:r>
      <w:r w:rsidR="00F9239B" w:rsidRPr="00AD0209">
        <w:t xml:space="preserve"> requirements</w:t>
      </w:r>
      <w:r w:rsidR="00A3736C" w:rsidRPr="00AD0209">
        <w:t xml:space="preserve"> </w:t>
      </w:r>
      <w:r w:rsidR="005C616C">
        <w:t xml:space="preserve">and </w:t>
      </w:r>
      <w:r w:rsidR="00A3736C" w:rsidRPr="00AD0209">
        <w:t xml:space="preserve">have </w:t>
      </w:r>
      <w:r w:rsidR="00F9239B" w:rsidRPr="00AD0209">
        <w:t>increasing</w:t>
      </w:r>
      <w:r w:rsidR="00A3736C" w:rsidRPr="00AD0209">
        <w:t xml:space="preserve"> influence o</w:t>
      </w:r>
      <w:r w:rsidR="003D600A">
        <w:t>n</w:t>
      </w:r>
      <w:r w:rsidR="00A3736C" w:rsidRPr="00AD0209">
        <w:t xml:space="preserve"> the international flow of goods.</w:t>
      </w:r>
      <w:r w:rsidR="00C74308" w:rsidRPr="00AD0209">
        <w:t xml:space="preserve"> </w:t>
      </w:r>
      <w:r w:rsidRPr="00AD0209">
        <w:t xml:space="preserve">  </w:t>
      </w:r>
    </w:p>
    <w:p w:rsidR="008D5F89" w:rsidRPr="00AD0209" w:rsidRDefault="00FE5D79" w:rsidP="002C6185">
      <w:pPr>
        <w:spacing w:line="480" w:lineRule="auto"/>
        <w:ind w:firstLine="720"/>
        <w:contextualSpacing/>
        <w:jc w:val="both"/>
      </w:pPr>
      <w:r>
        <w:t>A r</w:t>
      </w:r>
      <w:r w:rsidR="002E12A6" w:rsidRPr="003F686F">
        <w:t xml:space="preserve">esearch </w:t>
      </w:r>
      <w:r>
        <w:t xml:space="preserve">conducted </w:t>
      </w:r>
      <w:r w:rsidR="00B81B8C" w:rsidRPr="003F686F">
        <w:t>by the United Nations</w:t>
      </w:r>
      <w:r w:rsidR="005C616C">
        <w:t xml:space="preserve"> (2003)</w:t>
      </w:r>
      <w:r w:rsidR="00B81B8C" w:rsidRPr="003F686F">
        <w:t xml:space="preserve"> show</w:t>
      </w:r>
      <w:r>
        <w:t>ed</w:t>
      </w:r>
      <w:r w:rsidR="00B81B8C" w:rsidRPr="003F686F">
        <w:t xml:space="preserve"> that </w:t>
      </w:r>
      <w:r w:rsidR="006079B1" w:rsidRPr="003F686F">
        <w:t xml:space="preserve">on average </w:t>
      </w:r>
      <w:r w:rsidR="00B81B8C" w:rsidRPr="003F686F">
        <w:t xml:space="preserve">in the region of </w:t>
      </w:r>
      <w:r w:rsidR="006079B1" w:rsidRPr="003F686F">
        <w:t xml:space="preserve">the 21 member economies of the Asia-Pacific Economic Partnership </w:t>
      </w:r>
      <w:r w:rsidR="002E12A6" w:rsidRPr="003F686F">
        <w:t xml:space="preserve">in one trade transaction </w:t>
      </w:r>
      <w:r w:rsidR="002E12A6" w:rsidRPr="00AD0209">
        <w:t xml:space="preserve">27 to 30 actors </w:t>
      </w:r>
      <w:r w:rsidR="00537828">
        <w:t xml:space="preserve">were </w:t>
      </w:r>
      <w:r w:rsidR="00093337">
        <w:t>i</w:t>
      </w:r>
      <w:r w:rsidR="002E12A6" w:rsidRPr="00AD0209">
        <w:t xml:space="preserve">nvolved, 40 documents </w:t>
      </w:r>
      <w:r w:rsidR="00537828">
        <w:t>were</w:t>
      </w:r>
      <w:r w:rsidR="002E12A6" w:rsidRPr="00AD0209">
        <w:t xml:space="preserve"> prepared, 200 </w:t>
      </w:r>
      <w:r>
        <w:t xml:space="preserve">items of </w:t>
      </w:r>
      <w:r w:rsidR="002E12A6" w:rsidRPr="00AD0209">
        <w:t xml:space="preserve">data were </w:t>
      </w:r>
      <w:r w:rsidR="00F9239B" w:rsidRPr="00AD0209">
        <w:t>entered</w:t>
      </w:r>
      <w:r>
        <w:t>,</w:t>
      </w:r>
      <w:r w:rsidR="002E12A6" w:rsidRPr="00AD0209">
        <w:t xml:space="preserve"> </w:t>
      </w:r>
      <w:r>
        <w:t>of</w:t>
      </w:r>
      <w:r w:rsidRPr="00AD0209">
        <w:t xml:space="preserve"> </w:t>
      </w:r>
      <w:r w:rsidR="002E12A6" w:rsidRPr="00AD0209">
        <w:t xml:space="preserve">which at least 30 were </w:t>
      </w:r>
      <w:r w:rsidR="008E170F" w:rsidRPr="00AD0209">
        <w:t>entered 30 times and 60-70</w:t>
      </w:r>
      <w:r w:rsidR="00276242">
        <w:t xml:space="preserve"> percent</w:t>
      </w:r>
      <w:r w:rsidR="008E170F" w:rsidRPr="00AD0209">
        <w:t xml:space="preserve"> were entered at least twice.</w:t>
      </w:r>
      <w:r w:rsidR="005328E6" w:rsidRPr="00AD0209">
        <w:t xml:space="preserve"> </w:t>
      </w:r>
      <w:r w:rsidR="00F9239B" w:rsidRPr="00AD0209">
        <w:t>The losses that companies suffer through delays at borders, lack of transparency and predictability, complicated documentation</w:t>
      </w:r>
      <w:r w:rsidR="00A930F5" w:rsidRPr="00AD0209">
        <w:t xml:space="preserve"> requirements and other outdated</w:t>
      </w:r>
      <w:r w:rsidR="00F9239B" w:rsidRPr="00AD0209">
        <w:t xml:space="preserve"> customs procedures are estimated to exceed in many cases the costs of tariffs (Engman, 2010). </w:t>
      </w:r>
      <w:r>
        <w:t>Reducing</w:t>
      </w:r>
      <w:r w:rsidRPr="00AD0209">
        <w:t xml:space="preserve"> </w:t>
      </w:r>
      <w:r w:rsidR="00F9239B" w:rsidRPr="00AD0209">
        <w:t xml:space="preserve">and lowering the above mentioned barriers </w:t>
      </w:r>
      <w:r w:rsidR="005C616C">
        <w:t xml:space="preserve">should allow </w:t>
      </w:r>
      <w:r w:rsidR="008D5F89" w:rsidRPr="00AD0209">
        <w:t>further liberalization of</w:t>
      </w:r>
      <w:r w:rsidR="00F9239B" w:rsidRPr="00AD0209">
        <w:t xml:space="preserve"> international trade</w:t>
      </w:r>
      <w:r w:rsidR="008D5F89" w:rsidRPr="00AD0209">
        <w:t>.</w:t>
      </w:r>
    </w:p>
    <w:p w:rsidR="00107AF8" w:rsidRDefault="00F81514" w:rsidP="002C6185">
      <w:pPr>
        <w:spacing w:line="480" w:lineRule="auto"/>
        <w:contextualSpacing/>
        <w:jc w:val="both"/>
      </w:pPr>
      <w:r w:rsidRPr="00AD0209">
        <w:tab/>
      </w:r>
      <w:r w:rsidR="00536FDD">
        <w:t xml:space="preserve">Numerous </w:t>
      </w:r>
      <w:r w:rsidR="00536FDD" w:rsidRPr="00AD0209">
        <w:t xml:space="preserve">trade research studies </w:t>
      </w:r>
      <w:r w:rsidR="00536FDD">
        <w:t>a</w:t>
      </w:r>
      <w:r w:rsidRPr="00AD0209">
        <w:t>cknowledg</w:t>
      </w:r>
      <w:r w:rsidR="00536FDD">
        <w:t>e</w:t>
      </w:r>
      <w:r w:rsidRPr="00AD0209">
        <w:t xml:space="preserve"> the importance of trade facilitation measures</w:t>
      </w:r>
      <w:r w:rsidR="00536FDD">
        <w:t>.</w:t>
      </w:r>
      <w:r w:rsidR="00536FDD">
        <w:rPr>
          <w:rStyle w:val="FootnoteReference"/>
        </w:rPr>
        <w:footnoteReference w:id="2"/>
      </w:r>
      <w:r w:rsidRPr="00AD0209">
        <w:t xml:space="preserve"> </w:t>
      </w:r>
      <w:r w:rsidR="00107AF8" w:rsidRPr="00AD0209">
        <w:t xml:space="preserve">Some </w:t>
      </w:r>
      <w:r w:rsidR="00107AF8" w:rsidRPr="00E53E05">
        <w:t>of them</w:t>
      </w:r>
      <w:r w:rsidR="00107AF8" w:rsidRPr="00AD0209">
        <w:t xml:space="preserve"> indicate </w:t>
      </w:r>
      <w:r w:rsidR="008E4E09">
        <w:t xml:space="preserve">the </w:t>
      </w:r>
      <w:r w:rsidR="00107AF8" w:rsidRPr="00AD0209">
        <w:t>benefits of trade facilitation, some measure the effects of undertaking trade facilitation measures o</w:t>
      </w:r>
      <w:r w:rsidR="00E53E05">
        <w:t>n</w:t>
      </w:r>
      <w:r w:rsidR="00107AF8" w:rsidRPr="00AD0209">
        <w:t xml:space="preserve"> trade, and others measure their impact o</w:t>
      </w:r>
      <w:r w:rsidR="00E53E05">
        <w:t>n</w:t>
      </w:r>
      <w:r w:rsidR="00107AF8" w:rsidRPr="00AD0209">
        <w:t xml:space="preserve"> world income. The relative inconsistenc</w:t>
      </w:r>
      <w:r w:rsidR="00E53E05">
        <w:t>y regarding</w:t>
      </w:r>
      <w:r w:rsidR="00107AF8" w:rsidRPr="00AD0209">
        <w:t xml:space="preserve"> the composition of trade facilitation measures indicates that one can</w:t>
      </w:r>
      <w:r w:rsidR="00E53E05">
        <w:t xml:space="preserve"> only</w:t>
      </w:r>
      <w:r w:rsidR="00107AF8" w:rsidRPr="00AD0209">
        <w:t xml:space="preserve"> roughly compare the re</w:t>
      </w:r>
      <w:r w:rsidR="00A930F5" w:rsidRPr="00AD0209">
        <w:t xml:space="preserve">sults of the studies or </w:t>
      </w:r>
      <w:r w:rsidR="00A930F5" w:rsidRPr="008A527E">
        <w:t>underlie</w:t>
      </w:r>
      <w:r w:rsidR="00107AF8" w:rsidRPr="00AD0209">
        <w:t xml:space="preserve"> conclusions for all countries and regions. The only </w:t>
      </w:r>
      <w:r w:rsidR="00E53E05">
        <w:t xml:space="preserve">clear </w:t>
      </w:r>
      <w:r w:rsidR="00107AF8" w:rsidRPr="00AD0209">
        <w:t xml:space="preserve">conclusion </w:t>
      </w:r>
      <w:r w:rsidR="0061399A" w:rsidRPr="00AD0209">
        <w:t>is that undertaking trade facilitation measures is a win-win situation for every country.</w:t>
      </w:r>
      <w:r w:rsidR="00107AF8" w:rsidRPr="00AD0209">
        <w:t xml:space="preserve"> </w:t>
      </w:r>
    </w:p>
    <w:p w:rsidR="00E502BB" w:rsidRPr="00AD0209" w:rsidRDefault="0061399A" w:rsidP="002C6185">
      <w:pPr>
        <w:spacing w:line="480" w:lineRule="auto"/>
        <w:ind w:firstLine="720"/>
        <w:contextualSpacing/>
        <w:jc w:val="both"/>
      </w:pPr>
      <w:r w:rsidRPr="00AD0209">
        <w:t>For the purposes of the analysis</w:t>
      </w:r>
      <w:r w:rsidR="008E4E09">
        <w:t xml:space="preserve"> made</w:t>
      </w:r>
      <w:r w:rsidRPr="00AD0209">
        <w:t xml:space="preserve"> in this paper we decided to</w:t>
      </w:r>
      <w:r w:rsidR="00C861E1">
        <w:t xml:space="preserve"> </w:t>
      </w:r>
      <w:r w:rsidR="00C861E1" w:rsidRPr="002977CF">
        <w:t>take a closer</w:t>
      </w:r>
      <w:r w:rsidRPr="00AD0209">
        <w:t xml:space="preserve"> look </w:t>
      </w:r>
      <w:r w:rsidR="00C861E1">
        <w:t>at</w:t>
      </w:r>
      <w:r w:rsidR="00C861E1" w:rsidRPr="00AD0209">
        <w:t xml:space="preserve"> </w:t>
      </w:r>
      <w:r w:rsidRPr="00AD0209">
        <w:t>some administrative and customs procedures. Customs and administrative procedures can be identified as necessary procedures for good</w:t>
      </w:r>
      <w:r w:rsidR="001334DE" w:rsidRPr="00AD0209">
        <w:t>s</w:t>
      </w:r>
      <w:r w:rsidRPr="00AD0209">
        <w:t xml:space="preserve"> to cross borders. On </w:t>
      </w:r>
      <w:r w:rsidRPr="00AD0209">
        <w:lastRenderedPageBreak/>
        <w:t xml:space="preserve">the other hand, when administrative requirements </w:t>
      </w:r>
      <w:r w:rsidR="00502E51">
        <w:t>go</w:t>
      </w:r>
      <w:r w:rsidRPr="00AD0209">
        <w:t xml:space="preserve"> beyond what is necessary </w:t>
      </w:r>
      <w:r w:rsidR="006B11C1" w:rsidRPr="002977CF">
        <w:t>according to</w:t>
      </w:r>
      <w:r w:rsidRPr="00AD0209">
        <w:t xml:space="preserve"> national policy objectives</w:t>
      </w:r>
      <w:r w:rsidR="00C924DB">
        <w:t>,</w:t>
      </w:r>
      <w:r w:rsidRPr="00AD0209">
        <w:t xml:space="preserve"> those requirement</w:t>
      </w:r>
      <w:r w:rsidR="001334DE" w:rsidRPr="00AD0209">
        <w:t>s</w:t>
      </w:r>
      <w:r w:rsidRPr="00AD0209">
        <w:t xml:space="preserve"> become </w:t>
      </w:r>
      <w:r w:rsidR="002977CF">
        <w:t>considerable</w:t>
      </w:r>
      <w:r w:rsidR="002977CF" w:rsidRPr="00AD0209">
        <w:t xml:space="preserve"> </w:t>
      </w:r>
      <w:r w:rsidR="00503123">
        <w:t xml:space="preserve">trade </w:t>
      </w:r>
      <w:r w:rsidRPr="00AD0209">
        <w:t>barrier</w:t>
      </w:r>
      <w:r w:rsidR="001334DE" w:rsidRPr="00AD0209">
        <w:t>s</w:t>
      </w:r>
      <w:r w:rsidRPr="00AD0209">
        <w:t>. In economic literature the effects of customs and administrative procedu</w:t>
      </w:r>
      <w:r w:rsidR="00D052EF" w:rsidRPr="00AD0209">
        <w:t xml:space="preserve">res are </w:t>
      </w:r>
      <w:r w:rsidR="00503123">
        <w:t>described</w:t>
      </w:r>
      <w:r w:rsidR="00D052EF" w:rsidRPr="00AD0209">
        <w:t xml:space="preserve"> as measures that</w:t>
      </w:r>
      <w:r w:rsidRPr="00AD0209">
        <w:t xml:space="preserve"> </w:t>
      </w:r>
      <w:r w:rsidR="006B11C1">
        <w:t>“</w:t>
      </w:r>
      <w:r w:rsidRPr="00AD0209">
        <w:t>thicken</w:t>
      </w:r>
      <w:r w:rsidR="006B11C1">
        <w:t>”</w:t>
      </w:r>
      <w:r w:rsidRPr="00AD0209">
        <w:t xml:space="preserve"> border</w:t>
      </w:r>
      <w:r w:rsidR="006B11C1">
        <w:t>s</w:t>
      </w:r>
      <w:r w:rsidRPr="00AD0209">
        <w:t xml:space="preserve"> between countries (</w:t>
      </w:r>
      <w:r w:rsidR="00571169" w:rsidRPr="00AD0209">
        <w:t>Wilson, 2010</w:t>
      </w:r>
      <w:r w:rsidR="00553DD3">
        <w:t>, pp.52-53</w:t>
      </w:r>
      <w:r w:rsidR="000E3179" w:rsidRPr="00AD0209">
        <w:t>)</w:t>
      </w:r>
      <w:r w:rsidRPr="00AD0209">
        <w:t>.</w:t>
      </w:r>
      <w:r w:rsidR="00E502BB" w:rsidRPr="00AD0209">
        <w:t xml:space="preserve"> </w:t>
      </w:r>
      <w:r w:rsidR="00503123">
        <w:t>Consequently,</w:t>
      </w:r>
      <w:r w:rsidR="00E502BB" w:rsidRPr="00AD0209">
        <w:t xml:space="preserve"> reducing the </w:t>
      </w:r>
      <w:r w:rsidR="004708C8">
        <w:t>“</w:t>
      </w:r>
      <w:r w:rsidR="00E502BB" w:rsidRPr="00AD0209">
        <w:t>thickness</w:t>
      </w:r>
      <w:r w:rsidR="004708C8">
        <w:t>”</w:t>
      </w:r>
      <w:r w:rsidR="00E502BB" w:rsidRPr="00AD0209">
        <w:t xml:space="preserve"> of borders should increase trade flows between countries. </w:t>
      </w:r>
    </w:p>
    <w:p w:rsidR="00640480" w:rsidRPr="000B716F" w:rsidRDefault="009C5963" w:rsidP="002C6185">
      <w:pPr>
        <w:spacing w:line="480" w:lineRule="auto"/>
        <w:ind w:firstLine="720"/>
        <w:contextualSpacing/>
        <w:jc w:val="both"/>
      </w:pPr>
      <w:r>
        <w:t>The goal of this paper is to measure the</w:t>
      </w:r>
      <w:r w:rsidR="0038336D">
        <w:t xml:space="preserve"> effect of costs, time and documents on export</w:t>
      </w:r>
      <w:r w:rsidR="00BD554E">
        <w:t>s</w:t>
      </w:r>
      <w:r w:rsidR="0038336D">
        <w:t xml:space="preserve"> between</w:t>
      </w:r>
      <w:r w:rsidR="004708C8">
        <w:t xml:space="preserve"> a</w:t>
      </w:r>
      <w:r w:rsidR="0038336D">
        <w:t xml:space="preserve"> </w:t>
      </w:r>
      <w:r w:rsidR="00256395">
        <w:t xml:space="preserve">selected group of countries from </w:t>
      </w:r>
      <w:r w:rsidR="0038336D">
        <w:t>South-Eastern Europe in the most recent period (2008-2012).</w:t>
      </w:r>
      <w:r w:rsidRPr="009C5963">
        <w:t xml:space="preserve"> The analysis is based on </w:t>
      </w:r>
      <w:r w:rsidR="004708C8">
        <w:t xml:space="preserve">the </w:t>
      </w:r>
      <w:r w:rsidRPr="009C5963">
        <w:t xml:space="preserve">gravity model which is used by </w:t>
      </w:r>
      <w:r w:rsidR="00503123">
        <w:t>OECD</w:t>
      </w:r>
      <w:r>
        <w:t xml:space="preserve">. </w:t>
      </w:r>
      <w:r w:rsidR="00553DD3">
        <w:t xml:space="preserve">Wilson (2010) </w:t>
      </w:r>
      <w:r>
        <w:t xml:space="preserve">used </w:t>
      </w:r>
      <w:r w:rsidR="004708C8">
        <w:t xml:space="preserve">the </w:t>
      </w:r>
      <w:r w:rsidR="00503123">
        <w:t>gravity model</w:t>
      </w:r>
      <w:r>
        <w:t xml:space="preserve"> to compare customs and administrative procedures between </w:t>
      </w:r>
      <w:r w:rsidR="00503123">
        <w:t xml:space="preserve">world </w:t>
      </w:r>
      <w:r>
        <w:t xml:space="preserve">regions </w:t>
      </w:r>
      <w:r w:rsidR="00503123">
        <w:t xml:space="preserve">in order </w:t>
      </w:r>
      <w:r>
        <w:t xml:space="preserve">to </w:t>
      </w:r>
      <w:r w:rsidRPr="000B716F">
        <w:t xml:space="preserve">show that developing countries have relatively thicker borders than </w:t>
      </w:r>
      <w:r w:rsidR="00C924DB" w:rsidRPr="000B716F">
        <w:t xml:space="preserve">the </w:t>
      </w:r>
      <w:r w:rsidRPr="000B716F">
        <w:t xml:space="preserve">developed </w:t>
      </w:r>
      <w:r w:rsidR="00C924DB" w:rsidRPr="000B716F">
        <w:t>ones</w:t>
      </w:r>
      <w:r w:rsidRPr="000B716F">
        <w:t>. The</w:t>
      </w:r>
      <w:r w:rsidR="00503123">
        <w:t>se</w:t>
      </w:r>
      <w:r w:rsidRPr="000B716F">
        <w:t xml:space="preserve"> results </w:t>
      </w:r>
      <w:r w:rsidR="00503123">
        <w:t>were then used</w:t>
      </w:r>
      <w:r w:rsidR="004B7976">
        <w:t xml:space="preserve"> </w:t>
      </w:r>
      <w:r w:rsidR="00503123">
        <w:t>in</w:t>
      </w:r>
      <w:r w:rsidRPr="000B716F">
        <w:t xml:space="preserve"> simulations to indicate </w:t>
      </w:r>
      <w:r w:rsidR="00503123">
        <w:t>to what extent</w:t>
      </w:r>
      <w:r w:rsidR="00CB274A" w:rsidRPr="000B716F">
        <w:t xml:space="preserve"> </w:t>
      </w:r>
      <w:r w:rsidRPr="000B716F">
        <w:t xml:space="preserve">customs and administrative procedures need to be </w:t>
      </w:r>
      <w:r w:rsidR="00314FFE">
        <w:t>changed</w:t>
      </w:r>
      <w:r w:rsidR="00314FFE" w:rsidRPr="000B716F">
        <w:t xml:space="preserve"> </w:t>
      </w:r>
      <w:r w:rsidRPr="000B716F">
        <w:t>to increase trade flows.</w:t>
      </w:r>
    </w:p>
    <w:p w:rsidR="00E21A5A" w:rsidRPr="000B716F" w:rsidRDefault="00295629" w:rsidP="00E21A5A">
      <w:pPr>
        <w:autoSpaceDE w:val="0"/>
        <w:autoSpaceDN w:val="0"/>
        <w:adjustRightInd w:val="0"/>
        <w:spacing w:line="480" w:lineRule="auto"/>
        <w:ind w:firstLine="720"/>
        <w:contextualSpacing/>
        <w:jc w:val="both"/>
      </w:pPr>
      <w:r>
        <w:t>In this paper we</w:t>
      </w:r>
      <w:r w:rsidR="004B7976">
        <w:t xml:space="preserve"> </w:t>
      </w:r>
      <w:r>
        <w:t>analy</w:t>
      </w:r>
      <w:r w:rsidR="008E742F">
        <w:t>z</w:t>
      </w:r>
      <w:r>
        <w:t>e</w:t>
      </w:r>
      <w:r w:rsidR="00E21A5A" w:rsidRPr="000B716F">
        <w:t xml:space="preserve"> </w:t>
      </w:r>
      <w:r w:rsidR="00473E2B">
        <w:t xml:space="preserve">a </w:t>
      </w:r>
      <w:r w:rsidR="00E21A5A" w:rsidRPr="000B716F">
        <w:t>selected group of countries from the region of South</w:t>
      </w:r>
      <w:r w:rsidR="00276242">
        <w:t>-</w:t>
      </w:r>
      <w:r w:rsidR="00E21A5A" w:rsidRPr="000B716F">
        <w:t>Eastern Europe</w:t>
      </w:r>
      <w:r>
        <w:t xml:space="preserve"> (SEE)</w:t>
      </w:r>
      <w:r w:rsidR="00E21A5A" w:rsidRPr="000B716F">
        <w:t xml:space="preserve">. We included five countries which are currently </w:t>
      </w:r>
      <w:r>
        <w:t>members of</w:t>
      </w:r>
      <w:r w:rsidR="00E21A5A" w:rsidRPr="000B716F">
        <w:t xml:space="preserve"> </w:t>
      </w:r>
      <w:r w:rsidR="00473E2B">
        <w:t xml:space="preserve">the </w:t>
      </w:r>
      <w:r w:rsidR="00E21A5A" w:rsidRPr="000B716F">
        <w:t>CEFTA-2006 agreement: Albania, Bosnia and Herzegovina, Macedonia, Montenegro and Serbia.</w:t>
      </w:r>
      <w:r w:rsidR="00E21A5A" w:rsidRPr="000B716F">
        <w:rPr>
          <w:rStyle w:val="FootnoteReference"/>
        </w:rPr>
        <w:footnoteReference w:id="3"/>
      </w:r>
      <w:r w:rsidR="00E21A5A" w:rsidRPr="000B716F">
        <w:t xml:space="preserve"> Moldova </w:t>
      </w:r>
      <w:r w:rsidR="009B7534">
        <w:t>is excluded</w:t>
      </w:r>
      <w:r w:rsidR="00E21A5A" w:rsidRPr="000B716F">
        <w:t xml:space="preserve"> although </w:t>
      </w:r>
      <w:r w:rsidR="009B7534">
        <w:t xml:space="preserve">it </w:t>
      </w:r>
      <w:r w:rsidR="00E21A5A" w:rsidRPr="000B716F">
        <w:t xml:space="preserve">is </w:t>
      </w:r>
      <w:r w:rsidR="00473E2B">
        <w:t xml:space="preserve">a </w:t>
      </w:r>
      <w:r w:rsidR="00E21A5A" w:rsidRPr="000B716F">
        <w:t xml:space="preserve">CEFTA-2006 member </w:t>
      </w:r>
      <w:r w:rsidR="009B7534">
        <w:t xml:space="preserve">since it </w:t>
      </w:r>
      <w:r w:rsidR="00E21A5A" w:rsidRPr="000B716F">
        <w:t xml:space="preserve">shares </w:t>
      </w:r>
      <w:r w:rsidR="00473E2B">
        <w:t xml:space="preserve">only a </w:t>
      </w:r>
      <w:r w:rsidR="00E21A5A" w:rsidRPr="000B716F">
        <w:t xml:space="preserve">small portion of trade with the above mentioned countries. As </w:t>
      </w:r>
      <w:r>
        <w:t xml:space="preserve">a </w:t>
      </w:r>
      <w:r w:rsidR="00E21A5A" w:rsidRPr="000B716F">
        <w:t xml:space="preserve">part of the geographical region of South-Eastern Europe we included Bulgaria, Croatia, Romania and Greece although they are EU members and by some indicators are </w:t>
      </w:r>
      <w:r>
        <w:t>much</w:t>
      </w:r>
      <w:r w:rsidR="00E21A5A" w:rsidRPr="000B716F">
        <w:t xml:space="preserve"> better off than the other countries in the group. </w:t>
      </w:r>
      <w:r>
        <w:t>Namely</w:t>
      </w:r>
      <w:r w:rsidR="008C289D">
        <w:t>,</w:t>
      </w:r>
      <w:r w:rsidR="00E21A5A" w:rsidRPr="000B716F">
        <w:t xml:space="preserve"> the </w:t>
      </w:r>
      <w:r w:rsidR="00E21A5A" w:rsidRPr="000B716F">
        <w:lastRenderedPageBreak/>
        <w:t xml:space="preserve">geographical closeness and </w:t>
      </w:r>
      <w:r>
        <w:t>border-</w:t>
      </w:r>
      <w:r w:rsidR="00E21A5A" w:rsidRPr="000B716F">
        <w:t>sharing can be enhancing factor</w:t>
      </w:r>
      <w:r w:rsidR="008C289D">
        <w:t>s</w:t>
      </w:r>
      <w:r w:rsidR="00E21A5A" w:rsidRPr="000B716F">
        <w:t xml:space="preserve"> for increasing mutual trade. </w:t>
      </w:r>
      <w:r>
        <w:t>Within</w:t>
      </w:r>
      <w:r w:rsidR="00E21A5A" w:rsidRPr="000B716F">
        <w:t xml:space="preserve"> this context we wanted to analyze the </w:t>
      </w:r>
      <w:r>
        <w:t xml:space="preserve">impact </w:t>
      </w:r>
      <w:r w:rsidR="00E21A5A" w:rsidRPr="000B716F">
        <w:t xml:space="preserve">of time used for certain customs and administrative procedures </w:t>
      </w:r>
      <w:r>
        <w:t>on</w:t>
      </w:r>
      <w:r w:rsidR="00E21A5A" w:rsidRPr="000B716F">
        <w:t xml:space="preserve"> trade.</w:t>
      </w:r>
    </w:p>
    <w:p w:rsidR="00194141" w:rsidRPr="00AD0209" w:rsidRDefault="00194141" w:rsidP="002C6185">
      <w:pPr>
        <w:spacing w:line="480" w:lineRule="auto"/>
        <w:ind w:firstLine="720"/>
        <w:contextualSpacing/>
        <w:jc w:val="both"/>
      </w:pPr>
      <w:r w:rsidRPr="000B716F">
        <w:t>The paper is organized as follows. The next section presents the</w:t>
      </w:r>
      <w:r w:rsidR="00605831" w:rsidRPr="000B716F">
        <w:t xml:space="preserve"> existing literature on gravity models with pa</w:t>
      </w:r>
      <w:r w:rsidR="00163DC5" w:rsidRPr="000B716F">
        <w:t xml:space="preserve">rticular emphasis on </w:t>
      </w:r>
      <w:r w:rsidR="008C289D">
        <w:t xml:space="preserve">the </w:t>
      </w:r>
      <w:r w:rsidR="004B7FD9" w:rsidRPr="000B716F">
        <w:t xml:space="preserve">selected group of countries from the </w:t>
      </w:r>
      <w:r w:rsidR="00163DC5" w:rsidRPr="000B716F">
        <w:t>SEE region</w:t>
      </w:r>
      <w:r w:rsidR="00605831" w:rsidRPr="000B716F">
        <w:t xml:space="preserve">. </w:t>
      </w:r>
      <w:r w:rsidR="00D77A8E" w:rsidRPr="000B716F">
        <w:t xml:space="preserve">In </w:t>
      </w:r>
      <w:r w:rsidR="00906E5B">
        <w:t>S</w:t>
      </w:r>
      <w:r w:rsidRPr="000B716F">
        <w:t>ectio</w:t>
      </w:r>
      <w:r w:rsidR="002C6185" w:rsidRPr="000B716F">
        <w:t>n 3</w:t>
      </w:r>
      <w:r w:rsidRPr="000B716F">
        <w:t xml:space="preserve"> </w:t>
      </w:r>
      <w:r w:rsidR="00D77A8E" w:rsidRPr="000B716F">
        <w:t>we</w:t>
      </w:r>
      <w:r w:rsidR="00340CD8" w:rsidRPr="000B716F">
        <w:t xml:space="preserve"> </w:t>
      </w:r>
      <w:r w:rsidRPr="000B716F">
        <w:t>explain the</w:t>
      </w:r>
      <w:r w:rsidR="00340CD8" w:rsidRPr="000B716F">
        <w:t xml:space="preserve"> empirical model a</w:t>
      </w:r>
      <w:r w:rsidR="00D77A8E" w:rsidRPr="000B716F">
        <w:t>nd its six specifications used for the anal</w:t>
      </w:r>
      <w:r w:rsidR="00D77A8E" w:rsidRPr="009C5963">
        <w:t>ysis</w:t>
      </w:r>
      <w:r w:rsidR="00340CD8" w:rsidRPr="009C5963">
        <w:t>, as well as the input data</w:t>
      </w:r>
      <w:r w:rsidR="002C6185" w:rsidRPr="009C5963">
        <w:t xml:space="preserve">. Section </w:t>
      </w:r>
      <w:r w:rsidR="002C6185" w:rsidRPr="00340CD8">
        <w:t>4</w:t>
      </w:r>
      <w:r w:rsidRPr="00340CD8">
        <w:t xml:space="preserve"> discusses the empirical results of the different specifications of the gravity model. </w:t>
      </w:r>
      <w:r w:rsidR="00D77A8E" w:rsidRPr="00340CD8">
        <w:t>In t</w:t>
      </w:r>
      <w:r w:rsidRPr="00340CD8">
        <w:t>he last section</w:t>
      </w:r>
      <w:r w:rsidR="00D77A8E" w:rsidRPr="00340CD8">
        <w:t xml:space="preserve"> we highlight the</w:t>
      </w:r>
      <w:r w:rsidRPr="00340CD8">
        <w:t xml:space="preserve"> main conclusion</w:t>
      </w:r>
      <w:r w:rsidR="00D77A8E" w:rsidRPr="00340CD8">
        <w:t xml:space="preserve">s </w:t>
      </w:r>
      <w:r w:rsidR="00D77A8E" w:rsidRPr="00C01574">
        <w:t>from the results</w:t>
      </w:r>
      <w:r w:rsidR="00D77A8E" w:rsidRPr="00340CD8">
        <w:t xml:space="preserve"> in order to </w:t>
      </w:r>
      <w:r w:rsidR="00D77A8E" w:rsidRPr="00C01574">
        <w:t>give future prospects for trade policy directions</w:t>
      </w:r>
      <w:r w:rsidR="00D77A8E" w:rsidRPr="00340CD8">
        <w:t xml:space="preserve"> for these countries</w:t>
      </w:r>
      <w:r w:rsidRPr="00340CD8">
        <w:t>.</w:t>
      </w:r>
      <w:r w:rsidRPr="00AD0209">
        <w:t xml:space="preserve"> </w:t>
      </w:r>
    </w:p>
    <w:p w:rsidR="002D419E" w:rsidRDefault="002D419E" w:rsidP="002C6185">
      <w:pPr>
        <w:spacing w:line="480" w:lineRule="auto"/>
        <w:contextualSpacing/>
        <w:jc w:val="both"/>
      </w:pPr>
    </w:p>
    <w:p w:rsidR="004501DF" w:rsidRPr="004501DF" w:rsidRDefault="00906E5B" w:rsidP="004501DF">
      <w:pPr>
        <w:pStyle w:val="ListParagraph"/>
        <w:numPr>
          <w:ilvl w:val="0"/>
          <w:numId w:val="2"/>
        </w:numPr>
        <w:spacing w:line="480" w:lineRule="auto"/>
        <w:jc w:val="both"/>
        <w:rPr>
          <w:b/>
        </w:rPr>
      </w:pPr>
      <w:r>
        <w:rPr>
          <w:b/>
        </w:rPr>
        <w:t>L</w:t>
      </w:r>
      <w:r w:rsidR="00DC5A9B">
        <w:rPr>
          <w:b/>
        </w:rPr>
        <w:t xml:space="preserve">iterature </w:t>
      </w:r>
      <w:r w:rsidR="00335D30">
        <w:rPr>
          <w:b/>
        </w:rPr>
        <w:t>R</w:t>
      </w:r>
      <w:r w:rsidR="00DC5A9B">
        <w:rPr>
          <w:b/>
        </w:rPr>
        <w:t>eview</w:t>
      </w:r>
    </w:p>
    <w:p w:rsidR="00D03BAA" w:rsidRDefault="00D03BAA" w:rsidP="00D03BAA">
      <w:pPr>
        <w:autoSpaceDE w:val="0"/>
        <w:autoSpaceDN w:val="0"/>
        <w:adjustRightInd w:val="0"/>
        <w:rPr>
          <w:rFonts w:ascii="ArialMT" w:eastAsiaTheme="minorHAnsi" w:hAnsi="ArialMT" w:cs="ArialMT"/>
          <w:color w:val="231F20"/>
          <w:sz w:val="17"/>
          <w:szCs w:val="17"/>
        </w:rPr>
      </w:pPr>
    </w:p>
    <w:p w:rsidR="00D03BAA" w:rsidRDefault="00D03BAA" w:rsidP="00D03BAA">
      <w:pPr>
        <w:autoSpaceDE w:val="0"/>
        <w:autoSpaceDN w:val="0"/>
        <w:adjustRightInd w:val="0"/>
        <w:rPr>
          <w:rFonts w:ascii="ArialMT" w:eastAsiaTheme="minorHAnsi" w:hAnsi="ArialMT" w:cs="ArialMT"/>
          <w:color w:val="231F20"/>
          <w:sz w:val="17"/>
          <w:szCs w:val="17"/>
        </w:rPr>
      </w:pPr>
    </w:p>
    <w:p w:rsidR="00DC5A9B" w:rsidRDefault="00751661" w:rsidP="00DC5A9B">
      <w:pPr>
        <w:spacing w:line="480" w:lineRule="auto"/>
        <w:jc w:val="both"/>
      </w:pPr>
      <w:r>
        <w:t>Starting with</w:t>
      </w:r>
      <w:r w:rsidR="00DC5A9B">
        <w:t xml:space="preserve"> Linder (1961)</w:t>
      </w:r>
      <w:r w:rsidR="00802ECB">
        <w:t>,</w:t>
      </w:r>
      <w:r>
        <w:t xml:space="preserve"> Tinbergen (1962)</w:t>
      </w:r>
      <w:r w:rsidR="00DC5A9B">
        <w:t xml:space="preserve"> and Linnemann (1966)</w:t>
      </w:r>
      <w:r w:rsidR="00802ECB">
        <w:t>,</w:t>
      </w:r>
      <w:r>
        <w:t xml:space="preserve"> </w:t>
      </w:r>
      <w:r w:rsidR="00906E5B">
        <w:t>gravity</w:t>
      </w:r>
      <w:r>
        <w:t xml:space="preserve"> model</w:t>
      </w:r>
      <w:r w:rsidR="00DC5A9B">
        <w:t>s</w:t>
      </w:r>
      <w:r>
        <w:t xml:space="preserve"> ha</w:t>
      </w:r>
      <w:r w:rsidR="000578C3">
        <w:t>ve</w:t>
      </w:r>
      <w:r>
        <w:t xml:space="preserve"> been </w:t>
      </w:r>
      <w:r w:rsidR="0032518F">
        <w:t xml:space="preserve">extensively </w:t>
      </w:r>
      <w:r>
        <w:t xml:space="preserve">used in international trade literature. </w:t>
      </w:r>
      <w:r w:rsidR="00906E5B">
        <w:t>T</w:t>
      </w:r>
      <w:r w:rsidR="00DC5A9B">
        <w:t xml:space="preserve">he </w:t>
      </w:r>
      <w:r w:rsidR="0034376E">
        <w:t>basic form</w:t>
      </w:r>
      <w:r>
        <w:t xml:space="preserve"> of gravity model</w:t>
      </w:r>
      <w:r w:rsidR="00DC5A9B">
        <w:t>s</w:t>
      </w:r>
      <w:r>
        <w:t xml:space="preserve"> </w:t>
      </w:r>
      <w:r w:rsidR="0034376E" w:rsidRPr="00194C6C">
        <w:t>describes bilateral trade as directly related to the</w:t>
      </w:r>
      <w:r w:rsidR="0034376E">
        <w:t xml:space="preserve"> economic </w:t>
      </w:r>
      <w:r w:rsidR="0034376E" w:rsidRPr="00194C6C">
        <w:t>size of the two countries involved and inversely related to the</w:t>
      </w:r>
      <w:r w:rsidR="00E76592">
        <w:t xml:space="preserve"> transportation between them, as measured by the distance between their economic centers</w:t>
      </w:r>
      <w:r w:rsidR="0034376E">
        <w:t>.</w:t>
      </w:r>
      <w:r>
        <w:t xml:space="preserve"> Augmenting the basic relationships led to further insights on the effect of other factors on international trade</w:t>
      </w:r>
      <w:r w:rsidR="00DC5A9B">
        <w:t>.</w:t>
      </w:r>
      <w:r w:rsidR="004C1941">
        <w:t xml:space="preserve"> </w:t>
      </w:r>
      <w:r w:rsidR="004719F7">
        <w:t>With regard to the</w:t>
      </w:r>
      <w:r w:rsidR="004C1941">
        <w:t xml:space="preserve"> other factors, four variables are commonly added (</w:t>
      </w:r>
      <w:r w:rsidR="004C1941" w:rsidRPr="00B63CF6">
        <w:t>Cheng and Wall, 200</w:t>
      </w:r>
      <w:r w:rsidR="00D024E6">
        <w:t>5</w:t>
      </w:r>
      <w:r w:rsidR="004C1941">
        <w:t>): common language, common border, accession to free trade arrangement and common territory in the past (such as the countries of former Yugoslavia or the former Soviet Union).</w:t>
      </w:r>
    </w:p>
    <w:p w:rsidR="004C1941" w:rsidRDefault="00802ECB" w:rsidP="00234907">
      <w:pPr>
        <w:spacing w:line="480" w:lineRule="auto"/>
        <w:ind w:firstLine="720"/>
        <w:jc w:val="both"/>
      </w:pPr>
      <w:r>
        <w:lastRenderedPageBreak/>
        <w:t>G</w:t>
      </w:r>
      <w:r w:rsidR="004C1941">
        <w:t>ravity models</w:t>
      </w:r>
      <w:r w:rsidR="00155301">
        <w:t xml:space="preserve"> are the workhorse for applied international trade researchers </w:t>
      </w:r>
      <w:r w:rsidR="004C1941">
        <w:t>because of their simplicity and high explanatory power</w:t>
      </w:r>
      <w:r w:rsidR="009E187D">
        <w:t>.</w:t>
      </w:r>
      <w:r w:rsidR="004C1941">
        <w:t xml:space="preserve"> </w:t>
      </w:r>
      <w:r w:rsidR="004C1941" w:rsidRPr="00FD27A7">
        <w:t xml:space="preserve">Leamer and Levinsohn (1995) argue that the gravity model </w:t>
      </w:r>
      <w:r w:rsidR="004F78AB" w:rsidRPr="00FD27A7">
        <w:t>ha</w:t>
      </w:r>
      <w:r w:rsidR="004F78AB">
        <w:t>s</w:t>
      </w:r>
      <w:r w:rsidR="004F78AB" w:rsidRPr="00FD27A7">
        <w:t xml:space="preserve"> </w:t>
      </w:r>
      <w:r w:rsidR="004C1941" w:rsidRPr="00FD27A7">
        <w:t>produced some of the clearest and most robust empirical findings in economics.</w:t>
      </w:r>
      <w:r w:rsidR="00273B16">
        <w:t xml:space="preserve"> However, </w:t>
      </w:r>
      <w:r w:rsidR="004C1941">
        <w:t xml:space="preserve">its use does not come without potential problems. The main </w:t>
      </w:r>
      <w:r w:rsidR="009B7534">
        <w:t xml:space="preserve">one is </w:t>
      </w:r>
      <w:r w:rsidR="00411238">
        <w:t>defin</w:t>
      </w:r>
      <w:r>
        <w:t>ing</w:t>
      </w:r>
      <w:r w:rsidR="00411238">
        <w:t xml:space="preserve"> </w:t>
      </w:r>
      <w:r>
        <w:t xml:space="preserve">the </w:t>
      </w:r>
      <w:r w:rsidR="00411238">
        <w:t>specifications that will be estimated</w:t>
      </w:r>
      <w:r w:rsidR="004C1941">
        <w:t xml:space="preserve">. Traditionally, gravity models have </w:t>
      </w:r>
      <w:r w:rsidR="009B7534">
        <w:t xml:space="preserve">been </w:t>
      </w:r>
      <w:r w:rsidR="00411238">
        <w:t xml:space="preserve">largely </w:t>
      </w:r>
      <w:r w:rsidR="004C1941">
        <w:t xml:space="preserve">based on </w:t>
      </w:r>
      <w:r w:rsidR="004C1941" w:rsidRPr="00DD7CA0">
        <w:t xml:space="preserve">intuitive ideas as to which variables </w:t>
      </w:r>
      <w:r w:rsidR="00411238">
        <w:t>affect</w:t>
      </w:r>
      <w:r w:rsidR="004C1941" w:rsidRPr="00DD7CA0">
        <w:t xml:space="preserve"> trade. More recently, however, a number</w:t>
      </w:r>
      <w:r w:rsidR="004C1941">
        <w:t xml:space="preserve"> </w:t>
      </w:r>
      <w:r w:rsidR="004C1941" w:rsidRPr="00DD7CA0">
        <w:t>of “theoretical” gravity models have been developed, which use various micro-founded theories</w:t>
      </w:r>
      <w:r w:rsidR="004C1941">
        <w:t xml:space="preserve"> </w:t>
      </w:r>
      <w:r w:rsidR="004C1941" w:rsidRPr="00DD7CA0">
        <w:t>of international trade to develop gravity-like models</w:t>
      </w:r>
      <w:r w:rsidR="004C1941">
        <w:t xml:space="preserve"> (Shepard, 2012)</w:t>
      </w:r>
      <w:r w:rsidR="004C1941" w:rsidRPr="00DD7CA0">
        <w:t>.</w:t>
      </w:r>
      <w:r w:rsidR="004C1941">
        <w:t xml:space="preserve"> </w:t>
      </w:r>
      <w:r w:rsidR="00234907" w:rsidRPr="00234907">
        <w:t xml:space="preserve">They are based </w:t>
      </w:r>
      <w:r w:rsidR="00234907">
        <w:t xml:space="preserve">on </w:t>
      </w:r>
      <w:r w:rsidR="00234907" w:rsidRPr="00234907">
        <w:t>technological differences (Ricardian model), factor endow</w:t>
      </w:r>
      <w:r w:rsidR="00234907">
        <w:t>ments (Heckscher-Ohlin model),</w:t>
      </w:r>
      <w:r w:rsidR="00234907" w:rsidRPr="00234907">
        <w:t xml:space="preserve"> emphasize the importance of monopolistic competition and increasing returns to sc</w:t>
      </w:r>
      <w:r w:rsidR="00234907">
        <w:t>ale (Helpman and Krugman model) or capture the multilateral resistance relationships (Anderson and van Wincoop model).</w:t>
      </w:r>
    </w:p>
    <w:p w:rsidR="00E21A5A" w:rsidRPr="00B63CF6" w:rsidRDefault="0094471D" w:rsidP="00E21A5A">
      <w:pPr>
        <w:spacing w:line="480" w:lineRule="auto"/>
        <w:ind w:firstLine="720"/>
        <w:jc w:val="both"/>
      </w:pPr>
      <w:r>
        <w:t>An o</w:t>
      </w:r>
      <w:r w:rsidR="003154D0">
        <w:t>vervi</w:t>
      </w:r>
      <w:r w:rsidR="004C1941">
        <w:t>ew of the development of gravity model</w:t>
      </w:r>
      <w:r w:rsidR="009B7534">
        <w:t>s</w:t>
      </w:r>
      <w:r w:rsidR="004C1941">
        <w:t xml:space="preserve"> is provided </w:t>
      </w:r>
      <w:r w:rsidR="009B7534">
        <w:t xml:space="preserve">in </w:t>
      </w:r>
      <w:r w:rsidR="004C1941" w:rsidRPr="00B63CF6">
        <w:t>Frankel (1997), Cheng and Wall (2004) and De Benedictis and Taglioni (2011), while r</w:t>
      </w:r>
      <w:r w:rsidR="004C1941">
        <w:t>ecent important studies applying the gravity model include Feenstra et al. (2001)</w:t>
      </w:r>
      <w:r>
        <w:t>,</w:t>
      </w:r>
      <w:r w:rsidR="004C1941">
        <w:t xml:space="preserve"> Limão and Venables (2001)</w:t>
      </w:r>
      <w:r>
        <w:t>,</w:t>
      </w:r>
      <w:r w:rsidR="004C1941">
        <w:t xml:space="preserve"> Clark et al. (2004)</w:t>
      </w:r>
      <w:r>
        <w:t>,</w:t>
      </w:r>
      <w:r w:rsidR="004C1941">
        <w:t xml:space="preserve"> Nordås and Piermartini (2004)</w:t>
      </w:r>
      <w:r>
        <w:t>,</w:t>
      </w:r>
      <w:r w:rsidR="004C1941">
        <w:t xml:space="preserve"> de Groot at al. (2004) and Wilson (2010).</w:t>
      </w:r>
      <w:r w:rsidR="00273B16">
        <w:t xml:space="preserve"> Also, </w:t>
      </w:r>
      <w:r w:rsidR="00C87FB2">
        <w:t xml:space="preserve">the </w:t>
      </w:r>
      <w:r w:rsidR="009B7534">
        <w:t>literature confirms frequent</w:t>
      </w:r>
      <w:r w:rsidR="00273B16">
        <w:t xml:space="preserve"> application of these models in </w:t>
      </w:r>
      <w:r w:rsidR="00C87FB2">
        <w:t xml:space="preserve">the </w:t>
      </w:r>
      <w:r w:rsidR="00273B16">
        <w:t>Central a</w:t>
      </w:r>
      <w:r w:rsidR="002075F7">
        <w:t xml:space="preserve">nd Eastern Europe (CEE) region, where the most influential studies </w:t>
      </w:r>
      <w:r w:rsidR="003154D0">
        <w:t>include</w:t>
      </w:r>
      <w:r w:rsidR="002075F7">
        <w:t xml:space="preserve"> </w:t>
      </w:r>
      <w:r w:rsidR="002075F7" w:rsidRPr="00B63CF6">
        <w:t>Hamilton and Winters (1992), Baldwin (1994), H</w:t>
      </w:r>
      <w:r w:rsidR="005454BF">
        <w:t>a</w:t>
      </w:r>
      <w:r w:rsidR="002075F7" w:rsidRPr="00B63CF6">
        <w:t>vrylyshyn and Al-Atrash (1998), Kaminski</w:t>
      </w:r>
      <w:r w:rsidR="00C87FB2">
        <w:t xml:space="preserve">, </w:t>
      </w:r>
      <w:r w:rsidR="00C87FB2">
        <w:rPr>
          <w:rFonts w:eastAsiaTheme="minorHAnsi"/>
        </w:rPr>
        <w:t xml:space="preserve">Wang and Winters </w:t>
      </w:r>
      <w:r w:rsidR="002075F7" w:rsidRPr="009F2099">
        <w:t>(1996), Jakab</w:t>
      </w:r>
      <w:r w:rsidR="00184378" w:rsidRPr="009F2099">
        <w:t>, Kovács and Oszlay</w:t>
      </w:r>
      <w:r w:rsidR="002075F7" w:rsidRPr="009F2099">
        <w:t xml:space="preserve"> (2001), Egger </w:t>
      </w:r>
      <w:r w:rsidR="005454BF" w:rsidRPr="009F2099">
        <w:t xml:space="preserve">and Pfaffermayr </w:t>
      </w:r>
      <w:r w:rsidR="002075F7" w:rsidRPr="009F2099">
        <w:t>(2003), Fidrmuc and Fidrmuc (2003) and Bussiere</w:t>
      </w:r>
      <w:r w:rsidR="00184378" w:rsidRPr="009F2099">
        <w:t>, Fidrmuc and Schnatz</w:t>
      </w:r>
      <w:r w:rsidR="002075F7" w:rsidRPr="009F2099">
        <w:t xml:space="preserve"> </w:t>
      </w:r>
      <w:r w:rsidR="002075F7" w:rsidRPr="00B63CF6">
        <w:t>(2005).</w:t>
      </w:r>
    </w:p>
    <w:p w:rsidR="00D03BAA" w:rsidRDefault="00EC30E2" w:rsidP="00F14929">
      <w:pPr>
        <w:spacing w:line="480" w:lineRule="auto"/>
        <w:ind w:firstLine="720"/>
        <w:jc w:val="both"/>
      </w:pPr>
      <w:r w:rsidRPr="00B63CF6">
        <w:lastRenderedPageBreak/>
        <w:t>The</w:t>
      </w:r>
      <w:r w:rsidR="00B53183" w:rsidRPr="00B63CF6">
        <w:t xml:space="preserve"> literature on </w:t>
      </w:r>
      <w:r w:rsidR="009E187D">
        <w:t xml:space="preserve">the </w:t>
      </w:r>
      <w:r w:rsidR="00501E33">
        <w:t>implementation</w:t>
      </w:r>
      <w:r w:rsidR="009E187D">
        <w:t xml:space="preserve"> of </w:t>
      </w:r>
      <w:r w:rsidR="00B53183" w:rsidRPr="00B63CF6">
        <w:t>gravity models</w:t>
      </w:r>
      <w:r w:rsidR="009E187D">
        <w:t xml:space="preserve"> i</w:t>
      </w:r>
      <w:r w:rsidR="00B53183" w:rsidRPr="00B63CF6">
        <w:t>n</w:t>
      </w:r>
      <w:r w:rsidR="001C72F1" w:rsidRPr="00B63CF6">
        <w:t xml:space="preserve"> the</w:t>
      </w:r>
      <w:r w:rsidR="00B53183" w:rsidRPr="00B63CF6">
        <w:t xml:space="preserve"> SEE </w:t>
      </w:r>
      <w:r w:rsidRPr="00B63CF6">
        <w:t>region</w:t>
      </w:r>
      <w:r w:rsidR="00B53183" w:rsidRPr="00B63CF6">
        <w:t xml:space="preserve"> is rather scarce.</w:t>
      </w:r>
      <w:r w:rsidR="001C72F1" w:rsidRPr="00B63CF6">
        <w:t xml:space="preserve"> </w:t>
      </w:r>
      <w:r w:rsidR="00B53183" w:rsidRPr="00B63CF6">
        <w:t>Christie (2002</w:t>
      </w:r>
      <w:r w:rsidR="003154D0">
        <w:t>;</w:t>
      </w:r>
      <w:r w:rsidR="00B53183" w:rsidRPr="00B63CF6">
        <w:t xml:space="preserve"> 2004) suggest</w:t>
      </w:r>
      <w:r w:rsidR="000F7723">
        <w:t>s</w:t>
      </w:r>
      <w:r w:rsidR="00B53183" w:rsidRPr="00B63CF6">
        <w:t xml:space="preserve"> significant differences </w:t>
      </w:r>
      <w:r w:rsidR="003154D0">
        <w:t>between</w:t>
      </w:r>
      <w:r w:rsidR="00B53183" w:rsidRPr="00B63CF6">
        <w:t xml:space="preserve"> actual</w:t>
      </w:r>
      <w:r w:rsidR="00F14929" w:rsidRPr="00B63CF6">
        <w:t xml:space="preserve"> </w:t>
      </w:r>
      <w:r w:rsidR="003154D0">
        <w:t>and</w:t>
      </w:r>
      <w:r w:rsidR="00B53183" w:rsidRPr="00B63CF6">
        <w:t xml:space="preserve"> potential </w:t>
      </w:r>
      <w:r w:rsidR="003154D0">
        <w:t>trade</w:t>
      </w:r>
      <w:r w:rsidR="00B53183" w:rsidRPr="00B63CF6">
        <w:t xml:space="preserve">, both within the </w:t>
      </w:r>
      <w:r w:rsidR="009E187D">
        <w:t xml:space="preserve">SEE </w:t>
      </w:r>
      <w:r w:rsidR="00B53183" w:rsidRPr="00B63CF6">
        <w:t xml:space="preserve">region and </w:t>
      </w:r>
      <w:r w:rsidR="00107BD4">
        <w:t xml:space="preserve">between </w:t>
      </w:r>
      <w:r w:rsidR="000F7723">
        <w:t xml:space="preserve">the </w:t>
      </w:r>
      <w:r w:rsidR="00107BD4">
        <w:t>SEE region and</w:t>
      </w:r>
      <w:r w:rsidR="00B53183" w:rsidRPr="00B63CF6">
        <w:t xml:space="preserve"> developed countries, mainly</w:t>
      </w:r>
      <w:r w:rsidR="00F14929" w:rsidRPr="00B63CF6">
        <w:t xml:space="preserve"> </w:t>
      </w:r>
      <w:r w:rsidR="003154D0">
        <w:t>due</w:t>
      </w:r>
      <w:r w:rsidR="00B53183" w:rsidRPr="00B63CF6">
        <w:t xml:space="preserve"> to the lack of transport infrastructure.</w:t>
      </w:r>
      <w:r w:rsidR="00B53183">
        <w:t xml:space="preserve"> </w:t>
      </w:r>
      <w:r w:rsidR="007724C2" w:rsidRPr="00EC30E2">
        <w:t>Damijan</w:t>
      </w:r>
      <w:r w:rsidR="00B966D4">
        <w:t xml:space="preserve">, </w:t>
      </w:r>
      <w:r w:rsidR="00B966D4" w:rsidRPr="00B966D4">
        <w:t>de Sousa and Lamotte</w:t>
      </w:r>
      <w:r w:rsidR="007724C2" w:rsidRPr="00EC30E2">
        <w:t xml:space="preserve"> (2006)</w:t>
      </w:r>
      <w:r w:rsidR="004A6EFF" w:rsidRPr="00EC30E2">
        <w:t xml:space="preserve"> </w:t>
      </w:r>
      <w:r w:rsidR="000E6DCB">
        <w:t xml:space="preserve">analyze the trade liberalization in the SEE countries and estimate the impact </w:t>
      </w:r>
      <w:r w:rsidR="007724C2" w:rsidRPr="007724C2">
        <w:t>of tari</w:t>
      </w:r>
      <w:r w:rsidR="000E6DCB">
        <w:t>f</w:t>
      </w:r>
      <w:r w:rsidR="007724C2" w:rsidRPr="007724C2">
        <w:t>f and nontari</w:t>
      </w:r>
      <w:r w:rsidR="000E6DCB">
        <w:t>f</w:t>
      </w:r>
      <w:r w:rsidR="007724C2" w:rsidRPr="007724C2">
        <w:t>f barriers on exports</w:t>
      </w:r>
      <w:r w:rsidR="00107BD4">
        <w:t xml:space="preserve"> of manufactured goods</w:t>
      </w:r>
      <w:r w:rsidR="000E6DCB">
        <w:t xml:space="preserve">. They </w:t>
      </w:r>
      <w:r w:rsidR="00B966D4">
        <w:t>find</w:t>
      </w:r>
      <w:r w:rsidR="000C5FA5">
        <w:t xml:space="preserve"> that nontariff barriers exhibit larger effects on trade </w:t>
      </w:r>
      <w:r w:rsidR="00D11761">
        <w:t>and also conclude</w:t>
      </w:r>
      <w:r w:rsidR="000E6DCB">
        <w:t xml:space="preserve"> that </w:t>
      </w:r>
      <w:r w:rsidR="000E6DCB" w:rsidRPr="000E6DCB">
        <w:t>preferential trade agreements between SEE countries will have a limited impact on their</w:t>
      </w:r>
      <w:r w:rsidR="00D11761">
        <w:t xml:space="preserve"> </w:t>
      </w:r>
      <w:r w:rsidR="000E6DCB" w:rsidRPr="000E6DCB">
        <w:t xml:space="preserve">mutual trade since their trade potential </w:t>
      </w:r>
      <w:r w:rsidR="007865AB">
        <w:t>ha</w:t>
      </w:r>
      <w:r w:rsidR="00A0500E">
        <w:t>s</w:t>
      </w:r>
      <w:r w:rsidR="007865AB">
        <w:t xml:space="preserve"> already been</w:t>
      </w:r>
      <w:r w:rsidR="000E6DCB" w:rsidRPr="000E6DCB">
        <w:t xml:space="preserve"> reached.</w:t>
      </w:r>
      <w:r w:rsidR="00D11761">
        <w:t xml:space="preserve"> </w:t>
      </w:r>
      <w:r w:rsidR="001C72F1">
        <w:t>Bj</w:t>
      </w:r>
      <w:r w:rsidR="007A067A">
        <w:t>eli</w:t>
      </w:r>
      <w:r w:rsidR="00A0500E">
        <w:t xml:space="preserve">ć, </w:t>
      </w:r>
      <w:r w:rsidR="00A0500E" w:rsidRPr="00A0500E">
        <w:t xml:space="preserve">Dragutinović Mitrović and </w:t>
      </w:r>
      <w:r w:rsidR="00A0500E">
        <w:t>Popović</w:t>
      </w:r>
      <w:r w:rsidR="00A0500E" w:rsidRPr="00A0500E">
        <w:t xml:space="preserve"> Petrović</w:t>
      </w:r>
      <w:r w:rsidR="007A067A">
        <w:t xml:space="preserve"> (2013)</w:t>
      </w:r>
      <w:r w:rsidR="00D11761">
        <w:t xml:space="preserve"> </w:t>
      </w:r>
      <w:r w:rsidR="006165FF">
        <w:t>focus</w:t>
      </w:r>
      <w:r w:rsidR="00E61718">
        <w:t xml:space="preserve"> on </w:t>
      </w:r>
      <w:r w:rsidR="006165FF">
        <w:t>one</w:t>
      </w:r>
      <w:r w:rsidR="00B63CF6">
        <w:t xml:space="preserve"> part of the SEE region, i.e.</w:t>
      </w:r>
      <w:r w:rsidR="00EB6F85">
        <w:t>,</w:t>
      </w:r>
      <w:r w:rsidR="00B63CF6">
        <w:t xml:space="preserve"> Western Balkans</w:t>
      </w:r>
      <w:r w:rsidR="006165FF">
        <w:t xml:space="preserve"> countries</w:t>
      </w:r>
      <w:r w:rsidR="00B63CF6">
        <w:t xml:space="preserve"> (</w:t>
      </w:r>
      <w:r w:rsidR="00E61718" w:rsidRPr="00B63CF6">
        <w:t>countries</w:t>
      </w:r>
      <w:r w:rsidR="00EB6F85" w:rsidRPr="00B63CF6">
        <w:t xml:space="preserve"> in the </w:t>
      </w:r>
      <w:r w:rsidR="00EB6F85">
        <w:t xml:space="preserve">SEE </w:t>
      </w:r>
      <w:r w:rsidR="00EB6F85" w:rsidRPr="00B63CF6">
        <w:t>region</w:t>
      </w:r>
      <w:r w:rsidR="00E61718" w:rsidRPr="00B63CF6">
        <w:t xml:space="preserve"> </w:t>
      </w:r>
      <w:r w:rsidR="007865AB">
        <w:t>that</w:t>
      </w:r>
      <w:r w:rsidR="003154D0">
        <w:t xml:space="preserve"> are </w:t>
      </w:r>
      <w:r w:rsidR="00E61718" w:rsidRPr="00B63CF6">
        <w:t>still no</w:t>
      </w:r>
      <w:r w:rsidR="003154D0">
        <w:t xml:space="preserve">t </w:t>
      </w:r>
      <w:r w:rsidR="007865AB">
        <w:t xml:space="preserve">EU </w:t>
      </w:r>
      <w:r w:rsidR="00E61718" w:rsidRPr="00B63CF6">
        <w:t>members</w:t>
      </w:r>
      <w:r w:rsidR="00B63CF6">
        <w:t>)</w:t>
      </w:r>
      <w:r w:rsidR="00E61718">
        <w:t xml:space="preserve"> and </w:t>
      </w:r>
      <w:r w:rsidR="007A067A" w:rsidRPr="00B63CF6">
        <w:t xml:space="preserve">explore the effects of nontariff measures </w:t>
      </w:r>
      <w:r w:rsidR="00B84541">
        <w:t>o</w:t>
      </w:r>
      <w:r w:rsidR="007A067A" w:rsidRPr="00B63CF6">
        <w:t xml:space="preserve">n intraregional trade, as well as </w:t>
      </w:r>
      <w:r w:rsidR="00B84541">
        <w:t>o</w:t>
      </w:r>
      <w:r w:rsidR="007A067A" w:rsidRPr="00B63CF6">
        <w:t xml:space="preserve">n </w:t>
      </w:r>
      <w:r w:rsidR="006165FF">
        <w:t xml:space="preserve">their </w:t>
      </w:r>
      <w:r w:rsidR="007A067A" w:rsidRPr="00B63CF6">
        <w:t>export</w:t>
      </w:r>
      <w:r w:rsidR="007865AB">
        <w:t>s</w:t>
      </w:r>
      <w:r w:rsidR="007A067A" w:rsidRPr="00B63CF6">
        <w:t xml:space="preserve"> to the EU as </w:t>
      </w:r>
      <w:r w:rsidR="00B84541">
        <w:t>their</w:t>
      </w:r>
      <w:r w:rsidR="00B84541" w:rsidRPr="00B63CF6">
        <w:t xml:space="preserve"> </w:t>
      </w:r>
      <w:r w:rsidR="007A067A" w:rsidRPr="00B63CF6">
        <w:t xml:space="preserve">main export market. </w:t>
      </w:r>
      <w:r w:rsidR="00E61718" w:rsidRPr="00B63CF6">
        <w:t xml:space="preserve">Their </w:t>
      </w:r>
      <w:r w:rsidR="00316A91" w:rsidRPr="00B63CF6">
        <w:t>analysis</w:t>
      </w:r>
      <w:r w:rsidR="00E61718" w:rsidRPr="00B63CF6">
        <w:t xml:space="preserve"> </w:t>
      </w:r>
      <w:r w:rsidR="007A067A" w:rsidRPr="00B63CF6">
        <w:t>indicates that technical barriers to trade significantly reduce Western Balkan</w:t>
      </w:r>
      <w:r w:rsidR="006165FF">
        <w:t>s</w:t>
      </w:r>
      <w:r w:rsidR="007A067A" w:rsidRPr="00B63CF6">
        <w:t xml:space="preserve"> trade with the EU</w:t>
      </w:r>
      <w:r w:rsidR="00E61718" w:rsidRPr="00B63CF6">
        <w:t>.</w:t>
      </w:r>
    </w:p>
    <w:p w:rsidR="009B55FD" w:rsidRPr="00AD0209" w:rsidRDefault="009B55FD" w:rsidP="00D03BAA">
      <w:pPr>
        <w:spacing w:line="480" w:lineRule="auto"/>
        <w:contextualSpacing/>
        <w:jc w:val="both"/>
      </w:pPr>
    </w:p>
    <w:p w:rsidR="00DC78BD" w:rsidRDefault="004501DF" w:rsidP="00AB1AB5">
      <w:pPr>
        <w:pStyle w:val="ListParagraph"/>
        <w:numPr>
          <w:ilvl w:val="0"/>
          <w:numId w:val="2"/>
        </w:numPr>
        <w:autoSpaceDE w:val="0"/>
        <w:autoSpaceDN w:val="0"/>
        <w:adjustRightInd w:val="0"/>
        <w:spacing w:line="480" w:lineRule="auto"/>
        <w:ind w:firstLine="0"/>
        <w:jc w:val="both"/>
        <w:rPr>
          <w:b/>
        </w:rPr>
      </w:pPr>
      <w:r>
        <w:rPr>
          <w:b/>
        </w:rPr>
        <w:t xml:space="preserve">The </w:t>
      </w:r>
      <w:r w:rsidR="00335D30">
        <w:rPr>
          <w:b/>
        </w:rPr>
        <w:t>E</w:t>
      </w:r>
      <w:r>
        <w:rPr>
          <w:b/>
        </w:rPr>
        <w:t xml:space="preserve">mpirical </w:t>
      </w:r>
      <w:r w:rsidR="00335D30">
        <w:rPr>
          <w:b/>
        </w:rPr>
        <w:t>M</w:t>
      </w:r>
      <w:r>
        <w:rPr>
          <w:b/>
        </w:rPr>
        <w:t xml:space="preserve">odel and </w:t>
      </w:r>
      <w:r w:rsidR="00335D30">
        <w:rPr>
          <w:b/>
        </w:rPr>
        <w:t>D</w:t>
      </w:r>
      <w:r>
        <w:rPr>
          <w:b/>
        </w:rPr>
        <w:t>ata</w:t>
      </w:r>
    </w:p>
    <w:p w:rsidR="00605831" w:rsidRDefault="0093059F" w:rsidP="0093059F">
      <w:pPr>
        <w:autoSpaceDE w:val="0"/>
        <w:autoSpaceDN w:val="0"/>
        <w:adjustRightInd w:val="0"/>
        <w:spacing w:line="480" w:lineRule="auto"/>
        <w:jc w:val="both"/>
      </w:pPr>
      <w:r>
        <w:t>In the first part of this section, we present the empirical model. The second part describes the data used in the model.</w:t>
      </w:r>
    </w:p>
    <w:p w:rsidR="0093059F" w:rsidRPr="0093059F" w:rsidRDefault="0093059F" w:rsidP="0093059F">
      <w:pPr>
        <w:autoSpaceDE w:val="0"/>
        <w:autoSpaceDN w:val="0"/>
        <w:adjustRightInd w:val="0"/>
        <w:spacing w:line="480" w:lineRule="auto"/>
        <w:jc w:val="both"/>
      </w:pPr>
    </w:p>
    <w:p w:rsidR="004501DF" w:rsidRPr="006165FF" w:rsidRDefault="004501DF" w:rsidP="00AB1AB5">
      <w:pPr>
        <w:pStyle w:val="ListParagraph"/>
        <w:numPr>
          <w:ilvl w:val="1"/>
          <w:numId w:val="2"/>
        </w:numPr>
        <w:autoSpaceDE w:val="0"/>
        <w:autoSpaceDN w:val="0"/>
        <w:adjustRightInd w:val="0"/>
        <w:spacing w:line="480" w:lineRule="auto"/>
        <w:ind w:firstLine="90"/>
        <w:jc w:val="both"/>
        <w:rPr>
          <w:b/>
        </w:rPr>
      </w:pPr>
      <w:r w:rsidRPr="006165FF">
        <w:rPr>
          <w:b/>
        </w:rPr>
        <w:t xml:space="preserve"> The </w:t>
      </w:r>
      <w:r w:rsidR="00335D30">
        <w:rPr>
          <w:b/>
        </w:rPr>
        <w:t>E</w:t>
      </w:r>
      <w:r w:rsidRPr="006165FF">
        <w:rPr>
          <w:b/>
        </w:rPr>
        <w:t xml:space="preserve">mpirical </w:t>
      </w:r>
      <w:r w:rsidR="00335D30">
        <w:rPr>
          <w:b/>
        </w:rPr>
        <w:t>M</w:t>
      </w:r>
      <w:r w:rsidRPr="006165FF">
        <w:rPr>
          <w:b/>
        </w:rPr>
        <w:t>odel</w:t>
      </w:r>
    </w:p>
    <w:p w:rsidR="00BF3843" w:rsidRDefault="009A42AA" w:rsidP="00BF3843">
      <w:pPr>
        <w:autoSpaceDE w:val="0"/>
        <w:autoSpaceDN w:val="0"/>
        <w:adjustRightInd w:val="0"/>
        <w:spacing w:line="480" w:lineRule="auto"/>
        <w:contextualSpacing/>
        <w:jc w:val="both"/>
        <w:rPr>
          <w:rFonts w:eastAsiaTheme="minorEastAsia"/>
        </w:rPr>
      </w:pPr>
      <w:r>
        <w:rPr>
          <w:rFonts w:eastAsiaTheme="minorEastAsia"/>
        </w:rPr>
        <w:lastRenderedPageBreak/>
        <w:t>We start with</w:t>
      </w:r>
      <w:r w:rsidR="005F146F">
        <w:rPr>
          <w:rFonts w:eastAsiaTheme="minorEastAsia"/>
        </w:rPr>
        <w:t xml:space="preserve"> the</w:t>
      </w:r>
      <w:r>
        <w:rPr>
          <w:rFonts w:eastAsiaTheme="minorEastAsia"/>
        </w:rPr>
        <w:t xml:space="preserve"> </w:t>
      </w:r>
      <w:r w:rsidRPr="00E0210C">
        <w:rPr>
          <w:rFonts w:eastAsiaTheme="minorEastAsia"/>
        </w:rPr>
        <w:t>augment</w:t>
      </w:r>
      <w:r w:rsidR="007865AB">
        <w:rPr>
          <w:rFonts w:eastAsiaTheme="minorEastAsia"/>
        </w:rPr>
        <w:t>ed</w:t>
      </w:r>
      <w:r w:rsidRPr="00E0210C">
        <w:rPr>
          <w:rFonts w:eastAsiaTheme="minorEastAsia"/>
        </w:rPr>
        <w:t xml:space="preserve"> gravity model of</w:t>
      </w:r>
      <w:r w:rsidR="00BF3843" w:rsidRPr="00E0210C">
        <w:rPr>
          <w:rFonts w:eastAsiaTheme="minorEastAsia"/>
        </w:rPr>
        <w:t xml:space="preserve"> </w:t>
      </w:r>
      <w:r w:rsidR="00F04837" w:rsidRPr="00E0210C">
        <w:rPr>
          <w:rFonts w:eastAsiaTheme="minorEastAsia"/>
        </w:rPr>
        <w:t>nine</w:t>
      </w:r>
      <w:r w:rsidR="00256395" w:rsidRPr="00E0210C">
        <w:rPr>
          <w:rFonts w:eastAsiaTheme="minorEastAsia"/>
        </w:rPr>
        <w:t xml:space="preserve"> selected countries from South</w:t>
      </w:r>
      <w:r w:rsidR="00276242">
        <w:rPr>
          <w:rFonts w:eastAsiaTheme="minorEastAsia"/>
        </w:rPr>
        <w:t>-</w:t>
      </w:r>
      <w:r w:rsidR="00256395" w:rsidRPr="00E0210C">
        <w:rPr>
          <w:rFonts w:eastAsiaTheme="minorEastAsia"/>
        </w:rPr>
        <w:t xml:space="preserve">Eastern Europe and </w:t>
      </w:r>
      <w:r w:rsidRPr="00E0210C">
        <w:rPr>
          <w:rFonts w:eastAsiaTheme="minorEastAsia"/>
        </w:rPr>
        <w:t xml:space="preserve">trade flows </w:t>
      </w:r>
      <w:r w:rsidR="00CC399B">
        <w:rPr>
          <w:rFonts w:eastAsiaTheme="minorEastAsia"/>
        </w:rPr>
        <w:t xml:space="preserve">among </w:t>
      </w:r>
      <w:r>
        <w:rPr>
          <w:rFonts w:eastAsiaTheme="minorEastAsia"/>
        </w:rPr>
        <w:t xml:space="preserve">them in the period 2008-2012 </w:t>
      </w:r>
      <w:r w:rsidR="007865AB">
        <w:rPr>
          <w:rFonts w:eastAsiaTheme="minorEastAsia"/>
        </w:rPr>
        <w:t>(</w:t>
      </w:r>
      <w:r w:rsidR="002C3DC2">
        <w:rPr>
          <w:rFonts w:eastAsiaTheme="minorEastAsia"/>
        </w:rPr>
        <w:t>360</w:t>
      </w:r>
      <w:r w:rsidR="00E7396C">
        <w:rPr>
          <w:rFonts w:eastAsiaTheme="minorEastAsia"/>
        </w:rPr>
        <w:t xml:space="preserve"> balanced</w:t>
      </w:r>
      <w:r>
        <w:rPr>
          <w:rFonts w:eastAsiaTheme="minorEastAsia"/>
        </w:rPr>
        <w:t xml:space="preserve"> panel observations</w:t>
      </w:r>
      <w:r w:rsidR="007865AB">
        <w:rPr>
          <w:rFonts w:eastAsiaTheme="minorEastAsia"/>
        </w:rPr>
        <w:t>)</w:t>
      </w:r>
      <w:r>
        <w:rPr>
          <w:rFonts w:eastAsiaTheme="minorEastAsia"/>
        </w:rPr>
        <w:t xml:space="preserve">. </w:t>
      </w:r>
    </w:p>
    <w:p w:rsidR="00CE2088" w:rsidRDefault="00764463" w:rsidP="00327541">
      <w:pPr>
        <w:autoSpaceDE w:val="0"/>
        <w:autoSpaceDN w:val="0"/>
        <w:adjustRightInd w:val="0"/>
        <w:spacing w:line="480" w:lineRule="auto"/>
        <w:contextualSpacing/>
        <w:jc w:val="both"/>
        <w:rPr>
          <w:rFonts w:eastAsiaTheme="minorEastAsia"/>
        </w:rPr>
      </w:pPr>
      <w:r>
        <w:rPr>
          <w:rFonts w:eastAsiaTheme="minorEastAsia"/>
        </w:rPr>
        <w:t xml:space="preserve">We use the following </w:t>
      </w:r>
      <w:r w:rsidR="00493574">
        <w:rPr>
          <w:rFonts w:eastAsiaTheme="minorEastAsia"/>
        </w:rPr>
        <w:t>specifications of the gravity model:</w:t>
      </w:r>
    </w:p>
    <w:p w:rsidR="008D5F89" w:rsidRPr="00AD0209" w:rsidRDefault="008D5F89" w:rsidP="002C6185">
      <w:pPr>
        <w:autoSpaceDE w:val="0"/>
        <w:autoSpaceDN w:val="0"/>
        <w:adjustRightInd w:val="0"/>
        <w:spacing w:line="480" w:lineRule="auto"/>
        <w:contextualSpacing/>
        <w:jc w:val="both"/>
        <w:rPr>
          <w:rFonts w:eastAsiaTheme="minorEastAsia"/>
        </w:rPr>
      </w:pPr>
    </w:p>
    <w:p w:rsidR="00DC78BD" w:rsidRPr="00AD0209" w:rsidRDefault="00DC78BD" w:rsidP="002C6185">
      <w:pPr>
        <w:autoSpaceDE w:val="0"/>
        <w:autoSpaceDN w:val="0"/>
        <w:adjustRightInd w:val="0"/>
        <w:spacing w:line="480" w:lineRule="auto"/>
        <w:ind w:left="993" w:hanging="993"/>
        <w:contextualSpacing/>
        <w:jc w:val="both"/>
        <w:rPr>
          <w:rFonts w:eastAsiaTheme="minorEastAsia"/>
        </w:rPr>
      </w:pPr>
      <m:oMath>
        <m:r>
          <w:rPr>
            <w:rFonts w:ascii="Cambria Math"/>
          </w:rPr>
          <m:t>ln</m:t>
        </m:r>
        <m:sSub>
          <m:sSubPr>
            <m:ctrlPr>
              <w:rPr>
                <w:rFonts w:ascii="Cambria Math" w:hAnsi="Cambria Math"/>
                <w:i/>
              </w:rPr>
            </m:ctrlPr>
          </m:sSubPr>
          <m:e>
            <m:r>
              <w:rPr>
                <w:rFonts w:ascii="Cambria Math" w:hAnsi="Cambria Math"/>
              </w:rPr>
              <m:t>EXP</m:t>
            </m:r>
          </m:e>
          <m:sub>
            <m:r>
              <w:rPr>
                <w:rFonts w:ascii="Cambria Math" w:hAnsi="Cambria Math"/>
              </w:rPr>
              <m:t>ijt</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0</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1</m:t>
            </m:r>
          </m:sub>
        </m:sSub>
        <m:sSub>
          <m:sSubPr>
            <m:ctrlPr>
              <w:rPr>
                <w:rFonts w:ascii="Cambria Math" w:eastAsiaTheme="minorEastAsia" w:hAnsi="Cambria Math"/>
                <w:i/>
              </w:rPr>
            </m:ctrlPr>
          </m:sSubPr>
          <m:e>
            <m:r>
              <w:rPr>
                <w:rFonts w:ascii="Cambria Math" w:eastAsiaTheme="minorEastAsia" w:hAnsi="Cambria Math"/>
              </w:rPr>
              <m:t>lnDOCimp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2</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3</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4</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5</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rPr>
                  <m:t>t</m:t>
                </m:r>
              </m:sub>
            </m:sSub>
            <m:r>
              <w:rPr>
                <w:rFonts w:ascii="Cambria Math" w:eastAsiaTheme="minorEastAsia"/>
              </w:rPr>
              <m:t>+</m:t>
            </m:r>
            <m:r>
              <w:rPr>
                <w:rFonts w:ascii="Cambria Math" w:eastAsiaTheme="minorEastAsia" w:hAnsi="Cambria Math"/>
              </w:rPr>
              <m:t>ε</m:t>
            </m:r>
          </m:e>
          <m:sub>
            <m:r>
              <w:rPr>
                <w:rFonts w:ascii="Cambria Math" w:eastAsiaTheme="minorEastAsia" w:hAnsi="Cambria Math"/>
              </w:rPr>
              <m:t>ijt</m:t>
            </m:r>
          </m:sub>
        </m:sSub>
      </m:oMath>
      <w:r w:rsidRPr="00AD0209">
        <w:rPr>
          <w:rFonts w:eastAsiaTheme="minorEastAsia"/>
        </w:rPr>
        <w:t xml:space="preserve">    </w:t>
      </w:r>
      <w:r w:rsidR="002A3832" w:rsidRPr="00AD0209">
        <w:rPr>
          <w:rFonts w:eastAsiaTheme="minorEastAsia"/>
        </w:rPr>
        <w:t xml:space="preserve">         </w:t>
      </w:r>
      <w:r w:rsidR="00493574">
        <w:rPr>
          <w:rFonts w:eastAsiaTheme="minorEastAsia"/>
        </w:rPr>
        <w:t xml:space="preserve">    </w:t>
      </w:r>
      <w:r w:rsidR="002A3832" w:rsidRPr="00AD0209">
        <w:rPr>
          <w:rFonts w:eastAsiaTheme="minorEastAsia"/>
        </w:rPr>
        <w:t xml:space="preserve">      </w:t>
      </w:r>
      <w:r w:rsidRPr="00AD0209">
        <w:rPr>
          <w:rFonts w:eastAsiaTheme="minorEastAsia"/>
        </w:rPr>
        <w:t xml:space="preserve">    </w:t>
      </w:r>
      <w:r w:rsidR="002A3832" w:rsidRPr="00AD0209">
        <w:rPr>
          <w:rFonts w:eastAsiaTheme="minorEastAsia"/>
        </w:rPr>
        <w:t xml:space="preserve">  </w:t>
      </w:r>
      <w:r w:rsidRPr="00AD0209">
        <w:rPr>
          <w:rFonts w:eastAsiaTheme="minorEastAsia"/>
        </w:rPr>
        <w:t>(</w:t>
      </w:r>
      <w:r w:rsidR="00D04472" w:rsidRPr="00AD0209">
        <w:rPr>
          <w:rFonts w:eastAsiaTheme="minorEastAsia"/>
        </w:rPr>
        <w:t>1</w:t>
      </w:r>
      <w:r w:rsidRPr="00AD0209">
        <w:rPr>
          <w:rFonts w:eastAsiaTheme="minorEastAsia"/>
        </w:rPr>
        <w:t>)</w:t>
      </w:r>
    </w:p>
    <w:p w:rsidR="0012622F" w:rsidRPr="00AD0209" w:rsidRDefault="0012622F" w:rsidP="002C6185">
      <w:pPr>
        <w:autoSpaceDE w:val="0"/>
        <w:autoSpaceDN w:val="0"/>
        <w:adjustRightInd w:val="0"/>
        <w:spacing w:line="480" w:lineRule="auto"/>
        <w:ind w:left="993" w:hanging="993"/>
        <w:contextualSpacing/>
        <w:jc w:val="both"/>
        <w:rPr>
          <w:rFonts w:eastAsiaTheme="minorEastAsia"/>
        </w:rPr>
      </w:pPr>
    </w:p>
    <w:p w:rsidR="00DC78BD" w:rsidRPr="00AD0209" w:rsidRDefault="00DC78BD" w:rsidP="002C6185">
      <w:pPr>
        <w:autoSpaceDE w:val="0"/>
        <w:autoSpaceDN w:val="0"/>
        <w:adjustRightInd w:val="0"/>
        <w:spacing w:line="480" w:lineRule="auto"/>
        <w:ind w:left="851" w:hanging="851"/>
        <w:contextualSpacing/>
        <w:jc w:val="both"/>
        <w:rPr>
          <w:rFonts w:eastAsiaTheme="minorEastAsia"/>
        </w:rPr>
      </w:pPr>
      <m:oMath>
        <m:r>
          <w:rPr>
            <w:rFonts w:ascii="Cambria Math"/>
          </w:rPr>
          <m:t>ln</m:t>
        </m:r>
        <m:sSub>
          <m:sSubPr>
            <m:ctrlPr>
              <w:rPr>
                <w:rFonts w:ascii="Cambria Math" w:hAnsi="Cambria Math"/>
                <w:i/>
              </w:rPr>
            </m:ctrlPr>
          </m:sSubPr>
          <m:e>
            <m:r>
              <w:rPr>
                <w:rFonts w:ascii="Cambria Math" w:hAnsi="Cambria Math"/>
              </w:rPr>
              <m:t>EXP</m:t>
            </m:r>
          </m:e>
          <m:sub>
            <m:r>
              <w:rPr>
                <w:rFonts w:ascii="Cambria Math" w:hAnsi="Cambria Math"/>
              </w:rPr>
              <m:t>ijt</m:t>
            </m:r>
          </m:sub>
        </m:sSub>
        <m:r>
          <w:rPr>
            <w:rFonts w:ascii="Cambria Math"/>
          </w:rPr>
          <m:t>=</m:t>
        </m:r>
        <m:sSub>
          <m:sSubPr>
            <m:ctrlPr>
              <w:rPr>
                <w:rFonts w:ascii="Cambria Math" w:eastAsiaTheme="minorEastAsia" w:hAnsi="Cambria Math"/>
                <w:i/>
              </w:rPr>
            </m:ctrlPr>
          </m:sSubPr>
          <m:e>
            <m:sSub>
              <m:sSubPr>
                <m:ctrlPr>
                  <w:rPr>
                    <w:rFonts w:ascii="Cambria Math" w:hAnsi="Cambria Math"/>
                    <w:i/>
                  </w:rPr>
                </m:ctrlPr>
              </m:sSubPr>
              <m:e>
                <m:r>
                  <w:rPr>
                    <w:rFonts w:ascii="Cambria Math" w:hAnsi="Cambria Math"/>
                  </w:rPr>
                  <m:t>β</m:t>
                </m:r>
              </m:e>
              <m:sub>
                <m:r>
                  <w:rPr>
                    <w:rFonts w:ascii="Cambria Math"/>
                  </w:rPr>
                  <m:t>0</m:t>
                </m:r>
              </m:sub>
            </m:sSub>
            <m:r>
              <w:rPr>
                <w:rFonts w:ascii="Cambria Math" w:eastAsiaTheme="minorEastAsia" w:hAnsi="Cambria Math"/>
              </w:rPr>
              <m:t>+</m:t>
            </m:r>
            <m:r>
              <w:rPr>
                <w:rFonts w:ascii="Cambria Math" w:hAnsi="Cambria Math"/>
              </w:rPr>
              <m:t>β</m:t>
            </m:r>
          </m:e>
          <m:sub>
            <m:r>
              <w:rPr>
                <w:rFonts w:ascii="Cambria Math" w:eastAsiaTheme="minorEastAsia"/>
              </w:rPr>
              <m:t>1</m:t>
            </m:r>
          </m:sub>
        </m:sSub>
        <m:sSub>
          <m:sSubPr>
            <m:ctrlPr>
              <w:rPr>
                <w:rFonts w:ascii="Cambria Math" w:eastAsiaTheme="minorEastAsia" w:hAnsi="Cambria Math"/>
                <w:i/>
              </w:rPr>
            </m:ctrlPr>
          </m:sSubPr>
          <m:e>
            <m:r>
              <w:rPr>
                <w:rFonts w:ascii="Cambria Math" w:eastAsiaTheme="minorEastAsia" w:hAnsi="Cambria Math"/>
              </w:rPr>
              <m:t>lnTIMEimp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2</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3</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4</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5</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rPr>
                  <m:t>t</m:t>
                </m:r>
              </m:sub>
            </m:sSub>
            <m:r>
              <w:rPr>
                <w:rFonts w:ascii="Cambria Math" w:eastAsiaTheme="minorEastAsia"/>
              </w:rPr>
              <m:t>+</m:t>
            </m:r>
            <m:r>
              <w:rPr>
                <w:rFonts w:ascii="Cambria Math" w:eastAsiaTheme="minorEastAsia" w:hAnsi="Cambria Math"/>
              </w:rPr>
              <m:t>ε</m:t>
            </m:r>
          </m:e>
          <m:sub>
            <m:r>
              <w:rPr>
                <w:rFonts w:ascii="Cambria Math" w:eastAsiaTheme="minorEastAsia" w:hAnsi="Cambria Math"/>
              </w:rPr>
              <m:t>ijt</m:t>
            </m:r>
          </m:sub>
        </m:sSub>
      </m:oMath>
      <w:r w:rsidRPr="00AD0209">
        <w:rPr>
          <w:rFonts w:eastAsiaTheme="minorEastAsia"/>
        </w:rPr>
        <w:t xml:space="preserve">     </w:t>
      </w:r>
      <w:r w:rsidR="002B054D" w:rsidRPr="00AD0209">
        <w:rPr>
          <w:rFonts w:eastAsiaTheme="minorEastAsia"/>
        </w:rPr>
        <w:t xml:space="preserve"> </w:t>
      </w:r>
      <w:r w:rsidR="002A3832" w:rsidRPr="00AD0209">
        <w:rPr>
          <w:rFonts w:eastAsiaTheme="minorEastAsia"/>
        </w:rPr>
        <w:t xml:space="preserve">     </w:t>
      </w:r>
      <w:r w:rsidR="00493574">
        <w:rPr>
          <w:rFonts w:eastAsiaTheme="minorEastAsia"/>
        </w:rPr>
        <w:t xml:space="preserve">                </w:t>
      </w:r>
      <w:r w:rsidR="002A3832" w:rsidRPr="00AD0209">
        <w:rPr>
          <w:rFonts w:eastAsiaTheme="minorEastAsia"/>
        </w:rPr>
        <w:t xml:space="preserve">    </w:t>
      </w:r>
      <w:r w:rsidRPr="00AD0209">
        <w:rPr>
          <w:rFonts w:eastAsiaTheme="minorEastAsia"/>
        </w:rPr>
        <w:t xml:space="preserve"> (</w:t>
      </w:r>
      <w:r w:rsidR="00D04472" w:rsidRPr="00AD0209">
        <w:rPr>
          <w:rFonts w:eastAsiaTheme="minorEastAsia"/>
        </w:rPr>
        <w:t>2</w:t>
      </w:r>
      <w:r w:rsidRPr="00AD0209">
        <w:rPr>
          <w:rFonts w:eastAsiaTheme="minorEastAsia"/>
        </w:rPr>
        <w:t>)</w:t>
      </w:r>
    </w:p>
    <w:p w:rsidR="00DC78BD" w:rsidRPr="00AD0209" w:rsidRDefault="00DC78BD" w:rsidP="002C6185">
      <w:pPr>
        <w:autoSpaceDE w:val="0"/>
        <w:autoSpaceDN w:val="0"/>
        <w:adjustRightInd w:val="0"/>
        <w:spacing w:line="480" w:lineRule="auto"/>
        <w:contextualSpacing/>
        <w:jc w:val="both"/>
        <w:rPr>
          <w:rFonts w:eastAsiaTheme="minorHAnsi"/>
        </w:rPr>
      </w:pPr>
    </w:p>
    <w:p w:rsidR="002A3832" w:rsidRPr="00AD0209" w:rsidRDefault="00DC78BD" w:rsidP="002C6185">
      <w:pPr>
        <w:autoSpaceDE w:val="0"/>
        <w:autoSpaceDN w:val="0"/>
        <w:adjustRightInd w:val="0"/>
        <w:spacing w:line="480" w:lineRule="auto"/>
        <w:ind w:left="993" w:hanging="993"/>
        <w:contextualSpacing/>
        <w:jc w:val="both"/>
        <w:rPr>
          <w:rFonts w:eastAsiaTheme="minorEastAsia"/>
        </w:rPr>
      </w:pPr>
      <m:oMath>
        <m:r>
          <w:rPr>
            <w:rFonts w:ascii="Cambria Math"/>
          </w:rPr>
          <m:t>ln</m:t>
        </m:r>
        <m:sSub>
          <m:sSubPr>
            <m:ctrlPr>
              <w:rPr>
                <w:rFonts w:ascii="Cambria Math" w:hAnsi="Cambria Math"/>
                <w:i/>
              </w:rPr>
            </m:ctrlPr>
          </m:sSubPr>
          <m:e>
            <m:r>
              <w:rPr>
                <w:rFonts w:ascii="Cambria Math" w:hAnsi="Cambria Math"/>
              </w:rPr>
              <m:t>EXP</m:t>
            </m:r>
          </m:e>
          <m:sub>
            <m:r>
              <w:rPr>
                <w:rFonts w:ascii="Cambria Math" w:hAnsi="Cambria Math"/>
              </w:rPr>
              <m:t>ijt</m:t>
            </m:r>
          </m:sub>
        </m:sSub>
        <m:r>
          <w:rPr>
            <w:rFonts w:ascii="Cambria Math"/>
          </w:rPr>
          <m:t>=</m:t>
        </m:r>
        <m:sSub>
          <m:sSubPr>
            <m:ctrlPr>
              <w:rPr>
                <w:rFonts w:ascii="Cambria Math" w:eastAsiaTheme="minorEastAsia" w:hAnsi="Cambria Math"/>
                <w:i/>
              </w:rPr>
            </m:ctrlPr>
          </m:sSubPr>
          <m:e>
            <m:sSub>
              <m:sSubPr>
                <m:ctrlPr>
                  <w:rPr>
                    <w:rFonts w:ascii="Cambria Math" w:hAnsi="Cambria Math"/>
                    <w:i/>
                  </w:rPr>
                </m:ctrlPr>
              </m:sSubPr>
              <m:e>
                <m:r>
                  <w:rPr>
                    <w:rFonts w:ascii="Cambria Math" w:hAnsi="Cambria Math"/>
                  </w:rPr>
                  <m:t>β</m:t>
                </m:r>
              </m:e>
              <m:sub>
                <m:r>
                  <w:rPr>
                    <w:rFonts w:ascii="Cambria Math"/>
                  </w:rPr>
                  <m:t>0</m:t>
                </m:r>
              </m:sub>
            </m:sSub>
            <m:r>
              <w:rPr>
                <w:rFonts w:ascii="Cambria Math" w:eastAsiaTheme="minorEastAsia" w:hAnsi="Cambria Math"/>
              </w:rPr>
              <m:t>+</m:t>
            </m:r>
            <m:r>
              <w:rPr>
                <w:rFonts w:ascii="Cambria Math" w:hAnsi="Cambria Math"/>
              </w:rPr>
              <m:t>β</m:t>
            </m:r>
          </m:e>
          <m:sub>
            <m:r>
              <w:rPr>
                <w:rFonts w:ascii="Cambria Math" w:eastAsiaTheme="minorEastAsia"/>
              </w:rPr>
              <m:t>1</m:t>
            </m:r>
          </m:sub>
        </m:sSub>
        <m:sSub>
          <m:sSubPr>
            <m:ctrlPr>
              <w:rPr>
                <w:rFonts w:ascii="Cambria Math" w:eastAsiaTheme="minorEastAsia" w:hAnsi="Cambria Math"/>
                <w:i/>
              </w:rPr>
            </m:ctrlPr>
          </m:sSubPr>
          <m:e>
            <m:r>
              <w:rPr>
                <w:rFonts w:ascii="Cambria Math" w:eastAsiaTheme="minorEastAsia" w:hAnsi="Cambria Math"/>
              </w:rPr>
              <m:t>lnCOSTimp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2</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3</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4</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5</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rPr>
                  <m:t>t</m:t>
                </m:r>
              </m:sub>
            </m:sSub>
            <m:r>
              <w:rPr>
                <w:rFonts w:ascii="Cambria Math" w:eastAsiaTheme="minorEastAsia"/>
              </w:rPr>
              <m:t>+</m:t>
            </m:r>
            <m:r>
              <w:rPr>
                <w:rFonts w:ascii="Cambria Math" w:eastAsiaTheme="minorEastAsia" w:hAnsi="Cambria Math"/>
              </w:rPr>
              <m:t>ε</m:t>
            </m:r>
          </m:e>
          <m:sub>
            <m:r>
              <w:rPr>
                <w:rFonts w:ascii="Cambria Math" w:eastAsiaTheme="minorEastAsia" w:hAnsi="Cambria Math"/>
              </w:rPr>
              <m:t>ijt</m:t>
            </m:r>
          </m:sub>
        </m:sSub>
      </m:oMath>
      <w:r w:rsidR="002A3832" w:rsidRPr="00AD0209">
        <w:rPr>
          <w:rFonts w:eastAsiaTheme="minorEastAsia"/>
        </w:rPr>
        <w:t xml:space="preserve">            </w:t>
      </w:r>
      <w:r w:rsidR="002B054D" w:rsidRPr="00AD0209">
        <w:rPr>
          <w:rFonts w:eastAsiaTheme="minorEastAsia"/>
        </w:rPr>
        <w:t xml:space="preserve"> </w:t>
      </w:r>
      <w:r w:rsidR="002A3832" w:rsidRPr="00AD0209">
        <w:rPr>
          <w:rFonts w:eastAsiaTheme="minorEastAsia"/>
        </w:rPr>
        <w:t xml:space="preserve">    </w:t>
      </w:r>
      <w:r w:rsidR="00493574">
        <w:rPr>
          <w:rFonts w:eastAsiaTheme="minorEastAsia"/>
        </w:rPr>
        <w:t xml:space="preserve">          </w:t>
      </w:r>
      <w:r w:rsidR="002A3832" w:rsidRPr="00AD0209">
        <w:rPr>
          <w:rFonts w:eastAsiaTheme="minorEastAsia"/>
        </w:rPr>
        <w:t xml:space="preserve"> </w:t>
      </w:r>
      <w:r w:rsidRPr="00AD0209">
        <w:rPr>
          <w:rFonts w:eastAsiaTheme="minorEastAsia"/>
        </w:rPr>
        <w:t xml:space="preserve"> (</w:t>
      </w:r>
      <w:r w:rsidR="00D04472" w:rsidRPr="00AD0209">
        <w:rPr>
          <w:rFonts w:eastAsiaTheme="minorEastAsia"/>
        </w:rPr>
        <w:t>3</w:t>
      </w:r>
      <w:r w:rsidRPr="00AD0209">
        <w:rPr>
          <w:rFonts w:eastAsiaTheme="minorEastAsia"/>
        </w:rPr>
        <w:t>)</w:t>
      </w:r>
    </w:p>
    <w:p w:rsidR="00EF621C" w:rsidRDefault="00EF621C" w:rsidP="00F07FF8">
      <w:pPr>
        <w:autoSpaceDE w:val="0"/>
        <w:autoSpaceDN w:val="0"/>
        <w:adjustRightInd w:val="0"/>
        <w:spacing w:line="480" w:lineRule="auto"/>
        <w:ind w:firstLine="720"/>
        <w:contextualSpacing/>
        <w:jc w:val="both"/>
      </w:pPr>
    </w:p>
    <w:p w:rsidR="00F07FF8" w:rsidRDefault="00043630" w:rsidP="00F07FF8">
      <w:pPr>
        <w:autoSpaceDE w:val="0"/>
        <w:autoSpaceDN w:val="0"/>
        <w:adjustRightInd w:val="0"/>
        <w:spacing w:line="480" w:lineRule="auto"/>
        <w:ind w:firstLine="720"/>
        <w:contextualSpacing/>
        <w:jc w:val="both"/>
        <w:rPr>
          <w:rFonts w:eastAsiaTheme="minorEastAsia"/>
        </w:rPr>
      </w:pPr>
      <w:r>
        <w:t>The variables in the</w:t>
      </w:r>
      <w:r w:rsidR="007865AB">
        <w:t>se</w:t>
      </w:r>
      <w:r>
        <w:t xml:space="preserve"> three specifications are as follows: </w:t>
      </w:r>
      <m:oMath>
        <m:sSub>
          <m:sSubPr>
            <m:ctrlPr>
              <w:rPr>
                <w:rFonts w:ascii="Cambria Math" w:hAnsi="Cambria Math"/>
                <w:i/>
              </w:rPr>
            </m:ctrlPr>
          </m:sSubPr>
          <m:e>
            <m:r>
              <w:rPr>
                <w:rFonts w:ascii="Cambria Math" w:hAnsi="Cambria Math"/>
              </w:rPr>
              <m:t>EXP</m:t>
            </m:r>
          </m:e>
          <m:sub>
            <m:r>
              <w:rPr>
                <w:rFonts w:ascii="Cambria Math" w:hAnsi="Cambria Math"/>
              </w:rPr>
              <m:t>ijt</m:t>
            </m:r>
          </m:sub>
        </m:sSub>
      </m:oMath>
      <w:r w:rsidR="00DC78BD" w:rsidRPr="00AD0209">
        <w:t xml:space="preserve"> </w:t>
      </w:r>
      <w:r>
        <w:t>is</w:t>
      </w:r>
      <w:r w:rsidR="00DC78BD" w:rsidRPr="00AD0209">
        <w:t xml:space="preserve"> the export</w:t>
      </w:r>
      <w:r w:rsidR="007865AB">
        <w:t>s</w:t>
      </w:r>
      <w:r>
        <w:t xml:space="preserve"> </w:t>
      </w:r>
      <w:r w:rsidR="00DC78BD" w:rsidRPr="00AD0209">
        <w:t xml:space="preserve">from country </w:t>
      </w:r>
      <m:oMath>
        <m:r>
          <w:rPr>
            <w:rFonts w:ascii="Cambria Math" w:hAnsi="Cambria Math"/>
          </w:rPr>
          <m:t>i</m:t>
        </m:r>
      </m:oMath>
      <w:r w:rsidR="00DC78BD" w:rsidRPr="00AD0209">
        <w:rPr>
          <w:rFonts w:eastAsiaTheme="minorEastAsia"/>
        </w:rPr>
        <w:t xml:space="preserve"> to country </w:t>
      </w:r>
      <m:oMath>
        <m:r>
          <w:rPr>
            <w:rFonts w:ascii="Cambria Math" w:eastAsiaTheme="minorEastAsia" w:hAnsi="Cambria Math"/>
          </w:rPr>
          <m:t>j</m:t>
        </m:r>
      </m:oMath>
      <w:r>
        <w:rPr>
          <w:rFonts w:eastAsiaTheme="minorEastAsia"/>
        </w:rPr>
        <w:t xml:space="preserve"> expressed in millions</w:t>
      </w:r>
      <w:r w:rsidR="00607D72">
        <w:rPr>
          <w:rFonts w:eastAsiaTheme="minorEastAsia"/>
        </w:rPr>
        <w:t xml:space="preserve"> </w:t>
      </w:r>
      <w:r w:rsidR="003154D0">
        <w:rPr>
          <w:rFonts w:eastAsiaTheme="minorEastAsia"/>
        </w:rPr>
        <w:t xml:space="preserve">of </w:t>
      </w:r>
      <w:r w:rsidR="00607D72">
        <w:rPr>
          <w:rFonts w:eastAsiaTheme="minorEastAsia"/>
        </w:rPr>
        <w:t>US</w:t>
      </w:r>
      <w:r>
        <w:rPr>
          <w:rFonts w:eastAsiaTheme="minorEastAsia"/>
        </w:rPr>
        <w:t xml:space="preserve"> dollars</w:t>
      </w:r>
      <w:r w:rsidR="00DC78BD" w:rsidRPr="00AD020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oMath>
      <w:r w:rsidR="00DC78BD" w:rsidRPr="00AD0209">
        <w:rPr>
          <w:rFonts w:eastAsiaTheme="minorEastAsia"/>
        </w:rPr>
        <w:t xml:space="preserve"> is the gross domestic product of the exporter country</w:t>
      </w:r>
      <w:r w:rsidR="00E12E07">
        <w:rPr>
          <w:rFonts w:eastAsiaTheme="minorEastAsia"/>
        </w:rPr>
        <w:t xml:space="preserve"> expressed in millions of</w:t>
      </w:r>
      <w:r w:rsidR="00AC24A6">
        <w:rPr>
          <w:rFonts w:eastAsiaTheme="minorEastAsia"/>
        </w:rPr>
        <w:t xml:space="preserve"> </w:t>
      </w:r>
      <w:r w:rsidR="00607D72">
        <w:rPr>
          <w:rFonts w:eastAsiaTheme="minorEastAsia"/>
        </w:rPr>
        <w:t xml:space="preserve">US </w:t>
      </w:r>
      <w:r w:rsidR="00AC24A6">
        <w:rPr>
          <w:rFonts w:eastAsiaTheme="minorEastAsia"/>
        </w:rPr>
        <w:t>dollars</w:t>
      </w:r>
      <w:r w:rsidR="00DC78BD" w:rsidRPr="00AD020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oMath>
      <w:r w:rsidR="00DC78BD" w:rsidRPr="00AD0209">
        <w:rPr>
          <w:rFonts w:eastAsiaTheme="minorEastAsia"/>
        </w:rPr>
        <w:t xml:space="preserve"> is the gross domestic product</w:t>
      </w:r>
      <w:r w:rsidR="00E12E07">
        <w:rPr>
          <w:rFonts w:eastAsiaTheme="minorEastAsia"/>
        </w:rPr>
        <w:t xml:space="preserve"> o</w:t>
      </w:r>
      <w:r w:rsidR="00DC78BD" w:rsidRPr="00AD0209">
        <w:rPr>
          <w:rFonts w:eastAsiaTheme="minorEastAsia"/>
        </w:rPr>
        <w:t>f the importer country</w:t>
      </w:r>
      <w:r w:rsidR="00AC24A6">
        <w:rPr>
          <w:rFonts w:eastAsiaTheme="minorEastAsia"/>
        </w:rPr>
        <w:t xml:space="preserve"> expressed in </w:t>
      </w:r>
      <w:r w:rsidR="00E12E07">
        <w:rPr>
          <w:rFonts w:eastAsiaTheme="minorEastAsia"/>
        </w:rPr>
        <w:t>millions</w:t>
      </w:r>
      <w:r w:rsidR="003154D0">
        <w:rPr>
          <w:rFonts w:eastAsiaTheme="minorEastAsia"/>
        </w:rPr>
        <w:t xml:space="preserve"> of</w:t>
      </w:r>
      <w:r w:rsidR="00607D72">
        <w:rPr>
          <w:rFonts w:eastAsiaTheme="minorEastAsia"/>
        </w:rPr>
        <w:t xml:space="preserve"> US</w:t>
      </w:r>
      <w:r w:rsidR="00AC24A6">
        <w:rPr>
          <w:rFonts w:eastAsiaTheme="minorEastAsia"/>
        </w:rPr>
        <w:t xml:space="preserve"> dollars</w:t>
      </w:r>
      <w:r w:rsidR="00DC78BD" w:rsidRPr="00AD020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ij</m:t>
            </m:r>
          </m:sub>
        </m:sSub>
      </m:oMath>
      <w:r w:rsidR="00DC78BD" w:rsidRPr="00AD0209">
        <w:rPr>
          <w:rFonts w:eastAsiaTheme="minorEastAsia"/>
        </w:rPr>
        <w:t xml:space="preserve"> is </w:t>
      </w:r>
      <w:r w:rsidR="00F07FF8">
        <w:rPr>
          <w:rFonts w:eastAsiaTheme="minorEastAsia"/>
        </w:rPr>
        <w:t xml:space="preserve">the geographical </w:t>
      </w:r>
      <w:r w:rsidR="00DC78BD" w:rsidRPr="00AD0209">
        <w:rPr>
          <w:rFonts w:eastAsiaTheme="minorEastAsia"/>
        </w:rPr>
        <w:t>distance</w:t>
      </w:r>
      <w:r w:rsidR="00F07FF8">
        <w:rPr>
          <w:rFonts w:eastAsiaTheme="minorEastAsia"/>
        </w:rPr>
        <w:t xml:space="preserve"> between </w:t>
      </w:r>
      <w:r w:rsidR="00C173C3">
        <w:rPr>
          <w:rFonts w:eastAsiaTheme="minorEastAsia"/>
        </w:rPr>
        <w:t xml:space="preserve">the </w:t>
      </w:r>
      <w:r w:rsidR="00F07FF8">
        <w:rPr>
          <w:rFonts w:eastAsiaTheme="minorEastAsia"/>
        </w:rPr>
        <w:t xml:space="preserve">main economic centers of </w:t>
      </w:r>
      <w:r w:rsidR="00F07FF8">
        <w:t>countries</w:t>
      </w:r>
      <w:r w:rsidR="00F07FF8" w:rsidRPr="00AD0209">
        <w:t xml:space="preserve"> </w:t>
      </w:r>
      <m:oMath>
        <m:r>
          <w:rPr>
            <w:rFonts w:ascii="Cambria Math" w:hAnsi="Cambria Math"/>
          </w:rPr>
          <m:t>i</m:t>
        </m:r>
      </m:oMath>
      <w:r w:rsidR="00F07FF8" w:rsidRPr="00AD0209">
        <w:rPr>
          <w:rFonts w:eastAsiaTheme="minorEastAsia"/>
        </w:rPr>
        <w:t xml:space="preserve"> </w:t>
      </w:r>
      <w:r w:rsidR="00F07FF8">
        <w:rPr>
          <w:rFonts w:eastAsiaTheme="minorEastAsia"/>
        </w:rPr>
        <w:t xml:space="preserve">and </w:t>
      </w:r>
      <m:oMath>
        <m:r>
          <w:rPr>
            <w:rFonts w:ascii="Cambria Math" w:eastAsiaTheme="minorEastAsia" w:hAnsi="Cambria Math"/>
          </w:rPr>
          <m:t>j</m:t>
        </m:r>
      </m:oMath>
      <w:r w:rsidR="00DC78BD" w:rsidRPr="00AD0209">
        <w:rPr>
          <w:rFonts w:eastAsiaTheme="minorEastAsia"/>
        </w:rPr>
        <w:t xml:space="preserve">, </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oMath>
      <w:r w:rsidR="00DC78BD" w:rsidRPr="00AD020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oMath>
      <w:r w:rsidR="00DC78BD" w:rsidRPr="00AD0209">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oMath>
      <w:r w:rsidR="00DC78BD" w:rsidRPr="00AD0209">
        <w:rPr>
          <w:rFonts w:eastAsiaTheme="minorEastAsia"/>
        </w:rPr>
        <w:t xml:space="preserve"> are dummy variables</w:t>
      </w:r>
      <w:r w:rsidR="00F07FF8">
        <w:rPr>
          <w:rFonts w:eastAsiaTheme="minorEastAsia"/>
        </w:rPr>
        <w:t>, and</w:t>
      </w:r>
      <w:r w:rsidR="00D3468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DOCimp</m:t>
            </m:r>
          </m:e>
          <m:sub>
            <m:r>
              <w:rPr>
                <w:rFonts w:ascii="Cambria Math" w:eastAsiaTheme="minorEastAsia" w:hAnsi="Cambria Math"/>
              </w:rPr>
              <m:t>jt</m:t>
            </m:r>
          </m:sub>
        </m:sSub>
      </m:oMath>
      <w:r w:rsidR="00D3468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TIMEimp</m:t>
            </m:r>
          </m:e>
          <m:sub>
            <m:r>
              <w:rPr>
                <w:rFonts w:ascii="Cambria Math" w:eastAsiaTheme="minorEastAsia" w:hAnsi="Cambria Math"/>
              </w:rPr>
              <m:t>jt</m:t>
            </m:r>
          </m:sub>
        </m:sSub>
      </m:oMath>
      <w:r w:rsidR="00D3468E">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COSTimp</m:t>
            </m:r>
          </m:e>
          <m:sub>
            <m:r>
              <w:rPr>
                <w:rFonts w:ascii="Cambria Math" w:eastAsiaTheme="minorEastAsia" w:hAnsi="Cambria Math"/>
              </w:rPr>
              <m:t>jt</m:t>
            </m:r>
          </m:sub>
        </m:sSub>
      </m:oMath>
      <w:r w:rsidR="00D3468E">
        <w:rPr>
          <w:rFonts w:eastAsiaTheme="minorEastAsia"/>
        </w:rPr>
        <w:t xml:space="preserve"> are </w:t>
      </w:r>
      <w:r w:rsidR="007865AB">
        <w:rPr>
          <w:rFonts w:eastAsiaTheme="minorEastAsia"/>
        </w:rPr>
        <w:t>variables referring to</w:t>
      </w:r>
      <w:r w:rsidR="00AF15DE">
        <w:rPr>
          <w:rFonts w:eastAsiaTheme="minorEastAsia"/>
        </w:rPr>
        <w:t xml:space="preserve"> customs and administrative procedures</w:t>
      </w:r>
      <w:r w:rsidR="00D3468E">
        <w:rPr>
          <w:rFonts w:eastAsiaTheme="minorEastAsia"/>
        </w:rPr>
        <w:t>.</w:t>
      </w:r>
    </w:p>
    <w:p w:rsidR="00F07FF8" w:rsidRDefault="00DC78BD" w:rsidP="00D3468E">
      <w:pPr>
        <w:autoSpaceDE w:val="0"/>
        <w:autoSpaceDN w:val="0"/>
        <w:adjustRightInd w:val="0"/>
        <w:spacing w:line="480" w:lineRule="auto"/>
        <w:ind w:firstLine="720"/>
        <w:contextualSpacing/>
        <w:jc w:val="both"/>
        <w:rPr>
          <w:rFonts w:eastAsiaTheme="minorEastAsia"/>
        </w:rPr>
      </w:pPr>
      <w:r w:rsidRPr="00AD0209">
        <w:lastRenderedPageBreak/>
        <w:t>The</w:t>
      </w:r>
      <w:r w:rsidR="00D3468E">
        <w:t xml:space="preserve"> variable</w:t>
      </w:r>
      <w:r w:rsidRPr="00AD0209">
        <w:t xml:space="preserve"> </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oMath>
      <w:r w:rsidRPr="00AD0209">
        <w:t xml:space="preserve"> is </w:t>
      </w:r>
      <w:r w:rsidR="00C173C3">
        <w:t xml:space="preserve">a </w:t>
      </w:r>
      <w:r w:rsidRPr="00AD0209">
        <w:t xml:space="preserve">dummy variable equal to </w:t>
      </w:r>
      <w:r w:rsidR="007865AB">
        <w:t>1</w:t>
      </w:r>
      <w:r w:rsidRPr="00AD0209">
        <w:t xml:space="preserve"> </w:t>
      </w:r>
      <w:r w:rsidR="009D042D" w:rsidRPr="00CC08BF">
        <w:t>for</w:t>
      </w:r>
      <w:r w:rsidR="009D042D" w:rsidRPr="00AD0209">
        <w:t xml:space="preserve"> </w:t>
      </w:r>
      <w:r w:rsidRPr="00AD0209">
        <w:t>coun</w:t>
      </w:r>
      <w:r w:rsidR="008B4D49">
        <w:t>tries that share</w:t>
      </w:r>
      <w:r w:rsidR="00C173C3">
        <w:t xml:space="preserve"> a</w:t>
      </w:r>
      <w:r w:rsidR="008B4D49">
        <w:t xml:space="preserve"> common language</w:t>
      </w:r>
      <w:r w:rsidRPr="00AD0209">
        <w:t xml:space="preserve"> and </w:t>
      </w:r>
      <w:r w:rsidR="007865AB">
        <w:t>0</w:t>
      </w:r>
      <w:r w:rsidRPr="00AD0209">
        <w:t xml:space="preserve"> otherwise, </w:t>
      </w:r>
      <m:oMath>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oMath>
      <w:r w:rsidR="008D7039" w:rsidRPr="00AD0209">
        <w:rPr>
          <w:rFonts w:eastAsiaTheme="minorEastAsia"/>
        </w:rPr>
        <w:t xml:space="preserve"> </w:t>
      </w:r>
      <w:r w:rsidRPr="00AD0209">
        <w:t xml:space="preserve">is </w:t>
      </w:r>
      <w:r w:rsidR="00C173C3">
        <w:t xml:space="preserve">a </w:t>
      </w:r>
      <w:r w:rsidRPr="00AD0209">
        <w:t xml:space="preserve">dummy variable equal to </w:t>
      </w:r>
      <w:r w:rsidR="007865AB">
        <w:t>1</w:t>
      </w:r>
      <w:r w:rsidRPr="00AD0209">
        <w:t xml:space="preserve"> </w:t>
      </w:r>
      <w:r w:rsidR="009D042D" w:rsidRPr="00CC08BF">
        <w:t>for</w:t>
      </w:r>
      <w:r w:rsidR="009D042D" w:rsidRPr="00AD0209">
        <w:t xml:space="preserve"> </w:t>
      </w:r>
      <w:r w:rsidRPr="00AD0209">
        <w:t xml:space="preserve">countries that share </w:t>
      </w:r>
      <w:r w:rsidR="009D042D">
        <w:t xml:space="preserve">a </w:t>
      </w:r>
      <w:r w:rsidR="00BB44B0" w:rsidRPr="00AD0209">
        <w:t>common</w:t>
      </w:r>
      <w:r w:rsidRPr="00AD0209">
        <w:t xml:space="preserve"> border and </w:t>
      </w:r>
      <w:r w:rsidR="007865AB">
        <w:t>0</w:t>
      </w:r>
      <w:r w:rsidRPr="00AD0209">
        <w:t xml:space="preserve"> otherwise, and </w:t>
      </w:r>
      <m:oMath>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oMath>
      <w:r w:rsidRPr="00AD0209">
        <w:rPr>
          <w:rFonts w:eastAsiaTheme="minorEastAsia"/>
        </w:rPr>
        <w:t xml:space="preserve"> is </w:t>
      </w:r>
      <w:r w:rsidR="009D042D">
        <w:rPr>
          <w:rFonts w:eastAsiaTheme="minorEastAsia"/>
        </w:rPr>
        <w:t xml:space="preserve">a </w:t>
      </w:r>
      <w:r w:rsidRPr="00AD0209">
        <w:rPr>
          <w:rFonts w:eastAsiaTheme="minorEastAsia"/>
        </w:rPr>
        <w:t xml:space="preserve">dummy variable </w:t>
      </w:r>
      <w:r w:rsidR="007865AB">
        <w:rPr>
          <w:rFonts w:eastAsiaTheme="minorEastAsia"/>
        </w:rPr>
        <w:t>equal to 1</w:t>
      </w:r>
      <w:r w:rsidR="007865AB">
        <w:t xml:space="preserve"> for</w:t>
      </w:r>
      <w:r w:rsidRPr="00AD0209">
        <w:rPr>
          <w:rFonts w:eastAsiaTheme="minorEastAsia"/>
        </w:rPr>
        <w:t xml:space="preserve"> countries that were part of </w:t>
      </w:r>
      <w:r w:rsidR="009D042D">
        <w:rPr>
          <w:rFonts w:eastAsiaTheme="minorEastAsia"/>
        </w:rPr>
        <w:t xml:space="preserve">the </w:t>
      </w:r>
      <w:r w:rsidRPr="00AD0209">
        <w:rPr>
          <w:rFonts w:eastAsiaTheme="minorEastAsia"/>
        </w:rPr>
        <w:t>ex</w:t>
      </w:r>
      <w:r w:rsidR="00FD26E0">
        <w:rPr>
          <w:rFonts w:eastAsiaTheme="minorEastAsia"/>
        </w:rPr>
        <w:t>-</w:t>
      </w:r>
      <w:r w:rsidRPr="00AD0209">
        <w:rPr>
          <w:rFonts w:eastAsiaTheme="minorEastAsia"/>
        </w:rPr>
        <w:t>Yugoslav market</w:t>
      </w:r>
      <w:r w:rsidR="007865AB">
        <w:rPr>
          <w:rFonts w:eastAsiaTheme="minorEastAsia"/>
        </w:rPr>
        <w:t xml:space="preserve"> and 0 otherwise</w:t>
      </w:r>
      <w:r w:rsidRPr="00AD0209">
        <w:rPr>
          <w:rFonts w:eastAsiaTheme="minorEastAsia"/>
        </w:rPr>
        <w:t>.</w:t>
      </w:r>
    </w:p>
    <w:p w:rsidR="00D3468E" w:rsidRDefault="00D3468E" w:rsidP="00D3468E">
      <w:pPr>
        <w:autoSpaceDE w:val="0"/>
        <w:autoSpaceDN w:val="0"/>
        <w:adjustRightInd w:val="0"/>
        <w:spacing w:line="480" w:lineRule="auto"/>
        <w:ind w:firstLine="720"/>
        <w:contextualSpacing/>
        <w:jc w:val="both"/>
        <w:rPr>
          <w:rFonts w:eastAsiaTheme="minorEastAsia"/>
        </w:rPr>
      </w:pPr>
      <w:r>
        <w:rPr>
          <w:rFonts w:eastAsiaTheme="minorEastAsia"/>
        </w:rPr>
        <w:t xml:space="preserve">The variable </w:t>
      </w:r>
      <m:oMath>
        <m:sSub>
          <m:sSubPr>
            <m:ctrlPr>
              <w:rPr>
                <w:rFonts w:ascii="Cambria Math" w:eastAsiaTheme="minorEastAsia" w:hAnsi="Cambria Math"/>
                <w:i/>
              </w:rPr>
            </m:ctrlPr>
          </m:sSubPr>
          <m:e>
            <m:r>
              <w:rPr>
                <w:rFonts w:ascii="Cambria Math" w:eastAsiaTheme="minorEastAsia" w:hAnsi="Cambria Math"/>
              </w:rPr>
              <m:t>DOCimp</m:t>
            </m:r>
          </m:e>
          <m:sub>
            <m:r>
              <w:rPr>
                <w:rFonts w:ascii="Cambria Math" w:eastAsiaTheme="minorEastAsia" w:hAnsi="Cambria Math"/>
              </w:rPr>
              <m:t>jt</m:t>
            </m:r>
          </m:sub>
        </m:sSub>
      </m:oMath>
      <w:r>
        <w:rPr>
          <w:rFonts w:eastAsiaTheme="minorEastAsia"/>
        </w:rPr>
        <w:t xml:space="preserve"> </w:t>
      </w:r>
      <w:r w:rsidR="007865AB">
        <w:rPr>
          <w:rFonts w:eastAsiaTheme="minorEastAsia"/>
        </w:rPr>
        <w:t>refers to the</w:t>
      </w:r>
      <w:r w:rsidRPr="00AD0209">
        <w:rPr>
          <w:rFonts w:eastAsiaTheme="minorEastAsia"/>
        </w:rPr>
        <w:t xml:space="preserve"> </w:t>
      </w:r>
      <w:r>
        <w:rPr>
          <w:rFonts w:eastAsiaTheme="minorEastAsia"/>
        </w:rPr>
        <w:t xml:space="preserve">number of documents of the </w:t>
      </w:r>
      <w:r w:rsidR="002D0814">
        <w:rPr>
          <w:rFonts w:eastAsiaTheme="minorEastAsia"/>
        </w:rPr>
        <w:t xml:space="preserve">importer </w:t>
      </w:r>
      <w:r w:rsidR="006165FF">
        <w:rPr>
          <w:rFonts w:eastAsiaTheme="minorEastAsia"/>
        </w:rPr>
        <w:t>country</w:t>
      </w:r>
      <w:r w:rsidRPr="00AD0209">
        <w:rPr>
          <w:rFonts w:eastAsiaTheme="minorEastAsia"/>
        </w:rPr>
        <w:t>,</w:t>
      </w:r>
      <w:r>
        <w:rPr>
          <w:rFonts w:eastAsiaTheme="minorEastAsia"/>
        </w:rPr>
        <w:t xml:space="preserve"> the variable</w:t>
      </w:r>
      <w:r w:rsidRPr="00AD020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TIMEimp</m:t>
            </m:r>
          </m:e>
          <m:sub>
            <m:r>
              <w:rPr>
                <w:rFonts w:ascii="Cambria Math" w:eastAsiaTheme="minorEastAsia" w:hAnsi="Cambria Math"/>
              </w:rPr>
              <m:t>jt</m:t>
            </m:r>
          </m:sub>
        </m:sSub>
      </m:oMath>
      <w:r>
        <w:rPr>
          <w:rFonts w:eastAsiaTheme="minorEastAsia"/>
        </w:rPr>
        <w:t xml:space="preserve"> </w:t>
      </w:r>
      <w:r w:rsidR="007865AB">
        <w:rPr>
          <w:rFonts w:eastAsiaTheme="minorEastAsia"/>
        </w:rPr>
        <w:t xml:space="preserve">to the number of </w:t>
      </w:r>
      <w:r>
        <w:rPr>
          <w:rFonts w:eastAsiaTheme="minorEastAsia"/>
        </w:rPr>
        <w:t>days at the b</w:t>
      </w:r>
      <w:r w:rsidRPr="00AD0209">
        <w:rPr>
          <w:rFonts w:eastAsiaTheme="minorEastAsia"/>
        </w:rPr>
        <w:t>order</w:t>
      </w:r>
      <w:r>
        <w:rPr>
          <w:rFonts w:eastAsiaTheme="minorEastAsia"/>
        </w:rPr>
        <w:t xml:space="preserve"> of </w:t>
      </w:r>
      <w:r w:rsidR="002D0814">
        <w:rPr>
          <w:rFonts w:eastAsiaTheme="minorEastAsia"/>
        </w:rPr>
        <w:t xml:space="preserve">the </w:t>
      </w:r>
      <w:r>
        <w:rPr>
          <w:rFonts w:eastAsiaTheme="minorEastAsia"/>
        </w:rPr>
        <w:t>importer country</w:t>
      </w:r>
      <w:r w:rsidR="002D0814">
        <w:rPr>
          <w:rFonts w:eastAsiaTheme="minorEastAsia"/>
        </w:rPr>
        <w:t>,</w:t>
      </w:r>
      <w:r>
        <w:rPr>
          <w:rFonts w:eastAsiaTheme="minorEastAsia"/>
        </w:rPr>
        <w:t xml:space="preserve"> and the variable</w:t>
      </w:r>
      <w:r w:rsidRPr="00AD0209">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COSTimp</m:t>
            </m:r>
          </m:e>
          <m:sub>
            <m:r>
              <w:rPr>
                <w:rFonts w:ascii="Cambria Math" w:eastAsiaTheme="minorEastAsia" w:hAnsi="Cambria Math"/>
              </w:rPr>
              <m:t>jt</m:t>
            </m:r>
          </m:sub>
        </m:sSub>
      </m:oMath>
      <w:r w:rsidRPr="00AD0209">
        <w:rPr>
          <w:rFonts w:eastAsiaTheme="minorEastAsia"/>
        </w:rPr>
        <w:t xml:space="preserve"> </w:t>
      </w:r>
      <w:r w:rsidR="007865AB">
        <w:rPr>
          <w:rFonts w:eastAsiaTheme="minorEastAsia"/>
        </w:rPr>
        <w:t>refers to</w:t>
      </w:r>
      <w:r>
        <w:rPr>
          <w:rFonts w:eastAsiaTheme="minorEastAsia"/>
        </w:rPr>
        <w:t xml:space="preserve"> costs </w:t>
      </w:r>
      <w:r w:rsidRPr="00AD0209">
        <w:rPr>
          <w:rFonts w:eastAsiaTheme="minorEastAsia"/>
        </w:rPr>
        <w:t>per container</w:t>
      </w:r>
      <w:r>
        <w:rPr>
          <w:rFonts w:eastAsiaTheme="minorEastAsia"/>
        </w:rPr>
        <w:t xml:space="preserve"> of </w:t>
      </w:r>
      <w:r w:rsidR="002D0814">
        <w:rPr>
          <w:rFonts w:eastAsiaTheme="minorEastAsia"/>
        </w:rPr>
        <w:t xml:space="preserve">the </w:t>
      </w:r>
      <w:r>
        <w:rPr>
          <w:rFonts w:eastAsiaTheme="minorEastAsia"/>
        </w:rPr>
        <w:t>importer country.</w:t>
      </w:r>
      <w:r w:rsidR="00FD0863">
        <w:rPr>
          <w:rFonts w:eastAsiaTheme="minorEastAsia"/>
        </w:rPr>
        <w:t xml:space="preserve"> These </w:t>
      </w:r>
      <w:r w:rsidR="00FD26E0">
        <w:rPr>
          <w:rFonts w:eastAsiaTheme="minorEastAsia"/>
        </w:rPr>
        <w:t>variables</w:t>
      </w:r>
      <w:r w:rsidR="00FD0863">
        <w:rPr>
          <w:rFonts w:eastAsiaTheme="minorEastAsia"/>
        </w:rPr>
        <w:t xml:space="preserve"> are explained in more detail in the second part of this section.</w:t>
      </w:r>
      <w:r>
        <w:rPr>
          <w:rFonts w:eastAsiaTheme="minorEastAsia"/>
        </w:rPr>
        <w:t xml:space="preserve"> </w:t>
      </w:r>
    </w:p>
    <w:p w:rsidR="00CC4723" w:rsidRDefault="002D0814" w:rsidP="00CC4723">
      <w:pPr>
        <w:autoSpaceDE w:val="0"/>
        <w:autoSpaceDN w:val="0"/>
        <w:adjustRightInd w:val="0"/>
        <w:spacing w:line="480" w:lineRule="auto"/>
        <w:ind w:firstLine="720"/>
        <w:contextualSpacing/>
        <w:jc w:val="both"/>
      </w:pPr>
      <w:r>
        <w:t>S</w:t>
      </w:r>
      <w:r w:rsidR="00CC4723">
        <w:t xml:space="preserve">pecifications </w:t>
      </w:r>
      <w:r>
        <w:t xml:space="preserve">1-3 </w:t>
      </w:r>
      <w:r w:rsidR="00CC4723">
        <w:t xml:space="preserve">of the gravity model </w:t>
      </w:r>
      <w:r w:rsidR="00BD554E">
        <w:t>are based on</w:t>
      </w:r>
      <w:r w:rsidR="00CA76A9">
        <w:t xml:space="preserve"> </w:t>
      </w:r>
      <w:r w:rsidR="00CC4723">
        <w:t>the re</w:t>
      </w:r>
      <w:r w:rsidR="006165FF">
        <w:t>c</w:t>
      </w:r>
      <w:r w:rsidR="00CC4723">
        <w:t xml:space="preserve">ent study </w:t>
      </w:r>
      <w:r w:rsidR="00CA76A9">
        <w:t>by</w:t>
      </w:r>
      <w:r w:rsidR="00CC4723">
        <w:t xml:space="preserve"> Wilson (2010), which focus</w:t>
      </w:r>
      <w:r w:rsidR="00FD26E0">
        <w:t>es</w:t>
      </w:r>
      <w:r w:rsidR="00CC4723">
        <w:t xml:space="preserve"> on Sub-Saharan Africa</w:t>
      </w:r>
      <w:r w:rsidR="00CE0E6A">
        <w:t xml:space="preserve"> and OECD</w:t>
      </w:r>
      <w:r w:rsidR="00776012">
        <w:t xml:space="preserve"> countries. </w:t>
      </w:r>
      <w:r w:rsidR="00CA76A9">
        <w:t>Wilson</w:t>
      </w:r>
      <w:r w:rsidR="00CC4723">
        <w:t xml:space="preserve"> argues that three specifications of the model are needed because of the high correlation among</w:t>
      </w:r>
      <w:r w:rsidR="00EE69DA">
        <w:t xml:space="preserve"> the</w:t>
      </w:r>
      <w:r w:rsidR="00CC4723">
        <w:t xml:space="preserve"> </w:t>
      </w:r>
      <w:r w:rsidR="00FD26E0">
        <w:t>variables</w:t>
      </w:r>
      <w:r w:rsidR="00CC4723">
        <w:t xml:space="preserve"> (</w:t>
      </w:r>
      <m:oMath>
        <m:r>
          <w:rPr>
            <w:rFonts w:ascii="Cambria Math" w:hAnsi="Cambria Math"/>
          </w:rPr>
          <m:t>DOCimp</m:t>
        </m:r>
      </m:oMath>
      <w:r w:rsidR="00CC4723" w:rsidRPr="0096489E">
        <w:t xml:space="preserve">, </w:t>
      </w:r>
      <m:oMath>
        <m:r>
          <w:rPr>
            <w:rFonts w:ascii="Cambria Math" w:hAnsi="Cambria Math"/>
          </w:rPr>
          <m:t>TIMEimp</m:t>
        </m:r>
      </m:oMath>
      <w:r w:rsidR="00CC4723" w:rsidRPr="0096489E">
        <w:t xml:space="preserve"> and </w:t>
      </w:r>
      <m:oMath>
        <m:r>
          <w:rPr>
            <w:rFonts w:ascii="Cambria Math" w:hAnsi="Cambria Math"/>
          </w:rPr>
          <m:t>COSTimp</m:t>
        </m:r>
      </m:oMath>
      <w:r w:rsidR="00CC4723">
        <w:t xml:space="preserve">). </w:t>
      </w:r>
      <w:r w:rsidR="00CA76A9">
        <w:t>T</w:t>
      </w:r>
      <w:r w:rsidR="0096489E">
        <w:t xml:space="preserve">his is the reason why we estimate </w:t>
      </w:r>
      <w:r w:rsidR="00743A82">
        <w:t>separate equation</w:t>
      </w:r>
      <w:r w:rsidR="00A95702">
        <w:t>s</w:t>
      </w:r>
      <w:r w:rsidR="00CC4723" w:rsidRPr="0096489E">
        <w:t xml:space="preserve"> for each of these</w:t>
      </w:r>
      <w:r w:rsidR="0096489E" w:rsidRPr="0096489E">
        <w:t xml:space="preserve"> </w:t>
      </w:r>
      <w:r w:rsidR="00CC4723" w:rsidRPr="0096489E">
        <w:t>variables.</w:t>
      </w:r>
      <w:r w:rsidR="00743A82">
        <w:t xml:space="preserve"> </w:t>
      </w:r>
      <w:r w:rsidR="00CA76A9">
        <w:t>Additionally,</w:t>
      </w:r>
      <w:r w:rsidR="00743A82">
        <w:t xml:space="preserve"> Wilson (2010) includes </w:t>
      </w:r>
      <w:r w:rsidR="00A95702">
        <w:t xml:space="preserve">a </w:t>
      </w:r>
      <w:r w:rsidR="00743A82">
        <w:t>dummy variable for the countries that share the same colonial history</w:t>
      </w:r>
      <w:r w:rsidR="00CA76A9">
        <w:t>, while we</w:t>
      </w:r>
      <w:r w:rsidR="00743A82">
        <w:t xml:space="preserve"> include </w:t>
      </w:r>
      <w:r w:rsidR="00BD554E">
        <w:t xml:space="preserve">a </w:t>
      </w:r>
      <w:r w:rsidR="00743A82">
        <w:t>dummy variable which represents the shared Yugoslav market in the past</w:t>
      </w:r>
      <w:r w:rsidR="00C02A9D">
        <w:t xml:space="preserve"> (</w:t>
      </w:r>
      <m:oMath>
        <m:r>
          <w:rPr>
            <w:rFonts w:ascii="Cambria Math" w:eastAsiaTheme="minorEastAsia" w:hAnsi="Cambria Math"/>
          </w:rPr>
          <m:t>YUM</m:t>
        </m:r>
      </m:oMath>
      <w:r w:rsidR="00C02A9D">
        <w:t>)</w:t>
      </w:r>
      <w:r w:rsidR="00743A82">
        <w:t>.</w:t>
      </w:r>
    </w:p>
    <w:p w:rsidR="00C02A9D" w:rsidRPr="0096489E" w:rsidRDefault="00030AE4" w:rsidP="00CC4723">
      <w:pPr>
        <w:autoSpaceDE w:val="0"/>
        <w:autoSpaceDN w:val="0"/>
        <w:adjustRightInd w:val="0"/>
        <w:spacing w:line="480" w:lineRule="auto"/>
        <w:ind w:firstLine="720"/>
        <w:contextualSpacing/>
        <w:jc w:val="both"/>
      </w:pPr>
      <w:r>
        <w:t>Following Wilson (2010), we use three additional specifications of the gravity model:</w:t>
      </w:r>
    </w:p>
    <w:p w:rsidR="00493574" w:rsidRPr="00AD0209" w:rsidRDefault="00493574" w:rsidP="00493574">
      <w:pPr>
        <w:autoSpaceDE w:val="0"/>
        <w:autoSpaceDN w:val="0"/>
        <w:adjustRightInd w:val="0"/>
        <w:spacing w:line="480" w:lineRule="auto"/>
        <w:ind w:left="993" w:hanging="993"/>
        <w:contextualSpacing/>
        <w:jc w:val="both"/>
        <w:rPr>
          <w:rFonts w:eastAsiaTheme="minorEastAsia"/>
        </w:rPr>
      </w:pPr>
      <m:oMath>
        <m:r>
          <w:rPr>
            <w:rFonts w:ascii="Cambria Math"/>
          </w:rPr>
          <w:lastRenderedPageBreak/>
          <m:t>ln</m:t>
        </m:r>
        <m:sSub>
          <m:sSubPr>
            <m:ctrlPr>
              <w:rPr>
                <w:rFonts w:ascii="Cambria Math" w:hAnsi="Cambria Math"/>
                <w:i/>
              </w:rPr>
            </m:ctrlPr>
          </m:sSubPr>
          <m:e>
            <m:r>
              <w:rPr>
                <w:rFonts w:ascii="Cambria Math" w:hAnsi="Cambria Math"/>
              </w:rPr>
              <m:t>EXP</m:t>
            </m:r>
          </m:e>
          <m:sub>
            <m:r>
              <w:rPr>
                <w:rFonts w:ascii="Cambria Math" w:hAnsi="Cambria Math"/>
              </w:rPr>
              <m:t>ijt</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0</m:t>
            </m:r>
          </m:sub>
        </m:sSub>
        <m:r>
          <w:rPr>
            <w:rFonts w:ascii="Cambria Math"/>
          </w:rPr>
          <m:t xml:space="preserve">+ </m:t>
        </m:r>
        <m:sSub>
          <m:sSubPr>
            <m:ctrlPr>
              <w:rPr>
                <w:rFonts w:ascii="Cambria Math" w:eastAsiaTheme="minorEastAsia" w:hAnsi="Cambria Math"/>
                <w:i/>
              </w:rPr>
            </m:ctrlPr>
          </m:sSubPr>
          <m:e>
            <m:r>
              <w:rPr>
                <w:rFonts w:ascii="Cambria Math" w:hAnsi="Cambria Math"/>
              </w:rPr>
              <m:t>β</m:t>
            </m:r>
          </m:e>
          <m:sub>
            <m:r>
              <w:rPr>
                <w:rFonts w:ascii="Cambria Math" w:eastAsiaTheme="minorEastAsia"/>
              </w:rPr>
              <m:t>1</m:t>
            </m:r>
          </m:sub>
        </m:sSub>
        <m:sSub>
          <m:sSubPr>
            <m:ctrlPr>
              <w:rPr>
                <w:rFonts w:ascii="Cambria Math" w:eastAsiaTheme="minorEastAsia" w:hAnsi="Cambria Math"/>
                <w:i/>
              </w:rPr>
            </m:ctrlPr>
          </m:sSubPr>
          <m:e>
            <m:r>
              <m:rPr>
                <m:sty m:val="p"/>
              </m:rPr>
              <w:rPr>
                <w:rFonts w:ascii="Cambria Math" w:eastAsiaTheme="minorEastAsia"/>
              </w:rPr>
              <m:t>ln</m:t>
            </m:r>
            <m:r>
              <m:rPr>
                <m:sty m:val="p"/>
              </m:rPr>
              <w:rPr>
                <w:rFonts w:ascii="Cambria Math" w:eastAsiaTheme="minorEastAsia" w:hAnsi="Cambria Math"/>
              </w:rPr>
              <m:t>⁡</m:t>
            </m:r>
            <m:r>
              <w:rPr>
                <w:rFonts w:ascii="Cambria Math" w:eastAsiaTheme="minorEastAsia"/>
              </w:rPr>
              <m:t>(</m:t>
            </m:r>
            <m:r>
              <w:rPr>
                <w:rFonts w:ascii="Cambria Math" w:eastAsiaTheme="minorEastAsia" w:hAnsi="Cambria Math"/>
              </w:rPr>
              <m:t>DOCexp</m:t>
            </m:r>
          </m:e>
          <m:sub>
            <m:r>
              <w:rPr>
                <w:rFonts w:ascii="Cambria Math" w:eastAsiaTheme="minorEastAsia" w:hAnsi="Cambria Math"/>
              </w:rPr>
              <m:t>jt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DOCimp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2</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3</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4</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DisW</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5</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rPr>
                  <m:t>t</m:t>
                </m:r>
              </m:sub>
            </m:sSub>
            <m:r>
              <w:rPr>
                <w:rFonts w:ascii="Cambria Math" w:eastAsiaTheme="minorEastAsia"/>
              </w:rPr>
              <m:t>+</m:t>
            </m:r>
            <m:r>
              <w:rPr>
                <w:rFonts w:ascii="Cambria Math" w:eastAsiaTheme="minorEastAsia" w:hAnsi="Cambria Math"/>
              </w:rPr>
              <m:t>ε</m:t>
            </m:r>
          </m:e>
          <m:sub>
            <m:r>
              <w:rPr>
                <w:rFonts w:ascii="Cambria Math" w:eastAsiaTheme="minorEastAsia" w:hAnsi="Cambria Math"/>
              </w:rPr>
              <m:t>ijt</m:t>
            </m:r>
          </m:sub>
        </m:sSub>
      </m:oMath>
      <w:r w:rsidRPr="00AD0209">
        <w:rPr>
          <w:rFonts w:eastAsiaTheme="minorEastAsia"/>
        </w:rPr>
        <w:t xml:space="preserve"> </w:t>
      </w:r>
      <w:r w:rsidR="00442CF6">
        <w:rPr>
          <w:rFonts w:eastAsiaTheme="minorEastAsia"/>
        </w:rPr>
        <w:t xml:space="preserve">   </w:t>
      </w:r>
      <w:r w:rsidRPr="00AD0209">
        <w:rPr>
          <w:rFonts w:eastAsiaTheme="minorEastAsia"/>
        </w:rPr>
        <w:t xml:space="preserve"> (4)</w:t>
      </w:r>
    </w:p>
    <w:p w:rsidR="00493574" w:rsidRPr="00AD0209" w:rsidRDefault="00493574" w:rsidP="00442CF6">
      <w:pPr>
        <w:autoSpaceDE w:val="0"/>
        <w:autoSpaceDN w:val="0"/>
        <w:adjustRightInd w:val="0"/>
        <w:spacing w:line="480" w:lineRule="auto"/>
        <w:ind w:left="993" w:hanging="993"/>
        <w:contextualSpacing/>
        <w:jc w:val="both"/>
        <w:rPr>
          <w:rFonts w:eastAsiaTheme="minorEastAsia"/>
        </w:rPr>
      </w:pPr>
      <w:r w:rsidRPr="00AD0209">
        <w:rPr>
          <w:rFonts w:eastAsiaTheme="minorEastAsia"/>
        </w:rPr>
        <w:t xml:space="preserve">          </w:t>
      </w:r>
    </w:p>
    <w:p w:rsidR="00493574" w:rsidRPr="00AD0209" w:rsidRDefault="00493574" w:rsidP="00493574">
      <w:pPr>
        <w:tabs>
          <w:tab w:val="left" w:pos="993"/>
        </w:tabs>
        <w:autoSpaceDE w:val="0"/>
        <w:autoSpaceDN w:val="0"/>
        <w:adjustRightInd w:val="0"/>
        <w:spacing w:line="480" w:lineRule="auto"/>
        <w:ind w:left="993" w:hanging="993"/>
        <w:contextualSpacing/>
        <w:jc w:val="both"/>
        <w:rPr>
          <w:rFonts w:eastAsiaTheme="minorEastAsia"/>
        </w:rPr>
      </w:pPr>
      <m:oMath>
        <m:r>
          <w:rPr>
            <w:rFonts w:ascii="Cambria Math"/>
          </w:rPr>
          <m:t>ln</m:t>
        </m:r>
        <m:sSub>
          <m:sSubPr>
            <m:ctrlPr>
              <w:rPr>
                <w:rFonts w:ascii="Cambria Math" w:hAnsi="Cambria Math"/>
                <w:i/>
              </w:rPr>
            </m:ctrlPr>
          </m:sSubPr>
          <m:e>
            <m:r>
              <w:rPr>
                <w:rFonts w:ascii="Cambria Math" w:hAnsi="Cambria Math"/>
              </w:rPr>
              <m:t>EXP</m:t>
            </m:r>
          </m:e>
          <m:sub>
            <m:r>
              <w:rPr>
                <w:rFonts w:ascii="Cambria Math" w:hAnsi="Cambria Math"/>
              </w:rPr>
              <m:t>ijt</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0</m:t>
            </m:r>
          </m:sub>
        </m:sSub>
        <m:r>
          <w:rPr>
            <w:rFonts w:ascii="Cambria Math"/>
          </w:rPr>
          <m:t>+</m:t>
        </m:r>
        <m:sSub>
          <m:sSubPr>
            <m:ctrlPr>
              <w:rPr>
                <w:rFonts w:ascii="Cambria Math" w:eastAsiaTheme="minorEastAsia" w:hAnsi="Cambria Math"/>
                <w:i/>
              </w:rPr>
            </m:ctrlPr>
          </m:sSubPr>
          <m:e>
            <m:r>
              <w:rPr>
                <w:rFonts w:ascii="Cambria Math" w:hAnsi="Cambria Math"/>
              </w:rPr>
              <m:t>β</m:t>
            </m:r>
          </m:e>
          <m:sub>
            <m:r>
              <w:rPr>
                <w:rFonts w:ascii="Cambria Math" w:eastAsiaTheme="minorEastAsia"/>
              </w:rPr>
              <m:t>1</m:t>
            </m:r>
          </m:sub>
        </m:sSub>
        <m:sSub>
          <m:sSubPr>
            <m:ctrlPr>
              <w:rPr>
                <w:rFonts w:ascii="Cambria Math" w:eastAsiaTheme="minorEastAsia" w:hAnsi="Cambria Math"/>
                <w:i/>
              </w:rPr>
            </m:ctrlPr>
          </m:sSubPr>
          <m:e>
            <m:r>
              <m:rPr>
                <m:sty m:val="p"/>
              </m:rPr>
              <w:rPr>
                <w:rFonts w:ascii="Cambria Math" w:eastAsiaTheme="minorEastAsia"/>
              </w:rPr>
              <m:t>ln</m:t>
            </m:r>
            <m:r>
              <m:rPr>
                <m:sty m:val="p"/>
              </m:rPr>
              <w:rPr>
                <w:rFonts w:ascii="Cambria Math" w:eastAsiaTheme="minorEastAsia" w:hAnsi="Cambria Math"/>
              </w:rPr>
              <m:t>⁡</m:t>
            </m:r>
            <m:r>
              <w:rPr>
                <w:rFonts w:ascii="Cambria Math" w:eastAsiaTheme="minorEastAsia"/>
              </w:rPr>
              <m:t>(</m:t>
            </m:r>
            <m:r>
              <w:rPr>
                <w:rFonts w:ascii="Cambria Math" w:eastAsiaTheme="minorEastAsia" w:hAnsi="Cambria Math"/>
              </w:rPr>
              <m:t>TIMEexp</m:t>
            </m:r>
          </m:e>
          <m:sub>
            <m:r>
              <w:rPr>
                <w:rFonts w:ascii="Cambria Math" w:eastAsiaTheme="minorEastAsia" w:hAnsi="Cambria Math"/>
              </w:rPr>
              <m:t>jt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TIMEimp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2</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3</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4</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DisW</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5</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rPr>
                  <m:t>t</m:t>
                </m:r>
              </m:sub>
            </m:sSub>
            <m:r>
              <w:rPr>
                <w:rFonts w:ascii="Cambria Math" w:eastAsiaTheme="minorEastAsia"/>
              </w:rPr>
              <m:t>+</m:t>
            </m:r>
            <m:r>
              <w:rPr>
                <w:rFonts w:ascii="Cambria Math" w:eastAsiaTheme="minorEastAsia" w:hAnsi="Cambria Math"/>
              </w:rPr>
              <m:t>ε</m:t>
            </m:r>
          </m:e>
          <m:sub>
            <m:r>
              <w:rPr>
                <w:rFonts w:ascii="Cambria Math" w:eastAsiaTheme="minorEastAsia" w:hAnsi="Cambria Math"/>
              </w:rPr>
              <m:t>ijt</m:t>
            </m:r>
          </m:sub>
        </m:sSub>
      </m:oMath>
      <w:r w:rsidRPr="00AD0209">
        <w:rPr>
          <w:rFonts w:eastAsiaTheme="minorEastAsia"/>
        </w:rPr>
        <w:t xml:space="preserve"> </w:t>
      </w:r>
      <w:r w:rsidR="00442CF6">
        <w:rPr>
          <w:rFonts w:eastAsiaTheme="minorEastAsia"/>
        </w:rPr>
        <w:t xml:space="preserve">             </w:t>
      </w:r>
      <w:r w:rsidR="00EF621C">
        <w:rPr>
          <w:rFonts w:eastAsiaTheme="minorEastAsia"/>
        </w:rPr>
        <w:t xml:space="preserve">                                                                         </w:t>
      </w:r>
      <w:r w:rsidR="00442CF6">
        <w:rPr>
          <w:rFonts w:eastAsiaTheme="minorEastAsia"/>
        </w:rPr>
        <w:t xml:space="preserve">     </w:t>
      </w:r>
      <w:r w:rsidRPr="00AD0209">
        <w:rPr>
          <w:rFonts w:eastAsiaTheme="minorEastAsia"/>
        </w:rPr>
        <w:t>(5)</w:t>
      </w:r>
    </w:p>
    <w:p w:rsidR="00493574" w:rsidRPr="00AD0209" w:rsidRDefault="00493574" w:rsidP="00493574">
      <w:pPr>
        <w:autoSpaceDE w:val="0"/>
        <w:autoSpaceDN w:val="0"/>
        <w:adjustRightInd w:val="0"/>
        <w:spacing w:line="480" w:lineRule="auto"/>
        <w:contextualSpacing/>
        <w:jc w:val="both"/>
        <w:rPr>
          <w:rFonts w:eastAsiaTheme="minorHAnsi"/>
        </w:rPr>
      </w:pPr>
    </w:p>
    <w:p w:rsidR="00EF621C" w:rsidRDefault="00493574" w:rsidP="00493574">
      <w:pPr>
        <w:autoSpaceDE w:val="0"/>
        <w:autoSpaceDN w:val="0"/>
        <w:adjustRightInd w:val="0"/>
        <w:spacing w:line="480" w:lineRule="auto"/>
        <w:ind w:left="993" w:hanging="993"/>
        <w:contextualSpacing/>
        <w:jc w:val="both"/>
        <w:rPr>
          <w:rFonts w:eastAsiaTheme="minorEastAsia"/>
        </w:rPr>
      </w:pPr>
      <m:oMath>
        <m:r>
          <w:rPr>
            <w:rFonts w:ascii="Cambria Math"/>
          </w:rPr>
          <m:t>ln</m:t>
        </m:r>
        <m:sSub>
          <m:sSubPr>
            <m:ctrlPr>
              <w:rPr>
                <w:rFonts w:ascii="Cambria Math" w:hAnsi="Cambria Math"/>
                <w:i/>
              </w:rPr>
            </m:ctrlPr>
          </m:sSubPr>
          <m:e>
            <m:r>
              <w:rPr>
                <w:rFonts w:ascii="Cambria Math" w:hAnsi="Cambria Math"/>
              </w:rPr>
              <m:t>EXP</m:t>
            </m:r>
          </m:e>
          <m:sub>
            <m:r>
              <w:rPr>
                <w:rFonts w:ascii="Cambria Math" w:hAnsi="Cambria Math"/>
              </w:rPr>
              <m:t>ijt</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0</m:t>
            </m:r>
          </m:sub>
        </m:sSub>
        <m:r>
          <w:rPr>
            <w:rFonts w:ascii="Cambria Math"/>
          </w:rPr>
          <m:t xml:space="preserve">+ </m:t>
        </m:r>
        <m:sSub>
          <m:sSubPr>
            <m:ctrlPr>
              <w:rPr>
                <w:rFonts w:ascii="Cambria Math" w:eastAsiaTheme="minorEastAsia" w:hAnsi="Cambria Math"/>
                <w:i/>
              </w:rPr>
            </m:ctrlPr>
          </m:sSubPr>
          <m:e>
            <m:r>
              <w:rPr>
                <w:rFonts w:ascii="Cambria Math" w:hAnsi="Cambria Math"/>
              </w:rPr>
              <m:t>β</m:t>
            </m:r>
          </m:e>
          <m:sub>
            <m:r>
              <w:rPr>
                <w:rFonts w:ascii="Cambria Math" w:eastAsiaTheme="minorEastAsia"/>
              </w:rPr>
              <m:t>1</m:t>
            </m:r>
          </m:sub>
        </m:sSub>
        <m:sSub>
          <m:sSubPr>
            <m:ctrlPr>
              <w:rPr>
                <w:rFonts w:ascii="Cambria Math" w:eastAsiaTheme="minorEastAsia" w:hAnsi="Cambria Math"/>
                <w:i/>
              </w:rPr>
            </m:ctrlPr>
          </m:sSubPr>
          <m:e>
            <m:r>
              <m:rPr>
                <m:sty m:val="p"/>
              </m:rPr>
              <w:rPr>
                <w:rFonts w:ascii="Cambria Math" w:eastAsiaTheme="minorEastAsia"/>
              </w:rPr>
              <m:t>ln</m:t>
            </m:r>
            <m:r>
              <m:rPr>
                <m:sty m:val="p"/>
              </m:rPr>
              <w:rPr>
                <w:rFonts w:ascii="Cambria Math" w:eastAsiaTheme="minorEastAsia" w:hAnsi="Cambria Math"/>
              </w:rPr>
              <m:t>⁡</m:t>
            </m:r>
            <m:r>
              <w:rPr>
                <w:rFonts w:ascii="Cambria Math" w:eastAsiaTheme="minorEastAsia"/>
              </w:rPr>
              <m:t>(</m:t>
            </m:r>
            <m:r>
              <w:rPr>
                <w:rFonts w:ascii="Cambria Math" w:eastAsiaTheme="minorEastAsia" w:hAnsi="Cambria Math"/>
              </w:rPr>
              <m:t>COSTexp</m:t>
            </m:r>
          </m:e>
          <m:sub>
            <m:r>
              <w:rPr>
                <w:rFonts w:ascii="Cambria Math" w:eastAsiaTheme="minorEastAsia" w:hAnsi="Cambria Math"/>
              </w:rPr>
              <m:t>jt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COSTimp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2</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3</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4</m:t>
            </m:r>
          </m:sub>
        </m:sSub>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DisW</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rPr>
              <m:t>5</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rPr>
                  <m:t>ij</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rPr>
                  <m:t>t</m:t>
                </m:r>
              </m:sub>
            </m:sSub>
            <m:r>
              <w:rPr>
                <w:rFonts w:ascii="Cambria Math" w:eastAsiaTheme="minorEastAsia"/>
              </w:rPr>
              <m:t>+</m:t>
            </m:r>
            <m:r>
              <w:rPr>
                <w:rFonts w:ascii="Cambria Math" w:eastAsiaTheme="minorEastAsia" w:hAnsi="Cambria Math"/>
              </w:rPr>
              <m:t>ε</m:t>
            </m:r>
          </m:e>
          <m:sub>
            <m:r>
              <w:rPr>
                <w:rFonts w:ascii="Cambria Math" w:eastAsiaTheme="minorEastAsia" w:hAnsi="Cambria Math"/>
              </w:rPr>
              <m:t>ijt</m:t>
            </m:r>
          </m:sub>
        </m:sSub>
      </m:oMath>
      <w:r w:rsidRPr="00AD0209">
        <w:rPr>
          <w:rFonts w:eastAsiaTheme="minorEastAsia"/>
        </w:rPr>
        <w:t xml:space="preserve"> </w:t>
      </w:r>
      <w:r w:rsidR="00442CF6">
        <w:rPr>
          <w:rFonts w:eastAsiaTheme="minorEastAsia"/>
        </w:rPr>
        <w:t xml:space="preserve">                 </w:t>
      </w:r>
      <w:r w:rsidRPr="00AD0209">
        <w:rPr>
          <w:rFonts w:eastAsiaTheme="minorEastAsia"/>
        </w:rPr>
        <w:t xml:space="preserve"> </w:t>
      </w:r>
      <w:r w:rsidR="00EF621C">
        <w:rPr>
          <w:rFonts w:eastAsiaTheme="minorEastAsia"/>
        </w:rPr>
        <w:t xml:space="preserve">                                      </w:t>
      </w:r>
    </w:p>
    <w:p w:rsidR="00493574" w:rsidRPr="00AD0209" w:rsidRDefault="00EF621C" w:rsidP="00493574">
      <w:pPr>
        <w:autoSpaceDE w:val="0"/>
        <w:autoSpaceDN w:val="0"/>
        <w:adjustRightInd w:val="0"/>
        <w:spacing w:line="480" w:lineRule="auto"/>
        <w:ind w:left="993" w:hanging="993"/>
        <w:contextualSpacing/>
        <w:jc w:val="both"/>
        <w:rPr>
          <w:rFonts w:eastAsiaTheme="minorEastAsia"/>
        </w:rPr>
      </w:pP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493574" w:rsidRPr="00AD0209">
        <w:rPr>
          <w:rFonts w:eastAsiaTheme="minorEastAsia"/>
        </w:rPr>
        <w:t>(6)</w:t>
      </w:r>
    </w:p>
    <w:p w:rsidR="00AF15DE" w:rsidRDefault="00AF15DE" w:rsidP="00493574">
      <w:pPr>
        <w:autoSpaceDE w:val="0"/>
        <w:autoSpaceDN w:val="0"/>
        <w:adjustRightInd w:val="0"/>
        <w:spacing w:line="480" w:lineRule="auto"/>
        <w:contextualSpacing/>
        <w:jc w:val="both"/>
        <w:rPr>
          <w:rFonts w:eastAsiaTheme="minorHAnsi"/>
        </w:rPr>
      </w:pPr>
    </w:p>
    <w:p w:rsidR="00493574" w:rsidRDefault="006920A2" w:rsidP="00493574">
      <w:pPr>
        <w:autoSpaceDE w:val="0"/>
        <w:autoSpaceDN w:val="0"/>
        <w:adjustRightInd w:val="0"/>
        <w:spacing w:line="480" w:lineRule="auto"/>
        <w:contextualSpacing/>
        <w:jc w:val="both"/>
        <w:rPr>
          <w:rFonts w:eastAsiaTheme="minorHAnsi"/>
        </w:rPr>
      </w:pPr>
      <w:r>
        <w:rPr>
          <w:rFonts w:eastAsiaTheme="minorHAnsi"/>
        </w:rPr>
        <w:t xml:space="preserve">These three specifications </w:t>
      </w:r>
      <w:r w:rsidR="00D927D5">
        <w:rPr>
          <w:rFonts w:eastAsiaTheme="minorHAnsi"/>
        </w:rPr>
        <w:t>use</w:t>
      </w:r>
      <w:r>
        <w:rPr>
          <w:rFonts w:eastAsiaTheme="minorHAnsi"/>
        </w:rPr>
        <w:t xml:space="preserve"> different measure</w:t>
      </w:r>
      <w:r w:rsidR="006165FF">
        <w:rPr>
          <w:rFonts w:eastAsiaTheme="minorHAnsi"/>
        </w:rPr>
        <w:t>s</w:t>
      </w:r>
      <w:r>
        <w:rPr>
          <w:rFonts w:eastAsiaTheme="minorHAnsi"/>
        </w:rPr>
        <w:t xml:space="preserve"> of customs</w:t>
      </w:r>
      <w:r w:rsidR="00AF15DE">
        <w:rPr>
          <w:rFonts w:eastAsiaTheme="minorHAnsi"/>
        </w:rPr>
        <w:t xml:space="preserve"> and administrative procedure</w:t>
      </w:r>
      <w:r w:rsidR="00D927D5">
        <w:rPr>
          <w:rFonts w:eastAsiaTheme="minorHAnsi"/>
        </w:rPr>
        <w:t>s</w:t>
      </w:r>
      <w:r w:rsidR="00AF15DE">
        <w:rPr>
          <w:rFonts w:eastAsiaTheme="minorHAnsi"/>
        </w:rPr>
        <w:t>. T</w:t>
      </w:r>
      <w:r w:rsidR="004A22C5">
        <w:rPr>
          <w:rFonts w:eastAsiaTheme="minorHAnsi"/>
        </w:rPr>
        <w:t>hey</w:t>
      </w:r>
      <w:r w:rsidR="00AF15DE">
        <w:rPr>
          <w:rFonts w:eastAsiaTheme="minorHAnsi"/>
        </w:rPr>
        <w:t xml:space="preserve"> use the natural logarithm of product of the corresponding variables for the importer and exporter (number of documents, days at border and cost</w:t>
      </w:r>
      <w:r w:rsidR="00BD554E">
        <w:rPr>
          <w:rFonts w:eastAsiaTheme="minorHAnsi"/>
        </w:rPr>
        <w:t>s</w:t>
      </w:r>
      <w:r w:rsidR="00AF15DE">
        <w:rPr>
          <w:rFonts w:eastAsiaTheme="minorHAnsi"/>
        </w:rPr>
        <w:t xml:space="preserve"> per container).</w:t>
      </w:r>
      <w:r w:rsidR="004A22C5">
        <w:rPr>
          <w:rFonts w:eastAsiaTheme="minorHAnsi"/>
        </w:rPr>
        <w:t xml:space="preserve"> These new versions make it possible to see jointly how changes in the </w:t>
      </w:r>
      <w:r w:rsidR="00FD26E0">
        <w:rPr>
          <w:rFonts w:eastAsiaTheme="minorHAnsi"/>
        </w:rPr>
        <w:t>c</w:t>
      </w:r>
      <w:r w:rsidR="00A95702">
        <w:rPr>
          <w:rFonts w:eastAsiaTheme="minorHAnsi"/>
        </w:rPr>
        <w:t>h</w:t>
      </w:r>
      <w:r w:rsidR="00FD26E0">
        <w:rPr>
          <w:rFonts w:eastAsiaTheme="minorHAnsi"/>
        </w:rPr>
        <w:t>oice of variables</w:t>
      </w:r>
      <w:r w:rsidR="004A22C5">
        <w:rPr>
          <w:rFonts w:eastAsiaTheme="minorHAnsi"/>
        </w:rPr>
        <w:t xml:space="preserve"> affect exporters and importers.</w:t>
      </w:r>
      <w:r w:rsidR="00AF15DE">
        <w:rPr>
          <w:rFonts w:eastAsiaTheme="minorHAnsi"/>
        </w:rPr>
        <w:t xml:space="preserve"> In addition, there is </w:t>
      </w:r>
      <w:r w:rsidR="00A95702">
        <w:rPr>
          <w:rFonts w:eastAsiaTheme="minorHAnsi"/>
        </w:rPr>
        <w:t xml:space="preserve">a </w:t>
      </w:r>
      <w:r w:rsidR="00AF15DE">
        <w:rPr>
          <w:rFonts w:eastAsiaTheme="minorHAnsi"/>
        </w:rPr>
        <w:t xml:space="preserve">different </w:t>
      </w:r>
      <w:r w:rsidR="00AF15DE" w:rsidRPr="00CC08BF">
        <w:rPr>
          <w:rFonts w:eastAsiaTheme="minorHAnsi"/>
        </w:rPr>
        <w:t>measure</w:t>
      </w:r>
      <w:r w:rsidR="00AF15DE">
        <w:rPr>
          <w:rFonts w:eastAsiaTheme="minorHAnsi"/>
        </w:rPr>
        <w:t xml:space="preserve"> for the distance between two countries</w:t>
      </w:r>
      <w:r w:rsidR="00D927D5">
        <w:rPr>
          <w:rFonts w:eastAsiaTheme="minorHAnsi"/>
        </w:rPr>
        <w:t>,</w:t>
      </w:r>
      <w:r w:rsidR="00D2177A">
        <w:rPr>
          <w:rFonts w:eastAsiaTheme="minorHAnsi"/>
        </w:rPr>
        <w:t xml:space="preserve"> a </w:t>
      </w:r>
      <w:r w:rsidR="00AF15DE">
        <w:rPr>
          <w:rFonts w:eastAsiaTheme="minorHAnsi"/>
        </w:rPr>
        <w:t>weighted distance</w:t>
      </w:r>
      <w:r w:rsidR="00D2177A">
        <w:rPr>
          <w:rFonts w:eastAsiaTheme="minorHAnsi"/>
        </w:rPr>
        <w:t xml:space="preserve"> variable</w:t>
      </w:r>
      <w:r w:rsidR="00093337">
        <w:rPr>
          <w:rFonts w:eastAsiaTheme="minorHAnsi"/>
        </w:rPr>
        <w:t xml:space="preserve"> </w:t>
      </w:r>
      <m:oMath>
        <m:sSub>
          <m:sSubPr>
            <m:ctrlPr>
              <w:rPr>
                <w:rFonts w:ascii="Cambria Math" w:eastAsiaTheme="minorEastAsia" w:hAnsi="Cambria Math"/>
                <w:i/>
              </w:rPr>
            </m:ctrlPr>
          </m:sSubPr>
          <m:e>
            <m:r>
              <w:rPr>
                <w:rFonts w:ascii="Cambria Math" w:eastAsiaTheme="minorEastAsia" w:hAnsi="Cambria Math"/>
              </w:rPr>
              <m:t>DisW</m:t>
            </m:r>
          </m:e>
          <m:sub>
            <m:r>
              <w:rPr>
                <w:rFonts w:ascii="Cambria Math" w:eastAsiaTheme="minorEastAsia" w:hAnsi="Cambria Math"/>
              </w:rPr>
              <m:t>ij</m:t>
            </m:r>
          </m:sub>
        </m:sSub>
      </m:oMath>
      <w:r w:rsidR="00D2177A">
        <w:rPr>
          <w:rFonts w:eastAsiaTheme="minorEastAsia"/>
        </w:rPr>
        <w:t xml:space="preserve">, where geographical distance is weighted by the time at the border and remoteness. The weighted distance variable is </w:t>
      </w:r>
      <w:r w:rsidR="00D927D5">
        <w:rPr>
          <w:rFonts w:eastAsiaTheme="minorEastAsia"/>
        </w:rPr>
        <w:t>defined as</w:t>
      </w:r>
      <w:r w:rsidR="00D2177A">
        <w:rPr>
          <w:rFonts w:eastAsiaTheme="minorEastAsia"/>
        </w:rPr>
        <w:t xml:space="preserve"> follow</w:t>
      </w:r>
      <w:r w:rsidR="00D927D5">
        <w:rPr>
          <w:rFonts w:eastAsiaTheme="minorEastAsia"/>
        </w:rPr>
        <w:t>s</w:t>
      </w:r>
      <w:r w:rsidR="00D2177A">
        <w:rPr>
          <w:rFonts w:eastAsiaTheme="minorEastAsia"/>
        </w:rPr>
        <w:t>:</w:t>
      </w:r>
    </w:p>
    <w:p w:rsidR="00AF15DE" w:rsidRDefault="00B64390" w:rsidP="00BC23E0">
      <w:pPr>
        <w:autoSpaceDE w:val="0"/>
        <w:autoSpaceDN w:val="0"/>
        <w:adjustRightInd w:val="0"/>
        <w:spacing w:line="480" w:lineRule="auto"/>
        <w:contextualSpacing/>
        <w:jc w:val="center"/>
        <w:rPr>
          <w:rFonts w:eastAsiaTheme="minorHAnsi"/>
        </w:rPr>
      </w:pPr>
      <m:oMath>
        <m:sSub>
          <m:sSubPr>
            <m:ctrlPr>
              <w:rPr>
                <w:rFonts w:ascii="Cambria Math" w:eastAsiaTheme="minorEastAsia" w:hAnsi="Cambria Math"/>
                <w:i/>
              </w:rPr>
            </m:ctrlPr>
          </m:sSubPr>
          <m:e>
            <m:r>
              <w:rPr>
                <w:rFonts w:ascii="Cambria Math" w:eastAsiaTheme="minorEastAsia" w:hAnsi="Cambria Math"/>
              </w:rPr>
              <m:t>DisW</m:t>
            </m:r>
          </m:e>
          <m:sub>
            <m:r>
              <w:rPr>
                <w:rFonts w:ascii="Cambria Math" w:eastAsiaTheme="minorEastAsia" w:hAnsi="Cambria Math"/>
              </w:rPr>
              <m:t>ij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ij</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TIMEexp</m:t>
                    </m:r>
                  </m:e>
                  <m:sub>
                    <m:r>
                      <w:rPr>
                        <w:rFonts w:ascii="Cambria Math" w:eastAsiaTheme="minorEastAsia" w:hAnsi="Cambria Math"/>
                      </w:rPr>
                      <m:t>jt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TIMEimp</m:t>
                    </m:r>
                  </m:e>
                  <m:sub>
                    <m:r>
                      <w:rPr>
                        <w:rFonts w:ascii="Cambria Math" w:eastAsiaTheme="minorEastAsia" w:hAnsi="Cambria Math"/>
                      </w:rPr>
                      <m:t>it</m:t>
                    </m:r>
                  </m:sub>
                </m:sSub>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Rem</m:t>
            </m:r>
          </m:e>
          <m:sub>
            <m:r>
              <w:rPr>
                <w:rFonts w:ascii="Cambria Math" w:eastAsiaTheme="minorEastAsia" w:hAnsi="Cambria Math"/>
              </w:rPr>
              <m:t>it</m:t>
            </m:r>
          </m:sub>
        </m:sSub>
      </m:oMath>
      <w:r w:rsidR="002103D3">
        <w:rPr>
          <w:rFonts w:eastAsiaTheme="minorEastAsia"/>
        </w:rPr>
        <w:t xml:space="preserve">                      (7)</w:t>
      </w:r>
    </w:p>
    <w:p w:rsidR="00F07FF8" w:rsidRPr="00AD0209" w:rsidRDefault="00D2177A" w:rsidP="00F07FF8">
      <w:pPr>
        <w:autoSpaceDE w:val="0"/>
        <w:autoSpaceDN w:val="0"/>
        <w:adjustRightInd w:val="0"/>
        <w:spacing w:line="480" w:lineRule="auto"/>
        <w:contextualSpacing/>
        <w:jc w:val="both"/>
        <w:rPr>
          <w:rFonts w:eastAsiaTheme="minorEastAsia"/>
        </w:rPr>
      </w:pPr>
      <w:r>
        <w:rPr>
          <w:rFonts w:eastAsiaTheme="minorEastAsia"/>
        </w:rPr>
        <w:t xml:space="preserve">The purpose of the time at the border </w:t>
      </w:r>
      <w:r w:rsidR="004757DA">
        <w:rPr>
          <w:rFonts w:eastAsiaTheme="minorEastAsia"/>
        </w:rPr>
        <w:t xml:space="preserve">variable </w:t>
      </w:r>
      <w:r>
        <w:rPr>
          <w:rFonts w:eastAsiaTheme="minorEastAsia"/>
        </w:rPr>
        <w:t>is straightforward</w:t>
      </w:r>
      <w:r w:rsidR="000134D2">
        <w:rPr>
          <w:rFonts w:eastAsiaTheme="minorEastAsia"/>
        </w:rPr>
        <w:t xml:space="preserve"> because it</w:t>
      </w:r>
      <w:r>
        <w:rPr>
          <w:rFonts w:eastAsiaTheme="minorEastAsia"/>
        </w:rPr>
        <w:t xml:space="preserve"> may have a substantial </w:t>
      </w:r>
      <w:r w:rsidR="006165FF">
        <w:rPr>
          <w:rFonts w:eastAsiaTheme="minorEastAsia"/>
        </w:rPr>
        <w:t>e</w:t>
      </w:r>
      <w:r>
        <w:rPr>
          <w:rFonts w:eastAsiaTheme="minorEastAsia"/>
        </w:rPr>
        <w:t>ffect</w:t>
      </w:r>
      <w:r w:rsidR="008839E5">
        <w:rPr>
          <w:rFonts w:eastAsiaTheme="minorEastAsia"/>
        </w:rPr>
        <w:t xml:space="preserve"> </w:t>
      </w:r>
      <w:r w:rsidR="00FD26E0">
        <w:rPr>
          <w:rFonts w:eastAsiaTheme="minorEastAsia"/>
        </w:rPr>
        <w:t>on</w:t>
      </w:r>
      <w:r w:rsidR="006165FF">
        <w:rPr>
          <w:rFonts w:eastAsiaTheme="minorEastAsia"/>
        </w:rPr>
        <w:t xml:space="preserve"> </w:t>
      </w:r>
      <w:r w:rsidR="008839E5">
        <w:rPr>
          <w:rFonts w:eastAsiaTheme="minorEastAsia"/>
        </w:rPr>
        <w:t xml:space="preserve">trade costs. The usage of the remoteness </w:t>
      </w:r>
      <w:r w:rsidR="004757DA">
        <w:rPr>
          <w:rFonts w:eastAsiaTheme="minorEastAsia"/>
        </w:rPr>
        <w:t>variable</w:t>
      </w:r>
      <w:r w:rsidR="00986267">
        <w:rPr>
          <w:rFonts w:eastAsiaTheme="minorEastAsia"/>
        </w:rPr>
        <w:t xml:space="preserve"> </w:t>
      </w:r>
      <w:r w:rsidR="008839E5">
        <w:rPr>
          <w:rFonts w:eastAsiaTheme="minorEastAsia"/>
        </w:rPr>
        <w:t xml:space="preserve">helps to reduce bias in the estimation as explained by </w:t>
      </w:r>
      <w:r w:rsidR="008839E5" w:rsidRPr="002C3DC2">
        <w:rPr>
          <w:rFonts w:eastAsiaTheme="minorEastAsia"/>
        </w:rPr>
        <w:t xml:space="preserve">Anderson and </w:t>
      </w:r>
      <w:r w:rsidR="0094471D">
        <w:rPr>
          <w:rFonts w:eastAsiaTheme="minorEastAsia"/>
        </w:rPr>
        <w:t xml:space="preserve">van </w:t>
      </w:r>
      <w:r w:rsidR="008839E5" w:rsidRPr="002C3DC2">
        <w:rPr>
          <w:rFonts w:eastAsiaTheme="minorEastAsia"/>
        </w:rPr>
        <w:t>Wincoop (2005</w:t>
      </w:r>
      <w:r w:rsidR="008839E5">
        <w:rPr>
          <w:rFonts w:eastAsiaTheme="minorEastAsia"/>
        </w:rPr>
        <w:t>). The formula for remoteness is based on Head (200</w:t>
      </w:r>
      <w:r w:rsidR="00336F8D">
        <w:rPr>
          <w:rFonts w:eastAsiaTheme="minorEastAsia"/>
        </w:rPr>
        <w:t>0</w:t>
      </w:r>
      <w:r w:rsidR="008839E5">
        <w:rPr>
          <w:rFonts w:eastAsiaTheme="minorEastAsia"/>
        </w:rPr>
        <w:t>):</w:t>
      </w:r>
    </w:p>
    <w:p w:rsidR="00F07FF8" w:rsidRPr="00AD0209" w:rsidRDefault="00B64390" w:rsidP="00F07FF8">
      <w:pPr>
        <w:autoSpaceDE w:val="0"/>
        <w:autoSpaceDN w:val="0"/>
        <w:adjustRightInd w:val="0"/>
        <w:spacing w:line="480" w:lineRule="auto"/>
        <w:contextualSpacing/>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Rem</m:t>
              </m:r>
            </m:e>
            <m:sub>
              <m:r>
                <w:rPr>
                  <w:rFonts w:ascii="Cambria Math" w:eastAsiaTheme="minorEastAsia" w:hAnsi="Cambria Math"/>
                </w:rPr>
                <m:t>it</m:t>
              </m:r>
            </m:sub>
          </m:sSub>
          <m:r>
            <w:rPr>
              <w:rFonts w:ascii="Cambria Math" w:eastAsiaTheme="minorEastAsia"/>
            </w:rPr>
            <m:t>=</m:t>
          </m:r>
          <m:f>
            <m:fPr>
              <m:ctrlPr>
                <w:rPr>
                  <w:rFonts w:ascii="Cambria Math" w:eastAsiaTheme="minorEastAsia" w:hAnsi="Cambria Math"/>
                  <w:i/>
                </w:rPr>
              </m:ctrlPr>
            </m:fPr>
            <m:num>
              <m:r>
                <w:rPr>
                  <w:rFonts w:ascii="Cambria Math" w:eastAsiaTheme="minorEastAsia"/>
                </w:rPr>
                <m:t>1</m:t>
              </m:r>
            </m:num>
            <m:den>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1</m:t>
                          </m:r>
                        </m:sub>
                      </m:sSub>
                    </m:sub>
                  </m:sSub>
                </m:num>
                <m:den>
                  <m:sSub>
                    <m:sSubPr>
                      <m:ctrlPr>
                        <w:rPr>
                          <w:rFonts w:ascii="Cambria Math" w:eastAsiaTheme="minorEastAsia" w:hAnsi="Cambria Math"/>
                          <w:i/>
                        </w:rPr>
                      </m:ctrlPr>
                    </m:sSubPr>
                    <m:e>
                      <m:r>
                        <w:rPr>
                          <w:rFonts w:ascii="Cambria Math" w:eastAsiaTheme="minorEastAsia" w:hAnsi="Cambria Math"/>
                        </w:rPr>
                        <m:t>GDP</m:t>
                      </m:r>
                    </m:e>
                    <m:sub>
                      <m:sSub>
                        <m:sSubPr>
                          <m:ctrlPr>
                            <w:rPr>
                              <w:rFonts w:ascii="Cambria Math" w:eastAsiaTheme="minorEastAsia" w:hAnsi="Cambria Math"/>
                              <w:i/>
                            </w:rPr>
                          </m:ctrlPr>
                        </m:sSubPr>
                        <m:e>
                          <m:r>
                            <w:rPr>
                              <w:rFonts w:ascii="Cambria Math" w:eastAsiaTheme="minorEastAsia" w:hAnsi="Cambria Math"/>
                            </w:rPr>
                            <m:t>jt</m:t>
                          </m:r>
                        </m:e>
                        <m:sub>
                          <m:r>
                            <w:rPr>
                              <w:rFonts w:ascii="Cambria Math" w:eastAsiaTheme="minorEastAsia"/>
                            </w:rPr>
                            <m:t>1</m:t>
                          </m:r>
                        </m:sub>
                      </m:sSub>
                    </m:sub>
                  </m:sSub>
                </m:den>
              </m:f>
              <m:r>
                <w:rPr>
                  <w:rFonts w:ascii="Cambria Math"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rPr>
                            <m:t>2</m:t>
                          </m:r>
                        </m:sub>
                      </m:sSub>
                    </m:sub>
                  </m:sSub>
                </m:num>
                <m:den>
                  <m:sSub>
                    <m:sSubPr>
                      <m:ctrlPr>
                        <w:rPr>
                          <w:rFonts w:ascii="Cambria Math" w:eastAsiaTheme="minorEastAsia" w:hAnsi="Cambria Math"/>
                          <w:i/>
                        </w:rPr>
                      </m:ctrlPr>
                    </m:sSubPr>
                    <m:e>
                      <m:r>
                        <w:rPr>
                          <w:rFonts w:ascii="Cambria Math" w:eastAsiaTheme="minorEastAsia" w:hAnsi="Cambria Math"/>
                        </w:rPr>
                        <m:t>GDP</m:t>
                      </m:r>
                    </m:e>
                    <m:sub>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rPr>
                            <m:t>t2</m:t>
                          </m:r>
                        </m:sub>
                      </m:sSub>
                    </m:sub>
                  </m:sSub>
                </m:den>
              </m:f>
              <m:r>
                <w:rPr>
                  <w:rFonts w:ascii="Cambria Math" w:eastAsiaTheme="minorEastAsia"/>
                </w:rPr>
                <m:t>+</m:t>
              </m:r>
              <m:r>
                <w:rPr>
                  <w:rFonts w:ascii="Cambria Math" w:eastAsiaTheme="minorEastAsia" w:hAnsi="Cambria Math"/>
                </w:rPr>
                <m:t>⋯</m:t>
              </m:r>
              <m:r>
                <w:rPr>
                  <w:rFonts w:ascii="Cambria Math"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m:t>
                      </m:r>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r</m:t>
                          </m:r>
                        </m:sub>
                      </m:sSub>
                    </m:sub>
                  </m:sSub>
                </m:num>
                <m:den>
                  <m:sSub>
                    <m:sSubPr>
                      <m:ctrlPr>
                        <w:rPr>
                          <w:rFonts w:ascii="Cambria Math" w:eastAsiaTheme="minorEastAsia" w:hAnsi="Cambria Math"/>
                          <w:i/>
                        </w:rPr>
                      </m:ctrlPr>
                    </m:sSubPr>
                    <m:e>
                      <m:r>
                        <w:rPr>
                          <w:rFonts w:ascii="Cambria Math" w:eastAsiaTheme="minorEastAsia" w:hAnsi="Cambria Math"/>
                        </w:rPr>
                        <m:t>GDP</m:t>
                      </m:r>
                    </m:e>
                    <m:sub>
                      <m:sSub>
                        <m:sSubPr>
                          <m:ctrlPr>
                            <w:rPr>
                              <w:rFonts w:ascii="Cambria Math" w:eastAsiaTheme="minorEastAsia" w:hAnsi="Cambria Math"/>
                              <w:i/>
                            </w:rPr>
                          </m:ctrlPr>
                        </m:sSubPr>
                        <m:e>
                          <m:r>
                            <w:rPr>
                              <w:rFonts w:ascii="Cambria Math" w:eastAsiaTheme="minorEastAsia" w:hAnsi="Cambria Math"/>
                            </w:rPr>
                            <m:t>jt</m:t>
                          </m:r>
                        </m:e>
                        <m:sub>
                          <m:r>
                            <w:rPr>
                              <w:rFonts w:ascii="Cambria Math" w:eastAsiaTheme="minorEastAsia" w:hAnsi="Cambria Math"/>
                            </w:rPr>
                            <m:t>r</m:t>
                          </m:r>
                        </m:sub>
                      </m:sSub>
                    </m:sub>
                  </m:sSub>
                </m:den>
              </m:f>
            </m:den>
          </m:f>
        </m:oMath>
      </m:oMathPara>
    </w:p>
    <w:p w:rsidR="00493574" w:rsidRDefault="005D20B6" w:rsidP="002C6185">
      <w:pPr>
        <w:autoSpaceDE w:val="0"/>
        <w:autoSpaceDN w:val="0"/>
        <w:adjustRightInd w:val="0"/>
        <w:spacing w:line="480" w:lineRule="auto"/>
        <w:contextualSpacing/>
        <w:jc w:val="both"/>
        <w:rPr>
          <w:rFonts w:eastAsiaTheme="minorEastAsia"/>
        </w:rPr>
      </w:pPr>
      <w:r>
        <w:rPr>
          <w:rFonts w:eastAsiaTheme="minorEastAsia"/>
        </w:rPr>
        <w:t xml:space="preserve">The idea of </w:t>
      </w:r>
      <w:r w:rsidR="003C083F">
        <w:rPr>
          <w:rFonts w:eastAsiaTheme="minorEastAsia"/>
        </w:rPr>
        <w:t xml:space="preserve">using </w:t>
      </w:r>
      <w:r>
        <w:rPr>
          <w:rFonts w:eastAsiaTheme="minorEastAsia"/>
        </w:rPr>
        <w:t xml:space="preserve">remoteness is to make </w:t>
      </w:r>
      <w:r w:rsidR="003C083F">
        <w:rPr>
          <w:rFonts w:eastAsiaTheme="minorEastAsia"/>
        </w:rPr>
        <w:t xml:space="preserve">an </w:t>
      </w:r>
      <w:r>
        <w:rPr>
          <w:rFonts w:eastAsiaTheme="minorEastAsia"/>
        </w:rPr>
        <w:t xml:space="preserve">approximation for each country’s set of alternatives considering </w:t>
      </w:r>
      <w:r w:rsidR="003C083F">
        <w:rPr>
          <w:rFonts w:eastAsiaTheme="minorEastAsia"/>
        </w:rPr>
        <w:t xml:space="preserve">the </w:t>
      </w:r>
      <w:r>
        <w:rPr>
          <w:rFonts w:eastAsiaTheme="minorEastAsia"/>
        </w:rPr>
        <w:t>distance and economic size of the other countries.</w:t>
      </w:r>
    </w:p>
    <w:p w:rsidR="005D20B6" w:rsidRDefault="005D20B6" w:rsidP="002C6185">
      <w:pPr>
        <w:autoSpaceDE w:val="0"/>
        <w:autoSpaceDN w:val="0"/>
        <w:adjustRightInd w:val="0"/>
        <w:spacing w:line="480" w:lineRule="auto"/>
        <w:contextualSpacing/>
        <w:jc w:val="both"/>
        <w:rPr>
          <w:rFonts w:eastAsiaTheme="minorEastAsia"/>
        </w:rPr>
      </w:pPr>
    </w:p>
    <w:p w:rsidR="004501DF" w:rsidRPr="000134D2" w:rsidRDefault="00607D72" w:rsidP="00AB1AB5">
      <w:pPr>
        <w:pStyle w:val="ListParagraph"/>
        <w:numPr>
          <w:ilvl w:val="1"/>
          <w:numId w:val="2"/>
        </w:numPr>
        <w:spacing w:line="480" w:lineRule="auto"/>
        <w:ind w:firstLine="0"/>
        <w:jc w:val="both"/>
        <w:rPr>
          <w:b/>
        </w:rPr>
      </w:pPr>
      <w:r w:rsidRPr="000134D2">
        <w:rPr>
          <w:b/>
        </w:rPr>
        <w:t xml:space="preserve">The </w:t>
      </w:r>
      <w:r w:rsidR="00335D30">
        <w:rPr>
          <w:b/>
        </w:rPr>
        <w:t>D</w:t>
      </w:r>
      <w:r w:rsidRPr="000134D2">
        <w:rPr>
          <w:b/>
        </w:rPr>
        <w:t>ata</w:t>
      </w:r>
    </w:p>
    <w:p w:rsidR="00EE22AA" w:rsidRDefault="00607D72" w:rsidP="00AB1AB5">
      <w:pPr>
        <w:spacing w:line="480" w:lineRule="auto"/>
        <w:ind w:firstLine="720"/>
        <w:jc w:val="both"/>
      </w:pPr>
      <w:r>
        <w:t xml:space="preserve">The analysis is based on </w:t>
      </w:r>
      <w:r w:rsidR="00FD26E0">
        <w:t>annual</w:t>
      </w:r>
      <w:r>
        <w:t xml:space="preserve"> data. </w:t>
      </w:r>
      <w:r w:rsidR="003C083F">
        <w:t>The s</w:t>
      </w:r>
      <w:r>
        <w:t>ource for exports</w:t>
      </w:r>
      <w:r w:rsidR="001F0AF2">
        <w:t xml:space="preserve"> data</w:t>
      </w:r>
      <w:r>
        <w:t xml:space="preserve"> is </w:t>
      </w:r>
      <w:r w:rsidR="003C083F">
        <w:t xml:space="preserve">the </w:t>
      </w:r>
      <w:r>
        <w:t xml:space="preserve">UN Comtrade </w:t>
      </w:r>
      <w:r w:rsidR="00FD26E0">
        <w:t>D</w:t>
      </w:r>
      <w:r>
        <w:t>atabase</w:t>
      </w:r>
      <w:r w:rsidR="000134D2">
        <w:t xml:space="preserve">, </w:t>
      </w:r>
      <w:r w:rsidR="00437BD6">
        <w:t>except for</w:t>
      </w:r>
      <w:r w:rsidR="00C4687D">
        <w:t xml:space="preserve"> data on</w:t>
      </w:r>
      <w:r w:rsidR="00437BD6">
        <w:t xml:space="preserve"> </w:t>
      </w:r>
      <w:r w:rsidR="00437BD6" w:rsidRPr="00C4687D">
        <w:t>Macedonia in 2008</w:t>
      </w:r>
      <w:r w:rsidR="00437BD6">
        <w:t xml:space="preserve">, where the source is International </w:t>
      </w:r>
      <w:r w:rsidR="003C083F">
        <w:t>T</w:t>
      </w:r>
      <w:r w:rsidR="00437BD6">
        <w:t xml:space="preserve">rade </w:t>
      </w:r>
      <w:r w:rsidR="003C083F">
        <w:t>S</w:t>
      </w:r>
      <w:r w:rsidR="00437BD6">
        <w:t>tatistics of the National Bank of Macedonia</w:t>
      </w:r>
      <w:r>
        <w:t xml:space="preserve">. Data on GDP are from </w:t>
      </w:r>
      <w:r w:rsidR="00B8620E">
        <w:t xml:space="preserve">the </w:t>
      </w:r>
      <w:r>
        <w:t xml:space="preserve">World Bank </w:t>
      </w:r>
      <w:r w:rsidR="001F0AF2">
        <w:t>D</w:t>
      </w:r>
      <w:r>
        <w:t xml:space="preserve">atabase. Data on geographical distance between </w:t>
      </w:r>
      <w:r w:rsidR="003C083F">
        <w:t xml:space="preserve">the </w:t>
      </w:r>
      <w:r>
        <w:t xml:space="preserve">economic centers of two countries are from the website </w:t>
      </w:r>
      <w:r w:rsidR="001F0AF2">
        <w:t>http://</w:t>
      </w:r>
      <w:r w:rsidR="003C083F">
        <w:t>www.</w:t>
      </w:r>
      <w:r>
        <w:t xml:space="preserve">worldatlas.com. </w:t>
      </w:r>
      <w:r w:rsidR="003C4188" w:rsidRPr="003C4188">
        <w:t>Data on variables relating to various customs and administrative costs come from</w:t>
      </w:r>
      <w:r>
        <w:t xml:space="preserve"> the section </w:t>
      </w:r>
      <w:r w:rsidR="003C083F">
        <w:t>“</w:t>
      </w:r>
      <w:r w:rsidRPr="00AD0209">
        <w:t>Trading across Borders</w:t>
      </w:r>
      <w:r w:rsidR="003C083F">
        <w:t>”</w:t>
      </w:r>
      <w:r>
        <w:t xml:space="preserve"> </w:t>
      </w:r>
      <w:r w:rsidR="003C4188">
        <w:t xml:space="preserve">in </w:t>
      </w:r>
      <w:r>
        <w:t xml:space="preserve">the </w:t>
      </w:r>
      <w:r w:rsidRPr="00AD0209">
        <w:t>World Bank and International Finance Corpora</w:t>
      </w:r>
      <w:r>
        <w:t xml:space="preserve">tion survey </w:t>
      </w:r>
      <w:r w:rsidRPr="00336F8D">
        <w:rPr>
          <w:i/>
        </w:rPr>
        <w:t>Doing Business</w:t>
      </w:r>
      <w:r w:rsidR="00BD554E">
        <w:rPr>
          <w:i/>
        </w:rPr>
        <w:t xml:space="preserve"> 2013</w:t>
      </w:r>
      <w:r w:rsidRPr="00336F8D">
        <w:rPr>
          <w:i/>
        </w:rPr>
        <w:t>: Smarter Regulations for Small and Medium-Size Enterprises</w:t>
      </w:r>
      <w:r w:rsidR="00EE22AA">
        <w:t>.</w:t>
      </w:r>
    </w:p>
    <w:p w:rsidR="004501DF" w:rsidRPr="00AD0209" w:rsidRDefault="00EE22AA" w:rsidP="00EE22AA">
      <w:pPr>
        <w:spacing w:line="480" w:lineRule="auto"/>
        <w:jc w:val="both"/>
      </w:pPr>
      <w:r>
        <w:tab/>
        <w:t xml:space="preserve">In this part of the section we focus on the </w:t>
      </w:r>
      <w:r w:rsidR="003C4188" w:rsidRPr="003C4188">
        <w:t>variables relating to</w:t>
      </w:r>
      <w:r w:rsidRPr="00AD0209">
        <w:t xml:space="preserve"> customs and administrative procedures</w:t>
      </w:r>
      <w:r>
        <w:t xml:space="preserve">. </w:t>
      </w:r>
      <w:r w:rsidR="000134D2">
        <w:t>For the analysis we use</w:t>
      </w:r>
      <w:r w:rsidR="004501DF" w:rsidRPr="00AD0209">
        <w:t xml:space="preserve"> </w:t>
      </w:r>
      <w:r w:rsidR="00FE52CA">
        <w:t xml:space="preserve">variables on </w:t>
      </w:r>
      <w:r w:rsidR="004501DF" w:rsidRPr="00AD0209">
        <w:t xml:space="preserve">documentation, time and cost. The time and cost necessary to complete every official procedure for </w:t>
      </w:r>
      <w:r w:rsidR="004501DF" w:rsidRPr="00AD0209">
        <w:lastRenderedPageBreak/>
        <w:t>exporting and importing are recorded, excluding the time and cost for sea transport (World Bank and International Finance Corporation, 2013</w:t>
      </w:r>
      <w:r w:rsidR="00B13E96">
        <w:t>:</w:t>
      </w:r>
      <w:r w:rsidR="004501DF" w:rsidRPr="00B13E96">
        <w:t xml:space="preserve"> 86</w:t>
      </w:r>
      <w:r w:rsidR="004501DF" w:rsidRPr="00AD0209">
        <w:t xml:space="preserve">). </w:t>
      </w:r>
    </w:p>
    <w:p w:rsidR="004501DF" w:rsidRPr="00AD0209" w:rsidRDefault="004501DF" w:rsidP="00C010F9">
      <w:pPr>
        <w:spacing w:line="480" w:lineRule="auto"/>
        <w:contextualSpacing/>
        <w:jc w:val="both"/>
      </w:pPr>
      <w:r w:rsidRPr="00AD0209">
        <w:tab/>
      </w:r>
      <w:r w:rsidR="004628B8" w:rsidRPr="00AD0209">
        <w:t xml:space="preserve">The </w:t>
      </w:r>
      <w:r w:rsidR="004628B8" w:rsidRPr="00336F8D">
        <w:t>number of documents</w:t>
      </w:r>
      <w:r w:rsidR="004628B8" w:rsidRPr="00AD0209">
        <w:t xml:space="preserve"> </w:t>
      </w:r>
      <w:r w:rsidR="00FE52CA">
        <w:t xml:space="preserve">variable </w:t>
      </w:r>
      <w:r w:rsidR="004628B8" w:rsidRPr="00AD0209">
        <w:t>measures the number of documents needed to perform one shipment or one official export or import transaction. This notion covers bank documents, customs clearance documents, port and terminal handling documents and transport documents. The documents taken into account are those that are needed per each trade transaction and not those that can be valid for a longer period of time.</w:t>
      </w:r>
    </w:p>
    <w:p w:rsidR="004501DF" w:rsidRDefault="004501DF" w:rsidP="004501DF">
      <w:pPr>
        <w:spacing w:line="480" w:lineRule="auto"/>
        <w:contextualSpacing/>
        <w:jc w:val="both"/>
      </w:pPr>
      <w:r w:rsidRPr="00AD0209">
        <w:tab/>
        <w:t xml:space="preserve">The second </w:t>
      </w:r>
      <w:r w:rsidR="00DE3EC8">
        <w:t>variable relates to</w:t>
      </w:r>
      <w:r w:rsidRPr="00AD0209">
        <w:t xml:space="preserve"> the time </w:t>
      </w:r>
      <w:r w:rsidR="00DE3EC8">
        <w:t xml:space="preserve">needed </w:t>
      </w:r>
      <w:r w:rsidRPr="00AD0209">
        <w:t xml:space="preserve">for exporting and importing </w:t>
      </w:r>
      <w:r w:rsidR="004A2B65">
        <w:t xml:space="preserve">expressed in </w:t>
      </w:r>
      <w:r w:rsidR="00DE3EC8">
        <w:t xml:space="preserve">the number of </w:t>
      </w:r>
      <w:r w:rsidRPr="00AD0209">
        <w:t>calendar days. The time calculation for one shipment starts from the moment it is initiated and runs until it is completed. The measure does not include the time for sea transport, but incorporates the time for obtaining, filling out and submitting all the documents, time for inland transport and handling, time for customs clearance and inspections and time for port operations and terminal handling (</w:t>
      </w:r>
      <w:r w:rsidR="00FE52CA" w:rsidRPr="00FE52CA">
        <w:t>World Bank and International Finance Corporation</w:t>
      </w:r>
      <w:r w:rsidRPr="00AD0209">
        <w:t>, 2013</w:t>
      </w:r>
      <w:r w:rsidR="0017618C">
        <w:t>:</w:t>
      </w:r>
      <w:r w:rsidRPr="0017618C">
        <w:t xml:space="preserve"> 124</w:t>
      </w:r>
      <w:r w:rsidRPr="00AD0209">
        <w:t xml:space="preserve">).  </w:t>
      </w:r>
    </w:p>
    <w:p w:rsidR="00C010F9" w:rsidRPr="00CC4723" w:rsidRDefault="00C010F9" w:rsidP="00163DC5">
      <w:pPr>
        <w:autoSpaceDE w:val="0"/>
        <w:autoSpaceDN w:val="0"/>
        <w:adjustRightInd w:val="0"/>
        <w:spacing w:line="480" w:lineRule="auto"/>
        <w:ind w:firstLine="720"/>
        <w:contextualSpacing/>
        <w:jc w:val="both"/>
      </w:pPr>
      <w:r w:rsidRPr="00C010F9">
        <w:t xml:space="preserve">It should be noted that </w:t>
      </w:r>
      <w:r w:rsidR="004E7A16">
        <w:t>“</w:t>
      </w:r>
      <w:r>
        <w:t xml:space="preserve">Trading across </w:t>
      </w:r>
      <w:r w:rsidR="004E7A16">
        <w:t>B</w:t>
      </w:r>
      <w:r>
        <w:t>orders</w:t>
      </w:r>
      <w:r w:rsidR="004E7A16">
        <w:t>”</w:t>
      </w:r>
      <w:r>
        <w:t xml:space="preserve"> reports </w:t>
      </w:r>
      <w:r w:rsidRPr="00C010F9">
        <w:t>these variables</w:t>
      </w:r>
      <w:r>
        <w:t xml:space="preserve"> </w:t>
      </w:r>
      <w:r w:rsidR="004A2B65">
        <w:t xml:space="preserve">expressed </w:t>
      </w:r>
      <w:r w:rsidR="00163DC5">
        <w:t xml:space="preserve">as </w:t>
      </w:r>
      <w:r w:rsidRPr="00C010F9">
        <w:t>averages over all exporters.</w:t>
      </w:r>
      <w:r>
        <w:t xml:space="preserve"> In this way</w:t>
      </w:r>
      <w:r w:rsidR="00163DC5">
        <w:t>, Wilson (2010) argue</w:t>
      </w:r>
      <w:r w:rsidR="00612BBD">
        <w:t>s</w:t>
      </w:r>
      <w:r w:rsidR="00163DC5">
        <w:t xml:space="preserve"> that t</w:t>
      </w:r>
      <w:r w:rsidRPr="00C010F9">
        <w:t xml:space="preserve">hey serve, at best, as proxies for actual values. </w:t>
      </w:r>
    </w:p>
    <w:p w:rsidR="004501DF" w:rsidRPr="00AD0209" w:rsidRDefault="004501DF" w:rsidP="004501DF">
      <w:pPr>
        <w:spacing w:line="480" w:lineRule="auto"/>
        <w:ind w:firstLine="720"/>
        <w:contextualSpacing/>
        <w:jc w:val="both"/>
      </w:pPr>
      <w:r w:rsidRPr="00AD0209">
        <w:t>The</w:t>
      </w:r>
      <w:r w:rsidR="00C010F9">
        <w:t xml:space="preserve"> </w:t>
      </w:r>
      <w:r w:rsidR="007054D3">
        <w:t xml:space="preserve">average values </w:t>
      </w:r>
      <w:r w:rsidR="00C010F9">
        <w:t xml:space="preserve">of the </w:t>
      </w:r>
      <w:r w:rsidR="004A2B65">
        <w:t>vari</w:t>
      </w:r>
      <w:r w:rsidR="00682564">
        <w:t>a</w:t>
      </w:r>
      <w:r w:rsidR="004A2B65">
        <w:t>bles</w:t>
      </w:r>
      <w:r w:rsidR="00C010F9">
        <w:t xml:space="preserve"> for the SEE countries in the period 2008-2012 are presented in </w:t>
      </w:r>
      <w:r w:rsidR="00D278F4">
        <w:t>T</w:t>
      </w:r>
      <w:r w:rsidRPr="00AD0209">
        <w:t>able 1.</w:t>
      </w:r>
      <w:r w:rsidR="00DD0572">
        <w:t xml:space="preserve"> </w:t>
      </w:r>
    </w:p>
    <w:p w:rsidR="00C010F9" w:rsidRDefault="00C010F9" w:rsidP="00C010F9">
      <w:pPr>
        <w:spacing w:line="480" w:lineRule="auto"/>
        <w:contextualSpacing/>
        <w:jc w:val="both"/>
      </w:pPr>
    </w:p>
    <w:p w:rsidR="00C010F9" w:rsidRPr="00AD0209" w:rsidRDefault="00C010F9" w:rsidP="00C010F9">
      <w:pPr>
        <w:spacing w:line="480" w:lineRule="auto"/>
        <w:contextualSpacing/>
        <w:jc w:val="both"/>
      </w:pPr>
      <w:r w:rsidRPr="00AD0209">
        <w:t>Table 1: Trading across Borders</w:t>
      </w:r>
      <w:r>
        <w:t>,</w:t>
      </w:r>
      <w:r w:rsidR="007054D3">
        <w:t xml:space="preserve"> </w:t>
      </w:r>
      <w:r w:rsidR="00335D30">
        <w:t>A</w:t>
      </w:r>
      <w:r w:rsidR="007054D3">
        <w:t>verages</w:t>
      </w:r>
      <w:r>
        <w:t xml:space="preserve"> for </w:t>
      </w:r>
      <w:r w:rsidR="00B34644">
        <w:t xml:space="preserve">SEE </w:t>
      </w:r>
      <w:r w:rsidR="00335D30">
        <w:t>C</w:t>
      </w:r>
      <w:r w:rsidR="00B34644">
        <w:t xml:space="preserve">ountries, </w:t>
      </w:r>
      <w:r>
        <w:t>2008-2012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134"/>
        <w:gridCol w:w="966"/>
        <w:gridCol w:w="1336"/>
        <w:gridCol w:w="1235"/>
        <w:gridCol w:w="1078"/>
        <w:gridCol w:w="1107"/>
      </w:tblGrid>
      <w:tr w:rsidR="00C010F9" w:rsidRPr="00AD0209" w:rsidTr="00C20230">
        <w:trPr>
          <w:trHeight w:val="845"/>
        </w:trPr>
        <w:tc>
          <w:tcPr>
            <w:tcW w:w="1411" w:type="dxa"/>
            <w:tcBorders>
              <w:top w:val="single" w:sz="12" w:space="0" w:color="auto"/>
              <w:bottom w:val="single" w:sz="12" w:space="0" w:color="auto"/>
            </w:tcBorders>
          </w:tcPr>
          <w:p w:rsidR="00C010F9" w:rsidRPr="00524C8C" w:rsidRDefault="00C010F9" w:rsidP="008B4D49">
            <w:pPr>
              <w:spacing w:line="480" w:lineRule="auto"/>
              <w:contextualSpacing/>
              <w:jc w:val="center"/>
            </w:pPr>
            <w:r w:rsidRPr="00524C8C">
              <w:lastRenderedPageBreak/>
              <w:t>Country</w:t>
            </w:r>
          </w:p>
        </w:tc>
        <w:tc>
          <w:tcPr>
            <w:tcW w:w="1134" w:type="dxa"/>
            <w:tcBorders>
              <w:top w:val="single" w:sz="12" w:space="0" w:color="auto"/>
              <w:bottom w:val="single" w:sz="12" w:space="0" w:color="auto"/>
            </w:tcBorders>
          </w:tcPr>
          <w:p w:rsidR="00C010F9" w:rsidRPr="00524C8C" w:rsidRDefault="00C010F9" w:rsidP="00D57F90">
            <w:pPr>
              <w:spacing w:line="480" w:lineRule="auto"/>
              <w:contextualSpacing/>
              <w:jc w:val="center"/>
            </w:pPr>
            <w:r w:rsidRPr="00524C8C">
              <w:t xml:space="preserve">Number of documents </w:t>
            </w:r>
            <w:r w:rsidR="00D57F90">
              <w:t>– e</w:t>
            </w:r>
            <w:r w:rsidRPr="00524C8C">
              <w:t>xport</w:t>
            </w:r>
          </w:p>
        </w:tc>
        <w:tc>
          <w:tcPr>
            <w:tcW w:w="966" w:type="dxa"/>
            <w:tcBorders>
              <w:top w:val="single" w:sz="12" w:space="0" w:color="auto"/>
              <w:bottom w:val="single" w:sz="12" w:space="0" w:color="auto"/>
            </w:tcBorders>
          </w:tcPr>
          <w:p w:rsidR="00C010F9" w:rsidRPr="00524C8C" w:rsidRDefault="00C010F9" w:rsidP="00D57F90">
            <w:pPr>
              <w:spacing w:line="480" w:lineRule="auto"/>
              <w:contextualSpacing/>
              <w:jc w:val="center"/>
            </w:pPr>
            <w:r w:rsidRPr="00524C8C">
              <w:t xml:space="preserve">Days at the border </w:t>
            </w:r>
            <w:r w:rsidR="00D57F90">
              <w:t>– e</w:t>
            </w:r>
            <w:r w:rsidRPr="00524C8C">
              <w:t>xport</w:t>
            </w:r>
          </w:p>
        </w:tc>
        <w:tc>
          <w:tcPr>
            <w:tcW w:w="1336" w:type="dxa"/>
            <w:tcBorders>
              <w:top w:val="single" w:sz="12" w:space="0" w:color="auto"/>
              <w:bottom w:val="single" w:sz="12" w:space="0" w:color="auto"/>
            </w:tcBorders>
          </w:tcPr>
          <w:p w:rsidR="00C010F9" w:rsidRPr="00524C8C" w:rsidRDefault="00C010F9" w:rsidP="00D57F90">
            <w:pPr>
              <w:spacing w:line="480" w:lineRule="auto"/>
              <w:contextualSpacing/>
              <w:jc w:val="center"/>
            </w:pPr>
            <w:r w:rsidRPr="00524C8C">
              <w:t xml:space="preserve">Costs per container </w:t>
            </w:r>
            <w:r w:rsidR="00D57F90">
              <w:t>– e</w:t>
            </w:r>
            <w:r w:rsidRPr="00524C8C">
              <w:t>xport</w:t>
            </w:r>
          </w:p>
        </w:tc>
        <w:tc>
          <w:tcPr>
            <w:tcW w:w="1235" w:type="dxa"/>
            <w:tcBorders>
              <w:top w:val="single" w:sz="12" w:space="0" w:color="auto"/>
              <w:bottom w:val="single" w:sz="12" w:space="0" w:color="auto"/>
            </w:tcBorders>
          </w:tcPr>
          <w:p w:rsidR="00C010F9" w:rsidRPr="00524C8C" w:rsidRDefault="00C010F9" w:rsidP="00D57F90">
            <w:pPr>
              <w:spacing w:line="480" w:lineRule="auto"/>
              <w:contextualSpacing/>
              <w:jc w:val="center"/>
            </w:pPr>
            <w:r w:rsidRPr="00524C8C">
              <w:t>Number of documents</w:t>
            </w:r>
            <w:r w:rsidR="00D57F90">
              <w:t xml:space="preserve"> –</w:t>
            </w:r>
            <w:r w:rsidRPr="00524C8C">
              <w:t xml:space="preserve"> </w:t>
            </w:r>
            <w:r w:rsidR="00D57F90">
              <w:t>i</w:t>
            </w:r>
            <w:r w:rsidRPr="00524C8C">
              <w:t>mport</w:t>
            </w:r>
          </w:p>
        </w:tc>
        <w:tc>
          <w:tcPr>
            <w:tcW w:w="1078" w:type="dxa"/>
            <w:tcBorders>
              <w:top w:val="single" w:sz="12" w:space="0" w:color="auto"/>
              <w:bottom w:val="single" w:sz="12" w:space="0" w:color="auto"/>
            </w:tcBorders>
          </w:tcPr>
          <w:p w:rsidR="00C010F9" w:rsidRPr="00524C8C" w:rsidRDefault="00C010F9" w:rsidP="00D57F90">
            <w:pPr>
              <w:spacing w:line="480" w:lineRule="auto"/>
              <w:contextualSpacing/>
              <w:jc w:val="center"/>
            </w:pPr>
            <w:r w:rsidRPr="00524C8C">
              <w:t xml:space="preserve">Days at the border </w:t>
            </w:r>
            <w:r w:rsidR="00D57F90">
              <w:t>– i</w:t>
            </w:r>
            <w:r w:rsidRPr="00524C8C">
              <w:t>mport</w:t>
            </w:r>
          </w:p>
        </w:tc>
        <w:tc>
          <w:tcPr>
            <w:tcW w:w="1107" w:type="dxa"/>
            <w:tcBorders>
              <w:top w:val="single" w:sz="12" w:space="0" w:color="auto"/>
              <w:bottom w:val="single" w:sz="12" w:space="0" w:color="auto"/>
            </w:tcBorders>
          </w:tcPr>
          <w:p w:rsidR="00C010F9" w:rsidRPr="00524C8C" w:rsidRDefault="00C010F9" w:rsidP="00D57F90">
            <w:pPr>
              <w:spacing w:line="480" w:lineRule="auto"/>
              <w:contextualSpacing/>
              <w:jc w:val="center"/>
            </w:pPr>
            <w:r w:rsidRPr="00524C8C">
              <w:t>Costs per container</w:t>
            </w:r>
            <w:r w:rsidR="00D57F90">
              <w:t xml:space="preserve"> –</w:t>
            </w:r>
            <w:r w:rsidRPr="00524C8C">
              <w:t xml:space="preserve"> </w:t>
            </w:r>
            <w:r w:rsidR="00D57F90">
              <w:t>i</w:t>
            </w:r>
            <w:r w:rsidRPr="00524C8C">
              <w:t>mport</w:t>
            </w:r>
          </w:p>
        </w:tc>
      </w:tr>
      <w:tr w:rsidR="00DD0572" w:rsidRPr="00AD0209" w:rsidTr="00DD0572">
        <w:trPr>
          <w:trHeight w:val="201"/>
        </w:trPr>
        <w:tc>
          <w:tcPr>
            <w:tcW w:w="1411" w:type="dxa"/>
            <w:tcBorders>
              <w:top w:val="single" w:sz="12" w:space="0" w:color="auto"/>
            </w:tcBorders>
          </w:tcPr>
          <w:p w:rsidR="00DD0572" w:rsidRPr="00AD0209" w:rsidRDefault="00DD0572" w:rsidP="008B4D49">
            <w:pPr>
              <w:spacing w:line="480" w:lineRule="auto"/>
              <w:contextualSpacing/>
              <w:jc w:val="center"/>
            </w:pPr>
            <w:r w:rsidRPr="00AD0209">
              <w:t>Albania</w:t>
            </w:r>
          </w:p>
        </w:tc>
        <w:tc>
          <w:tcPr>
            <w:tcW w:w="1134" w:type="dxa"/>
            <w:tcBorders>
              <w:top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7</w:t>
            </w:r>
          </w:p>
        </w:tc>
        <w:tc>
          <w:tcPr>
            <w:tcW w:w="966" w:type="dxa"/>
            <w:tcBorders>
              <w:top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19.4</w:t>
            </w:r>
          </w:p>
        </w:tc>
        <w:tc>
          <w:tcPr>
            <w:tcW w:w="1336" w:type="dxa"/>
            <w:tcBorders>
              <w:top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742</w:t>
            </w:r>
          </w:p>
        </w:tc>
        <w:tc>
          <w:tcPr>
            <w:tcW w:w="1235" w:type="dxa"/>
            <w:tcBorders>
              <w:top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8</w:t>
            </w:r>
          </w:p>
        </w:tc>
        <w:tc>
          <w:tcPr>
            <w:tcW w:w="1078" w:type="dxa"/>
            <w:tcBorders>
              <w:top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18.8</w:t>
            </w:r>
          </w:p>
        </w:tc>
        <w:tc>
          <w:tcPr>
            <w:tcW w:w="1107" w:type="dxa"/>
            <w:tcBorders>
              <w:top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731</w:t>
            </w:r>
          </w:p>
        </w:tc>
      </w:tr>
      <w:tr w:rsidR="00DD0572" w:rsidRPr="00AD0209" w:rsidTr="00DD0572">
        <w:trPr>
          <w:trHeight w:val="215"/>
        </w:trPr>
        <w:tc>
          <w:tcPr>
            <w:tcW w:w="1411" w:type="dxa"/>
          </w:tcPr>
          <w:p w:rsidR="00DD0572" w:rsidRPr="00AD0209" w:rsidRDefault="00DD0572" w:rsidP="008B4D49">
            <w:pPr>
              <w:spacing w:line="480" w:lineRule="auto"/>
              <w:contextualSpacing/>
              <w:jc w:val="center"/>
            </w:pPr>
            <w:r w:rsidRPr="00AD0209">
              <w:t>Bosnia</w:t>
            </w:r>
          </w:p>
        </w:tc>
        <w:tc>
          <w:tcPr>
            <w:tcW w:w="1134"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8</w:t>
            </w:r>
          </w:p>
        </w:tc>
        <w:tc>
          <w:tcPr>
            <w:tcW w:w="96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16.6</w:t>
            </w:r>
          </w:p>
        </w:tc>
        <w:tc>
          <w:tcPr>
            <w:tcW w:w="133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1203</w:t>
            </w:r>
          </w:p>
        </w:tc>
        <w:tc>
          <w:tcPr>
            <w:tcW w:w="1235"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8</w:t>
            </w:r>
          </w:p>
        </w:tc>
        <w:tc>
          <w:tcPr>
            <w:tcW w:w="1078"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13.0</w:t>
            </w:r>
          </w:p>
        </w:tc>
        <w:tc>
          <w:tcPr>
            <w:tcW w:w="1107"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1145</w:t>
            </w:r>
          </w:p>
        </w:tc>
      </w:tr>
      <w:tr w:rsidR="00DD0572" w:rsidRPr="00AD0209" w:rsidTr="00DD0572">
        <w:trPr>
          <w:trHeight w:val="215"/>
        </w:trPr>
        <w:tc>
          <w:tcPr>
            <w:tcW w:w="1411" w:type="dxa"/>
          </w:tcPr>
          <w:p w:rsidR="00DD0572" w:rsidRPr="00AD0209" w:rsidRDefault="00DD0572" w:rsidP="008B4D49">
            <w:pPr>
              <w:spacing w:line="480" w:lineRule="auto"/>
              <w:contextualSpacing/>
              <w:jc w:val="center"/>
            </w:pPr>
            <w:r w:rsidRPr="00AD0209">
              <w:t>Bulgaria</w:t>
            </w:r>
          </w:p>
        </w:tc>
        <w:tc>
          <w:tcPr>
            <w:tcW w:w="1134"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4</w:t>
            </w:r>
          </w:p>
        </w:tc>
        <w:tc>
          <w:tcPr>
            <w:tcW w:w="96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21.2</w:t>
            </w:r>
          </w:p>
        </w:tc>
        <w:tc>
          <w:tcPr>
            <w:tcW w:w="133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1541</w:t>
            </w:r>
          </w:p>
        </w:tc>
        <w:tc>
          <w:tcPr>
            <w:tcW w:w="1235"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5</w:t>
            </w:r>
          </w:p>
        </w:tc>
        <w:tc>
          <w:tcPr>
            <w:tcW w:w="1078"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17.6</w:t>
            </w:r>
          </w:p>
        </w:tc>
        <w:tc>
          <w:tcPr>
            <w:tcW w:w="1107"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1600</w:t>
            </w:r>
          </w:p>
        </w:tc>
      </w:tr>
      <w:tr w:rsidR="00DD0572" w:rsidRPr="00AD0209" w:rsidTr="00DD0572">
        <w:trPr>
          <w:trHeight w:val="201"/>
        </w:trPr>
        <w:tc>
          <w:tcPr>
            <w:tcW w:w="1411" w:type="dxa"/>
          </w:tcPr>
          <w:p w:rsidR="00DD0572" w:rsidRPr="00AD0209" w:rsidRDefault="00DD0572" w:rsidP="008B4D49">
            <w:pPr>
              <w:spacing w:line="480" w:lineRule="auto"/>
              <w:contextualSpacing/>
              <w:jc w:val="center"/>
            </w:pPr>
            <w:r w:rsidRPr="00AD0209">
              <w:t>Croatia</w:t>
            </w:r>
          </w:p>
        </w:tc>
        <w:tc>
          <w:tcPr>
            <w:tcW w:w="1134"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7</w:t>
            </w:r>
          </w:p>
        </w:tc>
        <w:tc>
          <w:tcPr>
            <w:tcW w:w="96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20.0</w:t>
            </w:r>
          </w:p>
        </w:tc>
        <w:tc>
          <w:tcPr>
            <w:tcW w:w="133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1289</w:t>
            </w:r>
          </w:p>
        </w:tc>
        <w:tc>
          <w:tcPr>
            <w:tcW w:w="1235"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7</w:t>
            </w:r>
          </w:p>
        </w:tc>
        <w:tc>
          <w:tcPr>
            <w:tcW w:w="1078"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16.0</w:t>
            </w:r>
          </w:p>
        </w:tc>
        <w:tc>
          <w:tcPr>
            <w:tcW w:w="1107"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1157</w:t>
            </w:r>
          </w:p>
        </w:tc>
      </w:tr>
      <w:tr w:rsidR="00DD0572" w:rsidRPr="00AD0209" w:rsidTr="00DD0572">
        <w:trPr>
          <w:trHeight w:val="215"/>
        </w:trPr>
        <w:tc>
          <w:tcPr>
            <w:tcW w:w="1411" w:type="dxa"/>
          </w:tcPr>
          <w:p w:rsidR="00DD0572" w:rsidRPr="00AD0209" w:rsidRDefault="00DD0572" w:rsidP="008B4D49">
            <w:pPr>
              <w:spacing w:line="480" w:lineRule="auto"/>
              <w:contextualSpacing/>
              <w:jc w:val="center"/>
            </w:pPr>
            <w:r w:rsidRPr="00AD0209">
              <w:t>Greece</w:t>
            </w:r>
          </w:p>
        </w:tc>
        <w:tc>
          <w:tcPr>
            <w:tcW w:w="1134"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4</w:t>
            </w:r>
          </w:p>
        </w:tc>
        <w:tc>
          <w:tcPr>
            <w:tcW w:w="96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19.8</w:t>
            </w:r>
          </w:p>
        </w:tc>
        <w:tc>
          <w:tcPr>
            <w:tcW w:w="133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1070</w:t>
            </w:r>
          </w:p>
        </w:tc>
        <w:tc>
          <w:tcPr>
            <w:tcW w:w="1235"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6</w:t>
            </w:r>
          </w:p>
        </w:tc>
        <w:tc>
          <w:tcPr>
            <w:tcW w:w="1078"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18.2</w:t>
            </w:r>
          </w:p>
        </w:tc>
        <w:tc>
          <w:tcPr>
            <w:tcW w:w="1107"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1239</w:t>
            </w:r>
          </w:p>
        </w:tc>
      </w:tr>
      <w:tr w:rsidR="00DD0572" w:rsidRPr="00AD0209" w:rsidTr="00DD0572">
        <w:trPr>
          <w:trHeight w:val="215"/>
        </w:trPr>
        <w:tc>
          <w:tcPr>
            <w:tcW w:w="1411" w:type="dxa"/>
          </w:tcPr>
          <w:p w:rsidR="00DD0572" w:rsidRPr="00AD0209" w:rsidRDefault="00DD0572" w:rsidP="008B4D49">
            <w:pPr>
              <w:spacing w:line="480" w:lineRule="auto"/>
              <w:contextualSpacing/>
              <w:jc w:val="center"/>
            </w:pPr>
            <w:r w:rsidRPr="00AD0209">
              <w:t>Macedonia</w:t>
            </w:r>
          </w:p>
        </w:tc>
        <w:tc>
          <w:tcPr>
            <w:tcW w:w="1134"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6</w:t>
            </w:r>
          </w:p>
        </w:tc>
        <w:tc>
          <w:tcPr>
            <w:tcW w:w="96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12.6</w:t>
            </w:r>
          </w:p>
        </w:tc>
        <w:tc>
          <w:tcPr>
            <w:tcW w:w="133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1376</w:t>
            </w:r>
          </w:p>
        </w:tc>
        <w:tc>
          <w:tcPr>
            <w:tcW w:w="1235"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8</w:t>
            </w:r>
          </w:p>
        </w:tc>
        <w:tc>
          <w:tcPr>
            <w:tcW w:w="1078"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11.4</w:t>
            </w:r>
          </w:p>
        </w:tc>
        <w:tc>
          <w:tcPr>
            <w:tcW w:w="1107"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1377</w:t>
            </w:r>
          </w:p>
        </w:tc>
      </w:tr>
      <w:tr w:rsidR="00DD0572" w:rsidRPr="00AD0209" w:rsidTr="00DD0572">
        <w:trPr>
          <w:trHeight w:val="201"/>
        </w:trPr>
        <w:tc>
          <w:tcPr>
            <w:tcW w:w="1411" w:type="dxa"/>
          </w:tcPr>
          <w:p w:rsidR="00DD0572" w:rsidRPr="00AD0209" w:rsidRDefault="00DD0572" w:rsidP="008B4D49">
            <w:pPr>
              <w:spacing w:line="480" w:lineRule="auto"/>
              <w:contextualSpacing/>
              <w:jc w:val="center"/>
            </w:pPr>
            <w:r w:rsidRPr="00AD0209">
              <w:t>Montenegro</w:t>
            </w:r>
          </w:p>
        </w:tc>
        <w:tc>
          <w:tcPr>
            <w:tcW w:w="1134"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6</w:t>
            </w:r>
          </w:p>
        </w:tc>
        <w:tc>
          <w:tcPr>
            <w:tcW w:w="96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14.0</w:t>
            </w:r>
          </w:p>
        </w:tc>
        <w:tc>
          <w:tcPr>
            <w:tcW w:w="133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948</w:t>
            </w:r>
          </w:p>
        </w:tc>
        <w:tc>
          <w:tcPr>
            <w:tcW w:w="1235"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5.4</w:t>
            </w:r>
          </w:p>
        </w:tc>
        <w:tc>
          <w:tcPr>
            <w:tcW w:w="1078"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14.0</w:t>
            </w:r>
          </w:p>
        </w:tc>
        <w:tc>
          <w:tcPr>
            <w:tcW w:w="1107"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991</w:t>
            </w:r>
          </w:p>
        </w:tc>
      </w:tr>
      <w:tr w:rsidR="00DD0572" w:rsidRPr="00AD0209" w:rsidTr="00DD0572">
        <w:trPr>
          <w:trHeight w:val="215"/>
        </w:trPr>
        <w:tc>
          <w:tcPr>
            <w:tcW w:w="1411" w:type="dxa"/>
          </w:tcPr>
          <w:p w:rsidR="00DD0572" w:rsidRPr="00AD0209" w:rsidRDefault="00DD0572" w:rsidP="008B4D49">
            <w:pPr>
              <w:spacing w:line="480" w:lineRule="auto"/>
              <w:contextualSpacing/>
              <w:jc w:val="center"/>
            </w:pPr>
            <w:r w:rsidRPr="00AD0209">
              <w:t>Romania</w:t>
            </w:r>
          </w:p>
        </w:tc>
        <w:tc>
          <w:tcPr>
            <w:tcW w:w="1134"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5</w:t>
            </w:r>
          </w:p>
        </w:tc>
        <w:tc>
          <w:tcPr>
            <w:tcW w:w="96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13.0</w:t>
            </w:r>
          </w:p>
        </w:tc>
        <w:tc>
          <w:tcPr>
            <w:tcW w:w="1336"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1359</w:t>
            </w:r>
          </w:p>
        </w:tc>
        <w:tc>
          <w:tcPr>
            <w:tcW w:w="1235"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6</w:t>
            </w:r>
          </w:p>
        </w:tc>
        <w:tc>
          <w:tcPr>
            <w:tcW w:w="1078"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13.0</w:t>
            </w:r>
          </w:p>
        </w:tc>
        <w:tc>
          <w:tcPr>
            <w:tcW w:w="1107" w:type="dxa"/>
            <w:vAlign w:val="center"/>
          </w:tcPr>
          <w:p w:rsidR="00DD0572" w:rsidRDefault="00DD0572">
            <w:pPr>
              <w:jc w:val="right"/>
              <w:rPr>
                <w:rFonts w:ascii="Calibri" w:hAnsi="Calibri"/>
                <w:color w:val="000000"/>
                <w:sz w:val="22"/>
                <w:szCs w:val="22"/>
              </w:rPr>
            </w:pPr>
            <w:r>
              <w:rPr>
                <w:rFonts w:ascii="Calibri" w:hAnsi="Calibri"/>
                <w:color w:val="000000"/>
                <w:sz w:val="22"/>
                <w:szCs w:val="22"/>
              </w:rPr>
              <w:t>1303</w:t>
            </w:r>
          </w:p>
        </w:tc>
      </w:tr>
      <w:tr w:rsidR="00DD0572" w:rsidRPr="00AD0209" w:rsidTr="00DD0572">
        <w:trPr>
          <w:trHeight w:val="227"/>
        </w:trPr>
        <w:tc>
          <w:tcPr>
            <w:tcW w:w="1411" w:type="dxa"/>
            <w:tcBorders>
              <w:bottom w:val="single" w:sz="12" w:space="0" w:color="auto"/>
            </w:tcBorders>
          </w:tcPr>
          <w:p w:rsidR="00DD0572" w:rsidRPr="00AD0209" w:rsidRDefault="00DD0572" w:rsidP="008B4D49">
            <w:pPr>
              <w:spacing w:line="480" w:lineRule="auto"/>
              <w:contextualSpacing/>
              <w:jc w:val="center"/>
            </w:pPr>
            <w:r w:rsidRPr="00AD0209">
              <w:t>Serbia</w:t>
            </w:r>
          </w:p>
        </w:tc>
        <w:tc>
          <w:tcPr>
            <w:tcW w:w="1134" w:type="dxa"/>
            <w:tcBorders>
              <w:bottom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6</w:t>
            </w:r>
          </w:p>
        </w:tc>
        <w:tc>
          <w:tcPr>
            <w:tcW w:w="966" w:type="dxa"/>
            <w:tcBorders>
              <w:bottom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13.0</w:t>
            </w:r>
          </w:p>
        </w:tc>
        <w:tc>
          <w:tcPr>
            <w:tcW w:w="1336" w:type="dxa"/>
            <w:tcBorders>
              <w:bottom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1416</w:t>
            </w:r>
          </w:p>
        </w:tc>
        <w:tc>
          <w:tcPr>
            <w:tcW w:w="1235" w:type="dxa"/>
            <w:tcBorders>
              <w:bottom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7</w:t>
            </w:r>
          </w:p>
        </w:tc>
        <w:tc>
          <w:tcPr>
            <w:tcW w:w="1078" w:type="dxa"/>
            <w:tcBorders>
              <w:bottom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16.0</w:t>
            </w:r>
          </w:p>
        </w:tc>
        <w:tc>
          <w:tcPr>
            <w:tcW w:w="1107" w:type="dxa"/>
            <w:tcBorders>
              <w:bottom w:val="single" w:sz="12" w:space="0" w:color="auto"/>
            </w:tcBorders>
            <w:vAlign w:val="center"/>
          </w:tcPr>
          <w:p w:rsidR="00DD0572" w:rsidRDefault="00DD0572">
            <w:pPr>
              <w:jc w:val="right"/>
              <w:rPr>
                <w:rFonts w:ascii="Calibri" w:hAnsi="Calibri"/>
                <w:color w:val="000000"/>
                <w:sz w:val="22"/>
                <w:szCs w:val="22"/>
              </w:rPr>
            </w:pPr>
            <w:r>
              <w:rPr>
                <w:rFonts w:ascii="Calibri" w:hAnsi="Calibri"/>
                <w:color w:val="000000"/>
                <w:sz w:val="22"/>
                <w:szCs w:val="22"/>
              </w:rPr>
              <w:t>1682</w:t>
            </w:r>
          </w:p>
        </w:tc>
      </w:tr>
    </w:tbl>
    <w:p w:rsidR="00C010F9" w:rsidRPr="00C20230" w:rsidRDefault="00C010F9" w:rsidP="00C010F9">
      <w:pPr>
        <w:spacing w:line="480" w:lineRule="auto"/>
        <w:contextualSpacing/>
        <w:rPr>
          <w:sz w:val="20"/>
          <w:szCs w:val="20"/>
        </w:rPr>
      </w:pPr>
      <w:r w:rsidRPr="00C20230">
        <w:rPr>
          <w:sz w:val="20"/>
          <w:szCs w:val="20"/>
        </w:rPr>
        <w:t>Source: Aut</w:t>
      </w:r>
      <w:r w:rsidR="00F57429">
        <w:rPr>
          <w:sz w:val="20"/>
          <w:szCs w:val="20"/>
        </w:rPr>
        <w:t>h</w:t>
      </w:r>
      <w:r w:rsidRPr="00C20230">
        <w:rPr>
          <w:sz w:val="20"/>
          <w:szCs w:val="20"/>
        </w:rPr>
        <w:t>ors</w:t>
      </w:r>
      <w:r w:rsidR="00B106CA">
        <w:rPr>
          <w:sz w:val="20"/>
          <w:szCs w:val="20"/>
        </w:rPr>
        <w:t>’</w:t>
      </w:r>
      <w:r w:rsidRPr="00C20230">
        <w:rPr>
          <w:sz w:val="20"/>
          <w:szCs w:val="20"/>
        </w:rPr>
        <w:t xml:space="preserve"> calculations based on World Bank and I</w:t>
      </w:r>
      <w:r w:rsidR="0006491C">
        <w:rPr>
          <w:sz w:val="20"/>
          <w:szCs w:val="20"/>
        </w:rPr>
        <w:t xml:space="preserve">nternational </w:t>
      </w:r>
      <w:r w:rsidRPr="00C20230">
        <w:rPr>
          <w:sz w:val="20"/>
          <w:szCs w:val="20"/>
        </w:rPr>
        <w:t>F</w:t>
      </w:r>
      <w:r w:rsidR="0006491C">
        <w:rPr>
          <w:sz w:val="20"/>
          <w:szCs w:val="20"/>
        </w:rPr>
        <w:t xml:space="preserve">inance </w:t>
      </w:r>
      <w:r w:rsidRPr="00C20230">
        <w:rPr>
          <w:sz w:val="20"/>
          <w:szCs w:val="20"/>
        </w:rPr>
        <w:t>C</w:t>
      </w:r>
      <w:r w:rsidR="0006491C">
        <w:rPr>
          <w:sz w:val="20"/>
          <w:szCs w:val="20"/>
        </w:rPr>
        <w:t>orporation</w:t>
      </w:r>
      <w:r w:rsidRPr="00C20230">
        <w:rPr>
          <w:sz w:val="20"/>
          <w:szCs w:val="20"/>
        </w:rPr>
        <w:t xml:space="preserve"> (2013).</w:t>
      </w:r>
    </w:p>
    <w:p w:rsidR="00C010F9" w:rsidRDefault="00C010F9" w:rsidP="00C010F9">
      <w:pPr>
        <w:autoSpaceDE w:val="0"/>
        <w:autoSpaceDN w:val="0"/>
        <w:adjustRightInd w:val="0"/>
        <w:spacing w:line="480" w:lineRule="auto"/>
        <w:contextualSpacing/>
        <w:jc w:val="both"/>
      </w:pPr>
    </w:p>
    <w:p w:rsidR="00DC78BD" w:rsidRPr="002C6185" w:rsidRDefault="00AB1AB5" w:rsidP="00AB1AB5">
      <w:pPr>
        <w:pStyle w:val="ListParagraph"/>
        <w:autoSpaceDE w:val="0"/>
        <w:autoSpaceDN w:val="0"/>
        <w:adjustRightInd w:val="0"/>
        <w:spacing w:line="480" w:lineRule="auto"/>
        <w:jc w:val="both"/>
        <w:rPr>
          <w:rFonts w:eastAsiaTheme="minorHAnsi"/>
          <w:b/>
        </w:rPr>
      </w:pPr>
      <w:r>
        <w:rPr>
          <w:rFonts w:eastAsiaTheme="minorEastAsia"/>
          <w:b/>
        </w:rPr>
        <w:t>4.</w:t>
      </w:r>
      <w:r>
        <w:rPr>
          <w:rFonts w:eastAsiaTheme="minorEastAsia"/>
          <w:b/>
        </w:rPr>
        <w:tab/>
      </w:r>
      <w:r w:rsidR="00DC78BD" w:rsidRPr="002C6185">
        <w:rPr>
          <w:rFonts w:eastAsiaTheme="minorEastAsia"/>
          <w:b/>
        </w:rPr>
        <w:t xml:space="preserve">Empirical </w:t>
      </w:r>
      <w:r w:rsidR="00335D30">
        <w:rPr>
          <w:rFonts w:eastAsiaTheme="minorEastAsia"/>
          <w:b/>
        </w:rPr>
        <w:t>R</w:t>
      </w:r>
      <w:r w:rsidR="00DC78BD" w:rsidRPr="002C6185">
        <w:rPr>
          <w:rFonts w:eastAsiaTheme="minorEastAsia"/>
          <w:b/>
        </w:rPr>
        <w:t>esults</w:t>
      </w:r>
    </w:p>
    <w:p w:rsidR="00640861" w:rsidRDefault="00D57F90" w:rsidP="00AB1AB5">
      <w:pPr>
        <w:autoSpaceDE w:val="0"/>
        <w:autoSpaceDN w:val="0"/>
        <w:adjustRightInd w:val="0"/>
        <w:spacing w:line="480" w:lineRule="auto"/>
        <w:ind w:firstLine="720"/>
        <w:contextualSpacing/>
        <w:jc w:val="both"/>
      </w:pPr>
      <w:r>
        <w:t>The p</w:t>
      </w:r>
      <w:r w:rsidR="005D20B6">
        <w:t xml:space="preserve">anel data gravity model is used to estimate </w:t>
      </w:r>
      <w:r>
        <w:t xml:space="preserve">the impact of </w:t>
      </w:r>
      <w:r w:rsidR="005D20B6" w:rsidRPr="00AD0209">
        <w:t>customs and administrative procedures on trade</w:t>
      </w:r>
      <w:r w:rsidR="005D20B6">
        <w:t xml:space="preserve"> in the </w:t>
      </w:r>
      <w:r w:rsidR="00AB1AB5">
        <w:t xml:space="preserve">selected group of countries in the </w:t>
      </w:r>
      <w:r w:rsidR="005D20B6">
        <w:t>SEE region.</w:t>
      </w:r>
      <w:r w:rsidR="00146838">
        <w:t xml:space="preserve"> The estimates are made in S</w:t>
      </w:r>
      <w:r w:rsidR="00783520">
        <w:t>tata</w:t>
      </w:r>
      <w:r w:rsidR="00146838">
        <w:t xml:space="preserve"> based on</w:t>
      </w:r>
      <w:r w:rsidR="00461889">
        <w:t xml:space="preserve"> GLS</w:t>
      </w:r>
      <w:r w:rsidR="00146838">
        <w:t xml:space="preserve"> random effects. We employ the random effect panel model because it allows us to include the time invariant variables in the analysis </w:t>
      </w:r>
      <w:r w:rsidR="00783520">
        <w:t xml:space="preserve">such </w:t>
      </w:r>
      <w:r w:rsidR="00146838">
        <w:t>as distance, common language, shared language and participation in the ex-Yugoslav market.</w:t>
      </w:r>
    </w:p>
    <w:p w:rsidR="005310D7" w:rsidRDefault="005D20B6" w:rsidP="00640861">
      <w:pPr>
        <w:autoSpaceDE w:val="0"/>
        <w:autoSpaceDN w:val="0"/>
        <w:adjustRightInd w:val="0"/>
        <w:spacing w:line="480" w:lineRule="auto"/>
        <w:ind w:firstLine="720"/>
        <w:contextualSpacing/>
        <w:jc w:val="both"/>
      </w:pPr>
      <w:r>
        <w:lastRenderedPageBreak/>
        <w:t xml:space="preserve">Table 2 </w:t>
      </w:r>
      <w:r w:rsidR="00DC78BD" w:rsidRPr="00AD0209">
        <w:t>presents the results of specificatio</w:t>
      </w:r>
      <w:r w:rsidR="00146838">
        <w:t>ns</w:t>
      </w:r>
      <w:r w:rsidR="00640861">
        <w:t xml:space="preserve"> 1 to 3</w:t>
      </w:r>
      <w:r w:rsidR="00146838">
        <w:t xml:space="preserve"> of the gravity model. </w:t>
      </w:r>
      <w:r w:rsidR="003C5C2A">
        <w:t>As expected, there is positive impact of GDP of exporter country and GDP of importer country on the SEE countries</w:t>
      </w:r>
      <w:r w:rsidR="00F50EFE">
        <w:t>’</w:t>
      </w:r>
      <w:r w:rsidR="003C5C2A">
        <w:t xml:space="preserve"> bilateral exports.</w:t>
      </w:r>
      <w:r w:rsidR="006B6919">
        <w:t xml:space="preserve"> </w:t>
      </w:r>
      <w:r w:rsidR="001969F7">
        <w:t>O</w:t>
      </w:r>
      <w:r w:rsidR="006B6919">
        <w:t xml:space="preserve">n </w:t>
      </w:r>
      <w:r w:rsidR="003D284B">
        <w:t>the other hand</w:t>
      </w:r>
      <w:r w:rsidR="006B6919">
        <w:t>, the distance between countries ha</w:t>
      </w:r>
      <w:r w:rsidR="00AB1AB5">
        <w:t>s the</w:t>
      </w:r>
      <w:r w:rsidR="006B6919">
        <w:t xml:space="preserve"> expected sign</w:t>
      </w:r>
      <w:r w:rsidR="00AB1AB5">
        <w:t xml:space="preserve"> but</w:t>
      </w:r>
      <w:r w:rsidR="005310D7">
        <w:t xml:space="preserve"> </w:t>
      </w:r>
      <w:r w:rsidR="001969F7">
        <w:t xml:space="preserve">does </w:t>
      </w:r>
      <w:r w:rsidR="005310D7">
        <w:t>not seem to be</w:t>
      </w:r>
      <w:r w:rsidR="006B6919">
        <w:t xml:space="preserve"> significant. The</w:t>
      </w:r>
      <w:r w:rsidR="005310D7">
        <w:t xml:space="preserve"> significant </w:t>
      </w:r>
      <w:r w:rsidR="00AB1AB5">
        <w:t>positive impacts</w:t>
      </w:r>
      <w:r w:rsidR="005310D7">
        <w:t xml:space="preserve"> of the</w:t>
      </w:r>
      <w:r w:rsidR="006B6919">
        <w:t xml:space="preserve"> two dummy variables</w:t>
      </w:r>
      <w:r w:rsidR="003D284B">
        <w:t>,</w:t>
      </w:r>
      <w:r w:rsidR="008C63AD">
        <w:t xml:space="preserve"> i.e.</w:t>
      </w:r>
      <w:r w:rsidR="003D284B">
        <w:t>,</w:t>
      </w:r>
      <w:r w:rsidR="008C63AD">
        <w:t xml:space="preserve"> the</w:t>
      </w:r>
      <w:r w:rsidR="006B6919">
        <w:t xml:space="preserve"> common border and participation in the ex-Yu</w:t>
      </w:r>
      <w:r w:rsidR="00E1212E">
        <w:t>goslav</w:t>
      </w:r>
      <w:r w:rsidR="006B6919">
        <w:t xml:space="preserve"> market</w:t>
      </w:r>
      <w:r w:rsidR="003D284B">
        <w:t>,</w:t>
      </w:r>
      <w:r w:rsidR="005310D7">
        <w:t xml:space="preserve"> </w:t>
      </w:r>
      <w:r w:rsidR="008C63AD">
        <w:t>impl</w:t>
      </w:r>
      <w:r w:rsidR="003D284B">
        <w:t>y</w:t>
      </w:r>
      <w:r w:rsidR="008C63AD">
        <w:t xml:space="preserve"> </w:t>
      </w:r>
      <w:r w:rsidR="005310D7">
        <w:t>that these variables are good proxies for the SEE countries</w:t>
      </w:r>
      <w:r w:rsidR="00F50EFE">
        <w:t>’</w:t>
      </w:r>
      <w:r w:rsidR="005310D7">
        <w:t xml:space="preserve"> trade opportunities. The effect of the co</w:t>
      </w:r>
      <w:r w:rsidR="000C22DB">
        <w:t>mmon language is not important.</w:t>
      </w:r>
      <w:r w:rsidR="000C22DB">
        <w:rPr>
          <w:rStyle w:val="FootnoteReference"/>
        </w:rPr>
        <w:footnoteReference w:id="4"/>
      </w:r>
    </w:p>
    <w:p w:rsidR="00671A49" w:rsidRDefault="00671A49" w:rsidP="00671A49">
      <w:pPr>
        <w:autoSpaceDE w:val="0"/>
        <w:autoSpaceDN w:val="0"/>
        <w:adjustRightInd w:val="0"/>
        <w:spacing w:line="360" w:lineRule="auto"/>
        <w:contextualSpacing/>
        <w:jc w:val="both"/>
        <w:rPr>
          <w:b/>
        </w:rPr>
      </w:pPr>
    </w:p>
    <w:p w:rsidR="00671A49" w:rsidRPr="00FF6AC0" w:rsidRDefault="00671A49" w:rsidP="00671A49">
      <w:pPr>
        <w:autoSpaceDE w:val="0"/>
        <w:autoSpaceDN w:val="0"/>
        <w:adjustRightInd w:val="0"/>
        <w:spacing w:line="360" w:lineRule="auto"/>
        <w:contextualSpacing/>
        <w:jc w:val="both"/>
        <w:rPr>
          <w:b/>
        </w:rPr>
      </w:pPr>
      <w:r w:rsidRPr="00FF6AC0">
        <w:rPr>
          <w:b/>
        </w:rPr>
        <w:t>Table</w:t>
      </w:r>
      <w:r>
        <w:rPr>
          <w:b/>
        </w:rPr>
        <w:t xml:space="preserve"> 2</w:t>
      </w:r>
      <w:r w:rsidRPr="00FF6AC0">
        <w:rPr>
          <w:b/>
        </w:rPr>
        <w:t xml:space="preserve">: Empirical </w:t>
      </w:r>
      <w:r w:rsidR="00335D30">
        <w:rPr>
          <w:b/>
        </w:rPr>
        <w:t>R</w:t>
      </w:r>
      <w:r w:rsidRPr="00FF6AC0">
        <w:rPr>
          <w:b/>
        </w:rPr>
        <w:t xml:space="preserve">esults of </w:t>
      </w:r>
      <w:r w:rsidR="00335D30">
        <w:rPr>
          <w:b/>
        </w:rPr>
        <w:t>G</w:t>
      </w:r>
      <w:r w:rsidRPr="00FF6AC0">
        <w:rPr>
          <w:b/>
        </w:rPr>
        <w:t xml:space="preserve">ravity </w:t>
      </w:r>
      <w:r w:rsidR="00335D30">
        <w:rPr>
          <w:b/>
        </w:rPr>
        <w:t>M</w:t>
      </w:r>
      <w:r w:rsidRPr="00FF6AC0">
        <w:rPr>
          <w:b/>
        </w:rPr>
        <w:t xml:space="preserve">odel </w:t>
      </w:r>
      <w:r w:rsidR="00335D30">
        <w:rPr>
          <w:b/>
        </w:rPr>
        <w:t>S</w:t>
      </w:r>
      <w:r w:rsidRPr="00FF6AC0">
        <w:rPr>
          <w:b/>
        </w:rPr>
        <w:t>pecifications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843"/>
        <w:gridCol w:w="1804"/>
      </w:tblGrid>
      <w:tr w:rsidR="00671A49" w:rsidRPr="00AD0209" w:rsidTr="00DD0572">
        <w:trPr>
          <w:trHeight w:val="238"/>
        </w:trPr>
        <w:tc>
          <w:tcPr>
            <w:tcW w:w="1951" w:type="dxa"/>
            <w:vMerge w:val="restart"/>
            <w:tcBorders>
              <w:top w:val="single" w:sz="12" w:space="0" w:color="auto"/>
            </w:tcBorders>
            <w:hideMark/>
          </w:tcPr>
          <w:p w:rsidR="00671A49" w:rsidRPr="00AD0209" w:rsidRDefault="00671A49" w:rsidP="00DD0572">
            <w:pPr>
              <w:autoSpaceDE w:val="0"/>
              <w:autoSpaceDN w:val="0"/>
              <w:adjustRightInd w:val="0"/>
              <w:spacing w:line="360" w:lineRule="auto"/>
              <w:contextualSpacing/>
              <w:jc w:val="both"/>
            </w:pPr>
            <w:r w:rsidRPr="00AD0209">
              <w:t>Independent variable</w:t>
            </w:r>
          </w:p>
        </w:tc>
        <w:tc>
          <w:tcPr>
            <w:tcW w:w="5490" w:type="dxa"/>
            <w:gridSpan w:val="3"/>
            <w:tcBorders>
              <w:top w:val="single" w:sz="12" w:space="0" w:color="auto"/>
            </w:tcBorders>
            <w:hideMark/>
          </w:tcPr>
          <w:p w:rsidR="00671A49" w:rsidRPr="00AD0209" w:rsidRDefault="00671A49" w:rsidP="00B106CA">
            <w:pPr>
              <w:autoSpaceDE w:val="0"/>
              <w:autoSpaceDN w:val="0"/>
              <w:adjustRightInd w:val="0"/>
              <w:spacing w:line="360" w:lineRule="auto"/>
              <w:contextualSpacing/>
              <w:jc w:val="both"/>
            </w:pPr>
            <w:r w:rsidRPr="00AD0209">
              <w:t xml:space="preserve">Dependent variable </w:t>
            </w:r>
            <w:r w:rsidR="00335D30">
              <w:t>(</w:t>
            </w:r>
            <m:oMath>
              <m:r>
                <w:rPr>
                  <w:rFonts w:ascii="Cambria Math"/>
                </w:rPr>
                <m:t>ln</m:t>
              </m:r>
              <m:sSub>
                <m:sSubPr>
                  <m:ctrlPr>
                    <w:rPr>
                      <w:rFonts w:ascii="Cambria Math" w:hAnsi="Cambria Math"/>
                      <w:i/>
                    </w:rPr>
                  </m:ctrlPr>
                </m:sSubPr>
                <m:e>
                  <m:r>
                    <w:rPr>
                      <w:rFonts w:ascii="Cambria Math" w:hAnsi="Cambria Math"/>
                    </w:rPr>
                    <m:t>EXP</m:t>
                  </m:r>
                </m:e>
                <m:sub>
                  <m:r>
                    <w:rPr>
                      <w:rFonts w:ascii="Cambria Math" w:hAnsi="Cambria Math"/>
                    </w:rPr>
                    <m:t>ijt</m:t>
                  </m:r>
                </m:sub>
              </m:sSub>
            </m:oMath>
            <w:r w:rsidR="00335D30">
              <w:t xml:space="preserve"> </w:t>
            </w:r>
            <w:r w:rsidR="00335D30" w:rsidRPr="00AD0209">
              <w:t>in all three specifications</w:t>
            </w:r>
            <w:r w:rsidR="00335D30">
              <w:t>)</w:t>
            </w:r>
          </w:p>
        </w:tc>
      </w:tr>
      <w:tr w:rsidR="00671A49" w:rsidRPr="00AD0209" w:rsidTr="00DD0572">
        <w:trPr>
          <w:trHeight w:val="238"/>
        </w:trPr>
        <w:tc>
          <w:tcPr>
            <w:tcW w:w="1951" w:type="dxa"/>
            <w:vMerge/>
            <w:tcBorders>
              <w:bottom w:val="single" w:sz="12" w:space="0" w:color="auto"/>
            </w:tcBorders>
            <w:hideMark/>
          </w:tcPr>
          <w:p w:rsidR="00671A49" w:rsidRPr="00AD0209" w:rsidRDefault="00671A49" w:rsidP="00DD0572">
            <w:pPr>
              <w:autoSpaceDE w:val="0"/>
              <w:autoSpaceDN w:val="0"/>
              <w:adjustRightInd w:val="0"/>
              <w:spacing w:line="360" w:lineRule="auto"/>
              <w:contextualSpacing/>
              <w:jc w:val="both"/>
            </w:pPr>
          </w:p>
        </w:tc>
        <w:tc>
          <w:tcPr>
            <w:tcW w:w="1843" w:type="dxa"/>
            <w:tcBorders>
              <w:bottom w:val="single" w:sz="12" w:space="0" w:color="auto"/>
            </w:tcBorders>
            <w:hideMark/>
          </w:tcPr>
          <w:p w:rsidR="00671A49" w:rsidRPr="00AD0209" w:rsidRDefault="00671A49" w:rsidP="00DD0572">
            <w:pPr>
              <w:autoSpaceDE w:val="0"/>
              <w:autoSpaceDN w:val="0"/>
              <w:adjustRightInd w:val="0"/>
              <w:spacing w:line="360" w:lineRule="auto"/>
              <w:contextualSpacing/>
              <w:jc w:val="center"/>
            </w:pPr>
            <w:r w:rsidRPr="00AD0209">
              <w:t>Model (1)</w:t>
            </w:r>
          </w:p>
        </w:tc>
        <w:tc>
          <w:tcPr>
            <w:tcW w:w="1843"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rsidRPr="00AD0209">
              <w:t>Model (2)</w:t>
            </w:r>
          </w:p>
        </w:tc>
        <w:tc>
          <w:tcPr>
            <w:tcW w:w="1804"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rsidRPr="00AD0209">
              <w:t>Model (3)</w:t>
            </w:r>
          </w:p>
        </w:tc>
      </w:tr>
      <w:tr w:rsidR="00671A49" w:rsidRPr="00AD0209" w:rsidTr="00DD0572">
        <w:trPr>
          <w:trHeight w:val="141"/>
        </w:trPr>
        <w:tc>
          <w:tcPr>
            <w:tcW w:w="1951" w:type="dxa"/>
            <w:tcBorders>
              <w:top w:val="single" w:sz="12" w:space="0" w:color="auto"/>
            </w:tcBorders>
            <w:vAlign w:val="bottom"/>
            <w:hideMark/>
          </w:tcPr>
          <w:p w:rsidR="00671A49" w:rsidRPr="00AD0209" w:rsidRDefault="00B64390" w:rsidP="00DD0572">
            <w:pPr>
              <w:autoSpaceDE w:val="0"/>
              <w:autoSpaceDN w:val="0"/>
              <w:adjustRightInd w:val="0"/>
              <w:spacing w:line="360" w:lineRule="auto"/>
              <w:contextualSpacing/>
              <w:jc w:val="center"/>
              <w:rPr>
                <w:color w:val="000000"/>
              </w:rPr>
            </w:pPr>
            <m:oMathPara>
              <m:oMath>
                <m:sSub>
                  <m:sSubPr>
                    <m:ctrlPr>
                      <w:rPr>
                        <w:rFonts w:ascii="Cambria Math" w:eastAsiaTheme="minorEastAsia" w:hAnsi="Cambria Math"/>
                        <w:i/>
                      </w:rPr>
                    </m:ctrlPr>
                  </m:sSubPr>
                  <m:e>
                    <m:r>
                      <w:rPr>
                        <w:rFonts w:ascii="Cambria Math" w:eastAsiaTheme="minorEastAsia" w:hAnsi="Cambria Math"/>
                      </w:rPr>
                      <m:t>lnDOCimp</m:t>
                    </m:r>
                  </m:e>
                  <m:sub>
                    <m:r>
                      <w:rPr>
                        <w:rFonts w:ascii="Cambria Math" w:eastAsiaTheme="minorEastAsia" w:hAnsi="Cambria Math"/>
                      </w:rPr>
                      <m:t>jt</m:t>
                    </m:r>
                  </m:sub>
                </m:sSub>
              </m:oMath>
            </m:oMathPara>
          </w:p>
        </w:tc>
        <w:tc>
          <w:tcPr>
            <w:tcW w:w="1843" w:type="dxa"/>
            <w:tcBorders>
              <w:top w:val="single" w:sz="12" w:space="0" w:color="auto"/>
            </w:tcBorders>
          </w:tcPr>
          <w:p w:rsidR="00671A49" w:rsidRPr="00AD0209" w:rsidRDefault="00671A49" w:rsidP="00DD0572">
            <w:pPr>
              <w:autoSpaceDE w:val="0"/>
              <w:autoSpaceDN w:val="0"/>
              <w:adjustRightInd w:val="0"/>
              <w:spacing w:line="360" w:lineRule="auto"/>
              <w:contextualSpacing/>
              <w:jc w:val="center"/>
            </w:pPr>
            <w:r>
              <w:t>-0.1347          (0.799</w:t>
            </w:r>
            <w:r w:rsidRPr="00AD0209">
              <w:t>)</w:t>
            </w:r>
          </w:p>
        </w:tc>
        <w:tc>
          <w:tcPr>
            <w:tcW w:w="1843" w:type="dxa"/>
            <w:tcBorders>
              <w:top w:val="single" w:sz="12" w:space="0" w:color="auto"/>
            </w:tcBorders>
          </w:tcPr>
          <w:p w:rsidR="00671A49" w:rsidRPr="00AD0209" w:rsidRDefault="00671A49" w:rsidP="00DD0572">
            <w:pPr>
              <w:autoSpaceDE w:val="0"/>
              <w:autoSpaceDN w:val="0"/>
              <w:adjustRightInd w:val="0"/>
              <w:spacing w:line="360" w:lineRule="auto"/>
              <w:contextualSpacing/>
              <w:jc w:val="center"/>
            </w:pPr>
          </w:p>
        </w:tc>
        <w:tc>
          <w:tcPr>
            <w:tcW w:w="1804" w:type="dxa"/>
            <w:tcBorders>
              <w:top w:val="single" w:sz="12" w:space="0" w:color="auto"/>
            </w:tcBorders>
          </w:tcPr>
          <w:p w:rsidR="00671A49" w:rsidRPr="00AD0209" w:rsidRDefault="00671A49" w:rsidP="00DD0572">
            <w:pPr>
              <w:autoSpaceDE w:val="0"/>
              <w:autoSpaceDN w:val="0"/>
              <w:adjustRightInd w:val="0"/>
              <w:spacing w:line="360" w:lineRule="auto"/>
              <w:contextualSpacing/>
              <w:jc w:val="center"/>
            </w:pPr>
          </w:p>
        </w:tc>
      </w:tr>
      <w:tr w:rsidR="00671A49" w:rsidRPr="00AD0209" w:rsidTr="00DD0572">
        <w:trPr>
          <w:trHeight w:val="141"/>
        </w:trPr>
        <w:tc>
          <w:tcPr>
            <w:tcW w:w="1951" w:type="dxa"/>
            <w:vAlign w:val="bottom"/>
            <w:hideMark/>
          </w:tcPr>
          <w:p w:rsidR="00671A49" w:rsidRPr="00AD0209" w:rsidRDefault="00B64390" w:rsidP="00DD0572">
            <w:pPr>
              <w:autoSpaceDE w:val="0"/>
              <w:autoSpaceDN w:val="0"/>
              <w:adjustRightInd w:val="0"/>
              <w:spacing w:line="360" w:lineRule="auto"/>
              <w:contextualSpacing/>
              <w:jc w:val="center"/>
              <w:rPr>
                <w:rFonts w:eastAsia="Calibri"/>
              </w:rPr>
            </w:pPr>
            <m:oMathPara>
              <m:oMath>
                <m:sSub>
                  <m:sSubPr>
                    <m:ctrlPr>
                      <w:rPr>
                        <w:rFonts w:ascii="Cambria Math" w:eastAsiaTheme="minorEastAsia" w:hAnsi="Cambria Math"/>
                        <w:i/>
                      </w:rPr>
                    </m:ctrlPr>
                  </m:sSubPr>
                  <m:e>
                    <m:r>
                      <w:rPr>
                        <w:rFonts w:ascii="Cambria Math" w:eastAsiaTheme="minorEastAsia" w:hAnsi="Cambria Math"/>
                      </w:rPr>
                      <m:t>lnTIMEimp</m:t>
                    </m:r>
                  </m:e>
                  <m:sub>
                    <m:r>
                      <w:rPr>
                        <w:rFonts w:ascii="Cambria Math" w:eastAsiaTheme="minorEastAsia" w:hAnsi="Cambria Math"/>
                      </w:rPr>
                      <m:t>jt</m:t>
                    </m:r>
                  </m:sub>
                </m:sSub>
              </m:oMath>
            </m:oMathPara>
          </w:p>
        </w:tc>
        <w:tc>
          <w:tcPr>
            <w:tcW w:w="1843" w:type="dxa"/>
          </w:tcPr>
          <w:p w:rsidR="00671A49" w:rsidRPr="00AD0209" w:rsidRDefault="00671A49" w:rsidP="00DD0572">
            <w:pPr>
              <w:autoSpaceDE w:val="0"/>
              <w:autoSpaceDN w:val="0"/>
              <w:adjustRightInd w:val="0"/>
              <w:spacing w:line="360" w:lineRule="auto"/>
              <w:contextualSpacing/>
              <w:jc w:val="center"/>
            </w:pPr>
          </w:p>
        </w:tc>
        <w:tc>
          <w:tcPr>
            <w:tcW w:w="1843" w:type="dxa"/>
          </w:tcPr>
          <w:p w:rsidR="00671A49" w:rsidRPr="00AD0209" w:rsidRDefault="00671A49" w:rsidP="00DD0572">
            <w:pPr>
              <w:autoSpaceDE w:val="0"/>
              <w:autoSpaceDN w:val="0"/>
              <w:adjustRightInd w:val="0"/>
              <w:spacing w:line="360" w:lineRule="auto"/>
              <w:contextualSpacing/>
              <w:jc w:val="center"/>
            </w:pPr>
            <w:r>
              <w:t>-0.1513       (0.707</w:t>
            </w:r>
            <w:r w:rsidRPr="00AD0209">
              <w:t>)</w:t>
            </w:r>
          </w:p>
        </w:tc>
        <w:tc>
          <w:tcPr>
            <w:tcW w:w="1804" w:type="dxa"/>
          </w:tcPr>
          <w:p w:rsidR="00671A49" w:rsidRPr="00AD0209" w:rsidRDefault="00671A49" w:rsidP="00DD0572">
            <w:pPr>
              <w:autoSpaceDE w:val="0"/>
              <w:autoSpaceDN w:val="0"/>
              <w:adjustRightInd w:val="0"/>
              <w:spacing w:line="360" w:lineRule="auto"/>
              <w:contextualSpacing/>
              <w:jc w:val="center"/>
            </w:pPr>
          </w:p>
        </w:tc>
      </w:tr>
      <w:tr w:rsidR="00671A49" w:rsidRPr="00AD0209" w:rsidTr="00DD0572">
        <w:trPr>
          <w:trHeight w:val="477"/>
        </w:trPr>
        <w:tc>
          <w:tcPr>
            <w:tcW w:w="1951" w:type="dxa"/>
            <w:vAlign w:val="bottom"/>
            <w:hideMark/>
          </w:tcPr>
          <w:p w:rsidR="00671A49" w:rsidRPr="00AD0209" w:rsidRDefault="00B64390" w:rsidP="00DD0572">
            <w:pPr>
              <w:autoSpaceDE w:val="0"/>
              <w:autoSpaceDN w:val="0"/>
              <w:adjustRightInd w:val="0"/>
              <w:spacing w:line="360" w:lineRule="auto"/>
              <w:contextualSpacing/>
              <w:jc w:val="center"/>
              <w:rPr>
                <w:rFonts w:eastAsia="Calibri"/>
              </w:rPr>
            </w:pPr>
            <m:oMathPara>
              <m:oMath>
                <m:sSub>
                  <m:sSubPr>
                    <m:ctrlPr>
                      <w:rPr>
                        <w:rFonts w:ascii="Cambria Math" w:eastAsiaTheme="minorEastAsia" w:hAnsi="Cambria Math"/>
                        <w:i/>
                      </w:rPr>
                    </m:ctrlPr>
                  </m:sSubPr>
                  <m:e>
                    <m:r>
                      <w:rPr>
                        <w:rFonts w:ascii="Cambria Math" w:eastAsiaTheme="minorEastAsia" w:hAnsi="Cambria Math"/>
                      </w:rPr>
                      <m:t>lnCOSTimp</m:t>
                    </m:r>
                  </m:e>
                  <m:sub>
                    <m:r>
                      <w:rPr>
                        <w:rFonts w:ascii="Cambria Math" w:eastAsiaTheme="minorEastAsia" w:hAnsi="Cambria Math"/>
                      </w:rPr>
                      <m:t>jt</m:t>
                    </m:r>
                  </m:sub>
                </m:sSub>
              </m:oMath>
            </m:oMathPara>
          </w:p>
        </w:tc>
        <w:tc>
          <w:tcPr>
            <w:tcW w:w="1843" w:type="dxa"/>
          </w:tcPr>
          <w:p w:rsidR="00671A49" w:rsidRPr="00AD0209" w:rsidRDefault="00671A49" w:rsidP="00DD0572">
            <w:pPr>
              <w:autoSpaceDE w:val="0"/>
              <w:autoSpaceDN w:val="0"/>
              <w:adjustRightInd w:val="0"/>
              <w:spacing w:line="360" w:lineRule="auto"/>
              <w:contextualSpacing/>
              <w:jc w:val="center"/>
            </w:pPr>
          </w:p>
        </w:tc>
        <w:tc>
          <w:tcPr>
            <w:tcW w:w="1843" w:type="dxa"/>
          </w:tcPr>
          <w:p w:rsidR="00671A49" w:rsidRPr="00AD0209" w:rsidRDefault="00671A49" w:rsidP="00DD0572">
            <w:pPr>
              <w:autoSpaceDE w:val="0"/>
              <w:autoSpaceDN w:val="0"/>
              <w:adjustRightInd w:val="0"/>
              <w:spacing w:line="360" w:lineRule="auto"/>
              <w:contextualSpacing/>
              <w:jc w:val="center"/>
            </w:pPr>
          </w:p>
        </w:tc>
        <w:tc>
          <w:tcPr>
            <w:tcW w:w="1804" w:type="dxa"/>
          </w:tcPr>
          <w:p w:rsidR="00671A49" w:rsidRPr="00AD0209" w:rsidRDefault="00671A49" w:rsidP="00DD0572">
            <w:pPr>
              <w:autoSpaceDE w:val="0"/>
              <w:autoSpaceDN w:val="0"/>
              <w:adjustRightInd w:val="0"/>
              <w:spacing w:line="360" w:lineRule="auto"/>
              <w:contextualSpacing/>
              <w:jc w:val="center"/>
            </w:pPr>
            <w:r>
              <w:t>-0.4033       (0.252</w:t>
            </w:r>
            <w:r w:rsidRPr="00AD0209">
              <w:t>)</w:t>
            </w:r>
          </w:p>
        </w:tc>
      </w:tr>
      <w:tr w:rsidR="00671A49" w:rsidRPr="00AD0209" w:rsidTr="00DD0572">
        <w:trPr>
          <w:trHeight w:val="425"/>
        </w:trPr>
        <w:tc>
          <w:tcPr>
            <w:tcW w:w="1951" w:type="dxa"/>
            <w:vAlign w:val="bottom"/>
            <w:hideMark/>
          </w:tcPr>
          <w:p w:rsidR="00671A49" w:rsidRPr="00AD0209" w:rsidRDefault="00671A49" w:rsidP="00DD0572">
            <w:pPr>
              <w:autoSpaceDE w:val="0"/>
              <w:autoSpaceDN w:val="0"/>
              <w:adjustRightInd w:val="0"/>
              <w:spacing w:line="360" w:lineRule="auto"/>
              <w:contextualSpacing/>
              <w:jc w:val="center"/>
              <w:rPr>
                <w:color w:val="000000"/>
              </w:rPr>
            </w:pPr>
            <m:oMathPara>
              <m:oMath>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oMath>
            </m:oMathPara>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1.0893**           (0.000</w:t>
            </w:r>
            <w:r w:rsidRPr="00AD0209">
              <w:rPr>
                <w:color w:val="000000"/>
              </w:rPr>
              <w:t>)</w:t>
            </w:r>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1.0892**           (0.000</w:t>
            </w:r>
            <w:r w:rsidRPr="00AD0209">
              <w:rPr>
                <w:color w:val="000000"/>
              </w:rPr>
              <w:t>)</w:t>
            </w:r>
          </w:p>
        </w:tc>
        <w:tc>
          <w:tcPr>
            <w:tcW w:w="1804"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1.0729**</w:t>
            </w:r>
          </w:p>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 xml:space="preserve"> (0.000</w:t>
            </w:r>
            <w:r w:rsidRPr="00AD0209">
              <w:rPr>
                <w:color w:val="000000"/>
              </w:rPr>
              <w:t>)</w:t>
            </w:r>
          </w:p>
        </w:tc>
      </w:tr>
      <w:tr w:rsidR="00671A49" w:rsidRPr="00AD0209" w:rsidTr="00DD0572">
        <w:trPr>
          <w:trHeight w:val="403"/>
        </w:trPr>
        <w:tc>
          <w:tcPr>
            <w:tcW w:w="1951" w:type="dxa"/>
            <w:vAlign w:val="bottom"/>
            <w:hideMark/>
          </w:tcPr>
          <w:p w:rsidR="00671A49" w:rsidRPr="00AD0209" w:rsidRDefault="00671A49" w:rsidP="00DD0572">
            <w:pPr>
              <w:autoSpaceDE w:val="0"/>
              <w:autoSpaceDN w:val="0"/>
              <w:adjustRightInd w:val="0"/>
              <w:spacing w:line="360" w:lineRule="auto"/>
              <w:contextualSpacing/>
              <w:jc w:val="center"/>
              <w:rPr>
                <w:color w:val="000000"/>
              </w:rPr>
            </w:pPr>
            <m:oMathPara>
              <m:oMath>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oMath>
            </m:oMathPara>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0.5510**        (0.000</w:t>
            </w:r>
            <w:r w:rsidRPr="00AD0209">
              <w:rPr>
                <w:color w:val="000000"/>
              </w:rPr>
              <w:t>)</w:t>
            </w:r>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w:t>
            </w:r>
            <w:r w:rsidRPr="00AD0209">
              <w:rPr>
                <w:color w:val="000000"/>
              </w:rPr>
              <w:t>.</w:t>
            </w:r>
            <w:r>
              <w:rPr>
                <w:color w:val="000000"/>
              </w:rPr>
              <w:t>5629</w:t>
            </w:r>
            <w:r w:rsidRPr="00AD0209">
              <w:rPr>
                <w:color w:val="000000"/>
              </w:rPr>
              <w:t>**        (0.000)</w:t>
            </w:r>
          </w:p>
        </w:tc>
        <w:tc>
          <w:tcPr>
            <w:tcW w:w="1804"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0.5075</w:t>
            </w:r>
            <w:r w:rsidRPr="00AD0209">
              <w:rPr>
                <w:color w:val="000000"/>
              </w:rPr>
              <w:t>**       (0.0000)</w:t>
            </w:r>
          </w:p>
        </w:tc>
      </w:tr>
      <w:tr w:rsidR="00671A49" w:rsidRPr="00AD0209" w:rsidTr="00DD0572">
        <w:trPr>
          <w:trHeight w:val="367"/>
        </w:trPr>
        <w:tc>
          <w:tcPr>
            <w:tcW w:w="1951" w:type="dxa"/>
            <w:vAlign w:val="bottom"/>
            <w:hideMark/>
          </w:tcPr>
          <w:p w:rsidR="00671A49" w:rsidRPr="00AD0209" w:rsidRDefault="00671A49" w:rsidP="00DD0572">
            <w:pPr>
              <w:autoSpaceDE w:val="0"/>
              <w:autoSpaceDN w:val="0"/>
              <w:adjustRightInd w:val="0"/>
              <w:spacing w:line="360" w:lineRule="auto"/>
              <w:contextualSpacing/>
              <w:jc w:val="center"/>
              <w:rPr>
                <w:color w:val="000000"/>
              </w:rPr>
            </w:pPr>
            <m:oMathPara>
              <m:oMath>
                <m:r>
                  <w:rPr>
                    <w:rFonts w:ascii="Cambria Math" w:eastAsiaTheme="minorEastAsia" w:hAnsi="Cambria Math"/>
                  </w:rPr>
                  <w:lastRenderedPageBreak/>
                  <m:t>ln</m:t>
                </m:r>
                <m:sSub>
                  <m:sSubPr>
                    <m:ctrlPr>
                      <w:rPr>
                        <w:rFonts w:ascii="Cambria Math" w:eastAsiaTheme="minorEastAsia" w:hAnsi="Cambria Math"/>
                        <w:i/>
                      </w:rPr>
                    </m:ctrlPr>
                  </m:sSubPr>
                  <m:e>
                    <m:r>
                      <w:rPr>
                        <w:rFonts w:ascii="Cambria Math" w:eastAsiaTheme="minorEastAsia" w:hAnsi="Cambria Math"/>
                      </w:rPr>
                      <m:t>Dis</m:t>
                    </m:r>
                  </m:e>
                  <m:sub>
                    <m:r>
                      <w:rPr>
                        <w:rFonts w:ascii="Cambria Math" w:eastAsiaTheme="minorEastAsia" w:hAnsi="Cambria Math"/>
                      </w:rPr>
                      <m:t>ij</m:t>
                    </m:r>
                  </m:sub>
                </m:sSub>
              </m:oMath>
            </m:oMathPara>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w:t>
            </w:r>
            <w:r w:rsidRPr="00AD0209">
              <w:rPr>
                <w:color w:val="000000"/>
              </w:rPr>
              <w:t>.</w:t>
            </w:r>
            <w:r>
              <w:rPr>
                <w:color w:val="000000"/>
              </w:rPr>
              <w:t>7051         (0.096</w:t>
            </w:r>
            <w:r w:rsidRPr="00AD0209">
              <w:rPr>
                <w:color w:val="000000"/>
              </w:rPr>
              <w:t>)</w:t>
            </w:r>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-0.7079        (0.095</w:t>
            </w:r>
            <w:r w:rsidRPr="00AD0209">
              <w:rPr>
                <w:color w:val="000000"/>
              </w:rPr>
              <w:t>)</w:t>
            </w:r>
          </w:p>
        </w:tc>
        <w:tc>
          <w:tcPr>
            <w:tcW w:w="1804"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w:t>
            </w:r>
            <w:r w:rsidRPr="00AD0209">
              <w:rPr>
                <w:color w:val="000000"/>
              </w:rPr>
              <w:t>.</w:t>
            </w:r>
            <w:r>
              <w:rPr>
                <w:color w:val="000000"/>
              </w:rPr>
              <w:t>6479</w:t>
            </w:r>
            <w:r w:rsidRPr="00AD0209">
              <w:rPr>
                <w:color w:val="000000"/>
              </w:rPr>
              <w:t xml:space="preserve">   </w:t>
            </w:r>
            <w:r>
              <w:rPr>
                <w:color w:val="000000"/>
              </w:rPr>
              <w:t xml:space="preserve">   (0.128</w:t>
            </w:r>
            <w:r w:rsidRPr="00AD0209">
              <w:rPr>
                <w:color w:val="000000"/>
              </w:rPr>
              <w:t>)</w:t>
            </w:r>
          </w:p>
        </w:tc>
      </w:tr>
      <w:tr w:rsidR="00671A49" w:rsidRPr="00AD0209" w:rsidTr="00DD0572">
        <w:trPr>
          <w:trHeight w:val="427"/>
        </w:trPr>
        <w:tc>
          <w:tcPr>
            <w:tcW w:w="1951" w:type="dxa"/>
            <w:vAlign w:val="bottom"/>
            <w:hideMark/>
          </w:tcPr>
          <w:p w:rsidR="00671A49" w:rsidRPr="00AD0209" w:rsidRDefault="00671A49" w:rsidP="00DD0572">
            <w:pPr>
              <w:autoSpaceDE w:val="0"/>
              <w:autoSpaceDN w:val="0"/>
              <w:adjustRightInd w:val="0"/>
              <w:spacing w:line="360" w:lineRule="auto"/>
              <w:contextualSpacing/>
              <w:jc w:val="center"/>
              <w:rPr>
                <w:color w:val="000000"/>
              </w:rPr>
            </w:pPr>
            <m:oMathPara>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oMath>
            </m:oMathPara>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0.2050            (0.682</w:t>
            </w:r>
            <w:r w:rsidRPr="00AD0209">
              <w:rPr>
                <w:color w:val="000000"/>
              </w:rPr>
              <w:t>)</w:t>
            </w:r>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0.2101         (0.674</w:t>
            </w:r>
            <w:r w:rsidRPr="00AD0209">
              <w:rPr>
                <w:color w:val="000000"/>
              </w:rPr>
              <w:t>)</w:t>
            </w:r>
          </w:p>
        </w:tc>
        <w:tc>
          <w:tcPr>
            <w:tcW w:w="1804"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0.2492         (0.619</w:t>
            </w:r>
            <w:r w:rsidRPr="00AD0209">
              <w:rPr>
                <w:color w:val="000000"/>
              </w:rPr>
              <w:t>)</w:t>
            </w:r>
          </w:p>
        </w:tc>
      </w:tr>
      <w:tr w:rsidR="00671A49" w:rsidRPr="00AD0209" w:rsidTr="00DD0572">
        <w:trPr>
          <w:trHeight w:val="390"/>
        </w:trPr>
        <w:tc>
          <w:tcPr>
            <w:tcW w:w="1951" w:type="dxa"/>
            <w:vAlign w:val="bottom"/>
            <w:hideMark/>
          </w:tcPr>
          <w:p w:rsidR="00671A49" w:rsidRPr="00AD0209" w:rsidRDefault="00B64390" w:rsidP="00DD0572">
            <w:pPr>
              <w:autoSpaceDE w:val="0"/>
              <w:autoSpaceDN w:val="0"/>
              <w:adjustRightInd w:val="0"/>
              <w:spacing w:line="360" w:lineRule="auto"/>
              <w:contextualSpacing/>
              <w:jc w:val="center"/>
              <w:rPr>
                <w:color w:val="000000"/>
              </w:rPr>
            </w:pPr>
            <m:oMathPara>
              <m:oMath>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oMath>
            </m:oMathPara>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1.5841**          (0.000</w:t>
            </w:r>
            <w:r w:rsidRPr="00AD0209">
              <w:rPr>
                <w:color w:val="000000"/>
              </w:rPr>
              <w:t>)</w:t>
            </w:r>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1.5913</w:t>
            </w:r>
            <w:r w:rsidRPr="00AD0209">
              <w:rPr>
                <w:color w:val="000000"/>
              </w:rPr>
              <w:t>**        (0.000)</w:t>
            </w:r>
          </w:p>
        </w:tc>
        <w:tc>
          <w:tcPr>
            <w:tcW w:w="1804"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1.5938**      (0.000</w:t>
            </w:r>
            <w:r w:rsidRPr="00AD0209">
              <w:rPr>
                <w:color w:val="000000"/>
              </w:rPr>
              <w:t>)</w:t>
            </w:r>
          </w:p>
        </w:tc>
      </w:tr>
      <w:tr w:rsidR="00671A49" w:rsidRPr="00AD0209" w:rsidTr="00DD0572">
        <w:trPr>
          <w:trHeight w:val="353"/>
        </w:trPr>
        <w:tc>
          <w:tcPr>
            <w:tcW w:w="1951" w:type="dxa"/>
            <w:vAlign w:val="bottom"/>
            <w:hideMark/>
          </w:tcPr>
          <w:p w:rsidR="00671A49" w:rsidRPr="00AD0209" w:rsidRDefault="00B64390" w:rsidP="00DD0572">
            <w:pPr>
              <w:autoSpaceDE w:val="0"/>
              <w:autoSpaceDN w:val="0"/>
              <w:adjustRightInd w:val="0"/>
              <w:spacing w:line="360" w:lineRule="auto"/>
              <w:contextualSpacing/>
              <w:jc w:val="center"/>
              <w:rPr>
                <w:color w:val="000000"/>
              </w:rPr>
            </w:pPr>
            <m:oMathPara>
              <m:oMath>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oMath>
            </m:oMathPara>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1.3686**        (0.000</w:t>
            </w:r>
            <w:r w:rsidRPr="00AD0209">
              <w:rPr>
                <w:color w:val="000000"/>
              </w:rPr>
              <w:t>)</w:t>
            </w:r>
          </w:p>
        </w:tc>
        <w:tc>
          <w:tcPr>
            <w:tcW w:w="1843"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1.3460</w:t>
            </w:r>
            <w:r w:rsidRPr="00AD0209">
              <w:rPr>
                <w:color w:val="000000"/>
              </w:rPr>
              <w:t>*</w:t>
            </w:r>
            <w:r>
              <w:rPr>
                <w:color w:val="000000"/>
              </w:rPr>
              <w:t>*</w:t>
            </w:r>
            <w:r w:rsidRPr="00AD0209">
              <w:rPr>
                <w:color w:val="000000"/>
              </w:rPr>
              <w:t xml:space="preserve">         (0.</w:t>
            </w:r>
            <w:r>
              <w:rPr>
                <w:color w:val="000000"/>
              </w:rPr>
              <w:t>000</w:t>
            </w:r>
            <w:r w:rsidRPr="00AD0209">
              <w:rPr>
                <w:color w:val="000000"/>
              </w:rPr>
              <w:t>)</w:t>
            </w:r>
          </w:p>
        </w:tc>
        <w:tc>
          <w:tcPr>
            <w:tcW w:w="1804"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1.2886**        (0.001</w:t>
            </w:r>
            <w:r w:rsidRPr="00AD0209">
              <w:rPr>
                <w:color w:val="000000"/>
              </w:rPr>
              <w:t>)</w:t>
            </w:r>
          </w:p>
        </w:tc>
      </w:tr>
      <w:tr w:rsidR="00671A49" w:rsidRPr="00AD0209" w:rsidTr="00DD0572">
        <w:trPr>
          <w:trHeight w:val="353"/>
        </w:trPr>
        <w:tc>
          <w:tcPr>
            <w:tcW w:w="1951" w:type="dxa"/>
            <w:vAlign w:val="bottom"/>
          </w:tcPr>
          <w:p w:rsidR="00671A49" w:rsidRPr="000572BC" w:rsidRDefault="00671A49" w:rsidP="00DD0572">
            <w:pPr>
              <w:autoSpaceDE w:val="0"/>
              <w:autoSpaceDN w:val="0"/>
              <w:adjustRightInd w:val="0"/>
              <w:spacing w:line="360" w:lineRule="auto"/>
              <w:contextualSpacing/>
              <w:jc w:val="center"/>
              <w:rPr>
                <w:i/>
              </w:rPr>
            </w:pPr>
            <w:r w:rsidRPr="000572BC">
              <w:rPr>
                <w:i/>
              </w:rPr>
              <w:t>Constant</w:t>
            </w:r>
          </w:p>
        </w:tc>
        <w:tc>
          <w:tcPr>
            <w:tcW w:w="1843" w:type="dxa"/>
            <w:vAlign w:val="bottom"/>
          </w:tcPr>
          <w:p w:rsidR="00671A49" w:rsidRDefault="00671A49" w:rsidP="00DD0572">
            <w:pPr>
              <w:autoSpaceDE w:val="0"/>
              <w:autoSpaceDN w:val="0"/>
              <w:adjustRightInd w:val="0"/>
              <w:spacing w:line="360" w:lineRule="auto"/>
              <w:ind w:right="10"/>
              <w:contextualSpacing/>
              <w:jc w:val="center"/>
              <w:rPr>
                <w:color w:val="000000"/>
              </w:rPr>
            </w:pPr>
            <w:r>
              <w:rPr>
                <w:color w:val="000000"/>
              </w:rPr>
              <w:t>-8.9147**</w:t>
            </w:r>
          </w:p>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(0.000)</w:t>
            </w:r>
          </w:p>
        </w:tc>
        <w:tc>
          <w:tcPr>
            <w:tcW w:w="1843" w:type="dxa"/>
            <w:vAlign w:val="bottom"/>
          </w:tcPr>
          <w:p w:rsidR="00671A49" w:rsidRDefault="00671A49" w:rsidP="00DD0572">
            <w:pPr>
              <w:autoSpaceDE w:val="0"/>
              <w:autoSpaceDN w:val="0"/>
              <w:adjustRightInd w:val="0"/>
              <w:spacing w:line="360" w:lineRule="auto"/>
              <w:ind w:right="10"/>
              <w:contextualSpacing/>
              <w:jc w:val="center"/>
              <w:rPr>
                <w:color w:val="000000"/>
              </w:rPr>
            </w:pPr>
            <w:r>
              <w:rPr>
                <w:color w:val="000000"/>
              </w:rPr>
              <w:t>-8.8606**</w:t>
            </w:r>
          </w:p>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(0.000)</w:t>
            </w:r>
          </w:p>
        </w:tc>
        <w:tc>
          <w:tcPr>
            <w:tcW w:w="1804" w:type="dxa"/>
            <w:vAlign w:val="bottom"/>
          </w:tcPr>
          <w:p w:rsidR="00671A49" w:rsidRDefault="00671A49" w:rsidP="00DD0572">
            <w:pPr>
              <w:autoSpaceDE w:val="0"/>
              <w:autoSpaceDN w:val="0"/>
              <w:adjustRightInd w:val="0"/>
              <w:spacing w:line="360" w:lineRule="auto"/>
              <w:ind w:right="10"/>
              <w:contextualSpacing/>
              <w:jc w:val="center"/>
              <w:rPr>
                <w:color w:val="000000"/>
              </w:rPr>
            </w:pPr>
            <w:r>
              <w:rPr>
                <w:color w:val="000000"/>
              </w:rPr>
              <w:t>-11.7576**</w:t>
            </w:r>
          </w:p>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(0.000)</w:t>
            </w:r>
          </w:p>
        </w:tc>
      </w:tr>
      <w:tr w:rsidR="00671A49" w:rsidRPr="00AD0209" w:rsidTr="00DD0572">
        <w:trPr>
          <w:trHeight w:val="315"/>
        </w:trPr>
        <w:tc>
          <w:tcPr>
            <w:tcW w:w="1951" w:type="dxa"/>
            <w:tcBorders>
              <w:bottom w:val="single" w:sz="12" w:space="0" w:color="auto"/>
            </w:tcBorders>
            <w:hideMark/>
          </w:tcPr>
          <w:p w:rsidR="00671A49" w:rsidRPr="00AD0209" w:rsidRDefault="00B64390" w:rsidP="00DD0572">
            <w:pPr>
              <w:autoSpaceDE w:val="0"/>
              <w:autoSpaceDN w:val="0"/>
              <w:adjustRightInd w:val="0"/>
              <w:spacing w:line="360" w:lineRule="auto"/>
              <w:contextualSpacing/>
              <w:jc w:val="both"/>
            </w:pPr>
            <m:oMathPara>
              <m:oMath>
                <m:sSup>
                  <m:sSupPr>
                    <m:ctrlPr>
                      <w:rPr>
                        <w:rFonts w:ascii="Cambria Math" w:hAnsi="Cambria Math"/>
                        <w:i/>
                      </w:rPr>
                    </m:ctrlPr>
                  </m:sSupPr>
                  <m:e>
                    <m:r>
                      <w:rPr>
                        <w:rFonts w:ascii="Cambria Math" w:hAnsi="Cambria Math"/>
                      </w:rPr>
                      <m:t>R</m:t>
                    </m:r>
                  </m:e>
                  <m:sup>
                    <m:r>
                      <w:rPr>
                        <w:rFonts w:ascii="Cambria Math"/>
                      </w:rPr>
                      <m:t>2</m:t>
                    </m:r>
                  </m:sup>
                </m:sSup>
              </m:oMath>
            </m:oMathPara>
          </w:p>
        </w:tc>
        <w:tc>
          <w:tcPr>
            <w:tcW w:w="1843"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t>0.7174</w:t>
            </w:r>
          </w:p>
        </w:tc>
        <w:tc>
          <w:tcPr>
            <w:tcW w:w="1843"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t>0.7174</w:t>
            </w:r>
          </w:p>
        </w:tc>
        <w:tc>
          <w:tcPr>
            <w:tcW w:w="1804"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t>0.7132</w:t>
            </w:r>
          </w:p>
        </w:tc>
      </w:tr>
    </w:tbl>
    <w:p w:rsidR="00671A49" w:rsidRPr="00FF6AC0" w:rsidRDefault="00671A49" w:rsidP="00671A49">
      <w:pPr>
        <w:autoSpaceDE w:val="0"/>
        <w:autoSpaceDN w:val="0"/>
        <w:adjustRightInd w:val="0"/>
        <w:spacing w:line="360" w:lineRule="auto"/>
        <w:contextualSpacing/>
        <w:jc w:val="both"/>
        <w:rPr>
          <w:sz w:val="20"/>
          <w:szCs w:val="20"/>
        </w:rPr>
      </w:pPr>
      <w:r w:rsidRPr="00FF6AC0">
        <w:rPr>
          <w:sz w:val="20"/>
          <w:szCs w:val="20"/>
        </w:rPr>
        <w:t>Note</w:t>
      </w:r>
      <w:r w:rsidR="00335D30">
        <w:rPr>
          <w:sz w:val="20"/>
          <w:szCs w:val="20"/>
        </w:rPr>
        <w:t>s</w:t>
      </w:r>
      <w:r w:rsidRPr="00FF6AC0">
        <w:rPr>
          <w:sz w:val="20"/>
          <w:szCs w:val="20"/>
        </w:rPr>
        <w:t>: p-values are given in brackets. ** Significance at 1% level</w:t>
      </w:r>
      <w:r w:rsidR="00335D30">
        <w:rPr>
          <w:sz w:val="20"/>
          <w:szCs w:val="20"/>
        </w:rPr>
        <w:t>.</w:t>
      </w:r>
      <w:r w:rsidRPr="00FF6AC0">
        <w:rPr>
          <w:sz w:val="20"/>
          <w:szCs w:val="20"/>
        </w:rPr>
        <w:t xml:space="preserve"> * Significance at 5% level.</w:t>
      </w:r>
    </w:p>
    <w:p w:rsidR="00671A49" w:rsidRDefault="00671A49" w:rsidP="00671A49">
      <w:pPr>
        <w:autoSpaceDE w:val="0"/>
        <w:autoSpaceDN w:val="0"/>
        <w:adjustRightInd w:val="0"/>
        <w:spacing w:line="360" w:lineRule="auto"/>
        <w:contextualSpacing/>
        <w:rPr>
          <w:b/>
        </w:rPr>
      </w:pPr>
    </w:p>
    <w:p w:rsidR="006C5983" w:rsidRDefault="006C5983" w:rsidP="006C5983">
      <w:pPr>
        <w:autoSpaceDE w:val="0"/>
        <w:autoSpaceDN w:val="0"/>
        <w:adjustRightInd w:val="0"/>
        <w:spacing w:line="480" w:lineRule="auto"/>
        <w:ind w:firstLine="720"/>
        <w:contextualSpacing/>
        <w:jc w:val="both"/>
        <w:rPr>
          <w:sz w:val="23"/>
          <w:szCs w:val="23"/>
        </w:rPr>
      </w:pPr>
      <w:r>
        <w:t>Regarding the customs and administrative procedures</w:t>
      </w:r>
      <w:r w:rsidR="00643E8E">
        <w:t xml:space="preserve"> such as the</w:t>
      </w:r>
      <w:r>
        <w:t xml:space="preserve"> number of documents of the importer country, </w:t>
      </w:r>
      <w:r w:rsidR="00643E8E">
        <w:t xml:space="preserve">the </w:t>
      </w:r>
      <w:r>
        <w:t>day</w:t>
      </w:r>
      <w:r w:rsidR="00AB1AB5">
        <w:t>s</w:t>
      </w:r>
      <w:r>
        <w:t xml:space="preserve"> at the border </w:t>
      </w:r>
      <w:r w:rsidR="00326B50">
        <w:t>of</w:t>
      </w:r>
      <w:r>
        <w:t xml:space="preserve"> the importer country and </w:t>
      </w:r>
      <w:r w:rsidR="00643E8E">
        <w:t xml:space="preserve">the </w:t>
      </w:r>
      <w:r>
        <w:t xml:space="preserve">costs per container of the importer country, we do not find any of them significant in the first three specifications of the model. These results could imply that the process of trade liberalization in the SEE region has led to </w:t>
      </w:r>
      <w:r w:rsidR="00643E8E">
        <w:t>loosening</w:t>
      </w:r>
      <w:r>
        <w:t xml:space="preserve"> the observed customs and administrative procedures for export and that these three </w:t>
      </w:r>
      <w:r w:rsidR="00E1212E">
        <w:t>variables</w:t>
      </w:r>
      <w:r>
        <w:t xml:space="preserve"> are no longer important constraint</w:t>
      </w:r>
      <w:r w:rsidR="00DA36D5">
        <w:t>s</w:t>
      </w:r>
      <w:r>
        <w:t xml:space="preserve"> </w:t>
      </w:r>
      <w:r w:rsidR="00DA36D5">
        <w:t xml:space="preserve">to </w:t>
      </w:r>
      <w:r>
        <w:t xml:space="preserve">SEE trade. This result is in line with the observations </w:t>
      </w:r>
      <w:r w:rsidR="00E1212E">
        <w:t xml:space="preserve">by </w:t>
      </w:r>
      <w:r>
        <w:t>Bjeli</w:t>
      </w:r>
      <w:r w:rsidR="00DA36D5">
        <w:t>ć</w:t>
      </w:r>
      <w:r w:rsidR="00A0500E">
        <w:t xml:space="preserve">, </w:t>
      </w:r>
      <w:r w:rsidR="00A0500E" w:rsidRPr="00A0500E">
        <w:t>Dragutinović Mitrović and Popović Petrović</w:t>
      </w:r>
      <w:r>
        <w:t xml:space="preserve"> (2013) who did not find evidence of </w:t>
      </w:r>
      <w:r>
        <w:rPr>
          <w:sz w:val="23"/>
          <w:szCs w:val="23"/>
        </w:rPr>
        <w:t>significantly higher trade effects of the administrative barriers among the CEFTA-2006 member</w:t>
      </w:r>
      <w:r w:rsidR="00DA36D5">
        <w:rPr>
          <w:sz w:val="23"/>
          <w:szCs w:val="23"/>
        </w:rPr>
        <w:t xml:space="preserve"> </w:t>
      </w:r>
      <w:r>
        <w:rPr>
          <w:sz w:val="23"/>
          <w:szCs w:val="23"/>
        </w:rPr>
        <w:t xml:space="preserve">countries from </w:t>
      </w:r>
      <w:r w:rsidR="00DA36D5">
        <w:rPr>
          <w:sz w:val="23"/>
          <w:szCs w:val="23"/>
        </w:rPr>
        <w:t xml:space="preserve">the </w:t>
      </w:r>
      <w:r>
        <w:rPr>
          <w:sz w:val="23"/>
          <w:szCs w:val="23"/>
        </w:rPr>
        <w:t xml:space="preserve">Western Balkans compared to the whole sample of their trading partners. However, model specifications 4 to 6, which employ </w:t>
      </w:r>
      <w:r w:rsidR="007B680E">
        <w:rPr>
          <w:sz w:val="23"/>
          <w:szCs w:val="23"/>
        </w:rPr>
        <w:t xml:space="preserve">a </w:t>
      </w:r>
      <w:r>
        <w:rPr>
          <w:sz w:val="23"/>
          <w:szCs w:val="23"/>
        </w:rPr>
        <w:t xml:space="preserve">different measure of </w:t>
      </w:r>
      <w:r w:rsidR="00E1212E">
        <w:rPr>
          <w:sz w:val="23"/>
          <w:szCs w:val="23"/>
        </w:rPr>
        <w:t>costs</w:t>
      </w:r>
      <w:r>
        <w:rPr>
          <w:sz w:val="23"/>
          <w:szCs w:val="23"/>
        </w:rPr>
        <w:t xml:space="preserve"> and </w:t>
      </w:r>
      <w:r w:rsidR="00E1212E">
        <w:rPr>
          <w:sz w:val="23"/>
          <w:szCs w:val="23"/>
        </w:rPr>
        <w:t>improved</w:t>
      </w:r>
      <w:r>
        <w:rPr>
          <w:sz w:val="23"/>
          <w:szCs w:val="23"/>
        </w:rPr>
        <w:t xml:space="preserve"> measure of distance, suggest that customs and administrative procedures are still important for </w:t>
      </w:r>
      <w:r w:rsidRPr="00274033">
        <w:rPr>
          <w:sz w:val="23"/>
          <w:szCs w:val="23"/>
        </w:rPr>
        <w:t>the</w:t>
      </w:r>
      <w:r w:rsidR="00274033">
        <w:rPr>
          <w:sz w:val="23"/>
          <w:szCs w:val="23"/>
        </w:rPr>
        <w:t xml:space="preserve"> </w:t>
      </w:r>
      <w:r w:rsidR="00E1212E" w:rsidRPr="00274033">
        <w:rPr>
          <w:sz w:val="23"/>
          <w:szCs w:val="23"/>
        </w:rPr>
        <w:t>volume of</w:t>
      </w:r>
      <w:r>
        <w:rPr>
          <w:sz w:val="23"/>
          <w:szCs w:val="23"/>
        </w:rPr>
        <w:t xml:space="preserve"> trade in the region.</w:t>
      </w:r>
    </w:p>
    <w:p w:rsidR="006C5983" w:rsidRDefault="006C5983" w:rsidP="00671A49">
      <w:pPr>
        <w:autoSpaceDE w:val="0"/>
        <w:autoSpaceDN w:val="0"/>
        <w:adjustRightInd w:val="0"/>
        <w:spacing w:line="360" w:lineRule="auto"/>
        <w:contextualSpacing/>
        <w:rPr>
          <w:b/>
        </w:rPr>
      </w:pPr>
    </w:p>
    <w:p w:rsidR="00671A49" w:rsidRPr="00AD0209" w:rsidRDefault="00671A49" w:rsidP="00671A49">
      <w:pPr>
        <w:autoSpaceDE w:val="0"/>
        <w:autoSpaceDN w:val="0"/>
        <w:adjustRightInd w:val="0"/>
        <w:spacing w:line="360" w:lineRule="auto"/>
        <w:contextualSpacing/>
        <w:rPr>
          <w:b/>
        </w:rPr>
      </w:pPr>
      <w:r w:rsidRPr="00AD0209">
        <w:rPr>
          <w:b/>
        </w:rPr>
        <w:t xml:space="preserve">Table </w:t>
      </w:r>
      <w:r>
        <w:rPr>
          <w:b/>
        </w:rPr>
        <w:t>3</w:t>
      </w:r>
      <w:r w:rsidRPr="00AD0209">
        <w:rPr>
          <w:b/>
        </w:rPr>
        <w:t xml:space="preserve">: Empirical </w:t>
      </w:r>
      <w:r w:rsidR="00B106CA">
        <w:rPr>
          <w:b/>
        </w:rPr>
        <w:t>R</w:t>
      </w:r>
      <w:r w:rsidRPr="00AD0209">
        <w:rPr>
          <w:b/>
        </w:rPr>
        <w:t xml:space="preserve">esults of </w:t>
      </w:r>
      <w:r w:rsidR="00B106CA">
        <w:rPr>
          <w:b/>
        </w:rPr>
        <w:t>G</w:t>
      </w:r>
      <w:r w:rsidRPr="00AD0209">
        <w:rPr>
          <w:b/>
        </w:rPr>
        <w:t xml:space="preserve">ravity </w:t>
      </w:r>
      <w:r w:rsidR="00B106CA">
        <w:rPr>
          <w:b/>
        </w:rPr>
        <w:t>M</w:t>
      </w:r>
      <w:r w:rsidRPr="00AD0209">
        <w:rPr>
          <w:b/>
        </w:rPr>
        <w:t xml:space="preserve">odel </w:t>
      </w:r>
      <w:r w:rsidR="00B106CA">
        <w:rPr>
          <w:b/>
        </w:rPr>
        <w:t>S</w:t>
      </w:r>
      <w:r w:rsidRPr="00AD0209">
        <w:rPr>
          <w:b/>
        </w:rPr>
        <w:t>pecifications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781"/>
        <w:gridCol w:w="1865"/>
        <w:gridCol w:w="1777"/>
      </w:tblGrid>
      <w:tr w:rsidR="00671A49" w:rsidRPr="00AD0209" w:rsidTr="00DD0572">
        <w:trPr>
          <w:trHeight w:val="436"/>
        </w:trPr>
        <w:tc>
          <w:tcPr>
            <w:tcW w:w="1952" w:type="dxa"/>
            <w:vMerge w:val="restart"/>
            <w:tcBorders>
              <w:top w:val="single" w:sz="12" w:space="0" w:color="auto"/>
            </w:tcBorders>
            <w:hideMark/>
          </w:tcPr>
          <w:p w:rsidR="00671A49" w:rsidRPr="00AD0209" w:rsidRDefault="00671A49" w:rsidP="00DD0572">
            <w:pPr>
              <w:autoSpaceDE w:val="0"/>
              <w:autoSpaceDN w:val="0"/>
              <w:adjustRightInd w:val="0"/>
              <w:spacing w:line="360" w:lineRule="auto"/>
              <w:contextualSpacing/>
              <w:jc w:val="both"/>
            </w:pPr>
            <w:r w:rsidRPr="00AD0209">
              <w:t>Independent variable</w:t>
            </w:r>
          </w:p>
        </w:tc>
        <w:tc>
          <w:tcPr>
            <w:tcW w:w="5423" w:type="dxa"/>
            <w:gridSpan w:val="3"/>
            <w:tcBorders>
              <w:top w:val="single" w:sz="12" w:space="0" w:color="auto"/>
            </w:tcBorders>
            <w:hideMark/>
          </w:tcPr>
          <w:p w:rsidR="00671A49" w:rsidRPr="00AD0209" w:rsidRDefault="00671A49" w:rsidP="00B106CA">
            <w:pPr>
              <w:autoSpaceDE w:val="0"/>
              <w:autoSpaceDN w:val="0"/>
              <w:adjustRightInd w:val="0"/>
              <w:spacing w:line="360" w:lineRule="auto"/>
              <w:contextualSpacing/>
              <w:jc w:val="both"/>
            </w:pPr>
            <w:r w:rsidRPr="00AD0209">
              <w:t xml:space="preserve">Dependent variable </w:t>
            </w:r>
            <w:r w:rsidR="00B106CA">
              <w:t>(</w:t>
            </w:r>
            <m:oMath>
              <m:r>
                <w:rPr>
                  <w:rFonts w:ascii="Cambria Math" w:hAnsi="Cambria Math"/>
                </w:rPr>
                <m:t>ln</m:t>
              </m:r>
              <m:sSub>
                <m:sSubPr>
                  <m:ctrlPr>
                    <w:rPr>
                      <w:rFonts w:ascii="Cambria Math" w:hAnsi="Cambria Math"/>
                      <w:i/>
                    </w:rPr>
                  </m:ctrlPr>
                </m:sSubPr>
                <m:e>
                  <m:r>
                    <w:rPr>
                      <w:rFonts w:ascii="Cambria Math" w:hAnsi="Cambria Math"/>
                    </w:rPr>
                    <m:t>EXP</m:t>
                  </m:r>
                </m:e>
                <m:sub>
                  <m:r>
                    <w:rPr>
                      <w:rFonts w:ascii="Cambria Math" w:hAnsi="Cambria Math"/>
                    </w:rPr>
                    <m:t>ij</m:t>
                  </m:r>
                </m:sub>
              </m:sSub>
            </m:oMath>
            <w:r w:rsidR="00B106CA">
              <w:t xml:space="preserve"> </w:t>
            </w:r>
            <w:r w:rsidR="00B106CA" w:rsidRPr="00AD0209">
              <w:t>in all three specifications</w:t>
            </w:r>
            <w:r w:rsidR="00B106CA">
              <w:t>)</w:t>
            </w:r>
          </w:p>
        </w:tc>
      </w:tr>
      <w:tr w:rsidR="00671A49" w:rsidRPr="00AD0209" w:rsidTr="00DD0572">
        <w:trPr>
          <w:trHeight w:val="117"/>
        </w:trPr>
        <w:tc>
          <w:tcPr>
            <w:tcW w:w="1952" w:type="dxa"/>
            <w:vMerge/>
            <w:tcBorders>
              <w:bottom w:val="single" w:sz="12" w:space="0" w:color="auto"/>
            </w:tcBorders>
            <w:hideMark/>
          </w:tcPr>
          <w:p w:rsidR="00671A49" w:rsidRPr="00AD0209" w:rsidRDefault="00671A49" w:rsidP="00DD0572">
            <w:pPr>
              <w:autoSpaceDE w:val="0"/>
              <w:autoSpaceDN w:val="0"/>
              <w:adjustRightInd w:val="0"/>
              <w:spacing w:line="360" w:lineRule="auto"/>
              <w:contextualSpacing/>
              <w:jc w:val="both"/>
            </w:pPr>
          </w:p>
        </w:tc>
        <w:tc>
          <w:tcPr>
            <w:tcW w:w="1781" w:type="dxa"/>
            <w:tcBorders>
              <w:bottom w:val="single" w:sz="12" w:space="0" w:color="auto"/>
            </w:tcBorders>
            <w:hideMark/>
          </w:tcPr>
          <w:p w:rsidR="00671A49" w:rsidRPr="00AD0209" w:rsidRDefault="00671A49" w:rsidP="00DD0572">
            <w:pPr>
              <w:autoSpaceDE w:val="0"/>
              <w:autoSpaceDN w:val="0"/>
              <w:adjustRightInd w:val="0"/>
              <w:spacing w:line="360" w:lineRule="auto"/>
              <w:contextualSpacing/>
              <w:jc w:val="center"/>
            </w:pPr>
            <w:r w:rsidRPr="00AD0209">
              <w:t>Model (4)</w:t>
            </w:r>
          </w:p>
        </w:tc>
        <w:tc>
          <w:tcPr>
            <w:tcW w:w="1865"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rsidRPr="00AD0209">
              <w:t>Model (5)</w:t>
            </w:r>
          </w:p>
        </w:tc>
        <w:tc>
          <w:tcPr>
            <w:tcW w:w="1777"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rsidRPr="00AD0209">
              <w:t>Model (6)</w:t>
            </w:r>
          </w:p>
        </w:tc>
      </w:tr>
      <w:tr w:rsidR="00671A49" w:rsidRPr="00AD0209" w:rsidTr="00DD0572">
        <w:trPr>
          <w:trHeight w:val="438"/>
        </w:trPr>
        <w:tc>
          <w:tcPr>
            <w:tcW w:w="1952" w:type="dxa"/>
            <w:tcBorders>
              <w:top w:val="single" w:sz="12" w:space="0" w:color="auto"/>
            </w:tcBorders>
            <w:vAlign w:val="bottom"/>
            <w:hideMark/>
          </w:tcPr>
          <w:p w:rsidR="00671A49" w:rsidRPr="00AD0209" w:rsidRDefault="00B64390" w:rsidP="00DD0572">
            <w:pPr>
              <w:autoSpaceDE w:val="0"/>
              <w:autoSpaceDN w:val="0"/>
              <w:adjustRightInd w:val="0"/>
              <w:spacing w:line="360" w:lineRule="auto"/>
              <w:contextualSpacing/>
              <w:jc w:val="center"/>
              <w:rPr>
                <w:color w:val="000000"/>
              </w:rPr>
            </w:pPr>
            <m:oMathPara>
              <m:oMath>
                <m:sSub>
                  <m:sSubPr>
                    <m:ctrlPr>
                      <w:rPr>
                        <w:rFonts w:ascii="Cambria Math" w:eastAsiaTheme="minorEastAsia" w:hAnsi="Cambria Math"/>
                        <w:i/>
                      </w:rPr>
                    </m:ctrlPr>
                  </m:sSubPr>
                  <m:e>
                    <m:r>
                      <m:rPr>
                        <m:sty m:val="p"/>
                      </m:rPr>
                      <w:rPr>
                        <w:rFonts w:ascii="Cambria Math" w:eastAsiaTheme="minorEastAsia"/>
                      </w:rPr>
                      <m:t>ln</m:t>
                    </m:r>
                    <m:r>
                      <m:rPr>
                        <m:sty m:val="p"/>
                      </m:rPr>
                      <w:rPr>
                        <w:rFonts w:ascii="Cambria Math" w:eastAsiaTheme="minorEastAsia" w:hAnsi="Cambria Math"/>
                      </w:rPr>
                      <m:t>⁡</m:t>
                    </m:r>
                    <m:r>
                      <w:rPr>
                        <w:rFonts w:ascii="Cambria Math" w:eastAsiaTheme="minorEastAsia"/>
                      </w:rPr>
                      <m:t>(</m:t>
                    </m:r>
                    <m:r>
                      <w:rPr>
                        <w:rFonts w:ascii="Cambria Math" w:eastAsiaTheme="minorEastAsia" w:hAnsi="Cambria Math"/>
                      </w:rPr>
                      <m:t>DOCexp</m:t>
                    </m:r>
                  </m:e>
                  <m:sub>
                    <m:r>
                      <w:rPr>
                        <w:rFonts w:ascii="Cambria Math" w:eastAsiaTheme="minorEastAsia" w:hAnsi="Cambria Math"/>
                      </w:rPr>
                      <m:t>jt</m:t>
                    </m:r>
                  </m:sub>
                </m:sSub>
                <m:r>
                  <w:rPr>
                    <w:rFonts w:eastAsiaTheme="minorEastAsia"/>
                  </w:rPr>
                  <m:t>∙</m:t>
                </m:r>
                <m:sSub>
                  <m:sSubPr>
                    <m:ctrlPr>
                      <w:rPr>
                        <w:rFonts w:ascii="Cambria Math" w:eastAsiaTheme="minorEastAsia" w:hAnsi="Cambria Math"/>
                        <w:i/>
                      </w:rPr>
                    </m:ctrlPr>
                  </m:sSubPr>
                  <m:e>
                    <m:r>
                      <w:rPr>
                        <w:rFonts w:ascii="Cambria Math" w:eastAsiaTheme="minorEastAsia" w:hAnsi="Cambria Math"/>
                      </w:rPr>
                      <m:t>DOCimp</m:t>
                    </m:r>
                  </m:e>
                  <m:sub>
                    <m:r>
                      <w:rPr>
                        <w:rFonts w:ascii="Cambria Math" w:eastAsiaTheme="minorEastAsia" w:hAnsi="Cambria Math"/>
                      </w:rPr>
                      <m:t>it</m:t>
                    </m:r>
                  </m:sub>
                </m:sSub>
                <m:r>
                  <w:rPr>
                    <w:rFonts w:ascii="Cambria Math" w:eastAsiaTheme="minorEastAsia"/>
                  </w:rPr>
                  <m:t>)</m:t>
                </m:r>
              </m:oMath>
            </m:oMathPara>
          </w:p>
        </w:tc>
        <w:tc>
          <w:tcPr>
            <w:tcW w:w="1781" w:type="dxa"/>
            <w:tcBorders>
              <w:top w:val="single" w:sz="12" w:space="0" w:color="auto"/>
            </w:tcBorders>
          </w:tcPr>
          <w:p w:rsidR="00671A49" w:rsidRPr="00AD0209" w:rsidRDefault="00671A49" w:rsidP="00DD0572">
            <w:pPr>
              <w:autoSpaceDE w:val="0"/>
              <w:autoSpaceDN w:val="0"/>
              <w:adjustRightInd w:val="0"/>
              <w:spacing w:line="360" w:lineRule="auto"/>
              <w:contextualSpacing/>
              <w:jc w:val="center"/>
            </w:pPr>
            <w:r>
              <w:t>-0.5445           (0.162</w:t>
            </w:r>
            <w:r w:rsidRPr="00AD0209">
              <w:t>)</w:t>
            </w:r>
          </w:p>
        </w:tc>
        <w:tc>
          <w:tcPr>
            <w:tcW w:w="1865" w:type="dxa"/>
            <w:tcBorders>
              <w:top w:val="single" w:sz="12" w:space="0" w:color="auto"/>
            </w:tcBorders>
          </w:tcPr>
          <w:p w:rsidR="00671A49" w:rsidRPr="00AD0209" w:rsidRDefault="00671A49" w:rsidP="00DD0572">
            <w:pPr>
              <w:autoSpaceDE w:val="0"/>
              <w:autoSpaceDN w:val="0"/>
              <w:adjustRightInd w:val="0"/>
              <w:spacing w:line="360" w:lineRule="auto"/>
              <w:contextualSpacing/>
              <w:jc w:val="center"/>
            </w:pPr>
          </w:p>
        </w:tc>
        <w:tc>
          <w:tcPr>
            <w:tcW w:w="1777" w:type="dxa"/>
            <w:tcBorders>
              <w:top w:val="single" w:sz="12" w:space="0" w:color="auto"/>
            </w:tcBorders>
          </w:tcPr>
          <w:p w:rsidR="00671A49" w:rsidRPr="00AD0209" w:rsidRDefault="00671A49" w:rsidP="00DD0572">
            <w:pPr>
              <w:autoSpaceDE w:val="0"/>
              <w:autoSpaceDN w:val="0"/>
              <w:adjustRightInd w:val="0"/>
              <w:spacing w:line="360" w:lineRule="auto"/>
              <w:contextualSpacing/>
              <w:jc w:val="center"/>
            </w:pPr>
          </w:p>
        </w:tc>
      </w:tr>
      <w:tr w:rsidR="00671A49" w:rsidRPr="00AD0209" w:rsidTr="00DD0572">
        <w:trPr>
          <w:trHeight w:val="438"/>
        </w:trPr>
        <w:tc>
          <w:tcPr>
            <w:tcW w:w="1952" w:type="dxa"/>
            <w:vAlign w:val="bottom"/>
            <w:hideMark/>
          </w:tcPr>
          <w:p w:rsidR="00671A49" w:rsidRPr="00AD0209" w:rsidRDefault="00B64390" w:rsidP="00DD0572">
            <w:pPr>
              <w:autoSpaceDE w:val="0"/>
              <w:autoSpaceDN w:val="0"/>
              <w:adjustRightInd w:val="0"/>
              <w:spacing w:line="360" w:lineRule="auto"/>
              <w:contextualSpacing/>
              <w:jc w:val="center"/>
              <w:rPr>
                <w:rFonts w:eastAsia="Calibri"/>
              </w:rPr>
            </w:pPr>
            <m:oMathPara>
              <m:oMath>
                <m:sSub>
                  <m:sSubPr>
                    <m:ctrlPr>
                      <w:rPr>
                        <w:rFonts w:ascii="Cambria Math" w:eastAsiaTheme="minorEastAsia" w:hAnsi="Cambria Math"/>
                        <w:i/>
                      </w:rPr>
                    </m:ctrlPr>
                  </m:sSubPr>
                  <m:e>
                    <m:r>
                      <m:rPr>
                        <m:sty m:val="p"/>
                      </m:rPr>
                      <w:rPr>
                        <w:rFonts w:ascii="Cambria Math" w:eastAsiaTheme="minorEastAsia"/>
                      </w:rPr>
                      <m:t>ln</m:t>
                    </m:r>
                    <m:r>
                      <m:rPr>
                        <m:sty m:val="p"/>
                      </m:rPr>
                      <w:rPr>
                        <w:rFonts w:ascii="Cambria Math" w:eastAsiaTheme="minorEastAsia" w:hAnsi="Cambria Math"/>
                      </w:rPr>
                      <m:t>⁡</m:t>
                    </m:r>
                    <m:r>
                      <w:rPr>
                        <w:rFonts w:ascii="Cambria Math" w:eastAsiaTheme="minorEastAsia"/>
                      </w:rPr>
                      <m:t>(</m:t>
                    </m:r>
                    <m:r>
                      <w:rPr>
                        <w:rFonts w:ascii="Cambria Math" w:eastAsiaTheme="minorEastAsia" w:hAnsi="Cambria Math"/>
                      </w:rPr>
                      <m:t>TIMEexp</m:t>
                    </m:r>
                  </m:e>
                  <m:sub>
                    <m:r>
                      <w:rPr>
                        <w:rFonts w:ascii="Cambria Math" w:eastAsiaTheme="minorEastAsia" w:hAnsi="Cambria Math"/>
                      </w:rPr>
                      <m:t>jt</m:t>
                    </m:r>
                  </m:sub>
                </m:sSub>
                <m:r>
                  <w:rPr>
                    <w:rFonts w:eastAsiaTheme="minorEastAsia"/>
                  </w:rPr>
                  <m:t>∙</m:t>
                </m:r>
                <m:sSub>
                  <m:sSubPr>
                    <m:ctrlPr>
                      <w:rPr>
                        <w:rFonts w:ascii="Cambria Math" w:eastAsiaTheme="minorEastAsia" w:hAnsi="Cambria Math"/>
                        <w:i/>
                      </w:rPr>
                    </m:ctrlPr>
                  </m:sSubPr>
                  <m:e>
                    <m:r>
                      <w:rPr>
                        <w:rFonts w:ascii="Cambria Math" w:eastAsiaTheme="minorEastAsia" w:hAnsi="Cambria Math"/>
                      </w:rPr>
                      <m:t>TIMEimp</m:t>
                    </m:r>
                  </m:e>
                  <m:sub>
                    <m:r>
                      <w:rPr>
                        <w:rFonts w:ascii="Cambria Math" w:eastAsiaTheme="minorEastAsia" w:hAnsi="Cambria Math"/>
                      </w:rPr>
                      <m:t>it</m:t>
                    </m:r>
                  </m:sub>
                </m:sSub>
                <m:r>
                  <w:rPr>
                    <w:rFonts w:ascii="Cambria Math" w:eastAsiaTheme="minorEastAsia"/>
                  </w:rPr>
                  <m:t>)</m:t>
                </m:r>
              </m:oMath>
            </m:oMathPara>
          </w:p>
        </w:tc>
        <w:tc>
          <w:tcPr>
            <w:tcW w:w="1781" w:type="dxa"/>
          </w:tcPr>
          <w:p w:rsidR="00671A49" w:rsidRPr="00AD0209" w:rsidRDefault="00671A49" w:rsidP="00DD0572">
            <w:pPr>
              <w:autoSpaceDE w:val="0"/>
              <w:autoSpaceDN w:val="0"/>
              <w:adjustRightInd w:val="0"/>
              <w:spacing w:line="360" w:lineRule="auto"/>
              <w:contextualSpacing/>
              <w:jc w:val="center"/>
            </w:pPr>
          </w:p>
        </w:tc>
        <w:tc>
          <w:tcPr>
            <w:tcW w:w="1865" w:type="dxa"/>
          </w:tcPr>
          <w:p w:rsidR="00671A49" w:rsidRPr="00AD0209" w:rsidRDefault="001F3B41" w:rsidP="00DD0572">
            <w:pPr>
              <w:autoSpaceDE w:val="0"/>
              <w:autoSpaceDN w:val="0"/>
              <w:adjustRightInd w:val="0"/>
              <w:spacing w:line="360" w:lineRule="auto"/>
              <w:contextualSpacing/>
              <w:jc w:val="center"/>
            </w:pPr>
            <w:r>
              <w:t>-</w:t>
            </w:r>
            <w:r w:rsidR="00671A49">
              <w:t>0.0548*       (0.854</w:t>
            </w:r>
            <w:r w:rsidR="00671A49" w:rsidRPr="00AD0209">
              <w:t>)</w:t>
            </w:r>
          </w:p>
        </w:tc>
        <w:tc>
          <w:tcPr>
            <w:tcW w:w="1777" w:type="dxa"/>
          </w:tcPr>
          <w:p w:rsidR="00671A49" w:rsidRPr="00AD0209" w:rsidRDefault="00671A49" w:rsidP="00DD0572">
            <w:pPr>
              <w:autoSpaceDE w:val="0"/>
              <w:autoSpaceDN w:val="0"/>
              <w:adjustRightInd w:val="0"/>
              <w:spacing w:line="360" w:lineRule="auto"/>
              <w:contextualSpacing/>
              <w:jc w:val="center"/>
            </w:pPr>
          </w:p>
        </w:tc>
      </w:tr>
      <w:tr w:rsidR="00671A49" w:rsidRPr="00AD0209" w:rsidTr="00DD0572">
        <w:trPr>
          <w:trHeight w:val="438"/>
        </w:trPr>
        <w:tc>
          <w:tcPr>
            <w:tcW w:w="1952" w:type="dxa"/>
            <w:vAlign w:val="bottom"/>
            <w:hideMark/>
          </w:tcPr>
          <w:p w:rsidR="00671A49" w:rsidRPr="00AD0209" w:rsidRDefault="00B64390" w:rsidP="00DD0572">
            <w:pPr>
              <w:autoSpaceDE w:val="0"/>
              <w:autoSpaceDN w:val="0"/>
              <w:adjustRightInd w:val="0"/>
              <w:spacing w:line="360" w:lineRule="auto"/>
              <w:contextualSpacing/>
              <w:jc w:val="center"/>
              <w:rPr>
                <w:rFonts w:eastAsia="Calibri"/>
              </w:rPr>
            </w:pPr>
            <m:oMathPara>
              <m:oMath>
                <m:sSub>
                  <m:sSubPr>
                    <m:ctrlPr>
                      <w:rPr>
                        <w:rFonts w:ascii="Cambria Math" w:eastAsiaTheme="minorEastAsia" w:hAnsi="Cambria Math"/>
                        <w:i/>
                      </w:rPr>
                    </m:ctrlPr>
                  </m:sSubPr>
                  <m:e>
                    <m:r>
                      <m:rPr>
                        <m:sty m:val="p"/>
                      </m:rPr>
                      <w:rPr>
                        <w:rFonts w:ascii="Cambria Math" w:eastAsiaTheme="minorEastAsia"/>
                      </w:rPr>
                      <m:t>ln</m:t>
                    </m:r>
                    <m:r>
                      <m:rPr>
                        <m:sty m:val="p"/>
                      </m:rPr>
                      <w:rPr>
                        <w:rFonts w:ascii="Cambria Math" w:eastAsiaTheme="minorEastAsia" w:hAnsi="Cambria Math"/>
                      </w:rPr>
                      <m:t>⁡</m:t>
                    </m:r>
                    <m:r>
                      <w:rPr>
                        <w:rFonts w:ascii="Cambria Math" w:eastAsiaTheme="minorEastAsia"/>
                      </w:rPr>
                      <m:t>(</m:t>
                    </m:r>
                    <m:r>
                      <w:rPr>
                        <w:rFonts w:ascii="Cambria Math" w:eastAsiaTheme="minorEastAsia" w:hAnsi="Cambria Math"/>
                      </w:rPr>
                      <m:t>COSTexp</m:t>
                    </m:r>
                  </m:e>
                  <m:sub>
                    <m:r>
                      <w:rPr>
                        <w:rFonts w:ascii="Cambria Math" w:eastAsiaTheme="minorEastAsia" w:hAnsi="Cambria Math"/>
                      </w:rPr>
                      <m:t>jt</m:t>
                    </m:r>
                  </m:sub>
                </m:sSub>
                <m:r>
                  <w:rPr>
                    <w:rFonts w:eastAsiaTheme="minorEastAsia"/>
                  </w:rPr>
                  <m:t>∙</m:t>
                </m:r>
                <m:sSub>
                  <m:sSubPr>
                    <m:ctrlPr>
                      <w:rPr>
                        <w:rFonts w:ascii="Cambria Math" w:eastAsiaTheme="minorEastAsia" w:hAnsi="Cambria Math"/>
                        <w:i/>
                      </w:rPr>
                    </m:ctrlPr>
                  </m:sSubPr>
                  <m:e>
                    <m:r>
                      <w:rPr>
                        <w:rFonts w:ascii="Cambria Math" w:eastAsiaTheme="minorEastAsia" w:hAnsi="Cambria Math"/>
                      </w:rPr>
                      <m:t>COSTimp</m:t>
                    </m:r>
                  </m:e>
                  <m:sub>
                    <m:r>
                      <w:rPr>
                        <w:rFonts w:ascii="Cambria Math" w:eastAsiaTheme="minorEastAsia" w:hAnsi="Cambria Math"/>
                      </w:rPr>
                      <m:t>it</m:t>
                    </m:r>
                  </m:sub>
                </m:sSub>
                <m:r>
                  <w:rPr>
                    <w:rFonts w:ascii="Cambria Math" w:eastAsiaTheme="minorEastAsia"/>
                  </w:rPr>
                  <m:t>)</m:t>
                </m:r>
              </m:oMath>
            </m:oMathPara>
          </w:p>
        </w:tc>
        <w:tc>
          <w:tcPr>
            <w:tcW w:w="1781" w:type="dxa"/>
          </w:tcPr>
          <w:p w:rsidR="00671A49" w:rsidRPr="00AD0209" w:rsidRDefault="00671A49" w:rsidP="00DD0572">
            <w:pPr>
              <w:autoSpaceDE w:val="0"/>
              <w:autoSpaceDN w:val="0"/>
              <w:adjustRightInd w:val="0"/>
              <w:spacing w:line="360" w:lineRule="auto"/>
              <w:contextualSpacing/>
              <w:jc w:val="center"/>
            </w:pPr>
          </w:p>
        </w:tc>
        <w:tc>
          <w:tcPr>
            <w:tcW w:w="1865" w:type="dxa"/>
          </w:tcPr>
          <w:p w:rsidR="00671A49" w:rsidRPr="00AD0209" w:rsidRDefault="00671A49" w:rsidP="00DD0572">
            <w:pPr>
              <w:autoSpaceDE w:val="0"/>
              <w:autoSpaceDN w:val="0"/>
              <w:adjustRightInd w:val="0"/>
              <w:spacing w:line="360" w:lineRule="auto"/>
              <w:contextualSpacing/>
              <w:jc w:val="center"/>
            </w:pPr>
          </w:p>
        </w:tc>
        <w:tc>
          <w:tcPr>
            <w:tcW w:w="1777" w:type="dxa"/>
          </w:tcPr>
          <w:p w:rsidR="00671A49" w:rsidRPr="00AD0209" w:rsidRDefault="00671A49" w:rsidP="00DD0572">
            <w:pPr>
              <w:autoSpaceDE w:val="0"/>
              <w:autoSpaceDN w:val="0"/>
              <w:adjustRightInd w:val="0"/>
              <w:spacing w:line="360" w:lineRule="auto"/>
              <w:contextualSpacing/>
              <w:jc w:val="center"/>
            </w:pPr>
            <w:r>
              <w:t>-1</w:t>
            </w:r>
            <w:r w:rsidRPr="00AD0209">
              <w:t>.</w:t>
            </w:r>
            <w:r>
              <w:t>0101**       (0.000</w:t>
            </w:r>
            <w:r w:rsidRPr="00AD0209">
              <w:t>)</w:t>
            </w:r>
          </w:p>
        </w:tc>
      </w:tr>
      <w:tr w:rsidR="00671A49" w:rsidRPr="00AD0209" w:rsidTr="00DD0572">
        <w:trPr>
          <w:trHeight w:val="418"/>
        </w:trPr>
        <w:tc>
          <w:tcPr>
            <w:tcW w:w="1952" w:type="dxa"/>
            <w:vAlign w:val="bottom"/>
            <w:hideMark/>
          </w:tcPr>
          <w:p w:rsidR="00671A49" w:rsidRPr="00AD0209" w:rsidRDefault="00671A49" w:rsidP="00DD0572">
            <w:pPr>
              <w:autoSpaceDE w:val="0"/>
              <w:autoSpaceDN w:val="0"/>
              <w:adjustRightInd w:val="0"/>
              <w:spacing w:line="360" w:lineRule="auto"/>
              <w:contextualSpacing/>
              <w:jc w:val="center"/>
              <w:rPr>
                <w:color w:val="000000"/>
              </w:rPr>
            </w:pPr>
            <m:oMathPara>
              <m:oMath>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GDPexp</m:t>
                    </m:r>
                  </m:e>
                  <m:sub>
                    <m:r>
                      <w:rPr>
                        <w:rFonts w:ascii="Cambria Math" w:eastAsiaTheme="minorEastAsia" w:hAnsi="Cambria Math"/>
                      </w:rPr>
                      <m:t>it</m:t>
                    </m:r>
                  </m:sub>
                </m:sSub>
              </m:oMath>
            </m:oMathPara>
          </w:p>
        </w:tc>
        <w:tc>
          <w:tcPr>
            <w:tcW w:w="1781"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0.8448**           (0.000</w:t>
            </w:r>
            <w:r w:rsidRPr="00AD0209">
              <w:rPr>
                <w:color w:val="000000"/>
              </w:rPr>
              <w:t>)</w:t>
            </w:r>
          </w:p>
        </w:tc>
        <w:tc>
          <w:tcPr>
            <w:tcW w:w="1865"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0.8774**           (0.000</w:t>
            </w:r>
            <w:r w:rsidRPr="00AD0209">
              <w:rPr>
                <w:color w:val="000000"/>
              </w:rPr>
              <w:t>)</w:t>
            </w:r>
          </w:p>
        </w:tc>
        <w:tc>
          <w:tcPr>
            <w:tcW w:w="1777"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0.8251**</w:t>
            </w:r>
          </w:p>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 xml:space="preserve"> (0.000</w:t>
            </w:r>
            <w:r w:rsidRPr="00AD0209">
              <w:rPr>
                <w:color w:val="000000"/>
              </w:rPr>
              <w:t>)</w:t>
            </w:r>
          </w:p>
        </w:tc>
      </w:tr>
      <w:tr w:rsidR="00671A49" w:rsidRPr="00AD0209" w:rsidTr="00DD0572">
        <w:trPr>
          <w:trHeight w:val="411"/>
        </w:trPr>
        <w:tc>
          <w:tcPr>
            <w:tcW w:w="1952" w:type="dxa"/>
            <w:vAlign w:val="bottom"/>
            <w:hideMark/>
          </w:tcPr>
          <w:p w:rsidR="00671A49" w:rsidRPr="00AD0209" w:rsidRDefault="00671A49" w:rsidP="00DD0572">
            <w:pPr>
              <w:autoSpaceDE w:val="0"/>
              <w:autoSpaceDN w:val="0"/>
              <w:adjustRightInd w:val="0"/>
              <w:spacing w:line="360" w:lineRule="auto"/>
              <w:contextualSpacing/>
              <w:jc w:val="center"/>
              <w:rPr>
                <w:color w:val="000000"/>
              </w:rPr>
            </w:pPr>
            <m:oMathPara>
              <m:oMath>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GDPimp</m:t>
                    </m:r>
                  </m:e>
                  <m:sub>
                    <m:r>
                      <w:rPr>
                        <w:rFonts w:ascii="Cambria Math" w:eastAsiaTheme="minorEastAsia" w:hAnsi="Cambria Math"/>
                      </w:rPr>
                      <m:t>jt</m:t>
                    </m:r>
                  </m:sub>
                </m:sSub>
              </m:oMath>
            </m:oMathPara>
          </w:p>
        </w:tc>
        <w:tc>
          <w:tcPr>
            <w:tcW w:w="1781"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0.5875</w:t>
            </w:r>
            <w:r w:rsidRPr="00AD0209">
              <w:rPr>
                <w:color w:val="000000"/>
              </w:rPr>
              <w:t>**        (0.000)</w:t>
            </w:r>
          </w:p>
        </w:tc>
        <w:tc>
          <w:tcPr>
            <w:tcW w:w="1865"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0.5986</w:t>
            </w:r>
            <w:r w:rsidRPr="00AD0209">
              <w:rPr>
                <w:color w:val="000000"/>
              </w:rPr>
              <w:t>**        (0.0000)</w:t>
            </w:r>
          </w:p>
        </w:tc>
        <w:tc>
          <w:tcPr>
            <w:tcW w:w="1777"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0.4426</w:t>
            </w:r>
            <w:r w:rsidRPr="00AD0209">
              <w:rPr>
                <w:color w:val="000000"/>
              </w:rPr>
              <w:t>**       (0.000)</w:t>
            </w:r>
          </w:p>
        </w:tc>
      </w:tr>
      <w:tr w:rsidR="00671A49" w:rsidRPr="00AD0209" w:rsidTr="00DD0572">
        <w:trPr>
          <w:trHeight w:val="418"/>
        </w:trPr>
        <w:tc>
          <w:tcPr>
            <w:tcW w:w="1952" w:type="dxa"/>
            <w:vAlign w:val="bottom"/>
            <w:hideMark/>
          </w:tcPr>
          <w:p w:rsidR="00671A49" w:rsidRPr="00AD0209" w:rsidRDefault="00671A49" w:rsidP="00DD0572">
            <w:pPr>
              <w:autoSpaceDE w:val="0"/>
              <w:autoSpaceDN w:val="0"/>
              <w:adjustRightInd w:val="0"/>
              <w:spacing w:line="360" w:lineRule="auto"/>
              <w:contextualSpacing/>
              <w:jc w:val="center"/>
              <w:rPr>
                <w:color w:val="000000"/>
              </w:rPr>
            </w:pPr>
            <m:oMathPara>
              <m:oMath>
                <m:r>
                  <w:rPr>
                    <w:rFonts w:ascii="Cambria Math" w:eastAsiaTheme="minorEastAsia" w:hAnsi="Cambria Math"/>
                  </w:rPr>
                  <m:t>ln</m:t>
                </m:r>
                <m:sSub>
                  <m:sSubPr>
                    <m:ctrlPr>
                      <w:rPr>
                        <w:rFonts w:ascii="Cambria Math" w:eastAsiaTheme="minorEastAsia" w:hAnsi="Cambria Math"/>
                        <w:i/>
                      </w:rPr>
                    </m:ctrlPr>
                  </m:sSubPr>
                  <m:e>
                    <m:r>
                      <w:rPr>
                        <w:rFonts w:ascii="Cambria Math" w:eastAsiaTheme="minorEastAsia" w:hAnsi="Cambria Math"/>
                      </w:rPr>
                      <m:t>DisW</m:t>
                    </m:r>
                  </m:e>
                  <m:sub>
                    <m:r>
                      <w:rPr>
                        <w:rFonts w:ascii="Cambria Math" w:eastAsiaTheme="minorEastAsia" w:hAnsi="Cambria Math"/>
                      </w:rPr>
                      <m:t>ij</m:t>
                    </m:r>
                  </m:sub>
                </m:sSub>
              </m:oMath>
            </m:oMathPara>
          </w:p>
        </w:tc>
        <w:tc>
          <w:tcPr>
            <w:tcW w:w="1781"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w:t>
            </w:r>
            <w:r w:rsidRPr="00AD0209">
              <w:rPr>
                <w:color w:val="000000"/>
              </w:rPr>
              <w:t>.</w:t>
            </w:r>
            <w:r>
              <w:rPr>
                <w:color w:val="000000"/>
              </w:rPr>
              <w:t>6788*         (0.03</w:t>
            </w:r>
            <w:r w:rsidRPr="00AD0209">
              <w:rPr>
                <w:color w:val="000000"/>
              </w:rPr>
              <w:t>0)</w:t>
            </w:r>
          </w:p>
        </w:tc>
        <w:tc>
          <w:tcPr>
            <w:tcW w:w="1865"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-0.9291*        (0.027</w:t>
            </w:r>
            <w:r w:rsidRPr="00AD0209">
              <w:rPr>
                <w:color w:val="000000"/>
              </w:rPr>
              <w:t>)</w:t>
            </w:r>
          </w:p>
        </w:tc>
        <w:tc>
          <w:tcPr>
            <w:tcW w:w="1777"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w:t>
            </w:r>
            <w:r w:rsidRPr="00AD0209">
              <w:rPr>
                <w:color w:val="000000"/>
              </w:rPr>
              <w:t>.</w:t>
            </w:r>
            <w:r>
              <w:rPr>
                <w:color w:val="000000"/>
              </w:rPr>
              <w:t>4827      (0.122</w:t>
            </w:r>
            <w:r w:rsidRPr="00AD0209">
              <w:rPr>
                <w:color w:val="000000"/>
              </w:rPr>
              <w:t>)</w:t>
            </w:r>
          </w:p>
        </w:tc>
      </w:tr>
      <w:tr w:rsidR="00671A49" w:rsidRPr="00AD0209" w:rsidTr="00DD0572">
        <w:trPr>
          <w:trHeight w:val="418"/>
        </w:trPr>
        <w:tc>
          <w:tcPr>
            <w:tcW w:w="1952" w:type="dxa"/>
            <w:vAlign w:val="bottom"/>
            <w:hideMark/>
          </w:tcPr>
          <w:p w:rsidR="00671A49" w:rsidRPr="00AD0209" w:rsidRDefault="00671A49" w:rsidP="00DD0572">
            <w:pPr>
              <w:autoSpaceDE w:val="0"/>
              <w:autoSpaceDN w:val="0"/>
              <w:adjustRightInd w:val="0"/>
              <w:spacing w:line="360" w:lineRule="auto"/>
              <w:contextualSpacing/>
              <w:jc w:val="center"/>
              <w:rPr>
                <w:color w:val="000000"/>
              </w:rPr>
            </w:pPr>
            <m:oMathPara>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ANG</m:t>
                    </m:r>
                  </m:e>
                  <m:sub>
                    <m:r>
                      <w:rPr>
                        <w:rFonts w:ascii="Cambria Math" w:eastAsiaTheme="minorEastAsia" w:hAnsi="Cambria Math"/>
                      </w:rPr>
                      <m:t>ij</m:t>
                    </m:r>
                  </m:sub>
                </m:sSub>
              </m:oMath>
            </m:oMathPara>
          </w:p>
        </w:tc>
        <w:tc>
          <w:tcPr>
            <w:tcW w:w="1781"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0.3338            (0.490</w:t>
            </w:r>
            <w:r w:rsidRPr="00AD0209">
              <w:rPr>
                <w:color w:val="000000"/>
              </w:rPr>
              <w:t>)</w:t>
            </w:r>
          </w:p>
        </w:tc>
        <w:tc>
          <w:tcPr>
            <w:tcW w:w="1865"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0.2758         (0.571</w:t>
            </w:r>
            <w:r w:rsidRPr="00AD0209">
              <w:rPr>
                <w:color w:val="000000"/>
              </w:rPr>
              <w:t>)</w:t>
            </w:r>
          </w:p>
        </w:tc>
        <w:tc>
          <w:tcPr>
            <w:tcW w:w="1777"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0.4542         (0.336</w:t>
            </w:r>
            <w:r w:rsidRPr="00AD0209">
              <w:rPr>
                <w:color w:val="000000"/>
              </w:rPr>
              <w:t>)</w:t>
            </w:r>
          </w:p>
        </w:tc>
      </w:tr>
      <w:tr w:rsidR="00671A49" w:rsidRPr="00AD0209" w:rsidTr="00DD0572">
        <w:trPr>
          <w:trHeight w:val="411"/>
        </w:trPr>
        <w:tc>
          <w:tcPr>
            <w:tcW w:w="1952" w:type="dxa"/>
            <w:vAlign w:val="bottom"/>
            <w:hideMark/>
          </w:tcPr>
          <w:p w:rsidR="00671A49" w:rsidRPr="00AD0209" w:rsidRDefault="00B64390" w:rsidP="00DD0572">
            <w:pPr>
              <w:autoSpaceDE w:val="0"/>
              <w:autoSpaceDN w:val="0"/>
              <w:adjustRightInd w:val="0"/>
              <w:spacing w:line="360" w:lineRule="auto"/>
              <w:contextualSpacing/>
              <w:jc w:val="center"/>
              <w:rPr>
                <w:color w:val="000000"/>
              </w:rPr>
            </w:pPr>
            <m:oMathPara>
              <m:oMath>
                <m:sSub>
                  <m:sSubPr>
                    <m:ctrlPr>
                      <w:rPr>
                        <w:rFonts w:ascii="Cambria Math" w:eastAsiaTheme="minorEastAsia" w:hAnsi="Cambria Math"/>
                        <w:i/>
                      </w:rPr>
                    </m:ctrlPr>
                  </m:sSubPr>
                  <m:e>
                    <m:r>
                      <w:rPr>
                        <w:rFonts w:ascii="Cambria Math" w:eastAsiaTheme="minorEastAsia" w:hAnsi="Cambria Math"/>
                      </w:rPr>
                      <m:t>BORD</m:t>
                    </m:r>
                  </m:e>
                  <m:sub>
                    <m:r>
                      <w:rPr>
                        <w:rFonts w:ascii="Cambria Math" w:eastAsiaTheme="minorEastAsia" w:hAnsi="Cambria Math"/>
                      </w:rPr>
                      <m:t>ij</m:t>
                    </m:r>
                  </m:sub>
                </m:sSub>
              </m:oMath>
            </m:oMathPara>
          </w:p>
        </w:tc>
        <w:tc>
          <w:tcPr>
            <w:tcW w:w="1781"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1.5593**          (0.000</w:t>
            </w:r>
            <w:r w:rsidRPr="00AD0209">
              <w:rPr>
                <w:color w:val="000000"/>
              </w:rPr>
              <w:t>)</w:t>
            </w:r>
          </w:p>
        </w:tc>
        <w:tc>
          <w:tcPr>
            <w:tcW w:w="1865"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1.5829</w:t>
            </w:r>
            <w:r w:rsidRPr="00AD0209">
              <w:rPr>
                <w:color w:val="000000"/>
              </w:rPr>
              <w:t>**        (0.000)</w:t>
            </w:r>
          </w:p>
        </w:tc>
        <w:tc>
          <w:tcPr>
            <w:tcW w:w="1777"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1.6280</w:t>
            </w:r>
            <w:r w:rsidRPr="00AD0209">
              <w:rPr>
                <w:color w:val="000000"/>
              </w:rPr>
              <w:t>**      (0.000)</w:t>
            </w:r>
          </w:p>
        </w:tc>
      </w:tr>
      <w:tr w:rsidR="00671A49" w:rsidRPr="00AD0209" w:rsidTr="00DD0572">
        <w:trPr>
          <w:trHeight w:val="418"/>
        </w:trPr>
        <w:tc>
          <w:tcPr>
            <w:tcW w:w="1952" w:type="dxa"/>
            <w:vAlign w:val="bottom"/>
            <w:hideMark/>
          </w:tcPr>
          <w:p w:rsidR="00671A49" w:rsidRPr="00AD0209" w:rsidRDefault="00B64390" w:rsidP="00DD0572">
            <w:pPr>
              <w:autoSpaceDE w:val="0"/>
              <w:autoSpaceDN w:val="0"/>
              <w:adjustRightInd w:val="0"/>
              <w:spacing w:line="360" w:lineRule="auto"/>
              <w:contextualSpacing/>
              <w:jc w:val="center"/>
              <w:rPr>
                <w:color w:val="000000"/>
              </w:rPr>
            </w:pPr>
            <m:oMathPara>
              <m:oMath>
                <m:sSub>
                  <m:sSubPr>
                    <m:ctrlPr>
                      <w:rPr>
                        <w:rFonts w:ascii="Cambria Math" w:eastAsiaTheme="minorEastAsia" w:hAnsi="Cambria Math"/>
                        <w:i/>
                      </w:rPr>
                    </m:ctrlPr>
                  </m:sSubPr>
                  <m:e>
                    <m:r>
                      <w:rPr>
                        <w:rFonts w:ascii="Cambria Math" w:eastAsiaTheme="minorEastAsia" w:hAnsi="Cambria Math"/>
                      </w:rPr>
                      <m:t>YUM</m:t>
                    </m:r>
                  </m:e>
                  <m:sub>
                    <m:r>
                      <w:rPr>
                        <w:rFonts w:ascii="Cambria Math" w:eastAsiaTheme="minorEastAsia" w:hAnsi="Cambria Math"/>
                      </w:rPr>
                      <m:t>ij</m:t>
                    </m:r>
                  </m:sub>
                </m:sSub>
              </m:oMath>
            </m:oMathPara>
          </w:p>
        </w:tc>
        <w:tc>
          <w:tcPr>
            <w:tcW w:w="1781"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1.416**        (0.000</w:t>
            </w:r>
            <w:r w:rsidRPr="00AD0209">
              <w:rPr>
                <w:color w:val="000000"/>
              </w:rPr>
              <w:t>)</w:t>
            </w:r>
          </w:p>
        </w:tc>
        <w:tc>
          <w:tcPr>
            <w:tcW w:w="1865"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1.3262*         (0.000</w:t>
            </w:r>
            <w:r w:rsidRPr="00AD0209">
              <w:rPr>
                <w:color w:val="000000"/>
              </w:rPr>
              <w:t>)</w:t>
            </w:r>
          </w:p>
        </w:tc>
        <w:tc>
          <w:tcPr>
            <w:tcW w:w="1777" w:type="dxa"/>
            <w:vAlign w:val="bottom"/>
          </w:tcPr>
          <w:p w:rsidR="00671A49" w:rsidRPr="00AD0209" w:rsidRDefault="00671A49" w:rsidP="00DD0572">
            <w:pPr>
              <w:autoSpaceDE w:val="0"/>
              <w:autoSpaceDN w:val="0"/>
              <w:adjustRightInd w:val="0"/>
              <w:spacing w:line="360" w:lineRule="auto"/>
              <w:ind w:right="10"/>
              <w:contextualSpacing/>
              <w:jc w:val="center"/>
              <w:rPr>
                <w:color w:val="000000"/>
              </w:rPr>
            </w:pPr>
            <w:r>
              <w:rPr>
                <w:color w:val="000000"/>
              </w:rPr>
              <w:t>0</w:t>
            </w:r>
            <w:r w:rsidRPr="00AD0209">
              <w:rPr>
                <w:color w:val="000000"/>
              </w:rPr>
              <w:t>.</w:t>
            </w:r>
            <w:r>
              <w:rPr>
                <w:color w:val="000000"/>
              </w:rPr>
              <w:t>9940</w:t>
            </w:r>
            <w:r w:rsidRPr="00AD0209">
              <w:rPr>
                <w:color w:val="000000"/>
              </w:rPr>
              <w:t>**        (0.005)</w:t>
            </w:r>
          </w:p>
        </w:tc>
      </w:tr>
      <w:tr w:rsidR="00671A49" w:rsidRPr="00AD0209" w:rsidTr="00DD0572">
        <w:trPr>
          <w:trHeight w:val="274"/>
        </w:trPr>
        <w:tc>
          <w:tcPr>
            <w:tcW w:w="1952" w:type="dxa"/>
            <w:vAlign w:val="bottom"/>
          </w:tcPr>
          <w:p w:rsidR="00671A49" w:rsidRPr="000572BC" w:rsidRDefault="00671A49" w:rsidP="00DD0572">
            <w:pPr>
              <w:autoSpaceDE w:val="0"/>
              <w:autoSpaceDN w:val="0"/>
              <w:adjustRightInd w:val="0"/>
              <w:spacing w:line="360" w:lineRule="auto"/>
              <w:contextualSpacing/>
              <w:jc w:val="center"/>
              <w:rPr>
                <w:i/>
              </w:rPr>
            </w:pPr>
            <w:r w:rsidRPr="000572BC">
              <w:rPr>
                <w:i/>
              </w:rPr>
              <w:t>Constant</w:t>
            </w:r>
          </w:p>
        </w:tc>
        <w:tc>
          <w:tcPr>
            <w:tcW w:w="1781" w:type="dxa"/>
          </w:tcPr>
          <w:p w:rsidR="00671A49" w:rsidRDefault="00671A49" w:rsidP="00DD0572">
            <w:pPr>
              <w:jc w:val="center"/>
            </w:pPr>
            <w:r>
              <w:rPr>
                <w:color w:val="000000"/>
              </w:rPr>
              <w:t>-3.0596</w:t>
            </w:r>
            <w:r w:rsidRPr="00926465">
              <w:rPr>
                <w:color w:val="000000"/>
              </w:rPr>
              <w:t xml:space="preserve">         (0.</w:t>
            </w:r>
            <w:r>
              <w:rPr>
                <w:color w:val="000000"/>
              </w:rPr>
              <w:t>381</w:t>
            </w:r>
            <w:r w:rsidRPr="00926465">
              <w:rPr>
                <w:color w:val="000000"/>
              </w:rPr>
              <w:t>)</w:t>
            </w:r>
          </w:p>
        </w:tc>
        <w:tc>
          <w:tcPr>
            <w:tcW w:w="1865" w:type="dxa"/>
          </w:tcPr>
          <w:p w:rsidR="00671A49" w:rsidRDefault="00671A49" w:rsidP="00DD0572">
            <w:pPr>
              <w:jc w:val="center"/>
            </w:pPr>
            <w:r>
              <w:rPr>
                <w:color w:val="000000"/>
              </w:rPr>
              <w:t>-5.3047*</w:t>
            </w:r>
            <w:r w:rsidRPr="00926465">
              <w:rPr>
                <w:color w:val="000000"/>
              </w:rPr>
              <w:t xml:space="preserve">            (0.</w:t>
            </w:r>
            <w:r>
              <w:rPr>
                <w:color w:val="000000"/>
              </w:rPr>
              <w:t>096</w:t>
            </w:r>
            <w:r w:rsidRPr="00926465">
              <w:rPr>
                <w:color w:val="000000"/>
              </w:rPr>
              <w:t>)</w:t>
            </w:r>
          </w:p>
        </w:tc>
        <w:tc>
          <w:tcPr>
            <w:tcW w:w="1777" w:type="dxa"/>
          </w:tcPr>
          <w:p w:rsidR="00671A49" w:rsidRDefault="00671A49" w:rsidP="00DD0572">
            <w:pPr>
              <w:jc w:val="center"/>
            </w:pPr>
            <w:r>
              <w:rPr>
                <w:color w:val="000000"/>
              </w:rPr>
              <w:t>-19.4429</w:t>
            </w:r>
            <w:r w:rsidRPr="00926465">
              <w:rPr>
                <w:color w:val="000000"/>
              </w:rPr>
              <w:t xml:space="preserve">            (0.</w:t>
            </w:r>
            <w:r>
              <w:rPr>
                <w:color w:val="000000"/>
              </w:rPr>
              <w:t>000</w:t>
            </w:r>
            <w:r w:rsidRPr="00926465">
              <w:rPr>
                <w:color w:val="000000"/>
              </w:rPr>
              <w:t>)</w:t>
            </w:r>
          </w:p>
        </w:tc>
      </w:tr>
      <w:tr w:rsidR="00671A49" w:rsidRPr="00AD0209" w:rsidTr="00DD0572">
        <w:trPr>
          <w:trHeight w:val="32"/>
        </w:trPr>
        <w:tc>
          <w:tcPr>
            <w:tcW w:w="1952" w:type="dxa"/>
            <w:tcBorders>
              <w:bottom w:val="single" w:sz="12" w:space="0" w:color="auto"/>
            </w:tcBorders>
            <w:hideMark/>
          </w:tcPr>
          <w:p w:rsidR="00671A49" w:rsidRPr="00AD0209" w:rsidRDefault="00B64390" w:rsidP="00DD0572">
            <w:pPr>
              <w:autoSpaceDE w:val="0"/>
              <w:autoSpaceDN w:val="0"/>
              <w:adjustRightInd w:val="0"/>
              <w:spacing w:line="360" w:lineRule="auto"/>
              <w:contextualSpacing/>
              <w:jc w:val="both"/>
            </w:pPr>
            <m:oMathPara>
              <m:oMath>
                <m:sSup>
                  <m:sSupPr>
                    <m:ctrlPr>
                      <w:rPr>
                        <w:rFonts w:ascii="Cambria Math" w:hAnsi="Cambria Math"/>
                        <w:i/>
                      </w:rPr>
                    </m:ctrlPr>
                  </m:sSupPr>
                  <m:e>
                    <m:r>
                      <w:rPr>
                        <w:rFonts w:ascii="Cambria Math" w:hAnsi="Cambria Math"/>
                      </w:rPr>
                      <m:t>R</m:t>
                    </m:r>
                  </m:e>
                  <m:sup>
                    <m:r>
                      <w:rPr>
                        <w:rFonts w:ascii="Cambria Math"/>
                      </w:rPr>
                      <m:t>2</m:t>
                    </m:r>
                  </m:sup>
                </m:sSup>
              </m:oMath>
            </m:oMathPara>
          </w:p>
        </w:tc>
        <w:tc>
          <w:tcPr>
            <w:tcW w:w="1781"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t>0.7294</w:t>
            </w:r>
          </w:p>
        </w:tc>
        <w:tc>
          <w:tcPr>
            <w:tcW w:w="1865"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t>0.7289</w:t>
            </w:r>
          </w:p>
        </w:tc>
        <w:tc>
          <w:tcPr>
            <w:tcW w:w="1777" w:type="dxa"/>
            <w:tcBorders>
              <w:bottom w:val="single" w:sz="12" w:space="0" w:color="auto"/>
            </w:tcBorders>
          </w:tcPr>
          <w:p w:rsidR="00671A49" w:rsidRPr="00AD0209" w:rsidRDefault="00671A49" w:rsidP="00DD0572">
            <w:pPr>
              <w:autoSpaceDE w:val="0"/>
              <w:autoSpaceDN w:val="0"/>
              <w:adjustRightInd w:val="0"/>
              <w:spacing w:line="360" w:lineRule="auto"/>
              <w:contextualSpacing/>
              <w:jc w:val="center"/>
            </w:pPr>
            <w:r>
              <w:t>0.7447</w:t>
            </w:r>
          </w:p>
        </w:tc>
      </w:tr>
    </w:tbl>
    <w:p w:rsidR="00671A49" w:rsidRPr="00FF6AC0" w:rsidRDefault="00671A49" w:rsidP="00671A49">
      <w:pPr>
        <w:autoSpaceDE w:val="0"/>
        <w:autoSpaceDN w:val="0"/>
        <w:adjustRightInd w:val="0"/>
        <w:spacing w:line="360" w:lineRule="auto"/>
        <w:contextualSpacing/>
        <w:jc w:val="both"/>
        <w:rPr>
          <w:i/>
          <w:sz w:val="20"/>
          <w:szCs w:val="20"/>
        </w:rPr>
      </w:pPr>
      <w:r w:rsidRPr="00FF6AC0">
        <w:rPr>
          <w:sz w:val="20"/>
          <w:szCs w:val="20"/>
        </w:rPr>
        <w:t>Note</w:t>
      </w:r>
      <w:r w:rsidR="00B106CA">
        <w:rPr>
          <w:sz w:val="20"/>
          <w:szCs w:val="20"/>
        </w:rPr>
        <w:t>s</w:t>
      </w:r>
      <w:r w:rsidRPr="00FF6AC0">
        <w:rPr>
          <w:sz w:val="20"/>
          <w:szCs w:val="20"/>
        </w:rPr>
        <w:t>: p-values are given in brackets. ** Significance at 1% level</w:t>
      </w:r>
      <w:r w:rsidR="00B106CA">
        <w:rPr>
          <w:sz w:val="20"/>
          <w:szCs w:val="20"/>
        </w:rPr>
        <w:t>.</w:t>
      </w:r>
      <w:r w:rsidRPr="00FF6AC0">
        <w:rPr>
          <w:sz w:val="20"/>
          <w:szCs w:val="20"/>
        </w:rPr>
        <w:t xml:space="preserve"> * Significance at 5% level.</w:t>
      </w:r>
    </w:p>
    <w:p w:rsidR="00671A49" w:rsidRPr="00AD0209" w:rsidRDefault="00671A49" w:rsidP="00671A49">
      <w:pPr>
        <w:autoSpaceDE w:val="0"/>
        <w:autoSpaceDN w:val="0"/>
        <w:adjustRightInd w:val="0"/>
        <w:spacing w:line="480" w:lineRule="auto"/>
        <w:contextualSpacing/>
        <w:jc w:val="both"/>
      </w:pPr>
      <w:r w:rsidRPr="00AD0209">
        <w:tab/>
      </w:r>
    </w:p>
    <w:p w:rsidR="005A7225" w:rsidRDefault="00600105" w:rsidP="005A7225">
      <w:pPr>
        <w:autoSpaceDE w:val="0"/>
        <w:autoSpaceDN w:val="0"/>
        <w:adjustRightInd w:val="0"/>
        <w:spacing w:line="480" w:lineRule="auto"/>
        <w:ind w:firstLine="720"/>
        <w:contextualSpacing/>
        <w:jc w:val="both"/>
      </w:pPr>
      <w:r>
        <w:rPr>
          <w:sz w:val="23"/>
          <w:szCs w:val="23"/>
        </w:rPr>
        <w:t xml:space="preserve">The effects of the joint changes in the </w:t>
      </w:r>
      <w:r w:rsidR="00E1212E">
        <w:rPr>
          <w:sz w:val="23"/>
          <w:szCs w:val="23"/>
        </w:rPr>
        <w:t>variables</w:t>
      </w:r>
      <w:r>
        <w:rPr>
          <w:sz w:val="23"/>
          <w:szCs w:val="23"/>
        </w:rPr>
        <w:t xml:space="preserve"> (documents, days at border or cost</w:t>
      </w:r>
      <w:r w:rsidR="00F50EFE">
        <w:rPr>
          <w:sz w:val="23"/>
          <w:szCs w:val="23"/>
        </w:rPr>
        <w:t>s</w:t>
      </w:r>
      <w:r>
        <w:rPr>
          <w:sz w:val="23"/>
          <w:szCs w:val="23"/>
        </w:rPr>
        <w:t xml:space="preserve">) of importer and exporter </w:t>
      </w:r>
      <w:r w:rsidR="00AE6864">
        <w:rPr>
          <w:sz w:val="23"/>
          <w:szCs w:val="23"/>
        </w:rPr>
        <w:t>countries are presented in T</w:t>
      </w:r>
      <w:r>
        <w:rPr>
          <w:sz w:val="23"/>
          <w:szCs w:val="23"/>
        </w:rPr>
        <w:t>able 3</w:t>
      </w:r>
      <w:r w:rsidR="00F12CCD">
        <w:rPr>
          <w:sz w:val="23"/>
          <w:szCs w:val="23"/>
        </w:rPr>
        <w:t>.</w:t>
      </w:r>
      <w:r>
        <w:rPr>
          <w:sz w:val="23"/>
          <w:szCs w:val="23"/>
        </w:rPr>
        <w:t xml:space="preserve"> The costs per container </w:t>
      </w:r>
      <w:r>
        <w:rPr>
          <w:sz w:val="23"/>
          <w:szCs w:val="23"/>
        </w:rPr>
        <w:lastRenderedPageBreak/>
        <w:t xml:space="preserve">and days at </w:t>
      </w:r>
      <w:r w:rsidR="007B680E">
        <w:rPr>
          <w:sz w:val="23"/>
          <w:szCs w:val="23"/>
        </w:rPr>
        <w:t xml:space="preserve">the </w:t>
      </w:r>
      <w:r>
        <w:rPr>
          <w:sz w:val="23"/>
          <w:szCs w:val="23"/>
        </w:rPr>
        <w:t>border of both importer and exp</w:t>
      </w:r>
      <w:r w:rsidR="00AE6864">
        <w:rPr>
          <w:sz w:val="23"/>
          <w:szCs w:val="23"/>
        </w:rPr>
        <w:t>orter countries are significant</w:t>
      </w:r>
      <w:r>
        <w:rPr>
          <w:sz w:val="23"/>
          <w:szCs w:val="23"/>
        </w:rPr>
        <w:t xml:space="preserve">, while the documents at </w:t>
      </w:r>
      <w:r w:rsidR="007B680E">
        <w:rPr>
          <w:sz w:val="23"/>
          <w:szCs w:val="23"/>
        </w:rPr>
        <w:t xml:space="preserve">the </w:t>
      </w:r>
      <w:r>
        <w:rPr>
          <w:sz w:val="23"/>
          <w:szCs w:val="23"/>
        </w:rPr>
        <w:t xml:space="preserve">border of both importer and exporter countries are still not significant. The results imply that </w:t>
      </w:r>
      <w:r w:rsidR="007B680E">
        <w:rPr>
          <w:sz w:val="23"/>
          <w:szCs w:val="23"/>
        </w:rPr>
        <w:t xml:space="preserve">a </w:t>
      </w:r>
      <w:r w:rsidR="00933A49" w:rsidRPr="00AD0209">
        <w:t>1</w:t>
      </w:r>
      <w:r w:rsidR="00E30887">
        <w:t>0</w:t>
      </w:r>
      <w:r w:rsidR="00276242">
        <w:t xml:space="preserve"> percent</w:t>
      </w:r>
      <w:r w:rsidR="00933A49" w:rsidRPr="00AD0209">
        <w:t xml:space="preserve"> </w:t>
      </w:r>
      <w:r w:rsidR="00E30887">
        <w:t>r</w:t>
      </w:r>
      <w:r w:rsidR="00933A49" w:rsidRPr="00AD0209">
        <w:t>eduction of</w:t>
      </w:r>
      <w:r w:rsidR="00E30887">
        <w:t xml:space="preserve"> </w:t>
      </w:r>
      <w:r w:rsidR="00AE6864">
        <w:t xml:space="preserve">the </w:t>
      </w:r>
      <w:r w:rsidR="00E30887">
        <w:t xml:space="preserve">costs both in importer and exporter countries </w:t>
      </w:r>
      <w:r w:rsidR="00933A49" w:rsidRPr="00AD0209">
        <w:t>may</w:t>
      </w:r>
      <w:r w:rsidR="00E30887">
        <w:t xml:space="preserve"> lead to </w:t>
      </w:r>
      <w:r w:rsidR="0094612D">
        <w:t xml:space="preserve">an </w:t>
      </w:r>
      <w:r w:rsidR="00E30887">
        <w:t xml:space="preserve">approximately </w:t>
      </w:r>
      <w:r w:rsidR="00AE6864">
        <w:t>10</w:t>
      </w:r>
      <w:r w:rsidR="00276242">
        <w:t xml:space="preserve"> percent</w:t>
      </w:r>
      <w:r w:rsidR="00E30887">
        <w:t xml:space="preserve"> </w:t>
      </w:r>
      <w:r w:rsidR="00AE6864">
        <w:t xml:space="preserve">increase </w:t>
      </w:r>
      <w:r w:rsidR="0094612D">
        <w:t xml:space="preserve">in </w:t>
      </w:r>
      <w:r w:rsidR="00E30887">
        <w:t xml:space="preserve">export, while </w:t>
      </w:r>
      <w:r w:rsidR="0094612D">
        <w:t xml:space="preserve">a </w:t>
      </w:r>
      <w:r w:rsidR="00E30887">
        <w:t>10</w:t>
      </w:r>
      <w:r w:rsidR="00276242">
        <w:t xml:space="preserve"> percent</w:t>
      </w:r>
      <w:r w:rsidR="00E30887">
        <w:t xml:space="preserve"> reduction of time at </w:t>
      </w:r>
      <w:r w:rsidR="0094612D">
        <w:t xml:space="preserve">the </w:t>
      </w:r>
      <w:r w:rsidR="00E30887">
        <w:t xml:space="preserve">border both in importer and exporter countries may lead to </w:t>
      </w:r>
      <w:r w:rsidR="0094612D">
        <w:t xml:space="preserve">a </w:t>
      </w:r>
      <w:r w:rsidR="00E30887">
        <w:t>5.5</w:t>
      </w:r>
      <w:r w:rsidR="00276242">
        <w:t xml:space="preserve"> percent</w:t>
      </w:r>
      <w:r w:rsidR="00933A49" w:rsidRPr="00AD0209">
        <w:t xml:space="preserve"> increase</w:t>
      </w:r>
      <w:r w:rsidR="00AE6864">
        <w:t xml:space="preserve"> </w:t>
      </w:r>
      <w:r w:rsidR="0094612D">
        <w:t>in</w:t>
      </w:r>
      <w:r w:rsidR="0094612D" w:rsidRPr="00AD0209">
        <w:t xml:space="preserve"> </w:t>
      </w:r>
      <w:r w:rsidR="00933A49" w:rsidRPr="00AD0209">
        <w:t>export</w:t>
      </w:r>
      <w:r w:rsidR="00E30887">
        <w:t xml:space="preserve">. </w:t>
      </w:r>
    </w:p>
    <w:p w:rsidR="00AC3729" w:rsidRDefault="00AC3729" w:rsidP="00933A49">
      <w:pPr>
        <w:autoSpaceDE w:val="0"/>
        <w:autoSpaceDN w:val="0"/>
        <w:adjustRightInd w:val="0"/>
        <w:spacing w:line="480" w:lineRule="auto"/>
        <w:ind w:firstLine="720"/>
        <w:contextualSpacing/>
        <w:jc w:val="both"/>
      </w:pPr>
      <w:r>
        <w:t xml:space="preserve">The estimated values and significance of the other variables included in model specifications 4 to 6 provide evidence for the robustness of the findings </w:t>
      </w:r>
      <w:r w:rsidR="005A7225">
        <w:t xml:space="preserve">of the previous three specifications. The GDP of the exporter country and GDP of the </w:t>
      </w:r>
      <w:r w:rsidR="00564828">
        <w:t xml:space="preserve">importer </w:t>
      </w:r>
      <w:r w:rsidR="005A7225">
        <w:t>country</w:t>
      </w:r>
      <w:r w:rsidR="00D04E28">
        <w:t>, as well as shared</w:t>
      </w:r>
      <w:r w:rsidR="005A7225">
        <w:t xml:space="preserve"> border and participation in ex-Yugoslav market are significant variables. In addition, the weighted distance is significant </w:t>
      </w:r>
      <w:r w:rsidR="00564828">
        <w:t xml:space="preserve">at </w:t>
      </w:r>
      <w:r w:rsidR="005A7225">
        <w:t>the 5</w:t>
      </w:r>
      <w:r w:rsidR="00276242">
        <w:t xml:space="preserve"> percent</w:t>
      </w:r>
      <w:r w:rsidR="005A7225">
        <w:t xml:space="preserve"> level in two of </w:t>
      </w:r>
      <w:r w:rsidR="00564828">
        <w:t xml:space="preserve">the </w:t>
      </w:r>
      <w:r w:rsidR="005A7225">
        <w:t xml:space="preserve">three specifications, which confirms the findings of </w:t>
      </w:r>
      <w:r w:rsidR="005A7225" w:rsidRPr="002C3DC2">
        <w:rPr>
          <w:rFonts w:eastAsiaTheme="minorEastAsia"/>
        </w:rPr>
        <w:t xml:space="preserve">Anderson and </w:t>
      </w:r>
      <w:r w:rsidR="0094471D">
        <w:rPr>
          <w:rFonts w:eastAsiaTheme="minorEastAsia"/>
        </w:rPr>
        <w:t xml:space="preserve">van </w:t>
      </w:r>
      <w:r w:rsidR="005A7225" w:rsidRPr="002C3DC2">
        <w:rPr>
          <w:rFonts w:eastAsiaTheme="minorEastAsia"/>
        </w:rPr>
        <w:t>Wincoop (2005</w:t>
      </w:r>
      <w:r w:rsidR="005A7225">
        <w:rPr>
          <w:rFonts w:eastAsiaTheme="minorEastAsia"/>
        </w:rPr>
        <w:t>).</w:t>
      </w:r>
      <w:r w:rsidR="005A7225">
        <w:t xml:space="preserve"> The</w:t>
      </w:r>
      <w:r w:rsidR="00D04E28">
        <w:t xml:space="preserve"> effect of</w:t>
      </w:r>
      <w:r w:rsidR="00AE6864">
        <w:t xml:space="preserve"> common language </w:t>
      </w:r>
      <w:r w:rsidR="00666917">
        <w:t xml:space="preserve">is </w:t>
      </w:r>
      <w:r w:rsidR="00AE6864">
        <w:t xml:space="preserve">not </w:t>
      </w:r>
      <w:r w:rsidR="00D04E28">
        <w:t xml:space="preserve">significant </w:t>
      </w:r>
      <w:r w:rsidR="00666917">
        <w:t>for</w:t>
      </w:r>
      <w:r w:rsidR="00D04E28">
        <w:t xml:space="preserve"> bilateral export.</w:t>
      </w:r>
    </w:p>
    <w:p w:rsidR="003F7185" w:rsidRPr="00AD0209" w:rsidRDefault="003F7185" w:rsidP="002C6185">
      <w:pPr>
        <w:autoSpaceDE w:val="0"/>
        <w:autoSpaceDN w:val="0"/>
        <w:adjustRightInd w:val="0"/>
        <w:spacing w:line="480" w:lineRule="auto"/>
        <w:contextualSpacing/>
        <w:jc w:val="both"/>
      </w:pPr>
    </w:p>
    <w:p w:rsidR="00DC78BD" w:rsidRPr="002C6185" w:rsidRDefault="00AB1AB5" w:rsidP="00AB1AB5">
      <w:pPr>
        <w:pStyle w:val="ListParagraph"/>
        <w:autoSpaceDE w:val="0"/>
        <w:autoSpaceDN w:val="0"/>
        <w:adjustRightInd w:val="0"/>
        <w:spacing w:line="480" w:lineRule="auto"/>
        <w:jc w:val="both"/>
        <w:rPr>
          <w:b/>
        </w:rPr>
      </w:pPr>
      <w:r>
        <w:rPr>
          <w:b/>
        </w:rPr>
        <w:t>5.</w:t>
      </w:r>
      <w:r>
        <w:rPr>
          <w:b/>
        </w:rPr>
        <w:tab/>
      </w:r>
      <w:r w:rsidR="001D60A4" w:rsidRPr="002C6185">
        <w:rPr>
          <w:b/>
        </w:rPr>
        <w:t>Conclusion</w:t>
      </w:r>
    </w:p>
    <w:p w:rsidR="007C1201" w:rsidRPr="00F031B9" w:rsidRDefault="001D60A4" w:rsidP="00AE6864">
      <w:pPr>
        <w:autoSpaceDE w:val="0"/>
        <w:autoSpaceDN w:val="0"/>
        <w:adjustRightInd w:val="0"/>
        <w:spacing w:line="480" w:lineRule="auto"/>
        <w:ind w:firstLine="720"/>
        <w:contextualSpacing/>
        <w:jc w:val="both"/>
      </w:pPr>
      <w:r w:rsidRPr="00AD0209">
        <w:t>The aim of this paper was to analyze the significance of certain customs and administrative procedures and their influence o</w:t>
      </w:r>
      <w:r w:rsidR="003D600A">
        <w:t>n</w:t>
      </w:r>
      <w:r w:rsidRPr="00AD0209">
        <w:t xml:space="preserve"> trade </w:t>
      </w:r>
      <w:r w:rsidR="00D518E6">
        <w:t>between</w:t>
      </w:r>
      <w:r w:rsidR="0061678A" w:rsidRPr="00AD0209">
        <w:t xml:space="preserve"> </w:t>
      </w:r>
      <w:r w:rsidRPr="00AD0209">
        <w:t xml:space="preserve">the </w:t>
      </w:r>
      <w:r w:rsidR="00AB1AB5">
        <w:t xml:space="preserve">selected </w:t>
      </w:r>
      <w:r w:rsidRPr="00AD0209">
        <w:t>countries in South-Eastern Europe. The model specifications have shown that days at the border</w:t>
      </w:r>
      <w:r w:rsidR="00B9019C" w:rsidRPr="00AD0209">
        <w:t xml:space="preserve"> and costs paid </w:t>
      </w:r>
      <w:r w:rsidR="00B55FA4">
        <w:t>in both</w:t>
      </w:r>
      <w:r w:rsidR="001F3B41">
        <w:t xml:space="preserve"> </w:t>
      </w:r>
      <w:r w:rsidR="001F3B41" w:rsidRPr="00F031B9">
        <w:t>import</w:t>
      </w:r>
      <w:r w:rsidR="007C7540">
        <w:t>er</w:t>
      </w:r>
      <w:r w:rsidR="001F3B41" w:rsidRPr="00F031B9">
        <w:t xml:space="preserve"> and export</w:t>
      </w:r>
      <w:r w:rsidR="007C7540">
        <w:t>er country</w:t>
      </w:r>
      <w:r w:rsidR="001F3B41" w:rsidRPr="00F031B9">
        <w:t xml:space="preserve"> </w:t>
      </w:r>
      <w:r w:rsidR="00B9019C" w:rsidRPr="00F031B9">
        <w:t>have significant</w:t>
      </w:r>
      <w:r w:rsidR="001F3B41" w:rsidRPr="00F031B9">
        <w:t xml:space="preserve"> negative</w:t>
      </w:r>
      <w:r w:rsidR="00B9019C" w:rsidRPr="00F031B9">
        <w:t xml:space="preserve"> influence o</w:t>
      </w:r>
      <w:r w:rsidR="00BE2DD3">
        <w:t>n</w:t>
      </w:r>
      <w:r w:rsidR="00B9019C" w:rsidRPr="00F031B9">
        <w:t xml:space="preserve"> trade</w:t>
      </w:r>
      <w:r w:rsidR="001F3B41" w:rsidRPr="00F031B9">
        <w:t xml:space="preserve">, while it seems that </w:t>
      </w:r>
      <w:r w:rsidR="00F50EFE">
        <w:t xml:space="preserve">the </w:t>
      </w:r>
      <w:r w:rsidR="001F3B41" w:rsidRPr="00F031B9">
        <w:t xml:space="preserve">number of documents </w:t>
      </w:r>
      <w:r w:rsidR="00FC4C0F">
        <w:t xml:space="preserve">needed </w:t>
      </w:r>
      <w:r w:rsidR="001F3B41" w:rsidRPr="00F031B9">
        <w:t xml:space="preserve">to import or export </w:t>
      </w:r>
      <w:r w:rsidR="00AE6864">
        <w:t>did</w:t>
      </w:r>
      <w:r w:rsidR="008A2587">
        <w:t xml:space="preserve"> </w:t>
      </w:r>
      <w:r w:rsidR="00AB1AB5">
        <w:t xml:space="preserve">not </w:t>
      </w:r>
      <w:r w:rsidR="00AB1AB5" w:rsidRPr="00F031B9">
        <w:t>have</w:t>
      </w:r>
      <w:r w:rsidR="001F3B41" w:rsidRPr="00F031B9">
        <w:t xml:space="preserve"> any </w:t>
      </w:r>
      <w:r w:rsidR="00AE6864">
        <w:t xml:space="preserve">significant </w:t>
      </w:r>
      <w:r w:rsidR="001F3B41" w:rsidRPr="00F031B9">
        <w:t>influence</w:t>
      </w:r>
      <w:r w:rsidR="00AE6864">
        <w:t xml:space="preserve"> o</w:t>
      </w:r>
      <w:r w:rsidR="003D600A">
        <w:t>n</w:t>
      </w:r>
      <w:r w:rsidR="00AE6864">
        <w:t xml:space="preserve"> trade</w:t>
      </w:r>
      <w:r w:rsidR="001F3B41" w:rsidRPr="00F031B9">
        <w:t xml:space="preserve"> in the </w:t>
      </w:r>
      <w:r w:rsidR="00AE6864">
        <w:t xml:space="preserve">period </w:t>
      </w:r>
      <w:r w:rsidR="001F3B41" w:rsidRPr="00F031B9">
        <w:t xml:space="preserve">2008-2012. </w:t>
      </w:r>
    </w:p>
    <w:p w:rsidR="00011B69" w:rsidRPr="00F031B9" w:rsidRDefault="00011B69" w:rsidP="00011B69">
      <w:pPr>
        <w:autoSpaceDE w:val="0"/>
        <w:autoSpaceDN w:val="0"/>
        <w:adjustRightInd w:val="0"/>
        <w:spacing w:line="480" w:lineRule="auto"/>
        <w:ind w:firstLine="720"/>
        <w:jc w:val="both"/>
      </w:pPr>
      <w:r w:rsidRPr="00F031B9">
        <w:lastRenderedPageBreak/>
        <w:t xml:space="preserve">The results have shown another interesting point. Sharing the same border and being part of the former Yugoslav market have shown to be statistically significant for the trade between these countries. This implies that the countries that share </w:t>
      </w:r>
      <w:r w:rsidR="00FC4C0F">
        <w:t xml:space="preserve">a </w:t>
      </w:r>
      <w:r w:rsidRPr="00F031B9">
        <w:t xml:space="preserve">common border and have shared </w:t>
      </w:r>
      <w:r w:rsidR="00FC4C0F">
        <w:t xml:space="preserve">a </w:t>
      </w:r>
      <w:r w:rsidRPr="00F031B9">
        <w:t>common history still have strong economic and trade relations. These facts should</w:t>
      </w:r>
      <w:r w:rsidR="005300FD">
        <w:t xml:space="preserve"> </w:t>
      </w:r>
      <w:r w:rsidR="00AB1AB5">
        <w:t xml:space="preserve">not </w:t>
      </w:r>
      <w:r w:rsidR="00AB1AB5" w:rsidRPr="00F031B9">
        <w:t>be</w:t>
      </w:r>
      <w:r w:rsidRPr="00F031B9">
        <w:t xml:space="preserve"> overlooked </w:t>
      </w:r>
      <w:r w:rsidR="000D6871" w:rsidRPr="00F031B9">
        <w:t xml:space="preserve">by </w:t>
      </w:r>
      <w:r w:rsidR="000D6871">
        <w:t xml:space="preserve">the individual </w:t>
      </w:r>
      <w:r w:rsidR="000D6871" w:rsidRPr="00F031B9">
        <w:t xml:space="preserve">countries </w:t>
      </w:r>
      <w:r w:rsidRPr="00F031B9">
        <w:t xml:space="preserve">when preparing and undertaking trade facilitation measures.  </w:t>
      </w:r>
    </w:p>
    <w:p w:rsidR="00011B69" w:rsidRPr="00F031B9" w:rsidRDefault="00011B69" w:rsidP="00011B69">
      <w:pPr>
        <w:autoSpaceDE w:val="0"/>
        <w:autoSpaceDN w:val="0"/>
        <w:adjustRightInd w:val="0"/>
        <w:spacing w:line="480" w:lineRule="auto"/>
        <w:ind w:firstLine="720"/>
        <w:jc w:val="both"/>
      </w:pPr>
      <w:r w:rsidRPr="00F031B9">
        <w:t xml:space="preserve">The results obtained from the analysis should be taken into consideration by </w:t>
      </w:r>
      <w:r w:rsidR="000D6871">
        <w:t>the individual</w:t>
      </w:r>
      <w:r w:rsidR="000D6871" w:rsidRPr="00F031B9">
        <w:t xml:space="preserve"> </w:t>
      </w:r>
      <w:r w:rsidRPr="00F031B9">
        <w:t xml:space="preserve">countries when preparing future trade policy directions. This means that the countries from South-Eastern Europe should </w:t>
      </w:r>
      <w:r w:rsidR="000D6871">
        <w:t>place</w:t>
      </w:r>
      <w:r w:rsidR="000D6871" w:rsidRPr="00F031B9">
        <w:t xml:space="preserve"> </w:t>
      </w:r>
      <w:r w:rsidRPr="00F031B9">
        <w:t>more attention on undertaking measures and policies that can reduce border crossing time or at least measures that w</w:t>
      </w:r>
      <w:r w:rsidR="007A6BC2">
        <w:t xml:space="preserve">ill </w:t>
      </w:r>
      <w:r w:rsidR="00AB1AB5">
        <w:t xml:space="preserve">not </w:t>
      </w:r>
      <w:r w:rsidR="00AB1AB5" w:rsidRPr="00F031B9">
        <w:t>represent</w:t>
      </w:r>
      <w:r w:rsidRPr="00F031B9">
        <w:t xml:space="preserve"> </w:t>
      </w:r>
      <w:r w:rsidR="00680C65">
        <w:t xml:space="preserve">an </w:t>
      </w:r>
      <w:r w:rsidRPr="00F031B9">
        <w:t>unnecessary burden to trade. One way to reduce the time needed for trade between these countries is by simplifying and harmonizing certain customs and administrative procedures. Simplification and harmonization of procedures and documents in trade have been proved in international practice as measures that facilitate trade and can be</w:t>
      </w:r>
      <w:r w:rsidR="00680C65">
        <w:t xml:space="preserve"> a</w:t>
      </w:r>
      <w:r w:rsidRPr="00F031B9">
        <w:t xml:space="preserve"> positive impulse to promote export </w:t>
      </w:r>
      <w:r w:rsidR="00680C65" w:rsidRPr="00F031B9">
        <w:t xml:space="preserve">and trade </w:t>
      </w:r>
      <w:r w:rsidRPr="00F031B9">
        <w:t xml:space="preserve">growth.  </w:t>
      </w:r>
    </w:p>
    <w:p w:rsidR="00011B69" w:rsidRPr="00F031B9" w:rsidRDefault="00011B69" w:rsidP="00011B69">
      <w:pPr>
        <w:autoSpaceDE w:val="0"/>
        <w:autoSpaceDN w:val="0"/>
        <w:adjustRightInd w:val="0"/>
        <w:spacing w:line="480" w:lineRule="auto"/>
        <w:ind w:firstLine="720"/>
        <w:jc w:val="both"/>
      </w:pPr>
      <w:r w:rsidRPr="00F031B9">
        <w:t xml:space="preserve">Another aspect that arises from this analysis is the direction that can be used for setting future CEFTA-2006 prospects. All transition periods for trade liberalization </w:t>
      </w:r>
      <w:r w:rsidR="00AE6864">
        <w:t xml:space="preserve">and tariff reduction </w:t>
      </w:r>
      <w:r w:rsidRPr="00F031B9">
        <w:t xml:space="preserve">between CEFTA-2006 members have elapsed and future trade benefits can only be obtained by undertaking trade facilitation measures and reducing customs and administrative procedures. Since most of these countries are small, import dependent and landlocked, undertaking trade facilitation measures, especially by reducing certain customs and administrative procedures, can be the most feasible way to promote export and mutual trade.    </w:t>
      </w:r>
    </w:p>
    <w:p w:rsidR="00011B69" w:rsidRPr="00F031B9" w:rsidRDefault="00011B69" w:rsidP="00011B69">
      <w:pPr>
        <w:autoSpaceDE w:val="0"/>
        <w:autoSpaceDN w:val="0"/>
        <w:adjustRightInd w:val="0"/>
        <w:spacing w:line="480" w:lineRule="auto"/>
        <w:ind w:firstLine="720"/>
        <w:jc w:val="both"/>
      </w:pPr>
      <w:r w:rsidRPr="00F031B9">
        <w:lastRenderedPageBreak/>
        <w:t>The paper does</w:t>
      </w:r>
      <w:r w:rsidR="00520605">
        <w:t xml:space="preserve"> not </w:t>
      </w:r>
      <w:r w:rsidRPr="00F031B9">
        <w:t xml:space="preserve">say anything about how to </w:t>
      </w:r>
      <w:r w:rsidR="00861B33">
        <w:t>reduce</w:t>
      </w:r>
      <w:r w:rsidRPr="00F031B9">
        <w:t xml:space="preserve"> the time spent at the import borders. It does</w:t>
      </w:r>
      <w:r w:rsidR="00520605">
        <w:t xml:space="preserve"> not</w:t>
      </w:r>
      <w:r w:rsidRPr="00F031B9">
        <w:t xml:space="preserve"> say anything about what type of reform is needed or the amount of costs for such reduction. These types of answers are possible by undertaking deeper analysis of the measures affecting trade between these countries. </w:t>
      </w:r>
    </w:p>
    <w:p w:rsidR="00011B69" w:rsidRPr="00F031B9" w:rsidRDefault="00011B69" w:rsidP="00011B69">
      <w:pPr>
        <w:autoSpaceDE w:val="0"/>
        <w:autoSpaceDN w:val="0"/>
        <w:adjustRightInd w:val="0"/>
        <w:spacing w:line="480" w:lineRule="auto"/>
        <w:ind w:firstLine="720"/>
        <w:jc w:val="both"/>
      </w:pPr>
      <w:r w:rsidRPr="00F031B9">
        <w:t xml:space="preserve">The results from this paper can only be considered as indicators for the direction and relative importance of different customs and administrative procedures on trade. They, nevertheless, indicate that improving the efficiency of such customs and administrative procedures can facilitate trade and help promote export growth. </w:t>
      </w:r>
    </w:p>
    <w:p w:rsidR="009C0BEF" w:rsidRDefault="009C0BEF">
      <w:pPr>
        <w:spacing w:after="200" w:line="276" w:lineRule="auto"/>
      </w:pPr>
      <w:r>
        <w:br w:type="page"/>
      </w:r>
    </w:p>
    <w:p w:rsidR="00011B69" w:rsidRPr="00F031B9" w:rsidRDefault="00BE2DD3" w:rsidP="00011B69">
      <w:pPr>
        <w:spacing w:line="480" w:lineRule="auto"/>
        <w:jc w:val="both"/>
        <w:rPr>
          <w:b/>
        </w:rPr>
      </w:pPr>
      <w:r>
        <w:rPr>
          <w:b/>
        </w:rPr>
        <w:lastRenderedPageBreak/>
        <w:t>Literature</w:t>
      </w:r>
    </w:p>
    <w:p w:rsidR="00011B69" w:rsidRPr="00F031B9" w:rsidRDefault="00011B69" w:rsidP="00011B69">
      <w:pPr>
        <w:spacing w:line="480" w:lineRule="auto"/>
        <w:jc w:val="both"/>
      </w:pPr>
    </w:p>
    <w:p w:rsidR="00746891" w:rsidRDefault="003B0C20" w:rsidP="008E74C2">
      <w:pPr>
        <w:rPr>
          <w:rFonts w:eastAsiaTheme="minorHAnsi"/>
        </w:rPr>
      </w:pPr>
      <w:r>
        <w:rPr>
          <w:rFonts w:eastAsiaTheme="minorHAnsi"/>
        </w:rPr>
        <w:t>Anderson, James</w:t>
      </w:r>
      <w:r w:rsidR="00746891" w:rsidRPr="00AE6864">
        <w:rPr>
          <w:rFonts w:eastAsiaTheme="minorHAnsi"/>
        </w:rPr>
        <w:t xml:space="preserve"> and E</w:t>
      </w:r>
      <w:r>
        <w:rPr>
          <w:rFonts w:eastAsiaTheme="minorHAnsi"/>
        </w:rPr>
        <w:t>ric</w:t>
      </w:r>
      <w:r w:rsidR="00746891" w:rsidRPr="00AE6864">
        <w:rPr>
          <w:rFonts w:eastAsiaTheme="minorHAnsi"/>
        </w:rPr>
        <w:t xml:space="preserve"> van Wincoop</w:t>
      </w:r>
      <w:r>
        <w:rPr>
          <w:rFonts w:eastAsiaTheme="minorHAnsi"/>
        </w:rPr>
        <w:t>,</w:t>
      </w:r>
      <w:r w:rsidR="00746891">
        <w:rPr>
          <w:rFonts w:eastAsiaTheme="minorHAnsi"/>
        </w:rPr>
        <w:t xml:space="preserve"> </w:t>
      </w:r>
      <w:r w:rsidR="00746891" w:rsidRPr="00AE6864">
        <w:rPr>
          <w:rFonts w:eastAsiaTheme="minorHAnsi"/>
        </w:rPr>
        <w:t>2005</w:t>
      </w:r>
      <w:r w:rsidR="00BD2A03">
        <w:rPr>
          <w:rFonts w:eastAsiaTheme="minorHAnsi"/>
        </w:rPr>
        <w:t>,</w:t>
      </w:r>
      <w:r w:rsidR="00D15B22">
        <w:rPr>
          <w:rFonts w:eastAsiaTheme="minorHAnsi"/>
        </w:rPr>
        <w:t xml:space="preserve"> “Trade C</w:t>
      </w:r>
      <w:r w:rsidR="00746891" w:rsidRPr="00AE6864">
        <w:rPr>
          <w:rFonts w:eastAsiaTheme="minorHAnsi"/>
        </w:rPr>
        <w:t>osts”</w:t>
      </w:r>
      <w:r w:rsidR="00BD2A03">
        <w:rPr>
          <w:rFonts w:eastAsiaTheme="minorHAnsi"/>
        </w:rPr>
        <w:t>,</w:t>
      </w:r>
      <w:r w:rsidR="00746891" w:rsidRPr="00AE6864">
        <w:rPr>
          <w:rFonts w:eastAsiaTheme="minorHAnsi"/>
        </w:rPr>
        <w:t xml:space="preserve"> </w:t>
      </w:r>
      <w:r w:rsidR="00746891" w:rsidRPr="00D65B27">
        <w:rPr>
          <w:rFonts w:eastAsiaTheme="minorHAnsi"/>
          <w:i/>
        </w:rPr>
        <w:t>Journal of Economic Literature</w:t>
      </w:r>
      <w:r>
        <w:rPr>
          <w:rFonts w:eastAsiaTheme="minorHAnsi"/>
        </w:rPr>
        <w:t>, 42, pp.</w:t>
      </w:r>
      <w:r w:rsidR="00746891" w:rsidRPr="00AE6864">
        <w:rPr>
          <w:rFonts w:eastAsiaTheme="minorHAnsi"/>
        </w:rPr>
        <w:t xml:space="preserve"> 691-751</w:t>
      </w:r>
      <w:r w:rsidR="008E74C2">
        <w:rPr>
          <w:rFonts w:eastAsiaTheme="minorHAnsi"/>
        </w:rPr>
        <w:t xml:space="preserve">, </w:t>
      </w:r>
      <w:r w:rsidR="00471689" w:rsidRPr="009762C5">
        <w:rPr>
          <w:rFonts w:eastAsiaTheme="minorHAnsi"/>
        </w:rPr>
        <w:t>http://</w:t>
      </w:r>
      <w:r w:rsidR="008E74C2" w:rsidRPr="009762C5">
        <w:rPr>
          <w:rFonts w:eastAsiaTheme="minorHAnsi"/>
        </w:rPr>
        <w:t>dx.doi.org/10.1257/0022051042177649</w:t>
      </w:r>
      <w:r w:rsidR="00746891" w:rsidRPr="009762C5">
        <w:rPr>
          <w:rFonts w:eastAsiaTheme="minorHAnsi"/>
        </w:rPr>
        <w:t>.</w:t>
      </w:r>
    </w:p>
    <w:p w:rsidR="00EB27FC" w:rsidRPr="00AE6864" w:rsidRDefault="00EB27FC" w:rsidP="00EB27FC">
      <w:pPr>
        <w:autoSpaceDE w:val="0"/>
        <w:autoSpaceDN w:val="0"/>
        <w:adjustRightInd w:val="0"/>
        <w:jc w:val="both"/>
      </w:pPr>
    </w:p>
    <w:p w:rsidR="00746891" w:rsidRDefault="00746891" w:rsidP="00EB27FC">
      <w:pPr>
        <w:autoSpaceDE w:val="0"/>
        <w:autoSpaceDN w:val="0"/>
        <w:adjustRightInd w:val="0"/>
        <w:jc w:val="both"/>
        <w:rPr>
          <w:rFonts w:eastAsiaTheme="minorHAnsi"/>
        </w:rPr>
      </w:pPr>
      <w:r w:rsidRPr="00AE6864">
        <w:rPr>
          <w:rFonts w:eastAsiaTheme="minorHAnsi"/>
        </w:rPr>
        <w:t>Baldwin, Richard E</w:t>
      </w:r>
      <w:r w:rsidR="003B0C20">
        <w:rPr>
          <w:rFonts w:eastAsiaTheme="minorHAnsi"/>
        </w:rPr>
        <w:t>.</w:t>
      </w:r>
      <w:r w:rsidR="00BD2A03">
        <w:rPr>
          <w:rFonts w:eastAsiaTheme="minorHAnsi"/>
        </w:rPr>
        <w:t>,</w:t>
      </w:r>
      <w:r w:rsidRPr="00AE6864">
        <w:rPr>
          <w:rFonts w:eastAsiaTheme="minorHAnsi"/>
        </w:rPr>
        <w:t xml:space="preserve"> 1994</w:t>
      </w:r>
      <w:r w:rsidR="00BD2A03">
        <w:rPr>
          <w:rFonts w:eastAsiaTheme="minorHAnsi"/>
        </w:rPr>
        <w:t>,</w:t>
      </w:r>
      <w:r w:rsidRPr="00AE6864">
        <w:rPr>
          <w:rFonts w:eastAsiaTheme="minorHAnsi"/>
        </w:rPr>
        <w:t xml:space="preserve"> </w:t>
      </w:r>
      <w:r w:rsidR="00D15B22" w:rsidRPr="00336F8D">
        <w:rPr>
          <w:rFonts w:eastAsiaTheme="minorHAnsi"/>
          <w:i/>
        </w:rPr>
        <w:t>Towards an I</w:t>
      </w:r>
      <w:r w:rsidRPr="00336F8D">
        <w:rPr>
          <w:rFonts w:eastAsiaTheme="minorHAnsi"/>
          <w:i/>
        </w:rPr>
        <w:t>ntegrated Europe</w:t>
      </w:r>
      <w:r w:rsidR="00BD2A03">
        <w:rPr>
          <w:rFonts w:eastAsiaTheme="minorHAnsi"/>
        </w:rPr>
        <w:t>,</w:t>
      </w:r>
      <w:r w:rsidR="003B0C20">
        <w:rPr>
          <w:rFonts w:eastAsiaTheme="minorHAnsi"/>
        </w:rPr>
        <w:t xml:space="preserve"> London: </w:t>
      </w:r>
      <w:r w:rsidR="003B0C20" w:rsidRPr="003B0C20">
        <w:rPr>
          <w:rFonts w:eastAsiaTheme="minorHAnsi"/>
        </w:rPr>
        <w:t>Centre for Economic Policy Research</w:t>
      </w:r>
      <w:r w:rsidRPr="00AE6864">
        <w:rPr>
          <w:rFonts w:eastAsiaTheme="minorHAnsi"/>
        </w:rPr>
        <w:t>.</w:t>
      </w:r>
    </w:p>
    <w:p w:rsidR="00EB27FC" w:rsidRPr="00AE6864" w:rsidRDefault="00EB27FC" w:rsidP="00EB27FC">
      <w:pPr>
        <w:autoSpaceDE w:val="0"/>
        <w:autoSpaceDN w:val="0"/>
        <w:adjustRightInd w:val="0"/>
        <w:jc w:val="both"/>
        <w:rPr>
          <w:rFonts w:eastAsiaTheme="minorHAnsi"/>
        </w:rPr>
      </w:pPr>
    </w:p>
    <w:p w:rsidR="00746891" w:rsidRDefault="00746891" w:rsidP="00EB27FC">
      <w:pPr>
        <w:contextualSpacing/>
        <w:jc w:val="both"/>
      </w:pPr>
      <w:r w:rsidRPr="00F031B9">
        <w:t>Bjeli</w:t>
      </w:r>
      <w:r w:rsidR="00A0500E">
        <w:t>ć</w:t>
      </w:r>
      <w:r w:rsidR="003B0C20">
        <w:t>,</w:t>
      </w:r>
      <w:r w:rsidRPr="00F031B9">
        <w:t xml:space="preserve"> Predrag, </w:t>
      </w:r>
      <w:r w:rsidR="00036DA8" w:rsidRPr="00F031B9">
        <w:t xml:space="preserve">Radmila </w:t>
      </w:r>
      <w:r w:rsidRPr="00F031B9">
        <w:t>Dragutinovi</w:t>
      </w:r>
      <w:r w:rsidR="00A0500E">
        <w:t>ć</w:t>
      </w:r>
      <w:r w:rsidRPr="00F031B9">
        <w:t xml:space="preserve"> Mitrovi</w:t>
      </w:r>
      <w:r w:rsidR="00A0500E">
        <w:t>ć</w:t>
      </w:r>
      <w:r w:rsidR="00036DA8">
        <w:t xml:space="preserve"> and</w:t>
      </w:r>
      <w:r w:rsidRPr="00F031B9">
        <w:t xml:space="preserve"> </w:t>
      </w:r>
      <w:r w:rsidR="00036DA8" w:rsidRPr="00F031B9">
        <w:t xml:space="preserve">Ivana </w:t>
      </w:r>
      <w:r w:rsidRPr="00F031B9">
        <w:t>Popovi</w:t>
      </w:r>
      <w:r w:rsidR="00A0500E">
        <w:t>ć</w:t>
      </w:r>
      <w:r w:rsidRPr="00F031B9">
        <w:t xml:space="preserve"> Petrovi</w:t>
      </w:r>
      <w:r w:rsidR="00A0500E">
        <w:t>ć</w:t>
      </w:r>
      <w:r w:rsidR="00BD2A03">
        <w:t>,</w:t>
      </w:r>
      <w:r w:rsidRPr="00F031B9">
        <w:t xml:space="preserve"> 2013</w:t>
      </w:r>
      <w:r w:rsidR="00BD2A03">
        <w:t>,</w:t>
      </w:r>
      <w:r w:rsidRPr="00F031B9">
        <w:t xml:space="preserve"> </w:t>
      </w:r>
      <w:r w:rsidRPr="00336F8D">
        <w:t>“Administrative Barriers to Trade as Predominant Non-Tariff Barriers in the Western Balkans Trade”</w:t>
      </w:r>
      <w:r w:rsidR="00D51C45">
        <w:t>,</w:t>
      </w:r>
      <w:r w:rsidR="00435DD6">
        <w:t xml:space="preserve"> paper presented at the</w:t>
      </w:r>
      <w:r w:rsidR="00D51C45">
        <w:t xml:space="preserve"> 3rd</w:t>
      </w:r>
      <w:r w:rsidR="00435DD6">
        <w:t xml:space="preserve"> I</w:t>
      </w:r>
      <w:r w:rsidR="00435DD6" w:rsidRPr="00435DD6">
        <w:t>nternational Conference</w:t>
      </w:r>
      <w:r w:rsidR="00435DD6">
        <w:t xml:space="preserve"> on Inte</w:t>
      </w:r>
      <w:r w:rsidR="00036DA8">
        <w:t xml:space="preserve">rnational </w:t>
      </w:r>
      <w:r w:rsidR="00D51C45">
        <w:t>T</w:t>
      </w:r>
      <w:r w:rsidR="00036DA8">
        <w:t xml:space="preserve">rade and </w:t>
      </w:r>
      <w:r w:rsidR="00D51C45">
        <w:t>I</w:t>
      </w:r>
      <w:r w:rsidR="00036DA8">
        <w:t>nvestment “</w:t>
      </w:r>
      <w:r w:rsidR="00435DD6">
        <w:t>Non-Tariff Measures: The New Frontier of Trade Policy</w:t>
      </w:r>
      <w:r w:rsidR="00036DA8">
        <w:t>”</w:t>
      </w:r>
      <w:r w:rsidR="00435DD6">
        <w:t xml:space="preserve"> organized by the University of Mauritius and WTO Chairs Progr</w:t>
      </w:r>
      <w:r w:rsidR="00036DA8">
        <w:t>amme, Mauritius, September 4-6</w:t>
      </w:r>
      <w:r w:rsidR="00435DD6">
        <w:t>.</w:t>
      </w:r>
    </w:p>
    <w:p w:rsidR="00EB27FC" w:rsidRPr="00F031B9" w:rsidRDefault="00EB27FC" w:rsidP="00EB27FC">
      <w:pPr>
        <w:contextualSpacing/>
        <w:jc w:val="both"/>
      </w:pPr>
    </w:p>
    <w:p w:rsidR="00746891" w:rsidRDefault="00746891" w:rsidP="00EB27FC">
      <w:pPr>
        <w:jc w:val="both"/>
        <w:rPr>
          <w:rFonts w:eastAsiaTheme="minorHAnsi"/>
        </w:rPr>
      </w:pPr>
      <w:r w:rsidRPr="00290ED4">
        <w:rPr>
          <w:rFonts w:eastAsiaTheme="minorHAnsi"/>
        </w:rPr>
        <w:t>Bussiere, M</w:t>
      </w:r>
      <w:r w:rsidR="00F87833">
        <w:rPr>
          <w:rFonts w:eastAsiaTheme="minorHAnsi"/>
        </w:rPr>
        <w:t>atthieu</w:t>
      </w:r>
      <w:r w:rsidRPr="00290ED4">
        <w:rPr>
          <w:rFonts w:eastAsiaTheme="minorHAnsi"/>
        </w:rPr>
        <w:t>, J</w:t>
      </w:r>
      <w:r w:rsidR="00F87833">
        <w:rPr>
          <w:rFonts w:eastAsiaTheme="minorHAnsi"/>
        </w:rPr>
        <w:t>arko</w:t>
      </w:r>
      <w:r w:rsidRPr="00290ED4">
        <w:rPr>
          <w:rFonts w:eastAsiaTheme="minorHAnsi"/>
        </w:rPr>
        <w:t xml:space="preserve"> Fidrmuc</w:t>
      </w:r>
      <w:r w:rsidR="00F87833">
        <w:rPr>
          <w:rFonts w:eastAsiaTheme="minorHAnsi"/>
        </w:rPr>
        <w:t xml:space="preserve"> and</w:t>
      </w:r>
      <w:r w:rsidRPr="00290ED4">
        <w:rPr>
          <w:rFonts w:eastAsiaTheme="minorHAnsi"/>
        </w:rPr>
        <w:t xml:space="preserve"> B</w:t>
      </w:r>
      <w:r w:rsidR="00F87833">
        <w:rPr>
          <w:rFonts w:eastAsiaTheme="minorHAnsi"/>
        </w:rPr>
        <w:t>ernd</w:t>
      </w:r>
      <w:r w:rsidRPr="00290ED4">
        <w:rPr>
          <w:rFonts w:eastAsiaTheme="minorHAnsi"/>
        </w:rPr>
        <w:t xml:space="preserve"> Schnatz</w:t>
      </w:r>
      <w:r w:rsidR="00435DD6" w:rsidRPr="00290ED4">
        <w:rPr>
          <w:rFonts w:eastAsiaTheme="minorHAnsi"/>
        </w:rPr>
        <w:t xml:space="preserve">, </w:t>
      </w:r>
      <w:r w:rsidRPr="00290ED4">
        <w:rPr>
          <w:rFonts w:eastAsiaTheme="minorHAnsi"/>
        </w:rPr>
        <w:t>2005</w:t>
      </w:r>
      <w:r w:rsidR="00435DD6" w:rsidRPr="00290ED4">
        <w:rPr>
          <w:rFonts w:eastAsiaTheme="minorHAnsi"/>
        </w:rPr>
        <w:t>,</w:t>
      </w:r>
      <w:r w:rsidRPr="00290ED4">
        <w:rPr>
          <w:rFonts w:eastAsiaTheme="minorHAnsi"/>
        </w:rPr>
        <w:t xml:space="preserve"> </w:t>
      </w:r>
      <w:r w:rsidRPr="00AE6864">
        <w:rPr>
          <w:rFonts w:eastAsiaTheme="minorHAnsi"/>
        </w:rPr>
        <w:t>“Trade Integration of Central and Eastern Eu</w:t>
      </w:r>
      <w:r w:rsidR="00D15B22">
        <w:rPr>
          <w:rFonts w:eastAsiaTheme="minorHAnsi"/>
        </w:rPr>
        <w:t>ropean Countries: Lessons from Gravity M</w:t>
      </w:r>
      <w:r w:rsidRPr="00AE6864">
        <w:rPr>
          <w:rFonts w:eastAsiaTheme="minorHAnsi"/>
        </w:rPr>
        <w:t>odel”</w:t>
      </w:r>
      <w:r w:rsidR="00A93BBF">
        <w:rPr>
          <w:rFonts w:eastAsiaTheme="minorHAnsi"/>
        </w:rPr>
        <w:t>,</w:t>
      </w:r>
      <w:r w:rsidRPr="00AE6864">
        <w:rPr>
          <w:rFonts w:eastAsiaTheme="minorHAnsi"/>
        </w:rPr>
        <w:t xml:space="preserve"> </w:t>
      </w:r>
      <w:r w:rsidRPr="00F87833">
        <w:rPr>
          <w:rFonts w:eastAsiaTheme="minorHAnsi"/>
        </w:rPr>
        <w:t>European Central Ba</w:t>
      </w:r>
      <w:r w:rsidR="00F87833">
        <w:rPr>
          <w:rFonts w:eastAsiaTheme="minorHAnsi"/>
        </w:rPr>
        <w:t>nk Working Paper Series, No.</w:t>
      </w:r>
      <w:r w:rsidR="00334936">
        <w:rPr>
          <w:rFonts w:eastAsiaTheme="minorHAnsi"/>
        </w:rPr>
        <w:t xml:space="preserve"> </w:t>
      </w:r>
      <w:r w:rsidR="00F87833">
        <w:rPr>
          <w:rFonts w:eastAsiaTheme="minorHAnsi"/>
        </w:rPr>
        <w:t>545, November, Frankfurt am Main: European Central Bank.</w:t>
      </w:r>
    </w:p>
    <w:p w:rsidR="00EB27FC" w:rsidRPr="00F87833" w:rsidRDefault="00EB27FC" w:rsidP="00EB27FC">
      <w:pPr>
        <w:jc w:val="both"/>
        <w:rPr>
          <w:rFonts w:eastAsiaTheme="minorHAnsi"/>
        </w:rPr>
      </w:pPr>
    </w:p>
    <w:p w:rsidR="00746891" w:rsidRDefault="00746891" w:rsidP="00EB27FC">
      <w:pPr>
        <w:autoSpaceDE w:val="0"/>
        <w:autoSpaceDN w:val="0"/>
        <w:adjustRightInd w:val="0"/>
        <w:jc w:val="both"/>
        <w:rPr>
          <w:rFonts w:eastAsiaTheme="minorHAnsi"/>
        </w:rPr>
      </w:pPr>
      <w:r w:rsidRPr="00AE6864">
        <w:rPr>
          <w:rFonts w:eastAsiaTheme="minorHAnsi"/>
        </w:rPr>
        <w:t>Cheng, I-H</w:t>
      </w:r>
      <w:r w:rsidR="00D15B22">
        <w:rPr>
          <w:rFonts w:eastAsiaTheme="minorHAnsi"/>
        </w:rPr>
        <w:t>ui and Howard</w:t>
      </w:r>
      <w:r w:rsidRPr="00AE6864">
        <w:rPr>
          <w:rFonts w:eastAsiaTheme="minorHAnsi"/>
        </w:rPr>
        <w:t xml:space="preserve"> J. Wall</w:t>
      </w:r>
      <w:r w:rsidR="00435DD6">
        <w:rPr>
          <w:rFonts w:eastAsiaTheme="minorHAnsi"/>
        </w:rPr>
        <w:t xml:space="preserve">, </w:t>
      </w:r>
      <w:r w:rsidRPr="00AE6864">
        <w:rPr>
          <w:rFonts w:eastAsiaTheme="minorHAnsi"/>
        </w:rPr>
        <w:t>2005</w:t>
      </w:r>
      <w:r w:rsidR="00435DD6">
        <w:rPr>
          <w:rFonts w:eastAsiaTheme="minorHAnsi"/>
        </w:rPr>
        <w:t>,</w:t>
      </w:r>
      <w:r w:rsidRPr="00AE6864">
        <w:rPr>
          <w:rFonts w:eastAsiaTheme="minorHAnsi"/>
        </w:rPr>
        <w:t xml:space="preserve"> “Contro</w:t>
      </w:r>
      <w:r w:rsidR="00D15B22">
        <w:rPr>
          <w:rFonts w:eastAsiaTheme="minorHAnsi"/>
        </w:rPr>
        <w:t>lling for Heterogeneity in Gravity Models of T</w:t>
      </w:r>
      <w:r w:rsidRPr="00AE6864">
        <w:rPr>
          <w:rFonts w:eastAsiaTheme="minorHAnsi"/>
        </w:rPr>
        <w:t>rade and</w:t>
      </w:r>
      <w:r w:rsidR="00D15B22">
        <w:rPr>
          <w:rFonts w:eastAsiaTheme="minorHAnsi"/>
        </w:rPr>
        <w:t xml:space="preserve"> I</w:t>
      </w:r>
      <w:r w:rsidRPr="00AE6864">
        <w:rPr>
          <w:rFonts w:eastAsiaTheme="minorHAnsi"/>
        </w:rPr>
        <w:t>ntegration”</w:t>
      </w:r>
      <w:r w:rsidR="00D15B22">
        <w:rPr>
          <w:rFonts w:eastAsiaTheme="minorHAnsi"/>
        </w:rPr>
        <w:t>,</w:t>
      </w:r>
      <w:r>
        <w:rPr>
          <w:rFonts w:eastAsiaTheme="minorHAnsi"/>
        </w:rPr>
        <w:t xml:space="preserve"> </w:t>
      </w:r>
      <w:r w:rsidRPr="00AE6864">
        <w:rPr>
          <w:rFonts w:eastAsiaTheme="minorHAnsi"/>
          <w:i/>
          <w:iCs/>
        </w:rPr>
        <w:t>Federal Reserve Bank of St. Louis Review</w:t>
      </w:r>
      <w:r w:rsidRPr="00AE6864">
        <w:rPr>
          <w:rFonts w:eastAsiaTheme="minorHAnsi"/>
        </w:rPr>
        <w:t>, 87</w:t>
      </w:r>
      <w:r w:rsidR="00D15B22">
        <w:rPr>
          <w:rFonts w:eastAsiaTheme="minorHAnsi"/>
        </w:rPr>
        <w:t>(</w:t>
      </w:r>
      <w:r w:rsidRPr="00AE6864">
        <w:rPr>
          <w:rFonts w:eastAsiaTheme="minorHAnsi"/>
        </w:rPr>
        <w:t>1</w:t>
      </w:r>
      <w:r w:rsidR="00D15B22">
        <w:rPr>
          <w:rFonts w:eastAsiaTheme="minorHAnsi"/>
        </w:rPr>
        <w:t>)</w:t>
      </w:r>
      <w:r w:rsidRPr="00AE6864">
        <w:rPr>
          <w:rFonts w:eastAsiaTheme="minorHAnsi"/>
        </w:rPr>
        <w:t>,</w:t>
      </w:r>
      <w:r w:rsidR="00D15B22">
        <w:rPr>
          <w:rFonts w:eastAsiaTheme="minorHAnsi"/>
        </w:rPr>
        <w:t xml:space="preserve"> pp.</w:t>
      </w:r>
      <w:r w:rsidRPr="00AE6864">
        <w:rPr>
          <w:rFonts w:eastAsiaTheme="minorHAnsi"/>
        </w:rPr>
        <w:t xml:space="preserve"> 49-63.</w:t>
      </w:r>
    </w:p>
    <w:p w:rsidR="00EB27FC" w:rsidRPr="00AE6864" w:rsidRDefault="00EB27FC" w:rsidP="00EB27FC">
      <w:pPr>
        <w:autoSpaceDE w:val="0"/>
        <w:autoSpaceDN w:val="0"/>
        <w:adjustRightInd w:val="0"/>
        <w:jc w:val="both"/>
        <w:rPr>
          <w:rFonts w:eastAsiaTheme="minorHAnsi"/>
        </w:rPr>
      </w:pPr>
    </w:p>
    <w:p w:rsidR="00746891" w:rsidRDefault="00746891" w:rsidP="00EB27FC">
      <w:pPr>
        <w:autoSpaceDE w:val="0"/>
        <w:autoSpaceDN w:val="0"/>
        <w:adjustRightInd w:val="0"/>
        <w:jc w:val="both"/>
        <w:rPr>
          <w:rFonts w:eastAsiaTheme="minorHAnsi"/>
        </w:rPr>
      </w:pPr>
      <w:r w:rsidRPr="00AE6864">
        <w:rPr>
          <w:rFonts w:eastAsiaTheme="minorHAnsi"/>
        </w:rPr>
        <w:t>Christie, E</w:t>
      </w:r>
      <w:r w:rsidR="005D7898">
        <w:rPr>
          <w:rFonts w:eastAsiaTheme="minorHAnsi"/>
        </w:rPr>
        <w:t>dward</w:t>
      </w:r>
      <w:r w:rsidR="00435DD6">
        <w:rPr>
          <w:rFonts w:eastAsiaTheme="minorHAnsi"/>
        </w:rPr>
        <w:t>,</w:t>
      </w:r>
      <w:r w:rsidRPr="00AE6864">
        <w:rPr>
          <w:rFonts w:eastAsiaTheme="minorHAnsi"/>
        </w:rPr>
        <w:t xml:space="preserve"> 2002</w:t>
      </w:r>
      <w:r w:rsidR="00435DD6">
        <w:rPr>
          <w:rFonts w:eastAsiaTheme="minorHAnsi"/>
        </w:rPr>
        <w:t>,</w:t>
      </w:r>
      <w:r w:rsidRPr="00AE6864">
        <w:rPr>
          <w:rFonts w:eastAsiaTheme="minorHAnsi"/>
        </w:rPr>
        <w:t xml:space="preserve"> “</w:t>
      </w:r>
      <w:r w:rsidRPr="005D7898">
        <w:rPr>
          <w:rFonts w:eastAsiaTheme="minorHAnsi"/>
        </w:rPr>
        <w:t xml:space="preserve">Potential </w:t>
      </w:r>
      <w:r w:rsidR="005D7898" w:rsidRPr="005D7898">
        <w:rPr>
          <w:rFonts w:eastAsiaTheme="minorHAnsi"/>
        </w:rPr>
        <w:t>Trade in Southeast Europe: a Gravity Model A</w:t>
      </w:r>
      <w:r w:rsidRPr="005D7898">
        <w:rPr>
          <w:rFonts w:eastAsiaTheme="minorHAnsi"/>
        </w:rPr>
        <w:t>pproach</w:t>
      </w:r>
      <w:r w:rsidRPr="00AE6864">
        <w:rPr>
          <w:rFonts w:eastAsiaTheme="minorHAnsi"/>
        </w:rPr>
        <w:t>”</w:t>
      </w:r>
      <w:r w:rsidR="00A93BBF">
        <w:rPr>
          <w:rFonts w:eastAsiaTheme="minorHAnsi"/>
        </w:rPr>
        <w:t>,</w:t>
      </w:r>
      <w:r w:rsidRPr="00AE6864">
        <w:rPr>
          <w:rFonts w:eastAsiaTheme="minorHAnsi"/>
        </w:rPr>
        <w:t xml:space="preserve"> </w:t>
      </w:r>
      <w:r w:rsidR="00BF69D9">
        <w:rPr>
          <w:rFonts w:eastAsiaTheme="minorHAnsi"/>
        </w:rPr>
        <w:t xml:space="preserve">wiiw </w:t>
      </w:r>
      <w:r w:rsidRPr="00AE6864">
        <w:rPr>
          <w:rFonts w:eastAsiaTheme="minorHAnsi"/>
        </w:rPr>
        <w:t>Working Paper</w:t>
      </w:r>
      <w:r w:rsidR="005D7898">
        <w:rPr>
          <w:rFonts w:eastAsiaTheme="minorHAnsi"/>
        </w:rPr>
        <w:t>s,</w:t>
      </w:r>
      <w:r w:rsidRPr="00AE6864">
        <w:rPr>
          <w:rFonts w:eastAsiaTheme="minorHAnsi"/>
        </w:rPr>
        <w:t xml:space="preserve"> No. 21,</w:t>
      </w:r>
      <w:r w:rsidR="005D7898">
        <w:rPr>
          <w:rFonts w:eastAsiaTheme="minorHAnsi"/>
        </w:rPr>
        <w:t xml:space="preserve"> March, Vienna:</w:t>
      </w:r>
      <w:r w:rsidRPr="00AE6864">
        <w:rPr>
          <w:rFonts w:eastAsiaTheme="minorHAnsi"/>
        </w:rPr>
        <w:t xml:space="preserve"> The Vienna Institute for Intern</w:t>
      </w:r>
      <w:r w:rsidR="005D7898">
        <w:rPr>
          <w:rFonts w:eastAsiaTheme="minorHAnsi"/>
        </w:rPr>
        <w:t>ational Economic Studies</w:t>
      </w:r>
      <w:r w:rsidRPr="00AE6864">
        <w:rPr>
          <w:rFonts w:eastAsiaTheme="minorHAnsi"/>
        </w:rPr>
        <w:t>.</w:t>
      </w:r>
    </w:p>
    <w:p w:rsidR="00EB27FC" w:rsidRPr="00AE6864" w:rsidRDefault="00EB27FC" w:rsidP="00EB27FC">
      <w:pPr>
        <w:autoSpaceDE w:val="0"/>
        <w:autoSpaceDN w:val="0"/>
        <w:adjustRightInd w:val="0"/>
        <w:jc w:val="both"/>
        <w:rPr>
          <w:rFonts w:eastAsiaTheme="minorHAnsi"/>
        </w:rPr>
      </w:pPr>
    </w:p>
    <w:p w:rsidR="00746891" w:rsidRDefault="005D7898" w:rsidP="00EB27FC">
      <w:pPr>
        <w:autoSpaceDE w:val="0"/>
        <w:autoSpaceDN w:val="0"/>
        <w:adjustRightInd w:val="0"/>
        <w:jc w:val="both"/>
        <w:rPr>
          <w:rFonts w:eastAsiaTheme="minorHAnsi"/>
        </w:rPr>
      </w:pPr>
      <w:r>
        <w:rPr>
          <w:rFonts w:eastAsiaTheme="minorHAnsi"/>
        </w:rPr>
        <w:t>Christie, Edward</w:t>
      </w:r>
      <w:r w:rsidR="00435DD6">
        <w:rPr>
          <w:rFonts w:eastAsiaTheme="minorHAnsi"/>
        </w:rPr>
        <w:t>,</w:t>
      </w:r>
      <w:r w:rsidR="00746891" w:rsidRPr="00AE6864">
        <w:rPr>
          <w:rFonts w:eastAsiaTheme="minorHAnsi"/>
        </w:rPr>
        <w:t xml:space="preserve"> 2004</w:t>
      </w:r>
      <w:r w:rsidR="00435DD6">
        <w:rPr>
          <w:rFonts w:eastAsiaTheme="minorHAnsi"/>
        </w:rPr>
        <w:t>,</w:t>
      </w:r>
      <w:r w:rsidR="00746891" w:rsidRPr="00AE6864">
        <w:rPr>
          <w:rFonts w:eastAsiaTheme="minorHAnsi"/>
        </w:rPr>
        <w:t xml:space="preserve"> “</w:t>
      </w:r>
      <w:r w:rsidR="006F2736">
        <w:rPr>
          <w:rFonts w:eastAsiaTheme="minorHAnsi"/>
        </w:rPr>
        <w:t>Trade Flows in Southeast E</w:t>
      </w:r>
      <w:r w:rsidR="00746891" w:rsidRPr="006F2736">
        <w:rPr>
          <w:rFonts w:eastAsiaTheme="minorHAnsi"/>
        </w:rPr>
        <w:t>urope</w:t>
      </w:r>
      <w:r w:rsidR="00746891" w:rsidRPr="00AE6864">
        <w:rPr>
          <w:rFonts w:eastAsiaTheme="minorHAnsi"/>
        </w:rPr>
        <w:t>”</w:t>
      </w:r>
      <w:r w:rsidR="00A93BBF">
        <w:rPr>
          <w:rFonts w:eastAsiaTheme="minorHAnsi"/>
        </w:rPr>
        <w:t>,</w:t>
      </w:r>
      <w:r w:rsidR="00746891" w:rsidRPr="00AE6864">
        <w:rPr>
          <w:rFonts w:eastAsiaTheme="minorHAnsi"/>
        </w:rPr>
        <w:t xml:space="preserve"> </w:t>
      </w:r>
      <w:r w:rsidR="00BF69D9">
        <w:rPr>
          <w:rFonts w:eastAsiaTheme="minorHAnsi"/>
        </w:rPr>
        <w:t>The wiiw</w:t>
      </w:r>
      <w:r w:rsidR="006F2736">
        <w:rPr>
          <w:rFonts w:eastAsiaTheme="minorHAnsi"/>
        </w:rPr>
        <w:t xml:space="preserve"> Balkan Observatory Working Papers, No.</w:t>
      </w:r>
      <w:r w:rsidR="00D335BA">
        <w:rPr>
          <w:rFonts w:eastAsiaTheme="minorHAnsi"/>
        </w:rPr>
        <w:t xml:space="preserve"> </w:t>
      </w:r>
      <w:r w:rsidR="006F2736">
        <w:rPr>
          <w:rFonts w:eastAsiaTheme="minorHAnsi"/>
        </w:rPr>
        <w:t xml:space="preserve">59, December, Vienna: </w:t>
      </w:r>
      <w:r w:rsidR="00746891" w:rsidRPr="00AE6864">
        <w:rPr>
          <w:rFonts w:eastAsiaTheme="minorHAnsi"/>
        </w:rPr>
        <w:t>The Vienna Institute for International Economic Studies.</w:t>
      </w:r>
    </w:p>
    <w:p w:rsidR="00EB27FC" w:rsidRPr="00AE6864" w:rsidRDefault="00EB27FC" w:rsidP="00EB27FC">
      <w:pPr>
        <w:autoSpaceDE w:val="0"/>
        <w:autoSpaceDN w:val="0"/>
        <w:adjustRightInd w:val="0"/>
        <w:jc w:val="both"/>
        <w:rPr>
          <w:rFonts w:eastAsiaTheme="minorHAnsi"/>
        </w:rPr>
      </w:pPr>
    </w:p>
    <w:p w:rsidR="00606141" w:rsidRPr="00606141" w:rsidRDefault="007D4486" w:rsidP="00606141">
      <w:pPr>
        <w:jc w:val="both"/>
      </w:pPr>
      <w:r>
        <w:t>Clark,</w:t>
      </w:r>
      <w:r w:rsidRPr="00F031B9">
        <w:t xml:space="preserve"> </w:t>
      </w:r>
      <w:r>
        <w:t>Ximena, David Dollar</w:t>
      </w:r>
      <w:r w:rsidRPr="00F031B9">
        <w:t xml:space="preserve"> </w:t>
      </w:r>
      <w:r>
        <w:t>a</w:t>
      </w:r>
      <w:r w:rsidRPr="00F031B9">
        <w:t>nd</w:t>
      </w:r>
      <w:r>
        <w:t xml:space="preserve"> Alejandro Micco, 2004,</w:t>
      </w:r>
      <w:r w:rsidRPr="00F031B9">
        <w:t xml:space="preserve"> </w:t>
      </w:r>
      <w:r>
        <w:t>“Port Efficiency, Maritime Transport Costs, and Bilateral Trade”</w:t>
      </w:r>
      <w:r w:rsidRPr="00F031B9">
        <w:t xml:space="preserve">, </w:t>
      </w:r>
      <w:r>
        <w:rPr>
          <w:i/>
        </w:rPr>
        <w:t>Journal of Development Economics</w:t>
      </w:r>
      <w:r w:rsidRPr="00F031B9">
        <w:rPr>
          <w:i/>
        </w:rPr>
        <w:t>,</w:t>
      </w:r>
      <w:r w:rsidR="00606141">
        <w:t xml:space="preserve"> 75</w:t>
      </w:r>
      <w:r>
        <w:t>(</w:t>
      </w:r>
      <w:r w:rsidR="00606141">
        <w:t>2</w:t>
      </w:r>
      <w:r>
        <w:t>)</w:t>
      </w:r>
      <w:r w:rsidR="00606141">
        <w:t>, pp. 417</w:t>
      </w:r>
      <w:r>
        <w:t>-</w:t>
      </w:r>
      <w:r w:rsidR="00606141">
        <w:t xml:space="preserve">450, </w:t>
      </w:r>
      <w:r w:rsidR="00606141" w:rsidRPr="00606141">
        <w:rPr>
          <w:rFonts w:hint="eastAsia"/>
        </w:rPr>
        <w:t>http://dx.doi.org/10.1016/j.jdeveco.2004.06.005</w:t>
      </w:r>
      <w:r w:rsidR="00606141">
        <w:t>.</w:t>
      </w:r>
    </w:p>
    <w:p w:rsidR="00606141" w:rsidRDefault="00606141" w:rsidP="00EB27FC">
      <w:pPr>
        <w:contextualSpacing/>
        <w:jc w:val="both"/>
      </w:pPr>
    </w:p>
    <w:p w:rsidR="00606141" w:rsidRDefault="00606141" w:rsidP="00EB27FC">
      <w:pPr>
        <w:contextualSpacing/>
        <w:jc w:val="both"/>
      </w:pPr>
    </w:p>
    <w:p w:rsidR="00746891" w:rsidRDefault="00746891" w:rsidP="00EB27FC">
      <w:pPr>
        <w:contextualSpacing/>
        <w:jc w:val="both"/>
      </w:pPr>
      <w:r w:rsidRPr="00F031B9">
        <w:t>Damijan</w:t>
      </w:r>
      <w:r w:rsidR="00BF69D9">
        <w:t>, Jo</w:t>
      </w:r>
      <w:r w:rsidR="008E74C2">
        <w:t>ž</w:t>
      </w:r>
      <w:r w:rsidR="00BF69D9">
        <w:t>e</w:t>
      </w:r>
      <w:r w:rsidR="008E74C2">
        <w:t xml:space="preserve"> P.</w:t>
      </w:r>
      <w:r w:rsidR="00BF69D9">
        <w:t>, Jos</w:t>
      </w:r>
      <w:r w:rsidR="008E74C2">
        <w:t>é</w:t>
      </w:r>
      <w:r w:rsidR="00BF69D9">
        <w:t xml:space="preserve"> de Sousa</w:t>
      </w:r>
      <w:r w:rsidRPr="00F031B9">
        <w:t xml:space="preserve"> and</w:t>
      </w:r>
      <w:r w:rsidR="00BF69D9">
        <w:t xml:space="preserve"> Olivier </w:t>
      </w:r>
      <w:r w:rsidRPr="00F031B9">
        <w:t>Lamotte, 2006</w:t>
      </w:r>
      <w:r w:rsidR="00435DD6">
        <w:t>,</w:t>
      </w:r>
      <w:r w:rsidRPr="00F031B9">
        <w:t xml:space="preserve"> </w:t>
      </w:r>
      <w:r w:rsidR="00435DD6">
        <w:t>“</w:t>
      </w:r>
      <w:r w:rsidR="00BF69D9">
        <w:t>The Effect of Trade L</w:t>
      </w:r>
      <w:r w:rsidRPr="00F031B9">
        <w:t>iberaliza</w:t>
      </w:r>
      <w:r w:rsidR="00BF69D9">
        <w:t>tion in South-Eastern European C</w:t>
      </w:r>
      <w:r w:rsidRPr="00F031B9">
        <w:t>ountries</w:t>
      </w:r>
      <w:r w:rsidR="00435DD6">
        <w:t>”, The wiiw Balkan Observatory Working Papers</w:t>
      </w:r>
      <w:r w:rsidR="00BF69D9">
        <w:t>, No.</w:t>
      </w:r>
      <w:r w:rsidR="00D335BA">
        <w:t xml:space="preserve"> </w:t>
      </w:r>
      <w:r w:rsidR="00435DD6">
        <w:t>70,</w:t>
      </w:r>
      <w:r w:rsidR="00C353BD">
        <w:t xml:space="preserve"> August,</w:t>
      </w:r>
      <w:r w:rsidR="00BF69D9">
        <w:t xml:space="preserve"> Vienna:</w:t>
      </w:r>
      <w:r w:rsidR="00435DD6">
        <w:t xml:space="preserve"> The Vienna Institute for Inte</w:t>
      </w:r>
      <w:r w:rsidR="00BF69D9">
        <w:t>rnational Economic Studies</w:t>
      </w:r>
      <w:r w:rsidR="00435DD6">
        <w:t>.</w:t>
      </w:r>
    </w:p>
    <w:p w:rsidR="00534B03" w:rsidRDefault="00534B03" w:rsidP="00EB27FC">
      <w:pPr>
        <w:contextualSpacing/>
        <w:jc w:val="both"/>
      </w:pPr>
    </w:p>
    <w:p w:rsidR="00534B03" w:rsidRPr="009839B9" w:rsidRDefault="00534B03" w:rsidP="00534B03">
      <w:pPr>
        <w:contextualSpacing/>
        <w:jc w:val="both"/>
        <w:rPr>
          <w:rFonts w:eastAsiaTheme="minorHAnsi"/>
        </w:rPr>
      </w:pPr>
      <w:r>
        <w:lastRenderedPageBreak/>
        <w:t>De Benedictis, Luca and Daria Taglioni, 2011,</w:t>
      </w:r>
      <w:r w:rsidRPr="00534B03">
        <w:t xml:space="preserve"> </w:t>
      </w:r>
      <w:r>
        <w:t>“</w:t>
      </w:r>
      <w:r w:rsidRPr="00534B03">
        <w:t>The Gravity Model in International Trade</w:t>
      </w:r>
      <w:r>
        <w:t>”</w:t>
      </w:r>
      <w:r w:rsidR="009839B9">
        <w:t>. I</w:t>
      </w:r>
      <w:r w:rsidRPr="00534B03">
        <w:t>n</w:t>
      </w:r>
      <w:r w:rsidR="009839B9">
        <w:t xml:space="preserve"> Luca De Benedictis and</w:t>
      </w:r>
      <w:r w:rsidRPr="00534B03">
        <w:t xml:space="preserve"> </w:t>
      </w:r>
      <w:r>
        <w:t>L</w:t>
      </w:r>
      <w:r w:rsidR="009839B9">
        <w:t>uca</w:t>
      </w:r>
      <w:r w:rsidRPr="00534B03">
        <w:t xml:space="preserve"> Salvatici</w:t>
      </w:r>
      <w:r w:rsidR="009839B9">
        <w:t>, e</w:t>
      </w:r>
      <w:r w:rsidRPr="00534B03">
        <w:t xml:space="preserve">ds., </w:t>
      </w:r>
      <w:r w:rsidRPr="00534B03">
        <w:rPr>
          <w:i/>
        </w:rPr>
        <w:t>The Trade Impact of European Union Preferential Policies: An Analysis Through Gravity Models</w:t>
      </w:r>
      <w:r>
        <w:t>, Ch. 4, pp. 55-</w:t>
      </w:r>
      <w:r w:rsidR="009839B9">
        <w:t xml:space="preserve">90, </w:t>
      </w:r>
      <w:r>
        <w:t>Berlin: Springer</w:t>
      </w:r>
      <w:r w:rsidR="009839B9">
        <w:t>-Verlag</w:t>
      </w:r>
      <w:r>
        <w:t>.</w:t>
      </w:r>
      <w:r w:rsidR="009839B9">
        <w:t xml:space="preserve"> </w:t>
      </w:r>
      <w:r w:rsidR="009839B9" w:rsidRPr="009762C5">
        <w:rPr>
          <w:rFonts w:eastAsiaTheme="minorHAnsi"/>
        </w:rPr>
        <w:t>http://dx.</w:t>
      </w:r>
      <w:r w:rsidR="009839B9">
        <w:rPr>
          <w:rFonts w:eastAsiaTheme="minorHAnsi"/>
        </w:rPr>
        <w:t>doi.org/</w:t>
      </w:r>
      <w:r w:rsidR="009839B9" w:rsidRPr="009839B9">
        <w:rPr>
          <w:rFonts w:eastAsiaTheme="minorHAnsi"/>
        </w:rPr>
        <w:t>10.1007/978-3-642-16564-1_4.</w:t>
      </w:r>
    </w:p>
    <w:p w:rsidR="00EB27FC" w:rsidRPr="00F031B9" w:rsidRDefault="00EB27FC" w:rsidP="00EB27FC">
      <w:pPr>
        <w:contextualSpacing/>
        <w:jc w:val="both"/>
      </w:pPr>
    </w:p>
    <w:p w:rsidR="000B4B25" w:rsidRDefault="000B4B25" w:rsidP="00EB27FC">
      <w:pPr>
        <w:contextualSpacing/>
        <w:jc w:val="both"/>
      </w:pPr>
      <w:r>
        <w:t xml:space="preserve">De Groot, Henri L.F., Gert-Jan Linders, Piet Rietveld and Uma Subramanian, 2004, “The Institutional Determinants of Bilateral Trade Patterns”, </w:t>
      </w:r>
      <w:r w:rsidR="004B782F" w:rsidRPr="004B782F">
        <w:rPr>
          <w:i/>
        </w:rPr>
        <w:t>Kyklos International Review for Social Sciences</w:t>
      </w:r>
      <w:r w:rsidR="004B782F">
        <w:t xml:space="preserve">, 57(1), pp.103-123, </w:t>
      </w:r>
      <w:r w:rsidR="004B782F" w:rsidRPr="004B782F">
        <w:t>http://dx.doi.org/ 10.1111/j.0023-5962.2004.00245.x.</w:t>
      </w:r>
    </w:p>
    <w:p w:rsidR="000B4B25" w:rsidRDefault="000B4B25" w:rsidP="00EB27FC">
      <w:pPr>
        <w:contextualSpacing/>
        <w:jc w:val="both"/>
      </w:pPr>
    </w:p>
    <w:p w:rsidR="00746891" w:rsidRDefault="00746891" w:rsidP="00EB27FC">
      <w:pPr>
        <w:contextualSpacing/>
        <w:jc w:val="both"/>
      </w:pPr>
      <w:r w:rsidRPr="00F031B9">
        <w:t>Djankov</w:t>
      </w:r>
      <w:r w:rsidR="00C353BD">
        <w:t>,</w:t>
      </w:r>
      <w:r w:rsidRPr="00F031B9">
        <w:t xml:space="preserve"> Simeon,</w:t>
      </w:r>
      <w:r w:rsidR="00410BAC" w:rsidRPr="00F031B9">
        <w:t xml:space="preserve"> </w:t>
      </w:r>
      <w:r w:rsidRPr="00F031B9">
        <w:t>Caroline</w:t>
      </w:r>
      <w:r w:rsidR="00BC76C5" w:rsidRPr="00F031B9">
        <w:t xml:space="preserve"> Freund</w:t>
      </w:r>
      <w:r w:rsidRPr="00F031B9">
        <w:t xml:space="preserve"> and </w:t>
      </w:r>
      <w:r w:rsidRPr="00410BAC">
        <w:t>Cong</w:t>
      </w:r>
      <w:r w:rsidR="00410BAC">
        <w:t xml:space="preserve"> S.</w:t>
      </w:r>
      <w:r w:rsidRPr="00410BAC">
        <w:t xml:space="preserve"> </w:t>
      </w:r>
      <w:r w:rsidR="00410BAC" w:rsidRPr="00410BAC">
        <w:t>Ph</w:t>
      </w:r>
      <w:r w:rsidRPr="00410BAC">
        <w:t>am</w:t>
      </w:r>
      <w:r w:rsidR="00C741E9" w:rsidRPr="00410BAC">
        <w:t>,</w:t>
      </w:r>
      <w:r w:rsidRPr="00410BAC">
        <w:t xml:space="preserve"> 2006</w:t>
      </w:r>
      <w:r w:rsidR="00C741E9" w:rsidRPr="00410BAC">
        <w:t>,</w:t>
      </w:r>
      <w:r w:rsidRPr="00410BAC">
        <w:t xml:space="preserve"> “Trading on Time”, World Bank Policy Research Working Paper</w:t>
      </w:r>
      <w:r w:rsidR="00410BAC" w:rsidRPr="00410BAC">
        <w:t xml:space="preserve">, </w:t>
      </w:r>
      <w:r w:rsidR="00410BAC">
        <w:t xml:space="preserve">No. </w:t>
      </w:r>
      <w:r w:rsidRPr="00410BAC">
        <w:t>3909,</w:t>
      </w:r>
      <w:r w:rsidR="00410BAC">
        <w:t xml:space="preserve"> May, </w:t>
      </w:r>
      <w:r w:rsidR="00410BAC" w:rsidRPr="00F031B9">
        <w:t>Washington DC</w:t>
      </w:r>
      <w:r w:rsidR="00410BAC">
        <w:t>:</w:t>
      </w:r>
      <w:r w:rsidR="00410BAC" w:rsidRPr="00F031B9">
        <w:t xml:space="preserve"> </w:t>
      </w:r>
      <w:r w:rsidRPr="00410BAC">
        <w:t>The</w:t>
      </w:r>
      <w:r w:rsidR="00410BAC">
        <w:t xml:space="preserve"> World Bank.</w:t>
      </w:r>
    </w:p>
    <w:p w:rsidR="00EB27FC" w:rsidRPr="00F031B9" w:rsidRDefault="00EB27FC" w:rsidP="00EB27FC">
      <w:pPr>
        <w:contextualSpacing/>
        <w:jc w:val="both"/>
      </w:pPr>
    </w:p>
    <w:p w:rsidR="00746891" w:rsidRDefault="00746891" w:rsidP="00EB27FC">
      <w:pPr>
        <w:autoSpaceDE w:val="0"/>
        <w:autoSpaceDN w:val="0"/>
        <w:adjustRightInd w:val="0"/>
        <w:jc w:val="both"/>
        <w:rPr>
          <w:rFonts w:eastAsiaTheme="minorHAnsi"/>
        </w:rPr>
      </w:pPr>
      <w:r w:rsidRPr="00AE6864">
        <w:rPr>
          <w:rFonts w:eastAsiaTheme="minorHAnsi"/>
        </w:rPr>
        <w:t>Egger, P</w:t>
      </w:r>
      <w:r w:rsidR="00455DC9">
        <w:rPr>
          <w:rFonts w:eastAsiaTheme="minorHAnsi"/>
        </w:rPr>
        <w:t>eter</w:t>
      </w:r>
      <w:r w:rsidRPr="00AE6864">
        <w:rPr>
          <w:rFonts w:eastAsiaTheme="minorHAnsi"/>
        </w:rPr>
        <w:t xml:space="preserve"> and M</w:t>
      </w:r>
      <w:r w:rsidR="00455DC9">
        <w:rPr>
          <w:rFonts w:eastAsiaTheme="minorHAnsi"/>
        </w:rPr>
        <w:t>ichael</w:t>
      </w:r>
      <w:r w:rsidRPr="00AE6864">
        <w:rPr>
          <w:rFonts w:eastAsiaTheme="minorHAnsi"/>
        </w:rPr>
        <w:t xml:space="preserve"> Pfaffermayr</w:t>
      </w:r>
      <w:r w:rsidR="00C741E9">
        <w:rPr>
          <w:rFonts w:eastAsiaTheme="minorHAnsi"/>
        </w:rPr>
        <w:t xml:space="preserve">, </w:t>
      </w:r>
      <w:r w:rsidRPr="00AE6864">
        <w:rPr>
          <w:rFonts w:eastAsiaTheme="minorHAnsi"/>
        </w:rPr>
        <w:t>2003</w:t>
      </w:r>
      <w:r w:rsidR="00C741E9">
        <w:rPr>
          <w:rFonts w:eastAsiaTheme="minorHAnsi"/>
        </w:rPr>
        <w:t>,</w:t>
      </w:r>
      <w:r w:rsidR="00455DC9">
        <w:rPr>
          <w:rFonts w:eastAsiaTheme="minorHAnsi"/>
        </w:rPr>
        <w:t xml:space="preserve"> “The Proper Panel Econometric Specification of the Gravity Equation: </w:t>
      </w:r>
      <w:r w:rsidR="001E776C">
        <w:rPr>
          <w:rFonts w:eastAsiaTheme="minorHAnsi"/>
        </w:rPr>
        <w:t>A</w:t>
      </w:r>
      <w:r w:rsidR="00455DC9">
        <w:rPr>
          <w:rFonts w:eastAsiaTheme="minorHAnsi"/>
        </w:rPr>
        <w:t xml:space="preserve"> Three-way Model with B</w:t>
      </w:r>
      <w:r w:rsidRPr="00AE6864">
        <w:rPr>
          <w:rFonts w:eastAsiaTheme="minorHAnsi"/>
        </w:rPr>
        <w:t xml:space="preserve">ilateral </w:t>
      </w:r>
      <w:r w:rsidR="00455DC9">
        <w:rPr>
          <w:rFonts w:eastAsiaTheme="minorHAnsi"/>
        </w:rPr>
        <w:t>Interaction E</w:t>
      </w:r>
      <w:r w:rsidRPr="00AE6864">
        <w:rPr>
          <w:rFonts w:eastAsiaTheme="minorHAnsi"/>
        </w:rPr>
        <w:t xml:space="preserve">ffects” </w:t>
      </w:r>
      <w:r w:rsidRPr="00AE6864">
        <w:rPr>
          <w:rFonts w:eastAsiaTheme="minorHAnsi"/>
          <w:i/>
          <w:iCs/>
        </w:rPr>
        <w:t>Empirical Economics</w:t>
      </w:r>
      <w:r w:rsidRPr="00AE6864">
        <w:rPr>
          <w:rFonts w:eastAsiaTheme="minorHAnsi"/>
        </w:rPr>
        <w:t>, 28</w:t>
      </w:r>
      <w:r w:rsidR="00DC59A0">
        <w:rPr>
          <w:rFonts w:eastAsiaTheme="minorHAnsi"/>
        </w:rPr>
        <w:t>(3)</w:t>
      </w:r>
      <w:r w:rsidRPr="00AE6864">
        <w:rPr>
          <w:rFonts w:eastAsiaTheme="minorHAnsi"/>
        </w:rPr>
        <w:t>,</w:t>
      </w:r>
      <w:r w:rsidR="00455DC9">
        <w:rPr>
          <w:rFonts w:eastAsiaTheme="minorHAnsi"/>
        </w:rPr>
        <w:t xml:space="preserve"> pp.</w:t>
      </w:r>
      <w:r w:rsidR="00D335BA">
        <w:rPr>
          <w:rFonts w:eastAsiaTheme="minorHAnsi"/>
        </w:rPr>
        <w:t xml:space="preserve"> </w:t>
      </w:r>
      <w:r w:rsidRPr="00AE6864">
        <w:rPr>
          <w:rFonts w:eastAsiaTheme="minorHAnsi"/>
        </w:rPr>
        <w:t>571-580</w:t>
      </w:r>
      <w:r w:rsidR="001A03AE">
        <w:rPr>
          <w:rFonts w:eastAsiaTheme="minorHAnsi"/>
        </w:rPr>
        <w:t xml:space="preserve">, </w:t>
      </w:r>
      <w:r w:rsidR="000F3AEA" w:rsidRPr="009762C5">
        <w:rPr>
          <w:rFonts w:eastAsiaTheme="minorHAnsi"/>
        </w:rPr>
        <w:t>http://</w:t>
      </w:r>
      <w:r w:rsidR="001A03AE" w:rsidRPr="009762C5">
        <w:rPr>
          <w:rFonts w:eastAsiaTheme="minorHAnsi"/>
        </w:rPr>
        <w:t>dx.doi.org/10.1007/s001810200146</w:t>
      </w:r>
      <w:r w:rsidRPr="00AE6864">
        <w:rPr>
          <w:rFonts w:eastAsiaTheme="minorHAnsi"/>
        </w:rPr>
        <w:t>.</w:t>
      </w:r>
    </w:p>
    <w:p w:rsidR="00EB27FC" w:rsidRPr="00AE6864" w:rsidRDefault="00EB27FC" w:rsidP="00EB27FC">
      <w:pPr>
        <w:autoSpaceDE w:val="0"/>
        <w:autoSpaceDN w:val="0"/>
        <w:adjustRightInd w:val="0"/>
        <w:jc w:val="both"/>
        <w:rPr>
          <w:rFonts w:eastAsiaTheme="minorHAnsi"/>
        </w:rPr>
      </w:pPr>
    </w:p>
    <w:p w:rsidR="00746891" w:rsidRDefault="00746891" w:rsidP="00EB27FC">
      <w:pPr>
        <w:contextualSpacing/>
        <w:jc w:val="both"/>
      </w:pPr>
      <w:r w:rsidRPr="00F031B9">
        <w:t>Engman, Michae</w:t>
      </w:r>
      <w:r w:rsidR="00C741E9">
        <w:t>l,</w:t>
      </w:r>
      <w:r w:rsidRPr="00F031B9">
        <w:t xml:space="preserve"> 2010</w:t>
      </w:r>
      <w:r w:rsidR="00C741E9">
        <w:t>,</w:t>
      </w:r>
      <w:r w:rsidRPr="00F031B9">
        <w:t xml:space="preserve"> </w:t>
      </w:r>
      <w:r w:rsidR="00DC59A0">
        <w:rPr>
          <w:rFonts w:eastAsiaTheme="minorHAnsi"/>
        </w:rPr>
        <w:t>“</w:t>
      </w:r>
      <w:r w:rsidRPr="00F031B9">
        <w:t>The Economic Impact of Trade Facilitation</w:t>
      </w:r>
      <w:r w:rsidR="00DC59A0" w:rsidRPr="00AE6864">
        <w:rPr>
          <w:rFonts w:eastAsiaTheme="minorHAnsi"/>
        </w:rPr>
        <w:t>”</w:t>
      </w:r>
      <w:r w:rsidRPr="00F031B9">
        <w:t xml:space="preserve"> in OECD Trade Policy Studies</w:t>
      </w:r>
      <w:r w:rsidR="00A50BFE">
        <w:t>,</w:t>
      </w:r>
      <w:r w:rsidRPr="00F031B9">
        <w:t xml:space="preserve"> </w:t>
      </w:r>
      <w:r w:rsidRPr="00F031B9">
        <w:rPr>
          <w:i/>
        </w:rPr>
        <w:t>Overcoming Border Bottlenecks</w:t>
      </w:r>
      <w:r w:rsidR="00A50BFE">
        <w:rPr>
          <w:i/>
        </w:rPr>
        <w:t>:</w:t>
      </w:r>
      <w:r w:rsidRPr="00F031B9">
        <w:rPr>
          <w:i/>
        </w:rPr>
        <w:t xml:space="preserve"> The Costs and Benefits of Trade Facilitation,</w:t>
      </w:r>
      <w:r w:rsidR="009204DC">
        <w:t xml:space="preserve"> pp.</w:t>
      </w:r>
      <w:r w:rsidR="00A50BFE">
        <w:t xml:space="preserve"> </w:t>
      </w:r>
      <w:r w:rsidR="009204DC">
        <w:t>81-112,</w:t>
      </w:r>
      <w:r w:rsidRPr="00F031B9">
        <w:t xml:space="preserve"> </w:t>
      </w:r>
      <w:r w:rsidR="009204DC">
        <w:t>Paris: OECD Publishing</w:t>
      </w:r>
      <w:r w:rsidR="00C741E9">
        <w:t>.</w:t>
      </w:r>
    </w:p>
    <w:p w:rsidR="00EB27FC" w:rsidRPr="00F031B9" w:rsidRDefault="00EB27FC" w:rsidP="00EB27FC">
      <w:pPr>
        <w:contextualSpacing/>
        <w:jc w:val="both"/>
      </w:pPr>
    </w:p>
    <w:p w:rsidR="009839B9" w:rsidRDefault="009839B9" w:rsidP="009839B9">
      <w:r>
        <w:t>Feenstra, Robert C., James R. Markusen and Andrew K. Rose, 2001, “Using the Gravity Equation to Differentiate among Alternative Theories of Trade”</w:t>
      </w:r>
      <w:r w:rsidR="007D4486">
        <w:t xml:space="preserve"> </w:t>
      </w:r>
      <w:r>
        <w:rPr>
          <w:rStyle w:val="HTMLCite"/>
        </w:rPr>
        <w:t>The Canadian Journal of Economics</w:t>
      </w:r>
      <w:r>
        <w:t xml:space="preserve"> , 34</w:t>
      </w:r>
      <w:r w:rsidR="007D4486">
        <w:t>(</w:t>
      </w:r>
      <w:r>
        <w:t>2</w:t>
      </w:r>
      <w:r w:rsidR="007D4486">
        <w:t>)</w:t>
      </w:r>
      <w:r>
        <w:t>, pp. 430-447</w:t>
      </w:r>
      <w:r w:rsidR="007D4486">
        <w:t>, h</w:t>
      </w:r>
      <w:r>
        <w:t>ttp://www.jstor.org/stable/3131862</w:t>
      </w:r>
      <w:r w:rsidR="007D4486">
        <w:t>.</w:t>
      </w:r>
    </w:p>
    <w:p w:rsidR="009839B9" w:rsidRDefault="009839B9" w:rsidP="00EB27FC">
      <w:pPr>
        <w:jc w:val="both"/>
        <w:rPr>
          <w:rFonts w:eastAsiaTheme="minorHAnsi"/>
        </w:rPr>
      </w:pPr>
    </w:p>
    <w:p w:rsidR="00746891" w:rsidRDefault="00746891" w:rsidP="00EB27FC">
      <w:pPr>
        <w:jc w:val="both"/>
        <w:rPr>
          <w:rFonts w:eastAsiaTheme="minorHAnsi"/>
        </w:rPr>
      </w:pPr>
      <w:r w:rsidRPr="00AE6864">
        <w:rPr>
          <w:rFonts w:eastAsiaTheme="minorHAnsi"/>
        </w:rPr>
        <w:t>Fidrmuc</w:t>
      </w:r>
      <w:r w:rsidR="00FF2F9B">
        <w:rPr>
          <w:rFonts w:eastAsiaTheme="minorHAnsi"/>
        </w:rPr>
        <w:t>,</w:t>
      </w:r>
      <w:r w:rsidRPr="00AE6864">
        <w:rPr>
          <w:rFonts w:eastAsiaTheme="minorHAnsi"/>
        </w:rPr>
        <w:t xml:space="preserve"> J</w:t>
      </w:r>
      <w:r w:rsidR="00FF2F9B">
        <w:rPr>
          <w:rFonts w:eastAsiaTheme="minorHAnsi"/>
        </w:rPr>
        <w:t>an</w:t>
      </w:r>
      <w:r w:rsidRPr="00AE6864">
        <w:rPr>
          <w:rFonts w:eastAsiaTheme="minorHAnsi"/>
        </w:rPr>
        <w:t xml:space="preserve"> and J</w:t>
      </w:r>
      <w:r w:rsidR="00FF2F9B">
        <w:rPr>
          <w:rFonts w:eastAsiaTheme="minorHAnsi"/>
        </w:rPr>
        <w:t>arko</w:t>
      </w:r>
      <w:r w:rsidRPr="00AE6864">
        <w:rPr>
          <w:rFonts w:eastAsiaTheme="minorHAnsi"/>
        </w:rPr>
        <w:t xml:space="preserve"> Fidrmuc</w:t>
      </w:r>
      <w:r w:rsidR="00C741E9">
        <w:rPr>
          <w:rFonts w:eastAsiaTheme="minorHAnsi"/>
        </w:rPr>
        <w:t xml:space="preserve">, </w:t>
      </w:r>
      <w:r w:rsidRPr="00AE6864">
        <w:rPr>
          <w:rFonts w:eastAsiaTheme="minorHAnsi"/>
        </w:rPr>
        <w:t>2003</w:t>
      </w:r>
      <w:r w:rsidR="00C741E9">
        <w:rPr>
          <w:rFonts w:eastAsiaTheme="minorHAnsi"/>
        </w:rPr>
        <w:t>,</w:t>
      </w:r>
      <w:r w:rsidR="000C3DCE">
        <w:rPr>
          <w:rFonts w:eastAsiaTheme="minorHAnsi"/>
        </w:rPr>
        <w:t xml:space="preserve"> “Disintegration and T</w:t>
      </w:r>
      <w:r w:rsidRPr="00AE6864">
        <w:rPr>
          <w:rFonts w:eastAsiaTheme="minorHAnsi"/>
        </w:rPr>
        <w:t>rade”</w:t>
      </w:r>
      <w:r w:rsidR="00C85E90">
        <w:rPr>
          <w:rFonts w:eastAsiaTheme="minorHAnsi"/>
        </w:rPr>
        <w:t>,</w:t>
      </w:r>
      <w:r w:rsidRPr="00AE6864">
        <w:rPr>
          <w:rFonts w:eastAsiaTheme="minorHAnsi"/>
        </w:rPr>
        <w:t xml:space="preserve"> </w:t>
      </w:r>
      <w:r w:rsidRPr="00AE6864">
        <w:rPr>
          <w:rFonts w:eastAsiaTheme="minorHAnsi"/>
          <w:i/>
          <w:iCs/>
        </w:rPr>
        <w:t>Review of International</w:t>
      </w:r>
      <w:r w:rsidRPr="00BE3D44">
        <w:rPr>
          <w:rFonts w:eastAsiaTheme="minorHAnsi"/>
          <w:i/>
          <w:iCs/>
        </w:rPr>
        <w:t xml:space="preserve"> </w:t>
      </w:r>
      <w:r w:rsidRPr="00AE6864">
        <w:rPr>
          <w:rFonts w:eastAsiaTheme="minorHAnsi"/>
          <w:i/>
          <w:iCs/>
        </w:rPr>
        <w:t xml:space="preserve">Economics, </w:t>
      </w:r>
      <w:r w:rsidRPr="00AE6864">
        <w:rPr>
          <w:rFonts w:eastAsiaTheme="minorHAnsi"/>
        </w:rPr>
        <w:t>11</w:t>
      </w:r>
      <w:r w:rsidR="000C3DCE">
        <w:rPr>
          <w:rFonts w:eastAsiaTheme="minorHAnsi"/>
        </w:rPr>
        <w:t>(</w:t>
      </w:r>
      <w:r w:rsidRPr="00AE6864">
        <w:rPr>
          <w:rFonts w:eastAsiaTheme="minorHAnsi"/>
        </w:rPr>
        <w:t>5</w:t>
      </w:r>
      <w:r w:rsidR="000C3DCE">
        <w:rPr>
          <w:rFonts w:eastAsiaTheme="minorHAnsi"/>
        </w:rPr>
        <w:t>)</w:t>
      </w:r>
      <w:r w:rsidRPr="00AE6864">
        <w:rPr>
          <w:rFonts w:eastAsiaTheme="minorHAnsi"/>
        </w:rPr>
        <w:t>,</w:t>
      </w:r>
      <w:r w:rsidR="000C3DCE">
        <w:rPr>
          <w:rFonts w:eastAsiaTheme="minorHAnsi"/>
        </w:rPr>
        <w:t xml:space="preserve"> pp.</w:t>
      </w:r>
      <w:r w:rsidR="00C85E90">
        <w:rPr>
          <w:rFonts w:eastAsiaTheme="minorHAnsi"/>
        </w:rPr>
        <w:t xml:space="preserve"> </w:t>
      </w:r>
      <w:r w:rsidRPr="00AE6864">
        <w:rPr>
          <w:rFonts w:eastAsiaTheme="minorHAnsi"/>
        </w:rPr>
        <w:t>811-829</w:t>
      </w:r>
      <w:r w:rsidR="001A03AE">
        <w:rPr>
          <w:rFonts w:eastAsiaTheme="minorHAnsi"/>
        </w:rPr>
        <w:t xml:space="preserve">, </w:t>
      </w:r>
      <w:r w:rsidR="00375AE8" w:rsidRPr="00132828">
        <w:rPr>
          <w:rFonts w:eastAsiaTheme="minorHAnsi"/>
        </w:rPr>
        <w:t>http://</w:t>
      </w:r>
      <w:r w:rsidR="001A03AE" w:rsidRPr="00132828">
        <w:rPr>
          <w:rFonts w:eastAsiaTheme="minorHAnsi"/>
        </w:rPr>
        <w:t>dx.doi.org/10.1046/j.1467-9396.2003.00419.x</w:t>
      </w:r>
      <w:r w:rsidRPr="00AE6864">
        <w:rPr>
          <w:rFonts w:eastAsiaTheme="minorHAnsi"/>
        </w:rPr>
        <w:t>.</w:t>
      </w:r>
    </w:p>
    <w:p w:rsidR="00EB27FC" w:rsidRPr="00BE3D44" w:rsidRDefault="00EB27FC" w:rsidP="00EB27FC">
      <w:pPr>
        <w:jc w:val="both"/>
        <w:rPr>
          <w:rFonts w:eastAsiaTheme="minorHAnsi"/>
        </w:rPr>
      </w:pPr>
    </w:p>
    <w:p w:rsidR="00CC1A6F" w:rsidRPr="00CC1A6F" w:rsidRDefault="00CC1A6F" w:rsidP="00CC1A6F">
      <w:pPr>
        <w:jc w:val="both"/>
        <w:rPr>
          <w:rFonts w:eastAsiaTheme="minorHAnsi"/>
        </w:rPr>
      </w:pPr>
      <w:r w:rsidRPr="00CC1A6F">
        <w:rPr>
          <w:rFonts w:eastAsiaTheme="minorHAnsi"/>
        </w:rPr>
        <w:t>Frankel, Jeffrey A., 1997. “The Gravity Model of Bilateral Trade”, in</w:t>
      </w:r>
      <w:r w:rsidR="009839B9">
        <w:rPr>
          <w:rFonts w:eastAsiaTheme="minorHAnsi"/>
        </w:rPr>
        <w:t xml:space="preserve"> </w:t>
      </w:r>
      <w:r w:rsidR="009839B9" w:rsidRPr="00CC1A6F">
        <w:rPr>
          <w:rFonts w:eastAsiaTheme="minorHAnsi"/>
        </w:rPr>
        <w:t>Jeffrey A.</w:t>
      </w:r>
      <w:r w:rsidR="009839B9">
        <w:rPr>
          <w:rFonts w:eastAsiaTheme="minorHAnsi"/>
        </w:rPr>
        <w:t xml:space="preserve"> Frankel, eds.</w:t>
      </w:r>
      <w:r w:rsidRPr="00CC1A6F">
        <w:rPr>
          <w:rFonts w:eastAsiaTheme="minorHAnsi"/>
        </w:rPr>
        <w:t xml:space="preserve"> </w:t>
      </w:r>
      <w:r w:rsidRPr="00845B12">
        <w:rPr>
          <w:rFonts w:eastAsiaTheme="minorHAnsi"/>
          <w:i/>
        </w:rPr>
        <w:t>Regional Trading Blocks in the World Economic System</w:t>
      </w:r>
      <w:r>
        <w:rPr>
          <w:rFonts w:eastAsiaTheme="minorHAnsi"/>
        </w:rPr>
        <w:t>, pp. 49</w:t>
      </w:r>
      <w:r w:rsidRPr="00AE6864">
        <w:rPr>
          <w:rFonts w:eastAsiaTheme="minorHAnsi"/>
        </w:rPr>
        <w:t>-</w:t>
      </w:r>
      <w:r>
        <w:rPr>
          <w:rFonts w:eastAsiaTheme="minorHAnsi"/>
        </w:rPr>
        <w:t>76</w:t>
      </w:r>
      <w:r w:rsidRPr="00CC1A6F">
        <w:rPr>
          <w:rFonts w:eastAsiaTheme="minorHAnsi"/>
        </w:rPr>
        <w:t>. Washington, DC: Institute of International Economics.</w:t>
      </w:r>
    </w:p>
    <w:p w:rsidR="00CC1A6F" w:rsidRDefault="00CC1A6F" w:rsidP="00EB27FC">
      <w:pPr>
        <w:autoSpaceDE w:val="0"/>
        <w:autoSpaceDN w:val="0"/>
        <w:adjustRightInd w:val="0"/>
        <w:jc w:val="both"/>
        <w:rPr>
          <w:rFonts w:eastAsiaTheme="minorHAnsi"/>
        </w:rPr>
      </w:pPr>
    </w:p>
    <w:p w:rsidR="00746891" w:rsidRDefault="00746891" w:rsidP="00EB27FC">
      <w:pPr>
        <w:autoSpaceDE w:val="0"/>
        <w:autoSpaceDN w:val="0"/>
        <w:adjustRightInd w:val="0"/>
        <w:jc w:val="both"/>
        <w:rPr>
          <w:rFonts w:eastAsiaTheme="minorHAnsi"/>
        </w:rPr>
      </w:pPr>
      <w:r w:rsidRPr="00AE6864">
        <w:rPr>
          <w:rFonts w:eastAsiaTheme="minorHAnsi"/>
        </w:rPr>
        <w:t xml:space="preserve">Hamilton, </w:t>
      </w:r>
      <w:r w:rsidR="00020B2C" w:rsidRPr="00020B2C">
        <w:rPr>
          <w:rFonts w:eastAsiaTheme="minorHAnsi"/>
        </w:rPr>
        <w:t>Carl</w:t>
      </w:r>
      <w:r w:rsidRPr="00AE6864">
        <w:rPr>
          <w:rFonts w:eastAsiaTheme="minorHAnsi"/>
        </w:rPr>
        <w:t xml:space="preserve"> B. and L. </w:t>
      </w:r>
      <w:r w:rsidR="00020B2C">
        <w:rPr>
          <w:rFonts w:eastAsiaTheme="minorHAnsi"/>
        </w:rPr>
        <w:t xml:space="preserve">Alan </w:t>
      </w:r>
      <w:r w:rsidRPr="00AE6864">
        <w:rPr>
          <w:rFonts w:eastAsiaTheme="minorHAnsi"/>
        </w:rPr>
        <w:t>Winters</w:t>
      </w:r>
      <w:r w:rsidR="00C741E9">
        <w:rPr>
          <w:rFonts w:eastAsiaTheme="minorHAnsi"/>
        </w:rPr>
        <w:t xml:space="preserve">, </w:t>
      </w:r>
      <w:r w:rsidRPr="00AE6864">
        <w:rPr>
          <w:rFonts w:eastAsiaTheme="minorHAnsi"/>
        </w:rPr>
        <w:t>1992</w:t>
      </w:r>
      <w:r w:rsidR="00C741E9">
        <w:rPr>
          <w:rFonts w:eastAsiaTheme="minorHAnsi"/>
        </w:rPr>
        <w:t>,</w:t>
      </w:r>
      <w:r w:rsidRPr="00AE6864">
        <w:rPr>
          <w:rFonts w:eastAsiaTheme="minorHAnsi"/>
        </w:rPr>
        <w:t xml:space="preserve"> “Opening up International Trade with Eastern</w:t>
      </w:r>
      <w:r>
        <w:rPr>
          <w:rFonts w:eastAsiaTheme="minorHAnsi"/>
        </w:rPr>
        <w:t xml:space="preserve"> </w:t>
      </w:r>
      <w:r w:rsidRPr="00AE6864">
        <w:rPr>
          <w:rFonts w:eastAsiaTheme="minorHAnsi"/>
        </w:rPr>
        <w:t>Europe”</w:t>
      </w:r>
      <w:r w:rsidR="00FF2F9B">
        <w:rPr>
          <w:rFonts w:eastAsiaTheme="minorHAnsi"/>
        </w:rPr>
        <w:t>,</w:t>
      </w:r>
      <w:r w:rsidRPr="00AE6864">
        <w:rPr>
          <w:rFonts w:eastAsiaTheme="minorHAnsi"/>
        </w:rPr>
        <w:t xml:space="preserve"> </w:t>
      </w:r>
      <w:r w:rsidRPr="00AE6864">
        <w:rPr>
          <w:rFonts w:eastAsiaTheme="minorHAnsi"/>
          <w:i/>
          <w:iCs/>
        </w:rPr>
        <w:t>Economic Policy</w:t>
      </w:r>
      <w:r w:rsidRPr="00AE6864">
        <w:rPr>
          <w:rFonts w:eastAsiaTheme="minorHAnsi"/>
        </w:rPr>
        <w:t xml:space="preserve">, </w:t>
      </w:r>
      <w:r w:rsidR="00DC59A0">
        <w:rPr>
          <w:rFonts w:eastAsiaTheme="minorHAnsi"/>
        </w:rPr>
        <w:t>7(</w:t>
      </w:r>
      <w:r w:rsidR="00E13027">
        <w:rPr>
          <w:rFonts w:eastAsiaTheme="minorHAnsi"/>
        </w:rPr>
        <w:t>14</w:t>
      </w:r>
      <w:r w:rsidR="00DC59A0">
        <w:rPr>
          <w:rFonts w:eastAsiaTheme="minorHAnsi"/>
        </w:rPr>
        <w:t>)</w:t>
      </w:r>
      <w:r w:rsidRPr="00AE6864">
        <w:rPr>
          <w:rFonts w:eastAsiaTheme="minorHAnsi"/>
        </w:rPr>
        <w:t>,</w:t>
      </w:r>
      <w:r w:rsidR="00E13027">
        <w:rPr>
          <w:rFonts w:eastAsiaTheme="minorHAnsi"/>
        </w:rPr>
        <w:t xml:space="preserve"> pp.</w:t>
      </w:r>
      <w:r w:rsidR="00C85E90">
        <w:rPr>
          <w:rFonts w:eastAsiaTheme="minorHAnsi"/>
        </w:rPr>
        <w:t xml:space="preserve"> </w:t>
      </w:r>
      <w:r w:rsidRPr="00AE6864">
        <w:rPr>
          <w:rFonts w:eastAsiaTheme="minorHAnsi"/>
        </w:rPr>
        <w:t>7</w:t>
      </w:r>
      <w:r w:rsidR="00020B2C">
        <w:rPr>
          <w:rFonts w:eastAsiaTheme="minorHAnsi"/>
        </w:rPr>
        <w:t>7</w:t>
      </w:r>
      <w:r w:rsidRPr="00AE6864">
        <w:rPr>
          <w:rFonts w:eastAsiaTheme="minorHAnsi"/>
        </w:rPr>
        <w:t>-11</w:t>
      </w:r>
      <w:r w:rsidR="00020B2C">
        <w:rPr>
          <w:rFonts w:eastAsiaTheme="minorHAnsi"/>
        </w:rPr>
        <w:t xml:space="preserve">6, </w:t>
      </w:r>
      <w:r w:rsidR="00375AE8" w:rsidRPr="00132828">
        <w:rPr>
          <w:rFonts w:eastAsiaTheme="minorHAnsi"/>
        </w:rPr>
        <w:t>http://dx.doi.org/</w:t>
      </w:r>
      <w:r w:rsidR="00020B2C" w:rsidRPr="00132828">
        <w:rPr>
          <w:rFonts w:eastAsiaTheme="minorHAnsi"/>
        </w:rPr>
        <w:t>10.2307/1344513</w:t>
      </w:r>
      <w:r w:rsidRPr="00AE6864">
        <w:rPr>
          <w:rFonts w:eastAsiaTheme="minorHAnsi"/>
        </w:rPr>
        <w:t xml:space="preserve">. </w:t>
      </w:r>
    </w:p>
    <w:p w:rsidR="00EB27FC" w:rsidRDefault="00EB27FC" w:rsidP="00EB27FC">
      <w:pPr>
        <w:autoSpaceDE w:val="0"/>
        <w:autoSpaceDN w:val="0"/>
        <w:adjustRightInd w:val="0"/>
        <w:jc w:val="both"/>
        <w:rPr>
          <w:rFonts w:eastAsiaTheme="minorHAnsi"/>
        </w:rPr>
      </w:pPr>
    </w:p>
    <w:p w:rsidR="00746891" w:rsidRDefault="00746891" w:rsidP="00EB27FC">
      <w:pPr>
        <w:autoSpaceDE w:val="0"/>
        <w:autoSpaceDN w:val="0"/>
        <w:adjustRightInd w:val="0"/>
        <w:jc w:val="both"/>
        <w:rPr>
          <w:rFonts w:eastAsiaTheme="minorHAnsi"/>
        </w:rPr>
      </w:pPr>
      <w:r w:rsidRPr="00AE6864">
        <w:rPr>
          <w:rFonts w:eastAsiaTheme="minorHAnsi"/>
        </w:rPr>
        <w:t>Havrylyshyn, O</w:t>
      </w:r>
      <w:r w:rsidR="00B1134A">
        <w:rPr>
          <w:rFonts w:eastAsiaTheme="minorHAnsi"/>
        </w:rPr>
        <w:t>leh</w:t>
      </w:r>
      <w:r w:rsidRPr="00AE6864">
        <w:rPr>
          <w:rFonts w:eastAsiaTheme="minorHAnsi"/>
        </w:rPr>
        <w:t xml:space="preserve"> and H</w:t>
      </w:r>
      <w:r w:rsidR="00B1134A">
        <w:rPr>
          <w:rFonts w:eastAsiaTheme="minorHAnsi"/>
        </w:rPr>
        <w:t>assan</w:t>
      </w:r>
      <w:r w:rsidRPr="00AE6864">
        <w:rPr>
          <w:rFonts w:eastAsiaTheme="minorHAnsi"/>
        </w:rPr>
        <w:t xml:space="preserve"> Al-Atrash</w:t>
      </w:r>
      <w:r w:rsidR="00C741E9" w:rsidRPr="00B1134A">
        <w:rPr>
          <w:rFonts w:eastAsiaTheme="minorHAnsi"/>
        </w:rPr>
        <w:t xml:space="preserve">, </w:t>
      </w:r>
      <w:r w:rsidRPr="00B1134A">
        <w:rPr>
          <w:rFonts w:eastAsiaTheme="minorHAnsi"/>
        </w:rPr>
        <w:t>1998</w:t>
      </w:r>
      <w:r w:rsidR="00C741E9" w:rsidRPr="00B1134A">
        <w:rPr>
          <w:rFonts w:eastAsiaTheme="minorHAnsi"/>
        </w:rPr>
        <w:t>,</w:t>
      </w:r>
      <w:r w:rsidRPr="00B1134A">
        <w:rPr>
          <w:rFonts w:eastAsiaTheme="minorHAnsi"/>
        </w:rPr>
        <w:t xml:space="preserve"> “</w:t>
      </w:r>
      <w:r w:rsidR="00B1134A" w:rsidRPr="00B1134A">
        <w:rPr>
          <w:rFonts w:eastAsiaTheme="minorHAnsi"/>
        </w:rPr>
        <w:t xml:space="preserve">Opening </w:t>
      </w:r>
      <w:r w:rsidR="00F370E1">
        <w:rPr>
          <w:rFonts w:eastAsiaTheme="minorHAnsi"/>
        </w:rPr>
        <w:t>U</w:t>
      </w:r>
      <w:r w:rsidR="00B1134A" w:rsidRPr="00B1134A">
        <w:rPr>
          <w:rFonts w:eastAsiaTheme="minorHAnsi"/>
        </w:rPr>
        <w:t>p and Geographic Diversification of Trade in Transition E</w:t>
      </w:r>
      <w:r w:rsidRPr="00B1134A">
        <w:rPr>
          <w:rFonts w:eastAsiaTheme="minorHAnsi"/>
        </w:rPr>
        <w:t>conomies”</w:t>
      </w:r>
      <w:r w:rsidR="00F370E1">
        <w:rPr>
          <w:rFonts w:eastAsiaTheme="minorHAnsi"/>
        </w:rPr>
        <w:t>,</w:t>
      </w:r>
      <w:r w:rsidRPr="00B1134A">
        <w:rPr>
          <w:rFonts w:eastAsiaTheme="minorHAnsi"/>
        </w:rPr>
        <w:t xml:space="preserve"> </w:t>
      </w:r>
      <w:r w:rsidR="00B1134A">
        <w:rPr>
          <w:rFonts w:eastAsiaTheme="minorHAnsi"/>
        </w:rPr>
        <w:t xml:space="preserve">IMF </w:t>
      </w:r>
      <w:r w:rsidRPr="00B1134A">
        <w:rPr>
          <w:rFonts w:eastAsiaTheme="minorHAnsi"/>
        </w:rPr>
        <w:t>Working Paper</w:t>
      </w:r>
      <w:r w:rsidR="00B1134A" w:rsidRPr="00B1134A">
        <w:rPr>
          <w:rFonts w:eastAsiaTheme="minorHAnsi"/>
        </w:rPr>
        <w:t>, No. 98/22,</w:t>
      </w:r>
      <w:r w:rsidR="00B1134A">
        <w:rPr>
          <w:rFonts w:eastAsiaTheme="minorHAnsi"/>
        </w:rPr>
        <w:t xml:space="preserve"> February,</w:t>
      </w:r>
      <w:r w:rsidR="00B1134A" w:rsidRPr="00B1134A">
        <w:rPr>
          <w:rFonts w:eastAsiaTheme="minorHAnsi"/>
        </w:rPr>
        <w:t xml:space="preserve"> Washington DC: International Monetary Fund</w:t>
      </w:r>
      <w:r w:rsidR="00B1134A">
        <w:rPr>
          <w:rFonts w:eastAsiaTheme="minorHAnsi"/>
        </w:rPr>
        <w:t>.</w:t>
      </w:r>
    </w:p>
    <w:p w:rsidR="00EB27FC" w:rsidRPr="00AE6864" w:rsidRDefault="00EB27FC" w:rsidP="00EB27FC">
      <w:pPr>
        <w:autoSpaceDE w:val="0"/>
        <w:autoSpaceDN w:val="0"/>
        <w:adjustRightInd w:val="0"/>
        <w:jc w:val="both"/>
        <w:rPr>
          <w:rFonts w:eastAsiaTheme="minorHAnsi"/>
        </w:rPr>
      </w:pPr>
    </w:p>
    <w:p w:rsidR="00746891" w:rsidRDefault="00746891" w:rsidP="00EB27FC">
      <w:pPr>
        <w:contextualSpacing/>
        <w:jc w:val="both"/>
      </w:pPr>
      <w:r w:rsidRPr="00F031B9">
        <w:lastRenderedPageBreak/>
        <w:t>Head, Keith</w:t>
      </w:r>
      <w:r w:rsidR="00C741E9">
        <w:t>,</w:t>
      </w:r>
      <w:r w:rsidRPr="00F031B9">
        <w:t xml:space="preserve"> </w:t>
      </w:r>
      <w:r w:rsidRPr="00BC32A8">
        <w:t>2000</w:t>
      </w:r>
      <w:r w:rsidR="00C741E9" w:rsidRPr="00BC32A8">
        <w:t>,</w:t>
      </w:r>
      <w:r w:rsidRPr="00BC32A8">
        <w:t xml:space="preserve"> “The Gravity for Beginners”, </w:t>
      </w:r>
      <w:r w:rsidR="00F370E1">
        <w:t>m</w:t>
      </w:r>
      <w:r w:rsidRPr="00BC32A8">
        <w:t xml:space="preserve">aterial presented at </w:t>
      </w:r>
      <w:r w:rsidR="00F370E1">
        <w:t>“</w:t>
      </w:r>
      <w:r w:rsidRPr="00BC32A8">
        <w:t>Rethinking the Line: The Canada – US Border Conference</w:t>
      </w:r>
      <w:r w:rsidR="00F370E1">
        <w:t>”</w:t>
      </w:r>
      <w:r w:rsidR="00BC32A8">
        <w:t>, Vancouver</w:t>
      </w:r>
      <w:r w:rsidR="00F370E1">
        <w:t xml:space="preserve">, </w:t>
      </w:r>
      <w:r w:rsidR="00F370E1" w:rsidRPr="00F370E1">
        <w:t>October 22</w:t>
      </w:r>
      <w:r w:rsidR="00F370E1">
        <w:t>-25</w:t>
      </w:r>
      <w:r w:rsidR="00C741E9" w:rsidRPr="00BC32A8">
        <w:t>.</w:t>
      </w:r>
      <w:r w:rsidRPr="00BC32A8">
        <w:t xml:space="preserve"> </w:t>
      </w:r>
    </w:p>
    <w:p w:rsidR="00EB27FC" w:rsidRPr="00BC32A8" w:rsidRDefault="00EB27FC" w:rsidP="00EB27FC">
      <w:pPr>
        <w:contextualSpacing/>
        <w:jc w:val="both"/>
      </w:pPr>
    </w:p>
    <w:p w:rsidR="00746891" w:rsidRDefault="00746891" w:rsidP="00EB27FC">
      <w:pPr>
        <w:contextualSpacing/>
        <w:jc w:val="both"/>
      </w:pPr>
      <w:r w:rsidRPr="00F031B9">
        <w:t xml:space="preserve">Hummels, David and </w:t>
      </w:r>
      <w:r w:rsidRPr="00BC32A8">
        <w:t>Georg Schaur</w:t>
      </w:r>
      <w:r w:rsidR="00C741E9" w:rsidRPr="00BC32A8">
        <w:t>,</w:t>
      </w:r>
      <w:r w:rsidRPr="00BC32A8">
        <w:t xml:space="preserve"> 2012</w:t>
      </w:r>
      <w:r w:rsidR="00C741E9" w:rsidRPr="00BC32A8">
        <w:t>,</w:t>
      </w:r>
      <w:r w:rsidRPr="00BC32A8">
        <w:t xml:space="preserve"> “Time as a Trade Barrier”, </w:t>
      </w:r>
      <w:r w:rsidR="00BC32A8" w:rsidRPr="00BC32A8">
        <w:t>NBER Working Paper</w:t>
      </w:r>
      <w:r w:rsidR="00BC32A8">
        <w:t xml:space="preserve"> Series</w:t>
      </w:r>
      <w:r w:rsidRPr="00BC32A8">
        <w:t xml:space="preserve">, </w:t>
      </w:r>
      <w:r w:rsidR="00BC32A8">
        <w:t>No.</w:t>
      </w:r>
      <w:r w:rsidRPr="00BC32A8">
        <w:t xml:space="preserve"> 17758,</w:t>
      </w:r>
      <w:r w:rsidR="00BC32A8">
        <w:t xml:space="preserve"> January, MA: National Bureau of Economic Research</w:t>
      </w:r>
      <w:r w:rsidR="00C741E9">
        <w:t>.</w:t>
      </w:r>
    </w:p>
    <w:p w:rsidR="00EB27FC" w:rsidRPr="00F031B9" w:rsidRDefault="00EB27FC" w:rsidP="00EB27FC">
      <w:pPr>
        <w:contextualSpacing/>
        <w:jc w:val="both"/>
      </w:pPr>
    </w:p>
    <w:p w:rsidR="00746891" w:rsidRDefault="00746891" w:rsidP="00EB27FC">
      <w:pPr>
        <w:autoSpaceDE w:val="0"/>
        <w:autoSpaceDN w:val="0"/>
        <w:adjustRightInd w:val="0"/>
        <w:jc w:val="both"/>
        <w:rPr>
          <w:rFonts w:eastAsiaTheme="minorHAnsi"/>
        </w:rPr>
      </w:pPr>
      <w:r w:rsidRPr="00AE6864">
        <w:rPr>
          <w:rFonts w:eastAsiaTheme="minorHAnsi"/>
        </w:rPr>
        <w:t>Jakab, Z</w:t>
      </w:r>
      <w:r w:rsidR="009D5628">
        <w:rPr>
          <w:rFonts w:eastAsiaTheme="minorHAnsi"/>
        </w:rPr>
        <w:t>oltan M</w:t>
      </w:r>
      <w:r w:rsidRPr="00AE6864">
        <w:rPr>
          <w:rFonts w:eastAsiaTheme="minorHAnsi"/>
        </w:rPr>
        <w:t>.,</w:t>
      </w:r>
      <w:r w:rsidR="009D5628">
        <w:rPr>
          <w:rFonts w:eastAsiaTheme="minorHAnsi"/>
        </w:rPr>
        <w:t xml:space="preserve"> Mihaly Kovács</w:t>
      </w:r>
      <w:r w:rsidRPr="00AE6864">
        <w:rPr>
          <w:rFonts w:eastAsiaTheme="minorHAnsi"/>
        </w:rPr>
        <w:t xml:space="preserve"> and A</w:t>
      </w:r>
      <w:r w:rsidR="009D5628">
        <w:rPr>
          <w:rFonts w:eastAsiaTheme="minorHAnsi"/>
        </w:rPr>
        <w:t>dras</w:t>
      </w:r>
      <w:r w:rsidRPr="00AE6864">
        <w:rPr>
          <w:rFonts w:eastAsiaTheme="minorHAnsi"/>
        </w:rPr>
        <w:t xml:space="preserve"> Oszlay</w:t>
      </w:r>
      <w:r w:rsidR="00C741E9">
        <w:rPr>
          <w:rFonts w:eastAsiaTheme="minorHAnsi"/>
        </w:rPr>
        <w:t xml:space="preserve">, </w:t>
      </w:r>
      <w:r w:rsidRPr="00AE6864">
        <w:rPr>
          <w:rFonts w:eastAsiaTheme="minorHAnsi"/>
        </w:rPr>
        <w:t>2001</w:t>
      </w:r>
      <w:r w:rsidR="00C741E9">
        <w:rPr>
          <w:rFonts w:eastAsiaTheme="minorHAnsi"/>
        </w:rPr>
        <w:t>,</w:t>
      </w:r>
      <w:r w:rsidR="003229DA">
        <w:rPr>
          <w:rFonts w:eastAsiaTheme="minorHAnsi"/>
        </w:rPr>
        <w:t xml:space="preserve"> “How Far </w:t>
      </w:r>
      <w:r w:rsidR="004B0315">
        <w:rPr>
          <w:rFonts w:eastAsiaTheme="minorHAnsi"/>
        </w:rPr>
        <w:t>H</w:t>
      </w:r>
      <w:r w:rsidR="003229DA">
        <w:rPr>
          <w:rFonts w:eastAsiaTheme="minorHAnsi"/>
        </w:rPr>
        <w:t>as Trade I</w:t>
      </w:r>
      <w:r w:rsidRPr="00AE6864">
        <w:rPr>
          <w:rFonts w:eastAsiaTheme="minorHAnsi"/>
        </w:rPr>
        <w:t xml:space="preserve">ntegration </w:t>
      </w:r>
      <w:r w:rsidR="003229DA">
        <w:rPr>
          <w:rFonts w:eastAsiaTheme="minorHAnsi"/>
        </w:rPr>
        <w:t>Advanced? An Analysis of the Actual and Potential Trade of T</w:t>
      </w:r>
      <w:r w:rsidRPr="00AE6864">
        <w:rPr>
          <w:rFonts w:eastAsiaTheme="minorHAnsi"/>
        </w:rPr>
        <w:t>hre</w:t>
      </w:r>
      <w:r w:rsidR="003229DA">
        <w:rPr>
          <w:rFonts w:eastAsiaTheme="minorHAnsi"/>
        </w:rPr>
        <w:t>e Central and Eastern European C</w:t>
      </w:r>
      <w:r w:rsidRPr="00AE6864">
        <w:rPr>
          <w:rFonts w:eastAsiaTheme="minorHAnsi"/>
        </w:rPr>
        <w:t>ountries”</w:t>
      </w:r>
      <w:r w:rsidR="00E07405">
        <w:rPr>
          <w:rFonts w:eastAsiaTheme="minorHAnsi"/>
        </w:rPr>
        <w:t>,</w:t>
      </w:r>
      <w:r w:rsidRPr="00AE6864">
        <w:rPr>
          <w:rFonts w:eastAsiaTheme="minorHAnsi"/>
        </w:rPr>
        <w:t xml:space="preserve"> </w:t>
      </w:r>
      <w:r w:rsidRPr="00AE6864">
        <w:rPr>
          <w:rFonts w:eastAsiaTheme="minorHAnsi"/>
          <w:i/>
          <w:iCs/>
        </w:rPr>
        <w:t>Journal of Comparative Economics</w:t>
      </w:r>
      <w:r w:rsidR="00E07405">
        <w:rPr>
          <w:rFonts w:eastAsiaTheme="minorHAnsi"/>
        </w:rPr>
        <w:t>, 29(</w:t>
      </w:r>
      <w:r w:rsidRPr="00AE6864">
        <w:rPr>
          <w:rFonts w:eastAsiaTheme="minorHAnsi"/>
        </w:rPr>
        <w:t>2</w:t>
      </w:r>
      <w:r w:rsidR="00E07405">
        <w:rPr>
          <w:rFonts w:eastAsiaTheme="minorHAnsi"/>
        </w:rPr>
        <w:t>)</w:t>
      </w:r>
      <w:r w:rsidRPr="00AE6864">
        <w:rPr>
          <w:rFonts w:eastAsiaTheme="minorHAnsi"/>
        </w:rPr>
        <w:t>,</w:t>
      </w:r>
      <w:r w:rsidR="00E07405">
        <w:rPr>
          <w:rFonts w:eastAsiaTheme="minorHAnsi"/>
        </w:rPr>
        <w:t xml:space="preserve"> pp.</w:t>
      </w:r>
      <w:r w:rsidRPr="00AE6864">
        <w:rPr>
          <w:rFonts w:eastAsiaTheme="minorHAnsi"/>
        </w:rPr>
        <w:t xml:space="preserve"> 276-292</w:t>
      </w:r>
      <w:r w:rsidR="00362CEA">
        <w:rPr>
          <w:rFonts w:eastAsiaTheme="minorHAnsi"/>
        </w:rPr>
        <w:t xml:space="preserve">, </w:t>
      </w:r>
      <w:r w:rsidR="009E3FE5" w:rsidRPr="00132828">
        <w:rPr>
          <w:rFonts w:eastAsiaTheme="minorHAnsi"/>
        </w:rPr>
        <w:t>http://</w:t>
      </w:r>
      <w:r w:rsidR="00362CEA" w:rsidRPr="00132828">
        <w:rPr>
          <w:rFonts w:eastAsiaTheme="minorHAnsi"/>
        </w:rPr>
        <w:t>dx.doi.org/10.1006/jcec.2001.1709</w:t>
      </w:r>
      <w:r w:rsidRPr="00AE6864">
        <w:rPr>
          <w:rFonts w:eastAsiaTheme="minorHAnsi"/>
        </w:rPr>
        <w:t xml:space="preserve">. </w:t>
      </w:r>
    </w:p>
    <w:p w:rsidR="009C0BEF" w:rsidRPr="00AE6864" w:rsidRDefault="009C0BEF" w:rsidP="00EB27FC">
      <w:pPr>
        <w:autoSpaceDE w:val="0"/>
        <w:autoSpaceDN w:val="0"/>
        <w:adjustRightInd w:val="0"/>
        <w:jc w:val="both"/>
        <w:rPr>
          <w:rFonts w:eastAsiaTheme="minorHAnsi"/>
        </w:rPr>
      </w:pPr>
    </w:p>
    <w:p w:rsidR="00746891" w:rsidRPr="00BE3D44" w:rsidRDefault="00746891" w:rsidP="00EB27FC">
      <w:pPr>
        <w:autoSpaceDE w:val="0"/>
        <w:autoSpaceDN w:val="0"/>
        <w:adjustRightInd w:val="0"/>
        <w:jc w:val="both"/>
        <w:rPr>
          <w:rFonts w:eastAsiaTheme="minorHAnsi"/>
        </w:rPr>
      </w:pPr>
      <w:r w:rsidRPr="00AE6864">
        <w:rPr>
          <w:rFonts w:eastAsiaTheme="minorHAnsi"/>
        </w:rPr>
        <w:t>Kaminski, B</w:t>
      </w:r>
      <w:r w:rsidR="007D2A93">
        <w:rPr>
          <w:rFonts w:eastAsiaTheme="minorHAnsi"/>
        </w:rPr>
        <w:t>artlomiej</w:t>
      </w:r>
      <w:r w:rsidRPr="00AE6864">
        <w:rPr>
          <w:rFonts w:eastAsiaTheme="minorHAnsi"/>
        </w:rPr>
        <w:t>,</w:t>
      </w:r>
      <w:r w:rsidR="007D2A93">
        <w:rPr>
          <w:rFonts w:eastAsiaTheme="minorHAnsi"/>
        </w:rPr>
        <w:t xml:space="preserve"> Zhen Kun Wang and L. Alan</w:t>
      </w:r>
      <w:r w:rsidRPr="00AE6864">
        <w:rPr>
          <w:rFonts w:eastAsiaTheme="minorHAnsi"/>
        </w:rPr>
        <w:t xml:space="preserve"> Winters</w:t>
      </w:r>
      <w:r w:rsidR="00C741E9">
        <w:rPr>
          <w:rFonts w:eastAsiaTheme="minorHAnsi"/>
        </w:rPr>
        <w:t xml:space="preserve">, </w:t>
      </w:r>
      <w:r w:rsidRPr="00AE6864">
        <w:rPr>
          <w:rFonts w:eastAsiaTheme="minorHAnsi"/>
        </w:rPr>
        <w:t>1996</w:t>
      </w:r>
      <w:r w:rsidR="00C741E9">
        <w:rPr>
          <w:rFonts w:eastAsiaTheme="minorHAnsi"/>
        </w:rPr>
        <w:t>,</w:t>
      </w:r>
      <w:r w:rsidR="003229DA">
        <w:rPr>
          <w:rFonts w:eastAsiaTheme="minorHAnsi"/>
        </w:rPr>
        <w:t xml:space="preserve"> “</w:t>
      </w:r>
      <w:r w:rsidR="007D2A93">
        <w:rPr>
          <w:rFonts w:eastAsiaTheme="minorHAnsi"/>
        </w:rPr>
        <w:t>Export Performance in Transition Economies</w:t>
      </w:r>
      <w:r w:rsidRPr="00AE6864">
        <w:rPr>
          <w:rFonts w:eastAsiaTheme="minorHAnsi"/>
        </w:rPr>
        <w:t>”</w:t>
      </w:r>
      <w:r w:rsidR="003229DA">
        <w:rPr>
          <w:rFonts w:eastAsiaTheme="minorHAnsi"/>
        </w:rPr>
        <w:t>,</w:t>
      </w:r>
      <w:r w:rsidRPr="00AE6864">
        <w:rPr>
          <w:rFonts w:eastAsiaTheme="minorHAnsi"/>
        </w:rPr>
        <w:t xml:space="preserve"> </w:t>
      </w:r>
      <w:r w:rsidRPr="00AE6864">
        <w:rPr>
          <w:rFonts w:eastAsiaTheme="minorHAnsi"/>
          <w:i/>
          <w:iCs/>
        </w:rPr>
        <w:t>Economic Policy</w:t>
      </w:r>
      <w:r w:rsidR="003229DA">
        <w:rPr>
          <w:rFonts w:eastAsiaTheme="minorHAnsi"/>
        </w:rPr>
        <w:t xml:space="preserve">, </w:t>
      </w:r>
      <w:r w:rsidR="007D2A93">
        <w:rPr>
          <w:rFonts w:eastAsiaTheme="minorHAnsi"/>
        </w:rPr>
        <w:t>11(23)</w:t>
      </w:r>
      <w:r w:rsidRPr="00AE6864">
        <w:rPr>
          <w:rFonts w:eastAsiaTheme="minorHAnsi"/>
        </w:rPr>
        <w:t>,</w:t>
      </w:r>
      <w:r w:rsidR="007D2A93">
        <w:rPr>
          <w:rFonts w:eastAsiaTheme="minorHAnsi"/>
        </w:rPr>
        <w:t xml:space="preserve"> pp.</w:t>
      </w:r>
      <w:r w:rsidRPr="00AE6864">
        <w:rPr>
          <w:rFonts w:eastAsiaTheme="minorHAnsi"/>
        </w:rPr>
        <w:t xml:space="preserve"> 421-442</w:t>
      </w:r>
      <w:r w:rsidR="00362CEA">
        <w:rPr>
          <w:rFonts w:eastAsiaTheme="minorHAnsi"/>
        </w:rPr>
        <w:t xml:space="preserve">, </w:t>
      </w:r>
      <w:r w:rsidR="009E3FE5" w:rsidRPr="00132828">
        <w:rPr>
          <w:rFonts w:eastAsiaTheme="minorHAnsi"/>
        </w:rPr>
        <w:t>http://</w:t>
      </w:r>
      <w:r w:rsidR="00362CEA" w:rsidRPr="00132828">
        <w:rPr>
          <w:rFonts w:eastAsiaTheme="minorHAnsi"/>
        </w:rPr>
        <w:t>dx.doi.org/10.2307/1344709</w:t>
      </w:r>
      <w:r w:rsidRPr="00AE6864">
        <w:rPr>
          <w:rFonts w:eastAsiaTheme="minorHAnsi"/>
        </w:rPr>
        <w:t>.</w:t>
      </w:r>
    </w:p>
    <w:p w:rsidR="009C0BEF" w:rsidRDefault="009C0BEF" w:rsidP="00EB27FC">
      <w:pPr>
        <w:contextualSpacing/>
        <w:jc w:val="both"/>
      </w:pPr>
    </w:p>
    <w:p w:rsidR="003C6AF9" w:rsidRDefault="00746891" w:rsidP="00EB27FC">
      <w:pPr>
        <w:autoSpaceDE w:val="0"/>
        <w:autoSpaceDN w:val="0"/>
        <w:adjustRightInd w:val="0"/>
        <w:jc w:val="both"/>
        <w:rPr>
          <w:rFonts w:eastAsiaTheme="minorHAnsi"/>
        </w:rPr>
      </w:pPr>
      <w:r w:rsidRPr="00AE6864">
        <w:rPr>
          <w:rFonts w:eastAsiaTheme="minorHAnsi"/>
        </w:rPr>
        <w:t>Leamer</w:t>
      </w:r>
      <w:r w:rsidR="003C6AF9">
        <w:rPr>
          <w:rFonts w:eastAsiaTheme="minorHAnsi"/>
        </w:rPr>
        <w:t xml:space="preserve">, </w:t>
      </w:r>
      <w:r w:rsidR="003C6AF9" w:rsidRPr="00AE6864">
        <w:rPr>
          <w:rFonts w:eastAsiaTheme="minorHAnsi"/>
        </w:rPr>
        <w:t xml:space="preserve">Edward E. </w:t>
      </w:r>
      <w:r w:rsidRPr="00AE6864">
        <w:rPr>
          <w:rFonts w:eastAsiaTheme="minorHAnsi"/>
        </w:rPr>
        <w:t>and James Levinsohn, 1995</w:t>
      </w:r>
      <w:r w:rsidR="00C741E9">
        <w:rPr>
          <w:rFonts w:eastAsiaTheme="minorHAnsi"/>
        </w:rPr>
        <w:t>,</w:t>
      </w:r>
      <w:r w:rsidRPr="00AE6864">
        <w:rPr>
          <w:rFonts w:eastAsiaTheme="minorHAnsi"/>
        </w:rPr>
        <w:t xml:space="preserve"> </w:t>
      </w:r>
      <w:r w:rsidR="00C327A4" w:rsidRPr="00112AA6">
        <w:t>“</w:t>
      </w:r>
      <w:r w:rsidRPr="00AE6864">
        <w:rPr>
          <w:rFonts w:eastAsiaTheme="minorHAnsi"/>
        </w:rPr>
        <w:t>International Trade</w:t>
      </w:r>
      <w:r>
        <w:rPr>
          <w:rFonts w:eastAsiaTheme="minorHAnsi"/>
        </w:rPr>
        <w:t xml:space="preserve"> </w:t>
      </w:r>
      <w:r w:rsidRPr="00AE6864">
        <w:rPr>
          <w:rFonts w:eastAsiaTheme="minorHAnsi"/>
        </w:rPr>
        <w:t>Theory: the Evidence</w:t>
      </w:r>
      <w:r w:rsidR="00C327A4" w:rsidRPr="00112AA6">
        <w:t>”</w:t>
      </w:r>
      <w:r w:rsidRPr="00AE6864">
        <w:rPr>
          <w:rFonts w:eastAsiaTheme="minorHAnsi"/>
        </w:rPr>
        <w:t xml:space="preserve"> in Gene M. Grossman and Kenneth Rogo, eds., </w:t>
      </w:r>
      <w:r w:rsidRPr="00D65B27">
        <w:rPr>
          <w:rFonts w:eastAsiaTheme="minorHAnsi"/>
          <w:i/>
        </w:rPr>
        <w:t>Handbook of International Economics</w:t>
      </w:r>
      <w:r w:rsidRPr="00AE6864">
        <w:rPr>
          <w:rFonts w:eastAsiaTheme="minorHAnsi"/>
        </w:rPr>
        <w:t xml:space="preserve">, </w:t>
      </w:r>
      <w:r w:rsidR="00C327A4">
        <w:rPr>
          <w:rFonts w:eastAsiaTheme="minorHAnsi"/>
        </w:rPr>
        <w:t>V</w:t>
      </w:r>
      <w:r w:rsidRPr="00AE6864">
        <w:rPr>
          <w:rFonts w:eastAsiaTheme="minorHAnsi"/>
        </w:rPr>
        <w:t>ol. 3,</w:t>
      </w:r>
      <w:r w:rsidR="003C6AF9">
        <w:rPr>
          <w:rFonts w:eastAsiaTheme="minorHAnsi"/>
        </w:rPr>
        <w:t xml:space="preserve"> pp. 1339-1394,</w:t>
      </w:r>
      <w:r w:rsidRPr="00AE6864">
        <w:rPr>
          <w:rFonts w:eastAsiaTheme="minorHAnsi"/>
        </w:rPr>
        <w:t xml:space="preserve"> A</w:t>
      </w:r>
      <w:r w:rsidR="003C6AF9">
        <w:rPr>
          <w:rFonts w:eastAsiaTheme="minorHAnsi"/>
        </w:rPr>
        <w:t>msterdam: Elsevier Science B.V.</w:t>
      </w:r>
      <w:r w:rsidRPr="00AE6864">
        <w:rPr>
          <w:rFonts w:eastAsiaTheme="minorHAnsi"/>
        </w:rPr>
        <w:t xml:space="preserve"> </w:t>
      </w:r>
    </w:p>
    <w:p w:rsidR="009C0BEF" w:rsidRDefault="009C0BEF" w:rsidP="00EB27FC">
      <w:pPr>
        <w:autoSpaceDE w:val="0"/>
        <w:autoSpaceDN w:val="0"/>
        <w:adjustRightInd w:val="0"/>
        <w:jc w:val="both"/>
        <w:rPr>
          <w:rFonts w:eastAsiaTheme="minorHAnsi"/>
        </w:rPr>
      </w:pPr>
    </w:p>
    <w:p w:rsidR="007D4486" w:rsidRDefault="007D4486" w:rsidP="00EB27FC">
      <w:pPr>
        <w:autoSpaceDE w:val="0"/>
        <w:autoSpaceDN w:val="0"/>
        <w:adjustRightInd w:val="0"/>
        <w:jc w:val="both"/>
      </w:pPr>
      <w:r>
        <w:t>Limão, Nuno and Anthony J. Venables, 2001, “Infrastructure, Geographical Disadvantage, Transport Costs, and Trade”, The World Bank Economic Review, 15(3), pp.451-479.</w:t>
      </w:r>
    </w:p>
    <w:p w:rsidR="007D4486" w:rsidRDefault="007D4486" w:rsidP="00EB27FC">
      <w:pPr>
        <w:autoSpaceDE w:val="0"/>
        <w:autoSpaceDN w:val="0"/>
        <w:adjustRightInd w:val="0"/>
        <w:jc w:val="both"/>
        <w:rPr>
          <w:rFonts w:eastAsiaTheme="minorHAnsi"/>
        </w:rPr>
      </w:pPr>
    </w:p>
    <w:p w:rsidR="00746891" w:rsidRDefault="00746891" w:rsidP="00EB27FC">
      <w:pPr>
        <w:autoSpaceDE w:val="0"/>
        <w:autoSpaceDN w:val="0"/>
        <w:adjustRightInd w:val="0"/>
        <w:jc w:val="both"/>
        <w:rPr>
          <w:rFonts w:eastAsiaTheme="minorHAnsi"/>
        </w:rPr>
      </w:pPr>
      <w:r w:rsidRPr="00AE6864">
        <w:rPr>
          <w:rFonts w:eastAsiaTheme="minorHAnsi"/>
        </w:rPr>
        <w:t>Linder, S</w:t>
      </w:r>
      <w:r w:rsidR="004D5184">
        <w:rPr>
          <w:rFonts w:eastAsiaTheme="minorHAnsi"/>
        </w:rPr>
        <w:t>taffan</w:t>
      </w:r>
      <w:r w:rsidR="00C741E9">
        <w:rPr>
          <w:rFonts w:eastAsiaTheme="minorHAnsi"/>
        </w:rPr>
        <w:t xml:space="preserve">, </w:t>
      </w:r>
      <w:r w:rsidRPr="004D5184">
        <w:rPr>
          <w:rFonts w:eastAsiaTheme="minorHAnsi"/>
        </w:rPr>
        <w:t>1961</w:t>
      </w:r>
      <w:r w:rsidR="00C741E9" w:rsidRPr="004D5184">
        <w:rPr>
          <w:rFonts w:eastAsiaTheme="minorHAnsi"/>
        </w:rPr>
        <w:t>,</w:t>
      </w:r>
      <w:r w:rsidRPr="004D5184">
        <w:rPr>
          <w:rFonts w:eastAsiaTheme="minorHAnsi"/>
        </w:rPr>
        <w:t xml:space="preserve"> </w:t>
      </w:r>
      <w:r w:rsidR="00DE2A91" w:rsidRPr="00336F8D">
        <w:rPr>
          <w:rFonts w:eastAsiaTheme="minorHAnsi"/>
          <w:i/>
        </w:rPr>
        <w:t>An E</w:t>
      </w:r>
      <w:r w:rsidRPr="00336F8D">
        <w:rPr>
          <w:rFonts w:eastAsiaTheme="minorHAnsi"/>
          <w:i/>
        </w:rPr>
        <w:t>ssa</w:t>
      </w:r>
      <w:r w:rsidR="00DE2A91" w:rsidRPr="00336F8D">
        <w:rPr>
          <w:rFonts w:eastAsiaTheme="minorHAnsi"/>
          <w:i/>
        </w:rPr>
        <w:t>y on Trade and T</w:t>
      </w:r>
      <w:r w:rsidRPr="00336F8D">
        <w:rPr>
          <w:rFonts w:eastAsiaTheme="minorHAnsi"/>
          <w:i/>
        </w:rPr>
        <w:t>ransformation</w:t>
      </w:r>
      <w:r w:rsidR="004D5184" w:rsidRPr="004D5184">
        <w:rPr>
          <w:rFonts w:eastAsiaTheme="minorHAnsi"/>
        </w:rPr>
        <w:t>,</w:t>
      </w:r>
      <w:r w:rsidRPr="004D5184">
        <w:rPr>
          <w:rFonts w:eastAsiaTheme="minorHAnsi"/>
        </w:rPr>
        <w:t xml:space="preserve"> Uppsala</w:t>
      </w:r>
      <w:r w:rsidRPr="00AE6864">
        <w:rPr>
          <w:rFonts w:eastAsiaTheme="minorHAnsi"/>
        </w:rPr>
        <w:t>: Almqvist and Wiksells.</w:t>
      </w:r>
    </w:p>
    <w:p w:rsidR="009C0BEF" w:rsidRPr="00AE6864" w:rsidRDefault="009C0BEF" w:rsidP="00EB27FC">
      <w:pPr>
        <w:autoSpaceDE w:val="0"/>
        <w:autoSpaceDN w:val="0"/>
        <w:adjustRightInd w:val="0"/>
        <w:jc w:val="both"/>
        <w:rPr>
          <w:rFonts w:eastAsiaTheme="minorHAnsi"/>
        </w:rPr>
      </w:pPr>
    </w:p>
    <w:p w:rsidR="00746891" w:rsidRDefault="00746891" w:rsidP="00EB27FC">
      <w:pPr>
        <w:autoSpaceDE w:val="0"/>
        <w:autoSpaceDN w:val="0"/>
        <w:adjustRightInd w:val="0"/>
        <w:jc w:val="both"/>
        <w:rPr>
          <w:rFonts w:eastAsiaTheme="minorHAnsi"/>
        </w:rPr>
      </w:pPr>
      <w:r w:rsidRPr="00AE6864">
        <w:rPr>
          <w:rFonts w:eastAsiaTheme="minorHAnsi"/>
        </w:rPr>
        <w:t>Linnemann, H</w:t>
      </w:r>
      <w:r w:rsidR="00DE2A91">
        <w:rPr>
          <w:rFonts w:eastAsiaTheme="minorHAnsi"/>
        </w:rPr>
        <w:t>ans</w:t>
      </w:r>
      <w:r w:rsidR="00C741E9" w:rsidRPr="00DE2A91">
        <w:rPr>
          <w:rFonts w:eastAsiaTheme="minorHAnsi"/>
        </w:rPr>
        <w:t>,</w:t>
      </w:r>
      <w:r w:rsidRPr="00DE2A91">
        <w:rPr>
          <w:rFonts w:eastAsiaTheme="minorHAnsi"/>
        </w:rPr>
        <w:t xml:space="preserve"> 1966</w:t>
      </w:r>
      <w:r w:rsidR="00C741E9" w:rsidRPr="00DE2A91">
        <w:rPr>
          <w:rFonts w:eastAsiaTheme="minorHAnsi"/>
        </w:rPr>
        <w:t>,</w:t>
      </w:r>
      <w:r w:rsidRPr="00DE2A91">
        <w:rPr>
          <w:rFonts w:eastAsiaTheme="minorHAnsi"/>
        </w:rPr>
        <w:t xml:space="preserve"> </w:t>
      </w:r>
      <w:r w:rsidRPr="00336F8D">
        <w:rPr>
          <w:rFonts w:eastAsiaTheme="minorHAnsi"/>
          <w:i/>
        </w:rPr>
        <w:t xml:space="preserve">An </w:t>
      </w:r>
      <w:r w:rsidR="008B2267" w:rsidRPr="00336F8D">
        <w:rPr>
          <w:rFonts w:eastAsiaTheme="minorHAnsi"/>
          <w:i/>
        </w:rPr>
        <w:t>E</w:t>
      </w:r>
      <w:r w:rsidRPr="00336F8D">
        <w:rPr>
          <w:rFonts w:eastAsiaTheme="minorHAnsi"/>
          <w:i/>
        </w:rPr>
        <w:t xml:space="preserve">conometric </w:t>
      </w:r>
      <w:r w:rsidR="008B2267" w:rsidRPr="00336F8D">
        <w:rPr>
          <w:rFonts w:eastAsiaTheme="minorHAnsi"/>
          <w:i/>
        </w:rPr>
        <w:t>S</w:t>
      </w:r>
      <w:r w:rsidRPr="00336F8D">
        <w:rPr>
          <w:rFonts w:eastAsiaTheme="minorHAnsi"/>
          <w:i/>
        </w:rPr>
        <w:t xml:space="preserve">tudy of </w:t>
      </w:r>
      <w:r w:rsidR="008B2267" w:rsidRPr="00336F8D">
        <w:rPr>
          <w:rFonts w:eastAsiaTheme="minorHAnsi"/>
          <w:i/>
        </w:rPr>
        <w:t>I</w:t>
      </w:r>
      <w:r w:rsidRPr="00336F8D">
        <w:rPr>
          <w:rFonts w:eastAsiaTheme="minorHAnsi"/>
          <w:i/>
        </w:rPr>
        <w:t xml:space="preserve">nternational </w:t>
      </w:r>
      <w:r w:rsidR="008B2267" w:rsidRPr="00336F8D">
        <w:rPr>
          <w:rFonts w:eastAsiaTheme="minorHAnsi"/>
          <w:i/>
        </w:rPr>
        <w:t>T</w:t>
      </w:r>
      <w:r w:rsidRPr="00336F8D">
        <w:rPr>
          <w:rFonts w:eastAsiaTheme="minorHAnsi"/>
          <w:i/>
        </w:rPr>
        <w:t xml:space="preserve">rade </w:t>
      </w:r>
      <w:r w:rsidR="008B2267" w:rsidRPr="00336F8D">
        <w:rPr>
          <w:rFonts w:eastAsiaTheme="minorHAnsi"/>
          <w:i/>
        </w:rPr>
        <w:t>F</w:t>
      </w:r>
      <w:r w:rsidRPr="00336F8D">
        <w:rPr>
          <w:rFonts w:eastAsiaTheme="minorHAnsi"/>
          <w:i/>
        </w:rPr>
        <w:t>lows</w:t>
      </w:r>
      <w:r w:rsidR="00DE2A91" w:rsidRPr="00DE2A91">
        <w:rPr>
          <w:rFonts w:eastAsiaTheme="minorHAnsi"/>
        </w:rPr>
        <w:t>,</w:t>
      </w:r>
      <w:r w:rsidRPr="00AE6864">
        <w:rPr>
          <w:rFonts w:eastAsiaTheme="minorHAnsi"/>
        </w:rPr>
        <w:t xml:space="preserve"> </w:t>
      </w:r>
      <w:r w:rsidRPr="00363460">
        <w:rPr>
          <w:rFonts w:eastAsiaTheme="minorHAnsi"/>
        </w:rPr>
        <w:t>Amsterdam: North</w:t>
      </w:r>
      <w:r w:rsidR="008B2267">
        <w:rPr>
          <w:rFonts w:eastAsiaTheme="minorHAnsi"/>
        </w:rPr>
        <w:t>-</w:t>
      </w:r>
      <w:r w:rsidRPr="00363460">
        <w:rPr>
          <w:rFonts w:eastAsiaTheme="minorHAnsi"/>
        </w:rPr>
        <w:t xml:space="preserve">Holland. </w:t>
      </w:r>
    </w:p>
    <w:p w:rsidR="009C0BEF" w:rsidRPr="00AE6864" w:rsidRDefault="009C0BEF" w:rsidP="00EB27FC">
      <w:pPr>
        <w:autoSpaceDE w:val="0"/>
        <w:autoSpaceDN w:val="0"/>
        <w:adjustRightInd w:val="0"/>
        <w:jc w:val="both"/>
        <w:rPr>
          <w:rFonts w:eastAsiaTheme="minorHAnsi"/>
        </w:rPr>
      </w:pPr>
    </w:p>
    <w:p w:rsidR="00CD6761" w:rsidRDefault="00CD6761" w:rsidP="00EB27FC">
      <w:pPr>
        <w:contextualSpacing/>
        <w:jc w:val="both"/>
      </w:pPr>
      <w:r>
        <w:t>Nordås</w:t>
      </w:r>
      <w:r w:rsidRPr="00F031B9">
        <w:t>, H</w:t>
      </w:r>
      <w:r>
        <w:t>ildegunn K., and Roberta Piermartini, 2004, “Infrastructure and Trade”, World Trade Organization Staff Working Paper ERSD_2004-04, Geneve: Economic Research and Statistics Division, World Trade Organization.</w:t>
      </w:r>
    </w:p>
    <w:p w:rsidR="00CD6761" w:rsidRDefault="00CD6761" w:rsidP="00EB27FC">
      <w:pPr>
        <w:contextualSpacing/>
        <w:jc w:val="both"/>
      </w:pPr>
    </w:p>
    <w:p w:rsidR="00746891" w:rsidRDefault="00746891" w:rsidP="00EB27FC">
      <w:pPr>
        <w:contextualSpacing/>
        <w:jc w:val="both"/>
      </w:pPr>
      <w:r w:rsidRPr="00F031B9">
        <w:t>OECD Trade Policy Studies, 2010</w:t>
      </w:r>
      <w:r w:rsidR="00C741E9">
        <w:t>,</w:t>
      </w:r>
      <w:r w:rsidRPr="00F031B9">
        <w:t xml:space="preserve"> </w:t>
      </w:r>
      <w:r w:rsidRPr="00F031B9">
        <w:rPr>
          <w:i/>
        </w:rPr>
        <w:t>Overcoming Border Bottlenecks</w:t>
      </w:r>
      <w:r w:rsidR="0006491C">
        <w:rPr>
          <w:i/>
        </w:rPr>
        <w:t>:</w:t>
      </w:r>
      <w:r w:rsidRPr="00F031B9">
        <w:rPr>
          <w:i/>
        </w:rPr>
        <w:t xml:space="preserve"> The Costs and Benefits of Trade Facilitation, </w:t>
      </w:r>
      <w:r w:rsidR="00721348">
        <w:t>Paris: O</w:t>
      </w:r>
      <w:r w:rsidRPr="00F031B9">
        <w:t>ECD</w:t>
      </w:r>
      <w:r w:rsidR="00721348">
        <w:t xml:space="preserve"> Publishing</w:t>
      </w:r>
      <w:r w:rsidR="00C741E9">
        <w:t>.</w:t>
      </w:r>
    </w:p>
    <w:p w:rsidR="009C0BEF" w:rsidRPr="00F031B9" w:rsidRDefault="009C0BEF" w:rsidP="00EB27FC">
      <w:pPr>
        <w:contextualSpacing/>
        <w:jc w:val="both"/>
      </w:pPr>
    </w:p>
    <w:p w:rsidR="00746891" w:rsidRDefault="00746891" w:rsidP="00EB27FC">
      <w:pPr>
        <w:contextualSpacing/>
        <w:jc w:val="both"/>
      </w:pPr>
      <w:r w:rsidRPr="00F031B9">
        <w:t>Shepard</w:t>
      </w:r>
      <w:r w:rsidR="00B16DA2">
        <w:t>,</w:t>
      </w:r>
      <w:r w:rsidRPr="00F031B9">
        <w:t xml:space="preserve"> Ben</w:t>
      </w:r>
      <w:r w:rsidR="00C741E9">
        <w:t>,</w:t>
      </w:r>
      <w:r w:rsidRPr="00F031B9">
        <w:t xml:space="preserve"> </w:t>
      </w:r>
      <w:r w:rsidRPr="00B16DA2">
        <w:t>2012</w:t>
      </w:r>
      <w:r w:rsidR="00C741E9" w:rsidRPr="00B16DA2">
        <w:t>,</w:t>
      </w:r>
      <w:r w:rsidRPr="00B16DA2">
        <w:t xml:space="preserve"> </w:t>
      </w:r>
      <w:r w:rsidRPr="00336F8D">
        <w:rPr>
          <w:i/>
        </w:rPr>
        <w:t>The Gravity Model of International Trade: A User Guide</w:t>
      </w:r>
      <w:r w:rsidR="00B16DA2">
        <w:t>, Geneva: UN/ESCAP</w:t>
      </w:r>
      <w:r w:rsidRPr="00B16DA2">
        <w:t>.</w:t>
      </w:r>
    </w:p>
    <w:p w:rsidR="009C0BEF" w:rsidRPr="00B16DA2" w:rsidRDefault="009C0BEF" w:rsidP="00EB27FC">
      <w:pPr>
        <w:contextualSpacing/>
        <w:jc w:val="both"/>
      </w:pPr>
    </w:p>
    <w:p w:rsidR="003301C0" w:rsidRDefault="003301C0" w:rsidP="00EB27FC">
      <w:pPr>
        <w:contextualSpacing/>
        <w:jc w:val="both"/>
      </w:pPr>
      <w:r w:rsidRPr="003301C0">
        <w:t>Tinbergen</w:t>
      </w:r>
      <w:r w:rsidR="0085366F">
        <w:t>,</w:t>
      </w:r>
      <w:r w:rsidRPr="003301C0">
        <w:t xml:space="preserve"> Jan</w:t>
      </w:r>
      <w:r w:rsidR="00C741E9">
        <w:t>,</w:t>
      </w:r>
      <w:r w:rsidRPr="003301C0">
        <w:t xml:space="preserve"> 1962</w:t>
      </w:r>
      <w:r w:rsidR="00C741E9">
        <w:t>,</w:t>
      </w:r>
      <w:r w:rsidRPr="003301C0">
        <w:t xml:space="preserve"> “An Analysis of World Trade Flows” in</w:t>
      </w:r>
      <w:r w:rsidR="00B16DA2">
        <w:t xml:space="preserve"> </w:t>
      </w:r>
      <w:r w:rsidR="00B16DA2" w:rsidRPr="003301C0">
        <w:t>Jan Tinbergen</w:t>
      </w:r>
      <w:r w:rsidR="00B16DA2">
        <w:t>, ed.</w:t>
      </w:r>
      <w:r w:rsidR="00F739E5">
        <w:t>,</w:t>
      </w:r>
      <w:r w:rsidRPr="003301C0">
        <w:t xml:space="preserve"> </w:t>
      </w:r>
      <w:r w:rsidRPr="00B16DA2">
        <w:rPr>
          <w:i/>
        </w:rPr>
        <w:t>Shaping the World Economy</w:t>
      </w:r>
      <w:r w:rsidRPr="003301C0">
        <w:t>,</w:t>
      </w:r>
      <w:r w:rsidR="00B16DA2">
        <w:t xml:space="preserve"> New York:</w:t>
      </w:r>
      <w:r>
        <w:t xml:space="preserve"> </w:t>
      </w:r>
      <w:r w:rsidRPr="003301C0">
        <w:t>Twentieth Century Fund.</w:t>
      </w:r>
    </w:p>
    <w:p w:rsidR="009C0BEF" w:rsidRPr="003301C0" w:rsidRDefault="009C0BEF" w:rsidP="00EB27FC">
      <w:pPr>
        <w:contextualSpacing/>
        <w:jc w:val="both"/>
      </w:pPr>
    </w:p>
    <w:p w:rsidR="00746891" w:rsidRDefault="00746891" w:rsidP="00EB27FC">
      <w:pPr>
        <w:contextualSpacing/>
        <w:jc w:val="both"/>
      </w:pPr>
      <w:r w:rsidRPr="00F031B9">
        <w:lastRenderedPageBreak/>
        <w:t>United Nations</w:t>
      </w:r>
      <w:r w:rsidR="00C741E9" w:rsidRPr="00611322">
        <w:t>,</w:t>
      </w:r>
      <w:r w:rsidRPr="00611322">
        <w:t xml:space="preserve"> 2003</w:t>
      </w:r>
      <w:r w:rsidR="00C741E9" w:rsidRPr="00611322">
        <w:t>,</w:t>
      </w:r>
      <w:r w:rsidRPr="00611322">
        <w:t xml:space="preserve"> </w:t>
      </w:r>
      <w:r w:rsidRPr="00336F8D">
        <w:rPr>
          <w:i/>
        </w:rPr>
        <w:t>Income Distribution Impact of Trade Facilitation in Developing Countries</w:t>
      </w:r>
      <w:r w:rsidRPr="00611322">
        <w:t>,</w:t>
      </w:r>
      <w:r w:rsidRPr="00F031B9">
        <w:rPr>
          <w:lang w:val="mk-MK"/>
        </w:rPr>
        <w:t xml:space="preserve"> </w:t>
      </w:r>
      <w:r w:rsidRPr="00F031B9">
        <w:t>New York</w:t>
      </w:r>
      <w:r w:rsidRPr="00F031B9">
        <w:rPr>
          <w:lang w:val="mk-MK"/>
        </w:rPr>
        <w:t xml:space="preserve"> </w:t>
      </w:r>
      <w:r w:rsidRPr="00F031B9">
        <w:t>and Geneva</w:t>
      </w:r>
      <w:r w:rsidR="00611322">
        <w:t>: United Nations</w:t>
      </w:r>
      <w:r w:rsidR="00E90F9D">
        <w:t xml:space="preserve"> </w:t>
      </w:r>
      <w:r w:rsidR="00E90F9D" w:rsidRPr="00F031B9">
        <w:t>Economic Commi</w:t>
      </w:r>
      <w:r w:rsidR="00E90F9D">
        <w:t>s</w:t>
      </w:r>
      <w:r w:rsidR="00E90F9D" w:rsidRPr="00F031B9">
        <w:t xml:space="preserve">sion for </w:t>
      </w:r>
      <w:r w:rsidR="00E90F9D" w:rsidRPr="00611322">
        <w:t>Europe</w:t>
      </w:r>
      <w:r w:rsidRPr="00F031B9">
        <w:t>.</w:t>
      </w:r>
    </w:p>
    <w:p w:rsidR="009C0BEF" w:rsidRPr="00F031B9" w:rsidRDefault="009C0BEF" w:rsidP="00EB27FC">
      <w:pPr>
        <w:contextualSpacing/>
        <w:jc w:val="both"/>
      </w:pPr>
    </w:p>
    <w:p w:rsidR="00746891" w:rsidRDefault="00746891" w:rsidP="00EB27FC">
      <w:pPr>
        <w:contextualSpacing/>
        <w:jc w:val="both"/>
      </w:pPr>
      <w:r w:rsidRPr="00F031B9">
        <w:t>Wilson</w:t>
      </w:r>
      <w:r w:rsidR="00244E8D">
        <w:t>,</w:t>
      </w:r>
      <w:r w:rsidRPr="00F031B9">
        <w:t xml:space="preserve"> John S., Xubei Luo and Harry Broadman</w:t>
      </w:r>
      <w:r w:rsidR="00C741E9">
        <w:t>,</w:t>
      </w:r>
      <w:r w:rsidRPr="00F031B9">
        <w:t xml:space="preserve"> 2003</w:t>
      </w:r>
      <w:r w:rsidR="00C741E9">
        <w:t>,</w:t>
      </w:r>
      <w:r w:rsidRPr="00F031B9">
        <w:t xml:space="preserve"> “Trade Facilitation and Economic Development: Measuring the </w:t>
      </w:r>
      <w:r w:rsidRPr="00AB5B43">
        <w:t xml:space="preserve">Impact”, Policy Research Working Paper 2988, </w:t>
      </w:r>
      <w:r w:rsidR="00CB2F5A" w:rsidRPr="00AB5B43">
        <w:t>Washington DC: The World Bank</w:t>
      </w:r>
      <w:r w:rsidR="00C741E9" w:rsidRPr="00AB5B43">
        <w:t>.</w:t>
      </w:r>
    </w:p>
    <w:p w:rsidR="009C0BEF" w:rsidRPr="00AB5B43" w:rsidRDefault="009C0BEF" w:rsidP="00EB27FC">
      <w:pPr>
        <w:contextualSpacing/>
        <w:jc w:val="both"/>
      </w:pPr>
    </w:p>
    <w:p w:rsidR="00746891" w:rsidRPr="005D6AE8" w:rsidRDefault="00746891" w:rsidP="00EB27FC">
      <w:pPr>
        <w:contextualSpacing/>
        <w:jc w:val="both"/>
      </w:pPr>
      <w:r w:rsidRPr="00F031B9">
        <w:t>Wilson</w:t>
      </w:r>
      <w:r w:rsidR="005D6AE8">
        <w:t>,</w:t>
      </w:r>
      <w:r w:rsidRPr="00F031B9">
        <w:t xml:space="preserve"> John, </w:t>
      </w:r>
      <w:r w:rsidR="005D6AE8" w:rsidRPr="00F031B9">
        <w:t>Catherine L.</w:t>
      </w:r>
      <w:r w:rsidR="009903FE">
        <w:t xml:space="preserve"> </w:t>
      </w:r>
      <w:r w:rsidRPr="00F031B9">
        <w:t>Mann and Tsunehiro</w:t>
      </w:r>
      <w:r w:rsidR="00970202" w:rsidRPr="00F031B9">
        <w:t xml:space="preserve"> Otsuki</w:t>
      </w:r>
      <w:r w:rsidR="00C741E9">
        <w:t>,</w:t>
      </w:r>
      <w:r w:rsidRPr="00F031B9">
        <w:t xml:space="preserve"> 2005</w:t>
      </w:r>
      <w:r w:rsidR="00C741E9">
        <w:t>,</w:t>
      </w:r>
      <w:r w:rsidRPr="00F031B9">
        <w:t xml:space="preserve"> “Assessing the Benefits of Trade Facilitation: A Global Perspective”, </w:t>
      </w:r>
      <w:r w:rsidR="005D6AE8">
        <w:rPr>
          <w:i/>
        </w:rPr>
        <w:t xml:space="preserve">The World Economy, </w:t>
      </w:r>
      <w:r w:rsidR="005D6AE8">
        <w:t>28(6), pp.</w:t>
      </w:r>
      <w:r w:rsidR="00244E8D">
        <w:t xml:space="preserve"> </w:t>
      </w:r>
      <w:r w:rsidR="005D6AE8">
        <w:t>841-871</w:t>
      </w:r>
      <w:r w:rsidR="007D6EF6">
        <w:t xml:space="preserve">, </w:t>
      </w:r>
      <w:r w:rsidR="009E3FE5" w:rsidRPr="00132828">
        <w:rPr>
          <w:rFonts w:eastAsiaTheme="minorHAnsi"/>
        </w:rPr>
        <w:t>http://</w:t>
      </w:r>
      <w:r w:rsidR="007D6EF6" w:rsidRPr="00132828">
        <w:t>dx.doi.org/10.1111/j.1467-9701.2005.00709.x</w:t>
      </w:r>
      <w:r w:rsidR="005D6AE8">
        <w:t>.</w:t>
      </w:r>
    </w:p>
    <w:p w:rsidR="009C0BEF" w:rsidRDefault="009C0BEF" w:rsidP="00EB27FC">
      <w:pPr>
        <w:contextualSpacing/>
        <w:jc w:val="both"/>
      </w:pPr>
    </w:p>
    <w:p w:rsidR="00746891" w:rsidRPr="00F031B9" w:rsidRDefault="00746891" w:rsidP="00EB27FC">
      <w:pPr>
        <w:contextualSpacing/>
        <w:jc w:val="both"/>
      </w:pPr>
      <w:r w:rsidRPr="00F031B9">
        <w:t>Wilson</w:t>
      </w:r>
      <w:r w:rsidR="005D6AE8">
        <w:t>,</w:t>
      </w:r>
      <w:r w:rsidRPr="00F031B9">
        <w:t xml:space="preserve"> Norbert</w:t>
      </w:r>
      <w:r w:rsidR="00C741E9">
        <w:t>,</w:t>
      </w:r>
      <w:r w:rsidRPr="00F031B9">
        <w:t xml:space="preserve"> 2010</w:t>
      </w:r>
      <w:r w:rsidR="00C741E9">
        <w:t>,</w:t>
      </w:r>
      <w:r w:rsidRPr="00F031B9">
        <w:t xml:space="preserve"> “Examining the Effect of Certain Customs and Administrative Procedures on Trade” in OECD Trade Policy Studies</w:t>
      </w:r>
      <w:r w:rsidR="00244E8D">
        <w:t>,</w:t>
      </w:r>
      <w:r w:rsidRPr="00F031B9">
        <w:t xml:space="preserve"> </w:t>
      </w:r>
      <w:r w:rsidRPr="00F031B9">
        <w:rPr>
          <w:i/>
        </w:rPr>
        <w:t>Overcoming Border Bottlenecks</w:t>
      </w:r>
      <w:r w:rsidR="0085366F">
        <w:rPr>
          <w:i/>
        </w:rPr>
        <w:t>:</w:t>
      </w:r>
      <w:r w:rsidRPr="00F031B9">
        <w:rPr>
          <w:i/>
        </w:rPr>
        <w:t xml:space="preserve"> The Costs and Benefits of Trade Facilitation, </w:t>
      </w:r>
      <w:r w:rsidR="005D6AE8">
        <w:t>Paris: O</w:t>
      </w:r>
      <w:r w:rsidR="005D6AE8" w:rsidRPr="00F031B9">
        <w:t>ECD</w:t>
      </w:r>
      <w:r w:rsidR="005D6AE8">
        <w:t xml:space="preserve"> Publishing</w:t>
      </w:r>
      <w:r w:rsidR="00C741E9">
        <w:t>.</w:t>
      </w:r>
    </w:p>
    <w:p w:rsidR="009C0BEF" w:rsidRDefault="009C0BEF" w:rsidP="00EB27FC">
      <w:pPr>
        <w:contextualSpacing/>
        <w:jc w:val="both"/>
      </w:pPr>
    </w:p>
    <w:p w:rsidR="009C0BEF" w:rsidRDefault="00746891" w:rsidP="00EB27FC">
      <w:pPr>
        <w:contextualSpacing/>
        <w:jc w:val="both"/>
      </w:pPr>
      <w:r w:rsidRPr="00F031B9">
        <w:t>World Bank and International Finance Corporation</w:t>
      </w:r>
      <w:r w:rsidR="00C741E9">
        <w:t>,</w:t>
      </w:r>
      <w:r w:rsidRPr="00F031B9">
        <w:t xml:space="preserve"> 2013</w:t>
      </w:r>
      <w:r w:rsidR="00C741E9">
        <w:t>,</w:t>
      </w:r>
      <w:r w:rsidRPr="00F031B9">
        <w:t xml:space="preserve"> </w:t>
      </w:r>
      <w:r w:rsidRPr="00F031B9">
        <w:rPr>
          <w:i/>
        </w:rPr>
        <w:t xml:space="preserve">Doing Business 2013: Smarter Regulations for Small and Medium-Size Enterprises, </w:t>
      </w:r>
      <w:r w:rsidR="005D6AE8" w:rsidRPr="00F031B9">
        <w:t>Washington DC</w:t>
      </w:r>
      <w:r w:rsidR="005D6AE8">
        <w:t xml:space="preserve">: </w:t>
      </w:r>
    </w:p>
    <w:p w:rsidR="00746891" w:rsidRPr="00F031B9" w:rsidRDefault="005D6AE8" w:rsidP="00EB27FC">
      <w:pPr>
        <w:contextualSpacing/>
        <w:jc w:val="both"/>
      </w:pPr>
      <w:r>
        <w:t>World Bank and International Finance Corporation</w:t>
      </w:r>
      <w:r w:rsidR="00C741E9">
        <w:t>.</w:t>
      </w:r>
      <w:r w:rsidR="00746891" w:rsidRPr="00F031B9">
        <w:t xml:space="preserve"> </w:t>
      </w:r>
    </w:p>
    <w:p w:rsidR="008839E5" w:rsidRPr="00AE6864" w:rsidRDefault="008839E5" w:rsidP="00EB27FC">
      <w:pPr>
        <w:jc w:val="both"/>
      </w:pPr>
    </w:p>
    <w:sectPr w:rsidR="008839E5" w:rsidRPr="00AE6864" w:rsidSect="002C6185">
      <w:footerReference w:type="default" r:id="rId10"/>
      <w:pgSz w:w="11907" w:h="16839" w:code="9"/>
      <w:pgMar w:top="1440" w:right="1800" w:bottom="1440" w:left="1800" w:header="2268" w:footer="22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90" w:rsidRDefault="00B64390" w:rsidP="00290B60">
      <w:r>
        <w:separator/>
      </w:r>
    </w:p>
  </w:endnote>
  <w:endnote w:type="continuationSeparator" w:id="0">
    <w:p w:rsidR="00B64390" w:rsidRDefault="00B64390" w:rsidP="0029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48228"/>
      <w:docPartObj>
        <w:docPartGallery w:val="Page Numbers (Bottom of Page)"/>
        <w:docPartUnique/>
      </w:docPartObj>
    </w:sdtPr>
    <w:sdtEndPr/>
    <w:sdtContent>
      <w:p w:rsidR="009F2099" w:rsidRDefault="009F2099">
        <w:pPr>
          <w:pStyle w:val="Footer"/>
          <w:jc w:val="right"/>
        </w:pPr>
        <w:r>
          <w:fldChar w:fldCharType="begin"/>
        </w:r>
        <w:r>
          <w:instrText>PAGE   \* MERGEFORMAT</w:instrText>
        </w:r>
        <w:r>
          <w:fldChar w:fldCharType="separate"/>
        </w:r>
        <w:r w:rsidR="001A0DA7" w:rsidRPr="001A0DA7">
          <w:rPr>
            <w:noProof/>
            <w:lang w:val="da-DK"/>
          </w:rPr>
          <w:t>1</w:t>
        </w:r>
        <w:r>
          <w:fldChar w:fldCharType="end"/>
        </w:r>
      </w:p>
    </w:sdtContent>
  </w:sdt>
  <w:p w:rsidR="009F2099" w:rsidRPr="006D674A" w:rsidRDefault="009F209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90" w:rsidRDefault="00B64390" w:rsidP="00290B60">
      <w:r>
        <w:separator/>
      </w:r>
    </w:p>
  </w:footnote>
  <w:footnote w:type="continuationSeparator" w:id="0">
    <w:p w:rsidR="00B64390" w:rsidRDefault="00B64390" w:rsidP="00290B60">
      <w:r>
        <w:continuationSeparator/>
      </w:r>
    </w:p>
  </w:footnote>
  <w:footnote w:id="1">
    <w:p w:rsidR="009F2099" w:rsidRPr="00256083" w:rsidRDefault="009F2099" w:rsidP="00256083">
      <w:pPr>
        <w:jc w:val="both"/>
        <w:rPr>
          <w:sz w:val="20"/>
          <w:szCs w:val="20"/>
        </w:rPr>
      </w:pPr>
      <w:r w:rsidRPr="00256083">
        <w:rPr>
          <w:rStyle w:val="FootnoteReference"/>
          <w:sz w:val="20"/>
          <w:szCs w:val="20"/>
        </w:rPr>
        <w:footnoteRef/>
      </w:r>
      <w:r w:rsidRPr="00256083">
        <w:rPr>
          <w:sz w:val="20"/>
          <w:szCs w:val="20"/>
        </w:rPr>
        <w:t xml:space="preserve"> We would like to thank the two anonymous reviewers and also the participants of</w:t>
      </w:r>
      <w:r>
        <w:rPr>
          <w:sz w:val="20"/>
          <w:szCs w:val="20"/>
        </w:rPr>
        <w:t xml:space="preserve"> the</w:t>
      </w:r>
      <w:r w:rsidRPr="00256083">
        <w:rPr>
          <w:sz w:val="20"/>
          <w:szCs w:val="20"/>
        </w:rPr>
        <w:t xml:space="preserve"> </w:t>
      </w:r>
      <w:r w:rsidRPr="00256083">
        <w:rPr>
          <w:rFonts w:asciiTheme="majorHAnsi" w:hAnsiTheme="majorHAnsi"/>
          <w:sz w:val="20"/>
          <w:szCs w:val="20"/>
        </w:rPr>
        <w:t>9th International ASECU Conference</w:t>
      </w:r>
      <w:r>
        <w:rPr>
          <w:rFonts w:asciiTheme="majorHAnsi" w:hAnsiTheme="majorHAnsi"/>
          <w:sz w:val="20"/>
          <w:szCs w:val="20"/>
        </w:rPr>
        <w:t xml:space="preserve"> </w:t>
      </w:r>
      <w:r w:rsidRPr="00F93422">
        <w:rPr>
          <w:rFonts w:asciiTheme="majorHAnsi" w:hAnsiTheme="majorHAnsi"/>
          <w:sz w:val="20"/>
          <w:szCs w:val="20"/>
        </w:rPr>
        <w:t>organized by the Faculty of Economics, Ss</w:t>
      </w:r>
      <w:r>
        <w:rPr>
          <w:rFonts w:asciiTheme="majorHAnsi" w:hAnsiTheme="majorHAnsi"/>
          <w:sz w:val="20"/>
          <w:szCs w:val="20"/>
        </w:rPr>
        <w:t>.</w:t>
      </w:r>
      <w:r w:rsidRPr="00F93422">
        <w:rPr>
          <w:rFonts w:asciiTheme="majorHAnsi" w:hAnsiTheme="majorHAnsi"/>
          <w:sz w:val="20"/>
          <w:szCs w:val="20"/>
        </w:rPr>
        <w:t xml:space="preserve"> Cyril and Methodius University in Skopje, May</w:t>
      </w:r>
      <w:r>
        <w:rPr>
          <w:rFonts w:asciiTheme="majorHAnsi" w:hAnsiTheme="majorHAnsi"/>
          <w:sz w:val="20"/>
          <w:szCs w:val="20"/>
        </w:rPr>
        <w:t xml:space="preserve"> </w:t>
      </w:r>
      <w:r w:rsidRPr="00F93422">
        <w:rPr>
          <w:rFonts w:asciiTheme="majorHAnsi" w:hAnsiTheme="majorHAnsi"/>
          <w:sz w:val="20"/>
          <w:szCs w:val="20"/>
        </w:rPr>
        <w:t xml:space="preserve">30-31, 2013, Skopje, FYR </w:t>
      </w:r>
      <w:r>
        <w:rPr>
          <w:rFonts w:asciiTheme="majorHAnsi" w:hAnsiTheme="majorHAnsi"/>
          <w:sz w:val="20"/>
          <w:szCs w:val="20"/>
        </w:rPr>
        <w:t xml:space="preserve">of </w:t>
      </w:r>
      <w:r w:rsidRPr="00F93422">
        <w:rPr>
          <w:rFonts w:asciiTheme="majorHAnsi" w:hAnsiTheme="majorHAnsi"/>
          <w:sz w:val="20"/>
          <w:szCs w:val="20"/>
        </w:rPr>
        <w:t>Macedonia</w:t>
      </w:r>
      <w:r>
        <w:rPr>
          <w:rFonts w:asciiTheme="majorHAnsi" w:hAnsiTheme="majorHAnsi"/>
          <w:sz w:val="20"/>
          <w:szCs w:val="20"/>
        </w:rPr>
        <w:t>,</w:t>
      </w:r>
      <w:r w:rsidRPr="00256083">
        <w:rPr>
          <w:rFonts w:asciiTheme="majorHAnsi" w:hAnsiTheme="majorHAnsi"/>
          <w:sz w:val="20"/>
          <w:szCs w:val="20"/>
        </w:rPr>
        <w:t xml:space="preserve"> for their comments that have led to improvement</w:t>
      </w:r>
      <w:r>
        <w:rPr>
          <w:rFonts w:asciiTheme="majorHAnsi" w:hAnsiTheme="majorHAnsi"/>
          <w:sz w:val="20"/>
          <w:szCs w:val="20"/>
        </w:rPr>
        <w:t>s</w:t>
      </w:r>
      <w:r w:rsidRPr="00256083">
        <w:rPr>
          <w:rFonts w:asciiTheme="majorHAnsi" w:hAnsiTheme="majorHAnsi"/>
          <w:sz w:val="20"/>
          <w:szCs w:val="20"/>
        </w:rPr>
        <w:t xml:space="preserve"> </w:t>
      </w:r>
      <w:r>
        <w:rPr>
          <w:rFonts w:asciiTheme="majorHAnsi" w:hAnsiTheme="majorHAnsi"/>
          <w:sz w:val="20"/>
          <w:szCs w:val="20"/>
        </w:rPr>
        <w:t>in</w:t>
      </w:r>
      <w:r w:rsidRPr="00256083">
        <w:rPr>
          <w:rFonts w:asciiTheme="majorHAnsi" w:hAnsiTheme="majorHAnsi"/>
          <w:sz w:val="20"/>
          <w:szCs w:val="20"/>
        </w:rPr>
        <w:t xml:space="preserve"> the paper.</w:t>
      </w:r>
    </w:p>
    <w:p w:rsidR="009F2099" w:rsidRPr="00256083" w:rsidRDefault="009F2099" w:rsidP="00256083">
      <w:pPr>
        <w:pStyle w:val="FootnoteText"/>
        <w:rPr>
          <w:lang w:val="hr-HR"/>
        </w:rPr>
      </w:pPr>
    </w:p>
  </w:footnote>
  <w:footnote w:id="2">
    <w:p w:rsidR="009F2099" w:rsidRPr="00536FDD" w:rsidRDefault="009F2099">
      <w:pPr>
        <w:pStyle w:val="FootnoteText"/>
      </w:pPr>
      <w:r>
        <w:rPr>
          <w:rStyle w:val="FootnoteReference"/>
        </w:rPr>
        <w:footnoteRef/>
      </w:r>
      <w:r>
        <w:t xml:space="preserve"> F</w:t>
      </w:r>
      <w:r w:rsidRPr="009C5963">
        <w:t>or example, OECD</w:t>
      </w:r>
      <w:r>
        <w:t xml:space="preserve"> Trade Policy Studies</w:t>
      </w:r>
      <w:r w:rsidRPr="009C5963">
        <w:t xml:space="preserve"> </w:t>
      </w:r>
      <w:r>
        <w:t>(</w:t>
      </w:r>
      <w:r w:rsidRPr="009C5963">
        <w:t>2010</w:t>
      </w:r>
      <w:r>
        <w:t>),</w:t>
      </w:r>
      <w:r w:rsidRPr="009C5963">
        <w:t xml:space="preserve"> Wilson, Luo and Broadman </w:t>
      </w:r>
      <w:r>
        <w:t>(</w:t>
      </w:r>
      <w:r w:rsidRPr="009C5963">
        <w:t>2003</w:t>
      </w:r>
      <w:r>
        <w:t>),</w:t>
      </w:r>
      <w:r w:rsidRPr="009C5963">
        <w:t xml:space="preserve"> Wilson, Mann and Otsuki </w:t>
      </w:r>
      <w:r>
        <w:t>(</w:t>
      </w:r>
      <w:r w:rsidRPr="009C5963">
        <w:t>2005</w:t>
      </w:r>
      <w:r>
        <w:t>)</w:t>
      </w:r>
      <w:r w:rsidRPr="009C5963">
        <w:t>, Hummels and</w:t>
      </w:r>
      <w:r>
        <w:t xml:space="preserve"> </w:t>
      </w:r>
      <w:r w:rsidRPr="009C5963">
        <w:t xml:space="preserve">Schaur </w:t>
      </w:r>
      <w:r>
        <w:t>(</w:t>
      </w:r>
      <w:r w:rsidRPr="009C5963">
        <w:t>2012</w:t>
      </w:r>
      <w:r>
        <w:t>) and</w:t>
      </w:r>
      <w:r w:rsidRPr="009C5963">
        <w:t xml:space="preserve"> Djankov, Freund and</w:t>
      </w:r>
      <w:r>
        <w:t xml:space="preserve"> Pham</w:t>
      </w:r>
      <w:r w:rsidRPr="009C5963">
        <w:t xml:space="preserve"> </w:t>
      </w:r>
      <w:r>
        <w:t>(</w:t>
      </w:r>
      <w:r w:rsidRPr="009C5963">
        <w:t>2006).</w:t>
      </w:r>
    </w:p>
  </w:footnote>
  <w:footnote w:id="3">
    <w:p w:rsidR="009F2099" w:rsidRPr="00256083" w:rsidRDefault="009F2099" w:rsidP="00256083">
      <w:pPr>
        <w:pStyle w:val="FootnoteText"/>
        <w:rPr>
          <w:lang w:val="en-US"/>
        </w:rPr>
      </w:pPr>
      <w:r w:rsidRPr="00256083">
        <w:rPr>
          <w:rStyle w:val="FootnoteReference"/>
        </w:rPr>
        <w:footnoteRef/>
      </w:r>
      <w:r w:rsidRPr="00256083">
        <w:t xml:space="preserve"> </w:t>
      </w:r>
      <w:r w:rsidRPr="00256083">
        <w:rPr>
          <w:lang w:val="en-US"/>
        </w:rPr>
        <w:t>Only Kosovo is not included due to no</w:t>
      </w:r>
      <w:r>
        <w:rPr>
          <w:lang w:val="en-US"/>
        </w:rPr>
        <w:t>n-</w:t>
      </w:r>
      <w:r w:rsidRPr="00256083">
        <w:rPr>
          <w:lang w:val="en-US"/>
        </w:rPr>
        <w:t xml:space="preserve">existing data in </w:t>
      </w:r>
      <w:r>
        <w:rPr>
          <w:lang w:val="en-US"/>
        </w:rPr>
        <w:t xml:space="preserve">the </w:t>
      </w:r>
      <w:r w:rsidRPr="00256083">
        <w:rPr>
          <w:lang w:val="en-US"/>
        </w:rPr>
        <w:t xml:space="preserve">UN </w:t>
      </w:r>
      <w:r>
        <w:rPr>
          <w:lang w:val="en-US"/>
        </w:rPr>
        <w:t>C</w:t>
      </w:r>
      <w:r w:rsidRPr="00256083">
        <w:rPr>
          <w:lang w:val="en-US"/>
        </w:rPr>
        <w:t xml:space="preserve">omtrade </w:t>
      </w:r>
      <w:r>
        <w:rPr>
          <w:lang w:val="en-US"/>
        </w:rPr>
        <w:t>D</w:t>
      </w:r>
      <w:r w:rsidRPr="00256083">
        <w:rPr>
          <w:lang w:val="en-US"/>
        </w:rPr>
        <w:t>atabase.</w:t>
      </w:r>
    </w:p>
  </w:footnote>
  <w:footnote w:id="4">
    <w:p w:rsidR="009F2099" w:rsidRPr="00256083" w:rsidRDefault="009F2099" w:rsidP="00256083">
      <w:pPr>
        <w:pStyle w:val="FootnoteText"/>
        <w:jc w:val="both"/>
        <w:rPr>
          <w:lang w:val="en-US"/>
        </w:rPr>
      </w:pPr>
      <w:r w:rsidRPr="00256083">
        <w:rPr>
          <w:rStyle w:val="FootnoteReference"/>
        </w:rPr>
        <w:footnoteRef/>
      </w:r>
      <w:r w:rsidRPr="00256083">
        <w:t xml:space="preserve"> It should be noted that in the dummy variable we specify the existence of </w:t>
      </w:r>
      <w:r>
        <w:t xml:space="preserve">a </w:t>
      </w:r>
      <w:r w:rsidRPr="00256083">
        <w:t xml:space="preserve">common language only in </w:t>
      </w:r>
      <w:r>
        <w:t xml:space="preserve">a </w:t>
      </w:r>
      <w:r w:rsidRPr="00256083">
        <w:t xml:space="preserve">few cases. However, some pairs of countries do not have </w:t>
      </w:r>
      <w:r>
        <w:t xml:space="preserve">a </w:t>
      </w:r>
      <w:r w:rsidRPr="00256083">
        <w:t xml:space="preserve">common language, but similar languages to </w:t>
      </w:r>
      <w:r>
        <w:t xml:space="preserve">an </w:t>
      </w:r>
      <w:r w:rsidRPr="00256083">
        <w:t>extent that this does not create a significant obstacle in business contacts (for example: Croatia and Serbia</w:t>
      </w:r>
      <w:r>
        <w:t>,</w:t>
      </w:r>
      <w:r w:rsidRPr="00256083">
        <w:t xml:space="preserve"> Serbia and Macedonia</w:t>
      </w:r>
      <w:r>
        <w:t>,</w:t>
      </w:r>
      <w:r w:rsidRPr="00256083">
        <w:t xml:space="preserve"> Croatia and Macedonia</w:t>
      </w:r>
      <w:r>
        <w:t>,</w:t>
      </w:r>
      <w:r w:rsidRPr="00256083">
        <w:t xml:space="preserve"> or Macedonia and Bulgaria). These effects are approximated by two other dummy variables: participation in the ex-Yu</w:t>
      </w:r>
      <w:r>
        <w:t>goslav</w:t>
      </w:r>
      <w:r w:rsidRPr="00256083">
        <w:t xml:space="preserve"> market and common border.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A22"/>
    <w:multiLevelType w:val="multilevel"/>
    <w:tmpl w:val="71D0D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FA016F"/>
    <w:multiLevelType w:val="hybridMultilevel"/>
    <w:tmpl w:val="5D920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85ADA"/>
    <w:multiLevelType w:val="hybridMultilevel"/>
    <w:tmpl w:val="4170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54678"/>
    <w:multiLevelType w:val="hybridMultilevel"/>
    <w:tmpl w:val="B1F21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36F85"/>
    <w:multiLevelType w:val="multilevel"/>
    <w:tmpl w:val="136683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C8"/>
    <w:rsid w:val="00002B01"/>
    <w:rsid w:val="00010F0B"/>
    <w:rsid w:val="00011B69"/>
    <w:rsid w:val="000134D2"/>
    <w:rsid w:val="000179B3"/>
    <w:rsid w:val="00020B2C"/>
    <w:rsid w:val="00030AE4"/>
    <w:rsid w:val="00036DA8"/>
    <w:rsid w:val="00043630"/>
    <w:rsid w:val="0005305B"/>
    <w:rsid w:val="000564C5"/>
    <w:rsid w:val="00056C52"/>
    <w:rsid w:val="000572BC"/>
    <w:rsid w:val="000578C3"/>
    <w:rsid w:val="0006491C"/>
    <w:rsid w:val="00070265"/>
    <w:rsid w:val="00071DCF"/>
    <w:rsid w:val="00087854"/>
    <w:rsid w:val="00093337"/>
    <w:rsid w:val="000A2C2C"/>
    <w:rsid w:val="000B4B25"/>
    <w:rsid w:val="000B716F"/>
    <w:rsid w:val="000B739E"/>
    <w:rsid w:val="000B742B"/>
    <w:rsid w:val="000C22DB"/>
    <w:rsid w:val="000C3DCE"/>
    <w:rsid w:val="000C47E7"/>
    <w:rsid w:val="000C5FA5"/>
    <w:rsid w:val="000D4874"/>
    <w:rsid w:val="000D6871"/>
    <w:rsid w:val="000D714D"/>
    <w:rsid w:val="000E0C3E"/>
    <w:rsid w:val="000E2423"/>
    <w:rsid w:val="000E260D"/>
    <w:rsid w:val="000E3179"/>
    <w:rsid w:val="000E6DCB"/>
    <w:rsid w:val="000E7ECF"/>
    <w:rsid w:val="000F298E"/>
    <w:rsid w:val="000F3AEA"/>
    <w:rsid w:val="000F7723"/>
    <w:rsid w:val="0010256D"/>
    <w:rsid w:val="001048B8"/>
    <w:rsid w:val="00107AF8"/>
    <w:rsid w:val="00107BD4"/>
    <w:rsid w:val="00112AA6"/>
    <w:rsid w:val="00115A6E"/>
    <w:rsid w:val="001226F2"/>
    <w:rsid w:val="0012622F"/>
    <w:rsid w:val="001269AA"/>
    <w:rsid w:val="001311E9"/>
    <w:rsid w:val="00132828"/>
    <w:rsid w:val="001334DE"/>
    <w:rsid w:val="00140199"/>
    <w:rsid w:val="00143097"/>
    <w:rsid w:val="00145A76"/>
    <w:rsid w:val="00146838"/>
    <w:rsid w:val="00146D13"/>
    <w:rsid w:val="001524B9"/>
    <w:rsid w:val="00155301"/>
    <w:rsid w:val="00163DC5"/>
    <w:rsid w:val="00164478"/>
    <w:rsid w:val="00164EA8"/>
    <w:rsid w:val="0016532A"/>
    <w:rsid w:val="00174BA9"/>
    <w:rsid w:val="0017618C"/>
    <w:rsid w:val="001801D6"/>
    <w:rsid w:val="00182319"/>
    <w:rsid w:val="00184378"/>
    <w:rsid w:val="00194141"/>
    <w:rsid w:val="00194C6C"/>
    <w:rsid w:val="001969F7"/>
    <w:rsid w:val="001A03AE"/>
    <w:rsid w:val="001A0DA7"/>
    <w:rsid w:val="001A48F8"/>
    <w:rsid w:val="001C72F1"/>
    <w:rsid w:val="001D2F41"/>
    <w:rsid w:val="001D60A4"/>
    <w:rsid w:val="001E24DE"/>
    <w:rsid w:val="001E776C"/>
    <w:rsid w:val="001F0AF2"/>
    <w:rsid w:val="001F0F61"/>
    <w:rsid w:val="001F1FCC"/>
    <w:rsid w:val="001F3B41"/>
    <w:rsid w:val="001F6FBD"/>
    <w:rsid w:val="00200E4F"/>
    <w:rsid w:val="00201C35"/>
    <w:rsid w:val="002075F7"/>
    <w:rsid w:val="002103D3"/>
    <w:rsid w:val="00215E99"/>
    <w:rsid w:val="00220941"/>
    <w:rsid w:val="0022335C"/>
    <w:rsid w:val="00234907"/>
    <w:rsid w:val="00244E8D"/>
    <w:rsid w:val="00256083"/>
    <w:rsid w:val="00256395"/>
    <w:rsid w:val="00267DDA"/>
    <w:rsid w:val="00270AAA"/>
    <w:rsid w:val="00273B16"/>
    <w:rsid w:val="00274033"/>
    <w:rsid w:val="00276242"/>
    <w:rsid w:val="0028628F"/>
    <w:rsid w:val="00290B60"/>
    <w:rsid w:val="00290ED4"/>
    <w:rsid w:val="00292D22"/>
    <w:rsid w:val="00295629"/>
    <w:rsid w:val="002977CF"/>
    <w:rsid w:val="002A06E4"/>
    <w:rsid w:val="002A1656"/>
    <w:rsid w:val="002A3832"/>
    <w:rsid w:val="002B01DB"/>
    <w:rsid w:val="002B054D"/>
    <w:rsid w:val="002B2562"/>
    <w:rsid w:val="002B55C8"/>
    <w:rsid w:val="002B672D"/>
    <w:rsid w:val="002B6F9E"/>
    <w:rsid w:val="002C3DC2"/>
    <w:rsid w:val="002C6185"/>
    <w:rsid w:val="002C7580"/>
    <w:rsid w:val="002D0814"/>
    <w:rsid w:val="002D184C"/>
    <w:rsid w:val="002D295A"/>
    <w:rsid w:val="002D2B8D"/>
    <w:rsid w:val="002D419E"/>
    <w:rsid w:val="002D69E8"/>
    <w:rsid w:val="002D7A9A"/>
    <w:rsid w:val="002E0628"/>
    <w:rsid w:val="002E12A6"/>
    <w:rsid w:val="002E2548"/>
    <w:rsid w:val="002E2DF0"/>
    <w:rsid w:val="002F26EE"/>
    <w:rsid w:val="002F46CB"/>
    <w:rsid w:val="002F715A"/>
    <w:rsid w:val="002F7CD6"/>
    <w:rsid w:val="003043E7"/>
    <w:rsid w:val="0030625B"/>
    <w:rsid w:val="00312BEB"/>
    <w:rsid w:val="0031454D"/>
    <w:rsid w:val="00314FFE"/>
    <w:rsid w:val="003154D0"/>
    <w:rsid w:val="00315D35"/>
    <w:rsid w:val="00316A91"/>
    <w:rsid w:val="003229DA"/>
    <w:rsid w:val="003240C2"/>
    <w:rsid w:val="0032518F"/>
    <w:rsid w:val="00326B50"/>
    <w:rsid w:val="00327541"/>
    <w:rsid w:val="003301C0"/>
    <w:rsid w:val="0033477F"/>
    <w:rsid w:val="00334936"/>
    <w:rsid w:val="00334A90"/>
    <w:rsid w:val="00335D30"/>
    <w:rsid w:val="00336F8D"/>
    <w:rsid w:val="00340CD8"/>
    <w:rsid w:val="0034376E"/>
    <w:rsid w:val="00344ACD"/>
    <w:rsid w:val="003553F8"/>
    <w:rsid w:val="003575D1"/>
    <w:rsid w:val="00357F4A"/>
    <w:rsid w:val="00362CEA"/>
    <w:rsid w:val="00363460"/>
    <w:rsid w:val="00363762"/>
    <w:rsid w:val="00371398"/>
    <w:rsid w:val="0037511F"/>
    <w:rsid w:val="00375AE8"/>
    <w:rsid w:val="00377342"/>
    <w:rsid w:val="00380E76"/>
    <w:rsid w:val="0038336D"/>
    <w:rsid w:val="00384ED6"/>
    <w:rsid w:val="0038659B"/>
    <w:rsid w:val="00387A16"/>
    <w:rsid w:val="00391589"/>
    <w:rsid w:val="00391FFD"/>
    <w:rsid w:val="003A0C80"/>
    <w:rsid w:val="003A727B"/>
    <w:rsid w:val="003B0C20"/>
    <w:rsid w:val="003C083F"/>
    <w:rsid w:val="003C4188"/>
    <w:rsid w:val="003C5C2A"/>
    <w:rsid w:val="003C645F"/>
    <w:rsid w:val="003C6AF9"/>
    <w:rsid w:val="003D284B"/>
    <w:rsid w:val="003D33B8"/>
    <w:rsid w:val="003D600A"/>
    <w:rsid w:val="003D6AD3"/>
    <w:rsid w:val="003E0DCA"/>
    <w:rsid w:val="003E3B9E"/>
    <w:rsid w:val="003E6ADE"/>
    <w:rsid w:val="003F35AA"/>
    <w:rsid w:val="003F686F"/>
    <w:rsid w:val="003F7185"/>
    <w:rsid w:val="0040188C"/>
    <w:rsid w:val="00406CF6"/>
    <w:rsid w:val="00410BAC"/>
    <w:rsid w:val="00411238"/>
    <w:rsid w:val="0041369B"/>
    <w:rsid w:val="00417AC4"/>
    <w:rsid w:val="00420F7F"/>
    <w:rsid w:val="0042694D"/>
    <w:rsid w:val="00435DD6"/>
    <w:rsid w:val="00437BD6"/>
    <w:rsid w:val="004424D3"/>
    <w:rsid w:val="00442CF6"/>
    <w:rsid w:val="004450CD"/>
    <w:rsid w:val="004473EC"/>
    <w:rsid w:val="004501DF"/>
    <w:rsid w:val="00455DC9"/>
    <w:rsid w:val="0045652D"/>
    <w:rsid w:val="0045793B"/>
    <w:rsid w:val="00461889"/>
    <w:rsid w:val="004628B8"/>
    <w:rsid w:val="004708C8"/>
    <w:rsid w:val="00471689"/>
    <w:rsid w:val="004719F7"/>
    <w:rsid w:val="00473E2B"/>
    <w:rsid w:val="004757DA"/>
    <w:rsid w:val="00486749"/>
    <w:rsid w:val="004925FA"/>
    <w:rsid w:val="00492767"/>
    <w:rsid w:val="00493574"/>
    <w:rsid w:val="004A22C5"/>
    <w:rsid w:val="004A2B65"/>
    <w:rsid w:val="004A3049"/>
    <w:rsid w:val="004A6EFF"/>
    <w:rsid w:val="004A751B"/>
    <w:rsid w:val="004B0315"/>
    <w:rsid w:val="004B56FF"/>
    <w:rsid w:val="004B5BED"/>
    <w:rsid w:val="004B782F"/>
    <w:rsid w:val="004B7976"/>
    <w:rsid w:val="004B7FD9"/>
    <w:rsid w:val="004C1941"/>
    <w:rsid w:val="004C1B02"/>
    <w:rsid w:val="004C34FA"/>
    <w:rsid w:val="004D5184"/>
    <w:rsid w:val="004E12C4"/>
    <w:rsid w:val="004E18CA"/>
    <w:rsid w:val="004E28A1"/>
    <w:rsid w:val="004E573A"/>
    <w:rsid w:val="004E7A16"/>
    <w:rsid w:val="004F29E3"/>
    <w:rsid w:val="004F5654"/>
    <w:rsid w:val="004F78AB"/>
    <w:rsid w:val="00501E33"/>
    <w:rsid w:val="00502E51"/>
    <w:rsid w:val="00503123"/>
    <w:rsid w:val="0050364C"/>
    <w:rsid w:val="00507F31"/>
    <w:rsid w:val="005178F2"/>
    <w:rsid w:val="00520605"/>
    <w:rsid w:val="00521238"/>
    <w:rsid w:val="00524C8C"/>
    <w:rsid w:val="00525271"/>
    <w:rsid w:val="005300FD"/>
    <w:rsid w:val="005310D7"/>
    <w:rsid w:val="005328E6"/>
    <w:rsid w:val="005337EC"/>
    <w:rsid w:val="00534B03"/>
    <w:rsid w:val="00536FDD"/>
    <w:rsid w:val="00537828"/>
    <w:rsid w:val="00544E1A"/>
    <w:rsid w:val="005454BF"/>
    <w:rsid w:val="005525E4"/>
    <w:rsid w:val="00553DD3"/>
    <w:rsid w:val="00554690"/>
    <w:rsid w:val="00554DFD"/>
    <w:rsid w:val="005565A0"/>
    <w:rsid w:val="00560953"/>
    <w:rsid w:val="00564828"/>
    <w:rsid w:val="00566A26"/>
    <w:rsid w:val="00570F28"/>
    <w:rsid w:val="00571169"/>
    <w:rsid w:val="0058235C"/>
    <w:rsid w:val="0058257F"/>
    <w:rsid w:val="00587F43"/>
    <w:rsid w:val="005A09AD"/>
    <w:rsid w:val="005A4F1D"/>
    <w:rsid w:val="005A7225"/>
    <w:rsid w:val="005B5B8E"/>
    <w:rsid w:val="005B64D7"/>
    <w:rsid w:val="005C04D8"/>
    <w:rsid w:val="005C14A4"/>
    <w:rsid w:val="005C616C"/>
    <w:rsid w:val="005D0592"/>
    <w:rsid w:val="005D1DF3"/>
    <w:rsid w:val="005D20B6"/>
    <w:rsid w:val="005D6AE8"/>
    <w:rsid w:val="005D7898"/>
    <w:rsid w:val="005E4B7B"/>
    <w:rsid w:val="005E65FE"/>
    <w:rsid w:val="005F146F"/>
    <w:rsid w:val="005F521D"/>
    <w:rsid w:val="00600105"/>
    <w:rsid w:val="00604135"/>
    <w:rsid w:val="00605831"/>
    <w:rsid w:val="00606141"/>
    <w:rsid w:val="006079B1"/>
    <w:rsid w:val="00607D72"/>
    <w:rsid w:val="00611322"/>
    <w:rsid w:val="00611D0B"/>
    <w:rsid w:val="00612BBD"/>
    <w:rsid w:val="006135E0"/>
    <w:rsid w:val="0061399A"/>
    <w:rsid w:val="00616583"/>
    <w:rsid w:val="006165FF"/>
    <w:rsid w:val="0061678A"/>
    <w:rsid w:val="00624C4E"/>
    <w:rsid w:val="006351C0"/>
    <w:rsid w:val="00636EB5"/>
    <w:rsid w:val="00640480"/>
    <w:rsid w:val="00640861"/>
    <w:rsid w:val="00641FC7"/>
    <w:rsid w:val="00642A74"/>
    <w:rsid w:val="00643E8E"/>
    <w:rsid w:val="00650FFD"/>
    <w:rsid w:val="00651304"/>
    <w:rsid w:val="00660AEB"/>
    <w:rsid w:val="006644E3"/>
    <w:rsid w:val="00666917"/>
    <w:rsid w:val="00671A49"/>
    <w:rsid w:val="006801AD"/>
    <w:rsid w:val="00680C65"/>
    <w:rsid w:val="00681595"/>
    <w:rsid w:val="0068204B"/>
    <w:rsid w:val="00682564"/>
    <w:rsid w:val="00683F5A"/>
    <w:rsid w:val="0069051E"/>
    <w:rsid w:val="006920A2"/>
    <w:rsid w:val="00696AB1"/>
    <w:rsid w:val="006A08F1"/>
    <w:rsid w:val="006B11C1"/>
    <w:rsid w:val="006B5353"/>
    <w:rsid w:val="006B6919"/>
    <w:rsid w:val="006C5983"/>
    <w:rsid w:val="006C6312"/>
    <w:rsid w:val="006D674A"/>
    <w:rsid w:val="006D7230"/>
    <w:rsid w:val="006E3071"/>
    <w:rsid w:val="006F2736"/>
    <w:rsid w:val="006F69CE"/>
    <w:rsid w:val="007033BB"/>
    <w:rsid w:val="00704BEB"/>
    <w:rsid w:val="007054D3"/>
    <w:rsid w:val="007064BC"/>
    <w:rsid w:val="00706FE8"/>
    <w:rsid w:val="0071038A"/>
    <w:rsid w:val="00711A76"/>
    <w:rsid w:val="00721348"/>
    <w:rsid w:val="00731C77"/>
    <w:rsid w:val="007335E8"/>
    <w:rsid w:val="00736BF2"/>
    <w:rsid w:val="00737B30"/>
    <w:rsid w:val="00743A82"/>
    <w:rsid w:val="00746891"/>
    <w:rsid w:val="00751661"/>
    <w:rsid w:val="00757A92"/>
    <w:rsid w:val="00757E7A"/>
    <w:rsid w:val="00764463"/>
    <w:rsid w:val="007653EB"/>
    <w:rsid w:val="007724C2"/>
    <w:rsid w:val="00776012"/>
    <w:rsid w:val="00777BD0"/>
    <w:rsid w:val="0078160A"/>
    <w:rsid w:val="00783086"/>
    <w:rsid w:val="00783520"/>
    <w:rsid w:val="007865AB"/>
    <w:rsid w:val="0079066F"/>
    <w:rsid w:val="00793C09"/>
    <w:rsid w:val="007A067A"/>
    <w:rsid w:val="007A6BC2"/>
    <w:rsid w:val="007B680E"/>
    <w:rsid w:val="007B6D62"/>
    <w:rsid w:val="007B6D7B"/>
    <w:rsid w:val="007C082E"/>
    <w:rsid w:val="007C1201"/>
    <w:rsid w:val="007C7540"/>
    <w:rsid w:val="007D060D"/>
    <w:rsid w:val="007D2A93"/>
    <w:rsid w:val="007D4486"/>
    <w:rsid w:val="007D6EF6"/>
    <w:rsid w:val="007E0C7B"/>
    <w:rsid w:val="007F2128"/>
    <w:rsid w:val="007F7EC3"/>
    <w:rsid w:val="00802ECB"/>
    <w:rsid w:val="00806FA0"/>
    <w:rsid w:val="00820740"/>
    <w:rsid w:val="00831D92"/>
    <w:rsid w:val="00835FCA"/>
    <w:rsid w:val="008360D0"/>
    <w:rsid w:val="00840C46"/>
    <w:rsid w:val="00845B12"/>
    <w:rsid w:val="0085366F"/>
    <w:rsid w:val="0085480A"/>
    <w:rsid w:val="00855BA2"/>
    <w:rsid w:val="00861B33"/>
    <w:rsid w:val="00862C62"/>
    <w:rsid w:val="00863C79"/>
    <w:rsid w:val="00863CCE"/>
    <w:rsid w:val="008653B7"/>
    <w:rsid w:val="00865D66"/>
    <w:rsid w:val="00872159"/>
    <w:rsid w:val="00876ED9"/>
    <w:rsid w:val="00882C88"/>
    <w:rsid w:val="00882DF5"/>
    <w:rsid w:val="008839E5"/>
    <w:rsid w:val="008848E2"/>
    <w:rsid w:val="00891330"/>
    <w:rsid w:val="008968E0"/>
    <w:rsid w:val="008A2587"/>
    <w:rsid w:val="008A527E"/>
    <w:rsid w:val="008B2173"/>
    <w:rsid w:val="008B2267"/>
    <w:rsid w:val="008B4D49"/>
    <w:rsid w:val="008B57E7"/>
    <w:rsid w:val="008C289D"/>
    <w:rsid w:val="008C4396"/>
    <w:rsid w:val="008C63AD"/>
    <w:rsid w:val="008D5F89"/>
    <w:rsid w:val="008D7039"/>
    <w:rsid w:val="008E170F"/>
    <w:rsid w:val="008E4E09"/>
    <w:rsid w:val="008E742F"/>
    <w:rsid w:val="008E74C2"/>
    <w:rsid w:val="008F155C"/>
    <w:rsid w:val="008F47B3"/>
    <w:rsid w:val="008F5311"/>
    <w:rsid w:val="008F7CC4"/>
    <w:rsid w:val="00906E5B"/>
    <w:rsid w:val="0091525D"/>
    <w:rsid w:val="009155E0"/>
    <w:rsid w:val="009204DC"/>
    <w:rsid w:val="009244D6"/>
    <w:rsid w:val="0093059F"/>
    <w:rsid w:val="00933A49"/>
    <w:rsid w:val="0093726A"/>
    <w:rsid w:val="0094471D"/>
    <w:rsid w:val="0094612D"/>
    <w:rsid w:val="0096489E"/>
    <w:rsid w:val="00964EA5"/>
    <w:rsid w:val="00970202"/>
    <w:rsid w:val="00970EBD"/>
    <w:rsid w:val="009762C5"/>
    <w:rsid w:val="00976C8F"/>
    <w:rsid w:val="009839B9"/>
    <w:rsid w:val="00986267"/>
    <w:rsid w:val="009903FE"/>
    <w:rsid w:val="00994DC0"/>
    <w:rsid w:val="009968E4"/>
    <w:rsid w:val="009A1D4D"/>
    <w:rsid w:val="009A42AA"/>
    <w:rsid w:val="009A4B26"/>
    <w:rsid w:val="009A5601"/>
    <w:rsid w:val="009A701C"/>
    <w:rsid w:val="009B55FD"/>
    <w:rsid w:val="009B7534"/>
    <w:rsid w:val="009C01AD"/>
    <w:rsid w:val="009C0BEF"/>
    <w:rsid w:val="009C5963"/>
    <w:rsid w:val="009D042D"/>
    <w:rsid w:val="009D364E"/>
    <w:rsid w:val="009D5628"/>
    <w:rsid w:val="009D7320"/>
    <w:rsid w:val="009E187D"/>
    <w:rsid w:val="009E3FE5"/>
    <w:rsid w:val="009F2099"/>
    <w:rsid w:val="00A0500E"/>
    <w:rsid w:val="00A11397"/>
    <w:rsid w:val="00A33DFC"/>
    <w:rsid w:val="00A3736C"/>
    <w:rsid w:val="00A43C83"/>
    <w:rsid w:val="00A50BFE"/>
    <w:rsid w:val="00A53B2F"/>
    <w:rsid w:val="00A54B72"/>
    <w:rsid w:val="00A5605C"/>
    <w:rsid w:val="00A82C46"/>
    <w:rsid w:val="00A86B67"/>
    <w:rsid w:val="00A87AEB"/>
    <w:rsid w:val="00A90B10"/>
    <w:rsid w:val="00A914D5"/>
    <w:rsid w:val="00A920AE"/>
    <w:rsid w:val="00A930F5"/>
    <w:rsid w:val="00A932A2"/>
    <w:rsid w:val="00A93BBF"/>
    <w:rsid w:val="00A95702"/>
    <w:rsid w:val="00A95A35"/>
    <w:rsid w:val="00AA792A"/>
    <w:rsid w:val="00AB1AB5"/>
    <w:rsid w:val="00AB5B43"/>
    <w:rsid w:val="00AC24A6"/>
    <w:rsid w:val="00AC3729"/>
    <w:rsid w:val="00AD0209"/>
    <w:rsid w:val="00AD33B1"/>
    <w:rsid w:val="00AD5989"/>
    <w:rsid w:val="00AE2C69"/>
    <w:rsid w:val="00AE6864"/>
    <w:rsid w:val="00AE7525"/>
    <w:rsid w:val="00AF15DE"/>
    <w:rsid w:val="00B04F51"/>
    <w:rsid w:val="00B0541E"/>
    <w:rsid w:val="00B106CA"/>
    <w:rsid w:val="00B1134A"/>
    <w:rsid w:val="00B13E96"/>
    <w:rsid w:val="00B16DA2"/>
    <w:rsid w:val="00B27003"/>
    <w:rsid w:val="00B277E6"/>
    <w:rsid w:val="00B34644"/>
    <w:rsid w:val="00B45357"/>
    <w:rsid w:val="00B468C1"/>
    <w:rsid w:val="00B50C34"/>
    <w:rsid w:val="00B53183"/>
    <w:rsid w:val="00B55FA4"/>
    <w:rsid w:val="00B56883"/>
    <w:rsid w:val="00B63CF6"/>
    <w:rsid w:val="00B64390"/>
    <w:rsid w:val="00B73F07"/>
    <w:rsid w:val="00B74CF8"/>
    <w:rsid w:val="00B81B8C"/>
    <w:rsid w:val="00B84043"/>
    <w:rsid w:val="00B84541"/>
    <w:rsid w:val="00B8620E"/>
    <w:rsid w:val="00B9019C"/>
    <w:rsid w:val="00B94288"/>
    <w:rsid w:val="00B94AAD"/>
    <w:rsid w:val="00B959D0"/>
    <w:rsid w:val="00B966D4"/>
    <w:rsid w:val="00B96D7B"/>
    <w:rsid w:val="00BA0808"/>
    <w:rsid w:val="00BA6232"/>
    <w:rsid w:val="00BA79BD"/>
    <w:rsid w:val="00BB08C5"/>
    <w:rsid w:val="00BB44B0"/>
    <w:rsid w:val="00BC23E0"/>
    <w:rsid w:val="00BC31D3"/>
    <w:rsid w:val="00BC32A8"/>
    <w:rsid w:val="00BC4C23"/>
    <w:rsid w:val="00BC5239"/>
    <w:rsid w:val="00BC76C5"/>
    <w:rsid w:val="00BD2A03"/>
    <w:rsid w:val="00BD554E"/>
    <w:rsid w:val="00BE0385"/>
    <w:rsid w:val="00BE1D4D"/>
    <w:rsid w:val="00BE2DD3"/>
    <w:rsid w:val="00BE4017"/>
    <w:rsid w:val="00BF0AC1"/>
    <w:rsid w:val="00BF3843"/>
    <w:rsid w:val="00BF69D9"/>
    <w:rsid w:val="00BF6E39"/>
    <w:rsid w:val="00C010F9"/>
    <w:rsid w:val="00C01574"/>
    <w:rsid w:val="00C02A9D"/>
    <w:rsid w:val="00C04151"/>
    <w:rsid w:val="00C055A1"/>
    <w:rsid w:val="00C173C3"/>
    <w:rsid w:val="00C20230"/>
    <w:rsid w:val="00C20400"/>
    <w:rsid w:val="00C327A4"/>
    <w:rsid w:val="00C341D7"/>
    <w:rsid w:val="00C353BD"/>
    <w:rsid w:val="00C4143C"/>
    <w:rsid w:val="00C43FF8"/>
    <w:rsid w:val="00C467B7"/>
    <w:rsid w:val="00C4687D"/>
    <w:rsid w:val="00C47183"/>
    <w:rsid w:val="00C553DC"/>
    <w:rsid w:val="00C655DD"/>
    <w:rsid w:val="00C67112"/>
    <w:rsid w:val="00C71EBE"/>
    <w:rsid w:val="00C741E9"/>
    <w:rsid w:val="00C74308"/>
    <w:rsid w:val="00C76D01"/>
    <w:rsid w:val="00C77AD5"/>
    <w:rsid w:val="00C77B6E"/>
    <w:rsid w:val="00C81083"/>
    <w:rsid w:val="00C840D1"/>
    <w:rsid w:val="00C85C85"/>
    <w:rsid w:val="00C85E90"/>
    <w:rsid w:val="00C861E1"/>
    <w:rsid w:val="00C87FB2"/>
    <w:rsid w:val="00C910E5"/>
    <w:rsid w:val="00C911DE"/>
    <w:rsid w:val="00C924DB"/>
    <w:rsid w:val="00C95BC6"/>
    <w:rsid w:val="00C96592"/>
    <w:rsid w:val="00CA27DC"/>
    <w:rsid w:val="00CA560E"/>
    <w:rsid w:val="00CA76A9"/>
    <w:rsid w:val="00CB274A"/>
    <w:rsid w:val="00CB2F5A"/>
    <w:rsid w:val="00CB51D0"/>
    <w:rsid w:val="00CB5AA4"/>
    <w:rsid w:val="00CB63D8"/>
    <w:rsid w:val="00CC08BF"/>
    <w:rsid w:val="00CC1496"/>
    <w:rsid w:val="00CC1A6F"/>
    <w:rsid w:val="00CC23D3"/>
    <w:rsid w:val="00CC399B"/>
    <w:rsid w:val="00CC4723"/>
    <w:rsid w:val="00CD6761"/>
    <w:rsid w:val="00CE0E6A"/>
    <w:rsid w:val="00CE2088"/>
    <w:rsid w:val="00CE50A8"/>
    <w:rsid w:val="00CE5988"/>
    <w:rsid w:val="00CF03B7"/>
    <w:rsid w:val="00CF61C6"/>
    <w:rsid w:val="00CF7F96"/>
    <w:rsid w:val="00D024E6"/>
    <w:rsid w:val="00D03BAA"/>
    <w:rsid w:val="00D04472"/>
    <w:rsid w:val="00D04E28"/>
    <w:rsid w:val="00D052EF"/>
    <w:rsid w:val="00D10F85"/>
    <w:rsid w:val="00D11761"/>
    <w:rsid w:val="00D13870"/>
    <w:rsid w:val="00D15B22"/>
    <w:rsid w:val="00D17071"/>
    <w:rsid w:val="00D2133C"/>
    <w:rsid w:val="00D2177A"/>
    <w:rsid w:val="00D217DE"/>
    <w:rsid w:val="00D254C2"/>
    <w:rsid w:val="00D26336"/>
    <w:rsid w:val="00D278F4"/>
    <w:rsid w:val="00D335BA"/>
    <w:rsid w:val="00D3468E"/>
    <w:rsid w:val="00D41912"/>
    <w:rsid w:val="00D51766"/>
    <w:rsid w:val="00D518E6"/>
    <w:rsid w:val="00D51C45"/>
    <w:rsid w:val="00D578D4"/>
    <w:rsid w:val="00D57F90"/>
    <w:rsid w:val="00D70780"/>
    <w:rsid w:val="00D72329"/>
    <w:rsid w:val="00D732A3"/>
    <w:rsid w:val="00D77A8E"/>
    <w:rsid w:val="00D8555E"/>
    <w:rsid w:val="00D927D5"/>
    <w:rsid w:val="00D936A0"/>
    <w:rsid w:val="00DA096C"/>
    <w:rsid w:val="00DA36D5"/>
    <w:rsid w:val="00DA6AA4"/>
    <w:rsid w:val="00DB129E"/>
    <w:rsid w:val="00DB2193"/>
    <w:rsid w:val="00DB5368"/>
    <w:rsid w:val="00DB6BD9"/>
    <w:rsid w:val="00DC0549"/>
    <w:rsid w:val="00DC3B6C"/>
    <w:rsid w:val="00DC4DF1"/>
    <w:rsid w:val="00DC59A0"/>
    <w:rsid w:val="00DC5A9B"/>
    <w:rsid w:val="00DC78BD"/>
    <w:rsid w:val="00DD0572"/>
    <w:rsid w:val="00DD7CA0"/>
    <w:rsid w:val="00DE0889"/>
    <w:rsid w:val="00DE2A91"/>
    <w:rsid w:val="00DE3EC8"/>
    <w:rsid w:val="00DE4179"/>
    <w:rsid w:val="00DE6CC0"/>
    <w:rsid w:val="00DE7FF4"/>
    <w:rsid w:val="00E0210C"/>
    <w:rsid w:val="00E059AF"/>
    <w:rsid w:val="00E07405"/>
    <w:rsid w:val="00E1212E"/>
    <w:rsid w:val="00E12E07"/>
    <w:rsid w:val="00E13027"/>
    <w:rsid w:val="00E21A5A"/>
    <w:rsid w:val="00E30887"/>
    <w:rsid w:val="00E37BB2"/>
    <w:rsid w:val="00E502BB"/>
    <w:rsid w:val="00E53690"/>
    <w:rsid w:val="00E53E05"/>
    <w:rsid w:val="00E61718"/>
    <w:rsid w:val="00E655D7"/>
    <w:rsid w:val="00E679F5"/>
    <w:rsid w:val="00E72776"/>
    <w:rsid w:val="00E7396C"/>
    <w:rsid w:val="00E76592"/>
    <w:rsid w:val="00E8158B"/>
    <w:rsid w:val="00E81B4A"/>
    <w:rsid w:val="00E83742"/>
    <w:rsid w:val="00E8531F"/>
    <w:rsid w:val="00E86EA9"/>
    <w:rsid w:val="00E90F9D"/>
    <w:rsid w:val="00E9225B"/>
    <w:rsid w:val="00E95CD6"/>
    <w:rsid w:val="00E96154"/>
    <w:rsid w:val="00EA5DCA"/>
    <w:rsid w:val="00EB2224"/>
    <w:rsid w:val="00EB27FC"/>
    <w:rsid w:val="00EB6F85"/>
    <w:rsid w:val="00EC30E2"/>
    <w:rsid w:val="00EC6C33"/>
    <w:rsid w:val="00EC72E4"/>
    <w:rsid w:val="00ED3404"/>
    <w:rsid w:val="00ED3C2C"/>
    <w:rsid w:val="00EE1B05"/>
    <w:rsid w:val="00EE22AA"/>
    <w:rsid w:val="00EE5090"/>
    <w:rsid w:val="00EE69DA"/>
    <w:rsid w:val="00EF00D3"/>
    <w:rsid w:val="00EF0CBF"/>
    <w:rsid w:val="00EF34F5"/>
    <w:rsid w:val="00EF38C5"/>
    <w:rsid w:val="00EF621C"/>
    <w:rsid w:val="00F00F38"/>
    <w:rsid w:val="00F02658"/>
    <w:rsid w:val="00F031B9"/>
    <w:rsid w:val="00F04837"/>
    <w:rsid w:val="00F0592D"/>
    <w:rsid w:val="00F07FF8"/>
    <w:rsid w:val="00F11AC4"/>
    <w:rsid w:val="00F12CCD"/>
    <w:rsid w:val="00F13E92"/>
    <w:rsid w:val="00F14929"/>
    <w:rsid w:val="00F34947"/>
    <w:rsid w:val="00F370E1"/>
    <w:rsid w:val="00F40B1C"/>
    <w:rsid w:val="00F442BC"/>
    <w:rsid w:val="00F50EFE"/>
    <w:rsid w:val="00F54781"/>
    <w:rsid w:val="00F565EA"/>
    <w:rsid w:val="00F57147"/>
    <w:rsid w:val="00F57429"/>
    <w:rsid w:val="00F67C67"/>
    <w:rsid w:val="00F72BC1"/>
    <w:rsid w:val="00F739E5"/>
    <w:rsid w:val="00F81514"/>
    <w:rsid w:val="00F845E1"/>
    <w:rsid w:val="00F87833"/>
    <w:rsid w:val="00F9239B"/>
    <w:rsid w:val="00F93422"/>
    <w:rsid w:val="00F97F4C"/>
    <w:rsid w:val="00FA2354"/>
    <w:rsid w:val="00FA4E76"/>
    <w:rsid w:val="00FB676C"/>
    <w:rsid w:val="00FB680C"/>
    <w:rsid w:val="00FC2462"/>
    <w:rsid w:val="00FC4C0F"/>
    <w:rsid w:val="00FC4E14"/>
    <w:rsid w:val="00FD0863"/>
    <w:rsid w:val="00FD26E0"/>
    <w:rsid w:val="00FD27A7"/>
    <w:rsid w:val="00FE05F6"/>
    <w:rsid w:val="00FE52CA"/>
    <w:rsid w:val="00FE5D79"/>
    <w:rsid w:val="00FE6478"/>
    <w:rsid w:val="00FE6803"/>
    <w:rsid w:val="00FE7CA0"/>
    <w:rsid w:val="00FF2F9B"/>
    <w:rsid w:val="00FF570C"/>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A4"/>
    <w:pPr>
      <w:ind w:left="720"/>
      <w:contextualSpacing/>
    </w:pPr>
  </w:style>
  <w:style w:type="paragraph" w:styleId="FootnoteText">
    <w:name w:val="footnote text"/>
    <w:basedOn w:val="Normal"/>
    <w:link w:val="FootnoteTextChar"/>
    <w:uiPriority w:val="99"/>
    <w:semiHidden/>
    <w:rsid w:val="00290B60"/>
    <w:rPr>
      <w:sz w:val="20"/>
      <w:szCs w:val="20"/>
      <w:lang w:val="en-GB" w:eastAsia="en-GB"/>
    </w:rPr>
  </w:style>
  <w:style w:type="character" w:customStyle="1" w:styleId="FootnoteTextChar">
    <w:name w:val="Footnote Text Char"/>
    <w:basedOn w:val="DefaultParagraphFont"/>
    <w:link w:val="FootnoteText"/>
    <w:uiPriority w:val="99"/>
    <w:semiHidden/>
    <w:rsid w:val="00290B60"/>
    <w:rPr>
      <w:rFonts w:ascii="Times New Roman" w:eastAsia="Times New Roman" w:hAnsi="Times New Roman" w:cs="Times New Roman"/>
      <w:sz w:val="20"/>
      <w:szCs w:val="20"/>
      <w:lang w:val="en-GB" w:eastAsia="en-GB"/>
    </w:rPr>
  </w:style>
  <w:style w:type="character" w:styleId="FootnoteReference">
    <w:name w:val="footnote reference"/>
    <w:semiHidden/>
    <w:rsid w:val="00290B60"/>
    <w:rPr>
      <w:vertAlign w:val="superscript"/>
    </w:rPr>
  </w:style>
  <w:style w:type="character" w:customStyle="1" w:styleId="BalloonTextChar">
    <w:name w:val="Balloon Text Char"/>
    <w:basedOn w:val="DefaultParagraphFont"/>
    <w:link w:val="BalloonText"/>
    <w:uiPriority w:val="99"/>
    <w:semiHidden/>
    <w:rsid w:val="00DC78BD"/>
    <w:rPr>
      <w:rFonts w:ascii="Tahoma" w:hAnsi="Tahoma" w:cs="Tahoma"/>
      <w:sz w:val="16"/>
      <w:szCs w:val="16"/>
    </w:rPr>
  </w:style>
  <w:style w:type="paragraph" w:styleId="BalloonText">
    <w:name w:val="Balloon Text"/>
    <w:basedOn w:val="Normal"/>
    <w:link w:val="BalloonTextChar"/>
    <w:uiPriority w:val="99"/>
    <w:semiHidden/>
    <w:unhideWhenUsed/>
    <w:rsid w:val="00DC78BD"/>
    <w:rPr>
      <w:rFonts w:ascii="Tahoma" w:eastAsiaTheme="minorHAnsi" w:hAnsi="Tahoma" w:cs="Tahoma"/>
      <w:sz w:val="16"/>
      <w:szCs w:val="16"/>
    </w:rPr>
  </w:style>
  <w:style w:type="character" w:styleId="Hyperlink">
    <w:name w:val="Hyperlink"/>
    <w:basedOn w:val="DefaultParagraphFont"/>
    <w:uiPriority w:val="99"/>
    <w:unhideWhenUsed/>
    <w:rsid w:val="00E86EA9"/>
    <w:rPr>
      <w:color w:val="0000FF" w:themeColor="hyperlink"/>
      <w:u w:val="single"/>
    </w:rPr>
  </w:style>
  <w:style w:type="paragraph" w:styleId="Header">
    <w:name w:val="header"/>
    <w:basedOn w:val="Normal"/>
    <w:link w:val="HeaderChar"/>
    <w:uiPriority w:val="99"/>
    <w:unhideWhenUsed/>
    <w:rsid w:val="00E679F5"/>
    <w:pPr>
      <w:tabs>
        <w:tab w:val="center" w:pos="4680"/>
        <w:tab w:val="right" w:pos="9360"/>
      </w:tabs>
    </w:pPr>
  </w:style>
  <w:style w:type="character" w:customStyle="1" w:styleId="HeaderChar">
    <w:name w:val="Header Char"/>
    <w:basedOn w:val="DefaultParagraphFont"/>
    <w:link w:val="Header"/>
    <w:uiPriority w:val="99"/>
    <w:rsid w:val="00E679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9F5"/>
    <w:pPr>
      <w:tabs>
        <w:tab w:val="center" w:pos="4680"/>
        <w:tab w:val="right" w:pos="9360"/>
      </w:tabs>
    </w:pPr>
  </w:style>
  <w:style w:type="character" w:customStyle="1" w:styleId="FooterChar">
    <w:name w:val="Footer Char"/>
    <w:basedOn w:val="DefaultParagraphFont"/>
    <w:link w:val="Footer"/>
    <w:uiPriority w:val="99"/>
    <w:rsid w:val="00E679F5"/>
    <w:rPr>
      <w:rFonts w:ascii="Times New Roman" w:eastAsia="Times New Roman" w:hAnsi="Times New Roman" w:cs="Times New Roman"/>
      <w:sz w:val="24"/>
      <w:szCs w:val="24"/>
    </w:rPr>
  </w:style>
  <w:style w:type="character" w:customStyle="1" w:styleId="allowtextselection">
    <w:name w:val="allowtextselection"/>
    <w:basedOn w:val="DefaultParagraphFont"/>
    <w:rsid w:val="00840C46"/>
  </w:style>
  <w:style w:type="paragraph" w:styleId="EndnoteText">
    <w:name w:val="endnote text"/>
    <w:basedOn w:val="Normal"/>
    <w:link w:val="EndnoteTextChar"/>
    <w:uiPriority w:val="99"/>
    <w:semiHidden/>
    <w:unhideWhenUsed/>
    <w:rsid w:val="004F29E3"/>
    <w:rPr>
      <w:sz w:val="20"/>
      <w:szCs w:val="20"/>
    </w:rPr>
  </w:style>
  <w:style w:type="character" w:customStyle="1" w:styleId="EndnoteTextChar">
    <w:name w:val="Endnote Text Char"/>
    <w:basedOn w:val="DefaultParagraphFont"/>
    <w:link w:val="EndnoteText"/>
    <w:uiPriority w:val="99"/>
    <w:semiHidden/>
    <w:rsid w:val="004F29E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F29E3"/>
    <w:rPr>
      <w:vertAlign w:val="superscript"/>
    </w:rPr>
  </w:style>
  <w:style w:type="character" w:styleId="PlaceholderText">
    <w:name w:val="Placeholder Text"/>
    <w:basedOn w:val="DefaultParagraphFont"/>
    <w:uiPriority w:val="99"/>
    <w:semiHidden/>
    <w:rsid w:val="00EC6C33"/>
    <w:rPr>
      <w:color w:val="808080"/>
    </w:rPr>
  </w:style>
  <w:style w:type="paragraph" w:customStyle="1" w:styleId="Default">
    <w:name w:val="Default"/>
    <w:rsid w:val="00234907"/>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FollowedHyperlink">
    <w:name w:val="FollowedHyperlink"/>
    <w:basedOn w:val="DefaultParagraphFont"/>
    <w:uiPriority w:val="99"/>
    <w:semiHidden/>
    <w:unhideWhenUsed/>
    <w:rsid w:val="003B0C20"/>
    <w:rPr>
      <w:color w:val="800080" w:themeColor="followedHyperlink"/>
      <w:u w:val="single"/>
    </w:rPr>
  </w:style>
  <w:style w:type="character" w:styleId="CommentReference">
    <w:name w:val="annotation reference"/>
    <w:basedOn w:val="DefaultParagraphFont"/>
    <w:uiPriority w:val="99"/>
    <w:semiHidden/>
    <w:unhideWhenUsed/>
    <w:rsid w:val="00256083"/>
    <w:rPr>
      <w:sz w:val="16"/>
      <w:szCs w:val="16"/>
    </w:rPr>
  </w:style>
  <w:style w:type="paragraph" w:styleId="CommentText">
    <w:name w:val="annotation text"/>
    <w:basedOn w:val="Normal"/>
    <w:link w:val="CommentTextChar"/>
    <w:uiPriority w:val="99"/>
    <w:semiHidden/>
    <w:unhideWhenUsed/>
    <w:rsid w:val="00256083"/>
    <w:rPr>
      <w:sz w:val="20"/>
      <w:szCs w:val="20"/>
    </w:rPr>
  </w:style>
  <w:style w:type="character" w:customStyle="1" w:styleId="CommentTextChar">
    <w:name w:val="Comment Text Char"/>
    <w:basedOn w:val="DefaultParagraphFont"/>
    <w:link w:val="CommentText"/>
    <w:uiPriority w:val="99"/>
    <w:semiHidden/>
    <w:rsid w:val="002560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083"/>
    <w:rPr>
      <w:b/>
      <w:bCs/>
    </w:rPr>
  </w:style>
  <w:style w:type="character" w:customStyle="1" w:styleId="CommentSubjectChar">
    <w:name w:val="Comment Subject Char"/>
    <w:basedOn w:val="CommentTextChar"/>
    <w:link w:val="CommentSubject"/>
    <w:uiPriority w:val="99"/>
    <w:semiHidden/>
    <w:rsid w:val="00256083"/>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9839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A4"/>
    <w:pPr>
      <w:ind w:left="720"/>
      <w:contextualSpacing/>
    </w:pPr>
  </w:style>
  <w:style w:type="paragraph" w:styleId="FootnoteText">
    <w:name w:val="footnote text"/>
    <w:basedOn w:val="Normal"/>
    <w:link w:val="FootnoteTextChar"/>
    <w:uiPriority w:val="99"/>
    <w:semiHidden/>
    <w:rsid w:val="00290B60"/>
    <w:rPr>
      <w:sz w:val="20"/>
      <w:szCs w:val="20"/>
      <w:lang w:val="en-GB" w:eastAsia="en-GB"/>
    </w:rPr>
  </w:style>
  <w:style w:type="character" w:customStyle="1" w:styleId="FootnoteTextChar">
    <w:name w:val="Footnote Text Char"/>
    <w:basedOn w:val="DefaultParagraphFont"/>
    <w:link w:val="FootnoteText"/>
    <w:uiPriority w:val="99"/>
    <w:semiHidden/>
    <w:rsid w:val="00290B60"/>
    <w:rPr>
      <w:rFonts w:ascii="Times New Roman" w:eastAsia="Times New Roman" w:hAnsi="Times New Roman" w:cs="Times New Roman"/>
      <w:sz w:val="20"/>
      <w:szCs w:val="20"/>
      <w:lang w:val="en-GB" w:eastAsia="en-GB"/>
    </w:rPr>
  </w:style>
  <w:style w:type="character" w:styleId="FootnoteReference">
    <w:name w:val="footnote reference"/>
    <w:semiHidden/>
    <w:rsid w:val="00290B60"/>
    <w:rPr>
      <w:vertAlign w:val="superscript"/>
    </w:rPr>
  </w:style>
  <w:style w:type="character" w:customStyle="1" w:styleId="BalloonTextChar">
    <w:name w:val="Balloon Text Char"/>
    <w:basedOn w:val="DefaultParagraphFont"/>
    <w:link w:val="BalloonText"/>
    <w:uiPriority w:val="99"/>
    <w:semiHidden/>
    <w:rsid w:val="00DC78BD"/>
    <w:rPr>
      <w:rFonts w:ascii="Tahoma" w:hAnsi="Tahoma" w:cs="Tahoma"/>
      <w:sz w:val="16"/>
      <w:szCs w:val="16"/>
    </w:rPr>
  </w:style>
  <w:style w:type="paragraph" w:styleId="BalloonText">
    <w:name w:val="Balloon Text"/>
    <w:basedOn w:val="Normal"/>
    <w:link w:val="BalloonTextChar"/>
    <w:uiPriority w:val="99"/>
    <w:semiHidden/>
    <w:unhideWhenUsed/>
    <w:rsid w:val="00DC78BD"/>
    <w:rPr>
      <w:rFonts w:ascii="Tahoma" w:eastAsiaTheme="minorHAnsi" w:hAnsi="Tahoma" w:cs="Tahoma"/>
      <w:sz w:val="16"/>
      <w:szCs w:val="16"/>
    </w:rPr>
  </w:style>
  <w:style w:type="character" w:styleId="Hyperlink">
    <w:name w:val="Hyperlink"/>
    <w:basedOn w:val="DefaultParagraphFont"/>
    <w:uiPriority w:val="99"/>
    <w:unhideWhenUsed/>
    <w:rsid w:val="00E86EA9"/>
    <w:rPr>
      <w:color w:val="0000FF" w:themeColor="hyperlink"/>
      <w:u w:val="single"/>
    </w:rPr>
  </w:style>
  <w:style w:type="paragraph" w:styleId="Header">
    <w:name w:val="header"/>
    <w:basedOn w:val="Normal"/>
    <w:link w:val="HeaderChar"/>
    <w:uiPriority w:val="99"/>
    <w:unhideWhenUsed/>
    <w:rsid w:val="00E679F5"/>
    <w:pPr>
      <w:tabs>
        <w:tab w:val="center" w:pos="4680"/>
        <w:tab w:val="right" w:pos="9360"/>
      </w:tabs>
    </w:pPr>
  </w:style>
  <w:style w:type="character" w:customStyle="1" w:styleId="HeaderChar">
    <w:name w:val="Header Char"/>
    <w:basedOn w:val="DefaultParagraphFont"/>
    <w:link w:val="Header"/>
    <w:uiPriority w:val="99"/>
    <w:rsid w:val="00E679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9F5"/>
    <w:pPr>
      <w:tabs>
        <w:tab w:val="center" w:pos="4680"/>
        <w:tab w:val="right" w:pos="9360"/>
      </w:tabs>
    </w:pPr>
  </w:style>
  <w:style w:type="character" w:customStyle="1" w:styleId="FooterChar">
    <w:name w:val="Footer Char"/>
    <w:basedOn w:val="DefaultParagraphFont"/>
    <w:link w:val="Footer"/>
    <w:uiPriority w:val="99"/>
    <w:rsid w:val="00E679F5"/>
    <w:rPr>
      <w:rFonts w:ascii="Times New Roman" w:eastAsia="Times New Roman" w:hAnsi="Times New Roman" w:cs="Times New Roman"/>
      <w:sz w:val="24"/>
      <w:szCs w:val="24"/>
    </w:rPr>
  </w:style>
  <w:style w:type="character" w:customStyle="1" w:styleId="allowtextselection">
    <w:name w:val="allowtextselection"/>
    <w:basedOn w:val="DefaultParagraphFont"/>
    <w:rsid w:val="00840C46"/>
  </w:style>
  <w:style w:type="paragraph" w:styleId="EndnoteText">
    <w:name w:val="endnote text"/>
    <w:basedOn w:val="Normal"/>
    <w:link w:val="EndnoteTextChar"/>
    <w:uiPriority w:val="99"/>
    <w:semiHidden/>
    <w:unhideWhenUsed/>
    <w:rsid w:val="004F29E3"/>
    <w:rPr>
      <w:sz w:val="20"/>
      <w:szCs w:val="20"/>
    </w:rPr>
  </w:style>
  <w:style w:type="character" w:customStyle="1" w:styleId="EndnoteTextChar">
    <w:name w:val="Endnote Text Char"/>
    <w:basedOn w:val="DefaultParagraphFont"/>
    <w:link w:val="EndnoteText"/>
    <w:uiPriority w:val="99"/>
    <w:semiHidden/>
    <w:rsid w:val="004F29E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F29E3"/>
    <w:rPr>
      <w:vertAlign w:val="superscript"/>
    </w:rPr>
  </w:style>
  <w:style w:type="character" w:styleId="PlaceholderText">
    <w:name w:val="Placeholder Text"/>
    <w:basedOn w:val="DefaultParagraphFont"/>
    <w:uiPriority w:val="99"/>
    <w:semiHidden/>
    <w:rsid w:val="00EC6C33"/>
    <w:rPr>
      <w:color w:val="808080"/>
    </w:rPr>
  </w:style>
  <w:style w:type="paragraph" w:customStyle="1" w:styleId="Default">
    <w:name w:val="Default"/>
    <w:rsid w:val="00234907"/>
    <w:pPr>
      <w:autoSpaceDE w:val="0"/>
      <w:autoSpaceDN w:val="0"/>
      <w:adjustRightInd w:val="0"/>
      <w:spacing w:after="0" w:line="240" w:lineRule="auto"/>
    </w:pPr>
    <w:rPr>
      <w:rFonts w:ascii="Times New Roman" w:hAnsi="Times New Roman" w:cs="Times New Roman"/>
      <w:color w:val="000000"/>
      <w:sz w:val="24"/>
      <w:szCs w:val="24"/>
      <w:lang w:val="da-DK"/>
    </w:rPr>
  </w:style>
  <w:style w:type="character" w:styleId="FollowedHyperlink">
    <w:name w:val="FollowedHyperlink"/>
    <w:basedOn w:val="DefaultParagraphFont"/>
    <w:uiPriority w:val="99"/>
    <w:semiHidden/>
    <w:unhideWhenUsed/>
    <w:rsid w:val="003B0C20"/>
    <w:rPr>
      <w:color w:val="800080" w:themeColor="followedHyperlink"/>
      <w:u w:val="single"/>
    </w:rPr>
  </w:style>
  <w:style w:type="character" w:styleId="CommentReference">
    <w:name w:val="annotation reference"/>
    <w:basedOn w:val="DefaultParagraphFont"/>
    <w:uiPriority w:val="99"/>
    <w:semiHidden/>
    <w:unhideWhenUsed/>
    <w:rsid w:val="00256083"/>
    <w:rPr>
      <w:sz w:val="16"/>
      <w:szCs w:val="16"/>
    </w:rPr>
  </w:style>
  <w:style w:type="paragraph" w:styleId="CommentText">
    <w:name w:val="annotation text"/>
    <w:basedOn w:val="Normal"/>
    <w:link w:val="CommentTextChar"/>
    <w:uiPriority w:val="99"/>
    <w:semiHidden/>
    <w:unhideWhenUsed/>
    <w:rsid w:val="00256083"/>
    <w:rPr>
      <w:sz w:val="20"/>
      <w:szCs w:val="20"/>
    </w:rPr>
  </w:style>
  <w:style w:type="character" w:customStyle="1" w:styleId="CommentTextChar">
    <w:name w:val="Comment Text Char"/>
    <w:basedOn w:val="DefaultParagraphFont"/>
    <w:link w:val="CommentText"/>
    <w:uiPriority w:val="99"/>
    <w:semiHidden/>
    <w:rsid w:val="002560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083"/>
    <w:rPr>
      <w:b/>
      <w:bCs/>
    </w:rPr>
  </w:style>
  <w:style w:type="character" w:customStyle="1" w:styleId="CommentSubjectChar">
    <w:name w:val="Comment Subject Char"/>
    <w:basedOn w:val="CommentTextChar"/>
    <w:link w:val="CommentSubject"/>
    <w:uiPriority w:val="99"/>
    <w:semiHidden/>
    <w:rsid w:val="00256083"/>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983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8480">
      <w:bodyDiv w:val="1"/>
      <w:marLeft w:val="0"/>
      <w:marRight w:val="0"/>
      <w:marTop w:val="0"/>
      <w:marBottom w:val="0"/>
      <w:divBdr>
        <w:top w:val="none" w:sz="0" w:space="0" w:color="auto"/>
        <w:left w:val="none" w:sz="0" w:space="0" w:color="auto"/>
        <w:bottom w:val="none" w:sz="0" w:space="0" w:color="auto"/>
        <w:right w:val="none" w:sz="0" w:space="0" w:color="auto"/>
      </w:divBdr>
    </w:div>
    <w:div w:id="623191087">
      <w:bodyDiv w:val="1"/>
      <w:marLeft w:val="0"/>
      <w:marRight w:val="0"/>
      <w:marTop w:val="0"/>
      <w:marBottom w:val="0"/>
      <w:divBdr>
        <w:top w:val="none" w:sz="0" w:space="0" w:color="auto"/>
        <w:left w:val="none" w:sz="0" w:space="0" w:color="auto"/>
        <w:bottom w:val="none" w:sz="0" w:space="0" w:color="auto"/>
        <w:right w:val="none" w:sz="0" w:space="0" w:color="auto"/>
      </w:divBdr>
    </w:div>
    <w:div w:id="659844369">
      <w:bodyDiv w:val="1"/>
      <w:marLeft w:val="0"/>
      <w:marRight w:val="0"/>
      <w:marTop w:val="0"/>
      <w:marBottom w:val="0"/>
      <w:divBdr>
        <w:top w:val="none" w:sz="0" w:space="0" w:color="auto"/>
        <w:left w:val="none" w:sz="0" w:space="0" w:color="auto"/>
        <w:bottom w:val="none" w:sz="0" w:space="0" w:color="auto"/>
        <w:right w:val="none" w:sz="0" w:space="0" w:color="auto"/>
      </w:divBdr>
      <w:divsChild>
        <w:div w:id="1859156163">
          <w:marLeft w:val="0"/>
          <w:marRight w:val="0"/>
          <w:marTop w:val="0"/>
          <w:marBottom w:val="0"/>
          <w:divBdr>
            <w:top w:val="none" w:sz="0" w:space="0" w:color="auto"/>
            <w:left w:val="none" w:sz="0" w:space="0" w:color="auto"/>
            <w:bottom w:val="none" w:sz="0" w:space="0" w:color="auto"/>
            <w:right w:val="none" w:sz="0" w:space="0" w:color="auto"/>
          </w:divBdr>
          <w:divsChild>
            <w:div w:id="1648633164">
              <w:marLeft w:val="0"/>
              <w:marRight w:val="0"/>
              <w:marTop w:val="0"/>
              <w:marBottom w:val="0"/>
              <w:divBdr>
                <w:top w:val="none" w:sz="0" w:space="0" w:color="auto"/>
                <w:left w:val="none" w:sz="0" w:space="0" w:color="auto"/>
                <w:bottom w:val="none" w:sz="0" w:space="0" w:color="auto"/>
                <w:right w:val="none" w:sz="0" w:space="0" w:color="auto"/>
              </w:divBdr>
            </w:div>
            <w:div w:id="419059711">
              <w:marLeft w:val="0"/>
              <w:marRight w:val="0"/>
              <w:marTop w:val="0"/>
              <w:marBottom w:val="0"/>
              <w:divBdr>
                <w:top w:val="none" w:sz="0" w:space="0" w:color="auto"/>
                <w:left w:val="none" w:sz="0" w:space="0" w:color="auto"/>
                <w:bottom w:val="none" w:sz="0" w:space="0" w:color="auto"/>
                <w:right w:val="none" w:sz="0" w:space="0" w:color="auto"/>
              </w:divBdr>
              <w:divsChild>
                <w:div w:id="1979265549">
                  <w:marLeft w:val="0"/>
                  <w:marRight w:val="0"/>
                  <w:marTop w:val="0"/>
                  <w:marBottom w:val="0"/>
                  <w:divBdr>
                    <w:top w:val="none" w:sz="0" w:space="0" w:color="auto"/>
                    <w:left w:val="none" w:sz="0" w:space="0" w:color="auto"/>
                    <w:bottom w:val="none" w:sz="0" w:space="0" w:color="auto"/>
                    <w:right w:val="none" w:sz="0" w:space="0" w:color="auto"/>
                  </w:divBdr>
                </w:div>
                <w:div w:id="1032615645">
                  <w:marLeft w:val="0"/>
                  <w:marRight w:val="0"/>
                  <w:marTop w:val="0"/>
                  <w:marBottom w:val="0"/>
                  <w:divBdr>
                    <w:top w:val="none" w:sz="0" w:space="0" w:color="auto"/>
                    <w:left w:val="none" w:sz="0" w:space="0" w:color="auto"/>
                    <w:bottom w:val="none" w:sz="0" w:space="0" w:color="auto"/>
                    <w:right w:val="none" w:sz="0" w:space="0" w:color="auto"/>
                  </w:divBdr>
                </w:div>
                <w:div w:id="761143506">
                  <w:marLeft w:val="0"/>
                  <w:marRight w:val="0"/>
                  <w:marTop w:val="0"/>
                  <w:marBottom w:val="0"/>
                  <w:divBdr>
                    <w:top w:val="none" w:sz="0" w:space="0" w:color="auto"/>
                    <w:left w:val="none" w:sz="0" w:space="0" w:color="auto"/>
                    <w:bottom w:val="none" w:sz="0" w:space="0" w:color="auto"/>
                    <w:right w:val="none" w:sz="0" w:space="0" w:color="auto"/>
                  </w:divBdr>
                </w:div>
                <w:div w:id="10105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576">
      <w:bodyDiv w:val="1"/>
      <w:marLeft w:val="0"/>
      <w:marRight w:val="0"/>
      <w:marTop w:val="0"/>
      <w:marBottom w:val="0"/>
      <w:divBdr>
        <w:top w:val="none" w:sz="0" w:space="0" w:color="auto"/>
        <w:left w:val="none" w:sz="0" w:space="0" w:color="auto"/>
        <w:bottom w:val="none" w:sz="0" w:space="0" w:color="auto"/>
        <w:right w:val="none" w:sz="0" w:space="0" w:color="auto"/>
      </w:divBdr>
      <w:divsChild>
        <w:div w:id="670134718">
          <w:marLeft w:val="0"/>
          <w:marRight w:val="0"/>
          <w:marTop w:val="0"/>
          <w:marBottom w:val="0"/>
          <w:divBdr>
            <w:top w:val="single" w:sz="2" w:space="0" w:color="2E2E2E"/>
            <w:left w:val="single" w:sz="2" w:space="0" w:color="2E2E2E"/>
            <w:bottom w:val="single" w:sz="2" w:space="0" w:color="2E2E2E"/>
            <w:right w:val="single" w:sz="2" w:space="0" w:color="2E2E2E"/>
          </w:divBdr>
          <w:divsChild>
            <w:div w:id="1588921475">
              <w:marLeft w:val="0"/>
              <w:marRight w:val="0"/>
              <w:marTop w:val="0"/>
              <w:marBottom w:val="0"/>
              <w:divBdr>
                <w:top w:val="single" w:sz="6" w:space="0" w:color="C9C9C9"/>
                <w:left w:val="none" w:sz="0" w:space="0" w:color="auto"/>
                <w:bottom w:val="none" w:sz="0" w:space="0" w:color="auto"/>
                <w:right w:val="none" w:sz="0" w:space="0" w:color="auto"/>
              </w:divBdr>
              <w:divsChild>
                <w:div w:id="22554816">
                  <w:marLeft w:val="0"/>
                  <w:marRight w:val="0"/>
                  <w:marTop w:val="0"/>
                  <w:marBottom w:val="0"/>
                  <w:divBdr>
                    <w:top w:val="none" w:sz="0" w:space="0" w:color="auto"/>
                    <w:left w:val="none" w:sz="0" w:space="0" w:color="auto"/>
                    <w:bottom w:val="none" w:sz="0" w:space="0" w:color="auto"/>
                    <w:right w:val="none" w:sz="0" w:space="0" w:color="auto"/>
                  </w:divBdr>
                  <w:divsChild>
                    <w:div w:id="1287925333">
                      <w:marLeft w:val="0"/>
                      <w:marRight w:val="0"/>
                      <w:marTop w:val="0"/>
                      <w:marBottom w:val="0"/>
                      <w:divBdr>
                        <w:top w:val="none" w:sz="0" w:space="0" w:color="auto"/>
                        <w:left w:val="none" w:sz="0" w:space="0" w:color="auto"/>
                        <w:bottom w:val="none" w:sz="0" w:space="0" w:color="auto"/>
                        <w:right w:val="none" w:sz="0" w:space="0" w:color="auto"/>
                      </w:divBdr>
                      <w:divsChild>
                        <w:div w:id="18818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172432">
      <w:bodyDiv w:val="1"/>
      <w:marLeft w:val="0"/>
      <w:marRight w:val="0"/>
      <w:marTop w:val="0"/>
      <w:marBottom w:val="0"/>
      <w:divBdr>
        <w:top w:val="none" w:sz="0" w:space="0" w:color="auto"/>
        <w:left w:val="none" w:sz="0" w:space="0" w:color="auto"/>
        <w:bottom w:val="none" w:sz="0" w:space="0" w:color="auto"/>
        <w:right w:val="none" w:sz="0" w:space="0" w:color="auto"/>
      </w:divBdr>
    </w:div>
    <w:div w:id="1362823931">
      <w:bodyDiv w:val="1"/>
      <w:marLeft w:val="0"/>
      <w:marRight w:val="0"/>
      <w:marTop w:val="0"/>
      <w:marBottom w:val="0"/>
      <w:divBdr>
        <w:top w:val="none" w:sz="0" w:space="0" w:color="auto"/>
        <w:left w:val="none" w:sz="0" w:space="0" w:color="auto"/>
        <w:bottom w:val="none" w:sz="0" w:space="0" w:color="auto"/>
        <w:right w:val="none" w:sz="0" w:space="0" w:color="auto"/>
      </w:divBdr>
    </w:div>
    <w:div w:id="1561403724">
      <w:bodyDiv w:val="1"/>
      <w:marLeft w:val="0"/>
      <w:marRight w:val="0"/>
      <w:marTop w:val="0"/>
      <w:marBottom w:val="0"/>
      <w:divBdr>
        <w:top w:val="none" w:sz="0" w:space="0" w:color="auto"/>
        <w:left w:val="none" w:sz="0" w:space="0" w:color="auto"/>
        <w:bottom w:val="none" w:sz="0" w:space="0" w:color="auto"/>
        <w:right w:val="none" w:sz="0" w:space="0" w:color="auto"/>
      </w:divBdr>
      <w:divsChild>
        <w:div w:id="985087486">
          <w:marLeft w:val="0"/>
          <w:marRight w:val="0"/>
          <w:marTop w:val="0"/>
          <w:marBottom w:val="0"/>
          <w:divBdr>
            <w:top w:val="single" w:sz="2" w:space="0" w:color="2E2E2E"/>
            <w:left w:val="single" w:sz="2" w:space="0" w:color="2E2E2E"/>
            <w:bottom w:val="single" w:sz="2" w:space="0" w:color="2E2E2E"/>
            <w:right w:val="single" w:sz="2" w:space="0" w:color="2E2E2E"/>
          </w:divBdr>
          <w:divsChild>
            <w:div w:id="1096174899">
              <w:marLeft w:val="0"/>
              <w:marRight w:val="0"/>
              <w:marTop w:val="0"/>
              <w:marBottom w:val="0"/>
              <w:divBdr>
                <w:top w:val="single" w:sz="6" w:space="0" w:color="C9C9C9"/>
                <w:left w:val="none" w:sz="0" w:space="0" w:color="auto"/>
                <w:bottom w:val="none" w:sz="0" w:space="0" w:color="auto"/>
                <w:right w:val="none" w:sz="0" w:space="0" w:color="auto"/>
              </w:divBdr>
              <w:divsChild>
                <w:div w:id="379399500">
                  <w:marLeft w:val="0"/>
                  <w:marRight w:val="0"/>
                  <w:marTop w:val="0"/>
                  <w:marBottom w:val="0"/>
                  <w:divBdr>
                    <w:top w:val="none" w:sz="0" w:space="0" w:color="auto"/>
                    <w:left w:val="none" w:sz="0" w:space="0" w:color="auto"/>
                    <w:bottom w:val="none" w:sz="0" w:space="0" w:color="auto"/>
                    <w:right w:val="none" w:sz="0" w:space="0" w:color="auto"/>
                  </w:divBdr>
                  <w:divsChild>
                    <w:div w:id="1310788065">
                      <w:marLeft w:val="0"/>
                      <w:marRight w:val="0"/>
                      <w:marTop w:val="0"/>
                      <w:marBottom w:val="0"/>
                      <w:divBdr>
                        <w:top w:val="none" w:sz="0" w:space="0" w:color="auto"/>
                        <w:left w:val="none" w:sz="0" w:space="0" w:color="auto"/>
                        <w:bottom w:val="none" w:sz="0" w:space="0" w:color="auto"/>
                        <w:right w:val="none" w:sz="0" w:space="0" w:color="auto"/>
                      </w:divBdr>
                      <w:divsChild>
                        <w:div w:id="864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49979">
      <w:bodyDiv w:val="1"/>
      <w:marLeft w:val="0"/>
      <w:marRight w:val="0"/>
      <w:marTop w:val="0"/>
      <w:marBottom w:val="0"/>
      <w:divBdr>
        <w:top w:val="none" w:sz="0" w:space="0" w:color="auto"/>
        <w:left w:val="none" w:sz="0" w:space="0" w:color="auto"/>
        <w:bottom w:val="none" w:sz="0" w:space="0" w:color="auto"/>
        <w:right w:val="none" w:sz="0" w:space="0" w:color="auto"/>
      </w:divBdr>
    </w:div>
    <w:div w:id="1851606801">
      <w:bodyDiv w:val="1"/>
      <w:marLeft w:val="0"/>
      <w:marRight w:val="0"/>
      <w:marTop w:val="0"/>
      <w:marBottom w:val="0"/>
      <w:divBdr>
        <w:top w:val="none" w:sz="0" w:space="0" w:color="auto"/>
        <w:left w:val="none" w:sz="0" w:space="0" w:color="auto"/>
        <w:bottom w:val="none" w:sz="0" w:space="0" w:color="auto"/>
        <w:right w:val="none" w:sz="0" w:space="0" w:color="auto"/>
      </w:divBdr>
    </w:div>
    <w:div w:id="21126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tevdovski@creates.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B955-EF00-4DB4-A27F-2C574F57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Aarhus School of Business and Social Sciences</Company>
  <LinksUpToDate>false</LinksUpToDate>
  <CharactersWithSpaces>34118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2013-09-20T09:56:00Z</cp:lastPrinted>
  <dcterms:created xsi:type="dcterms:W3CDTF">2016-07-29T13:29:00Z</dcterms:created>
  <dcterms:modified xsi:type="dcterms:W3CDTF">2016-07-29T13:29:00Z</dcterms:modified>
</cp:coreProperties>
</file>