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FC19" w14:textId="77777777" w:rsidR="0083010D" w:rsidRPr="0083010D" w:rsidRDefault="0083010D" w:rsidP="00B37FB1">
      <w:pPr>
        <w:pStyle w:val="Heading1"/>
        <w:rPr>
          <w:lang w:val="en-US"/>
        </w:rPr>
      </w:pPr>
      <w:bookmarkStart w:id="0" w:name="_Hlk522862321"/>
      <w:r w:rsidRPr="0083010D">
        <w:rPr>
          <w:lang w:val="en-US"/>
        </w:rPr>
        <w:t>The Effects of Earthquakes on the Environment, Monitoring and Prediction – Experience in Republic of North Macedonia</w:t>
      </w:r>
    </w:p>
    <w:p w14:paraId="6EBF3DA5" w14:textId="616736FA" w:rsidR="0083010D" w:rsidRPr="0083010D" w:rsidRDefault="0083010D" w:rsidP="0083010D">
      <w:pPr>
        <w:spacing w:before="360" w:after="360"/>
        <w:ind w:firstLine="0"/>
        <w:jc w:val="center"/>
        <w:rPr>
          <w:sz w:val="22"/>
          <w:lang w:val="en-US"/>
        </w:rPr>
      </w:pPr>
      <w:r w:rsidRPr="0083010D">
        <w:rPr>
          <w:sz w:val="22"/>
          <w:lang w:val="en-US"/>
        </w:rPr>
        <w:t>Katerina Drogreshka, Jasmina Najdovska, Ljubcho Jovanov, Ivana Molerovik, Dragana Chernih</w:t>
      </w:r>
      <w:r w:rsidRPr="0083010D">
        <w:rPr>
          <w:sz w:val="22"/>
          <w:vertAlign w:val="superscript"/>
          <w:lang w:val="en-US"/>
        </w:rPr>
        <w:t>*</w:t>
      </w:r>
    </w:p>
    <w:p w14:paraId="39ACD8BB" w14:textId="1D326295" w:rsidR="0083010D" w:rsidRPr="0083010D" w:rsidRDefault="00B37FB1" w:rsidP="0083010D">
      <w:pPr>
        <w:ind w:firstLine="0"/>
        <w:jc w:val="center"/>
        <w:rPr>
          <w:rFonts w:eastAsia="MS Mincho"/>
          <w:i/>
          <w:iCs/>
          <w:lang w:val="en-US"/>
        </w:rPr>
      </w:pPr>
      <w:r w:rsidRPr="0083010D">
        <w:rPr>
          <w:i/>
          <w:lang w:val="sr-Latn-RS"/>
        </w:rPr>
        <w:t>University, Skopje</w:t>
      </w:r>
      <w:r>
        <w:rPr>
          <w:i/>
          <w:lang w:val="sr-Latn-RS"/>
        </w:rPr>
        <w:t>,</w:t>
      </w:r>
      <w:r w:rsidRPr="0083010D">
        <w:rPr>
          <w:i/>
          <w:lang w:val="sr-Latn-RS"/>
        </w:rPr>
        <w:t xml:space="preserve"> </w:t>
      </w:r>
      <w:r w:rsidR="0083010D" w:rsidRPr="0083010D">
        <w:rPr>
          <w:i/>
          <w:lang w:val="sr-Latn-RS"/>
        </w:rPr>
        <w:t>Seismological Observatory of the Faculty of Natural Sciences and Mathematics, Ss. Cyril and Methodius,</w:t>
      </w:r>
      <w:r>
        <w:rPr>
          <w:i/>
          <w:lang w:val="sr-Latn-RS"/>
        </w:rPr>
        <w:t xml:space="preserve"> </w:t>
      </w:r>
      <w:r w:rsidRPr="00B37FB1">
        <w:rPr>
          <w:i/>
          <w:lang w:val="sr-Latn-RS"/>
        </w:rPr>
        <w:t>Arhimedova</w:t>
      </w:r>
      <w:r w:rsidR="0039261D">
        <w:rPr>
          <w:i/>
          <w:lang w:val="sr-Latn-RS"/>
        </w:rPr>
        <w:t>-</w:t>
      </w:r>
      <w:r w:rsidRPr="00B37FB1">
        <w:rPr>
          <w:i/>
          <w:lang w:val="sr-Latn-RS"/>
        </w:rPr>
        <w:t>3</w:t>
      </w:r>
      <w:r w:rsidR="0039261D">
        <w:rPr>
          <w:i/>
          <w:lang w:val="sr-Latn-RS"/>
        </w:rPr>
        <w:t xml:space="preserve"> 65</w:t>
      </w:r>
      <w:r>
        <w:rPr>
          <w:i/>
          <w:lang w:val="sr-Latn-RS"/>
        </w:rPr>
        <w:t>,</w:t>
      </w:r>
      <w:r w:rsidRPr="00B37FB1">
        <w:rPr>
          <w:i/>
          <w:lang w:val="sr-Latn-RS"/>
        </w:rPr>
        <w:t xml:space="preserve"> </w:t>
      </w:r>
      <w:r>
        <w:rPr>
          <w:i/>
          <w:lang w:val="sr-Latn-RS"/>
        </w:rPr>
        <w:t>Skopje,</w:t>
      </w:r>
      <w:r w:rsidR="0083010D" w:rsidRPr="0083010D">
        <w:rPr>
          <w:i/>
          <w:lang w:val="sr-Latn-RS"/>
        </w:rPr>
        <w:t xml:space="preserve"> North Macedonia</w:t>
      </w:r>
    </w:p>
    <w:p w14:paraId="37034617" w14:textId="77777777" w:rsidR="0083010D" w:rsidRPr="0083010D" w:rsidRDefault="0083010D" w:rsidP="0083010D">
      <w:pPr>
        <w:ind w:firstLine="0"/>
        <w:jc w:val="center"/>
        <w:rPr>
          <w:i/>
          <w:iCs/>
          <w:lang w:val="en-US"/>
        </w:rPr>
      </w:pPr>
      <w:r w:rsidRPr="0083010D">
        <w:rPr>
          <w:rFonts w:eastAsia="MS Mincho"/>
          <w:i/>
          <w:iCs/>
          <w:lang w:val="en-US"/>
        </w:rPr>
        <w:t>dcernih@yahoo.com</w:t>
      </w:r>
    </w:p>
    <w:p w14:paraId="13A4B720" w14:textId="77777777" w:rsidR="0083010D" w:rsidRPr="0083010D" w:rsidRDefault="0083010D" w:rsidP="0083010D">
      <w:pPr>
        <w:spacing w:before="360"/>
        <w:ind w:left="288" w:right="288" w:firstLine="0"/>
        <w:rPr>
          <w:sz w:val="18"/>
          <w:szCs w:val="18"/>
          <w:lang w:val="en-US"/>
        </w:rPr>
      </w:pPr>
      <w:r w:rsidRPr="0083010D">
        <w:rPr>
          <w:b/>
          <w:sz w:val="18"/>
          <w:szCs w:val="18"/>
          <w:lang w:val="en-US"/>
        </w:rPr>
        <w:t>Abstract.</w:t>
      </w:r>
      <w:r w:rsidRPr="0083010D">
        <w:rPr>
          <w:sz w:val="18"/>
          <w:szCs w:val="18"/>
          <w:lang w:val="en-US"/>
        </w:rPr>
        <w:t xml:space="preserve"> Earthquake environmental effects, monitoring seismic activity and earthquake prediction for the territory of Republic of North Macedonia begins on July 1, 1957 with instrumental observations and research of the seismicity of the epicenter areas. Earthquake occurrence is the result of regional general extension regime due to the collision between African, Arabian and European tectonic plates. Most of the strong earthquakes have normal faulting combined with a strike-slip movements, observed as well on the surface ruptures during their occurrence. Purposes of earthquake’s instrumental monitoring - the installation of network for recording earthquakes, is very important for the theoretical and fundamental research in the field of earthquakes. The results of data are also used to determine hazard, vulnerability of structures and risk. With earthquake prediction, seismologists focus on developing earthquake forecasts, that is, quantifying the likelihood of an event occurring.</w:t>
      </w:r>
    </w:p>
    <w:p w14:paraId="31120724" w14:textId="77777777" w:rsidR="0083010D" w:rsidRPr="0083010D" w:rsidRDefault="0083010D" w:rsidP="0083010D">
      <w:pPr>
        <w:tabs>
          <w:tab w:val="left" w:pos="0"/>
        </w:tabs>
        <w:spacing w:before="360"/>
        <w:ind w:left="288" w:right="27" w:firstLine="0"/>
        <w:rPr>
          <w:b/>
          <w:sz w:val="18"/>
          <w:szCs w:val="18"/>
          <w:lang w:val="en-US"/>
        </w:rPr>
      </w:pPr>
      <w:r w:rsidRPr="0083010D">
        <w:rPr>
          <w:b/>
          <w:sz w:val="18"/>
          <w:szCs w:val="18"/>
          <w:lang w:val="en-US"/>
        </w:rPr>
        <w:t xml:space="preserve">Keywords: </w:t>
      </w:r>
      <w:r w:rsidRPr="0083010D">
        <w:rPr>
          <w:sz w:val="18"/>
          <w:szCs w:val="18"/>
          <w:lang w:val="en-US"/>
        </w:rPr>
        <w:t>earthquake, seismicity, monitoring, prediction</w:t>
      </w:r>
    </w:p>
    <w:p w14:paraId="7E9CA8AF" w14:textId="62855246" w:rsidR="00CC49BB" w:rsidRPr="00D62D6C" w:rsidRDefault="00F8191A" w:rsidP="00E85938">
      <w:pPr>
        <w:pStyle w:val="Heading2"/>
        <w:rPr>
          <w:lang w:val="en-US"/>
        </w:rPr>
      </w:pPr>
      <w:r w:rsidRPr="00F8191A">
        <w:rPr>
          <w:lang w:val="en-US"/>
        </w:rPr>
        <w:t>INTRODUCTION</w:t>
      </w:r>
    </w:p>
    <w:p w14:paraId="3023B1F5" w14:textId="77777777" w:rsidR="00F8191A" w:rsidRPr="00F8191A" w:rsidRDefault="00F8191A" w:rsidP="008D7751">
      <w:pPr>
        <w:rPr>
          <w:lang w:val="en-US"/>
        </w:rPr>
      </w:pPr>
      <w:r w:rsidRPr="00F8191A">
        <w:rPr>
          <w:lang w:val="en-US"/>
        </w:rPr>
        <w:t>The present activities in the field of seismology in Republic of North Macedonia are carried out by the Seismological Observatory at the Faculty of Natural Sciences and Mathematics, University "Ss. Cyril and Methodius" - Skopje, founded in 1957. By using the network of analog and digital seismological stations, this Observatory systematically monitors the seismic activity in the territory of Republic of North Macedonia and the bordering areas (40.7-42.4 N, 20.3-23.2 E) and also records the regional and teleseismic earthquakes.</w:t>
      </w:r>
    </w:p>
    <w:p w14:paraId="646ECCFB" w14:textId="77777777" w:rsidR="00F8191A" w:rsidRPr="00F8191A" w:rsidRDefault="00F8191A" w:rsidP="008D7751">
      <w:pPr>
        <w:rPr>
          <w:lang w:val="en-US"/>
        </w:rPr>
      </w:pPr>
      <w:r w:rsidRPr="00F8191A">
        <w:rPr>
          <w:lang w:val="en-US"/>
        </w:rPr>
        <w:t>The seismicity is studied on the base of instrumental seismological and microseismical data available at the Seismological Observatory and covers a period of about 1500 years. The territory of the Republic of North Macedonia is in the central and southeastern parts of the Balkan Peninsula. As known, this peninsula is in the internal part of the Euro-Asian tectonic plate, and it has a complex geological structure, which is characterized with an intensive dynamics and geophysical fields anomalies.</w:t>
      </w:r>
    </w:p>
    <w:p w14:paraId="09BAB63E" w14:textId="77777777" w:rsidR="00F8191A" w:rsidRPr="00F8191A" w:rsidRDefault="00F8191A" w:rsidP="008D7751">
      <w:pPr>
        <w:rPr>
          <w:lang w:val="en-US"/>
        </w:rPr>
      </w:pPr>
      <w:r w:rsidRPr="00F8191A">
        <w:rPr>
          <w:lang w:val="en-US"/>
        </w:rPr>
        <w:t xml:space="preserve">An earthquake is the result of endogenous geodynamic force in the Earth's interior, which causes trembling, rolling and vibration of the ground triggered by the sudden release </w:t>
      </w:r>
      <w:r w:rsidRPr="00F8191A">
        <w:rPr>
          <w:lang w:val="en-US"/>
        </w:rPr>
        <w:lastRenderedPageBreak/>
        <w:t>of energy that is stored below the surface of the Earth. The earth shaking does not only cause damage to buildings and other structures but also affects the surrounding environment and our lifestyle significantly. An earthquake can trigger many sudden changes in the environment which can be classified as primary (surface faulting) and secondary effects (displaced rocks, tsunami, ground cracks, liquefactions, landslides).</w:t>
      </w:r>
    </w:p>
    <w:p w14:paraId="5B003915" w14:textId="5AEE2211" w:rsidR="00321A6E" w:rsidRPr="00D62D6C" w:rsidRDefault="00F8191A" w:rsidP="008D7751">
      <w:pPr>
        <w:rPr>
          <w:lang w:val="en-US"/>
        </w:rPr>
      </w:pPr>
      <w:r w:rsidRPr="00F8191A">
        <w:rPr>
          <w:lang w:val="en-US"/>
        </w:rPr>
        <w:t>Predicting earthquakes is not possible today. Earthquake prediction specifies that an earthquake of a specific magnitude will occur in a defined region during a particular period. But we can define many earthquake parameters: the date and time, the location, the magnitude, focal mechanism, moment tensor, active faults, predict the recurrence period equal to 50, 100, 200 and 500 years etc.</w:t>
      </w:r>
    </w:p>
    <w:p w14:paraId="46909CB3" w14:textId="209191D8" w:rsidR="00F8191A" w:rsidRPr="00D62D6C" w:rsidRDefault="00F8191A" w:rsidP="00F8191A">
      <w:pPr>
        <w:pStyle w:val="Heading2"/>
        <w:rPr>
          <w:lang w:val="en-US"/>
        </w:rPr>
      </w:pPr>
      <w:bookmarkStart w:id="1" w:name="_Hlk95736230"/>
      <w:bookmarkEnd w:id="0"/>
      <w:r w:rsidRPr="00F8191A">
        <w:rPr>
          <w:lang w:val="en-US"/>
        </w:rPr>
        <w:t>OBSERVED SEISMICITY IN THE PERIOD 1901–2021</w:t>
      </w:r>
    </w:p>
    <w:p w14:paraId="2DCC50F8" w14:textId="7031B41F" w:rsidR="00F8191A" w:rsidRPr="0062133C" w:rsidRDefault="00F8191A" w:rsidP="008D7751">
      <w:pPr>
        <w:rPr>
          <w:lang w:val="en-US"/>
        </w:rPr>
      </w:pPr>
      <w:r w:rsidRPr="0062133C">
        <w:rPr>
          <w:lang w:val="en-US"/>
        </w:rPr>
        <w:t>Three main neotectonics region</w:t>
      </w:r>
      <w:r>
        <w:rPr>
          <w:lang w:val="en-US"/>
        </w:rPr>
        <w:t>s</w:t>
      </w:r>
      <w:r w:rsidRPr="0062133C">
        <w:rPr>
          <w:lang w:val="en-US"/>
        </w:rPr>
        <w:t xml:space="preserve"> spread in the territory of the Republic of North Macedonia and neighboring regions, namely, Vardar zone, West Macedonia and East Macedonia</w:t>
      </w:r>
      <w:r>
        <w:rPr>
          <w:lang w:val="en-US"/>
        </w:rPr>
        <w:t xml:space="preserve"> </w:t>
      </w:r>
      <w:sdt>
        <w:sdtPr>
          <w:rPr>
            <w:lang w:val="en-US"/>
          </w:rPr>
          <w:id w:val="1177240669"/>
          <w:citation/>
        </w:sdtPr>
        <w:sdtEndPr/>
        <w:sdtContent>
          <w:r w:rsidRPr="00575EEE">
            <w:rPr>
              <w:lang w:val="en-US"/>
            </w:rPr>
            <w:fldChar w:fldCharType="begin"/>
          </w:r>
          <w:r w:rsidRPr="00575EEE">
            <w:rPr>
              <w:lang w:val="en-US"/>
            </w:rPr>
            <w:instrText xml:space="preserve"> CITATION Арс97 \l 1033 </w:instrText>
          </w:r>
          <w:r w:rsidRPr="00575EEE">
            <w:rPr>
              <w:lang w:val="en-US"/>
            </w:rPr>
            <w:fldChar w:fldCharType="separate"/>
          </w:r>
          <w:r w:rsidRPr="00575EEE">
            <w:rPr>
              <w:noProof/>
              <w:lang w:val="en-US"/>
            </w:rPr>
            <w:t>[1]</w:t>
          </w:r>
          <w:r w:rsidRPr="00575EEE">
            <w:rPr>
              <w:lang w:val="en-US"/>
            </w:rPr>
            <w:fldChar w:fldCharType="end"/>
          </w:r>
        </w:sdtContent>
      </w:sdt>
      <w:r w:rsidRPr="0062133C">
        <w:rPr>
          <w:lang w:val="en-US"/>
        </w:rPr>
        <w:t>, which developed within major, regional tectonic units (Fig.1). These three regions are permanently uplifting with different intensities. The intensity of uplifting of West Macedonia is the greatest, while that of the Vardar zone is the smallest. However, the intensities of uplifting of the three regions are of order of few millimeters per a year.</w:t>
      </w:r>
      <w:bookmarkEnd w:id="1"/>
    </w:p>
    <w:p w14:paraId="124B17D5" w14:textId="77777777" w:rsidR="00F8191A" w:rsidRPr="0062133C" w:rsidRDefault="00F8191A" w:rsidP="008D7751">
      <w:pPr>
        <w:rPr>
          <w:lang w:val="en-US"/>
        </w:rPr>
      </w:pPr>
      <w:r w:rsidRPr="0062133C">
        <w:rPr>
          <w:lang w:val="en-US"/>
        </w:rPr>
        <w:t xml:space="preserve">Those three regions show differences in the seismic activity too, which is the reason to assume them as separate seismic zones, named with the same names. According to the </w:t>
      </w:r>
      <w:r>
        <w:rPr>
          <w:lang w:val="en-US"/>
        </w:rPr>
        <w:t>research</w:t>
      </w:r>
      <w:r w:rsidRPr="0062133C">
        <w:rPr>
          <w:lang w:val="en-US"/>
        </w:rPr>
        <w:t xml:space="preserve"> </w:t>
      </w:r>
      <w:r>
        <w:rPr>
          <w:lang w:val="en-US"/>
        </w:rPr>
        <w:t>by</w:t>
      </w:r>
      <w:r w:rsidRPr="0062133C">
        <w:rPr>
          <w:lang w:val="en-US"/>
        </w:rPr>
        <w:t xml:space="preserve"> the Seismological Observatory, except some collapse earthquakes, all observed historic</w:t>
      </w:r>
      <w:r>
        <w:rPr>
          <w:lang w:val="en-US"/>
        </w:rPr>
        <w:t>al</w:t>
      </w:r>
      <w:r w:rsidRPr="0062133C">
        <w:rPr>
          <w:lang w:val="en-US"/>
        </w:rPr>
        <w:t xml:space="preserve"> and </w:t>
      </w:r>
      <w:r w:rsidRPr="00690B94">
        <w:rPr>
          <w:lang w:val="en-US"/>
        </w:rPr>
        <w:t>contemporary</w:t>
      </w:r>
      <w:r w:rsidRPr="0062133C">
        <w:rPr>
          <w:lang w:val="en-US"/>
        </w:rPr>
        <w:t xml:space="preserve"> earthquakes in these zones are tectonic. The seismic source for the greatest number of earthquakes is a dynamical faulting (a dynamical relative sliding of walls of a fault). The strongest earthquakes with </w:t>
      </w:r>
      <w:r w:rsidRPr="003E2842">
        <w:rPr>
          <w:i/>
          <w:iCs/>
          <w:lang w:val="en-US"/>
        </w:rPr>
        <w:t>M</w:t>
      </w:r>
      <w:r w:rsidRPr="003E2842">
        <w:rPr>
          <w:vertAlign w:val="subscript"/>
          <w:lang w:val="en-US"/>
        </w:rPr>
        <w:t>L</w:t>
      </w:r>
      <w:r w:rsidRPr="0062133C">
        <w:rPr>
          <w:lang w:val="en-US"/>
        </w:rPr>
        <w:t xml:space="preserve">≥6.0 occur at the places of crossing of the NW–SE oriented and approximately E–W oriented faults, Fig. </w:t>
      </w:r>
      <w:r>
        <w:rPr>
          <w:lang w:val="en-US"/>
        </w:rPr>
        <w:t>1.</w:t>
      </w:r>
      <w:r w:rsidRPr="0062133C">
        <w:rPr>
          <w:lang w:val="en-US"/>
        </w:rPr>
        <w:t xml:space="preserve"> The hypocenters of the earthquakes are shallow, mostly located within the Earth's crust, which lower boundary in the Vardar seismic zone is at a depth of 32 km to 35 km, and in the other two zones down to 45 km and deeper. The range of the Richter local magnitudes of the earthquakes is from 0 to 7.8, and of the maximum observed intensities is from II to X degrees of the European </w:t>
      </w:r>
      <w:r>
        <w:rPr>
          <w:lang w:val="en-US"/>
        </w:rPr>
        <w:t>M</w:t>
      </w:r>
      <w:r w:rsidRPr="0062133C">
        <w:rPr>
          <w:lang w:val="en-US"/>
        </w:rPr>
        <w:t xml:space="preserve">acroseismic </w:t>
      </w:r>
      <w:r>
        <w:rPr>
          <w:lang w:val="en-US"/>
        </w:rPr>
        <w:t>S</w:t>
      </w:r>
      <w:r w:rsidRPr="0062133C">
        <w:rPr>
          <w:lang w:val="en-US"/>
        </w:rPr>
        <w:t>cale from 1998 (EMS-1998). Thus, the earthquake with the highest observed Richter local magnitude of the Balkan Peninsula, valued 7.8, occurred in the epicentral area Peh</w:t>
      </w:r>
      <w:r>
        <w:rPr>
          <w:lang w:val="en-US"/>
        </w:rPr>
        <w:t>c</w:t>
      </w:r>
      <w:r w:rsidRPr="0062133C">
        <w:rPr>
          <w:lang w:val="en-US"/>
        </w:rPr>
        <w:t xml:space="preserve">evo – Kresna, in 1904 </w:t>
      </w:r>
      <w:sdt>
        <w:sdtPr>
          <w:rPr>
            <w:lang w:val="en-US"/>
          </w:rPr>
          <w:id w:val="1807359414"/>
          <w:citation/>
        </w:sdtPr>
        <w:sdtEndPr/>
        <w:sdtContent>
          <w:r w:rsidRPr="00575EEE">
            <w:rPr>
              <w:lang w:val="en-US"/>
            </w:rPr>
            <w:fldChar w:fldCharType="begin"/>
          </w:r>
          <w:r w:rsidRPr="00575EEE">
            <w:rPr>
              <w:lang w:val="en-US"/>
            </w:rPr>
            <w:instrText xml:space="preserve"> CITATION Јор98 \l 1033 </w:instrText>
          </w:r>
          <w:r w:rsidRPr="00575EEE">
            <w:rPr>
              <w:lang w:val="en-US"/>
            </w:rPr>
            <w:fldChar w:fldCharType="separate"/>
          </w:r>
          <w:r w:rsidRPr="00575EEE">
            <w:rPr>
              <w:noProof/>
              <w:lang w:val="en-US"/>
            </w:rPr>
            <w:t>[2]</w:t>
          </w:r>
          <w:r w:rsidRPr="00575EEE">
            <w:rPr>
              <w:lang w:val="en-US"/>
            </w:rPr>
            <w:fldChar w:fldCharType="end"/>
          </w:r>
        </w:sdtContent>
      </w:sdt>
      <w:r w:rsidRPr="0062133C">
        <w:rPr>
          <w:lang w:val="en-US"/>
        </w:rPr>
        <w:t>.</w:t>
      </w:r>
    </w:p>
    <w:p w14:paraId="040A8EF2" w14:textId="2DCDDA5E" w:rsidR="00F8191A" w:rsidRDefault="00F8191A" w:rsidP="008D7751">
      <w:pPr>
        <w:rPr>
          <w:lang w:val="en-US"/>
        </w:rPr>
      </w:pPr>
      <w:r w:rsidRPr="0062133C">
        <w:rPr>
          <w:lang w:val="en-US"/>
        </w:rPr>
        <w:t xml:space="preserve">The epicentral map of the earthquakes in the territory of Macedonia and neighboring regions for the period 1901–2021, together with the neotectonics faults, the borders of the epicentral areas and the stations of the present seismological telemetric network, </w:t>
      </w:r>
      <w:r>
        <w:rPr>
          <w:lang w:val="en-US"/>
        </w:rPr>
        <w:t>are</w:t>
      </w:r>
      <w:r w:rsidRPr="0062133C">
        <w:rPr>
          <w:lang w:val="en-US"/>
        </w:rPr>
        <w:t xml:space="preserve"> present</w:t>
      </w:r>
      <w:r>
        <w:rPr>
          <w:lang w:val="en-US"/>
        </w:rPr>
        <w:t>ed</w:t>
      </w:r>
      <w:r w:rsidRPr="0062133C">
        <w:rPr>
          <w:lang w:val="en-US"/>
        </w:rPr>
        <w:t xml:space="preserve"> on Fig.</w:t>
      </w:r>
      <w:r>
        <w:rPr>
          <w:lang w:val="en-US"/>
        </w:rPr>
        <w:t>1</w:t>
      </w:r>
      <w:r w:rsidRPr="0062133C">
        <w:rPr>
          <w:lang w:val="en-US"/>
        </w:rPr>
        <w:t xml:space="preserve"> </w:t>
      </w:r>
      <w:sdt>
        <w:sdtPr>
          <w:rPr>
            <w:lang w:val="en-US"/>
          </w:rPr>
          <w:id w:val="-1313634217"/>
          <w:citation/>
        </w:sdtPr>
        <w:sdtEndPr/>
        <w:sdtContent>
          <w:r w:rsidRPr="00575EEE">
            <w:rPr>
              <w:lang w:val="en-US"/>
            </w:rPr>
            <w:fldChar w:fldCharType="begin"/>
          </w:r>
          <w:r w:rsidRPr="00575EEE">
            <w:rPr>
              <w:lang w:val="en-US"/>
            </w:rPr>
            <w:instrText xml:space="preserve"> CITATION SOR12 \l 1033 </w:instrText>
          </w:r>
          <w:r w:rsidRPr="00575EEE">
            <w:rPr>
              <w:lang w:val="en-US"/>
            </w:rPr>
            <w:fldChar w:fldCharType="separate"/>
          </w:r>
          <w:r w:rsidRPr="00575EEE">
            <w:rPr>
              <w:noProof/>
              <w:lang w:val="en-US"/>
            </w:rPr>
            <w:t>[3]</w:t>
          </w:r>
          <w:r w:rsidRPr="00575EEE">
            <w:rPr>
              <w:lang w:val="en-US"/>
            </w:rPr>
            <w:fldChar w:fldCharType="end"/>
          </w:r>
        </w:sdtContent>
      </w:sdt>
      <w:r w:rsidRPr="0062133C">
        <w:rPr>
          <w:lang w:val="en-US"/>
        </w:rPr>
        <w:t>.</w:t>
      </w:r>
    </w:p>
    <w:p w14:paraId="4D3F037E" w14:textId="531FCAC3" w:rsidR="00281E4A" w:rsidRDefault="00327A19" w:rsidP="008D7751">
      <w:pPr>
        <w:rPr>
          <w:lang w:val="en-US"/>
        </w:rPr>
      </w:pPr>
      <w:bookmarkStart w:id="2" w:name="_Hlk98750361"/>
      <w:r>
        <w:rPr>
          <w:lang w:val="en-US"/>
        </w:rPr>
        <w:t>It</w:t>
      </w:r>
      <w:r w:rsidR="000A5B03">
        <w:rPr>
          <w:lang w:val="en-US"/>
        </w:rPr>
        <w:t xml:space="preserve"> can be seen that</w:t>
      </w:r>
      <w:r w:rsidRPr="00327A19">
        <w:rPr>
          <w:lang w:val="en-US"/>
        </w:rPr>
        <w:t xml:space="preserve">, nearly all the parts of the territory of North Macedonia </w:t>
      </w:r>
      <w:r w:rsidRPr="00F8191A">
        <w:rPr>
          <w:lang w:val="en-US"/>
        </w:rPr>
        <w:t xml:space="preserve">in </w:t>
      </w:r>
      <w:r>
        <w:rPr>
          <w:lang w:val="en-US"/>
        </w:rPr>
        <w:t xml:space="preserve">the studied period </w:t>
      </w:r>
      <w:r w:rsidRPr="00327A19">
        <w:rPr>
          <w:lang w:val="en-US"/>
        </w:rPr>
        <w:t>were seismically active</w:t>
      </w:r>
      <w:bookmarkEnd w:id="2"/>
      <w:r>
        <w:rPr>
          <w:lang w:val="en-US"/>
        </w:rPr>
        <w:t xml:space="preserve">, were </w:t>
      </w:r>
      <w:r w:rsidR="00281E4A" w:rsidRPr="00F8191A">
        <w:rPr>
          <w:lang w:val="en-US"/>
        </w:rPr>
        <w:t>only</w:t>
      </w:r>
      <w:r>
        <w:rPr>
          <w:lang w:val="en-US"/>
        </w:rPr>
        <w:t xml:space="preserve"> </w:t>
      </w:r>
      <w:r w:rsidR="00AD5B77">
        <w:rPr>
          <w:lang w:val="en-US"/>
        </w:rPr>
        <w:t xml:space="preserve">a </w:t>
      </w:r>
      <w:r w:rsidR="00281E4A" w:rsidRPr="00F8191A">
        <w:rPr>
          <w:lang w:val="en-US"/>
        </w:rPr>
        <w:t>few epicentral area</w:t>
      </w:r>
      <w:r>
        <w:rPr>
          <w:lang w:val="en-US"/>
        </w:rPr>
        <w:t xml:space="preserve"> </w:t>
      </w:r>
      <w:r w:rsidR="00281E4A" w:rsidRPr="00F8191A">
        <w:rPr>
          <w:lang w:val="en-US"/>
        </w:rPr>
        <w:t xml:space="preserve">Krushevo, Bogomila, Kumanovo, </w:t>
      </w:r>
      <w:r>
        <w:rPr>
          <w:lang w:val="en-US"/>
        </w:rPr>
        <w:t>Veles</w:t>
      </w:r>
      <w:r w:rsidR="00AD5B77">
        <w:rPr>
          <w:lang w:val="en-US"/>
        </w:rPr>
        <w:t>,</w:t>
      </w:r>
      <w:r w:rsidR="00AD5B77" w:rsidRPr="00AD5B77">
        <w:rPr>
          <w:lang w:val="en-US"/>
        </w:rPr>
        <w:t xml:space="preserve"> </w:t>
      </w:r>
      <w:r w:rsidR="00AD5B77">
        <w:rPr>
          <w:lang w:val="en-US"/>
        </w:rPr>
        <w:t>Kriva Palanka – Zletovo</w:t>
      </w:r>
      <w:r>
        <w:rPr>
          <w:lang w:val="en-US"/>
        </w:rPr>
        <w:t>,</w:t>
      </w:r>
      <w:r w:rsidR="00AD5B77">
        <w:rPr>
          <w:lang w:val="en-US"/>
        </w:rPr>
        <w:t xml:space="preserve"> and </w:t>
      </w:r>
      <w:r w:rsidR="00281E4A" w:rsidRPr="00F8191A">
        <w:rPr>
          <w:lang w:val="en-US"/>
        </w:rPr>
        <w:t>Pelagonia Anticlinorium</w:t>
      </w:r>
      <w:r w:rsidR="00AD5B77">
        <w:rPr>
          <w:lang w:val="en-US"/>
        </w:rPr>
        <w:t xml:space="preserve"> have weak seismic activity</w:t>
      </w:r>
      <w:r w:rsidR="00281E4A" w:rsidRPr="00F8191A">
        <w:rPr>
          <w:lang w:val="en-US"/>
        </w:rPr>
        <w:t>.</w:t>
      </w:r>
      <w:r w:rsidR="00281E4A">
        <w:rPr>
          <w:lang w:val="en-US"/>
        </w:rPr>
        <w:t xml:space="preserve"> </w:t>
      </w:r>
      <w:r w:rsidR="00281E4A" w:rsidRPr="00F8191A">
        <w:rPr>
          <w:lang w:val="en-US"/>
        </w:rPr>
        <w:t>As known [1], the reason for weak seismic activity of this anticlinorium is that it is a consolidated block with only oscillatory movement since the Precambrian time and still keeps the structure consisted of relicts of the Earth’s Precambrian crust.</w:t>
      </w:r>
      <w:r w:rsidR="00281E4A" w:rsidRPr="00281E4A">
        <w:t xml:space="preserve"> </w:t>
      </w:r>
      <w:r w:rsidR="00281E4A" w:rsidRPr="00281E4A">
        <w:rPr>
          <w:lang w:val="en-US"/>
        </w:rPr>
        <w:t>This structure is quite different in comparison with the neighboring areas.</w:t>
      </w:r>
    </w:p>
    <w:p w14:paraId="198E9E90" w14:textId="5BD13995" w:rsidR="00F8191A" w:rsidRDefault="00F8191A" w:rsidP="00F8191A">
      <w:pPr>
        <w:pStyle w:val="Paragraph"/>
        <w:jc w:val="center"/>
        <w:rPr>
          <w:lang w:val="en-US"/>
        </w:rPr>
      </w:pPr>
      <w:r>
        <w:rPr>
          <w:noProof/>
          <w:lang w:val="en-US"/>
        </w:rPr>
        <w:lastRenderedPageBreak/>
        <w:drawing>
          <wp:inline distT="0" distB="0" distL="0" distR="0" wp14:anchorId="71ABFC1A" wp14:editId="7405216B">
            <wp:extent cx="2318400" cy="1627702"/>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8400" cy="1627702"/>
                    </a:xfrm>
                    <a:prstGeom prst="rect">
                      <a:avLst/>
                    </a:prstGeom>
                  </pic:spPr>
                </pic:pic>
              </a:graphicData>
            </a:graphic>
          </wp:inline>
        </w:drawing>
      </w:r>
    </w:p>
    <w:p w14:paraId="0F65CA0A" w14:textId="77777777" w:rsidR="00F8191A" w:rsidRDefault="00F8191A" w:rsidP="00F8191A">
      <w:pPr>
        <w:pStyle w:val="Paragraph"/>
        <w:jc w:val="center"/>
        <w:rPr>
          <w:lang w:val="en-US"/>
        </w:rPr>
      </w:pPr>
    </w:p>
    <w:p w14:paraId="4F049F4C" w14:textId="7659C9E5" w:rsidR="00F8191A" w:rsidRDefault="00F8191A" w:rsidP="00F8191A">
      <w:pPr>
        <w:pStyle w:val="Paragraph"/>
        <w:ind w:firstLine="0"/>
        <w:jc w:val="center"/>
        <w:rPr>
          <w:sz w:val="18"/>
          <w:szCs w:val="18"/>
          <w:lang w:val="en-US"/>
        </w:rPr>
      </w:pPr>
      <w:r w:rsidRPr="00F8191A">
        <w:rPr>
          <w:sz w:val="18"/>
          <w:szCs w:val="18"/>
          <w:lang w:val="en-US"/>
        </w:rPr>
        <w:t xml:space="preserve">Figure 1. Epicentral and seismotectonic map of the strongest earthquakes with </w:t>
      </w:r>
      <w:r w:rsidRPr="00ED4BE8">
        <w:rPr>
          <w:i/>
          <w:iCs/>
          <w:sz w:val="18"/>
          <w:szCs w:val="18"/>
          <w:lang w:val="en-US"/>
        </w:rPr>
        <w:t>M</w:t>
      </w:r>
      <w:r w:rsidRPr="00ED4BE8">
        <w:rPr>
          <w:sz w:val="18"/>
          <w:szCs w:val="18"/>
          <w:vertAlign w:val="subscript"/>
          <w:lang w:val="en-US"/>
        </w:rPr>
        <w:t>L</w:t>
      </w:r>
      <w:r w:rsidRPr="00F8191A">
        <w:rPr>
          <w:sz w:val="18"/>
          <w:szCs w:val="18"/>
          <w:lang w:val="en-US"/>
        </w:rPr>
        <w:t>≥6.0 for the period 1901–2021 with labeled main neotectonics regions</w:t>
      </w:r>
    </w:p>
    <w:p w14:paraId="450934A2" w14:textId="77777777" w:rsidR="00F8191A" w:rsidRPr="00D62D6C" w:rsidRDefault="00F8191A" w:rsidP="00FB68A9">
      <w:pPr>
        <w:rPr>
          <w:lang w:val="en-US"/>
        </w:rPr>
      </w:pPr>
    </w:p>
    <w:p w14:paraId="32BA242D" w14:textId="31F20678" w:rsidR="00281E4A" w:rsidRDefault="00A1018C" w:rsidP="00F30568">
      <w:pPr>
        <w:rPr>
          <w:lang w:val="en-US"/>
        </w:rPr>
      </w:pPr>
      <w:bookmarkStart w:id="3" w:name="_Hlk95736302"/>
      <w:r>
        <w:rPr>
          <w:lang w:val="en-US"/>
        </w:rPr>
        <w:t>The distribution of earthquakes on</w:t>
      </w:r>
      <w:r w:rsidR="00281E4A" w:rsidRPr="00281E4A">
        <w:rPr>
          <w:lang w:val="en-US"/>
        </w:rPr>
        <w:t xml:space="preserve"> the territory of North Macedonia </w:t>
      </w:r>
      <w:r>
        <w:rPr>
          <w:lang w:val="en-US"/>
        </w:rPr>
        <w:t xml:space="preserve">and the neighboring region, </w:t>
      </w:r>
      <w:r w:rsidR="00281E4A" w:rsidRPr="00281E4A">
        <w:rPr>
          <w:lang w:val="en-US"/>
        </w:rPr>
        <w:t>in the period 1901–2021</w:t>
      </w:r>
      <w:r>
        <w:rPr>
          <w:lang w:val="en-US"/>
        </w:rPr>
        <w:t xml:space="preserve">, was presented with nearly </w:t>
      </w:r>
      <w:r w:rsidR="00281E4A" w:rsidRPr="00281E4A">
        <w:rPr>
          <w:lang w:val="en-US"/>
        </w:rPr>
        <w:t>30392 located earthquakes</w:t>
      </w:r>
      <w:r>
        <w:rPr>
          <w:lang w:val="en-US"/>
        </w:rPr>
        <w:t>, Fig. 2.</w:t>
      </w:r>
    </w:p>
    <w:p w14:paraId="3B2924C1" w14:textId="15567712" w:rsidR="00281E4A" w:rsidRDefault="00281E4A" w:rsidP="00FB68A9">
      <w:pPr>
        <w:rPr>
          <w:lang w:val="en-US"/>
        </w:rPr>
      </w:pPr>
    </w:p>
    <w:p w14:paraId="356CC8F5" w14:textId="77777777" w:rsidR="00281E4A" w:rsidRDefault="00281E4A" w:rsidP="00281E4A">
      <w:pPr>
        <w:pStyle w:val="Paragraph"/>
        <w:jc w:val="center"/>
        <w:rPr>
          <w:lang w:val="en-US"/>
        </w:rPr>
      </w:pPr>
      <w:r>
        <w:rPr>
          <w:b/>
          <w:noProof/>
          <w:lang w:val="en-US"/>
        </w:rPr>
        <w:drawing>
          <wp:inline distT="0" distB="0" distL="0" distR="0" wp14:anchorId="2DF7E1E8" wp14:editId="4D9C44A5">
            <wp:extent cx="2121056" cy="162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1056" cy="1623600"/>
                    </a:xfrm>
                    <a:prstGeom prst="rect">
                      <a:avLst/>
                    </a:prstGeom>
                  </pic:spPr>
                </pic:pic>
              </a:graphicData>
            </a:graphic>
          </wp:inline>
        </w:drawing>
      </w:r>
    </w:p>
    <w:p w14:paraId="29661C72" w14:textId="77777777" w:rsidR="00281E4A" w:rsidRDefault="00281E4A" w:rsidP="00281E4A">
      <w:pPr>
        <w:pStyle w:val="Paragraph"/>
        <w:jc w:val="center"/>
        <w:rPr>
          <w:lang w:val="en-US"/>
        </w:rPr>
      </w:pPr>
    </w:p>
    <w:p w14:paraId="3122A476" w14:textId="000860E8" w:rsidR="00281E4A" w:rsidRPr="00281E4A" w:rsidRDefault="00281E4A" w:rsidP="00281E4A">
      <w:pPr>
        <w:pStyle w:val="Paragraph"/>
        <w:ind w:firstLine="0"/>
        <w:jc w:val="center"/>
        <w:rPr>
          <w:sz w:val="18"/>
          <w:szCs w:val="18"/>
          <w:lang w:val="en-US"/>
        </w:rPr>
      </w:pPr>
      <w:r w:rsidRPr="00327D99">
        <w:rPr>
          <w:sz w:val="18"/>
          <w:szCs w:val="18"/>
          <w:lang w:val="en-US"/>
        </w:rPr>
        <w:t xml:space="preserve">Figure </w:t>
      </w:r>
      <w:r w:rsidR="000A5B03">
        <w:rPr>
          <w:sz w:val="18"/>
          <w:szCs w:val="18"/>
          <w:lang w:val="en-US"/>
        </w:rPr>
        <w:t>2</w:t>
      </w:r>
      <w:r w:rsidRPr="00327D99">
        <w:rPr>
          <w:sz w:val="18"/>
          <w:szCs w:val="18"/>
          <w:lang w:val="en-US"/>
        </w:rPr>
        <w:t>. Distribution of earthquakes for the period 1901-2021 at magnitude interval 1</w:t>
      </w:r>
    </w:p>
    <w:p w14:paraId="63B1B1E3" w14:textId="5E73A303" w:rsidR="00F8191A" w:rsidRPr="00D62D6C" w:rsidRDefault="00337945" w:rsidP="00F8191A">
      <w:pPr>
        <w:pStyle w:val="Heading2"/>
        <w:rPr>
          <w:lang w:val="en-US"/>
        </w:rPr>
      </w:pPr>
      <w:bookmarkStart w:id="4" w:name="_Hlk95736128"/>
      <w:bookmarkStart w:id="5" w:name="_Hlk95736280"/>
      <w:r w:rsidRPr="00337945">
        <w:rPr>
          <w:lang w:val="en-US"/>
        </w:rPr>
        <w:t>EARTHQUAKE ENVIRONMENTAL EFFECTS</w:t>
      </w:r>
    </w:p>
    <w:p w14:paraId="28E5812D" w14:textId="77777777" w:rsidR="00337945" w:rsidRPr="00337945" w:rsidRDefault="00337945" w:rsidP="00F30568">
      <w:pPr>
        <w:rPr>
          <w:lang w:val="en-US"/>
        </w:rPr>
      </w:pPr>
      <w:bookmarkStart w:id="6" w:name="OLE_LINK1"/>
      <w:bookmarkStart w:id="7" w:name="OLE_LINK2"/>
      <w:bookmarkEnd w:id="4"/>
      <w:r w:rsidRPr="00337945">
        <w:rPr>
          <w:lang w:val="en-US"/>
        </w:rPr>
        <w:t>Earthquakes can have disastrous effects on humans and on the environment. Effects of earthquakes can be categorized as primary and secondary. Primary effects occur as a direct result of the earthquake manifested at earth’s surface, whereas secondary effects are incited by the primary effects.  The primary effects depend on the size of the earthquake and the stress environment, and they can consist of surface faulting, until the earthquake generates tectonic deformation. Secondary effects are incited by the shaking of the ground, like liquefaction, landslide, ground cracking, displaced rocks, etc. [4].</w:t>
      </w:r>
    </w:p>
    <w:bookmarkEnd w:id="3"/>
    <w:bookmarkEnd w:id="5"/>
    <w:p w14:paraId="7C2593BE" w14:textId="2AA88194" w:rsidR="00337945" w:rsidRDefault="00337945" w:rsidP="00F30568">
      <w:pPr>
        <w:rPr>
          <w:lang w:val="en-US"/>
        </w:rPr>
      </w:pPr>
      <w:r w:rsidRPr="00337945">
        <w:rPr>
          <w:lang w:val="en-US"/>
        </w:rPr>
        <w:t xml:space="preserve">According to the observed seismicity in the considered period and region, the strongest earthquakes whose magnitude is </w:t>
      </w:r>
      <w:r w:rsidRPr="00B46985">
        <w:rPr>
          <w:i/>
          <w:iCs/>
          <w:lang w:val="en-US"/>
        </w:rPr>
        <w:t>M</w:t>
      </w:r>
      <w:r w:rsidRPr="00B46985">
        <w:rPr>
          <w:vertAlign w:val="subscript"/>
          <w:lang w:val="en-US"/>
        </w:rPr>
        <w:t>L</w:t>
      </w:r>
      <w:r w:rsidRPr="00337945">
        <w:rPr>
          <w:lang w:val="en-US"/>
        </w:rPr>
        <w:t xml:space="preserve">≥6.0, with many effects on humans and on the environment has occurred in the Debar, Skopje, Valandovo, Pehcevo-Kresna, Southern part </w:t>
      </w:r>
      <w:r w:rsidRPr="00337945">
        <w:rPr>
          <w:lang w:val="en-US"/>
        </w:rPr>
        <w:lastRenderedPageBreak/>
        <w:t xml:space="preserve">of Lake Ohrid and Gjilane epicentral areas. Some of the primary and secondary effects of earthquakes, are shown on Fig. </w:t>
      </w:r>
      <w:r w:rsidR="000A5B03">
        <w:rPr>
          <w:lang w:val="en-US"/>
        </w:rPr>
        <w:t>3</w:t>
      </w:r>
      <w:r w:rsidRPr="00337945">
        <w:rPr>
          <w:lang w:val="en-US"/>
        </w:rPr>
        <w:t>.</w:t>
      </w:r>
    </w:p>
    <w:p w14:paraId="4B3A6DB5" w14:textId="77777777" w:rsidR="00337945" w:rsidRDefault="00337945" w:rsidP="00FB68A9">
      <w:pPr>
        <w:rPr>
          <w:lang w:val="en-US"/>
        </w:rPr>
      </w:pPr>
    </w:p>
    <w:p w14:paraId="1B8F85DC" w14:textId="29D04239" w:rsidR="00337945" w:rsidRDefault="00337945" w:rsidP="00337945">
      <w:pPr>
        <w:pStyle w:val="Paragraph"/>
        <w:jc w:val="center"/>
        <w:rPr>
          <w:lang w:val="en-US"/>
        </w:rPr>
      </w:pPr>
      <w:r>
        <w:rPr>
          <w:noProof/>
          <w:lang w:val="en-US"/>
        </w:rPr>
        <w:drawing>
          <wp:inline distT="0" distB="0" distL="0" distR="0" wp14:anchorId="28F123BF" wp14:editId="287CD4BF">
            <wp:extent cx="2786535" cy="162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6535" cy="1623600"/>
                    </a:xfrm>
                    <a:prstGeom prst="rect">
                      <a:avLst/>
                    </a:prstGeom>
                    <a:noFill/>
                  </pic:spPr>
                </pic:pic>
              </a:graphicData>
            </a:graphic>
          </wp:inline>
        </w:drawing>
      </w:r>
    </w:p>
    <w:p w14:paraId="6C0EF8E0" w14:textId="77777777" w:rsidR="00337945" w:rsidRDefault="00337945" w:rsidP="00337945">
      <w:pPr>
        <w:pStyle w:val="Paragraph"/>
        <w:jc w:val="center"/>
        <w:rPr>
          <w:lang w:val="en-US"/>
        </w:rPr>
      </w:pPr>
    </w:p>
    <w:p w14:paraId="156E8CCF" w14:textId="046D2AC1" w:rsidR="00337945" w:rsidRPr="0039261D" w:rsidRDefault="00337945" w:rsidP="00337945">
      <w:pPr>
        <w:pStyle w:val="Paragraph"/>
        <w:ind w:firstLine="0"/>
        <w:jc w:val="center"/>
        <w:rPr>
          <w:sz w:val="18"/>
          <w:szCs w:val="18"/>
          <w:lang w:val="en-US"/>
        </w:rPr>
      </w:pPr>
      <w:r w:rsidRPr="00337945">
        <w:rPr>
          <w:sz w:val="18"/>
          <w:szCs w:val="18"/>
          <w:lang w:val="en-US"/>
        </w:rPr>
        <w:t xml:space="preserve">Figure </w:t>
      </w:r>
      <w:r w:rsidR="000A5B03">
        <w:rPr>
          <w:sz w:val="18"/>
          <w:szCs w:val="18"/>
          <w:lang w:val="en-US"/>
        </w:rPr>
        <w:t>3</w:t>
      </w:r>
      <w:r w:rsidRPr="00337945">
        <w:rPr>
          <w:sz w:val="18"/>
          <w:szCs w:val="18"/>
          <w:lang w:val="en-US"/>
        </w:rPr>
        <w:t>. Changes in the environment caused by an earthquakes</w:t>
      </w:r>
      <w:r w:rsidR="0039261D">
        <w:rPr>
          <w:sz w:val="18"/>
          <w:szCs w:val="18"/>
          <w:lang w:val="en-US"/>
        </w:rPr>
        <w:t xml:space="preserve"> (up left – photo archive of Seismological Observatory; down left – photo documentation Mihailovic 1936; up right -</w:t>
      </w:r>
      <w:r w:rsidR="0039261D" w:rsidRPr="0039261D">
        <w:rPr>
          <w:sz w:val="18"/>
          <w:szCs w:val="18"/>
        </w:rPr>
        <w:t>http://www.fakulteti.mk/news/1404</w:t>
      </w:r>
      <w:r w:rsidR="0039261D">
        <w:rPr>
          <w:sz w:val="18"/>
          <w:szCs w:val="18"/>
          <w:lang w:val="en-US"/>
        </w:rPr>
        <w:t>-</w:t>
      </w:r>
      <w:r w:rsidR="0039261D" w:rsidRPr="0039261D">
        <w:rPr>
          <w:sz w:val="18"/>
          <w:szCs w:val="18"/>
        </w:rPr>
        <w:t>04/110_godini_od_katastrofalniot_pehchevski_zemjotres_eden_od_najsilnite_vo_evropa.aspx</w:t>
      </w:r>
      <w:r w:rsidR="0039261D">
        <w:rPr>
          <w:sz w:val="18"/>
          <w:szCs w:val="18"/>
          <w:lang w:val="en-US"/>
        </w:rPr>
        <w:t>; down right – photo archive of IZIIS)</w:t>
      </w:r>
    </w:p>
    <w:p w14:paraId="359ED027" w14:textId="0BBBB71A" w:rsidR="00175837" w:rsidRDefault="00327D99" w:rsidP="00E85938">
      <w:pPr>
        <w:pStyle w:val="Heading2"/>
        <w:rPr>
          <w:lang w:val="sr-Latn-RS"/>
        </w:rPr>
      </w:pPr>
      <w:bookmarkStart w:id="8" w:name="_Hlk95736491"/>
      <w:bookmarkStart w:id="9" w:name="OLE_LINK22"/>
      <w:bookmarkStart w:id="10" w:name="OLE_LINK23"/>
      <w:bookmarkEnd w:id="6"/>
      <w:bookmarkEnd w:id="7"/>
      <w:r w:rsidRPr="00327D99">
        <w:rPr>
          <w:lang w:val="sr-Latn-RS"/>
        </w:rPr>
        <w:t>EARTHQUAKE PREDICTION</w:t>
      </w:r>
    </w:p>
    <w:p w14:paraId="28A426A7" w14:textId="181CA594" w:rsidR="00175837" w:rsidRDefault="00327D99" w:rsidP="00EB1A46">
      <w:pPr>
        <w:rPr>
          <w:lang w:val="sr-Latn-RS"/>
        </w:rPr>
      </w:pPr>
      <w:r w:rsidRPr="00327D99">
        <w:rPr>
          <w:lang w:val="sr-Latn-RS"/>
        </w:rPr>
        <w:t>The research of the seismic hazard, i.e., of the long-term expected seismicity regarding the maximum magnitude or maximum intensity, are regularly performed in the Seismological Observatory in Skopje. In this research, the Gutenberg–Richter law for earthquakes frequency with respect to magnitude is used, together with the empirical relations between the magnitude and the maximum intensity for the territory of North Macedonia and neighboring regions, as showed in Equation (1), (Gutenberg &amp; Richter, 1954):</w:t>
      </w:r>
    </w:p>
    <w:bookmarkEnd w:id="8"/>
    <w:p w14:paraId="10A1E46A" w14:textId="32A26115" w:rsidR="00337945" w:rsidRPr="00327D99" w:rsidRDefault="00337945" w:rsidP="00FB68A9">
      <w:pPr>
        <w:rPr>
          <w:lang w:val="sr-Latn-RS"/>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6"/>
        <w:gridCol w:w="5899"/>
        <w:gridCol w:w="692"/>
      </w:tblGrid>
      <w:tr w:rsidR="00337945" w:rsidRPr="00D62D6C" w14:paraId="7648DBB7" w14:textId="77777777" w:rsidTr="00FE75DE">
        <w:trPr>
          <w:jc w:val="center"/>
        </w:trPr>
        <w:tc>
          <w:tcPr>
            <w:tcW w:w="675" w:type="dxa"/>
            <w:vAlign w:val="center"/>
          </w:tcPr>
          <w:p w14:paraId="2BF7F89D" w14:textId="77777777" w:rsidR="00337945" w:rsidRPr="00D62D6C" w:rsidRDefault="00337945" w:rsidP="00FE75DE">
            <w:pPr>
              <w:pStyle w:val="Paragraph"/>
              <w:ind w:firstLine="0"/>
              <w:jc w:val="center"/>
              <w:rPr>
                <w:lang w:val="en-US"/>
              </w:rPr>
            </w:pPr>
          </w:p>
        </w:tc>
        <w:tc>
          <w:tcPr>
            <w:tcW w:w="6096" w:type="dxa"/>
            <w:vAlign w:val="center"/>
          </w:tcPr>
          <w:p w14:paraId="63097C52" w14:textId="2B2F473B" w:rsidR="00337945" w:rsidRPr="00D62D6C" w:rsidRDefault="00C20A29" w:rsidP="00FE75DE">
            <w:pPr>
              <w:pStyle w:val="Paragraph"/>
              <w:ind w:firstLine="0"/>
              <w:jc w:val="center"/>
              <w:rPr>
                <w:lang w:val="en-US"/>
              </w:rPr>
            </w:pPr>
            <m:oMathPara>
              <m:oMath>
                <m:r>
                  <w:rPr>
                    <w:rFonts w:ascii="Cambria Math" w:hAnsi="Cambria Math"/>
                    <w:lang w:val="en-US"/>
                  </w:rPr>
                  <m:t>l</m:t>
                </m:r>
                <m:r>
                  <w:rPr>
                    <w:rFonts w:ascii="Cambria Math" w:hAnsi="Cambria Math"/>
                    <w:lang w:val="en-US"/>
                  </w:rPr>
                  <m:t>og 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min</m:t>
                        </m:r>
                      </m:sub>
                    </m:sSub>
                  </m:e>
                </m:d>
                <m:r>
                  <w:rPr>
                    <w:rFonts w:ascii="Cambria Math" w:hAnsi="Cambria Math"/>
                    <w:lang w:val="en-US"/>
                  </w:rPr>
                  <m:t>=a-b</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min</m:t>
                    </m:r>
                  </m:sub>
                </m:sSub>
              </m:oMath>
            </m:oMathPara>
          </w:p>
        </w:tc>
        <w:tc>
          <w:tcPr>
            <w:tcW w:w="702" w:type="dxa"/>
            <w:vAlign w:val="center"/>
          </w:tcPr>
          <w:p w14:paraId="7DF33518" w14:textId="77777777" w:rsidR="00337945" w:rsidRPr="00D62D6C" w:rsidRDefault="00337945" w:rsidP="00FE75DE">
            <w:pPr>
              <w:pStyle w:val="Paragraph"/>
              <w:ind w:firstLine="0"/>
              <w:jc w:val="right"/>
              <w:rPr>
                <w:lang w:val="en-US"/>
              </w:rPr>
            </w:pPr>
            <w:r w:rsidRPr="00D62D6C">
              <w:rPr>
                <w:lang w:val="en-US"/>
              </w:rPr>
              <w:t>(</w:t>
            </w:r>
            <w:fldSimple w:instr=" SEQ Eq \* MERGEFORMAT ">
              <w:r w:rsidRPr="00D62D6C">
                <w:rPr>
                  <w:noProof/>
                  <w:lang w:val="en-US"/>
                </w:rPr>
                <w:t>1</w:t>
              </w:r>
            </w:fldSimple>
            <w:r w:rsidRPr="00D62D6C">
              <w:rPr>
                <w:lang w:val="en-US"/>
              </w:rPr>
              <w:t>)</w:t>
            </w:r>
          </w:p>
        </w:tc>
      </w:tr>
    </w:tbl>
    <w:p w14:paraId="1A734277" w14:textId="6A3A5993" w:rsidR="00337945" w:rsidRDefault="00337945" w:rsidP="00FB68A9">
      <w:pPr>
        <w:rPr>
          <w:lang w:val="sr-Latn-RS"/>
        </w:rPr>
      </w:pPr>
    </w:p>
    <w:p w14:paraId="30096C09" w14:textId="2DDCA021" w:rsidR="00327D99" w:rsidRDefault="00327D99" w:rsidP="00EB1A46">
      <w:pPr>
        <w:rPr>
          <w:lang w:val="en-US"/>
        </w:rPr>
      </w:pPr>
      <w:r w:rsidRPr="00327D99">
        <w:rPr>
          <w:lang w:val="sr-Latn-RS"/>
        </w:rPr>
        <w:t xml:space="preserve">where N is the cumulative number of earthquakes with magnitude larger than </w:t>
      </w:r>
      <w:r w:rsidRPr="00B46985">
        <w:rPr>
          <w:i/>
          <w:iCs/>
          <w:lang w:val="sr-Latn-RS"/>
        </w:rPr>
        <w:t>M</w:t>
      </w:r>
      <w:r w:rsidRPr="00B46985">
        <w:rPr>
          <w:vertAlign w:val="subscript"/>
          <w:lang w:val="sr-Latn-RS"/>
        </w:rPr>
        <w:t>min</w:t>
      </w:r>
      <w:r w:rsidRPr="00327D99">
        <w:rPr>
          <w:lang w:val="sr-Latn-RS"/>
        </w:rPr>
        <w:t>, ʺ</w:t>
      </w:r>
      <w:r w:rsidRPr="00327D99">
        <w:rPr>
          <w:rFonts w:ascii="Cambria Math" w:hAnsi="Cambria Math" w:cs="Cambria Math"/>
          <w:lang w:val="sr-Latn-RS"/>
        </w:rPr>
        <w:t>𝑎</w:t>
      </w:r>
      <w:r w:rsidRPr="00327D99">
        <w:rPr>
          <w:lang w:val="sr-Latn-RS"/>
        </w:rPr>
        <w:t>ʺ and ʺbʺ are coefficients. The coefficient ʺ</w:t>
      </w:r>
      <w:r w:rsidRPr="00327D99">
        <w:rPr>
          <w:rFonts w:ascii="Cambria Math" w:hAnsi="Cambria Math" w:cs="Cambria Math"/>
          <w:lang w:val="sr-Latn-RS"/>
        </w:rPr>
        <w:t>𝑎</w:t>
      </w:r>
      <w:r w:rsidRPr="00327D99">
        <w:rPr>
          <w:lang w:val="sr-Latn-RS"/>
        </w:rPr>
        <w:t xml:space="preserve">ʺ implied seismic activity of the region which depends on the size area, observation period and largest seismic magnitude. Higher values, correspond to a higher seismic activity [5]. Coefficient ʺbʺ is a characteristic related to the local seismogenic conditions of the region, based on which it is possible to make evaluation of the time return period of the earthquakes in future with respect to the magnitude. The lower value ʺbʺ represents the higher number of earthquakes, that occurred during the considered time interval. The ʺbʺ value can be obtained with several methods. Two of the most common methods are using the least squared regression and maximum likelihood estimate. The both methods are based on fitting processes (the first method obtained the ʺbʺ value by performing least square linear regression of </w:t>
      </w:r>
      <w:r w:rsidRPr="00B35630">
        <w:rPr>
          <w:lang w:val="sr-Latn-RS"/>
        </w:rPr>
        <w:t xml:space="preserve">logN </w:t>
      </w:r>
      <w:r w:rsidRPr="00327D99">
        <w:rPr>
          <w:lang w:val="sr-Latn-RS"/>
        </w:rPr>
        <w:t xml:space="preserve">versus M, and the second method gives a less biased and less uncertain estimate than the weighted least square method [6]. The input data are the data for all observed historic and contemporary seismicity of this territory. The output data are the maximum magnitudes or maximum intensities which are </w:t>
      </w:r>
      <w:r w:rsidRPr="00327D99">
        <w:rPr>
          <w:lang w:val="sr-Latn-RS"/>
        </w:rPr>
        <w:lastRenderedPageBreak/>
        <w:t>expected in the particular areas of this territory within certain time period, the so-called return period.</w:t>
      </w:r>
    </w:p>
    <w:p w14:paraId="3C6B8B97" w14:textId="1770F04A" w:rsidR="00CC49BB" w:rsidRPr="00A62587" w:rsidRDefault="00327D99" w:rsidP="00E85938">
      <w:pPr>
        <w:pStyle w:val="Heading2"/>
      </w:pPr>
      <w:r w:rsidRPr="00327D99">
        <w:t>CONCLUSION</w:t>
      </w:r>
    </w:p>
    <w:p w14:paraId="04D6FF2B" w14:textId="588AC8A1" w:rsidR="00CC49BB" w:rsidRDefault="00327D99" w:rsidP="00EB1A46">
      <w:pPr>
        <w:rPr>
          <w:lang w:val="en-US"/>
        </w:rPr>
      </w:pPr>
      <w:r w:rsidRPr="00327D99">
        <w:rPr>
          <w:lang w:val="en-US"/>
        </w:rPr>
        <w:t>Seismological Observatory in Skopje with telemetric network of digital seismological stations systematically monitors the seismic activity in the territory of North Macedonia and the bordering areas and records the regional and teleseismic earthquakes. With the latest instrumentation, real time telemetric network data exchange and used software, earthquakes with local magnitudes down to zero can be recorded and analyzed. The predominant hypocentral depth is in the interval 0−20 km. These data give opportunity to obtaining maps of epicente</w:t>
      </w:r>
      <w:r w:rsidR="00ED4BE8">
        <w:rPr>
          <w:lang w:val="en-US"/>
        </w:rPr>
        <w:t>r</w:t>
      </w:r>
      <w:r w:rsidRPr="00327D99">
        <w:rPr>
          <w:lang w:val="en-US"/>
        </w:rPr>
        <w:t>s, maximum observed intensities, and magnitudes of happened earthquakes during long period of time and return period of maximum expected earthquake. These maps are used in earthquake engineering, in building earthquake resistant buildings respectively in earthquake protection. The economical effect of earthquake prediction and protection is obvious. The installation of networks for recording of earthquakes is equally important for the theoretical and fundamental research in the field of seismology and for application and practical research in the earthquake engineering.</w:t>
      </w:r>
    </w:p>
    <w:p w14:paraId="4707C9E5" w14:textId="77777777" w:rsidR="00CC49BB" w:rsidRPr="00D62D6C" w:rsidRDefault="005530AB" w:rsidP="002D75F5">
      <w:pPr>
        <w:pStyle w:val="Heading2"/>
        <w:rPr>
          <w:lang w:val="en-US"/>
        </w:rPr>
      </w:pPr>
      <w:r w:rsidRPr="005530AB">
        <w:t>REFERENCES</w:t>
      </w:r>
    </w:p>
    <w:p w14:paraId="52B9E570" w14:textId="4DEAD465" w:rsidR="004448B8" w:rsidRPr="009D6B4B" w:rsidRDefault="004448B8" w:rsidP="007457E5">
      <w:pPr>
        <w:pStyle w:val="references"/>
        <w:numPr>
          <w:ilvl w:val="0"/>
          <w:numId w:val="21"/>
        </w:numPr>
        <w:rPr>
          <w:sz w:val="18"/>
          <w:szCs w:val="18"/>
        </w:rPr>
      </w:pPr>
      <w:r>
        <w:rPr>
          <w:sz w:val="18"/>
          <w:szCs w:val="18"/>
        </w:rPr>
        <w:t xml:space="preserve">Arsovski, M. (1997). Tectonics of Macedonia. Shtip: University “Ss. Cyril and Methodius” – Skopje, Faculty of Mining and Geology </w:t>
      </w:r>
      <w:r w:rsidR="009724C6">
        <w:rPr>
          <w:sz w:val="18"/>
          <w:szCs w:val="18"/>
        </w:rPr>
        <w:t>–</w:t>
      </w:r>
      <w:r>
        <w:rPr>
          <w:sz w:val="18"/>
          <w:szCs w:val="18"/>
        </w:rPr>
        <w:t xml:space="preserve"> Shtip</w:t>
      </w:r>
      <w:r w:rsidR="009724C6">
        <w:rPr>
          <w:sz w:val="18"/>
          <w:szCs w:val="18"/>
        </w:rPr>
        <w:t xml:space="preserve"> </w:t>
      </w:r>
      <w:r w:rsidR="009724C6">
        <w:rPr>
          <w:sz w:val="18"/>
          <w:szCs w:val="18"/>
        </w:rPr>
        <w:t>(in Macedonian)</w:t>
      </w:r>
    </w:p>
    <w:p w14:paraId="3C556E87" w14:textId="2B0AABA0" w:rsidR="004448B8" w:rsidRPr="009D6B4B" w:rsidRDefault="004448B8" w:rsidP="007457E5">
      <w:pPr>
        <w:pStyle w:val="references"/>
        <w:numPr>
          <w:ilvl w:val="0"/>
          <w:numId w:val="21"/>
        </w:numPr>
        <w:rPr>
          <w:sz w:val="18"/>
          <w:szCs w:val="18"/>
        </w:rPr>
      </w:pPr>
      <w:r>
        <w:rPr>
          <w:sz w:val="18"/>
          <w:szCs w:val="18"/>
        </w:rPr>
        <w:t>Jordanovski, Lj. P. (1998). Basic characteristics of seismicity on the territory of Republic of Macedonia</w:t>
      </w:r>
      <w:r w:rsidR="009724C6">
        <w:rPr>
          <w:sz w:val="18"/>
          <w:szCs w:val="18"/>
        </w:rPr>
        <w:t>. Skopje:</w:t>
      </w:r>
      <w:r w:rsidR="009724C6" w:rsidRPr="009724C6">
        <w:rPr>
          <w:sz w:val="18"/>
          <w:szCs w:val="18"/>
        </w:rPr>
        <w:t xml:space="preserve"> </w:t>
      </w:r>
      <w:r w:rsidR="009724C6">
        <w:rPr>
          <w:sz w:val="18"/>
          <w:szCs w:val="18"/>
        </w:rPr>
        <w:t>University “Ss. Cyril and Methodius” – Skopje,</w:t>
      </w:r>
      <w:r w:rsidR="009724C6">
        <w:rPr>
          <w:sz w:val="18"/>
          <w:szCs w:val="18"/>
        </w:rPr>
        <w:t xml:space="preserve"> Seismological Observatory (292 p. with maps and tables; ISBN 9989-631-01-8.) </w:t>
      </w:r>
      <w:r w:rsidR="009724C6">
        <w:rPr>
          <w:sz w:val="18"/>
          <w:szCs w:val="18"/>
        </w:rPr>
        <w:t>(in Macedonian)</w:t>
      </w:r>
    </w:p>
    <w:p w14:paraId="397B2BA2" w14:textId="5D7B4792" w:rsidR="009724C6" w:rsidRPr="0073150F" w:rsidRDefault="009724C6" w:rsidP="007457E5">
      <w:pPr>
        <w:pStyle w:val="references"/>
        <w:numPr>
          <w:ilvl w:val="0"/>
          <w:numId w:val="21"/>
        </w:numPr>
        <w:rPr>
          <w:sz w:val="18"/>
          <w:szCs w:val="18"/>
        </w:rPr>
      </w:pPr>
      <w:r>
        <w:rPr>
          <w:sz w:val="18"/>
          <w:szCs w:val="18"/>
        </w:rPr>
        <w:t xml:space="preserve">Seismological Observatory </w:t>
      </w:r>
      <w:r w:rsidR="0039261D">
        <w:rPr>
          <w:sz w:val="18"/>
          <w:szCs w:val="18"/>
        </w:rPr>
        <w:t>of the</w:t>
      </w:r>
      <w:r>
        <w:rPr>
          <w:sz w:val="18"/>
          <w:szCs w:val="18"/>
        </w:rPr>
        <w:t xml:space="preserve"> Faculty of Natural Sciences and Mathematics, S. (1991-2012). Catalogues of earthquakes at Republic of Macedonia and border areas for period 1900-2021. Skopje: Library of Seismological Observatory at Faculty of Natural Sciences and Mathematics-Skopje. (in Macedonian)</w:t>
      </w:r>
    </w:p>
    <w:p w14:paraId="7A16D5E7" w14:textId="1D96445E" w:rsidR="0073150F" w:rsidRDefault="00ED4BE8" w:rsidP="007457E5">
      <w:pPr>
        <w:pStyle w:val="references"/>
        <w:numPr>
          <w:ilvl w:val="0"/>
          <w:numId w:val="21"/>
        </w:numPr>
        <w:rPr>
          <w:sz w:val="18"/>
          <w:szCs w:val="18"/>
        </w:rPr>
      </w:pPr>
      <w:r w:rsidRPr="00ED4BE8">
        <w:rPr>
          <w:sz w:val="18"/>
          <w:szCs w:val="18"/>
        </w:rPr>
        <w:t>Mainak Choudhury, S. V. (2016). Effects of earthquake on the surrounding environment: An overview. Burla, Odisha: Conference: International Conference on Recent Advances in Mechanics and Materials (ICRAMM-2016) At: VSSUT</w:t>
      </w:r>
    </w:p>
    <w:p w14:paraId="5918E665" w14:textId="031ABA6A" w:rsidR="00CB413C" w:rsidRDefault="00ED4BE8" w:rsidP="007457E5">
      <w:pPr>
        <w:pStyle w:val="references"/>
        <w:numPr>
          <w:ilvl w:val="0"/>
          <w:numId w:val="21"/>
        </w:numPr>
        <w:rPr>
          <w:sz w:val="18"/>
          <w:szCs w:val="18"/>
        </w:rPr>
      </w:pPr>
      <w:r w:rsidRPr="00ED4BE8">
        <w:rPr>
          <w:sz w:val="18"/>
          <w:szCs w:val="18"/>
        </w:rPr>
        <w:t>Q. Han, L. W. (2015). Chaos , Solitons and Fractals A robust method to estimate the b -value of the magnitude – frequency distribution of earthquakes. Chaos, Solitons and Fractals, vol. 81, pp. 103–110</w:t>
      </w:r>
    </w:p>
    <w:bookmarkEnd w:id="9"/>
    <w:bookmarkEnd w:id="10"/>
    <w:p w14:paraId="2B4B84B0" w14:textId="6D97F5FC" w:rsidR="00A42662" w:rsidRPr="00ED4BE8" w:rsidRDefault="00ED4BE8" w:rsidP="00ED4BE8">
      <w:pPr>
        <w:pStyle w:val="ListParagraph"/>
        <w:numPr>
          <w:ilvl w:val="0"/>
          <w:numId w:val="21"/>
        </w:numPr>
        <w:rPr>
          <w:rFonts w:eastAsia="MS Mincho"/>
          <w:noProof/>
          <w:sz w:val="18"/>
          <w:szCs w:val="18"/>
          <w:lang w:val="en-US" w:eastAsia="en-US"/>
        </w:rPr>
      </w:pPr>
      <w:r w:rsidRPr="00ED4BE8">
        <w:rPr>
          <w:rFonts w:eastAsia="MS Mincho"/>
          <w:noProof/>
          <w:sz w:val="18"/>
          <w:szCs w:val="18"/>
          <w:lang w:val="en-US" w:eastAsia="en-US"/>
        </w:rPr>
        <w:t>M. A. X. Wiemer, S. a. (2002). FREQUENCY-MAGNITUDE DISTRIBUTION OF EARTHQUAKES. Advances in Geophysics, vol. 45, pp. 259–302</w:t>
      </w:r>
    </w:p>
    <w:sectPr w:rsidR="00A42662" w:rsidRPr="00ED4BE8" w:rsidSect="00FB68A9">
      <w:headerReference w:type="even" r:id="rId11"/>
      <w:headerReference w:type="default" r:id="rId12"/>
      <w:footerReference w:type="even" r:id="rId13"/>
      <w:footerReference w:type="default" r:id="rId14"/>
      <w:headerReference w:type="first" r:id="rId15"/>
      <w:footerReference w:type="first" r:id="rId16"/>
      <w:footnotePr>
        <w:numFmt w:val="chicago"/>
      </w:footnotePr>
      <w:type w:val="continuous"/>
      <w:pgSz w:w="9979" w:h="14175" w:code="34"/>
      <w:pgMar w:top="1701" w:right="1361" w:bottom="1418" w:left="1361" w:header="107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4A47E" w14:textId="77777777" w:rsidR="00A5021B" w:rsidRDefault="00A5021B" w:rsidP="00FC5BA3">
      <w:r>
        <w:separator/>
      </w:r>
    </w:p>
    <w:p w14:paraId="4DC749C4" w14:textId="77777777" w:rsidR="00A5021B" w:rsidRDefault="00A5021B" w:rsidP="00FC5BA3"/>
    <w:p w14:paraId="7165D5CB" w14:textId="77777777" w:rsidR="00A5021B" w:rsidRDefault="00A5021B" w:rsidP="00FC5BA3"/>
    <w:p w14:paraId="6AC7B4AB" w14:textId="77777777" w:rsidR="00A5021B" w:rsidRDefault="00A5021B" w:rsidP="00FC5BA3"/>
  </w:endnote>
  <w:endnote w:type="continuationSeparator" w:id="0">
    <w:p w14:paraId="4635BA0A" w14:textId="77777777" w:rsidR="00A5021B" w:rsidRDefault="00A5021B" w:rsidP="00FC5BA3">
      <w:r>
        <w:continuationSeparator/>
      </w:r>
    </w:p>
    <w:p w14:paraId="162EDC6A" w14:textId="77777777" w:rsidR="00A5021B" w:rsidRDefault="00A5021B" w:rsidP="00FC5BA3"/>
    <w:p w14:paraId="1ECA8CA0" w14:textId="77777777" w:rsidR="00A5021B" w:rsidRDefault="00A5021B" w:rsidP="00FC5BA3"/>
    <w:p w14:paraId="5B819FDA" w14:textId="77777777" w:rsidR="00A5021B" w:rsidRDefault="00A5021B" w:rsidP="00FC5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charset w:val="80"/>
    <w:family w:val="auto"/>
    <w:pitch w:val="variable"/>
    <w:sig w:usb0="00000001" w:usb1="08070000" w:usb2="00000010" w:usb3="00000000" w:csb0="00020000" w:csb1="00000000"/>
  </w:font>
  <w:font w:name="Lohit Hindi">
    <w:altName w:val="MS Gothic"/>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2F5D" w14:textId="77777777" w:rsidR="001B5C1F" w:rsidRPr="00334EC7" w:rsidRDefault="00D712C1" w:rsidP="00334EC7">
    <w:pPr>
      <w:pStyle w:val="Footer"/>
      <w:rPr>
        <w:lang w:val="en-US"/>
      </w:rPr>
    </w:pPr>
    <w:r>
      <w:fldChar w:fldCharType="begin"/>
    </w:r>
    <w:r>
      <w:instrText xml:space="preserve"> PAGE   \* MERGEFORMAT </w:instrText>
    </w:r>
    <w:r>
      <w:fldChar w:fldCharType="separate"/>
    </w:r>
    <w:r w:rsidR="00B7524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596D" w14:textId="77777777" w:rsidR="001B5C1F" w:rsidRPr="00334EC7" w:rsidRDefault="00D712C1" w:rsidP="00334EC7">
    <w:pPr>
      <w:pStyle w:val="Footer"/>
      <w:rPr>
        <w:lang w:val="en-US"/>
      </w:rPr>
    </w:pPr>
    <w:r>
      <w:fldChar w:fldCharType="begin"/>
    </w:r>
    <w:r>
      <w:instrText xml:space="preserve"> PAGE   \* MERGEFORMAT </w:instrText>
    </w:r>
    <w:r>
      <w:fldChar w:fldCharType="separate"/>
    </w:r>
    <w:r w:rsidR="00B7524C">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219D" w14:textId="77777777" w:rsidR="001B5C1F" w:rsidRPr="0054018C" w:rsidRDefault="00D712C1" w:rsidP="00E224B2">
    <w:pPr>
      <w:pStyle w:val="Footer"/>
    </w:pPr>
    <w:r>
      <w:fldChar w:fldCharType="begin"/>
    </w:r>
    <w:r>
      <w:instrText xml:space="preserve"> PAGE   \* MERGEFORMAT </w:instrText>
    </w:r>
    <w:r>
      <w:fldChar w:fldCharType="separate"/>
    </w:r>
    <w:r w:rsidR="00B7524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BE24" w14:textId="77777777" w:rsidR="00A5021B" w:rsidRDefault="00A5021B" w:rsidP="00FC5BA3">
      <w:r>
        <w:separator/>
      </w:r>
    </w:p>
    <w:p w14:paraId="3A7F6EE1" w14:textId="77777777" w:rsidR="00A5021B" w:rsidRDefault="00A5021B" w:rsidP="00FC5BA3"/>
    <w:p w14:paraId="45CD8BA0" w14:textId="77777777" w:rsidR="00A5021B" w:rsidRDefault="00A5021B" w:rsidP="00FC5BA3"/>
    <w:p w14:paraId="79724373" w14:textId="77777777" w:rsidR="00A5021B" w:rsidRDefault="00A5021B" w:rsidP="00FC5BA3"/>
  </w:footnote>
  <w:footnote w:type="continuationSeparator" w:id="0">
    <w:p w14:paraId="26316C84" w14:textId="77777777" w:rsidR="00A5021B" w:rsidRDefault="00A5021B" w:rsidP="00FC5BA3">
      <w:r>
        <w:continuationSeparator/>
      </w:r>
    </w:p>
    <w:p w14:paraId="511CD852" w14:textId="77777777" w:rsidR="00A5021B" w:rsidRDefault="00A5021B" w:rsidP="00FC5BA3"/>
    <w:p w14:paraId="5AA3AFDB" w14:textId="77777777" w:rsidR="00A5021B" w:rsidRDefault="00A5021B" w:rsidP="00FC5BA3"/>
    <w:p w14:paraId="549E5E3E" w14:textId="77777777" w:rsidR="00A5021B" w:rsidRDefault="00A5021B" w:rsidP="00FC5B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2B9A" w14:textId="39C0A616" w:rsidR="001B5C1F" w:rsidRPr="00884D9A" w:rsidRDefault="00ED4BE8" w:rsidP="00607EE2">
    <w:pPr>
      <w:pStyle w:val="Header"/>
      <w:jc w:val="center"/>
      <w:rPr>
        <w:lang w:val="sr-Latn-RS"/>
      </w:rPr>
    </w:pPr>
    <w:r w:rsidRPr="00ED4BE8">
      <w:t>Katerina Drogreshka, Jasmina Najdovska, Ljubcho Jovanov, Ivana Molerovic, Dragana Chernih</w:t>
    </w:r>
    <w:r w:rsidR="00884D9A">
      <w:rPr>
        <w:lang w:val="sr-Latn-RS"/>
      </w:rPr>
      <w:t>,</w:t>
    </w:r>
    <w:r w:rsidR="00D135D0">
      <w:rPr>
        <w:lang w:val="sr-Latn-RS"/>
      </w:rPr>
      <w:t xml:space="preserve"> </w:t>
    </w:r>
    <w:r w:rsidR="00884D9A" w:rsidRPr="00884D9A">
      <w:rPr>
        <w:lang w:val="sr-Latn-RS"/>
      </w:rPr>
      <w:t>dcernih@yahoo.com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8530" w14:textId="2BF1D43A" w:rsidR="001B5C1F" w:rsidRPr="00CF46F1" w:rsidRDefault="001948A5" w:rsidP="001948A5">
    <w:pPr>
      <w:pStyle w:val="Header"/>
      <w:tabs>
        <w:tab w:val="center" w:pos="3628"/>
        <w:tab w:val="left" w:pos="5724"/>
      </w:tabs>
      <w:jc w:val="center"/>
      <w:rPr>
        <w:lang w:val="en-US"/>
      </w:rPr>
    </w:pPr>
    <w:r w:rsidRPr="001948A5">
      <w:t>The Effects of Earthquakes on the Environment, Monitoring and Prediction – Experience in Republic of North Macedonia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1602" w14:textId="77777777" w:rsidR="00175837" w:rsidRDefault="00175837" w:rsidP="00175837">
    <w:pPr>
      <w:pStyle w:val="Header"/>
    </w:pPr>
    <w:r>
      <w:t>Conference Proceedings</w:t>
    </w:r>
  </w:p>
  <w:p w14:paraId="341C1163" w14:textId="77777777" w:rsidR="00175837" w:rsidRDefault="00175837" w:rsidP="00175837">
    <w:pPr>
      <w:pStyle w:val="Header"/>
    </w:pPr>
    <w:r>
      <w:t>ICPAE 2022, March 31</w:t>
    </w:r>
    <w:r w:rsidRPr="00C436DB">
      <w:rPr>
        <w:vertAlign w:val="superscript"/>
      </w:rPr>
      <w:t>st</w:t>
    </w:r>
    <w:r w:rsidRPr="00C4175E">
      <w:t xml:space="preserve"> </w:t>
    </w:r>
    <w:r>
      <w:t>– 2</w:t>
    </w:r>
    <w:r w:rsidRPr="00C436DB">
      <w:rPr>
        <w:vertAlign w:val="superscript"/>
      </w:rPr>
      <w:t>nd</w:t>
    </w:r>
    <w:r>
      <w:t xml:space="preserve"> April, Zrenjanin, Serbia</w:t>
    </w:r>
  </w:p>
  <w:p w14:paraId="5DB16BB6" w14:textId="068CF929" w:rsidR="001B5C1F" w:rsidRPr="00175837" w:rsidRDefault="00175837" w:rsidP="00175837">
    <w:pPr>
      <w:pStyle w:val="Header"/>
    </w:pPr>
    <w:r>
      <w:t xml:space="preserve">Technical </w:t>
    </w:r>
    <w:r w:rsidR="00976E76">
      <w:rPr>
        <w:lang w:val="en-US"/>
      </w:rPr>
      <w:t>F</w:t>
    </w:r>
    <w:r>
      <w:t>aculty "Mihajlo Pupin", Zrenjanin &amp; Faculty of Sciences and Mathematics, Nis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724D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E051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041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340B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06F2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923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AE6C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CCFA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0CBC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26B2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6D8C550"/>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11E95B01"/>
    <w:multiLevelType w:val="hybridMultilevel"/>
    <w:tmpl w:val="9C2CDC94"/>
    <w:lvl w:ilvl="0" w:tplc="958C9290">
      <w:start w:val="1"/>
      <w:numFmt w:val="bullet"/>
      <w:pStyle w:val="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7072C"/>
    <w:multiLevelType w:val="hybridMultilevel"/>
    <w:tmpl w:val="A1060010"/>
    <w:lvl w:ilvl="0" w:tplc="08090001">
      <w:start w:val="1"/>
      <w:numFmt w:val="bullet"/>
      <w:lvlText w:val=""/>
      <w:lvlJc w:val="left"/>
      <w:pPr>
        <w:ind w:left="994" w:hanging="360"/>
      </w:pPr>
      <w:rPr>
        <w:rFonts w:ascii="Symbol" w:hAnsi="Symbol" w:hint="default"/>
      </w:rPr>
    </w:lvl>
    <w:lvl w:ilvl="1" w:tplc="08090003">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13" w15:restartNumberingAfterBreak="0">
    <w:nsid w:val="39FB14B8"/>
    <w:multiLevelType w:val="hybridMultilevel"/>
    <w:tmpl w:val="B3CC2418"/>
    <w:lvl w:ilvl="0" w:tplc="0809000F">
      <w:start w:val="1"/>
      <w:numFmt w:val="decimal"/>
      <w:lvlText w:val="%1."/>
      <w:lvlJc w:val="left"/>
      <w:pPr>
        <w:ind w:left="994" w:hanging="360"/>
      </w:pPr>
      <w:rPr>
        <w:rFonts w:hint="default"/>
      </w:rPr>
    </w:lvl>
    <w:lvl w:ilvl="1" w:tplc="08090003">
      <w:start w:val="1"/>
      <w:numFmt w:val="bullet"/>
      <w:lvlText w:val="o"/>
      <w:lvlJc w:val="left"/>
      <w:pPr>
        <w:ind w:left="1714" w:hanging="360"/>
      </w:pPr>
      <w:rPr>
        <w:rFonts w:ascii="Courier New" w:hAnsi="Courier New" w:cs="Courier New" w:hint="default"/>
      </w:rPr>
    </w:lvl>
    <w:lvl w:ilvl="2" w:tplc="08090005">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1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15:restartNumberingAfterBreak="0">
    <w:nsid w:val="53C5657E"/>
    <w:multiLevelType w:val="multilevel"/>
    <w:tmpl w:val="E14E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5B3A4B"/>
    <w:multiLevelType w:val="hybridMultilevel"/>
    <w:tmpl w:val="400A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83629"/>
    <w:multiLevelType w:val="hybridMultilevel"/>
    <w:tmpl w:val="18302E3A"/>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18" w15:restartNumberingAfterBreak="0">
    <w:nsid w:val="5CC4044E"/>
    <w:multiLevelType w:val="hybridMultilevel"/>
    <w:tmpl w:val="EEE4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5F5E0B"/>
    <w:multiLevelType w:val="hybridMultilevel"/>
    <w:tmpl w:val="3E607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347118"/>
    <w:multiLevelType w:val="hybridMultilevel"/>
    <w:tmpl w:val="2720799C"/>
    <w:lvl w:ilvl="0" w:tplc="D786D9EA">
      <w:start w:val="1"/>
      <w:numFmt w:val="decimal"/>
      <w:pStyle w:val="ListNum"/>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24091512">
    <w:abstractNumId w:val="10"/>
  </w:num>
  <w:num w:numId="2" w16cid:durableId="1268394010">
    <w:abstractNumId w:val="9"/>
  </w:num>
  <w:num w:numId="3" w16cid:durableId="1134057333">
    <w:abstractNumId w:val="7"/>
  </w:num>
  <w:num w:numId="4" w16cid:durableId="1090734775">
    <w:abstractNumId w:val="6"/>
  </w:num>
  <w:num w:numId="5" w16cid:durableId="1674380364">
    <w:abstractNumId w:val="5"/>
  </w:num>
  <w:num w:numId="6" w16cid:durableId="1050495748">
    <w:abstractNumId w:val="4"/>
  </w:num>
  <w:num w:numId="7" w16cid:durableId="1706248389">
    <w:abstractNumId w:val="8"/>
  </w:num>
  <w:num w:numId="8" w16cid:durableId="1864901882">
    <w:abstractNumId w:val="3"/>
  </w:num>
  <w:num w:numId="9" w16cid:durableId="1559630407">
    <w:abstractNumId w:val="2"/>
  </w:num>
  <w:num w:numId="10" w16cid:durableId="2077624555">
    <w:abstractNumId w:val="1"/>
  </w:num>
  <w:num w:numId="11" w16cid:durableId="1068458380">
    <w:abstractNumId w:val="0"/>
  </w:num>
  <w:num w:numId="12" w16cid:durableId="922373455">
    <w:abstractNumId w:val="15"/>
  </w:num>
  <w:num w:numId="13" w16cid:durableId="1149128817">
    <w:abstractNumId w:val="12"/>
  </w:num>
  <w:num w:numId="14" w16cid:durableId="66266518">
    <w:abstractNumId w:val="13"/>
  </w:num>
  <w:num w:numId="15" w16cid:durableId="1366562659">
    <w:abstractNumId w:val="18"/>
  </w:num>
  <w:num w:numId="16" w16cid:durableId="175921688">
    <w:abstractNumId w:val="16"/>
  </w:num>
  <w:num w:numId="17" w16cid:durableId="1543637593">
    <w:abstractNumId w:val="11"/>
  </w:num>
  <w:num w:numId="18" w16cid:durableId="1535927376">
    <w:abstractNumId w:val="20"/>
  </w:num>
  <w:num w:numId="19" w16cid:durableId="1782217172">
    <w:abstractNumId w:val="17"/>
  </w:num>
  <w:num w:numId="20" w16cid:durableId="1710833072">
    <w:abstractNumId w:val="14"/>
  </w:num>
  <w:num w:numId="21" w16cid:durableId="7434578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D2"/>
    <w:rsid w:val="00002B7C"/>
    <w:rsid w:val="000260E6"/>
    <w:rsid w:val="00031410"/>
    <w:rsid w:val="00067B1F"/>
    <w:rsid w:val="00072A77"/>
    <w:rsid w:val="000922C3"/>
    <w:rsid w:val="000A1C39"/>
    <w:rsid w:val="000A5B03"/>
    <w:rsid w:val="000A6C79"/>
    <w:rsid w:val="000B0970"/>
    <w:rsid w:val="000B0F97"/>
    <w:rsid w:val="000B5A9C"/>
    <w:rsid w:val="000C49F2"/>
    <w:rsid w:val="000C65C3"/>
    <w:rsid w:val="000C700E"/>
    <w:rsid w:val="000E599B"/>
    <w:rsid w:val="000E79FA"/>
    <w:rsid w:val="000F1879"/>
    <w:rsid w:val="000F3F25"/>
    <w:rsid w:val="00106CCC"/>
    <w:rsid w:val="001107BE"/>
    <w:rsid w:val="0012073A"/>
    <w:rsid w:val="0012513E"/>
    <w:rsid w:val="00125FC3"/>
    <w:rsid w:val="00131081"/>
    <w:rsid w:val="00151D0A"/>
    <w:rsid w:val="00152F1D"/>
    <w:rsid w:val="00154809"/>
    <w:rsid w:val="001712DE"/>
    <w:rsid w:val="00175837"/>
    <w:rsid w:val="0017583E"/>
    <w:rsid w:val="00176888"/>
    <w:rsid w:val="00177F42"/>
    <w:rsid w:val="00181BC3"/>
    <w:rsid w:val="001948A5"/>
    <w:rsid w:val="00197E23"/>
    <w:rsid w:val="001A1E46"/>
    <w:rsid w:val="001B50FD"/>
    <w:rsid w:val="001B5C1F"/>
    <w:rsid w:val="001C1761"/>
    <w:rsid w:val="001C24A5"/>
    <w:rsid w:val="001C24C1"/>
    <w:rsid w:val="001E0C91"/>
    <w:rsid w:val="001E5C13"/>
    <w:rsid w:val="00203F0B"/>
    <w:rsid w:val="00204956"/>
    <w:rsid w:val="00205859"/>
    <w:rsid w:val="00206FAE"/>
    <w:rsid w:val="00210BBB"/>
    <w:rsid w:val="002219F4"/>
    <w:rsid w:val="00221BF6"/>
    <w:rsid w:val="0023076A"/>
    <w:rsid w:val="00242253"/>
    <w:rsid w:val="002503B8"/>
    <w:rsid w:val="00265FB5"/>
    <w:rsid w:val="002703B2"/>
    <w:rsid w:val="0027427C"/>
    <w:rsid w:val="00276DD8"/>
    <w:rsid w:val="00281E4A"/>
    <w:rsid w:val="00286BEA"/>
    <w:rsid w:val="00291B8F"/>
    <w:rsid w:val="002A0EB7"/>
    <w:rsid w:val="002B7483"/>
    <w:rsid w:val="002B7FBE"/>
    <w:rsid w:val="002C4C8A"/>
    <w:rsid w:val="002C6615"/>
    <w:rsid w:val="002D14AB"/>
    <w:rsid w:val="002D1532"/>
    <w:rsid w:val="002D5CA1"/>
    <w:rsid w:val="002D75F5"/>
    <w:rsid w:val="002F543E"/>
    <w:rsid w:val="002F5BC8"/>
    <w:rsid w:val="0030679A"/>
    <w:rsid w:val="00317A5A"/>
    <w:rsid w:val="00321A6E"/>
    <w:rsid w:val="00327A19"/>
    <w:rsid w:val="00327D99"/>
    <w:rsid w:val="00330E5C"/>
    <w:rsid w:val="00334EC7"/>
    <w:rsid w:val="00337945"/>
    <w:rsid w:val="00340BB7"/>
    <w:rsid w:val="00343BC9"/>
    <w:rsid w:val="0034530A"/>
    <w:rsid w:val="00355780"/>
    <w:rsid w:val="00360410"/>
    <w:rsid w:val="0036607E"/>
    <w:rsid w:val="0037018E"/>
    <w:rsid w:val="003765E6"/>
    <w:rsid w:val="00382B9C"/>
    <w:rsid w:val="0038308F"/>
    <w:rsid w:val="003856D4"/>
    <w:rsid w:val="00387266"/>
    <w:rsid w:val="0039261D"/>
    <w:rsid w:val="00392994"/>
    <w:rsid w:val="00393015"/>
    <w:rsid w:val="00396683"/>
    <w:rsid w:val="003B744C"/>
    <w:rsid w:val="003C3936"/>
    <w:rsid w:val="003C7655"/>
    <w:rsid w:val="003D3CDC"/>
    <w:rsid w:val="003D3FA7"/>
    <w:rsid w:val="003E2945"/>
    <w:rsid w:val="003E3883"/>
    <w:rsid w:val="003E594E"/>
    <w:rsid w:val="003E7569"/>
    <w:rsid w:val="0040510B"/>
    <w:rsid w:val="0041587F"/>
    <w:rsid w:val="004169A7"/>
    <w:rsid w:val="00416A9B"/>
    <w:rsid w:val="004177EB"/>
    <w:rsid w:val="00421F4E"/>
    <w:rsid w:val="00431066"/>
    <w:rsid w:val="00431371"/>
    <w:rsid w:val="00434739"/>
    <w:rsid w:val="00442B54"/>
    <w:rsid w:val="00442CEE"/>
    <w:rsid w:val="004448B8"/>
    <w:rsid w:val="004474EA"/>
    <w:rsid w:val="00453F82"/>
    <w:rsid w:val="00455895"/>
    <w:rsid w:val="00474534"/>
    <w:rsid w:val="004940CE"/>
    <w:rsid w:val="004D0C45"/>
    <w:rsid w:val="004D3404"/>
    <w:rsid w:val="004E2756"/>
    <w:rsid w:val="004F075C"/>
    <w:rsid w:val="004F0B11"/>
    <w:rsid w:val="005031CF"/>
    <w:rsid w:val="00506480"/>
    <w:rsid w:val="0051317B"/>
    <w:rsid w:val="00515B0A"/>
    <w:rsid w:val="005177E3"/>
    <w:rsid w:val="005213A2"/>
    <w:rsid w:val="00531075"/>
    <w:rsid w:val="00531E90"/>
    <w:rsid w:val="0053579A"/>
    <w:rsid w:val="0054018C"/>
    <w:rsid w:val="005457F3"/>
    <w:rsid w:val="005530AB"/>
    <w:rsid w:val="00583773"/>
    <w:rsid w:val="00594286"/>
    <w:rsid w:val="00597141"/>
    <w:rsid w:val="005A03C4"/>
    <w:rsid w:val="005B5791"/>
    <w:rsid w:val="005C0B23"/>
    <w:rsid w:val="005C0E4C"/>
    <w:rsid w:val="005E0607"/>
    <w:rsid w:val="005E25E4"/>
    <w:rsid w:val="005E4485"/>
    <w:rsid w:val="005E4FC7"/>
    <w:rsid w:val="005E5108"/>
    <w:rsid w:val="005F1307"/>
    <w:rsid w:val="005F382A"/>
    <w:rsid w:val="005F58FE"/>
    <w:rsid w:val="00607EE2"/>
    <w:rsid w:val="00612E74"/>
    <w:rsid w:val="006143E7"/>
    <w:rsid w:val="00615F7C"/>
    <w:rsid w:val="00645307"/>
    <w:rsid w:val="006467E1"/>
    <w:rsid w:val="00651216"/>
    <w:rsid w:val="00651952"/>
    <w:rsid w:val="00652EFB"/>
    <w:rsid w:val="00654360"/>
    <w:rsid w:val="00660404"/>
    <w:rsid w:val="006636B2"/>
    <w:rsid w:val="006804E2"/>
    <w:rsid w:val="00680C4C"/>
    <w:rsid w:val="0068544F"/>
    <w:rsid w:val="00693C5B"/>
    <w:rsid w:val="006A52C5"/>
    <w:rsid w:val="006B1939"/>
    <w:rsid w:val="006B7DE7"/>
    <w:rsid w:val="006C362B"/>
    <w:rsid w:val="006C7479"/>
    <w:rsid w:val="006F243B"/>
    <w:rsid w:val="007148FF"/>
    <w:rsid w:val="007205A7"/>
    <w:rsid w:val="0072768E"/>
    <w:rsid w:val="00730863"/>
    <w:rsid w:val="007313B1"/>
    <w:rsid w:val="0073150F"/>
    <w:rsid w:val="007365F6"/>
    <w:rsid w:val="007457E5"/>
    <w:rsid w:val="007868DB"/>
    <w:rsid w:val="0079555D"/>
    <w:rsid w:val="007A1DB1"/>
    <w:rsid w:val="007A3992"/>
    <w:rsid w:val="007A6285"/>
    <w:rsid w:val="007B3966"/>
    <w:rsid w:val="007B5909"/>
    <w:rsid w:val="007C5EDB"/>
    <w:rsid w:val="007D29E4"/>
    <w:rsid w:val="007F2608"/>
    <w:rsid w:val="007F55C6"/>
    <w:rsid w:val="00807275"/>
    <w:rsid w:val="00817C65"/>
    <w:rsid w:val="00822438"/>
    <w:rsid w:val="0083010D"/>
    <w:rsid w:val="00834A1F"/>
    <w:rsid w:val="00835ECE"/>
    <w:rsid w:val="00840279"/>
    <w:rsid w:val="008436E6"/>
    <w:rsid w:val="00844DDC"/>
    <w:rsid w:val="008503DF"/>
    <w:rsid w:val="0085585D"/>
    <w:rsid w:val="00883864"/>
    <w:rsid w:val="00884D9A"/>
    <w:rsid w:val="00897FDF"/>
    <w:rsid w:val="008A3995"/>
    <w:rsid w:val="008A4AEF"/>
    <w:rsid w:val="008A5732"/>
    <w:rsid w:val="008D0FE9"/>
    <w:rsid w:val="008D5E60"/>
    <w:rsid w:val="008D7751"/>
    <w:rsid w:val="008D7902"/>
    <w:rsid w:val="008E6633"/>
    <w:rsid w:val="008F4CE1"/>
    <w:rsid w:val="008F71F7"/>
    <w:rsid w:val="00903A63"/>
    <w:rsid w:val="00910BCD"/>
    <w:rsid w:val="009309EC"/>
    <w:rsid w:val="0093787A"/>
    <w:rsid w:val="00942EB0"/>
    <w:rsid w:val="00952772"/>
    <w:rsid w:val="00953EF1"/>
    <w:rsid w:val="00954677"/>
    <w:rsid w:val="009648E2"/>
    <w:rsid w:val="009724C6"/>
    <w:rsid w:val="00976E76"/>
    <w:rsid w:val="009776A9"/>
    <w:rsid w:val="00981C01"/>
    <w:rsid w:val="00982F0F"/>
    <w:rsid w:val="00986BA0"/>
    <w:rsid w:val="009A2901"/>
    <w:rsid w:val="009C11F3"/>
    <w:rsid w:val="009C467A"/>
    <w:rsid w:val="009D6B4B"/>
    <w:rsid w:val="009D7E6E"/>
    <w:rsid w:val="009E57A9"/>
    <w:rsid w:val="009F153C"/>
    <w:rsid w:val="009F1F6D"/>
    <w:rsid w:val="00A01331"/>
    <w:rsid w:val="00A041AF"/>
    <w:rsid w:val="00A1018C"/>
    <w:rsid w:val="00A14F85"/>
    <w:rsid w:val="00A22B04"/>
    <w:rsid w:val="00A409FF"/>
    <w:rsid w:val="00A4107A"/>
    <w:rsid w:val="00A42662"/>
    <w:rsid w:val="00A43A55"/>
    <w:rsid w:val="00A5021B"/>
    <w:rsid w:val="00A54327"/>
    <w:rsid w:val="00A56E85"/>
    <w:rsid w:val="00A56F7D"/>
    <w:rsid w:val="00A62587"/>
    <w:rsid w:val="00A659A6"/>
    <w:rsid w:val="00A66593"/>
    <w:rsid w:val="00A67BFE"/>
    <w:rsid w:val="00A779B6"/>
    <w:rsid w:val="00A94667"/>
    <w:rsid w:val="00A96F42"/>
    <w:rsid w:val="00AA0692"/>
    <w:rsid w:val="00AA11DA"/>
    <w:rsid w:val="00AA415B"/>
    <w:rsid w:val="00AB1D2E"/>
    <w:rsid w:val="00AB5591"/>
    <w:rsid w:val="00AB7269"/>
    <w:rsid w:val="00AC4229"/>
    <w:rsid w:val="00AC732B"/>
    <w:rsid w:val="00AD0E2F"/>
    <w:rsid w:val="00AD5B77"/>
    <w:rsid w:val="00AE59BC"/>
    <w:rsid w:val="00AE7276"/>
    <w:rsid w:val="00AF056E"/>
    <w:rsid w:val="00AF5C01"/>
    <w:rsid w:val="00B0176E"/>
    <w:rsid w:val="00B060B9"/>
    <w:rsid w:val="00B06276"/>
    <w:rsid w:val="00B062E5"/>
    <w:rsid w:val="00B10FBF"/>
    <w:rsid w:val="00B16851"/>
    <w:rsid w:val="00B17164"/>
    <w:rsid w:val="00B24B70"/>
    <w:rsid w:val="00B25186"/>
    <w:rsid w:val="00B35630"/>
    <w:rsid w:val="00B37FB1"/>
    <w:rsid w:val="00B37FC4"/>
    <w:rsid w:val="00B42C23"/>
    <w:rsid w:val="00B46985"/>
    <w:rsid w:val="00B51D9B"/>
    <w:rsid w:val="00B62C8F"/>
    <w:rsid w:val="00B7524C"/>
    <w:rsid w:val="00B90747"/>
    <w:rsid w:val="00B93051"/>
    <w:rsid w:val="00B941C6"/>
    <w:rsid w:val="00B94AD2"/>
    <w:rsid w:val="00B95C97"/>
    <w:rsid w:val="00B975E6"/>
    <w:rsid w:val="00BA0655"/>
    <w:rsid w:val="00BA6FCF"/>
    <w:rsid w:val="00BC3057"/>
    <w:rsid w:val="00BC3609"/>
    <w:rsid w:val="00BD4E6D"/>
    <w:rsid w:val="00BD6EE6"/>
    <w:rsid w:val="00C12A69"/>
    <w:rsid w:val="00C20277"/>
    <w:rsid w:val="00C20A29"/>
    <w:rsid w:val="00C21D5D"/>
    <w:rsid w:val="00C24E81"/>
    <w:rsid w:val="00C2600F"/>
    <w:rsid w:val="00C410C7"/>
    <w:rsid w:val="00C4175E"/>
    <w:rsid w:val="00C436DB"/>
    <w:rsid w:val="00C46E37"/>
    <w:rsid w:val="00C521B8"/>
    <w:rsid w:val="00C639F1"/>
    <w:rsid w:val="00C672AB"/>
    <w:rsid w:val="00C8630B"/>
    <w:rsid w:val="00C90341"/>
    <w:rsid w:val="00C9110C"/>
    <w:rsid w:val="00CB2585"/>
    <w:rsid w:val="00CB2FCB"/>
    <w:rsid w:val="00CB32B2"/>
    <w:rsid w:val="00CB413C"/>
    <w:rsid w:val="00CB4A89"/>
    <w:rsid w:val="00CB5139"/>
    <w:rsid w:val="00CC49BB"/>
    <w:rsid w:val="00CC511A"/>
    <w:rsid w:val="00CE074B"/>
    <w:rsid w:val="00CE7ED2"/>
    <w:rsid w:val="00CF1E81"/>
    <w:rsid w:val="00CF2B52"/>
    <w:rsid w:val="00CF46F1"/>
    <w:rsid w:val="00D02897"/>
    <w:rsid w:val="00D04277"/>
    <w:rsid w:val="00D13196"/>
    <w:rsid w:val="00D135D0"/>
    <w:rsid w:val="00D21FCC"/>
    <w:rsid w:val="00D3027A"/>
    <w:rsid w:val="00D32CEC"/>
    <w:rsid w:val="00D3494D"/>
    <w:rsid w:val="00D34C99"/>
    <w:rsid w:val="00D35C3A"/>
    <w:rsid w:val="00D37219"/>
    <w:rsid w:val="00D37AE6"/>
    <w:rsid w:val="00D62D6C"/>
    <w:rsid w:val="00D6528B"/>
    <w:rsid w:val="00D712C1"/>
    <w:rsid w:val="00D72484"/>
    <w:rsid w:val="00D74833"/>
    <w:rsid w:val="00D75D30"/>
    <w:rsid w:val="00D827FE"/>
    <w:rsid w:val="00D83D4E"/>
    <w:rsid w:val="00D85663"/>
    <w:rsid w:val="00D916AA"/>
    <w:rsid w:val="00DA7073"/>
    <w:rsid w:val="00DC1BFD"/>
    <w:rsid w:val="00DC4C7A"/>
    <w:rsid w:val="00DC4D4B"/>
    <w:rsid w:val="00DD7377"/>
    <w:rsid w:val="00DE3788"/>
    <w:rsid w:val="00DE3A61"/>
    <w:rsid w:val="00DE3B36"/>
    <w:rsid w:val="00DF31BF"/>
    <w:rsid w:val="00DF44C0"/>
    <w:rsid w:val="00DF72D5"/>
    <w:rsid w:val="00E06048"/>
    <w:rsid w:val="00E14B2B"/>
    <w:rsid w:val="00E20547"/>
    <w:rsid w:val="00E21D67"/>
    <w:rsid w:val="00E224B2"/>
    <w:rsid w:val="00E25638"/>
    <w:rsid w:val="00E341E0"/>
    <w:rsid w:val="00E379E1"/>
    <w:rsid w:val="00E415D4"/>
    <w:rsid w:val="00E448E0"/>
    <w:rsid w:val="00E530E0"/>
    <w:rsid w:val="00E758F2"/>
    <w:rsid w:val="00E759CE"/>
    <w:rsid w:val="00E828D2"/>
    <w:rsid w:val="00E85938"/>
    <w:rsid w:val="00EA0AC5"/>
    <w:rsid w:val="00EA1A3C"/>
    <w:rsid w:val="00EA57F3"/>
    <w:rsid w:val="00EA5963"/>
    <w:rsid w:val="00EA73A2"/>
    <w:rsid w:val="00EB1A46"/>
    <w:rsid w:val="00EC3E1B"/>
    <w:rsid w:val="00ED2A4E"/>
    <w:rsid w:val="00ED2D01"/>
    <w:rsid w:val="00ED33EF"/>
    <w:rsid w:val="00ED4494"/>
    <w:rsid w:val="00ED4BE8"/>
    <w:rsid w:val="00ED5676"/>
    <w:rsid w:val="00EF410C"/>
    <w:rsid w:val="00EF64B8"/>
    <w:rsid w:val="00EF7A4D"/>
    <w:rsid w:val="00F068E1"/>
    <w:rsid w:val="00F1219F"/>
    <w:rsid w:val="00F13000"/>
    <w:rsid w:val="00F225DE"/>
    <w:rsid w:val="00F25CE9"/>
    <w:rsid w:val="00F30568"/>
    <w:rsid w:val="00F32F15"/>
    <w:rsid w:val="00F3319A"/>
    <w:rsid w:val="00F358CE"/>
    <w:rsid w:val="00F36CD1"/>
    <w:rsid w:val="00F50FE2"/>
    <w:rsid w:val="00F514CB"/>
    <w:rsid w:val="00F52B1A"/>
    <w:rsid w:val="00F62920"/>
    <w:rsid w:val="00F634AE"/>
    <w:rsid w:val="00F7076D"/>
    <w:rsid w:val="00F7110E"/>
    <w:rsid w:val="00F76C9B"/>
    <w:rsid w:val="00F80C24"/>
    <w:rsid w:val="00F8191A"/>
    <w:rsid w:val="00F86C85"/>
    <w:rsid w:val="00F910D7"/>
    <w:rsid w:val="00F919A4"/>
    <w:rsid w:val="00F92541"/>
    <w:rsid w:val="00FA2033"/>
    <w:rsid w:val="00FB68A9"/>
    <w:rsid w:val="00FC2D30"/>
    <w:rsid w:val="00FC5BA3"/>
    <w:rsid w:val="00FC5F88"/>
    <w:rsid w:val="00FD3543"/>
    <w:rsid w:val="00FD3C9E"/>
    <w:rsid w:val="00FD4005"/>
    <w:rsid w:val="00FD5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E679F93"/>
  <w15:docId w15:val="{4D9E8701-A9D9-4453-BF96-4D23FA8D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A61"/>
    <w:pPr>
      <w:suppressAutoHyphens/>
      <w:ind w:firstLine="274"/>
      <w:jc w:val="both"/>
    </w:pPr>
    <w:rPr>
      <w:lang w:val="sr-Cyrl-CS" w:eastAsia="ar-SA"/>
    </w:rPr>
  </w:style>
  <w:style w:type="paragraph" w:styleId="Heading1">
    <w:name w:val="heading 1"/>
    <w:basedOn w:val="Normal"/>
    <w:next w:val="Normal"/>
    <w:qFormat/>
    <w:rsid w:val="0017583E"/>
    <w:pPr>
      <w:keepNext/>
      <w:numPr>
        <w:numId w:val="1"/>
      </w:numPr>
      <w:tabs>
        <w:tab w:val="clear" w:pos="432"/>
      </w:tabs>
      <w:spacing w:before="240" w:after="240"/>
      <w:ind w:left="0" w:firstLine="0"/>
      <w:jc w:val="center"/>
      <w:outlineLvl w:val="0"/>
    </w:pPr>
    <w:rPr>
      <w:b/>
      <w:sz w:val="32"/>
      <w:szCs w:val="32"/>
    </w:rPr>
  </w:style>
  <w:style w:type="paragraph" w:styleId="Heading2">
    <w:name w:val="heading 2"/>
    <w:basedOn w:val="Normal"/>
    <w:next w:val="Normal"/>
    <w:link w:val="Heading2Char"/>
    <w:autoRedefine/>
    <w:qFormat/>
    <w:rsid w:val="00BD6EE6"/>
    <w:pPr>
      <w:keepNext/>
      <w:spacing w:before="480" w:after="240"/>
      <w:ind w:firstLine="0"/>
      <w:jc w:val="center"/>
      <w:outlineLvl w:val="1"/>
    </w:pPr>
    <w:rPr>
      <w:b/>
      <w:caps/>
      <w:sz w:val="22"/>
      <w:szCs w:val="22"/>
    </w:rPr>
  </w:style>
  <w:style w:type="paragraph" w:styleId="Heading3">
    <w:name w:val="heading 3"/>
    <w:basedOn w:val="Normal"/>
    <w:next w:val="Normal"/>
    <w:qFormat/>
    <w:rsid w:val="003E7569"/>
    <w:pPr>
      <w:keepNext/>
      <w:spacing w:before="240" w:after="240"/>
      <w:ind w:firstLine="0"/>
      <w:jc w:val="center"/>
      <w:outlineLvl w:val="2"/>
    </w:pPr>
    <w:rPr>
      <w:b/>
      <w:sz w:val="22"/>
      <w:szCs w:val="22"/>
    </w:rPr>
  </w:style>
  <w:style w:type="paragraph" w:styleId="Heading4">
    <w:name w:val="heading 4"/>
    <w:basedOn w:val="Normal"/>
    <w:next w:val="Normal"/>
    <w:link w:val="Heading4Char"/>
    <w:qFormat/>
    <w:rsid w:val="003E7569"/>
    <w:pPr>
      <w:keepNext/>
      <w:spacing w:before="240" w:after="240"/>
      <w:ind w:firstLine="0"/>
      <w:jc w:val="center"/>
      <w:outlineLvl w:val="3"/>
    </w:pPr>
    <w:rPr>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locked/>
    <w:rsid w:val="00AF056E"/>
  </w:style>
  <w:style w:type="character" w:customStyle="1" w:styleId="FootnoteCharacters">
    <w:name w:val="Footnote Characters"/>
    <w:rsid w:val="00AF056E"/>
    <w:rPr>
      <w:vertAlign w:val="superscript"/>
    </w:rPr>
  </w:style>
  <w:style w:type="character" w:styleId="PageNumber">
    <w:name w:val="page number"/>
    <w:basedOn w:val="DefaultParagraphFont1"/>
    <w:locked/>
    <w:rsid w:val="00AF056E"/>
  </w:style>
  <w:style w:type="paragraph" w:customStyle="1" w:styleId="Heading">
    <w:name w:val="Heading"/>
    <w:basedOn w:val="Normal"/>
    <w:next w:val="BodyText"/>
    <w:locked/>
    <w:rsid w:val="00AF056E"/>
    <w:pPr>
      <w:keepNext/>
      <w:spacing w:before="240" w:after="120"/>
    </w:pPr>
    <w:rPr>
      <w:rFonts w:ascii="Arial" w:eastAsia="DejaVu Sans" w:hAnsi="Arial" w:cs="Lohit Hindi"/>
      <w:sz w:val="28"/>
      <w:szCs w:val="28"/>
    </w:rPr>
  </w:style>
  <w:style w:type="paragraph" w:styleId="BodyText">
    <w:name w:val="Body Text"/>
    <w:basedOn w:val="Normal"/>
    <w:link w:val="BodyTextChar"/>
    <w:locked/>
    <w:rsid w:val="00AF056E"/>
    <w:pPr>
      <w:spacing w:after="120"/>
    </w:pPr>
  </w:style>
  <w:style w:type="paragraph" w:styleId="List">
    <w:name w:val="List"/>
    <w:basedOn w:val="BodyText"/>
    <w:link w:val="ListChar"/>
    <w:rsid w:val="00FD5AAB"/>
    <w:pPr>
      <w:numPr>
        <w:numId w:val="17"/>
      </w:numPr>
      <w:spacing w:after="0"/>
    </w:pPr>
    <w:rPr>
      <w:rFonts w:cs="Lohit Hindi"/>
    </w:rPr>
  </w:style>
  <w:style w:type="paragraph" w:styleId="Caption">
    <w:name w:val="caption"/>
    <w:basedOn w:val="PaperTitle"/>
    <w:qFormat/>
    <w:locked/>
    <w:rsid w:val="00531E90"/>
    <w:rPr>
      <w:sz w:val="32"/>
      <w:szCs w:val="32"/>
    </w:rPr>
  </w:style>
  <w:style w:type="paragraph" w:customStyle="1" w:styleId="Index">
    <w:name w:val="Index"/>
    <w:basedOn w:val="Normal"/>
    <w:locked/>
    <w:rsid w:val="00AF056E"/>
    <w:pPr>
      <w:suppressLineNumbers/>
    </w:pPr>
    <w:rPr>
      <w:rFonts w:cs="Lohit Hindi"/>
    </w:rPr>
  </w:style>
  <w:style w:type="paragraph" w:styleId="FootnoteText">
    <w:name w:val="footnote text"/>
    <w:basedOn w:val="Normal"/>
    <w:rsid w:val="00AF056E"/>
    <w:rPr>
      <w:sz w:val="16"/>
    </w:rPr>
  </w:style>
  <w:style w:type="paragraph" w:customStyle="1" w:styleId="PaperTitle">
    <w:name w:val="Paper Title"/>
    <w:basedOn w:val="Normal"/>
    <w:locked/>
    <w:rsid w:val="00AF056E"/>
    <w:pPr>
      <w:spacing w:before="720"/>
      <w:jc w:val="center"/>
    </w:pPr>
    <w:rPr>
      <w:b/>
      <w:sz w:val="40"/>
    </w:rPr>
  </w:style>
  <w:style w:type="paragraph" w:customStyle="1" w:styleId="PaperAuthor">
    <w:name w:val="Paper Author"/>
    <w:basedOn w:val="Normal"/>
    <w:link w:val="PaperAuthorChar"/>
    <w:rsid w:val="0017583E"/>
    <w:pPr>
      <w:spacing w:before="360" w:after="360"/>
      <w:ind w:firstLine="0"/>
      <w:jc w:val="center"/>
    </w:pPr>
    <w:rPr>
      <w:sz w:val="22"/>
    </w:rPr>
  </w:style>
  <w:style w:type="paragraph" w:customStyle="1" w:styleId="AuthorAffiliation">
    <w:name w:val="Author Affiliation"/>
    <w:basedOn w:val="Normal"/>
    <w:rsid w:val="0017583E"/>
    <w:pPr>
      <w:ind w:firstLine="0"/>
      <w:jc w:val="center"/>
    </w:pPr>
    <w:rPr>
      <w:i/>
    </w:rPr>
  </w:style>
  <w:style w:type="paragraph" w:customStyle="1" w:styleId="Abstract">
    <w:name w:val="Abstract"/>
    <w:basedOn w:val="Normal"/>
    <w:link w:val="AbstractChar"/>
    <w:rsid w:val="00067B1F"/>
    <w:pPr>
      <w:spacing w:before="360"/>
      <w:ind w:left="288" w:right="288" w:firstLine="0"/>
    </w:pPr>
    <w:rPr>
      <w:sz w:val="18"/>
      <w:szCs w:val="18"/>
    </w:rPr>
  </w:style>
  <w:style w:type="paragraph" w:customStyle="1" w:styleId="Paragraph">
    <w:name w:val="Paragraph"/>
    <w:basedOn w:val="Normal"/>
    <w:link w:val="ParagraphChar"/>
    <w:rsid w:val="00AB7269"/>
  </w:style>
  <w:style w:type="paragraph" w:customStyle="1" w:styleId="Reference">
    <w:name w:val="Reference"/>
    <w:basedOn w:val="Paragraph"/>
    <w:rsid w:val="00AF056E"/>
    <w:pPr>
      <w:ind w:left="270" w:hanging="270"/>
    </w:pPr>
    <w:rPr>
      <w:sz w:val="18"/>
    </w:rPr>
  </w:style>
  <w:style w:type="paragraph" w:customStyle="1" w:styleId="FigureCaption">
    <w:name w:val="FigureCaption"/>
    <w:basedOn w:val="Paragraph"/>
    <w:next w:val="Paragraph"/>
    <w:rsid w:val="00DF72D5"/>
    <w:pPr>
      <w:spacing w:after="240"/>
      <w:ind w:firstLine="0"/>
    </w:pPr>
    <w:rPr>
      <w:sz w:val="18"/>
      <w:szCs w:val="18"/>
    </w:rPr>
  </w:style>
  <w:style w:type="paragraph" w:customStyle="1" w:styleId="Figure">
    <w:name w:val="Figure"/>
    <w:basedOn w:val="Normal"/>
    <w:rsid w:val="00DF72D5"/>
    <w:pPr>
      <w:keepNext/>
      <w:spacing w:before="240" w:after="120"/>
      <w:ind w:firstLine="0"/>
      <w:jc w:val="center"/>
    </w:pPr>
  </w:style>
  <w:style w:type="paragraph" w:customStyle="1" w:styleId="Equation">
    <w:name w:val="Equation"/>
    <w:basedOn w:val="Paragraph"/>
    <w:rsid w:val="0034530A"/>
    <w:pPr>
      <w:tabs>
        <w:tab w:val="center" w:pos="3544"/>
        <w:tab w:val="right" w:pos="7088"/>
      </w:tabs>
      <w:ind w:firstLine="0"/>
    </w:pPr>
  </w:style>
  <w:style w:type="paragraph" w:styleId="Header">
    <w:name w:val="header"/>
    <w:basedOn w:val="Normal"/>
    <w:link w:val="HeaderChar"/>
    <w:uiPriority w:val="99"/>
    <w:rsid w:val="00E224B2"/>
    <w:pPr>
      <w:tabs>
        <w:tab w:val="center" w:pos="3686"/>
        <w:tab w:val="right" w:pos="8640"/>
      </w:tabs>
      <w:ind w:firstLine="0"/>
    </w:pPr>
    <w:rPr>
      <w:sz w:val="18"/>
    </w:rPr>
  </w:style>
  <w:style w:type="paragraph" w:styleId="Footer">
    <w:name w:val="footer"/>
    <w:basedOn w:val="Normal"/>
    <w:link w:val="FooterChar"/>
    <w:uiPriority w:val="99"/>
    <w:rsid w:val="00E224B2"/>
    <w:pPr>
      <w:tabs>
        <w:tab w:val="center" w:pos="4320"/>
        <w:tab w:val="right" w:pos="8640"/>
      </w:tabs>
      <w:jc w:val="center"/>
    </w:pPr>
    <w:rPr>
      <w:sz w:val="18"/>
    </w:rPr>
  </w:style>
  <w:style w:type="paragraph" w:customStyle="1" w:styleId="TableContents">
    <w:name w:val="Table Contents"/>
    <w:basedOn w:val="Normal"/>
    <w:rsid w:val="00E828D2"/>
    <w:pPr>
      <w:suppressLineNumbers/>
    </w:pPr>
    <w:rPr>
      <w:sz w:val="18"/>
    </w:rPr>
  </w:style>
  <w:style w:type="paragraph" w:customStyle="1" w:styleId="TableHeading">
    <w:name w:val="Table Heading"/>
    <w:basedOn w:val="TableContents"/>
    <w:rsid w:val="00E828D2"/>
    <w:pPr>
      <w:ind w:left="318" w:firstLine="0"/>
      <w:jc w:val="left"/>
    </w:pPr>
    <w:rPr>
      <w:b/>
      <w:bCs/>
    </w:rPr>
  </w:style>
  <w:style w:type="paragraph" w:styleId="Title">
    <w:name w:val="Title"/>
    <w:basedOn w:val="Caption"/>
    <w:next w:val="Normal"/>
    <w:link w:val="TitleChar"/>
    <w:uiPriority w:val="10"/>
    <w:qFormat/>
    <w:locked/>
    <w:rsid w:val="008D7902"/>
    <w:pPr>
      <w:spacing w:before="0"/>
    </w:pPr>
  </w:style>
  <w:style w:type="character" w:customStyle="1" w:styleId="TitleChar">
    <w:name w:val="Title Char"/>
    <w:link w:val="Title"/>
    <w:uiPriority w:val="10"/>
    <w:rsid w:val="008D7902"/>
    <w:rPr>
      <w:b/>
      <w:sz w:val="32"/>
      <w:szCs w:val="32"/>
      <w:lang w:val="sr-Cyrl-CS" w:eastAsia="ar-SA"/>
    </w:rPr>
  </w:style>
  <w:style w:type="character" w:customStyle="1" w:styleId="HeaderChar">
    <w:name w:val="Header Char"/>
    <w:link w:val="Header"/>
    <w:uiPriority w:val="99"/>
    <w:rsid w:val="00E224B2"/>
    <w:rPr>
      <w:sz w:val="18"/>
      <w:lang w:val="sr-Cyrl-CS" w:eastAsia="ar-SA"/>
    </w:rPr>
  </w:style>
  <w:style w:type="paragraph" w:customStyle="1" w:styleId="HeadingEN">
    <w:name w:val="Heading EN"/>
    <w:basedOn w:val="Paragraph"/>
    <w:next w:val="PaperAuthor"/>
    <w:qFormat/>
    <w:rsid w:val="00A94667"/>
    <w:pPr>
      <w:keepNext/>
      <w:keepLines/>
      <w:spacing w:before="360" w:after="360"/>
      <w:ind w:firstLine="0"/>
      <w:jc w:val="center"/>
    </w:pPr>
    <w:rPr>
      <w:b/>
      <w:sz w:val="32"/>
    </w:rPr>
  </w:style>
  <w:style w:type="character" w:styleId="CommentReference">
    <w:name w:val="annotation reference"/>
    <w:semiHidden/>
    <w:locked/>
    <w:rsid w:val="00D85663"/>
    <w:rPr>
      <w:sz w:val="16"/>
      <w:szCs w:val="16"/>
    </w:rPr>
  </w:style>
  <w:style w:type="paragraph" w:styleId="CommentText">
    <w:name w:val="annotation text"/>
    <w:basedOn w:val="Normal"/>
    <w:semiHidden/>
    <w:locked/>
    <w:rsid w:val="00D85663"/>
  </w:style>
  <w:style w:type="paragraph" w:styleId="CommentSubject">
    <w:name w:val="annotation subject"/>
    <w:basedOn w:val="CommentText"/>
    <w:next w:val="CommentText"/>
    <w:semiHidden/>
    <w:locked/>
    <w:rsid w:val="00D85663"/>
    <w:rPr>
      <w:b/>
      <w:bCs/>
    </w:rPr>
  </w:style>
  <w:style w:type="paragraph" w:styleId="BalloonText">
    <w:name w:val="Balloon Text"/>
    <w:basedOn w:val="Normal"/>
    <w:semiHidden/>
    <w:locked/>
    <w:rsid w:val="00D85663"/>
    <w:rPr>
      <w:rFonts w:ascii="Tahoma" w:hAnsi="Tahoma" w:cs="Tahoma"/>
      <w:sz w:val="16"/>
      <w:szCs w:val="16"/>
    </w:rPr>
  </w:style>
  <w:style w:type="character" w:styleId="Hyperlink">
    <w:name w:val="Hyperlink"/>
    <w:locked/>
    <w:rsid w:val="001B50FD"/>
    <w:rPr>
      <w:color w:val="0000FF"/>
      <w:u w:val="single"/>
    </w:rPr>
  </w:style>
  <w:style w:type="character" w:customStyle="1" w:styleId="Heading4Char">
    <w:name w:val="Heading 4 Char"/>
    <w:link w:val="Heading4"/>
    <w:rsid w:val="003E7569"/>
    <w:rPr>
      <w:rFonts w:eastAsia="Times New Roman"/>
      <w:bCs/>
      <w:i/>
      <w:sz w:val="22"/>
      <w:szCs w:val="22"/>
      <w:lang w:val="sr-Cyrl-CS" w:eastAsia="ar-SA"/>
    </w:rPr>
  </w:style>
  <w:style w:type="paragraph" w:customStyle="1" w:styleId="Keywords">
    <w:name w:val="Keywords"/>
    <w:basedOn w:val="Abstract"/>
    <w:link w:val="KeywordsChar"/>
    <w:autoRedefine/>
    <w:qFormat/>
    <w:rsid w:val="0054018C"/>
    <w:pPr>
      <w:tabs>
        <w:tab w:val="left" w:pos="0"/>
      </w:tabs>
      <w:ind w:right="27"/>
    </w:pPr>
    <w:rPr>
      <w:b/>
    </w:rPr>
  </w:style>
  <w:style w:type="character" w:customStyle="1" w:styleId="FooterChar">
    <w:name w:val="Footer Char"/>
    <w:link w:val="Footer"/>
    <w:uiPriority w:val="99"/>
    <w:rsid w:val="00E224B2"/>
    <w:rPr>
      <w:sz w:val="18"/>
      <w:lang w:val="sr-Cyrl-CS" w:eastAsia="ar-SA"/>
    </w:rPr>
  </w:style>
  <w:style w:type="character" w:customStyle="1" w:styleId="AbstractChar">
    <w:name w:val="Abstract Char"/>
    <w:link w:val="Abstract"/>
    <w:rsid w:val="00FC2D30"/>
    <w:rPr>
      <w:sz w:val="18"/>
      <w:szCs w:val="18"/>
      <w:lang w:val="sr-Cyrl-CS" w:eastAsia="ar-SA"/>
    </w:rPr>
  </w:style>
  <w:style w:type="character" w:customStyle="1" w:styleId="KeywordsChar">
    <w:name w:val="Keywords Char"/>
    <w:link w:val="Keywords"/>
    <w:rsid w:val="0054018C"/>
    <w:rPr>
      <w:b/>
      <w:sz w:val="18"/>
      <w:szCs w:val="18"/>
      <w:lang w:eastAsia="ar-SA"/>
    </w:rPr>
  </w:style>
  <w:style w:type="character" w:styleId="FootnoteReference">
    <w:name w:val="footnote reference"/>
    <w:semiHidden/>
    <w:rsid w:val="00840279"/>
    <w:rPr>
      <w:vertAlign w:val="superscript"/>
    </w:rPr>
  </w:style>
  <w:style w:type="paragraph" w:customStyle="1" w:styleId="PaperAuthorEN">
    <w:name w:val="Paper Author EN"/>
    <w:basedOn w:val="PaperAuthor"/>
    <w:link w:val="PaperAuthorENChar"/>
    <w:qFormat/>
    <w:rsid w:val="00A041AF"/>
  </w:style>
  <w:style w:type="paragraph" w:customStyle="1" w:styleId="ListNum">
    <w:name w:val="List Num"/>
    <w:basedOn w:val="List"/>
    <w:link w:val="ListNumChar"/>
    <w:qFormat/>
    <w:rsid w:val="00FD5AAB"/>
    <w:pPr>
      <w:numPr>
        <w:numId w:val="18"/>
      </w:numPr>
      <w:ind w:left="709"/>
    </w:pPr>
  </w:style>
  <w:style w:type="character" w:customStyle="1" w:styleId="PaperAuthorChar">
    <w:name w:val="Paper Author Char"/>
    <w:link w:val="PaperAuthor"/>
    <w:rsid w:val="00A041AF"/>
    <w:rPr>
      <w:sz w:val="22"/>
      <w:lang w:val="sr-Cyrl-CS" w:eastAsia="ar-SA"/>
    </w:rPr>
  </w:style>
  <w:style w:type="character" w:customStyle="1" w:styleId="PaperAuthorENChar">
    <w:name w:val="Paper Author EN Char"/>
    <w:link w:val="PaperAuthorEN"/>
    <w:rsid w:val="00A041AF"/>
    <w:rPr>
      <w:sz w:val="22"/>
    </w:rPr>
  </w:style>
  <w:style w:type="character" w:customStyle="1" w:styleId="BodyTextChar">
    <w:name w:val="Body Text Char"/>
    <w:link w:val="BodyText"/>
    <w:rsid w:val="00FD5AAB"/>
    <w:rPr>
      <w:lang w:val="sr-Cyrl-CS" w:eastAsia="ar-SA"/>
    </w:rPr>
  </w:style>
  <w:style w:type="character" w:customStyle="1" w:styleId="ListChar">
    <w:name w:val="List Char"/>
    <w:link w:val="List"/>
    <w:rsid w:val="00FD5AAB"/>
    <w:rPr>
      <w:rFonts w:cs="Lohit Hindi"/>
      <w:lang w:eastAsia="ar-SA"/>
    </w:rPr>
  </w:style>
  <w:style w:type="character" w:customStyle="1" w:styleId="ListNumChar">
    <w:name w:val="List Num Char"/>
    <w:link w:val="ListNum"/>
    <w:rsid w:val="00FD5AAB"/>
    <w:rPr>
      <w:rFonts w:cs="Lohit Hindi"/>
      <w:lang w:eastAsia="ar-SA"/>
    </w:rPr>
  </w:style>
  <w:style w:type="character" w:customStyle="1" w:styleId="ParagraphChar">
    <w:name w:val="Paragraph Char"/>
    <w:link w:val="Paragraph"/>
    <w:rsid w:val="00E828D2"/>
    <w:rPr>
      <w:lang w:val="sr-Cyrl-CS" w:eastAsia="ar-SA"/>
    </w:rPr>
  </w:style>
  <w:style w:type="table" w:styleId="TableGrid">
    <w:name w:val="Table Grid"/>
    <w:basedOn w:val="TableNormal"/>
    <w:uiPriority w:val="59"/>
    <w:locked/>
    <w:rsid w:val="00693C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93C5B"/>
    <w:rPr>
      <w:color w:val="808080"/>
    </w:rPr>
  </w:style>
  <w:style w:type="paragraph" w:customStyle="1" w:styleId="references">
    <w:name w:val="references"/>
    <w:rsid w:val="000C65C3"/>
    <w:pPr>
      <w:numPr>
        <w:numId w:val="20"/>
      </w:numPr>
      <w:spacing w:after="50" w:line="180" w:lineRule="exact"/>
      <w:jc w:val="both"/>
    </w:pPr>
    <w:rPr>
      <w:rFonts w:eastAsia="MS Mincho"/>
      <w:noProof/>
      <w:sz w:val="16"/>
      <w:szCs w:val="16"/>
    </w:rPr>
  </w:style>
  <w:style w:type="character" w:customStyle="1" w:styleId="Heading2Char">
    <w:name w:val="Heading 2 Char"/>
    <w:basedOn w:val="DefaultParagraphFont"/>
    <w:link w:val="Heading2"/>
    <w:rsid w:val="00607EE2"/>
    <w:rPr>
      <w:b/>
      <w:caps/>
      <w:sz w:val="22"/>
      <w:szCs w:val="22"/>
      <w:lang w:val="sr-Cyrl-CS" w:eastAsia="ar-SA"/>
    </w:rPr>
  </w:style>
  <w:style w:type="character" w:customStyle="1" w:styleId="doctitle">
    <w:name w:val="doctitle"/>
    <w:basedOn w:val="DefaultParagraphFont"/>
    <w:rsid w:val="0073150F"/>
  </w:style>
  <w:style w:type="paragraph" w:styleId="HTMLPreformatted">
    <w:name w:val="HTML Preformatted"/>
    <w:basedOn w:val="Normal"/>
    <w:link w:val="HTMLPreformattedChar"/>
    <w:uiPriority w:val="99"/>
    <w:semiHidden/>
    <w:unhideWhenUsed/>
    <w:locked/>
    <w:rsid w:val="00203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203F0B"/>
    <w:rPr>
      <w:rFonts w:ascii="Courier New" w:hAnsi="Courier New" w:cs="Courier New"/>
    </w:rPr>
  </w:style>
  <w:style w:type="paragraph" w:styleId="ListParagraph">
    <w:name w:val="List Paragraph"/>
    <w:basedOn w:val="Normal"/>
    <w:uiPriority w:val="34"/>
    <w:qFormat/>
    <w:rsid w:val="00ED4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7135">
      <w:bodyDiv w:val="1"/>
      <w:marLeft w:val="0"/>
      <w:marRight w:val="0"/>
      <w:marTop w:val="0"/>
      <w:marBottom w:val="0"/>
      <w:divBdr>
        <w:top w:val="none" w:sz="0" w:space="0" w:color="auto"/>
        <w:left w:val="none" w:sz="0" w:space="0" w:color="auto"/>
        <w:bottom w:val="none" w:sz="0" w:space="0" w:color="auto"/>
        <w:right w:val="none" w:sz="0" w:space="0" w:color="auto"/>
      </w:divBdr>
    </w:div>
    <w:div w:id="592737699">
      <w:bodyDiv w:val="1"/>
      <w:marLeft w:val="0"/>
      <w:marRight w:val="0"/>
      <w:marTop w:val="0"/>
      <w:marBottom w:val="0"/>
      <w:divBdr>
        <w:top w:val="none" w:sz="0" w:space="0" w:color="auto"/>
        <w:left w:val="none" w:sz="0" w:space="0" w:color="auto"/>
        <w:bottom w:val="none" w:sz="0" w:space="0" w:color="auto"/>
        <w:right w:val="none" w:sz="0" w:space="0" w:color="auto"/>
      </w:divBdr>
      <w:divsChild>
        <w:div w:id="409159766">
          <w:marLeft w:val="0"/>
          <w:marRight w:val="0"/>
          <w:marTop w:val="0"/>
          <w:marBottom w:val="0"/>
          <w:divBdr>
            <w:top w:val="none" w:sz="0" w:space="0" w:color="auto"/>
            <w:left w:val="none" w:sz="0" w:space="0" w:color="auto"/>
            <w:bottom w:val="none" w:sz="0" w:space="0" w:color="auto"/>
            <w:right w:val="none" w:sz="0" w:space="0" w:color="auto"/>
          </w:divBdr>
        </w:div>
        <w:div w:id="571937087">
          <w:marLeft w:val="0"/>
          <w:marRight w:val="0"/>
          <w:marTop w:val="0"/>
          <w:marBottom w:val="0"/>
          <w:divBdr>
            <w:top w:val="none" w:sz="0" w:space="0" w:color="auto"/>
            <w:left w:val="none" w:sz="0" w:space="0" w:color="auto"/>
            <w:bottom w:val="none" w:sz="0" w:space="0" w:color="auto"/>
            <w:right w:val="none" w:sz="0" w:space="0" w:color="auto"/>
          </w:divBdr>
        </w:div>
      </w:divsChild>
    </w:div>
    <w:div w:id="679088300">
      <w:bodyDiv w:val="1"/>
      <w:marLeft w:val="0"/>
      <w:marRight w:val="0"/>
      <w:marTop w:val="0"/>
      <w:marBottom w:val="0"/>
      <w:divBdr>
        <w:top w:val="none" w:sz="0" w:space="0" w:color="auto"/>
        <w:left w:val="none" w:sz="0" w:space="0" w:color="auto"/>
        <w:bottom w:val="none" w:sz="0" w:space="0" w:color="auto"/>
        <w:right w:val="none" w:sz="0" w:space="0" w:color="auto"/>
      </w:divBdr>
      <w:divsChild>
        <w:div w:id="187260463">
          <w:marLeft w:val="0"/>
          <w:marRight w:val="0"/>
          <w:marTop w:val="0"/>
          <w:marBottom w:val="0"/>
          <w:divBdr>
            <w:top w:val="none" w:sz="0" w:space="0" w:color="auto"/>
            <w:left w:val="none" w:sz="0" w:space="0" w:color="auto"/>
            <w:bottom w:val="none" w:sz="0" w:space="0" w:color="auto"/>
            <w:right w:val="none" w:sz="0" w:space="0" w:color="auto"/>
          </w:divBdr>
        </w:div>
        <w:div w:id="267351557">
          <w:marLeft w:val="0"/>
          <w:marRight w:val="0"/>
          <w:marTop w:val="0"/>
          <w:marBottom w:val="0"/>
          <w:divBdr>
            <w:top w:val="none" w:sz="0" w:space="0" w:color="auto"/>
            <w:left w:val="none" w:sz="0" w:space="0" w:color="auto"/>
            <w:bottom w:val="none" w:sz="0" w:space="0" w:color="auto"/>
            <w:right w:val="none" w:sz="0" w:space="0" w:color="auto"/>
          </w:divBdr>
        </w:div>
        <w:div w:id="410542997">
          <w:marLeft w:val="0"/>
          <w:marRight w:val="0"/>
          <w:marTop w:val="0"/>
          <w:marBottom w:val="0"/>
          <w:divBdr>
            <w:top w:val="none" w:sz="0" w:space="0" w:color="auto"/>
            <w:left w:val="none" w:sz="0" w:space="0" w:color="auto"/>
            <w:bottom w:val="none" w:sz="0" w:space="0" w:color="auto"/>
            <w:right w:val="none" w:sz="0" w:space="0" w:color="auto"/>
          </w:divBdr>
        </w:div>
        <w:div w:id="1133598172">
          <w:marLeft w:val="0"/>
          <w:marRight w:val="0"/>
          <w:marTop w:val="0"/>
          <w:marBottom w:val="0"/>
          <w:divBdr>
            <w:top w:val="none" w:sz="0" w:space="0" w:color="auto"/>
            <w:left w:val="none" w:sz="0" w:space="0" w:color="auto"/>
            <w:bottom w:val="none" w:sz="0" w:space="0" w:color="auto"/>
            <w:right w:val="none" w:sz="0" w:space="0" w:color="auto"/>
          </w:divBdr>
        </w:div>
        <w:div w:id="1145505679">
          <w:marLeft w:val="0"/>
          <w:marRight w:val="0"/>
          <w:marTop w:val="0"/>
          <w:marBottom w:val="0"/>
          <w:divBdr>
            <w:top w:val="none" w:sz="0" w:space="0" w:color="auto"/>
            <w:left w:val="none" w:sz="0" w:space="0" w:color="auto"/>
            <w:bottom w:val="none" w:sz="0" w:space="0" w:color="auto"/>
            <w:right w:val="none" w:sz="0" w:space="0" w:color="auto"/>
          </w:divBdr>
        </w:div>
        <w:div w:id="1288701864">
          <w:marLeft w:val="0"/>
          <w:marRight w:val="0"/>
          <w:marTop w:val="0"/>
          <w:marBottom w:val="0"/>
          <w:divBdr>
            <w:top w:val="none" w:sz="0" w:space="0" w:color="auto"/>
            <w:left w:val="none" w:sz="0" w:space="0" w:color="auto"/>
            <w:bottom w:val="none" w:sz="0" w:space="0" w:color="auto"/>
            <w:right w:val="none" w:sz="0" w:space="0" w:color="auto"/>
          </w:divBdr>
        </w:div>
        <w:div w:id="1299067681">
          <w:marLeft w:val="0"/>
          <w:marRight w:val="0"/>
          <w:marTop w:val="0"/>
          <w:marBottom w:val="0"/>
          <w:divBdr>
            <w:top w:val="none" w:sz="0" w:space="0" w:color="auto"/>
            <w:left w:val="none" w:sz="0" w:space="0" w:color="auto"/>
            <w:bottom w:val="none" w:sz="0" w:space="0" w:color="auto"/>
            <w:right w:val="none" w:sz="0" w:space="0" w:color="auto"/>
          </w:divBdr>
        </w:div>
        <w:div w:id="1412235729">
          <w:marLeft w:val="0"/>
          <w:marRight w:val="0"/>
          <w:marTop w:val="0"/>
          <w:marBottom w:val="0"/>
          <w:divBdr>
            <w:top w:val="none" w:sz="0" w:space="0" w:color="auto"/>
            <w:left w:val="none" w:sz="0" w:space="0" w:color="auto"/>
            <w:bottom w:val="none" w:sz="0" w:space="0" w:color="auto"/>
            <w:right w:val="none" w:sz="0" w:space="0" w:color="auto"/>
          </w:divBdr>
        </w:div>
        <w:div w:id="1455254464">
          <w:marLeft w:val="0"/>
          <w:marRight w:val="0"/>
          <w:marTop w:val="0"/>
          <w:marBottom w:val="0"/>
          <w:divBdr>
            <w:top w:val="none" w:sz="0" w:space="0" w:color="auto"/>
            <w:left w:val="none" w:sz="0" w:space="0" w:color="auto"/>
            <w:bottom w:val="none" w:sz="0" w:space="0" w:color="auto"/>
            <w:right w:val="none" w:sz="0" w:space="0" w:color="auto"/>
          </w:divBdr>
        </w:div>
        <w:div w:id="1555892342">
          <w:marLeft w:val="0"/>
          <w:marRight w:val="0"/>
          <w:marTop w:val="0"/>
          <w:marBottom w:val="0"/>
          <w:divBdr>
            <w:top w:val="none" w:sz="0" w:space="0" w:color="auto"/>
            <w:left w:val="none" w:sz="0" w:space="0" w:color="auto"/>
            <w:bottom w:val="none" w:sz="0" w:space="0" w:color="auto"/>
            <w:right w:val="none" w:sz="0" w:space="0" w:color="auto"/>
          </w:divBdr>
        </w:div>
        <w:div w:id="1573540186">
          <w:marLeft w:val="0"/>
          <w:marRight w:val="0"/>
          <w:marTop w:val="0"/>
          <w:marBottom w:val="0"/>
          <w:divBdr>
            <w:top w:val="none" w:sz="0" w:space="0" w:color="auto"/>
            <w:left w:val="none" w:sz="0" w:space="0" w:color="auto"/>
            <w:bottom w:val="none" w:sz="0" w:space="0" w:color="auto"/>
            <w:right w:val="none" w:sz="0" w:space="0" w:color="auto"/>
          </w:divBdr>
        </w:div>
        <w:div w:id="1611622353">
          <w:marLeft w:val="0"/>
          <w:marRight w:val="0"/>
          <w:marTop w:val="0"/>
          <w:marBottom w:val="0"/>
          <w:divBdr>
            <w:top w:val="none" w:sz="0" w:space="0" w:color="auto"/>
            <w:left w:val="none" w:sz="0" w:space="0" w:color="auto"/>
            <w:bottom w:val="none" w:sz="0" w:space="0" w:color="auto"/>
            <w:right w:val="none" w:sz="0" w:space="0" w:color="auto"/>
          </w:divBdr>
        </w:div>
        <w:div w:id="1806502431">
          <w:marLeft w:val="0"/>
          <w:marRight w:val="0"/>
          <w:marTop w:val="0"/>
          <w:marBottom w:val="0"/>
          <w:divBdr>
            <w:top w:val="none" w:sz="0" w:space="0" w:color="auto"/>
            <w:left w:val="none" w:sz="0" w:space="0" w:color="auto"/>
            <w:bottom w:val="none" w:sz="0" w:space="0" w:color="auto"/>
            <w:right w:val="none" w:sz="0" w:space="0" w:color="auto"/>
          </w:divBdr>
        </w:div>
        <w:div w:id="1891378066">
          <w:marLeft w:val="0"/>
          <w:marRight w:val="0"/>
          <w:marTop w:val="0"/>
          <w:marBottom w:val="0"/>
          <w:divBdr>
            <w:top w:val="none" w:sz="0" w:space="0" w:color="auto"/>
            <w:left w:val="none" w:sz="0" w:space="0" w:color="auto"/>
            <w:bottom w:val="none" w:sz="0" w:space="0" w:color="auto"/>
            <w:right w:val="none" w:sz="0" w:space="0" w:color="auto"/>
          </w:divBdr>
        </w:div>
        <w:div w:id="1923174745">
          <w:marLeft w:val="0"/>
          <w:marRight w:val="0"/>
          <w:marTop w:val="0"/>
          <w:marBottom w:val="0"/>
          <w:divBdr>
            <w:top w:val="none" w:sz="0" w:space="0" w:color="auto"/>
            <w:left w:val="none" w:sz="0" w:space="0" w:color="auto"/>
            <w:bottom w:val="none" w:sz="0" w:space="0" w:color="auto"/>
            <w:right w:val="none" w:sz="0" w:space="0" w:color="auto"/>
          </w:divBdr>
        </w:div>
        <w:div w:id="1941177543">
          <w:marLeft w:val="0"/>
          <w:marRight w:val="0"/>
          <w:marTop w:val="0"/>
          <w:marBottom w:val="0"/>
          <w:divBdr>
            <w:top w:val="none" w:sz="0" w:space="0" w:color="auto"/>
            <w:left w:val="none" w:sz="0" w:space="0" w:color="auto"/>
            <w:bottom w:val="none" w:sz="0" w:space="0" w:color="auto"/>
            <w:right w:val="none" w:sz="0" w:space="0" w:color="auto"/>
          </w:divBdr>
        </w:div>
        <w:div w:id="2048598017">
          <w:marLeft w:val="0"/>
          <w:marRight w:val="0"/>
          <w:marTop w:val="0"/>
          <w:marBottom w:val="0"/>
          <w:divBdr>
            <w:top w:val="none" w:sz="0" w:space="0" w:color="auto"/>
            <w:left w:val="none" w:sz="0" w:space="0" w:color="auto"/>
            <w:bottom w:val="none" w:sz="0" w:space="0" w:color="auto"/>
            <w:right w:val="none" w:sz="0" w:space="0" w:color="auto"/>
          </w:divBdr>
        </w:div>
        <w:div w:id="2135978165">
          <w:marLeft w:val="0"/>
          <w:marRight w:val="0"/>
          <w:marTop w:val="0"/>
          <w:marBottom w:val="0"/>
          <w:divBdr>
            <w:top w:val="none" w:sz="0" w:space="0" w:color="auto"/>
            <w:left w:val="none" w:sz="0" w:space="0" w:color="auto"/>
            <w:bottom w:val="none" w:sz="0" w:space="0" w:color="auto"/>
            <w:right w:val="none" w:sz="0" w:space="0" w:color="auto"/>
          </w:divBdr>
        </w:div>
      </w:divsChild>
    </w:div>
    <w:div w:id="914700856">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sChild>
        <w:div w:id="90853826">
          <w:marLeft w:val="0"/>
          <w:marRight w:val="0"/>
          <w:marTop w:val="0"/>
          <w:marBottom w:val="0"/>
          <w:divBdr>
            <w:top w:val="none" w:sz="0" w:space="0" w:color="auto"/>
            <w:left w:val="none" w:sz="0" w:space="0" w:color="auto"/>
            <w:bottom w:val="none" w:sz="0" w:space="0" w:color="auto"/>
            <w:right w:val="none" w:sz="0" w:space="0" w:color="auto"/>
          </w:divBdr>
        </w:div>
        <w:div w:id="206188353">
          <w:marLeft w:val="0"/>
          <w:marRight w:val="0"/>
          <w:marTop w:val="0"/>
          <w:marBottom w:val="0"/>
          <w:divBdr>
            <w:top w:val="none" w:sz="0" w:space="0" w:color="auto"/>
            <w:left w:val="none" w:sz="0" w:space="0" w:color="auto"/>
            <w:bottom w:val="none" w:sz="0" w:space="0" w:color="auto"/>
            <w:right w:val="none" w:sz="0" w:space="0" w:color="auto"/>
          </w:divBdr>
        </w:div>
        <w:div w:id="232014478">
          <w:marLeft w:val="0"/>
          <w:marRight w:val="0"/>
          <w:marTop w:val="0"/>
          <w:marBottom w:val="0"/>
          <w:divBdr>
            <w:top w:val="none" w:sz="0" w:space="0" w:color="auto"/>
            <w:left w:val="none" w:sz="0" w:space="0" w:color="auto"/>
            <w:bottom w:val="none" w:sz="0" w:space="0" w:color="auto"/>
            <w:right w:val="none" w:sz="0" w:space="0" w:color="auto"/>
          </w:divBdr>
        </w:div>
        <w:div w:id="293601444">
          <w:marLeft w:val="0"/>
          <w:marRight w:val="0"/>
          <w:marTop w:val="0"/>
          <w:marBottom w:val="0"/>
          <w:divBdr>
            <w:top w:val="none" w:sz="0" w:space="0" w:color="auto"/>
            <w:left w:val="none" w:sz="0" w:space="0" w:color="auto"/>
            <w:bottom w:val="none" w:sz="0" w:space="0" w:color="auto"/>
            <w:right w:val="none" w:sz="0" w:space="0" w:color="auto"/>
          </w:divBdr>
        </w:div>
        <w:div w:id="327097341">
          <w:marLeft w:val="0"/>
          <w:marRight w:val="0"/>
          <w:marTop w:val="0"/>
          <w:marBottom w:val="0"/>
          <w:divBdr>
            <w:top w:val="none" w:sz="0" w:space="0" w:color="auto"/>
            <w:left w:val="none" w:sz="0" w:space="0" w:color="auto"/>
            <w:bottom w:val="none" w:sz="0" w:space="0" w:color="auto"/>
            <w:right w:val="none" w:sz="0" w:space="0" w:color="auto"/>
          </w:divBdr>
        </w:div>
        <w:div w:id="515311792">
          <w:marLeft w:val="0"/>
          <w:marRight w:val="0"/>
          <w:marTop w:val="0"/>
          <w:marBottom w:val="0"/>
          <w:divBdr>
            <w:top w:val="none" w:sz="0" w:space="0" w:color="auto"/>
            <w:left w:val="none" w:sz="0" w:space="0" w:color="auto"/>
            <w:bottom w:val="none" w:sz="0" w:space="0" w:color="auto"/>
            <w:right w:val="none" w:sz="0" w:space="0" w:color="auto"/>
          </w:divBdr>
        </w:div>
        <w:div w:id="766191329">
          <w:marLeft w:val="0"/>
          <w:marRight w:val="0"/>
          <w:marTop w:val="0"/>
          <w:marBottom w:val="0"/>
          <w:divBdr>
            <w:top w:val="none" w:sz="0" w:space="0" w:color="auto"/>
            <w:left w:val="none" w:sz="0" w:space="0" w:color="auto"/>
            <w:bottom w:val="none" w:sz="0" w:space="0" w:color="auto"/>
            <w:right w:val="none" w:sz="0" w:space="0" w:color="auto"/>
          </w:divBdr>
        </w:div>
        <w:div w:id="833302206">
          <w:marLeft w:val="0"/>
          <w:marRight w:val="0"/>
          <w:marTop w:val="0"/>
          <w:marBottom w:val="0"/>
          <w:divBdr>
            <w:top w:val="none" w:sz="0" w:space="0" w:color="auto"/>
            <w:left w:val="none" w:sz="0" w:space="0" w:color="auto"/>
            <w:bottom w:val="none" w:sz="0" w:space="0" w:color="auto"/>
            <w:right w:val="none" w:sz="0" w:space="0" w:color="auto"/>
          </w:divBdr>
        </w:div>
        <w:div w:id="872111515">
          <w:marLeft w:val="0"/>
          <w:marRight w:val="0"/>
          <w:marTop w:val="0"/>
          <w:marBottom w:val="0"/>
          <w:divBdr>
            <w:top w:val="none" w:sz="0" w:space="0" w:color="auto"/>
            <w:left w:val="none" w:sz="0" w:space="0" w:color="auto"/>
            <w:bottom w:val="none" w:sz="0" w:space="0" w:color="auto"/>
            <w:right w:val="none" w:sz="0" w:space="0" w:color="auto"/>
          </w:divBdr>
        </w:div>
        <w:div w:id="894588251">
          <w:marLeft w:val="0"/>
          <w:marRight w:val="0"/>
          <w:marTop w:val="0"/>
          <w:marBottom w:val="0"/>
          <w:divBdr>
            <w:top w:val="none" w:sz="0" w:space="0" w:color="auto"/>
            <w:left w:val="none" w:sz="0" w:space="0" w:color="auto"/>
            <w:bottom w:val="none" w:sz="0" w:space="0" w:color="auto"/>
            <w:right w:val="none" w:sz="0" w:space="0" w:color="auto"/>
          </w:divBdr>
        </w:div>
        <w:div w:id="963774340">
          <w:marLeft w:val="0"/>
          <w:marRight w:val="0"/>
          <w:marTop w:val="0"/>
          <w:marBottom w:val="0"/>
          <w:divBdr>
            <w:top w:val="none" w:sz="0" w:space="0" w:color="auto"/>
            <w:left w:val="none" w:sz="0" w:space="0" w:color="auto"/>
            <w:bottom w:val="none" w:sz="0" w:space="0" w:color="auto"/>
            <w:right w:val="none" w:sz="0" w:space="0" w:color="auto"/>
          </w:divBdr>
        </w:div>
        <w:div w:id="1161189846">
          <w:marLeft w:val="0"/>
          <w:marRight w:val="0"/>
          <w:marTop w:val="0"/>
          <w:marBottom w:val="0"/>
          <w:divBdr>
            <w:top w:val="none" w:sz="0" w:space="0" w:color="auto"/>
            <w:left w:val="none" w:sz="0" w:space="0" w:color="auto"/>
            <w:bottom w:val="none" w:sz="0" w:space="0" w:color="auto"/>
            <w:right w:val="none" w:sz="0" w:space="0" w:color="auto"/>
          </w:divBdr>
        </w:div>
        <w:div w:id="1314336664">
          <w:marLeft w:val="0"/>
          <w:marRight w:val="0"/>
          <w:marTop w:val="0"/>
          <w:marBottom w:val="0"/>
          <w:divBdr>
            <w:top w:val="none" w:sz="0" w:space="0" w:color="auto"/>
            <w:left w:val="none" w:sz="0" w:space="0" w:color="auto"/>
            <w:bottom w:val="none" w:sz="0" w:space="0" w:color="auto"/>
            <w:right w:val="none" w:sz="0" w:space="0" w:color="auto"/>
          </w:divBdr>
        </w:div>
        <w:div w:id="1371681959">
          <w:marLeft w:val="0"/>
          <w:marRight w:val="0"/>
          <w:marTop w:val="0"/>
          <w:marBottom w:val="0"/>
          <w:divBdr>
            <w:top w:val="none" w:sz="0" w:space="0" w:color="auto"/>
            <w:left w:val="none" w:sz="0" w:space="0" w:color="auto"/>
            <w:bottom w:val="none" w:sz="0" w:space="0" w:color="auto"/>
            <w:right w:val="none" w:sz="0" w:space="0" w:color="auto"/>
          </w:divBdr>
        </w:div>
        <w:div w:id="1411923066">
          <w:marLeft w:val="0"/>
          <w:marRight w:val="0"/>
          <w:marTop w:val="0"/>
          <w:marBottom w:val="0"/>
          <w:divBdr>
            <w:top w:val="none" w:sz="0" w:space="0" w:color="auto"/>
            <w:left w:val="none" w:sz="0" w:space="0" w:color="auto"/>
            <w:bottom w:val="none" w:sz="0" w:space="0" w:color="auto"/>
            <w:right w:val="none" w:sz="0" w:space="0" w:color="auto"/>
          </w:divBdr>
        </w:div>
        <w:div w:id="1424646365">
          <w:marLeft w:val="0"/>
          <w:marRight w:val="0"/>
          <w:marTop w:val="0"/>
          <w:marBottom w:val="0"/>
          <w:divBdr>
            <w:top w:val="none" w:sz="0" w:space="0" w:color="auto"/>
            <w:left w:val="none" w:sz="0" w:space="0" w:color="auto"/>
            <w:bottom w:val="none" w:sz="0" w:space="0" w:color="auto"/>
            <w:right w:val="none" w:sz="0" w:space="0" w:color="auto"/>
          </w:divBdr>
        </w:div>
        <w:div w:id="1516653211">
          <w:marLeft w:val="0"/>
          <w:marRight w:val="0"/>
          <w:marTop w:val="0"/>
          <w:marBottom w:val="0"/>
          <w:divBdr>
            <w:top w:val="none" w:sz="0" w:space="0" w:color="auto"/>
            <w:left w:val="none" w:sz="0" w:space="0" w:color="auto"/>
            <w:bottom w:val="none" w:sz="0" w:space="0" w:color="auto"/>
            <w:right w:val="none" w:sz="0" w:space="0" w:color="auto"/>
          </w:divBdr>
        </w:div>
        <w:div w:id="1561596045">
          <w:marLeft w:val="0"/>
          <w:marRight w:val="0"/>
          <w:marTop w:val="0"/>
          <w:marBottom w:val="0"/>
          <w:divBdr>
            <w:top w:val="none" w:sz="0" w:space="0" w:color="auto"/>
            <w:left w:val="none" w:sz="0" w:space="0" w:color="auto"/>
            <w:bottom w:val="none" w:sz="0" w:space="0" w:color="auto"/>
            <w:right w:val="none" w:sz="0" w:space="0" w:color="auto"/>
          </w:divBdr>
        </w:div>
        <w:div w:id="1927766651">
          <w:marLeft w:val="0"/>
          <w:marRight w:val="0"/>
          <w:marTop w:val="0"/>
          <w:marBottom w:val="0"/>
          <w:divBdr>
            <w:top w:val="none" w:sz="0" w:space="0" w:color="auto"/>
            <w:left w:val="none" w:sz="0" w:space="0" w:color="auto"/>
            <w:bottom w:val="none" w:sz="0" w:space="0" w:color="auto"/>
            <w:right w:val="none" w:sz="0" w:space="0" w:color="auto"/>
          </w:divBdr>
        </w:div>
        <w:div w:id="2078358673">
          <w:marLeft w:val="0"/>
          <w:marRight w:val="0"/>
          <w:marTop w:val="0"/>
          <w:marBottom w:val="0"/>
          <w:divBdr>
            <w:top w:val="none" w:sz="0" w:space="0" w:color="auto"/>
            <w:left w:val="none" w:sz="0" w:space="0" w:color="auto"/>
            <w:bottom w:val="none" w:sz="0" w:space="0" w:color="auto"/>
            <w:right w:val="none" w:sz="0" w:space="0" w:color="auto"/>
          </w:divBdr>
        </w:div>
        <w:div w:id="2092047942">
          <w:marLeft w:val="0"/>
          <w:marRight w:val="0"/>
          <w:marTop w:val="0"/>
          <w:marBottom w:val="0"/>
          <w:divBdr>
            <w:top w:val="none" w:sz="0" w:space="0" w:color="auto"/>
            <w:left w:val="none" w:sz="0" w:space="0" w:color="auto"/>
            <w:bottom w:val="none" w:sz="0" w:space="0" w:color="auto"/>
            <w:right w:val="none" w:sz="0" w:space="0" w:color="auto"/>
          </w:divBdr>
        </w:div>
        <w:div w:id="2136828402">
          <w:marLeft w:val="0"/>
          <w:marRight w:val="0"/>
          <w:marTop w:val="0"/>
          <w:marBottom w:val="0"/>
          <w:divBdr>
            <w:top w:val="none" w:sz="0" w:space="0" w:color="auto"/>
            <w:left w:val="none" w:sz="0" w:space="0" w:color="auto"/>
            <w:bottom w:val="none" w:sz="0" w:space="0" w:color="auto"/>
            <w:right w:val="none" w:sz="0" w:space="0" w:color="auto"/>
          </w:divBdr>
        </w:div>
      </w:divsChild>
    </w:div>
    <w:div w:id="1348749271">
      <w:bodyDiv w:val="1"/>
      <w:marLeft w:val="0"/>
      <w:marRight w:val="0"/>
      <w:marTop w:val="0"/>
      <w:marBottom w:val="0"/>
      <w:divBdr>
        <w:top w:val="none" w:sz="0" w:space="0" w:color="auto"/>
        <w:left w:val="none" w:sz="0" w:space="0" w:color="auto"/>
        <w:bottom w:val="none" w:sz="0" w:space="0" w:color="auto"/>
        <w:right w:val="none" w:sz="0" w:space="0" w:color="auto"/>
      </w:divBdr>
      <w:divsChild>
        <w:div w:id="466048566">
          <w:marLeft w:val="0"/>
          <w:marRight w:val="0"/>
          <w:marTop w:val="0"/>
          <w:marBottom w:val="0"/>
          <w:divBdr>
            <w:top w:val="none" w:sz="0" w:space="0" w:color="auto"/>
            <w:left w:val="none" w:sz="0" w:space="0" w:color="auto"/>
            <w:bottom w:val="none" w:sz="0" w:space="0" w:color="auto"/>
            <w:right w:val="none" w:sz="0" w:space="0" w:color="auto"/>
          </w:divBdr>
        </w:div>
        <w:div w:id="479738465">
          <w:marLeft w:val="0"/>
          <w:marRight w:val="0"/>
          <w:marTop w:val="0"/>
          <w:marBottom w:val="0"/>
          <w:divBdr>
            <w:top w:val="none" w:sz="0" w:space="0" w:color="auto"/>
            <w:left w:val="none" w:sz="0" w:space="0" w:color="auto"/>
            <w:bottom w:val="none" w:sz="0" w:space="0" w:color="auto"/>
            <w:right w:val="none" w:sz="0" w:space="0" w:color="auto"/>
          </w:divBdr>
        </w:div>
        <w:div w:id="485896785">
          <w:marLeft w:val="0"/>
          <w:marRight w:val="0"/>
          <w:marTop w:val="0"/>
          <w:marBottom w:val="0"/>
          <w:divBdr>
            <w:top w:val="none" w:sz="0" w:space="0" w:color="auto"/>
            <w:left w:val="none" w:sz="0" w:space="0" w:color="auto"/>
            <w:bottom w:val="none" w:sz="0" w:space="0" w:color="auto"/>
            <w:right w:val="none" w:sz="0" w:space="0" w:color="auto"/>
          </w:divBdr>
        </w:div>
        <w:div w:id="848639022">
          <w:marLeft w:val="0"/>
          <w:marRight w:val="0"/>
          <w:marTop w:val="0"/>
          <w:marBottom w:val="0"/>
          <w:divBdr>
            <w:top w:val="none" w:sz="0" w:space="0" w:color="auto"/>
            <w:left w:val="none" w:sz="0" w:space="0" w:color="auto"/>
            <w:bottom w:val="none" w:sz="0" w:space="0" w:color="auto"/>
            <w:right w:val="none" w:sz="0" w:space="0" w:color="auto"/>
          </w:divBdr>
        </w:div>
        <w:div w:id="893737039">
          <w:marLeft w:val="0"/>
          <w:marRight w:val="0"/>
          <w:marTop w:val="0"/>
          <w:marBottom w:val="0"/>
          <w:divBdr>
            <w:top w:val="none" w:sz="0" w:space="0" w:color="auto"/>
            <w:left w:val="none" w:sz="0" w:space="0" w:color="auto"/>
            <w:bottom w:val="none" w:sz="0" w:space="0" w:color="auto"/>
            <w:right w:val="none" w:sz="0" w:space="0" w:color="auto"/>
          </w:divBdr>
        </w:div>
        <w:div w:id="959453073">
          <w:marLeft w:val="0"/>
          <w:marRight w:val="0"/>
          <w:marTop w:val="0"/>
          <w:marBottom w:val="0"/>
          <w:divBdr>
            <w:top w:val="none" w:sz="0" w:space="0" w:color="auto"/>
            <w:left w:val="none" w:sz="0" w:space="0" w:color="auto"/>
            <w:bottom w:val="none" w:sz="0" w:space="0" w:color="auto"/>
            <w:right w:val="none" w:sz="0" w:space="0" w:color="auto"/>
          </w:divBdr>
        </w:div>
        <w:div w:id="1103189202">
          <w:marLeft w:val="0"/>
          <w:marRight w:val="0"/>
          <w:marTop w:val="0"/>
          <w:marBottom w:val="0"/>
          <w:divBdr>
            <w:top w:val="none" w:sz="0" w:space="0" w:color="auto"/>
            <w:left w:val="none" w:sz="0" w:space="0" w:color="auto"/>
            <w:bottom w:val="none" w:sz="0" w:space="0" w:color="auto"/>
            <w:right w:val="none" w:sz="0" w:space="0" w:color="auto"/>
          </w:divBdr>
        </w:div>
        <w:div w:id="1111782300">
          <w:marLeft w:val="0"/>
          <w:marRight w:val="0"/>
          <w:marTop w:val="0"/>
          <w:marBottom w:val="0"/>
          <w:divBdr>
            <w:top w:val="none" w:sz="0" w:space="0" w:color="auto"/>
            <w:left w:val="none" w:sz="0" w:space="0" w:color="auto"/>
            <w:bottom w:val="none" w:sz="0" w:space="0" w:color="auto"/>
            <w:right w:val="none" w:sz="0" w:space="0" w:color="auto"/>
          </w:divBdr>
        </w:div>
        <w:div w:id="1217357860">
          <w:marLeft w:val="0"/>
          <w:marRight w:val="0"/>
          <w:marTop w:val="0"/>
          <w:marBottom w:val="0"/>
          <w:divBdr>
            <w:top w:val="none" w:sz="0" w:space="0" w:color="auto"/>
            <w:left w:val="none" w:sz="0" w:space="0" w:color="auto"/>
            <w:bottom w:val="none" w:sz="0" w:space="0" w:color="auto"/>
            <w:right w:val="none" w:sz="0" w:space="0" w:color="auto"/>
          </w:divBdr>
        </w:div>
        <w:div w:id="1394621030">
          <w:marLeft w:val="0"/>
          <w:marRight w:val="0"/>
          <w:marTop w:val="0"/>
          <w:marBottom w:val="0"/>
          <w:divBdr>
            <w:top w:val="none" w:sz="0" w:space="0" w:color="auto"/>
            <w:left w:val="none" w:sz="0" w:space="0" w:color="auto"/>
            <w:bottom w:val="none" w:sz="0" w:space="0" w:color="auto"/>
            <w:right w:val="none" w:sz="0" w:space="0" w:color="auto"/>
          </w:divBdr>
        </w:div>
        <w:div w:id="1464736238">
          <w:marLeft w:val="0"/>
          <w:marRight w:val="0"/>
          <w:marTop w:val="0"/>
          <w:marBottom w:val="0"/>
          <w:divBdr>
            <w:top w:val="none" w:sz="0" w:space="0" w:color="auto"/>
            <w:left w:val="none" w:sz="0" w:space="0" w:color="auto"/>
            <w:bottom w:val="none" w:sz="0" w:space="0" w:color="auto"/>
            <w:right w:val="none" w:sz="0" w:space="0" w:color="auto"/>
          </w:divBdr>
        </w:div>
        <w:div w:id="1473476104">
          <w:marLeft w:val="0"/>
          <w:marRight w:val="0"/>
          <w:marTop w:val="0"/>
          <w:marBottom w:val="0"/>
          <w:divBdr>
            <w:top w:val="none" w:sz="0" w:space="0" w:color="auto"/>
            <w:left w:val="none" w:sz="0" w:space="0" w:color="auto"/>
            <w:bottom w:val="none" w:sz="0" w:space="0" w:color="auto"/>
            <w:right w:val="none" w:sz="0" w:space="0" w:color="auto"/>
          </w:divBdr>
        </w:div>
        <w:div w:id="1594243205">
          <w:marLeft w:val="0"/>
          <w:marRight w:val="0"/>
          <w:marTop w:val="0"/>
          <w:marBottom w:val="0"/>
          <w:divBdr>
            <w:top w:val="none" w:sz="0" w:space="0" w:color="auto"/>
            <w:left w:val="none" w:sz="0" w:space="0" w:color="auto"/>
            <w:bottom w:val="none" w:sz="0" w:space="0" w:color="auto"/>
            <w:right w:val="none" w:sz="0" w:space="0" w:color="auto"/>
          </w:divBdr>
        </w:div>
        <w:div w:id="1673484417">
          <w:marLeft w:val="0"/>
          <w:marRight w:val="0"/>
          <w:marTop w:val="0"/>
          <w:marBottom w:val="0"/>
          <w:divBdr>
            <w:top w:val="none" w:sz="0" w:space="0" w:color="auto"/>
            <w:left w:val="none" w:sz="0" w:space="0" w:color="auto"/>
            <w:bottom w:val="none" w:sz="0" w:space="0" w:color="auto"/>
            <w:right w:val="none" w:sz="0" w:space="0" w:color="auto"/>
          </w:divBdr>
        </w:div>
        <w:div w:id="1691835956">
          <w:marLeft w:val="0"/>
          <w:marRight w:val="0"/>
          <w:marTop w:val="0"/>
          <w:marBottom w:val="0"/>
          <w:divBdr>
            <w:top w:val="none" w:sz="0" w:space="0" w:color="auto"/>
            <w:left w:val="none" w:sz="0" w:space="0" w:color="auto"/>
            <w:bottom w:val="none" w:sz="0" w:space="0" w:color="auto"/>
            <w:right w:val="none" w:sz="0" w:space="0" w:color="auto"/>
          </w:divBdr>
        </w:div>
        <w:div w:id="1732078328">
          <w:marLeft w:val="0"/>
          <w:marRight w:val="0"/>
          <w:marTop w:val="0"/>
          <w:marBottom w:val="0"/>
          <w:divBdr>
            <w:top w:val="none" w:sz="0" w:space="0" w:color="auto"/>
            <w:left w:val="none" w:sz="0" w:space="0" w:color="auto"/>
            <w:bottom w:val="none" w:sz="0" w:space="0" w:color="auto"/>
            <w:right w:val="none" w:sz="0" w:space="0" w:color="auto"/>
          </w:divBdr>
        </w:div>
        <w:div w:id="1733889877">
          <w:marLeft w:val="0"/>
          <w:marRight w:val="0"/>
          <w:marTop w:val="0"/>
          <w:marBottom w:val="0"/>
          <w:divBdr>
            <w:top w:val="none" w:sz="0" w:space="0" w:color="auto"/>
            <w:left w:val="none" w:sz="0" w:space="0" w:color="auto"/>
            <w:bottom w:val="none" w:sz="0" w:space="0" w:color="auto"/>
            <w:right w:val="none" w:sz="0" w:space="0" w:color="auto"/>
          </w:divBdr>
        </w:div>
        <w:div w:id="1845195819">
          <w:marLeft w:val="0"/>
          <w:marRight w:val="0"/>
          <w:marTop w:val="0"/>
          <w:marBottom w:val="0"/>
          <w:divBdr>
            <w:top w:val="none" w:sz="0" w:space="0" w:color="auto"/>
            <w:left w:val="none" w:sz="0" w:space="0" w:color="auto"/>
            <w:bottom w:val="none" w:sz="0" w:space="0" w:color="auto"/>
            <w:right w:val="none" w:sz="0" w:space="0" w:color="auto"/>
          </w:divBdr>
        </w:div>
        <w:div w:id="1966740944">
          <w:marLeft w:val="0"/>
          <w:marRight w:val="0"/>
          <w:marTop w:val="0"/>
          <w:marBottom w:val="0"/>
          <w:divBdr>
            <w:top w:val="none" w:sz="0" w:space="0" w:color="auto"/>
            <w:left w:val="none" w:sz="0" w:space="0" w:color="auto"/>
            <w:bottom w:val="none" w:sz="0" w:space="0" w:color="auto"/>
            <w:right w:val="none" w:sz="0" w:space="0" w:color="auto"/>
          </w:divBdr>
        </w:div>
        <w:div w:id="2140567516">
          <w:marLeft w:val="0"/>
          <w:marRight w:val="0"/>
          <w:marTop w:val="0"/>
          <w:marBottom w:val="0"/>
          <w:divBdr>
            <w:top w:val="none" w:sz="0" w:space="0" w:color="auto"/>
            <w:left w:val="none" w:sz="0" w:space="0" w:color="auto"/>
            <w:bottom w:val="none" w:sz="0" w:space="0" w:color="auto"/>
            <w:right w:val="none" w:sz="0" w:space="0" w:color="auto"/>
          </w:divBdr>
        </w:div>
      </w:divsChild>
    </w:div>
    <w:div w:id="1826119484">
      <w:bodyDiv w:val="1"/>
      <w:marLeft w:val="0"/>
      <w:marRight w:val="0"/>
      <w:marTop w:val="0"/>
      <w:marBottom w:val="0"/>
      <w:divBdr>
        <w:top w:val="none" w:sz="0" w:space="0" w:color="auto"/>
        <w:left w:val="none" w:sz="0" w:space="0" w:color="auto"/>
        <w:bottom w:val="none" w:sz="0" w:space="0" w:color="auto"/>
        <w:right w:val="none" w:sz="0" w:space="0" w:color="auto"/>
      </w:divBdr>
    </w:div>
    <w:div w:id="1961760600">
      <w:bodyDiv w:val="1"/>
      <w:marLeft w:val="0"/>
      <w:marRight w:val="0"/>
      <w:marTop w:val="0"/>
      <w:marBottom w:val="0"/>
      <w:divBdr>
        <w:top w:val="none" w:sz="0" w:space="0" w:color="auto"/>
        <w:left w:val="none" w:sz="0" w:space="0" w:color="auto"/>
        <w:bottom w:val="none" w:sz="0" w:space="0" w:color="auto"/>
        <w:right w:val="none" w:sz="0" w:space="0" w:color="auto"/>
      </w:divBdr>
    </w:div>
    <w:div w:id="19796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ppData\Local\Temp\Template-NF-no3-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Арс97</b:Tag>
    <b:SourceType>Book</b:SourceType>
    <b:Guid>{108947DE-F143-406E-8D58-17DAC859B7BB}</b:Guid>
    <b:LCID>mk-MK</b:LCID>
    <b:Author>
      <b:Author>
        <b:NameList>
          <b:Person>
            <b:Last>Арсовски</b:Last>
            <b:First>М.</b:First>
          </b:Person>
        </b:NameList>
      </b:Author>
    </b:Author>
    <b:Title>Тектоника на Македонија</b:Title>
    <b:Year>1997</b:Year>
    <b:City>Штип</b:City>
    <b:Publisher>Универзитет „Св. Кирил и Методиј“ - Скопје, Рударско-геолошки факултет - Штип</b:Publisher>
    <b:RefOrder>1</b:RefOrder>
  </b:Source>
  <b:Source>
    <b:Tag>Јор98</b:Tag>
    <b:SourceType>Book</b:SourceType>
    <b:Guid>{B1AAA48A-2BD7-49C9-8BDA-AAAF65330567}</b:Guid>
    <b:Author>
      <b:Author>
        <b:NameList>
          <b:Person>
            <b:Last>Јордановски</b:Last>
            <b:First>Љ.,</b:First>
            <b:Middle>Пекевски, Л., Чејковска, В., Черних, Д., Христовски, Б. и Н. Василевски</b:Middle>
          </b:Person>
        </b:NameList>
      </b:Author>
    </b:Author>
    <b:Title>Основни карактеристики на сеизмичноста на територијата на Република Македонија</b:Title>
    <b:Year>1998</b:Year>
    <b:City>Скопје</b:City>
    <b:Publisher>Универзитет „Св. Кирил и Методиј“, Природно-математички факултет, Сеизмолошка опсерваторија. (292 стр. со карти и табели; ISBN 9989-631-01-8.)</b:Publisher>
    <b:RefOrder>2</b:RefOrder>
  </b:Source>
  <b:Source>
    <b:Tag>SOR12</b:Tag>
    <b:SourceType>Book</b:SourceType>
    <b:Guid>{60CA23FD-D13A-478A-BB84-7885A7DB5C0D}</b:Guid>
    <b:LCID>mk-MK</b:LCID>
    <b:Author>
      <b:Author>
        <b:NameList>
          <b:Person>
            <b:Last>Сеизмолошка опсерваторија при Природно-математички факултет</b:Last>
            <b:First>SORM</b:First>
          </b:Person>
        </b:NameList>
      </b:Author>
    </b:Author>
    <b:Title>Каталози на земјотресите во Република Македонија и пограничните подрачја за годините 1991–2012</b:Title>
    <b:Year>1991-2012</b:Year>
    <b:City>Скопје</b:City>
    <b:Publisher>Фонд на Сеизмолошката опсерваторија при Природно-математичкиот факултет–Скопје</b:Publisher>
    <b:RefOrder>3</b:RefOrder>
  </b:Source>
</b:Sources>
</file>

<file path=customXml/itemProps1.xml><?xml version="1.0" encoding="utf-8"?>
<ds:datastoreItem xmlns:ds="http://schemas.openxmlformats.org/officeDocument/2006/customXml" ds:itemID="{4B4B3747-592F-44B4-9277-407A029A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Template-NF-no3-new.dotx</Template>
  <TotalTime>88</TotalTime>
  <Pages>5</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Title Goes Here</vt:lpstr>
    </vt:vector>
  </TitlesOfParts>
  <Company>home</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Autor1</dc:creator>
  <cp:lastModifiedBy>ljubco jovanov</cp:lastModifiedBy>
  <cp:revision>21</cp:revision>
  <cp:lastPrinted>2014-02-14T09:34:00Z</cp:lastPrinted>
  <dcterms:created xsi:type="dcterms:W3CDTF">2022-02-14T12:32:00Z</dcterms:created>
  <dcterms:modified xsi:type="dcterms:W3CDTF">2022-05-30T20:05:00Z</dcterms:modified>
</cp:coreProperties>
</file>