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86CB0" w14:textId="59FF05F0" w:rsidR="001054D9" w:rsidRPr="004105F6" w:rsidRDefault="001054D9" w:rsidP="0054342E">
      <w:pPr>
        <w:pStyle w:val="Title1"/>
      </w:pPr>
      <w:r>
        <w:t>Challenges for Western Balkan Countries Regional Integration</w:t>
      </w:r>
      <w:r w:rsidR="00300D0B">
        <w:t xml:space="preserve"> – The case of North Macedonia</w:t>
      </w:r>
    </w:p>
    <w:p w14:paraId="53FE9C24" w14:textId="77777777" w:rsidR="001054D9" w:rsidRDefault="001054D9" w:rsidP="001054D9">
      <w:pPr>
        <w:spacing w:line="360" w:lineRule="auto"/>
        <w:rPr>
          <w:sz w:val="28"/>
          <w:szCs w:val="26"/>
          <w:lang w:val="en-GB"/>
        </w:rPr>
      </w:pPr>
    </w:p>
    <w:p w14:paraId="7935B7E8" w14:textId="6CB5D680" w:rsidR="00446074" w:rsidRPr="00446074" w:rsidRDefault="001054D9" w:rsidP="001917F0">
      <w:pPr>
        <w:jc w:val="center"/>
        <w:rPr>
          <w:b/>
          <w:bCs/>
          <w:szCs w:val="26"/>
          <w:lang w:val="en-GB"/>
        </w:rPr>
      </w:pPr>
      <w:r w:rsidRPr="00446074">
        <w:rPr>
          <w:b/>
          <w:bCs/>
          <w:szCs w:val="26"/>
          <w:lang w:val="en-GB"/>
        </w:rPr>
        <w:t xml:space="preserve">Katerina </w:t>
      </w:r>
      <w:proofErr w:type="spellStart"/>
      <w:r w:rsidRPr="00446074">
        <w:rPr>
          <w:b/>
          <w:bCs/>
          <w:szCs w:val="26"/>
          <w:lang w:val="en-GB"/>
        </w:rPr>
        <w:t>Toshevska-Trpc</w:t>
      </w:r>
      <w:proofErr w:type="spellEnd"/>
      <w:r w:rsidR="004F306A">
        <w:rPr>
          <w:b/>
          <w:bCs/>
          <w:szCs w:val="26"/>
          <w:lang w:val="en-US"/>
        </w:rPr>
        <w:t>h</w:t>
      </w:r>
      <w:proofErr w:type="spellStart"/>
      <w:r w:rsidRPr="00446074">
        <w:rPr>
          <w:b/>
          <w:bCs/>
          <w:szCs w:val="26"/>
          <w:lang w:val="en-GB"/>
        </w:rPr>
        <w:t>evska</w:t>
      </w:r>
      <w:proofErr w:type="spellEnd"/>
      <w:r w:rsidR="0041308A">
        <w:rPr>
          <w:b/>
          <w:bCs/>
          <w:szCs w:val="26"/>
          <w:lang w:val="en-GB"/>
        </w:rPr>
        <w:t>, PhD</w:t>
      </w:r>
    </w:p>
    <w:p w14:paraId="5AA8EA12" w14:textId="77777777" w:rsidR="00446074" w:rsidRPr="00446074" w:rsidRDefault="00446074" w:rsidP="001917F0">
      <w:pPr>
        <w:pStyle w:val="FootnoteText"/>
        <w:ind w:left="2880" w:hanging="2880"/>
        <w:rPr>
          <w:rFonts w:ascii="Times New Roman" w:hAnsi="Times New Roman" w:cs="Times New Roman"/>
          <w:sz w:val="24"/>
          <w:szCs w:val="24"/>
          <w:lang w:val="tr-TR"/>
        </w:rPr>
      </w:pPr>
      <w:r w:rsidRPr="00446074">
        <w:rPr>
          <w:rFonts w:ascii="Times New Roman" w:hAnsi="Times New Roman" w:cs="Times New Roman"/>
          <w:sz w:val="24"/>
          <w:szCs w:val="24"/>
        </w:rPr>
        <w:t xml:space="preserve">Associate Professor, </w:t>
      </w:r>
      <w:r w:rsidRPr="00446074">
        <w:rPr>
          <w:rFonts w:ascii="Times New Roman" w:hAnsi="Times New Roman" w:cs="Times New Roman"/>
          <w:sz w:val="24"/>
          <w:szCs w:val="24"/>
          <w:lang w:val="en-GB"/>
        </w:rPr>
        <w:t>Ss. Cyril and Methodius University in Skopje, Faculty of Economics-Skopje, katerina@eccf.ukim.edu.mk</w:t>
      </w:r>
    </w:p>
    <w:p w14:paraId="4ECF2FFE" w14:textId="77777777" w:rsidR="00446074" w:rsidRPr="00446074" w:rsidRDefault="00446074" w:rsidP="001917F0">
      <w:pPr>
        <w:ind w:left="2880"/>
        <w:rPr>
          <w:szCs w:val="24"/>
          <w:lang w:val="en-GB"/>
        </w:rPr>
      </w:pPr>
    </w:p>
    <w:p w14:paraId="734C0BF6" w14:textId="6847C3B4" w:rsidR="00446074" w:rsidRPr="00446074" w:rsidRDefault="001054D9" w:rsidP="001917F0">
      <w:pPr>
        <w:ind w:left="2880"/>
        <w:rPr>
          <w:b/>
          <w:bCs/>
          <w:szCs w:val="26"/>
          <w:lang w:val="en-GB"/>
        </w:rPr>
      </w:pPr>
      <w:r w:rsidRPr="00446074">
        <w:rPr>
          <w:b/>
          <w:bCs/>
          <w:szCs w:val="26"/>
          <w:lang w:val="en-GB"/>
        </w:rPr>
        <w:t xml:space="preserve">Elena </w:t>
      </w:r>
      <w:proofErr w:type="spellStart"/>
      <w:r w:rsidRPr="00446074">
        <w:rPr>
          <w:b/>
          <w:bCs/>
          <w:szCs w:val="26"/>
          <w:lang w:val="en-GB"/>
        </w:rPr>
        <w:t>Makrevska</w:t>
      </w:r>
      <w:proofErr w:type="spellEnd"/>
      <w:r w:rsidRPr="00446074">
        <w:rPr>
          <w:b/>
          <w:bCs/>
          <w:szCs w:val="26"/>
          <w:lang w:val="en-GB"/>
        </w:rPr>
        <w:t xml:space="preserve"> </w:t>
      </w:r>
      <w:proofErr w:type="spellStart"/>
      <w:r w:rsidRPr="00446074">
        <w:rPr>
          <w:b/>
          <w:bCs/>
          <w:szCs w:val="26"/>
          <w:lang w:val="en-GB"/>
        </w:rPr>
        <w:t>Disoska</w:t>
      </w:r>
      <w:proofErr w:type="spellEnd"/>
      <w:r w:rsidR="0041308A">
        <w:rPr>
          <w:b/>
          <w:bCs/>
          <w:szCs w:val="26"/>
          <w:lang w:val="en-GB"/>
        </w:rPr>
        <w:t>, PhD</w:t>
      </w:r>
    </w:p>
    <w:p w14:paraId="39486EB1" w14:textId="2ACB41E9" w:rsidR="00446074" w:rsidRPr="00446074" w:rsidRDefault="00446074" w:rsidP="001917F0">
      <w:pPr>
        <w:ind w:left="2880" w:hanging="2880"/>
        <w:rPr>
          <w:szCs w:val="24"/>
          <w:lang w:val="en-GB"/>
        </w:rPr>
      </w:pPr>
      <w:r w:rsidRPr="00446074">
        <w:rPr>
          <w:szCs w:val="24"/>
        </w:rPr>
        <w:t xml:space="preserve">Associate Professor, </w:t>
      </w:r>
      <w:r w:rsidRPr="00446074">
        <w:rPr>
          <w:szCs w:val="24"/>
          <w:lang w:val="en-GB"/>
        </w:rPr>
        <w:t>Ss. Cyril and Methodius University in Skopje, Faculty of Economics-Skopje</w:t>
      </w:r>
    </w:p>
    <w:p w14:paraId="0E26D687" w14:textId="77777777" w:rsidR="00446074" w:rsidRDefault="00446074" w:rsidP="001917F0">
      <w:pPr>
        <w:ind w:left="2880"/>
        <w:rPr>
          <w:szCs w:val="26"/>
          <w:lang w:val="en-GB"/>
        </w:rPr>
      </w:pPr>
    </w:p>
    <w:p w14:paraId="4C2F18C1" w14:textId="3EB59090" w:rsidR="00446074" w:rsidRPr="00446074" w:rsidRDefault="001054D9" w:rsidP="001917F0">
      <w:pPr>
        <w:ind w:left="2880"/>
        <w:rPr>
          <w:b/>
          <w:bCs/>
          <w:szCs w:val="26"/>
          <w:lang w:val="en-GB"/>
        </w:rPr>
      </w:pPr>
      <w:r w:rsidRPr="00446074">
        <w:rPr>
          <w:b/>
          <w:bCs/>
          <w:szCs w:val="26"/>
          <w:lang w:val="en-GB"/>
        </w:rPr>
        <w:t xml:space="preserve">Irena </w:t>
      </w:r>
      <w:proofErr w:type="spellStart"/>
      <w:r w:rsidRPr="00446074">
        <w:rPr>
          <w:b/>
          <w:bCs/>
          <w:szCs w:val="26"/>
          <w:lang w:val="en-GB"/>
        </w:rPr>
        <w:t>Kikerkova</w:t>
      </w:r>
      <w:proofErr w:type="spellEnd"/>
      <w:r w:rsidR="0041308A">
        <w:rPr>
          <w:b/>
          <w:bCs/>
          <w:szCs w:val="26"/>
          <w:lang w:val="en-GB"/>
        </w:rPr>
        <w:t>, PhD</w:t>
      </w:r>
    </w:p>
    <w:p w14:paraId="25A54E99" w14:textId="47522353" w:rsidR="00446074" w:rsidRDefault="00446074" w:rsidP="001917F0">
      <w:pPr>
        <w:ind w:left="2880" w:hanging="2880"/>
        <w:rPr>
          <w:szCs w:val="24"/>
          <w:lang w:val="en-GB"/>
        </w:rPr>
      </w:pPr>
      <w:r w:rsidRPr="00446074">
        <w:rPr>
          <w:szCs w:val="24"/>
          <w:lang w:val="en-US"/>
        </w:rPr>
        <w:t xml:space="preserve">Full-time Professor, </w:t>
      </w:r>
      <w:r w:rsidRPr="00446074">
        <w:rPr>
          <w:szCs w:val="24"/>
          <w:lang w:val="en-GB"/>
        </w:rPr>
        <w:t>Ss. Cyril and Methodius University in Skopje, Faculty of Economics-Skopje</w:t>
      </w:r>
    </w:p>
    <w:p w14:paraId="352204AA" w14:textId="77777777" w:rsidR="00446074" w:rsidRPr="00446074" w:rsidRDefault="00446074" w:rsidP="001917F0">
      <w:pPr>
        <w:ind w:left="2880" w:hanging="2880"/>
        <w:rPr>
          <w:szCs w:val="24"/>
          <w:lang w:val="en-GB"/>
        </w:rPr>
      </w:pPr>
    </w:p>
    <w:p w14:paraId="69B8E2D3" w14:textId="254F0C70" w:rsidR="001054D9" w:rsidRPr="00446074" w:rsidRDefault="001054D9" w:rsidP="001917F0">
      <w:pPr>
        <w:ind w:left="2880"/>
        <w:rPr>
          <w:b/>
          <w:bCs/>
          <w:szCs w:val="26"/>
          <w:lang w:val="en-GB"/>
        </w:rPr>
      </w:pPr>
      <w:proofErr w:type="spellStart"/>
      <w:r w:rsidRPr="00446074">
        <w:rPr>
          <w:b/>
          <w:bCs/>
          <w:szCs w:val="26"/>
          <w:lang w:val="en-GB"/>
        </w:rPr>
        <w:t>Jasna</w:t>
      </w:r>
      <w:proofErr w:type="spellEnd"/>
      <w:r w:rsidRPr="00446074">
        <w:rPr>
          <w:b/>
          <w:bCs/>
          <w:szCs w:val="26"/>
          <w:lang w:val="en-GB"/>
        </w:rPr>
        <w:t xml:space="preserve"> </w:t>
      </w:r>
      <w:proofErr w:type="spellStart"/>
      <w:r w:rsidRPr="00446074">
        <w:rPr>
          <w:b/>
          <w:bCs/>
          <w:szCs w:val="26"/>
          <w:lang w:val="en-GB"/>
        </w:rPr>
        <w:t>Tonovska</w:t>
      </w:r>
      <w:proofErr w:type="spellEnd"/>
      <w:r w:rsidR="0041308A">
        <w:rPr>
          <w:b/>
          <w:bCs/>
          <w:szCs w:val="26"/>
          <w:lang w:val="en-GB"/>
        </w:rPr>
        <w:t>, MSc</w:t>
      </w:r>
    </w:p>
    <w:p w14:paraId="70792FA2" w14:textId="0B269169" w:rsidR="00446074" w:rsidRPr="00446074" w:rsidRDefault="00446074" w:rsidP="001917F0">
      <w:pPr>
        <w:ind w:left="2880" w:hanging="2880"/>
        <w:rPr>
          <w:b/>
          <w:szCs w:val="24"/>
          <w:lang w:val="en-GB"/>
        </w:rPr>
      </w:pPr>
      <w:r w:rsidRPr="00446074">
        <w:rPr>
          <w:szCs w:val="24"/>
        </w:rPr>
        <w:t xml:space="preserve">Teaching Assistant, </w:t>
      </w:r>
      <w:r w:rsidRPr="00446074">
        <w:rPr>
          <w:szCs w:val="24"/>
          <w:lang w:val="en-GB"/>
        </w:rPr>
        <w:t>Ss. Cyril and Methodius University in Skopje, Faculty of Economics-Skopje</w:t>
      </w:r>
    </w:p>
    <w:p w14:paraId="74E29902" w14:textId="7C789CCD" w:rsidR="001054D9" w:rsidRDefault="001054D9" w:rsidP="001917F0">
      <w:pPr>
        <w:rPr>
          <w:sz w:val="28"/>
          <w:szCs w:val="26"/>
          <w:lang w:val="en-GB"/>
        </w:rPr>
      </w:pPr>
    </w:p>
    <w:p w14:paraId="3A246760" w14:textId="77777777" w:rsidR="001D707B" w:rsidRDefault="001D707B" w:rsidP="001917F0">
      <w:pPr>
        <w:rPr>
          <w:sz w:val="28"/>
          <w:szCs w:val="26"/>
          <w:lang w:val="en-GB"/>
        </w:rPr>
      </w:pPr>
    </w:p>
    <w:p w14:paraId="7794D8F2" w14:textId="77777777" w:rsidR="001054D9" w:rsidRPr="001054D9" w:rsidRDefault="001054D9" w:rsidP="001917F0">
      <w:pPr>
        <w:rPr>
          <w:rFonts w:eastAsiaTheme="minorEastAsia"/>
          <w:b/>
          <w:bCs/>
          <w:iCs/>
          <w:szCs w:val="24"/>
        </w:rPr>
      </w:pPr>
      <w:r w:rsidRPr="001054D9">
        <w:rPr>
          <w:rFonts w:eastAsiaTheme="minorEastAsia"/>
          <w:b/>
          <w:bCs/>
          <w:iCs/>
          <w:szCs w:val="24"/>
        </w:rPr>
        <w:t>Abstract</w:t>
      </w:r>
    </w:p>
    <w:p w14:paraId="7C055090" w14:textId="56A70846" w:rsidR="001054D9" w:rsidRDefault="00BA3348" w:rsidP="0038234C">
      <w:pPr>
        <w:ind w:firstLine="720"/>
        <w:rPr>
          <w:rFonts w:eastAsiaTheme="minorEastAsia"/>
          <w:iCs/>
          <w:szCs w:val="24"/>
        </w:rPr>
      </w:pPr>
      <w:r>
        <w:rPr>
          <w:iCs/>
          <w:lang w:val="en-US"/>
        </w:rPr>
        <w:t>This paper aims</w:t>
      </w:r>
      <w:r w:rsidR="001054D9">
        <w:rPr>
          <w:iCs/>
          <w:lang w:val="en-US"/>
        </w:rPr>
        <w:t xml:space="preserve"> to elaborate </w:t>
      </w:r>
      <w:proofErr w:type="spellStart"/>
      <w:r w:rsidR="00AC66D8">
        <w:rPr>
          <w:iCs/>
          <w:lang w:val="mk-MK"/>
        </w:rPr>
        <w:t>on</w:t>
      </w:r>
      <w:proofErr w:type="spellEnd"/>
      <w:r w:rsidR="00AC66D8">
        <w:rPr>
          <w:iCs/>
          <w:lang w:val="mk-MK"/>
        </w:rPr>
        <w:t xml:space="preserve"> </w:t>
      </w:r>
      <w:r w:rsidR="001054D9">
        <w:rPr>
          <w:iCs/>
          <w:lang w:val="en-US"/>
        </w:rPr>
        <w:t xml:space="preserve">the possibilities that increased regional integration initiatives can have </w:t>
      </w:r>
      <w:proofErr w:type="spellStart"/>
      <w:r w:rsidR="00AC66D8">
        <w:rPr>
          <w:iCs/>
          <w:lang w:val="mk-MK"/>
        </w:rPr>
        <w:t>in</w:t>
      </w:r>
      <w:proofErr w:type="spellEnd"/>
      <w:r w:rsidR="001054D9">
        <w:rPr>
          <w:iCs/>
          <w:lang w:val="en-US"/>
        </w:rPr>
        <w:t xml:space="preserve"> boosting mutual trade among the countries in the</w:t>
      </w:r>
      <w:r w:rsidR="00946006">
        <w:rPr>
          <w:iCs/>
          <w:lang w:val="en-US"/>
        </w:rPr>
        <w:t xml:space="preserve"> Western Balkans</w:t>
      </w:r>
      <w:r w:rsidR="001054D9">
        <w:rPr>
          <w:iCs/>
          <w:lang w:val="en-US"/>
        </w:rPr>
        <w:t xml:space="preserve"> region</w:t>
      </w:r>
      <w:r w:rsidR="004B4BF7">
        <w:rPr>
          <w:iCs/>
          <w:lang w:val="en-US"/>
        </w:rPr>
        <w:t>, such as</w:t>
      </w:r>
      <w:r w:rsidR="00F26A73">
        <w:rPr>
          <w:iCs/>
          <w:lang w:val="en-US"/>
        </w:rPr>
        <w:t>:</w:t>
      </w:r>
      <w:r w:rsidR="004B4BF7">
        <w:rPr>
          <w:iCs/>
          <w:lang w:val="en-US"/>
        </w:rPr>
        <w:t xml:space="preserve"> </w:t>
      </w:r>
      <w:r w:rsidR="001054D9" w:rsidRPr="00392BCC">
        <w:rPr>
          <w:iCs/>
          <w:szCs w:val="24"/>
        </w:rPr>
        <w:t xml:space="preserve">creating </w:t>
      </w:r>
      <w:r w:rsidR="00546987">
        <w:rPr>
          <w:iCs/>
          <w:szCs w:val="24"/>
        </w:rPr>
        <w:t xml:space="preserve">a </w:t>
      </w:r>
      <w:r w:rsidR="001054D9" w:rsidRPr="00392BCC">
        <w:rPr>
          <w:iCs/>
          <w:szCs w:val="24"/>
        </w:rPr>
        <w:t xml:space="preserve">Regional Economic Area </w:t>
      </w:r>
      <w:r w:rsidR="001054D9">
        <w:rPr>
          <w:iCs/>
          <w:szCs w:val="24"/>
        </w:rPr>
        <w:t>by 2023</w:t>
      </w:r>
      <w:r w:rsidR="004B4BF7">
        <w:rPr>
          <w:iCs/>
          <w:szCs w:val="24"/>
        </w:rPr>
        <w:t>;</w:t>
      </w:r>
      <w:r w:rsidR="001054D9">
        <w:rPr>
          <w:iCs/>
          <w:szCs w:val="24"/>
        </w:rPr>
        <w:t xml:space="preserve"> </w:t>
      </w:r>
      <w:r w:rsidR="007A5544">
        <w:rPr>
          <w:iCs/>
          <w:szCs w:val="24"/>
        </w:rPr>
        <w:t xml:space="preserve">the </w:t>
      </w:r>
      <w:r w:rsidR="001054D9" w:rsidRPr="00392BCC">
        <w:rPr>
          <w:iCs/>
          <w:szCs w:val="24"/>
        </w:rPr>
        <w:t xml:space="preserve">creation of </w:t>
      </w:r>
      <w:r w:rsidR="00AC66D8">
        <w:rPr>
          <w:iCs/>
          <w:szCs w:val="24"/>
          <w:lang w:val="mk-MK"/>
        </w:rPr>
        <w:t xml:space="preserve">a </w:t>
      </w:r>
      <w:r w:rsidR="001054D9" w:rsidRPr="00392BCC">
        <w:rPr>
          <w:iCs/>
          <w:szCs w:val="24"/>
        </w:rPr>
        <w:t>Common Regional Market based on EU rules in the period 2021-2024</w:t>
      </w:r>
      <w:r w:rsidR="004B4BF7">
        <w:rPr>
          <w:iCs/>
          <w:szCs w:val="24"/>
        </w:rPr>
        <w:t xml:space="preserve"> and the i</w:t>
      </w:r>
      <w:r w:rsidR="001054D9" w:rsidRPr="00392BCC">
        <w:rPr>
          <w:iCs/>
          <w:szCs w:val="24"/>
        </w:rPr>
        <w:t xml:space="preserve">nitiative “Open Balkan” </w:t>
      </w:r>
      <w:r w:rsidR="001054D9">
        <w:rPr>
          <w:iCs/>
          <w:szCs w:val="24"/>
        </w:rPr>
        <w:t xml:space="preserve">created </w:t>
      </w:r>
      <w:r w:rsidR="001054D9" w:rsidRPr="00392BCC">
        <w:rPr>
          <w:iCs/>
          <w:szCs w:val="24"/>
        </w:rPr>
        <w:t xml:space="preserve">between </w:t>
      </w:r>
      <w:r w:rsidR="003A5C8A">
        <w:rPr>
          <w:iCs/>
          <w:szCs w:val="24"/>
        </w:rPr>
        <w:t xml:space="preserve">North </w:t>
      </w:r>
      <w:r w:rsidR="001054D9" w:rsidRPr="00392BCC">
        <w:rPr>
          <w:iCs/>
          <w:szCs w:val="24"/>
        </w:rPr>
        <w:t xml:space="preserve">Macedonia, </w:t>
      </w:r>
      <w:proofErr w:type="gramStart"/>
      <w:r w:rsidR="001054D9" w:rsidRPr="00392BCC">
        <w:rPr>
          <w:iCs/>
          <w:szCs w:val="24"/>
        </w:rPr>
        <w:t>Serbia</w:t>
      </w:r>
      <w:proofErr w:type="gramEnd"/>
      <w:r w:rsidR="001054D9" w:rsidRPr="00392BCC">
        <w:rPr>
          <w:iCs/>
          <w:szCs w:val="24"/>
        </w:rPr>
        <w:t xml:space="preserve"> and Albania</w:t>
      </w:r>
      <w:r w:rsidR="001054D9">
        <w:rPr>
          <w:iCs/>
          <w:szCs w:val="24"/>
        </w:rPr>
        <w:t xml:space="preserve"> for enabling</w:t>
      </w:r>
      <w:r w:rsidR="001054D9" w:rsidRPr="00392BCC">
        <w:rPr>
          <w:iCs/>
          <w:szCs w:val="24"/>
        </w:rPr>
        <w:t xml:space="preserve"> free movement of goods and free movement of workers. </w:t>
      </w:r>
      <w:r w:rsidR="001054D9" w:rsidRPr="00CA0433">
        <w:rPr>
          <w:iCs/>
          <w:szCs w:val="24"/>
        </w:rPr>
        <w:t xml:space="preserve"> </w:t>
      </w:r>
    </w:p>
    <w:p w14:paraId="6BF5B948" w14:textId="78FB7A15" w:rsidR="00F16EA7" w:rsidRDefault="001054D9" w:rsidP="0038234C">
      <w:pPr>
        <w:ind w:firstLine="720"/>
        <w:rPr>
          <w:rFonts w:eastAsiaTheme="minorEastAsia"/>
          <w:iCs/>
          <w:szCs w:val="24"/>
        </w:rPr>
      </w:pPr>
      <w:r>
        <w:rPr>
          <w:rFonts w:eastAsiaTheme="minorEastAsia"/>
          <w:iCs/>
          <w:szCs w:val="24"/>
        </w:rPr>
        <w:t xml:space="preserve">For our </w:t>
      </w:r>
      <w:r w:rsidR="00C843FD">
        <w:rPr>
          <w:rFonts w:eastAsiaTheme="minorEastAsia"/>
          <w:iCs/>
          <w:szCs w:val="24"/>
        </w:rPr>
        <w:t>research</w:t>
      </w:r>
      <w:r w:rsidR="00500726">
        <w:rPr>
          <w:rFonts w:eastAsiaTheme="minorEastAsia"/>
          <w:iCs/>
          <w:szCs w:val="24"/>
        </w:rPr>
        <w:t>,</w:t>
      </w:r>
      <w:r>
        <w:rPr>
          <w:rFonts w:eastAsiaTheme="minorEastAsia"/>
          <w:iCs/>
          <w:szCs w:val="24"/>
        </w:rPr>
        <w:t xml:space="preserve"> </w:t>
      </w:r>
      <w:r w:rsidR="00546987">
        <w:rPr>
          <w:rFonts w:eastAsiaTheme="minorEastAsia"/>
          <w:iCs/>
          <w:szCs w:val="24"/>
        </w:rPr>
        <w:t xml:space="preserve">the </w:t>
      </w:r>
      <w:r w:rsidR="00446074">
        <w:rPr>
          <w:rFonts w:eastAsiaTheme="minorEastAsia"/>
          <w:iCs/>
          <w:szCs w:val="24"/>
        </w:rPr>
        <w:t>gravity model</w:t>
      </w:r>
      <w:r w:rsidR="00A5072C">
        <w:rPr>
          <w:rFonts w:eastAsiaTheme="minorEastAsia"/>
          <w:iCs/>
          <w:szCs w:val="24"/>
        </w:rPr>
        <w:t xml:space="preserve"> of trade</w:t>
      </w:r>
      <w:r w:rsidR="00446074">
        <w:rPr>
          <w:rFonts w:eastAsiaTheme="minorEastAsia"/>
          <w:iCs/>
          <w:szCs w:val="24"/>
        </w:rPr>
        <w:t xml:space="preserve"> </w:t>
      </w:r>
      <w:r>
        <w:rPr>
          <w:rFonts w:eastAsiaTheme="minorEastAsia"/>
          <w:iCs/>
          <w:szCs w:val="24"/>
        </w:rPr>
        <w:t xml:space="preserve">for </w:t>
      </w:r>
      <w:r w:rsidR="003A5C8A">
        <w:rPr>
          <w:rFonts w:eastAsiaTheme="minorEastAsia"/>
          <w:iCs/>
          <w:szCs w:val="24"/>
        </w:rPr>
        <w:t xml:space="preserve">North </w:t>
      </w:r>
      <w:r>
        <w:rPr>
          <w:rFonts w:eastAsiaTheme="minorEastAsia"/>
          <w:iCs/>
          <w:szCs w:val="24"/>
        </w:rPr>
        <w:t xml:space="preserve">Macedonia covering </w:t>
      </w:r>
      <w:r w:rsidR="009E638F">
        <w:rPr>
          <w:rFonts w:eastAsiaTheme="minorEastAsia"/>
          <w:iCs/>
          <w:szCs w:val="24"/>
        </w:rPr>
        <w:t>the</w:t>
      </w:r>
      <w:r>
        <w:rPr>
          <w:rFonts w:eastAsiaTheme="minorEastAsia"/>
          <w:iCs/>
          <w:szCs w:val="24"/>
        </w:rPr>
        <w:t xml:space="preserve"> period 2005-2020</w:t>
      </w:r>
      <w:r w:rsidR="00EE5966">
        <w:rPr>
          <w:rFonts w:eastAsiaTheme="minorEastAsia"/>
          <w:iCs/>
          <w:szCs w:val="24"/>
        </w:rPr>
        <w:t xml:space="preserve"> is applied</w:t>
      </w:r>
      <w:r w:rsidR="009E638F">
        <w:rPr>
          <w:rFonts w:eastAsiaTheme="minorEastAsia"/>
          <w:iCs/>
          <w:szCs w:val="24"/>
        </w:rPr>
        <w:t>. T</w:t>
      </w:r>
      <w:r>
        <w:rPr>
          <w:rFonts w:eastAsiaTheme="minorEastAsia"/>
          <w:iCs/>
          <w:szCs w:val="24"/>
        </w:rPr>
        <w:t xml:space="preserve">he influence of bilateral and regional trade agreements </w:t>
      </w:r>
      <w:proofErr w:type="spellStart"/>
      <w:r w:rsidR="00AC66D8">
        <w:rPr>
          <w:rFonts w:eastAsiaTheme="minorEastAsia"/>
          <w:iCs/>
          <w:szCs w:val="24"/>
          <w:lang w:val="mk-MK"/>
        </w:rPr>
        <w:t>on</w:t>
      </w:r>
      <w:proofErr w:type="spellEnd"/>
      <w:r>
        <w:rPr>
          <w:rFonts w:eastAsiaTheme="minorEastAsia"/>
          <w:iCs/>
          <w:szCs w:val="24"/>
        </w:rPr>
        <w:t xml:space="preserve"> </w:t>
      </w:r>
      <w:r w:rsidR="00C843FD">
        <w:rPr>
          <w:rFonts w:eastAsiaTheme="minorEastAsia"/>
          <w:iCs/>
          <w:szCs w:val="24"/>
        </w:rPr>
        <w:t xml:space="preserve">the </w:t>
      </w:r>
      <w:r>
        <w:rPr>
          <w:rFonts w:eastAsiaTheme="minorEastAsia"/>
          <w:iCs/>
          <w:szCs w:val="24"/>
        </w:rPr>
        <w:t>country’s trade</w:t>
      </w:r>
      <w:r w:rsidR="00EE5966">
        <w:rPr>
          <w:rFonts w:eastAsiaTheme="minorEastAsia"/>
          <w:iCs/>
          <w:szCs w:val="24"/>
        </w:rPr>
        <w:t xml:space="preserve"> is analyzed</w:t>
      </w:r>
      <w:r>
        <w:rPr>
          <w:rFonts w:eastAsiaTheme="minorEastAsia"/>
          <w:iCs/>
          <w:szCs w:val="24"/>
        </w:rPr>
        <w:t xml:space="preserve">. The results have shown that for </w:t>
      </w:r>
      <w:r w:rsidR="003A5C8A">
        <w:rPr>
          <w:rFonts w:eastAsiaTheme="minorEastAsia"/>
          <w:iCs/>
          <w:szCs w:val="24"/>
        </w:rPr>
        <w:t xml:space="preserve">North </w:t>
      </w:r>
      <w:r>
        <w:rPr>
          <w:rFonts w:eastAsiaTheme="minorEastAsia"/>
          <w:iCs/>
          <w:szCs w:val="24"/>
        </w:rPr>
        <w:t xml:space="preserve">Macedonia, CEFTA-2006 membership has higher significance for increasing trade when compared to the agreement signed with </w:t>
      </w:r>
      <w:r w:rsidR="00C843FD">
        <w:rPr>
          <w:rFonts w:eastAsiaTheme="minorEastAsia"/>
          <w:iCs/>
          <w:szCs w:val="24"/>
        </w:rPr>
        <w:t xml:space="preserve">the </w:t>
      </w:r>
      <w:r>
        <w:rPr>
          <w:rFonts w:eastAsiaTheme="minorEastAsia"/>
          <w:iCs/>
          <w:szCs w:val="24"/>
        </w:rPr>
        <w:t>EU and to the other bilateral free trade agreements signed with EFTA, Turkey and Ukraine. This paper</w:t>
      </w:r>
      <w:r w:rsidR="00EE5966">
        <w:rPr>
          <w:rFonts w:eastAsiaTheme="minorEastAsia"/>
          <w:iCs/>
          <w:szCs w:val="24"/>
        </w:rPr>
        <w:t xml:space="preserve"> point</w:t>
      </w:r>
      <w:r>
        <w:rPr>
          <w:rFonts w:eastAsiaTheme="minorEastAsia"/>
          <w:iCs/>
          <w:szCs w:val="24"/>
        </w:rPr>
        <w:t xml:space="preserve"> out that deepening trade integration through different regional initiatives could have </w:t>
      </w:r>
      <w:r w:rsidR="00C843FD">
        <w:rPr>
          <w:rFonts w:eastAsiaTheme="minorEastAsia"/>
          <w:iCs/>
          <w:szCs w:val="24"/>
        </w:rPr>
        <w:t xml:space="preserve">a </w:t>
      </w:r>
      <w:r>
        <w:rPr>
          <w:rFonts w:eastAsiaTheme="minorEastAsia"/>
          <w:iCs/>
          <w:szCs w:val="24"/>
        </w:rPr>
        <w:t xml:space="preserve">positive influence </w:t>
      </w:r>
      <w:r w:rsidR="00C843FD">
        <w:rPr>
          <w:rFonts w:eastAsiaTheme="minorEastAsia"/>
          <w:iCs/>
          <w:szCs w:val="24"/>
        </w:rPr>
        <w:t xml:space="preserve">on </w:t>
      </w:r>
      <w:r>
        <w:rPr>
          <w:rFonts w:eastAsiaTheme="minorEastAsia"/>
          <w:iCs/>
          <w:szCs w:val="24"/>
        </w:rPr>
        <w:t xml:space="preserve">increasing mutual trade. </w:t>
      </w:r>
    </w:p>
    <w:p w14:paraId="599E96A0" w14:textId="77777777" w:rsidR="00994FC1" w:rsidRDefault="00994FC1" w:rsidP="001917F0">
      <w:pPr>
        <w:rPr>
          <w:rFonts w:eastAsiaTheme="minorEastAsia"/>
          <w:iCs/>
          <w:szCs w:val="24"/>
        </w:rPr>
      </w:pPr>
    </w:p>
    <w:p w14:paraId="2CF6B859" w14:textId="21135504" w:rsidR="00F16EA7" w:rsidRDefault="00546987" w:rsidP="001917F0">
      <w:pPr>
        <w:rPr>
          <w:rFonts w:eastAsiaTheme="minorEastAsia"/>
          <w:iCs/>
          <w:szCs w:val="24"/>
        </w:rPr>
      </w:pPr>
      <w:r>
        <w:rPr>
          <w:rFonts w:eastAsiaTheme="minorEastAsia"/>
          <w:b/>
          <w:bCs/>
          <w:iCs/>
          <w:szCs w:val="24"/>
        </w:rPr>
        <w:t>Keywords</w:t>
      </w:r>
      <w:r w:rsidR="00F16EA7" w:rsidRPr="00F16EA7">
        <w:rPr>
          <w:rFonts w:eastAsiaTheme="minorEastAsia"/>
          <w:b/>
          <w:bCs/>
          <w:iCs/>
          <w:szCs w:val="24"/>
        </w:rPr>
        <w:t>:</w:t>
      </w:r>
      <w:r w:rsidR="00F16EA7">
        <w:rPr>
          <w:rFonts w:eastAsiaTheme="minorEastAsia"/>
          <w:iCs/>
          <w:szCs w:val="24"/>
        </w:rPr>
        <w:t xml:space="preserve"> regional integration, trade agreements, CEFTA-2006, EU, </w:t>
      </w:r>
      <w:r w:rsidR="00150570">
        <w:rPr>
          <w:rFonts w:eastAsiaTheme="minorEastAsia"/>
          <w:iCs/>
          <w:szCs w:val="24"/>
        </w:rPr>
        <w:t xml:space="preserve">North </w:t>
      </w:r>
      <w:r w:rsidR="00F16EA7">
        <w:rPr>
          <w:rFonts w:eastAsiaTheme="minorEastAsia"/>
          <w:iCs/>
          <w:szCs w:val="24"/>
        </w:rPr>
        <w:t>Macedonia</w:t>
      </w:r>
    </w:p>
    <w:p w14:paraId="346A9CF0" w14:textId="75F60B60" w:rsidR="001054D9" w:rsidRDefault="001054D9" w:rsidP="001917F0">
      <w:pPr>
        <w:rPr>
          <w:rFonts w:eastAsiaTheme="minorEastAsia"/>
          <w:iCs/>
          <w:szCs w:val="24"/>
        </w:rPr>
      </w:pPr>
    </w:p>
    <w:p w14:paraId="764102BC" w14:textId="77777777" w:rsidR="0025533B" w:rsidRDefault="0025533B" w:rsidP="001917F0">
      <w:pPr>
        <w:rPr>
          <w:rFonts w:eastAsiaTheme="minorEastAsia"/>
          <w:iCs/>
          <w:szCs w:val="24"/>
        </w:rPr>
      </w:pPr>
    </w:p>
    <w:p w14:paraId="780A113E" w14:textId="4043BD0D" w:rsidR="001054D9" w:rsidRDefault="001054D9" w:rsidP="001917F0">
      <w:pPr>
        <w:rPr>
          <w:rFonts w:eastAsiaTheme="minorEastAsia"/>
          <w:b/>
          <w:bCs/>
          <w:iCs/>
          <w:szCs w:val="24"/>
        </w:rPr>
      </w:pPr>
      <w:r w:rsidRPr="001054D9">
        <w:rPr>
          <w:rFonts w:eastAsiaTheme="minorEastAsia"/>
          <w:b/>
          <w:bCs/>
          <w:iCs/>
          <w:szCs w:val="24"/>
        </w:rPr>
        <w:t>Introduction</w:t>
      </w:r>
    </w:p>
    <w:p w14:paraId="01B86202" w14:textId="77777777" w:rsidR="0025533B" w:rsidRPr="001054D9" w:rsidRDefault="0025533B" w:rsidP="001917F0">
      <w:pPr>
        <w:rPr>
          <w:rFonts w:eastAsiaTheme="minorEastAsia"/>
          <w:b/>
          <w:bCs/>
          <w:iCs/>
          <w:szCs w:val="24"/>
        </w:rPr>
      </w:pPr>
    </w:p>
    <w:p w14:paraId="013BF5B9" w14:textId="3146EA7C" w:rsidR="001054D9" w:rsidRDefault="001054D9" w:rsidP="001917F0">
      <w:pPr>
        <w:ind w:firstLine="720"/>
        <w:rPr>
          <w:rFonts w:eastAsiaTheme="minorEastAsia"/>
          <w:iCs/>
          <w:szCs w:val="24"/>
        </w:rPr>
      </w:pPr>
      <w:r>
        <w:rPr>
          <w:rFonts w:eastAsiaTheme="minorEastAsia"/>
          <w:iCs/>
          <w:szCs w:val="24"/>
        </w:rPr>
        <w:t xml:space="preserve">The process of regional integration in the case of Western Balkan countries may be </w:t>
      </w:r>
      <w:r w:rsidR="000E436B">
        <w:rPr>
          <w:rFonts w:eastAsiaTheme="minorEastAsia"/>
          <w:iCs/>
          <w:szCs w:val="24"/>
        </w:rPr>
        <w:t xml:space="preserve">analyzed </w:t>
      </w:r>
      <w:r>
        <w:rPr>
          <w:rFonts w:eastAsiaTheme="minorEastAsia"/>
          <w:iCs/>
          <w:szCs w:val="24"/>
        </w:rPr>
        <w:t xml:space="preserve">by following two different integration paths – the first one considering the integration process within CEFTA-2006, and the second one by measuring the individual progress of each of CEFTA member-states towards the EU. </w:t>
      </w:r>
      <w:r w:rsidR="001C5A7A">
        <w:rPr>
          <w:rFonts w:eastAsiaTheme="minorEastAsia"/>
          <w:iCs/>
          <w:szCs w:val="24"/>
        </w:rPr>
        <w:t xml:space="preserve">Members of </w:t>
      </w:r>
      <w:r w:rsidR="00994FC1">
        <w:rPr>
          <w:rFonts w:eastAsiaTheme="minorEastAsia"/>
          <w:iCs/>
          <w:szCs w:val="24"/>
        </w:rPr>
        <w:t xml:space="preserve">CEFTA-2006 </w:t>
      </w:r>
      <w:r w:rsidR="001C5A7A">
        <w:rPr>
          <w:rFonts w:eastAsiaTheme="minorEastAsia"/>
          <w:iCs/>
          <w:szCs w:val="24"/>
        </w:rPr>
        <w:t xml:space="preserve">are </w:t>
      </w:r>
      <w:r w:rsidR="00FD2AB9">
        <w:rPr>
          <w:rFonts w:eastAsiaTheme="minorEastAsia"/>
          <w:iCs/>
          <w:szCs w:val="24"/>
        </w:rPr>
        <w:t>s</w:t>
      </w:r>
      <w:r w:rsidR="001B1FB3">
        <w:rPr>
          <w:rFonts w:eastAsiaTheme="minorEastAsia"/>
          <w:iCs/>
          <w:szCs w:val="24"/>
        </w:rPr>
        <w:t>even</w:t>
      </w:r>
      <w:r w:rsidR="00510723">
        <w:rPr>
          <w:rFonts w:eastAsiaTheme="minorEastAsia"/>
          <w:iCs/>
          <w:szCs w:val="24"/>
        </w:rPr>
        <w:t xml:space="preserve"> </w:t>
      </w:r>
      <w:r w:rsidR="0015519C">
        <w:rPr>
          <w:rFonts w:eastAsiaTheme="minorEastAsia"/>
          <w:iCs/>
          <w:szCs w:val="24"/>
        </w:rPr>
        <w:t>signatories (parties)</w:t>
      </w:r>
      <w:r w:rsidR="001C5A7A">
        <w:rPr>
          <w:rFonts w:eastAsiaTheme="minorEastAsia"/>
          <w:iCs/>
          <w:szCs w:val="24"/>
        </w:rPr>
        <w:t>.</w:t>
      </w:r>
      <w:r w:rsidR="00BD688A">
        <w:rPr>
          <w:rFonts w:eastAsiaTheme="minorEastAsia"/>
          <w:iCs/>
          <w:szCs w:val="24"/>
        </w:rPr>
        <w:t xml:space="preserve"> </w:t>
      </w:r>
      <w:r w:rsidR="001B1FB3">
        <w:rPr>
          <w:rFonts w:eastAsiaTheme="minorEastAsia"/>
          <w:iCs/>
          <w:szCs w:val="24"/>
        </w:rPr>
        <w:t>Except</w:t>
      </w:r>
      <w:r w:rsidR="00510723">
        <w:rPr>
          <w:rFonts w:eastAsiaTheme="minorEastAsia"/>
          <w:iCs/>
          <w:szCs w:val="24"/>
        </w:rPr>
        <w:t xml:space="preserve"> for</w:t>
      </w:r>
      <w:r w:rsidR="001B1FB3">
        <w:rPr>
          <w:rFonts w:eastAsiaTheme="minorEastAsia"/>
          <w:iCs/>
          <w:szCs w:val="24"/>
        </w:rPr>
        <w:t xml:space="preserve"> Moldova, all </w:t>
      </w:r>
      <w:r w:rsidR="001C5A7A">
        <w:rPr>
          <w:rFonts w:eastAsiaTheme="minorEastAsia"/>
          <w:iCs/>
          <w:szCs w:val="24"/>
        </w:rPr>
        <w:t xml:space="preserve">of them geographically belong to the </w:t>
      </w:r>
      <w:r w:rsidR="00994FC1">
        <w:rPr>
          <w:rFonts w:eastAsiaTheme="minorEastAsia"/>
          <w:iCs/>
          <w:szCs w:val="24"/>
        </w:rPr>
        <w:t>Western Balkan</w:t>
      </w:r>
      <w:r w:rsidR="001C5A7A">
        <w:rPr>
          <w:rFonts w:eastAsiaTheme="minorEastAsia"/>
          <w:iCs/>
          <w:szCs w:val="24"/>
        </w:rPr>
        <w:t xml:space="preserve"> region</w:t>
      </w:r>
      <w:r w:rsidR="00994FC1">
        <w:rPr>
          <w:rFonts w:eastAsiaTheme="minorEastAsia"/>
          <w:iCs/>
          <w:szCs w:val="24"/>
        </w:rPr>
        <w:t>: Albania, Bosnia and Herzegovina, Kosovo, Montenegro, North Macedonia and Serbia</w:t>
      </w:r>
      <w:r w:rsidR="001B1FB3">
        <w:rPr>
          <w:rFonts w:eastAsiaTheme="minorEastAsia"/>
          <w:iCs/>
          <w:szCs w:val="24"/>
        </w:rPr>
        <w:t>.</w:t>
      </w:r>
    </w:p>
    <w:p w14:paraId="01485370" w14:textId="1908948F" w:rsidR="001054D9" w:rsidRDefault="001054D9" w:rsidP="001917F0">
      <w:pPr>
        <w:ind w:firstLine="720"/>
        <w:rPr>
          <w:rFonts w:eastAsiaTheme="minorEastAsia"/>
          <w:iCs/>
          <w:szCs w:val="24"/>
          <w:lang w:val="en-US"/>
        </w:rPr>
      </w:pPr>
      <w:r>
        <w:rPr>
          <w:rFonts w:eastAsiaTheme="minorEastAsia"/>
          <w:iCs/>
          <w:szCs w:val="24"/>
        </w:rPr>
        <w:lastRenderedPageBreak/>
        <w:t xml:space="preserve">Despite the geographic compactness of the Western Balkan region, the </w:t>
      </w:r>
      <w:r>
        <w:rPr>
          <w:rFonts w:eastAsiaTheme="minorEastAsia"/>
          <w:iCs/>
          <w:szCs w:val="24"/>
          <w:lang w:val="en-US"/>
        </w:rPr>
        <w:t>EU happens to be</w:t>
      </w:r>
      <w:r w:rsidRPr="00B84D23">
        <w:rPr>
          <w:rFonts w:eastAsiaTheme="minorEastAsia"/>
          <w:iCs/>
          <w:szCs w:val="24"/>
          <w:lang w:val="en-US"/>
        </w:rPr>
        <w:t xml:space="preserve"> the leading trade partn</w:t>
      </w:r>
      <w:r>
        <w:rPr>
          <w:rFonts w:eastAsiaTheme="minorEastAsia"/>
          <w:iCs/>
          <w:szCs w:val="24"/>
          <w:lang w:val="en-US"/>
        </w:rPr>
        <w:t>er of all CEFTA</w:t>
      </w:r>
      <w:r w:rsidR="001B1FB3">
        <w:rPr>
          <w:rFonts w:eastAsiaTheme="minorEastAsia"/>
          <w:iCs/>
          <w:szCs w:val="24"/>
          <w:lang w:val="en-US"/>
        </w:rPr>
        <w:t>-2006</w:t>
      </w:r>
      <w:r>
        <w:rPr>
          <w:rFonts w:eastAsiaTheme="minorEastAsia"/>
          <w:iCs/>
          <w:szCs w:val="24"/>
          <w:lang w:val="en-US"/>
        </w:rPr>
        <w:t xml:space="preserve"> member</w:t>
      </w:r>
      <w:r w:rsidR="0015519C">
        <w:rPr>
          <w:rFonts w:eastAsiaTheme="minorEastAsia"/>
          <w:iCs/>
          <w:szCs w:val="24"/>
          <w:lang w:val="en-US"/>
        </w:rPr>
        <w:t>s</w:t>
      </w:r>
      <w:r w:rsidRPr="00B84D23">
        <w:rPr>
          <w:rFonts w:eastAsiaTheme="minorEastAsia"/>
          <w:iCs/>
          <w:szCs w:val="24"/>
          <w:lang w:val="en-US"/>
        </w:rPr>
        <w:t xml:space="preserve"> accounting </w:t>
      </w:r>
      <w:r w:rsidR="00D21FAD">
        <w:rPr>
          <w:rFonts w:eastAsiaTheme="minorEastAsia"/>
          <w:iCs/>
          <w:szCs w:val="24"/>
          <w:lang w:val="en-US"/>
        </w:rPr>
        <w:t xml:space="preserve">for </w:t>
      </w:r>
      <w:r w:rsidRPr="00B84D23">
        <w:rPr>
          <w:rFonts w:eastAsiaTheme="minorEastAsia"/>
          <w:iCs/>
          <w:szCs w:val="24"/>
          <w:lang w:val="en-US"/>
        </w:rPr>
        <w:t>almost 70% of the whole region</w:t>
      </w:r>
      <w:r>
        <w:rPr>
          <w:rFonts w:eastAsiaTheme="minorEastAsia"/>
          <w:iCs/>
          <w:szCs w:val="24"/>
          <w:lang w:val="en-US"/>
        </w:rPr>
        <w:t>’s</w:t>
      </w:r>
      <w:r w:rsidRPr="00B84D23">
        <w:rPr>
          <w:rFonts w:eastAsiaTheme="minorEastAsia"/>
          <w:iCs/>
          <w:szCs w:val="24"/>
          <w:lang w:val="en-US"/>
        </w:rPr>
        <w:t xml:space="preserve"> export and around 60% of all </w:t>
      </w:r>
      <w:r w:rsidR="00D21FAD">
        <w:rPr>
          <w:rFonts w:eastAsiaTheme="minorEastAsia"/>
          <w:iCs/>
          <w:szCs w:val="24"/>
          <w:lang w:val="en-US"/>
        </w:rPr>
        <w:t>imports</w:t>
      </w:r>
      <w:r w:rsidRPr="00B84D23">
        <w:rPr>
          <w:rFonts w:eastAsiaTheme="minorEastAsia"/>
          <w:iCs/>
          <w:szCs w:val="24"/>
          <w:lang w:val="en-US"/>
        </w:rPr>
        <w:t xml:space="preserve">. </w:t>
      </w:r>
      <w:r>
        <w:rPr>
          <w:rFonts w:eastAsiaTheme="minorEastAsia"/>
          <w:iCs/>
          <w:szCs w:val="24"/>
          <w:lang w:val="en-US"/>
        </w:rPr>
        <w:t xml:space="preserve">All </w:t>
      </w:r>
      <w:r w:rsidRPr="00B84D23">
        <w:rPr>
          <w:rFonts w:eastAsiaTheme="minorEastAsia"/>
          <w:iCs/>
          <w:szCs w:val="24"/>
        </w:rPr>
        <w:t>CEFTA</w:t>
      </w:r>
      <w:r>
        <w:rPr>
          <w:rFonts w:eastAsiaTheme="minorEastAsia"/>
          <w:iCs/>
          <w:szCs w:val="24"/>
        </w:rPr>
        <w:t>-2006</w:t>
      </w:r>
      <w:r w:rsidRPr="00B84D23">
        <w:rPr>
          <w:rFonts w:eastAsiaTheme="minorEastAsia"/>
          <w:iCs/>
          <w:szCs w:val="24"/>
        </w:rPr>
        <w:t xml:space="preserve"> </w:t>
      </w:r>
      <w:r>
        <w:rPr>
          <w:rFonts w:eastAsiaTheme="minorEastAsia"/>
          <w:iCs/>
          <w:szCs w:val="24"/>
        </w:rPr>
        <w:t>parties got</w:t>
      </w:r>
      <w:r w:rsidRPr="00B84D23">
        <w:rPr>
          <w:rFonts w:eastAsiaTheme="minorEastAsia"/>
          <w:iCs/>
          <w:szCs w:val="24"/>
        </w:rPr>
        <w:t xml:space="preserve"> </w:t>
      </w:r>
      <w:r>
        <w:rPr>
          <w:rFonts w:eastAsiaTheme="minorEastAsia"/>
          <w:iCs/>
          <w:szCs w:val="24"/>
        </w:rPr>
        <w:t xml:space="preserve">a preferential bilateral free trade agreement (a </w:t>
      </w:r>
      <w:r w:rsidRPr="00B84D23">
        <w:rPr>
          <w:rFonts w:eastAsiaTheme="minorEastAsia"/>
          <w:iCs/>
          <w:szCs w:val="24"/>
        </w:rPr>
        <w:t>S</w:t>
      </w:r>
      <w:r>
        <w:rPr>
          <w:rFonts w:eastAsiaTheme="minorEastAsia"/>
          <w:iCs/>
          <w:szCs w:val="24"/>
        </w:rPr>
        <w:t>tabilization and Asociation Agreements for Western Balkan countries or Association Agreement for Moldova)</w:t>
      </w:r>
      <w:r w:rsidRPr="00B84D23">
        <w:rPr>
          <w:rFonts w:eastAsiaTheme="minorEastAsia"/>
          <w:iCs/>
          <w:szCs w:val="24"/>
        </w:rPr>
        <w:t xml:space="preserve"> </w:t>
      </w:r>
      <w:r>
        <w:rPr>
          <w:rFonts w:eastAsiaTheme="minorEastAsia"/>
          <w:iCs/>
          <w:szCs w:val="24"/>
        </w:rPr>
        <w:t xml:space="preserve">with the EU and for almost a decade </w:t>
      </w:r>
      <w:r w:rsidRPr="00B84D23">
        <w:rPr>
          <w:rFonts w:eastAsiaTheme="minorEastAsia"/>
          <w:iCs/>
          <w:szCs w:val="24"/>
        </w:rPr>
        <w:t xml:space="preserve">enjoy preferential treatment for almost all </w:t>
      </w:r>
      <w:r>
        <w:rPr>
          <w:rFonts w:eastAsiaTheme="minorEastAsia"/>
          <w:iCs/>
          <w:szCs w:val="24"/>
        </w:rPr>
        <w:t xml:space="preserve">the </w:t>
      </w:r>
      <w:r w:rsidRPr="00B84D23">
        <w:rPr>
          <w:rFonts w:eastAsiaTheme="minorEastAsia"/>
          <w:iCs/>
          <w:szCs w:val="24"/>
        </w:rPr>
        <w:t xml:space="preserve">export to </w:t>
      </w:r>
      <w:r>
        <w:rPr>
          <w:rFonts w:eastAsiaTheme="minorEastAsia"/>
          <w:iCs/>
          <w:szCs w:val="24"/>
        </w:rPr>
        <w:t xml:space="preserve">the EU </w:t>
      </w:r>
      <w:r w:rsidRPr="00B84D23">
        <w:rPr>
          <w:rFonts w:eastAsiaTheme="minorEastAsia"/>
          <w:iCs/>
          <w:szCs w:val="24"/>
        </w:rPr>
        <w:t>fre</w:t>
      </w:r>
      <w:r>
        <w:rPr>
          <w:rFonts w:eastAsiaTheme="minorEastAsia"/>
          <w:iCs/>
          <w:szCs w:val="24"/>
        </w:rPr>
        <w:t xml:space="preserve">e of all qualitative and quantitative barriers. The trade regime for </w:t>
      </w:r>
      <w:r w:rsidRPr="00B84D23">
        <w:rPr>
          <w:rFonts w:eastAsiaTheme="minorEastAsia"/>
          <w:iCs/>
          <w:szCs w:val="24"/>
        </w:rPr>
        <w:t>sugar, wine, baby beef</w:t>
      </w:r>
      <w:r w:rsidR="004E29FA">
        <w:rPr>
          <w:rFonts w:eastAsiaTheme="minorEastAsia"/>
          <w:iCs/>
          <w:szCs w:val="24"/>
        </w:rPr>
        <w:t>,</w:t>
      </w:r>
      <w:r w:rsidRPr="00B84D23">
        <w:rPr>
          <w:rFonts w:eastAsiaTheme="minorEastAsia"/>
          <w:iCs/>
          <w:szCs w:val="24"/>
        </w:rPr>
        <w:t xml:space="preserve"> and certain fisheries </w:t>
      </w:r>
      <w:r>
        <w:rPr>
          <w:rFonts w:eastAsiaTheme="minorEastAsia"/>
          <w:iCs/>
          <w:szCs w:val="24"/>
        </w:rPr>
        <w:t xml:space="preserve">is an exception from the offered EU preferential </w:t>
      </w:r>
      <w:r w:rsidR="004E29FA">
        <w:rPr>
          <w:rFonts w:eastAsiaTheme="minorEastAsia"/>
          <w:iCs/>
          <w:szCs w:val="24"/>
        </w:rPr>
        <w:t xml:space="preserve">treatment </w:t>
      </w:r>
      <w:r>
        <w:rPr>
          <w:rFonts w:eastAsiaTheme="minorEastAsia"/>
          <w:iCs/>
          <w:szCs w:val="24"/>
        </w:rPr>
        <w:t xml:space="preserve">and these goods are traded under the </w:t>
      </w:r>
      <w:r w:rsidR="007125E8">
        <w:rPr>
          <w:rFonts w:eastAsiaTheme="minorEastAsia"/>
          <w:iCs/>
          <w:szCs w:val="24"/>
        </w:rPr>
        <w:t xml:space="preserve">regime </w:t>
      </w:r>
      <w:r>
        <w:rPr>
          <w:rFonts w:eastAsiaTheme="minorEastAsia"/>
          <w:iCs/>
          <w:szCs w:val="24"/>
        </w:rPr>
        <w:t>of</w:t>
      </w:r>
      <w:r w:rsidRPr="00B84D23">
        <w:rPr>
          <w:rFonts w:eastAsiaTheme="minorEastAsia"/>
          <w:iCs/>
          <w:szCs w:val="24"/>
        </w:rPr>
        <w:t xml:space="preserve"> tariff quotas.</w:t>
      </w:r>
    </w:p>
    <w:p w14:paraId="2B1E7E77" w14:textId="3BE270DE" w:rsidR="001054D9" w:rsidRDefault="001054D9" w:rsidP="001917F0">
      <w:pPr>
        <w:ind w:firstLine="720"/>
        <w:rPr>
          <w:iCs/>
        </w:rPr>
      </w:pPr>
      <w:r w:rsidRPr="00B84D23">
        <w:rPr>
          <w:iCs/>
        </w:rPr>
        <w:t>CEFTA</w:t>
      </w:r>
      <w:r w:rsidR="007125E8">
        <w:rPr>
          <w:iCs/>
        </w:rPr>
        <w:t>-2006</w:t>
      </w:r>
      <w:r w:rsidRPr="00B84D23">
        <w:rPr>
          <w:iCs/>
        </w:rPr>
        <w:t xml:space="preserve"> is the </w:t>
      </w:r>
      <w:r w:rsidR="004E29FA">
        <w:rPr>
          <w:iCs/>
        </w:rPr>
        <w:t>second-largest</w:t>
      </w:r>
      <w:r w:rsidRPr="00B84D23">
        <w:rPr>
          <w:iCs/>
        </w:rPr>
        <w:t xml:space="preserve"> destination for</w:t>
      </w:r>
      <w:r>
        <w:rPr>
          <w:iCs/>
        </w:rPr>
        <w:t xml:space="preserve"> export within the Western Balkan region. The creation of the free trade area for agricultural and non-agricultural goods resulted in a trade creation effect within the member-states’ economies in the first couple of years of the Agreem</w:t>
      </w:r>
      <w:r w:rsidR="00A96242">
        <w:rPr>
          <w:iCs/>
        </w:rPr>
        <w:t>e</w:t>
      </w:r>
      <w:r>
        <w:rPr>
          <w:iCs/>
        </w:rPr>
        <w:t>nt’s coming into force. This effect was also confirmed by a World Bank estimation which pointed out that bringing up CEFTA-2006 to the level reached by EFTA member-states might lead to a 2.3% of annual GDP growth. If CEFTA</w:t>
      </w:r>
      <w:r w:rsidR="0021401A">
        <w:rPr>
          <w:iCs/>
        </w:rPr>
        <w:t>-2006</w:t>
      </w:r>
      <w:r>
        <w:rPr>
          <w:iCs/>
        </w:rPr>
        <w:t xml:space="preserve"> </w:t>
      </w:r>
      <w:r w:rsidR="00300D0B">
        <w:rPr>
          <w:iCs/>
        </w:rPr>
        <w:t>parties</w:t>
      </w:r>
      <w:r>
        <w:rPr>
          <w:iCs/>
        </w:rPr>
        <w:t xml:space="preserve"> could reach the level of the EU integration, the GDP growth was </w:t>
      </w:r>
      <w:r w:rsidR="00BD3663">
        <w:rPr>
          <w:iCs/>
        </w:rPr>
        <w:t xml:space="preserve">estimated </w:t>
      </w:r>
      <w:r>
        <w:rPr>
          <w:iCs/>
        </w:rPr>
        <w:t xml:space="preserve">up to 6.7% </w:t>
      </w:r>
      <w:r w:rsidR="00546987">
        <w:rPr>
          <w:iCs/>
        </w:rPr>
        <w:t>annually</w:t>
      </w:r>
      <w:r w:rsidR="00764B5C">
        <w:rPr>
          <w:iCs/>
        </w:rPr>
        <w:t xml:space="preserve"> (World Bank, 2019)</w:t>
      </w:r>
      <w:r>
        <w:rPr>
          <w:iCs/>
        </w:rPr>
        <w:t xml:space="preserve">. The European financial and economic crises in 2008, however, interrupted the boost of trade within CEFTA-2006, and </w:t>
      </w:r>
      <w:r w:rsidR="0084667B">
        <w:rPr>
          <w:iCs/>
        </w:rPr>
        <w:t xml:space="preserve">additionally </w:t>
      </w:r>
      <w:r>
        <w:rPr>
          <w:iCs/>
        </w:rPr>
        <w:t>d</w:t>
      </w:r>
      <w:r w:rsidR="00994FC1">
        <w:rPr>
          <w:iCs/>
        </w:rPr>
        <w:t>i</w:t>
      </w:r>
      <w:r>
        <w:rPr>
          <w:iCs/>
        </w:rPr>
        <w:t>verted trade flows from within the region towards the EU market. Currently</w:t>
      </w:r>
      <w:r w:rsidR="00510723">
        <w:rPr>
          <w:iCs/>
        </w:rPr>
        <w:t>,</w:t>
      </w:r>
      <w:r>
        <w:rPr>
          <w:iCs/>
        </w:rPr>
        <w:t xml:space="preserve"> Western Balkan economies record </w:t>
      </w:r>
      <w:r w:rsidR="00510723">
        <w:rPr>
          <w:iCs/>
        </w:rPr>
        <w:t xml:space="preserve">a </w:t>
      </w:r>
      <w:r>
        <w:rPr>
          <w:iCs/>
        </w:rPr>
        <w:t>high level of economic integration with the EU which accounts for almost 2/3 of their total trade exchange of goods, while the trade exchange within CEFTA -2006 f</w:t>
      </w:r>
      <w:r w:rsidR="00994FC1">
        <w:rPr>
          <w:iCs/>
        </w:rPr>
        <w:t>el</w:t>
      </w:r>
      <w:r>
        <w:rPr>
          <w:iCs/>
        </w:rPr>
        <w:t xml:space="preserve">l </w:t>
      </w:r>
      <w:r w:rsidR="00510723">
        <w:rPr>
          <w:iCs/>
        </w:rPr>
        <w:t>between</w:t>
      </w:r>
      <w:r>
        <w:rPr>
          <w:iCs/>
        </w:rPr>
        <w:t xml:space="preserve"> 10-15% of the total trade exchange of goods of its member-states. </w:t>
      </w:r>
    </w:p>
    <w:p w14:paraId="63438540" w14:textId="77777777" w:rsidR="00BD688A" w:rsidRDefault="00BD688A" w:rsidP="001917F0">
      <w:pPr>
        <w:ind w:firstLine="720"/>
        <w:rPr>
          <w:iCs/>
        </w:rPr>
      </w:pPr>
    </w:p>
    <w:p w14:paraId="718D4E48" w14:textId="0F60968A" w:rsidR="00E33975" w:rsidRDefault="00E33975" w:rsidP="001917F0">
      <w:pPr>
        <w:ind w:firstLine="720"/>
        <w:rPr>
          <w:iCs/>
        </w:rPr>
      </w:pPr>
      <w:r>
        <w:rPr>
          <w:iCs/>
        </w:rPr>
        <w:t xml:space="preserve">Graph.1 </w:t>
      </w:r>
      <w:r w:rsidR="00E81EDE">
        <w:rPr>
          <w:iCs/>
        </w:rPr>
        <w:t>Share of export per trading partner</w:t>
      </w:r>
      <w:r w:rsidR="00240ABF">
        <w:rPr>
          <w:iCs/>
        </w:rPr>
        <w:t>, percentage of total export</w:t>
      </w:r>
    </w:p>
    <w:p w14:paraId="3ABCA505" w14:textId="77777777" w:rsidR="00E33975" w:rsidRDefault="00E33975" w:rsidP="001917F0">
      <w:pPr>
        <w:ind w:firstLine="360"/>
        <w:rPr>
          <w:iCs/>
        </w:rPr>
      </w:pPr>
      <w:r>
        <w:rPr>
          <w:noProof/>
        </w:rPr>
        <w:drawing>
          <wp:inline distT="0" distB="0" distL="0" distR="0" wp14:anchorId="37CCDE27" wp14:editId="4E66FC61">
            <wp:extent cx="5943600" cy="2295525"/>
            <wp:effectExtent l="0" t="0" r="0" b="9525"/>
            <wp:docPr id="1" name="Chart 1">
              <a:extLst xmlns:a="http://schemas.openxmlformats.org/drawingml/2006/main">
                <a:ext uri="{FF2B5EF4-FFF2-40B4-BE49-F238E27FC236}">
                  <a16:creationId xmlns:a16="http://schemas.microsoft.com/office/drawing/2014/main" id="{F2A034D9-561E-46E6-81F0-24A9330EC6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1BF2A73" w14:textId="7DFDB8DD" w:rsidR="00E81EDE" w:rsidRDefault="00E81EDE" w:rsidP="001917F0">
      <w:pPr>
        <w:ind w:firstLine="720"/>
        <w:rPr>
          <w:iCs/>
        </w:rPr>
      </w:pPr>
      <w:r w:rsidRPr="001229E6">
        <w:rPr>
          <w:iCs/>
        </w:rPr>
        <w:t>Source:</w:t>
      </w:r>
      <w:r w:rsidR="001229E6" w:rsidRPr="00D62EFB">
        <w:rPr>
          <w:iCs/>
        </w:rPr>
        <w:t xml:space="preserve"> I</w:t>
      </w:r>
      <w:r w:rsidR="001229E6">
        <w:rPr>
          <w:iCs/>
        </w:rPr>
        <w:t xml:space="preserve">nternational Monetary Fund, </w:t>
      </w:r>
      <w:r w:rsidR="00D62EFB">
        <w:rPr>
          <w:iCs/>
        </w:rPr>
        <w:t>Direction of Trade Statistics</w:t>
      </w:r>
      <w:r w:rsidR="00142209">
        <w:rPr>
          <w:iCs/>
        </w:rPr>
        <w:t>, https:/</w:t>
      </w:r>
      <w:r w:rsidR="00163FBA">
        <w:rPr>
          <w:iCs/>
        </w:rPr>
        <w:t>/</w:t>
      </w:r>
      <w:r w:rsidR="00142209">
        <w:rPr>
          <w:iCs/>
        </w:rPr>
        <w:t>data.imf.org.</w:t>
      </w:r>
    </w:p>
    <w:p w14:paraId="55C1496B" w14:textId="77777777" w:rsidR="00163FBA" w:rsidRDefault="00163FBA" w:rsidP="001917F0">
      <w:pPr>
        <w:ind w:firstLine="720"/>
        <w:rPr>
          <w:iCs/>
          <w:szCs w:val="24"/>
        </w:rPr>
      </w:pPr>
    </w:p>
    <w:p w14:paraId="75B7A0CF" w14:textId="18BE7AAF" w:rsidR="00E81EDE" w:rsidRDefault="00E81EDE" w:rsidP="001917F0">
      <w:pPr>
        <w:ind w:firstLine="720"/>
        <w:rPr>
          <w:iCs/>
          <w:szCs w:val="24"/>
        </w:rPr>
      </w:pPr>
      <w:r>
        <w:rPr>
          <w:iCs/>
          <w:szCs w:val="24"/>
        </w:rPr>
        <w:t xml:space="preserve">The </w:t>
      </w:r>
      <w:r w:rsidR="00A11D71">
        <w:rPr>
          <w:iCs/>
          <w:szCs w:val="24"/>
        </w:rPr>
        <w:t xml:space="preserve">analysis </w:t>
      </w:r>
      <w:r>
        <w:rPr>
          <w:iCs/>
          <w:szCs w:val="24"/>
        </w:rPr>
        <w:t xml:space="preserve">of the trade flows of Western Balkan countries per trading partner is given in </w:t>
      </w:r>
      <w:r w:rsidR="00A11D71">
        <w:rPr>
          <w:iCs/>
          <w:szCs w:val="24"/>
        </w:rPr>
        <w:t xml:space="preserve">graphs </w:t>
      </w:r>
      <w:r>
        <w:rPr>
          <w:iCs/>
          <w:szCs w:val="24"/>
        </w:rPr>
        <w:t xml:space="preserve">1 and  2. Data indicates that for Montenegro and Kosovo </w:t>
      </w:r>
      <w:r w:rsidR="00140512">
        <w:rPr>
          <w:iCs/>
          <w:szCs w:val="24"/>
        </w:rPr>
        <w:t>exporting</w:t>
      </w:r>
      <w:r>
        <w:rPr>
          <w:iCs/>
          <w:szCs w:val="24"/>
        </w:rPr>
        <w:t xml:space="preserve"> to CEFTA-2006 members is more important than </w:t>
      </w:r>
      <w:r w:rsidR="00140512">
        <w:rPr>
          <w:iCs/>
          <w:szCs w:val="24"/>
        </w:rPr>
        <w:t>exporting</w:t>
      </w:r>
      <w:r>
        <w:rPr>
          <w:iCs/>
          <w:szCs w:val="24"/>
        </w:rPr>
        <w:t xml:space="preserve"> to </w:t>
      </w:r>
      <w:r w:rsidR="00C92C25">
        <w:rPr>
          <w:iCs/>
          <w:szCs w:val="24"/>
        </w:rPr>
        <w:t xml:space="preserve">the </w:t>
      </w:r>
      <w:r>
        <w:rPr>
          <w:iCs/>
          <w:szCs w:val="24"/>
        </w:rPr>
        <w:t>EU market. However</w:t>
      </w:r>
      <w:r w:rsidR="00C92C25">
        <w:rPr>
          <w:iCs/>
          <w:szCs w:val="24"/>
        </w:rPr>
        <w:t>,</w:t>
      </w:r>
      <w:r>
        <w:rPr>
          <w:iCs/>
          <w:szCs w:val="24"/>
        </w:rPr>
        <w:t xml:space="preserve"> for Albania, Bosnia, North Macedonia and Serbia, </w:t>
      </w:r>
      <w:r w:rsidR="00510723">
        <w:rPr>
          <w:iCs/>
          <w:szCs w:val="24"/>
        </w:rPr>
        <w:t xml:space="preserve">the </w:t>
      </w:r>
      <w:r>
        <w:rPr>
          <w:iCs/>
          <w:szCs w:val="24"/>
        </w:rPr>
        <w:t xml:space="preserve">European </w:t>
      </w:r>
      <w:r w:rsidR="00140512">
        <w:rPr>
          <w:iCs/>
          <w:szCs w:val="24"/>
        </w:rPr>
        <w:t>Union’s</w:t>
      </w:r>
      <w:r>
        <w:rPr>
          <w:iCs/>
          <w:szCs w:val="24"/>
        </w:rPr>
        <w:t xml:space="preserve"> market is </w:t>
      </w:r>
      <w:r w:rsidR="003F7556">
        <w:rPr>
          <w:iCs/>
          <w:szCs w:val="24"/>
        </w:rPr>
        <w:t xml:space="preserve">the </w:t>
      </w:r>
      <w:r>
        <w:rPr>
          <w:iCs/>
          <w:szCs w:val="24"/>
        </w:rPr>
        <w:t>most important for their exports. For the import, data indicate that for all Western Balkan countries im</w:t>
      </w:r>
      <w:r w:rsidR="003D395F">
        <w:rPr>
          <w:iCs/>
          <w:szCs w:val="24"/>
        </w:rPr>
        <w:t>por</w:t>
      </w:r>
      <w:r>
        <w:rPr>
          <w:iCs/>
          <w:szCs w:val="24"/>
        </w:rPr>
        <w:t xml:space="preserve">t coming from the European Union has </w:t>
      </w:r>
      <w:r w:rsidR="00C92C25">
        <w:rPr>
          <w:iCs/>
          <w:szCs w:val="24"/>
        </w:rPr>
        <w:t xml:space="preserve">a </w:t>
      </w:r>
      <w:r>
        <w:rPr>
          <w:iCs/>
          <w:szCs w:val="24"/>
        </w:rPr>
        <w:t xml:space="preserve">dominant share. Import from CEFTA-2006 members is </w:t>
      </w:r>
      <w:r w:rsidR="00510723">
        <w:rPr>
          <w:iCs/>
          <w:szCs w:val="24"/>
        </w:rPr>
        <w:t>in</w:t>
      </w:r>
      <w:r>
        <w:rPr>
          <w:iCs/>
          <w:szCs w:val="24"/>
        </w:rPr>
        <w:t xml:space="preserve"> the second place.</w:t>
      </w:r>
    </w:p>
    <w:p w14:paraId="6B067773" w14:textId="72216A50" w:rsidR="00BD688A" w:rsidRDefault="00BD688A" w:rsidP="001917F0">
      <w:pPr>
        <w:ind w:firstLine="720"/>
        <w:rPr>
          <w:iCs/>
          <w:szCs w:val="24"/>
        </w:rPr>
      </w:pPr>
    </w:p>
    <w:p w14:paraId="0807324E" w14:textId="77777777" w:rsidR="00BD688A" w:rsidRDefault="00BD688A" w:rsidP="001917F0">
      <w:pPr>
        <w:ind w:firstLine="720"/>
        <w:rPr>
          <w:rFonts w:eastAsiaTheme="minorEastAsia"/>
          <w:iCs/>
          <w:szCs w:val="24"/>
        </w:rPr>
      </w:pPr>
    </w:p>
    <w:p w14:paraId="6EF76BDC" w14:textId="5E75578D" w:rsidR="00E81EDE" w:rsidRDefault="00E81EDE" w:rsidP="001917F0">
      <w:pPr>
        <w:ind w:firstLine="720"/>
        <w:rPr>
          <w:iCs/>
        </w:rPr>
      </w:pPr>
      <w:r>
        <w:rPr>
          <w:iCs/>
        </w:rPr>
        <w:lastRenderedPageBreak/>
        <w:t>Graph 2. Share of import</w:t>
      </w:r>
      <w:r w:rsidR="00140512">
        <w:rPr>
          <w:iCs/>
        </w:rPr>
        <w:t>s</w:t>
      </w:r>
      <w:r>
        <w:rPr>
          <w:iCs/>
        </w:rPr>
        <w:t xml:space="preserve"> per trading partner</w:t>
      </w:r>
      <w:r w:rsidR="00240ABF">
        <w:rPr>
          <w:iCs/>
        </w:rPr>
        <w:t>, percentage of total import</w:t>
      </w:r>
    </w:p>
    <w:p w14:paraId="42513EC8" w14:textId="34178C0D" w:rsidR="00E81EDE" w:rsidRDefault="00E81EDE" w:rsidP="001917F0">
      <w:pPr>
        <w:ind w:firstLine="720"/>
        <w:rPr>
          <w:iCs/>
        </w:rPr>
      </w:pPr>
      <w:r>
        <w:rPr>
          <w:noProof/>
        </w:rPr>
        <w:drawing>
          <wp:inline distT="0" distB="0" distL="0" distR="0" wp14:anchorId="06648DF7" wp14:editId="2C9BD9C7">
            <wp:extent cx="5943600" cy="2523490"/>
            <wp:effectExtent l="0" t="0" r="0" b="10160"/>
            <wp:docPr id="2" name="Chart 2">
              <a:extLst xmlns:a="http://schemas.openxmlformats.org/drawingml/2006/main">
                <a:ext uri="{FF2B5EF4-FFF2-40B4-BE49-F238E27FC236}">
                  <a16:creationId xmlns:a16="http://schemas.microsoft.com/office/drawing/2014/main" id="{9703B857-1A22-4E06-91FE-EF0B5C9DE8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46F292C" w14:textId="77777777" w:rsidR="00AA3FD9" w:rsidRDefault="00E81EDE" w:rsidP="001917F0">
      <w:pPr>
        <w:ind w:firstLine="720"/>
        <w:rPr>
          <w:iCs/>
        </w:rPr>
      </w:pPr>
      <w:r>
        <w:rPr>
          <w:iCs/>
        </w:rPr>
        <w:t>Source:</w:t>
      </w:r>
      <w:r w:rsidR="00AA3FD9">
        <w:rPr>
          <w:iCs/>
        </w:rPr>
        <w:t xml:space="preserve"> </w:t>
      </w:r>
      <w:r w:rsidR="00AA3FD9" w:rsidRPr="00D62EFB">
        <w:rPr>
          <w:iCs/>
        </w:rPr>
        <w:t>I</w:t>
      </w:r>
      <w:r w:rsidR="00AA3FD9">
        <w:rPr>
          <w:iCs/>
        </w:rPr>
        <w:t>nternational Monetary Fund, Direction of Trade Statistics, https://data.imf.org.</w:t>
      </w:r>
    </w:p>
    <w:p w14:paraId="6391619E" w14:textId="77777777" w:rsidR="00E81EDE" w:rsidRDefault="00E81EDE" w:rsidP="001917F0">
      <w:pPr>
        <w:rPr>
          <w:iCs/>
        </w:rPr>
      </w:pPr>
    </w:p>
    <w:p w14:paraId="4BE6602A" w14:textId="6393B75D" w:rsidR="001054D9" w:rsidRDefault="00C92C25" w:rsidP="001917F0">
      <w:pPr>
        <w:rPr>
          <w:iCs/>
          <w:szCs w:val="24"/>
        </w:rPr>
      </w:pPr>
      <w:r>
        <w:rPr>
          <w:iCs/>
        </w:rPr>
        <w:t xml:space="preserve">      </w:t>
      </w:r>
      <w:r w:rsidR="001054D9">
        <w:rPr>
          <w:iCs/>
        </w:rPr>
        <w:t xml:space="preserve">Considering the negative impact that the </w:t>
      </w:r>
      <w:r>
        <w:rPr>
          <w:iCs/>
        </w:rPr>
        <w:t>financial and economic crisis</w:t>
      </w:r>
      <w:r w:rsidR="001054D9">
        <w:rPr>
          <w:iCs/>
        </w:rPr>
        <w:t xml:space="preserve"> from 2008 had upon the CEFTA-2006 integrative process, in 2014 an initiative under the </w:t>
      </w:r>
      <w:r w:rsidR="00510723">
        <w:rPr>
          <w:iCs/>
        </w:rPr>
        <w:t>so-called</w:t>
      </w:r>
      <w:r w:rsidR="001054D9">
        <w:rPr>
          <w:iCs/>
        </w:rPr>
        <w:t xml:space="preserve"> Berlin Process was pushed forward </w:t>
      </w:r>
      <w:r w:rsidR="00121358">
        <w:rPr>
          <w:iCs/>
        </w:rPr>
        <w:t>to</w:t>
      </w:r>
      <w:r w:rsidR="001054D9">
        <w:rPr>
          <w:iCs/>
        </w:rPr>
        <w:t xml:space="preserve"> support and </w:t>
      </w:r>
      <w:r w:rsidR="00994FC1">
        <w:rPr>
          <w:iCs/>
        </w:rPr>
        <w:t>e</w:t>
      </w:r>
      <w:r w:rsidR="001054D9">
        <w:rPr>
          <w:iCs/>
        </w:rPr>
        <w:t>nh</w:t>
      </w:r>
      <w:r w:rsidR="00994FC1">
        <w:rPr>
          <w:iCs/>
        </w:rPr>
        <w:t>a</w:t>
      </w:r>
      <w:r w:rsidR="001054D9">
        <w:rPr>
          <w:iCs/>
        </w:rPr>
        <w:t xml:space="preserve">nce further economic integration of the region. However, the initiative ended up with negative results and </w:t>
      </w:r>
      <w:r w:rsidR="00140512">
        <w:rPr>
          <w:iCs/>
        </w:rPr>
        <w:t xml:space="preserve">the </w:t>
      </w:r>
      <w:r w:rsidR="00510723">
        <w:rPr>
          <w:iCs/>
        </w:rPr>
        <w:t>resurrection</w:t>
      </w:r>
      <w:r w:rsidR="001054D9">
        <w:rPr>
          <w:iCs/>
        </w:rPr>
        <w:t xml:space="preserve"> of protectionism. </w:t>
      </w:r>
      <w:r w:rsidR="001054D9">
        <w:rPr>
          <w:iCs/>
          <w:szCs w:val="24"/>
        </w:rPr>
        <w:t>In 2017, the Berlin Process launched a new idea of converting CEFTA-2006 into a Regional Economic Area</w:t>
      </w:r>
      <w:r w:rsidR="00510723">
        <w:rPr>
          <w:iCs/>
          <w:szCs w:val="24"/>
        </w:rPr>
        <w:t xml:space="preserve"> </w:t>
      </w:r>
      <w:r w:rsidR="001054D9">
        <w:rPr>
          <w:iCs/>
          <w:szCs w:val="24"/>
        </w:rPr>
        <w:t>to be fully established</w:t>
      </w:r>
      <w:r w:rsidR="001054D9" w:rsidRPr="00392BCC">
        <w:rPr>
          <w:iCs/>
          <w:szCs w:val="24"/>
        </w:rPr>
        <w:t xml:space="preserve"> in 6 years</w:t>
      </w:r>
      <w:r w:rsidR="001054D9">
        <w:rPr>
          <w:iCs/>
          <w:szCs w:val="24"/>
        </w:rPr>
        <w:t xml:space="preserve"> (by 2023). By 2019 it was evident that this new idea did not </w:t>
      </w:r>
      <w:r w:rsidR="009602CF">
        <w:rPr>
          <w:iCs/>
          <w:szCs w:val="24"/>
        </w:rPr>
        <w:t>decrease</w:t>
      </w:r>
      <w:r w:rsidR="001054D9" w:rsidRPr="00392BCC">
        <w:rPr>
          <w:iCs/>
          <w:szCs w:val="24"/>
        </w:rPr>
        <w:t xml:space="preserve"> trade protectionism</w:t>
      </w:r>
      <w:r w:rsidR="001054D9">
        <w:rPr>
          <w:iCs/>
          <w:szCs w:val="24"/>
        </w:rPr>
        <w:t>, thus integrative processes within CEFTA-2006 were at a stand-still. In 2020 a new Action P</w:t>
      </w:r>
      <w:r w:rsidR="001054D9" w:rsidRPr="00392BCC">
        <w:rPr>
          <w:iCs/>
          <w:szCs w:val="24"/>
        </w:rPr>
        <w:t xml:space="preserve">lan </w:t>
      </w:r>
      <w:r w:rsidR="001054D9">
        <w:rPr>
          <w:iCs/>
          <w:szCs w:val="24"/>
        </w:rPr>
        <w:t>envisaged for</w:t>
      </w:r>
      <w:r w:rsidR="001054D9" w:rsidRPr="00392BCC">
        <w:rPr>
          <w:iCs/>
          <w:szCs w:val="24"/>
        </w:rPr>
        <w:t xml:space="preserve"> creation of </w:t>
      </w:r>
      <w:r w:rsidR="001054D9">
        <w:rPr>
          <w:iCs/>
          <w:szCs w:val="24"/>
        </w:rPr>
        <w:t xml:space="preserve">a </w:t>
      </w:r>
      <w:r w:rsidR="001054D9" w:rsidRPr="00392BCC">
        <w:rPr>
          <w:iCs/>
          <w:szCs w:val="24"/>
        </w:rPr>
        <w:t xml:space="preserve">Common Regional Market based on EU rules in the period </w:t>
      </w:r>
      <w:r w:rsidR="001054D9">
        <w:rPr>
          <w:iCs/>
          <w:szCs w:val="24"/>
        </w:rPr>
        <w:t xml:space="preserve">from </w:t>
      </w:r>
      <w:r w:rsidR="001054D9" w:rsidRPr="00392BCC">
        <w:rPr>
          <w:iCs/>
          <w:szCs w:val="24"/>
        </w:rPr>
        <w:t>2021-2024</w:t>
      </w:r>
      <w:r w:rsidR="001054D9">
        <w:rPr>
          <w:iCs/>
          <w:szCs w:val="24"/>
        </w:rPr>
        <w:t xml:space="preserve">. The reluctance of all member-states to proceed </w:t>
      </w:r>
      <w:r w:rsidR="009F7B9E">
        <w:rPr>
          <w:iCs/>
          <w:szCs w:val="24"/>
        </w:rPr>
        <w:t xml:space="preserve">according </w:t>
      </w:r>
      <w:r w:rsidR="001054D9">
        <w:rPr>
          <w:iCs/>
          <w:szCs w:val="24"/>
        </w:rPr>
        <w:t xml:space="preserve">to the new Action Plan reached its pick with the outburst of the COVID-19 crises and the new macroeconomic challenges that the region had to solve as a new priority. Many authorities tried to estimate and measure the impact that the creation of a </w:t>
      </w:r>
      <w:r w:rsidR="001054D9" w:rsidRPr="00392BCC">
        <w:rPr>
          <w:iCs/>
          <w:szCs w:val="24"/>
        </w:rPr>
        <w:t>Common Regional Market</w:t>
      </w:r>
      <w:r w:rsidR="001054D9">
        <w:rPr>
          <w:iCs/>
          <w:szCs w:val="24"/>
        </w:rPr>
        <w:t xml:space="preserve"> within CEFTA-2006 would have upon the economic welfare of each of the member-states, but it was and still is unclear how the region is supposed to become a common market without previo</w:t>
      </w:r>
      <w:r w:rsidR="00150570">
        <w:rPr>
          <w:iCs/>
          <w:szCs w:val="24"/>
        </w:rPr>
        <w:t>u</w:t>
      </w:r>
      <w:r w:rsidR="001054D9">
        <w:rPr>
          <w:iCs/>
          <w:szCs w:val="24"/>
        </w:rPr>
        <w:t xml:space="preserve">sly becoming a customs union. Thus all estimations provided vague, </w:t>
      </w:r>
      <w:r w:rsidR="009F7B9E">
        <w:rPr>
          <w:iCs/>
          <w:szCs w:val="24"/>
        </w:rPr>
        <w:t xml:space="preserve">ambiguous </w:t>
      </w:r>
      <w:r w:rsidR="001054D9">
        <w:rPr>
          <w:iCs/>
          <w:szCs w:val="24"/>
        </w:rPr>
        <w:t xml:space="preserve">and unclear results and </w:t>
      </w:r>
      <w:r w:rsidR="009F7B9E">
        <w:rPr>
          <w:iCs/>
          <w:szCs w:val="24"/>
        </w:rPr>
        <w:t xml:space="preserve">recommendations </w:t>
      </w:r>
      <w:r w:rsidR="001054D9">
        <w:rPr>
          <w:iCs/>
          <w:szCs w:val="24"/>
        </w:rPr>
        <w:t xml:space="preserve">which did not help </w:t>
      </w:r>
      <w:r w:rsidR="009F7B9E">
        <w:rPr>
          <w:iCs/>
          <w:szCs w:val="24"/>
        </w:rPr>
        <w:t xml:space="preserve">to overcome </w:t>
      </w:r>
      <w:r w:rsidR="001054D9">
        <w:rPr>
          <w:iCs/>
          <w:szCs w:val="24"/>
        </w:rPr>
        <w:t xml:space="preserve">the already present </w:t>
      </w:r>
      <w:r w:rsidR="009F7B9E">
        <w:rPr>
          <w:iCs/>
          <w:szCs w:val="24"/>
        </w:rPr>
        <w:t xml:space="preserve">reluctant </w:t>
      </w:r>
      <w:r w:rsidR="001054D9">
        <w:rPr>
          <w:iCs/>
          <w:szCs w:val="24"/>
        </w:rPr>
        <w:t xml:space="preserve">attitude. The latest 2021 Open Balkan Initiative </w:t>
      </w:r>
      <w:r w:rsidR="00286469">
        <w:rPr>
          <w:iCs/>
          <w:szCs w:val="24"/>
        </w:rPr>
        <w:t xml:space="preserve">in </w:t>
      </w:r>
      <w:r w:rsidR="001054D9">
        <w:rPr>
          <w:iCs/>
          <w:szCs w:val="24"/>
        </w:rPr>
        <w:t>which only Albania,</w:t>
      </w:r>
      <w:r w:rsidR="003A5C8A">
        <w:rPr>
          <w:iCs/>
          <w:szCs w:val="24"/>
        </w:rPr>
        <w:t xml:space="preserve"> North</w:t>
      </w:r>
      <w:r w:rsidR="001054D9">
        <w:rPr>
          <w:iCs/>
          <w:szCs w:val="24"/>
        </w:rPr>
        <w:t xml:space="preserve"> Macedonia and Serbia </w:t>
      </w:r>
      <w:r w:rsidR="00286469">
        <w:rPr>
          <w:iCs/>
          <w:szCs w:val="24"/>
        </w:rPr>
        <w:t xml:space="preserve">participate, </w:t>
      </w:r>
      <w:r w:rsidR="001054D9">
        <w:rPr>
          <w:iCs/>
          <w:szCs w:val="24"/>
        </w:rPr>
        <w:t>bro</w:t>
      </w:r>
      <w:r w:rsidR="008A7213">
        <w:rPr>
          <w:iCs/>
          <w:szCs w:val="24"/>
        </w:rPr>
        <w:t>u</w:t>
      </w:r>
      <w:r w:rsidR="001054D9">
        <w:rPr>
          <w:iCs/>
          <w:szCs w:val="24"/>
        </w:rPr>
        <w:t xml:space="preserve">ght even more confusion and resentment </w:t>
      </w:r>
      <w:proofErr w:type="spellStart"/>
      <w:r w:rsidR="00AC66D8">
        <w:rPr>
          <w:iCs/>
          <w:szCs w:val="24"/>
          <w:lang w:val="mk-MK"/>
        </w:rPr>
        <w:t>to</w:t>
      </w:r>
      <w:proofErr w:type="spellEnd"/>
      <w:r w:rsidR="001054D9">
        <w:rPr>
          <w:iCs/>
          <w:szCs w:val="24"/>
        </w:rPr>
        <w:t xml:space="preserve"> the other four CEFTA-2006 member-states.</w:t>
      </w:r>
    </w:p>
    <w:p w14:paraId="786CE659" w14:textId="300FEE30" w:rsidR="00294A41" w:rsidRDefault="00286469" w:rsidP="001917F0">
      <w:pPr>
        <w:ind w:firstLine="360"/>
        <w:rPr>
          <w:iCs/>
          <w:szCs w:val="24"/>
        </w:rPr>
      </w:pPr>
      <w:r>
        <w:rPr>
          <w:iCs/>
          <w:szCs w:val="24"/>
        </w:rPr>
        <w:t>In</w:t>
      </w:r>
      <w:r w:rsidR="00294A41">
        <w:rPr>
          <w:iCs/>
          <w:szCs w:val="24"/>
        </w:rPr>
        <w:t xml:space="preserve"> this paper</w:t>
      </w:r>
      <w:r w:rsidR="002773F6">
        <w:rPr>
          <w:iCs/>
          <w:szCs w:val="24"/>
        </w:rPr>
        <w:t>,</w:t>
      </w:r>
      <w:r w:rsidR="00294A41">
        <w:rPr>
          <w:iCs/>
          <w:szCs w:val="24"/>
        </w:rPr>
        <w:t xml:space="preserve"> </w:t>
      </w:r>
      <w:r w:rsidR="00AE23D1">
        <w:rPr>
          <w:iCs/>
          <w:szCs w:val="24"/>
        </w:rPr>
        <w:t>the importance of the regional component for enhancing trade integration</w:t>
      </w:r>
      <w:r w:rsidR="00EE5966">
        <w:rPr>
          <w:iCs/>
          <w:szCs w:val="24"/>
        </w:rPr>
        <w:t xml:space="preserve"> is highlighted,</w:t>
      </w:r>
      <w:r w:rsidR="00AE23D1">
        <w:rPr>
          <w:iCs/>
          <w:szCs w:val="24"/>
        </w:rPr>
        <w:t xml:space="preserve"> which appears to be very important</w:t>
      </w:r>
      <w:r w:rsidR="00FE7C27">
        <w:rPr>
          <w:iCs/>
          <w:szCs w:val="24"/>
        </w:rPr>
        <w:t>,</w:t>
      </w:r>
      <w:r w:rsidR="00AE23D1">
        <w:rPr>
          <w:iCs/>
          <w:szCs w:val="24"/>
        </w:rPr>
        <w:t xml:space="preserve"> in </w:t>
      </w:r>
      <w:r w:rsidR="008262FF">
        <w:rPr>
          <w:iCs/>
          <w:szCs w:val="24"/>
        </w:rPr>
        <w:t xml:space="preserve">the </w:t>
      </w:r>
      <w:r w:rsidR="00AE23D1">
        <w:rPr>
          <w:iCs/>
          <w:szCs w:val="24"/>
        </w:rPr>
        <w:t>period of</w:t>
      </w:r>
      <w:r w:rsidR="00FE7C27">
        <w:rPr>
          <w:iCs/>
          <w:szCs w:val="24"/>
        </w:rPr>
        <w:t xml:space="preserve"> the new COVID-19</w:t>
      </w:r>
      <w:r w:rsidR="00BD688A">
        <w:rPr>
          <w:iCs/>
          <w:szCs w:val="24"/>
        </w:rPr>
        <w:t xml:space="preserve"> </w:t>
      </w:r>
      <w:r w:rsidR="00AE23D1">
        <w:rPr>
          <w:iCs/>
          <w:szCs w:val="24"/>
        </w:rPr>
        <w:t>crisis. For this purpose</w:t>
      </w:r>
      <w:r w:rsidR="002773F6">
        <w:rPr>
          <w:iCs/>
          <w:szCs w:val="24"/>
        </w:rPr>
        <w:t>,</w:t>
      </w:r>
      <w:r w:rsidR="00AE23D1">
        <w:rPr>
          <w:iCs/>
          <w:szCs w:val="24"/>
        </w:rPr>
        <w:t xml:space="preserve"> </w:t>
      </w:r>
      <w:r>
        <w:rPr>
          <w:iCs/>
          <w:szCs w:val="24"/>
        </w:rPr>
        <w:t xml:space="preserve">the </w:t>
      </w:r>
      <w:r w:rsidR="00AE23D1">
        <w:rPr>
          <w:iCs/>
          <w:szCs w:val="24"/>
        </w:rPr>
        <w:t>gravity</w:t>
      </w:r>
      <w:r w:rsidR="008262FF">
        <w:rPr>
          <w:iCs/>
          <w:szCs w:val="24"/>
        </w:rPr>
        <w:t xml:space="preserve"> </w:t>
      </w:r>
      <w:r w:rsidR="00AE23D1">
        <w:rPr>
          <w:iCs/>
          <w:szCs w:val="24"/>
        </w:rPr>
        <w:t xml:space="preserve">model </w:t>
      </w:r>
      <w:proofErr w:type="spellStart"/>
      <w:r w:rsidR="00AC66D8">
        <w:rPr>
          <w:iCs/>
          <w:szCs w:val="24"/>
          <w:lang w:val="mk-MK"/>
        </w:rPr>
        <w:t>to</w:t>
      </w:r>
      <w:proofErr w:type="spellEnd"/>
      <w:r w:rsidR="00AE23D1">
        <w:rPr>
          <w:iCs/>
          <w:szCs w:val="24"/>
        </w:rPr>
        <w:t xml:space="preserve"> </w:t>
      </w:r>
      <w:r w:rsidR="00150570">
        <w:rPr>
          <w:iCs/>
          <w:szCs w:val="24"/>
        </w:rPr>
        <w:t xml:space="preserve">North </w:t>
      </w:r>
      <w:r w:rsidR="00AE23D1">
        <w:rPr>
          <w:iCs/>
          <w:szCs w:val="24"/>
        </w:rPr>
        <w:t>Macedonias’ trade</w:t>
      </w:r>
      <w:r w:rsidR="00EE5966">
        <w:rPr>
          <w:iCs/>
          <w:szCs w:val="24"/>
        </w:rPr>
        <w:t xml:space="preserve"> is applied,</w:t>
      </w:r>
      <w:r w:rsidR="00AE23D1">
        <w:rPr>
          <w:iCs/>
          <w:szCs w:val="24"/>
        </w:rPr>
        <w:t xml:space="preserve"> to indicate</w:t>
      </w:r>
      <w:r w:rsidR="008262FF">
        <w:rPr>
          <w:iCs/>
          <w:szCs w:val="24"/>
        </w:rPr>
        <w:t xml:space="preserve"> </w:t>
      </w:r>
      <w:r w:rsidR="00AE23D1">
        <w:rPr>
          <w:iCs/>
          <w:szCs w:val="24"/>
        </w:rPr>
        <w:t xml:space="preserve">the importance of the regional component of free trade </w:t>
      </w:r>
      <w:r w:rsidR="00C60FEC">
        <w:rPr>
          <w:iCs/>
          <w:szCs w:val="24"/>
        </w:rPr>
        <w:t xml:space="preserve">agreements </w:t>
      </w:r>
      <w:r w:rsidR="00AE23D1">
        <w:rPr>
          <w:iCs/>
          <w:szCs w:val="24"/>
        </w:rPr>
        <w:t>for increasing mutual trade and enhancing trade integration. In the first section</w:t>
      </w:r>
      <w:r w:rsidR="00C60FEC">
        <w:rPr>
          <w:iCs/>
          <w:szCs w:val="24"/>
        </w:rPr>
        <w:t>,</w:t>
      </w:r>
      <w:r w:rsidR="00AE23D1">
        <w:rPr>
          <w:iCs/>
          <w:szCs w:val="24"/>
        </w:rPr>
        <w:t xml:space="preserve"> </w:t>
      </w:r>
      <w:r>
        <w:rPr>
          <w:iCs/>
          <w:szCs w:val="24"/>
        </w:rPr>
        <w:t xml:space="preserve">a </w:t>
      </w:r>
      <w:r w:rsidR="00AE23D1">
        <w:rPr>
          <w:iCs/>
          <w:szCs w:val="24"/>
        </w:rPr>
        <w:t>literature review on the importance of the process of regional integration</w:t>
      </w:r>
      <w:r w:rsidR="00EE5966">
        <w:rPr>
          <w:iCs/>
          <w:szCs w:val="24"/>
        </w:rPr>
        <w:t xml:space="preserve"> is provided</w:t>
      </w:r>
      <w:r w:rsidR="00AE23D1">
        <w:rPr>
          <w:iCs/>
          <w:szCs w:val="24"/>
        </w:rPr>
        <w:t>. In the second section</w:t>
      </w:r>
      <w:r w:rsidR="00C60FEC">
        <w:rPr>
          <w:iCs/>
          <w:szCs w:val="24"/>
        </w:rPr>
        <w:t>,</w:t>
      </w:r>
      <w:r w:rsidR="00AE23D1">
        <w:rPr>
          <w:iCs/>
          <w:szCs w:val="24"/>
        </w:rPr>
        <w:t xml:space="preserve"> the model and the data use</w:t>
      </w:r>
      <w:r w:rsidR="00EE5966">
        <w:rPr>
          <w:iCs/>
          <w:szCs w:val="24"/>
        </w:rPr>
        <w:t>d</w:t>
      </w:r>
      <w:r w:rsidR="00AE23D1">
        <w:rPr>
          <w:iCs/>
          <w:szCs w:val="24"/>
        </w:rPr>
        <w:t xml:space="preserve"> for the gravity model for </w:t>
      </w:r>
      <w:r w:rsidR="00150570">
        <w:rPr>
          <w:iCs/>
          <w:szCs w:val="24"/>
        </w:rPr>
        <w:t xml:space="preserve">North </w:t>
      </w:r>
      <w:r w:rsidR="00AE23D1">
        <w:rPr>
          <w:iCs/>
          <w:szCs w:val="24"/>
        </w:rPr>
        <w:t>Macedonia</w:t>
      </w:r>
      <w:r w:rsidR="008262FF">
        <w:rPr>
          <w:iCs/>
          <w:szCs w:val="24"/>
        </w:rPr>
        <w:t>’</w:t>
      </w:r>
      <w:r w:rsidR="00AE23D1">
        <w:rPr>
          <w:iCs/>
          <w:szCs w:val="24"/>
        </w:rPr>
        <w:t>s trade</w:t>
      </w:r>
      <w:r w:rsidR="00EE5966">
        <w:rPr>
          <w:iCs/>
          <w:szCs w:val="24"/>
        </w:rPr>
        <w:t xml:space="preserve"> are explained</w:t>
      </w:r>
      <w:r w:rsidR="00AE23D1">
        <w:rPr>
          <w:iCs/>
          <w:szCs w:val="24"/>
        </w:rPr>
        <w:t xml:space="preserve">. In the next, third section, the results from the </w:t>
      </w:r>
      <w:r w:rsidR="00C60FEC">
        <w:rPr>
          <w:iCs/>
          <w:szCs w:val="24"/>
        </w:rPr>
        <w:t>analysis</w:t>
      </w:r>
      <w:r w:rsidR="00EE5966">
        <w:rPr>
          <w:iCs/>
          <w:szCs w:val="24"/>
        </w:rPr>
        <w:t xml:space="preserve"> are presented</w:t>
      </w:r>
      <w:r w:rsidR="00C60FEC">
        <w:rPr>
          <w:iCs/>
          <w:szCs w:val="24"/>
        </w:rPr>
        <w:t xml:space="preserve"> </w:t>
      </w:r>
      <w:r w:rsidR="00AE23D1">
        <w:rPr>
          <w:iCs/>
          <w:szCs w:val="24"/>
        </w:rPr>
        <w:t xml:space="preserve">and in the </w:t>
      </w:r>
      <w:r w:rsidR="001A30C8">
        <w:rPr>
          <w:iCs/>
          <w:szCs w:val="24"/>
        </w:rPr>
        <w:t>fourth section</w:t>
      </w:r>
      <w:r>
        <w:rPr>
          <w:iCs/>
          <w:szCs w:val="24"/>
        </w:rPr>
        <w:t>,</w:t>
      </w:r>
      <w:r w:rsidR="001A30C8">
        <w:rPr>
          <w:iCs/>
          <w:szCs w:val="24"/>
        </w:rPr>
        <w:t xml:space="preserve"> </w:t>
      </w:r>
      <w:r w:rsidR="00C60FEC">
        <w:rPr>
          <w:iCs/>
          <w:szCs w:val="24"/>
        </w:rPr>
        <w:t xml:space="preserve">a </w:t>
      </w:r>
      <w:r w:rsidR="001A30C8">
        <w:rPr>
          <w:iCs/>
          <w:szCs w:val="24"/>
        </w:rPr>
        <w:t>conclusion</w:t>
      </w:r>
      <w:r w:rsidR="00EE5966">
        <w:rPr>
          <w:iCs/>
          <w:szCs w:val="24"/>
        </w:rPr>
        <w:t xml:space="preserve"> is provided</w:t>
      </w:r>
      <w:r w:rsidR="001A30C8">
        <w:rPr>
          <w:iCs/>
          <w:szCs w:val="24"/>
        </w:rPr>
        <w:t>.</w:t>
      </w:r>
    </w:p>
    <w:p w14:paraId="6004094B" w14:textId="77777777" w:rsidR="001054D9" w:rsidRDefault="001054D9" w:rsidP="001917F0">
      <w:pPr>
        <w:rPr>
          <w:iCs/>
          <w:szCs w:val="24"/>
        </w:rPr>
      </w:pPr>
    </w:p>
    <w:p w14:paraId="23D4D460" w14:textId="09ED0F6D" w:rsidR="008A7213" w:rsidRPr="00AE23D1" w:rsidRDefault="008A7213" w:rsidP="001917F0">
      <w:pPr>
        <w:pStyle w:val="ListParagraph"/>
        <w:numPr>
          <w:ilvl w:val="0"/>
          <w:numId w:val="2"/>
        </w:numPr>
        <w:spacing w:line="240" w:lineRule="auto"/>
        <w:rPr>
          <w:b/>
          <w:bCs/>
        </w:rPr>
      </w:pPr>
      <w:r w:rsidRPr="00AE23D1">
        <w:rPr>
          <w:b/>
          <w:bCs/>
        </w:rPr>
        <w:t>Literature Review</w:t>
      </w:r>
    </w:p>
    <w:p w14:paraId="6B4ED846" w14:textId="2872E8BB" w:rsidR="008A7213" w:rsidRPr="00A043A4" w:rsidRDefault="008A7213" w:rsidP="00717106">
      <w:pPr>
        <w:ind w:firstLine="720"/>
        <w:rPr>
          <w:szCs w:val="24"/>
        </w:rPr>
      </w:pPr>
      <w:r w:rsidRPr="00A043A4">
        <w:rPr>
          <w:szCs w:val="24"/>
        </w:rPr>
        <w:lastRenderedPageBreak/>
        <w:t>Regional cooperation is considered to be one of the greatest accomplishments of the Western Balkans</w:t>
      </w:r>
      <w:r w:rsidRPr="00A043A4">
        <w:t xml:space="preserve"> (</w:t>
      </w:r>
      <w:r w:rsidRPr="00A043A4">
        <w:rPr>
          <w:szCs w:val="24"/>
        </w:rPr>
        <w:t xml:space="preserve">Levitin </w:t>
      </w:r>
      <w:r w:rsidR="00C125C2">
        <w:rPr>
          <w:szCs w:val="24"/>
        </w:rPr>
        <w:t>et al.</w:t>
      </w:r>
      <w:r w:rsidRPr="00A043A4">
        <w:rPr>
          <w:szCs w:val="24"/>
        </w:rPr>
        <w:t xml:space="preserve">, 2018). It is associated with numerous advantages for the region, encompassing improved regional stability, as well as promotion of the intra-regional trade of goods and services, economic competitiveness and foreign investment inflows. </w:t>
      </w:r>
      <w:r w:rsidR="00717106">
        <w:rPr>
          <w:szCs w:val="24"/>
        </w:rPr>
        <w:t>As pointed out by many researchers, the regional integration</w:t>
      </w:r>
      <w:r w:rsidR="000708BC">
        <w:rPr>
          <w:szCs w:val="24"/>
        </w:rPr>
        <w:t>s</w:t>
      </w:r>
      <w:r w:rsidR="00717106">
        <w:rPr>
          <w:szCs w:val="24"/>
        </w:rPr>
        <w:t xml:space="preserve">, in general, </w:t>
      </w:r>
      <w:r w:rsidR="000708BC">
        <w:rPr>
          <w:szCs w:val="24"/>
        </w:rPr>
        <w:t>have a potentially important contribution to make to economic growth, development and</w:t>
      </w:r>
      <w:r w:rsidR="00EF7A03">
        <w:rPr>
          <w:szCs w:val="24"/>
        </w:rPr>
        <w:t xml:space="preserve"> </w:t>
      </w:r>
      <w:r w:rsidR="000708BC">
        <w:rPr>
          <w:szCs w:val="24"/>
        </w:rPr>
        <w:t xml:space="preserve">a rise in the living standard (Fetahu, 2014, </w:t>
      </w:r>
      <w:r w:rsidR="000708BC" w:rsidRPr="000708BC">
        <w:rPr>
          <w:szCs w:val="24"/>
        </w:rPr>
        <w:t>Agbonkhese</w:t>
      </w:r>
      <w:r w:rsidR="000708BC">
        <w:rPr>
          <w:szCs w:val="24"/>
        </w:rPr>
        <w:t xml:space="preserve"> et al., 2014, </w:t>
      </w:r>
      <w:r w:rsidR="000708BC" w:rsidRPr="000708BC">
        <w:rPr>
          <w:szCs w:val="24"/>
        </w:rPr>
        <w:t>Aliu-Zhuja</w:t>
      </w:r>
      <w:r w:rsidR="000708BC">
        <w:rPr>
          <w:szCs w:val="24"/>
        </w:rPr>
        <w:t xml:space="preserve"> et al., 2014). </w:t>
      </w:r>
      <w:r w:rsidRPr="00A043A4">
        <w:rPr>
          <w:szCs w:val="24"/>
        </w:rPr>
        <w:t>Since the beginning of the century</w:t>
      </w:r>
      <w:r w:rsidR="000708BC">
        <w:rPr>
          <w:szCs w:val="24"/>
        </w:rPr>
        <w:t>,</w:t>
      </w:r>
      <w:r w:rsidRPr="00A043A4">
        <w:rPr>
          <w:szCs w:val="24"/>
        </w:rPr>
        <w:t xml:space="preserve"> the strategy for strengthening the economic regional cooperation in the Western Balkans included two broad approaches: intraregional trade integration and trade integration in the much bigger EU market. </w:t>
      </w:r>
      <w:r w:rsidR="00121358">
        <w:rPr>
          <w:szCs w:val="24"/>
        </w:rPr>
        <w:t>What</w:t>
      </w:r>
      <w:r w:rsidRPr="00A043A4">
        <w:rPr>
          <w:szCs w:val="24"/>
        </w:rPr>
        <w:t xml:space="preserve"> distinguishes Western </w:t>
      </w:r>
      <w:r w:rsidR="00121358">
        <w:rPr>
          <w:szCs w:val="24"/>
        </w:rPr>
        <w:t>Balkan</w:t>
      </w:r>
      <w:r w:rsidRPr="00A043A4">
        <w:rPr>
          <w:szCs w:val="24"/>
        </w:rPr>
        <w:t xml:space="preserve"> countries’ EU accession process from that of the </w:t>
      </w:r>
      <w:r w:rsidR="00150570" w:rsidRPr="00A043A4">
        <w:rPr>
          <w:szCs w:val="24"/>
        </w:rPr>
        <w:t>latest</w:t>
      </w:r>
      <w:r w:rsidRPr="00A043A4">
        <w:rPr>
          <w:szCs w:val="24"/>
        </w:rPr>
        <w:t xml:space="preserve"> EU member-states is that, in addition to their bilateral accession process with the EU, the Western Balkan countries have also had to achieve benchmarks in terms of their intraregional relations</w:t>
      </w:r>
      <w:r w:rsidRPr="00A043A4">
        <w:t xml:space="preserve"> (</w:t>
      </w:r>
      <w:r w:rsidRPr="00A043A4">
        <w:rPr>
          <w:szCs w:val="24"/>
        </w:rPr>
        <w:t>Bertelsmann Stiftung, 2020).</w:t>
      </w:r>
      <w:r w:rsidRPr="00A043A4">
        <w:t xml:space="preserve"> </w:t>
      </w:r>
      <w:r w:rsidRPr="00A043A4">
        <w:rPr>
          <w:szCs w:val="24"/>
        </w:rPr>
        <w:t>As a result, the regional cooperation initiatives for the Western Balkan countries over the past two decades include bilateral investment treaties (BITs), free trade agreements (FTAs), the Central European Free Trade Agreement (CEFTA-2006</w:t>
      </w:r>
      <w:r w:rsidR="00150570" w:rsidRPr="00A043A4">
        <w:rPr>
          <w:szCs w:val="24"/>
        </w:rPr>
        <w:t>)</w:t>
      </w:r>
      <w:r w:rsidRPr="00A043A4">
        <w:rPr>
          <w:szCs w:val="24"/>
        </w:rPr>
        <w:t xml:space="preserve"> and EU Stabilization and Association Agreements (SAAs). </w:t>
      </w:r>
      <w:r w:rsidR="00717106">
        <w:rPr>
          <w:szCs w:val="24"/>
        </w:rPr>
        <w:t>This segment</w:t>
      </w:r>
      <w:r w:rsidR="00EB2013">
        <w:rPr>
          <w:szCs w:val="24"/>
        </w:rPr>
        <w:t xml:space="preserve"> </w:t>
      </w:r>
      <w:r w:rsidR="007467A6">
        <w:rPr>
          <w:szCs w:val="24"/>
        </w:rPr>
        <w:t>proceeds</w:t>
      </w:r>
      <w:r w:rsidRPr="00A043A4">
        <w:rPr>
          <w:szCs w:val="24"/>
        </w:rPr>
        <w:t xml:space="preserve"> with a brief overview of the empirical literature on the impact of the existing trade liberalization measures on trade in goods in the Western Balkans and a discussion of the newest initiatives toward deeper regional integration.</w:t>
      </w:r>
    </w:p>
    <w:p w14:paraId="0BCF2E4B" w14:textId="124EFB78" w:rsidR="008A7213" w:rsidRPr="00A043A4" w:rsidRDefault="008A7213" w:rsidP="001917F0">
      <w:pPr>
        <w:ind w:firstLine="720"/>
        <w:rPr>
          <w:szCs w:val="24"/>
        </w:rPr>
      </w:pPr>
      <w:r w:rsidRPr="00A043A4">
        <w:rPr>
          <w:szCs w:val="24"/>
        </w:rPr>
        <w:t>The first stream of research implementing gravity models emphasizes the role of non-economic factors, as the most important determinants of trade in Western Balkan countries. The role of regional integration, commonly depicted in the following studies by dummy variables for the different bilateral and multilateral FTAs, appears to be marginal or even negative. One of the earlier relevant studies authored by Begović (2011), shows a significant but negative effect of trade liberalization o</w:t>
      </w:r>
      <w:r w:rsidR="00150570" w:rsidRPr="00A043A4">
        <w:rPr>
          <w:szCs w:val="24"/>
        </w:rPr>
        <w:t>n</w:t>
      </w:r>
      <w:r w:rsidRPr="00A043A4">
        <w:rPr>
          <w:szCs w:val="24"/>
        </w:rPr>
        <w:t xml:space="preserve"> bilateral trade flows in CEFTA</w:t>
      </w:r>
      <w:r w:rsidR="00A07B3F" w:rsidRPr="00A043A4">
        <w:rPr>
          <w:szCs w:val="24"/>
        </w:rPr>
        <w:t>-2006</w:t>
      </w:r>
      <w:r w:rsidRPr="00A043A4">
        <w:rPr>
          <w:szCs w:val="24"/>
        </w:rPr>
        <w:t xml:space="preserve"> member-states, suggesting that integration in CEFTA</w:t>
      </w:r>
      <w:r w:rsidR="00A07B3F" w:rsidRPr="00A043A4">
        <w:rPr>
          <w:szCs w:val="24"/>
        </w:rPr>
        <w:t>-2006</w:t>
      </w:r>
      <w:r w:rsidRPr="00A043A4">
        <w:rPr>
          <w:szCs w:val="24"/>
        </w:rPr>
        <w:t xml:space="preserve"> did not improve trade in the region for the observed period (1999-2007). The author interprets the lack of positive trade effects from CEFTA</w:t>
      </w:r>
      <w:r w:rsidR="00A07B3F" w:rsidRPr="00A043A4">
        <w:rPr>
          <w:szCs w:val="24"/>
        </w:rPr>
        <w:t>-2006</w:t>
      </w:r>
      <w:r w:rsidRPr="00A043A4">
        <w:rPr>
          <w:szCs w:val="24"/>
        </w:rPr>
        <w:t xml:space="preserve"> as an indication that at the time, potential political and institutional benefits from CEFTA</w:t>
      </w:r>
      <w:r w:rsidR="00A07B3F" w:rsidRPr="00A043A4">
        <w:rPr>
          <w:szCs w:val="24"/>
        </w:rPr>
        <w:t>-2006</w:t>
      </w:r>
      <w:r w:rsidRPr="00A043A4">
        <w:rPr>
          <w:szCs w:val="24"/>
        </w:rPr>
        <w:t xml:space="preserve"> may have prevailed. Klimczak</w:t>
      </w:r>
      <w:r w:rsidR="00B272B9" w:rsidRPr="00A043A4">
        <w:rPr>
          <w:szCs w:val="24"/>
        </w:rPr>
        <w:t xml:space="preserve"> </w:t>
      </w:r>
      <w:r w:rsidR="00C125C2">
        <w:rPr>
          <w:szCs w:val="24"/>
        </w:rPr>
        <w:t>et al.</w:t>
      </w:r>
      <w:r w:rsidRPr="00A043A4">
        <w:rPr>
          <w:szCs w:val="24"/>
        </w:rPr>
        <w:t xml:space="preserve"> (2015) show that the trade liberalization process (encompassing both bilateral FTAs and CEFTA</w:t>
      </w:r>
      <w:r w:rsidR="00A07B3F" w:rsidRPr="00A043A4">
        <w:rPr>
          <w:szCs w:val="24"/>
        </w:rPr>
        <w:t>-2006</w:t>
      </w:r>
      <w:r w:rsidRPr="00A043A4">
        <w:rPr>
          <w:szCs w:val="24"/>
        </w:rPr>
        <w:t xml:space="preserve">) had a positive but insignificant influence on bilateral trade in the Western Balkan countries, whereas non-economic factors, such as language, culture and common history, were the most important determinants on the bilateral trade in the region. Pere </w:t>
      </w:r>
      <w:r w:rsidR="00C125C2">
        <w:rPr>
          <w:szCs w:val="24"/>
        </w:rPr>
        <w:t>et al.</w:t>
      </w:r>
      <w:r w:rsidRPr="00A043A4">
        <w:rPr>
          <w:szCs w:val="24"/>
        </w:rPr>
        <w:t xml:space="preserve"> (2017) estimate separate gravity models for the exports and imports of the Western Balkan countries and show that exports are positively affected by the common language and common borders with third countries, as well as with the EU, and with large and highly industrialized countries. Regarding the dummy variable for the CEFTA</w:t>
      </w:r>
      <w:r w:rsidR="00A07B3F" w:rsidRPr="00A043A4">
        <w:rPr>
          <w:szCs w:val="24"/>
        </w:rPr>
        <w:t>-2006</w:t>
      </w:r>
      <w:r w:rsidRPr="00A043A4">
        <w:rPr>
          <w:szCs w:val="24"/>
        </w:rPr>
        <w:t xml:space="preserve"> agreement, calculations in the export model record a statistically significant and negative impact</w:t>
      </w:r>
      <w:r w:rsidR="00C074BF" w:rsidRPr="00A043A4">
        <w:rPr>
          <w:szCs w:val="24"/>
        </w:rPr>
        <w:t xml:space="preserve">, </w:t>
      </w:r>
      <w:r w:rsidRPr="00A043A4">
        <w:rPr>
          <w:szCs w:val="24"/>
        </w:rPr>
        <w:t xml:space="preserve">except for Serbia. </w:t>
      </w:r>
    </w:p>
    <w:p w14:paraId="0F29E137" w14:textId="45100C01" w:rsidR="008A7213" w:rsidRPr="00A043A4" w:rsidRDefault="008A7213" w:rsidP="001917F0">
      <w:pPr>
        <w:ind w:firstLine="720"/>
        <w:rPr>
          <w:szCs w:val="24"/>
        </w:rPr>
      </w:pPr>
      <w:r w:rsidRPr="00A043A4">
        <w:rPr>
          <w:szCs w:val="24"/>
        </w:rPr>
        <w:t>The recent research employing longer datasets and more advanced methodology, on the other hand, provides clear and robust evidence of the favorable impact of bilateral and multilateral FTAs on trade in the Western Balkans. Petreski (2018) measures the effect of CEFTA</w:t>
      </w:r>
      <w:r w:rsidR="00A07B3F" w:rsidRPr="00A043A4">
        <w:rPr>
          <w:szCs w:val="24"/>
        </w:rPr>
        <w:t>-2006</w:t>
      </w:r>
      <w:r w:rsidRPr="00A043A4">
        <w:rPr>
          <w:szCs w:val="24"/>
        </w:rPr>
        <w:t xml:space="preserve"> membership by using a Conditional Mixed Process estimator whereby CEFTA</w:t>
      </w:r>
      <w:r w:rsidR="00A07B3F" w:rsidRPr="00A043A4">
        <w:rPr>
          <w:szCs w:val="24"/>
        </w:rPr>
        <w:t>-2006</w:t>
      </w:r>
      <w:r w:rsidRPr="00A043A4">
        <w:rPr>
          <w:szCs w:val="24"/>
        </w:rPr>
        <w:t xml:space="preserve"> is instrumented by a set of variables measuring democracy and governments’ negotiation and is treated as endogenous creation. The results from the gravity model show that CEFTA</w:t>
      </w:r>
      <w:r w:rsidR="00A07B3F" w:rsidRPr="00A043A4">
        <w:rPr>
          <w:szCs w:val="24"/>
        </w:rPr>
        <w:t>-2006</w:t>
      </w:r>
      <w:r w:rsidRPr="00A043A4">
        <w:rPr>
          <w:szCs w:val="24"/>
        </w:rPr>
        <w:t xml:space="preserve"> increased intra-regional trade by 60% to 74%. According to the author, besides CEFTA</w:t>
      </w:r>
      <w:r w:rsidR="00A07B3F" w:rsidRPr="00A043A4">
        <w:rPr>
          <w:szCs w:val="24"/>
        </w:rPr>
        <w:t>-2006</w:t>
      </w:r>
      <w:r w:rsidRPr="00A043A4">
        <w:rPr>
          <w:szCs w:val="24"/>
        </w:rPr>
        <w:t xml:space="preserve">’s importance in building members’ competitiveness and generally increasing their cooperation capacities, it may have played an important role in mitigating the even stronger dependence of </w:t>
      </w:r>
      <w:r w:rsidRPr="00A043A4">
        <w:rPr>
          <w:szCs w:val="24"/>
        </w:rPr>
        <w:lastRenderedPageBreak/>
        <w:t>Western Balkan countries on trade exchange with the EU by rebuilding the regional market. Grieveson</w:t>
      </w:r>
      <w:r w:rsidR="00C125C2">
        <w:rPr>
          <w:szCs w:val="24"/>
        </w:rPr>
        <w:t xml:space="preserve"> et al.</w:t>
      </w:r>
      <w:r w:rsidRPr="00A043A4">
        <w:rPr>
          <w:szCs w:val="24"/>
        </w:rPr>
        <w:t xml:space="preserve"> (2020) apply a structural gravity model to test whether the export performance of the Western Balkan countries has been improved by trade liberalization in general, and by intra-regional trade liberalization in particular. Their results show that FTAs by the Western Balkan countries had a weaker relationship with their export performance than FTAs in general. However, the influence of CEFTA</w:t>
      </w:r>
      <w:r w:rsidR="00A07B3F" w:rsidRPr="00A043A4">
        <w:rPr>
          <w:szCs w:val="24"/>
        </w:rPr>
        <w:t>-2006</w:t>
      </w:r>
      <w:r w:rsidRPr="00A043A4">
        <w:rPr>
          <w:szCs w:val="24"/>
        </w:rPr>
        <w:t xml:space="preserve"> membership on promoting intra-regional trade was more favorable than the rest of the FTAs implemented by the Western Balkan and other countries, with an estimated rise in exports of 37.7%. In addition, the authors point to heterogeneity in the relationships between different FTAs and trade for different countries in Western Balkan, showing only a marginal impact of CEFTA</w:t>
      </w:r>
      <w:r w:rsidR="00A07B3F" w:rsidRPr="00A043A4">
        <w:rPr>
          <w:szCs w:val="24"/>
        </w:rPr>
        <w:t>-2006</w:t>
      </w:r>
      <w:r w:rsidRPr="00A043A4">
        <w:rPr>
          <w:szCs w:val="24"/>
        </w:rPr>
        <w:t xml:space="preserve"> on trade exchange between Serbia and the rest of the region.</w:t>
      </w:r>
      <w:r w:rsidRPr="00A043A4">
        <w:t xml:space="preserve"> </w:t>
      </w:r>
      <w:r w:rsidRPr="00A043A4">
        <w:rPr>
          <w:szCs w:val="24"/>
        </w:rPr>
        <w:t>Also, their results show that both EU membership and the SAA are related to trade in a statistically significant way, finding that for the Western Balkan countries the magnitude of an increase in exports to the EU from a country with a SAA is more limited, i.e. down to 24.6%.</w:t>
      </w:r>
    </w:p>
    <w:p w14:paraId="54B1BB1E" w14:textId="102B7E6F" w:rsidR="008A7213" w:rsidRDefault="008A7213" w:rsidP="001917F0">
      <w:pPr>
        <w:ind w:firstLine="720"/>
        <w:rPr>
          <w:szCs w:val="24"/>
        </w:rPr>
      </w:pPr>
      <w:r w:rsidRPr="00A043A4">
        <w:rPr>
          <w:szCs w:val="24"/>
        </w:rPr>
        <w:t>Lastly, the next step</w:t>
      </w:r>
      <w:r w:rsidRPr="00A043A4">
        <w:t xml:space="preserve"> </w:t>
      </w:r>
      <w:r w:rsidRPr="00A043A4">
        <w:rPr>
          <w:szCs w:val="24"/>
        </w:rPr>
        <w:t xml:space="preserve">toward the strengthening of the regional economic integration is the initiative </w:t>
      </w:r>
      <w:r w:rsidR="00C25395" w:rsidRPr="00A043A4">
        <w:rPr>
          <w:szCs w:val="24"/>
        </w:rPr>
        <w:t>for</w:t>
      </w:r>
      <w:r w:rsidR="007467A6">
        <w:rPr>
          <w:szCs w:val="24"/>
        </w:rPr>
        <w:t xml:space="preserve"> </w:t>
      </w:r>
      <w:r w:rsidR="00286469">
        <w:rPr>
          <w:szCs w:val="24"/>
        </w:rPr>
        <w:t xml:space="preserve">the </w:t>
      </w:r>
      <w:r w:rsidRPr="00A043A4">
        <w:rPr>
          <w:szCs w:val="24"/>
        </w:rPr>
        <w:t xml:space="preserve">creation of a Common Regional Market (CRM) for the Western Balkan Six (WB6). The intention is to extract the benefits of increased market size and improved product and service quality, making the region more attractive to foreign investors. The aim is to remove barriers to enable </w:t>
      </w:r>
      <w:r w:rsidR="007467A6">
        <w:rPr>
          <w:szCs w:val="24"/>
        </w:rPr>
        <w:t xml:space="preserve">the </w:t>
      </w:r>
      <w:r w:rsidR="00BC2C37" w:rsidRPr="00A043A4">
        <w:rPr>
          <w:szCs w:val="24"/>
        </w:rPr>
        <w:t>f</w:t>
      </w:r>
      <w:r w:rsidRPr="00A043A4">
        <w:rPr>
          <w:szCs w:val="24"/>
        </w:rPr>
        <w:t>ree flow of goods, services, capital</w:t>
      </w:r>
      <w:r w:rsidR="00C25395" w:rsidRPr="00A043A4">
        <w:rPr>
          <w:szCs w:val="24"/>
        </w:rPr>
        <w:t>,</w:t>
      </w:r>
      <w:r w:rsidRPr="00A043A4">
        <w:rPr>
          <w:szCs w:val="24"/>
        </w:rPr>
        <w:t xml:space="preserve"> and ‘highly skilled’ labor, achieve digital integration, and introduce standardized rules for businesses. The qualitative analysis by Srbinoski </w:t>
      </w:r>
      <w:r w:rsidR="00C125C2">
        <w:rPr>
          <w:szCs w:val="24"/>
        </w:rPr>
        <w:t>et al.</w:t>
      </w:r>
      <w:r w:rsidRPr="00A043A4">
        <w:rPr>
          <w:szCs w:val="24"/>
        </w:rPr>
        <w:t xml:space="preserve"> (2022) shows that </w:t>
      </w:r>
      <w:r w:rsidR="00C25395" w:rsidRPr="00A043A4">
        <w:rPr>
          <w:szCs w:val="24"/>
        </w:rPr>
        <w:t xml:space="preserve">the </w:t>
      </w:r>
      <w:r w:rsidRPr="00A043A4">
        <w:rPr>
          <w:szCs w:val="24"/>
        </w:rPr>
        <w:t xml:space="preserve">CRM plan is complementary to the EU integration objectives of North Macedonia and has the potential to accelerate the process of its accession to the EU. Nevertheless, there are several potential economic constraints on the CRM project. In particular, the authors argue that it is uncertain </w:t>
      </w:r>
      <w:r w:rsidR="00BC2C37" w:rsidRPr="00A043A4">
        <w:rPr>
          <w:szCs w:val="24"/>
        </w:rPr>
        <w:t>that</w:t>
      </w:r>
      <w:r w:rsidRPr="00A043A4">
        <w:rPr>
          <w:szCs w:val="24"/>
        </w:rPr>
        <w:t xml:space="preserve"> the CRM would increase the intraregional trade, given the structural characteristics and limited size of the region and the rising importance of trade with the EU. Moreover, the manufacturing in the WB6 is less specialized and less localized, further constraining the potential for trade. </w:t>
      </w:r>
    </w:p>
    <w:p w14:paraId="6F9E11D5" w14:textId="1E1F0A59" w:rsidR="00DF02AD" w:rsidRDefault="00DF02AD" w:rsidP="001917F0">
      <w:pPr>
        <w:ind w:firstLine="720"/>
        <w:rPr>
          <w:szCs w:val="24"/>
        </w:rPr>
      </w:pPr>
    </w:p>
    <w:p w14:paraId="27DCB673" w14:textId="5AC57069" w:rsidR="00DF02AD" w:rsidRDefault="00DF02AD" w:rsidP="005E2F74">
      <w:pPr>
        <w:rPr>
          <w:szCs w:val="24"/>
        </w:rPr>
      </w:pPr>
      <w:r w:rsidRPr="00DF02AD">
        <w:rPr>
          <w:szCs w:val="24"/>
        </w:rPr>
        <w:t xml:space="preserve">Table 1 – </w:t>
      </w:r>
      <w:r>
        <w:rPr>
          <w:szCs w:val="24"/>
        </w:rPr>
        <w:t>M</w:t>
      </w:r>
      <w:r w:rsidRPr="00DF02AD">
        <w:rPr>
          <w:szCs w:val="24"/>
        </w:rPr>
        <w:t xml:space="preserve">ain finding of the studies </w:t>
      </w:r>
      <w:r>
        <w:rPr>
          <w:szCs w:val="24"/>
        </w:rPr>
        <w:t>investigating regional integration</w:t>
      </w:r>
      <w:r w:rsidRPr="00DF02AD">
        <w:rPr>
          <w:szCs w:val="24"/>
        </w:rPr>
        <w:t xml:space="preserve"> in the CEE and SEE</w:t>
      </w:r>
    </w:p>
    <w:tbl>
      <w:tblPr>
        <w:tblStyle w:val="TableGrid"/>
        <w:tblW w:w="0" w:type="auto"/>
        <w:tblLook w:val="04A0" w:firstRow="1" w:lastRow="0" w:firstColumn="1" w:lastColumn="0" w:noHBand="0" w:noVBand="1"/>
      </w:tblPr>
      <w:tblGrid>
        <w:gridCol w:w="1975"/>
        <w:gridCol w:w="2070"/>
        <w:gridCol w:w="5305"/>
      </w:tblGrid>
      <w:tr w:rsidR="00DF02AD" w14:paraId="5F8343AF" w14:textId="77777777" w:rsidTr="0000605A">
        <w:tc>
          <w:tcPr>
            <w:tcW w:w="1975" w:type="dxa"/>
          </w:tcPr>
          <w:p w14:paraId="40D265A7" w14:textId="4D204000" w:rsidR="00DF02AD" w:rsidRPr="00DF02AD" w:rsidRDefault="00DF02AD" w:rsidP="00DF02AD">
            <w:pPr>
              <w:jc w:val="center"/>
              <w:rPr>
                <w:b/>
                <w:bCs/>
                <w:szCs w:val="24"/>
              </w:rPr>
            </w:pPr>
            <w:r w:rsidRPr="00DF02AD">
              <w:rPr>
                <w:b/>
                <w:bCs/>
                <w:szCs w:val="24"/>
              </w:rPr>
              <w:t>Study</w:t>
            </w:r>
          </w:p>
        </w:tc>
        <w:tc>
          <w:tcPr>
            <w:tcW w:w="2070" w:type="dxa"/>
          </w:tcPr>
          <w:p w14:paraId="62927D20" w14:textId="41A4B4D1" w:rsidR="00DF02AD" w:rsidRPr="00DF02AD" w:rsidRDefault="00DF02AD" w:rsidP="00DF02AD">
            <w:pPr>
              <w:jc w:val="center"/>
              <w:rPr>
                <w:b/>
                <w:bCs/>
                <w:szCs w:val="24"/>
              </w:rPr>
            </w:pPr>
            <w:r>
              <w:rPr>
                <w:b/>
                <w:bCs/>
                <w:szCs w:val="24"/>
              </w:rPr>
              <w:t>Geographical coverage</w:t>
            </w:r>
          </w:p>
        </w:tc>
        <w:tc>
          <w:tcPr>
            <w:tcW w:w="5305" w:type="dxa"/>
          </w:tcPr>
          <w:p w14:paraId="28D71D14" w14:textId="7547AC9B" w:rsidR="00DF02AD" w:rsidRPr="00DF02AD" w:rsidRDefault="00DF02AD" w:rsidP="00DF02AD">
            <w:pPr>
              <w:jc w:val="center"/>
              <w:rPr>
                <w:b/>
                <w:bCs/>
                <w:szCs w:val="24"/>
              </w:rPr>
            </w:pPr>
            <w:r>
              <w:rPr>
                <w:b/>
                <w:bCs/>
                <w:szCs w:val="24"/>
              </w:rPr>
              <w:t>Main findings</w:t>
            </w:r>
          </w:p>
        </w:tc>
      </w:tr>
      <w:tr w:rsidR="00DF02AD" w14:paraId="4CDAB3EE" w14:textId="77777777" w:rsidTr="0000605A">
        <w:tc>
          <w:tcPr>
            <w:tcW w:w="1975" w:type="dxa"/>
          </w:tcPr>
          <w:p w14:paraId="49C86BFD" w14:textId="39900826" w:rsidR="00DF02AD" w:rsidRDefault="00DF02AD" w:rsidP="001917F0">
            <w:pPr>
              <w:rPr>
                <w:szCs w:val="24"/>
              </w:rPr>
            </w:pPr>
            <w:r w:rsidRPr="00DF02AD">
              <w:rPr>
                <w:szCs w:val="24"/>
              </w:rPr>
              <w:t>Levitin et al.</w:t>
            </w:r>
            <w:r w:rsidR="00D73116">
              <w:rPr>
                <w:szCs w:val="24"/>
              </w:rPr>
              <w:t xml:space="preserve"> (</w:t>
            </w:r>
            <w:r w:rsidRPr="00DF02AD">
              <w:rPr>
                <w:szCs w:val="24"/>
              </w:rPr>
              <w:t>2018</w:t>
            </w:r>
            <w:r w:rsidR="00D73116">
              <w:rPr>
                <w:szCs w:val="24"/>
              </w:rPr>
              <w:t>)</w:t>
            </w:r>
          </w:p>
        </w:tc>
        <w:tc>
          <w:tcPr>
            <w:tcW w:w="2070" w:type="dxa"/>
          </w:tcPr>
          <w:p w14:paraId="28E39377" w14:textId="3BF69061" w:rsidR="00DF02AD" w:rsidRDefault="00247479" w:rsidP="001917F0">
            <w:pPr>
              <w:rPr>
                <w:szCs w:val="24"/>
              </w:rPr>
            </w:pPr>
            <w:r>
              <w:rPr>
                <w:szCs w:val="24"/>
              </w:rPr>
              <w:t>Western Balkan countries</w:t>
            </w:r>
          </w:p>
        </w:tc>
        <w:tc>
          <w:tcPr>
            <w:tcW w:w="5305" w:type="dxa"/>
          </w:tcPr>
          <w:p w14:paraId="3D9D0BCE" w14:textId="619DFDDE" w:rsidR="00DF02AD" w:rsidRDefault="00247479" w:rsidP="00247479">
            <w:pPr>
              <w:rPr>
                <w:szCs w:val="24"/>
              </w:rPr>
            </w:pPr>
            <w:r w:rsidRPr="00247479">
              <w:rPr>
                <w:szCs w:val="24"/>
              </w:rPr>
              <w:t>The E</w:t>
            </w:r>
            <w:r>
              <w:rPr>
                <w:szCs w:val="24"/>
              </w:rPr>
              <w:t>U</w:t>
            </w:r>
            <w:r w:rsidRPr="00247479">
              <w:rPr>
                <w:szCs w:val="24"/>
              </w:rPr>
              <w:t xml:space="preserve"> remains the main external</w:t>
            </w:r>
            <w:r>
              <w:rPr>
                <w:szCs w:val="24"/>
              </w:rPr>
              <w:t xml:space="preserve"> </w:t>
            </w:r>
            <w:r w:rsidRPr="00247479">
              <w:rPr>
                <w:szCs w:val="24"/>
              </w:rPr>
              <w:t>anchor for the region’s stability</w:t>
            </w:r>
            <w:r>
              <w:rPr>
                <w:szCs w:val="24"/>
              </w:rPr>
              <w:t xml:space="preserve"> whereas s</w:t>
            </w:r>
            <w:r w:rsidRPr="00247479">
              <w:rPr>
                <w:szCs w:val="24"/>
              </w:rPr>
              <w:t>trengthening regional cooperation is</w:t>
            </w:r>
            <w:r>
              <w:rPr>
                <w:szCs w:val="24"/>
              </w:rPr>
              <w:t xml:space="preserve"> </w:t>
            </w:r>
            <w:r w:rsidRPr="00247479">
              <w:rPr>
                <w:szCs w:val="24"/>
              </w:rPr>
              <w:t>an explicit requirement for the Western Balkans</w:t>
            </w:r>
            <w:r>
              <w:rPr>
                <w:szCs w:val="24"/>
              </w:rPr>
              <w:t xml:space="preserve"> </w:t>
            </w:r>
            <w:r w:rsidRPr="00247479">
              <w:rPr>
                <w:szCs w:val="24"/>
              </w:rPr>
              <w:t>aspirant countries in their EU membership bids.</w:t>
            </w:r>
          </w:p>
        </w:tc>
      </w:tr>
      <w:tr w:rsidR="00DF02AD" w14:paraId="1783AD5C" w14:textId="77777777" w:rsidTr="0000605A">
        <w:tc>
          <w:tcPr>
            <w:tcW w:w="1975" w:type="dxa"/>
          </w:tcPr>
          <w:p w14:paraId="7D357FFB" w14:textId="4B78805D" w:rsidR="00DF02AD" w:rsidRDefault="00DF02AD" w:rsidP="001917F0">
            <w:pPr>
              <w:rPr>
                <w:szCs w:val="24"/>
              </w:rPr>
            </w:pPr>
            <w:r w:rsidRPr="00DF02AD">
              <w:rPr>
                <w:szCs w:val="24"/>
              </w:rPr>
              <w:t>Fetahu</w:t>
            </w:r>
            <w:r w:rsidR="00D73116">
              <w:rPr>
                <w:szCs w:val="24"/>
              </w:rPr>
              <w:t xml:space="preserve"> (</w:t>
            </w:r>
            <w:r w:rsidRPr="00DF02AD">
              <w:rPr>
                <w:szCs w:val="24"/>
              </w:rPr>
              <w:t>2014</w:t>
            </w:r>
            <w:r w:rsidR="00D73116">
              <w:rPr>
                <w:szCs w:val="24"/>
              </w:rPr>
              <w:t>)</w:t>
            </w:r>
          </w:p>
        </w:tc>
        <w:tc>
          <w:tcPr>
            <w:tcW w:w="2070" w:type="dxa"/>
          </w:tcPr>
          <w:p w14:paraId="087BCE2D" w14:textId="19E48586" w:rsidR="00DF02AD" w:rsidRDefault="00037E05" w:rsidP="001917F0">
            <w:pPr>
              <w:rPr>
                <w:szCs w:val="24"/>
              </w:rPr>
            </w:pPr>
            <w:r>
              <w:rPr>
                <w:szCs w:val="24"/>
              </w:rPr>
              <w:t>Albania and the EU member-states</w:t>
            </w:r>
          </w:p>
        </w:tc>
        <w:tc>
          <w:tcPr>
            <w:tcW w:w="5305" w:type="dxa"/>
          </w:tcPr>
          <w:p w14:paraId="10A14FEB" w14:textId="31ABAEF2" w:rsidR="00DF02AD" w:rsidRDefault="00037E05" w:rsidP="00037E05">
            <w:pPr>
              <w:rPr>
                <w:szCs w:val="24"/>
              </w:rPr>
            </w:pPr>
            <w:r w:rsidRPr="00037E05">
              <w:rPr>
                <w:szCs w:val="24"/>
              </w:rPr>
              <w:t xml:space="preserve">The economic patterns installed in Albania </w:t>
            </w:r>
            <w:r>
              <w:rPr>
                <w:szCs w:val="24"/>
              </w:rPr>
              <w:t>are</w:t>
            </w:r>
            <w:r w:rsidRPr="00037E05">
              <w:rPr>
                <w:szCs w:val="24"/>
              </w:rPr>
              <w:t xml:space="preserve"> strongly</w:t>
            </w:r>
            <w:r>
              <w:rPr>
                <w:szCs w:val="24"/>
              </w:rPr>
              <w:t xml:space="preserve"> </w:t>
            </w:r>
            <w:r w:rsidRPr="00037E05">
              <w:rPr>
                <w:szCs w:val="24"/>
              </w:rPr>
              <w:t xml:space="preserve">influenced </w:t>
            </w:r>
            <w:r>
              <w:rPr>
                <w:szCs w:val="24"/>
              </w:rPr>
              <w:t>by</w:t>
            </w:r>
            <w:r w:rsidRPr="00037E05">
              <w:rPr>
                <w:szCs w:val="24"/>
              </w:rPr>
              <w:t xml:space="preserve"> foreign request coming from abroad,</w:t>
            </w:r>
            <w:r>
              <w:rPr>
                <w:szCs w:val="24"/>
              </w:rPr>
              <w:t xml:space="preserve"> </w:t>
            </w:r>
            <w:r w:rsidRPr="00037E05">
              <w:rPr>
                <w:szCs w:val="24"/>
              </w:rPr>
              <w:t xml:space="preserve">especially </w:t>
            </w:r>
            <w:r>
              <w:rPr>
                <w:szCs w:val="24"/>
              </w:rPr>
              <w:t>from</w:t>
            </w:r>
            <w:r w:rsidRPr="00037E05">
              <w:rPr>
                <w:szCs w:val="24"/>
              </w:rPr>
              <w:t xml:space="preserve"> the EU community</w:t>
            </w:r>
            <w:r>
              <w:rPr>
                <w:szCs w:val="24"/>
              </w:rPr>
              <w:t>.</w:t>
            </w:r>
          </w:p>
        </w:tc>
      </w:tr>
      <w:tr w:rsidR="00DF02AD" w14:paraId="22F8A13E" w14:textId="77777777" w:rsidTr="0000605A">
        <w:tc>
          <w:tcPr>
            <w:tcW w:w="1975" w:type="dxa"/>
          </w:tcPr>
          <w:p w14:paraId="319E64BC" w14:textId="0C38F82E" w:rsidR="00DF02AD" w:rsidRDefault="00DF02AD" w:rsidP="001917F0">
            <w:pPr>
              <w:rPr>
                <w:szCs w:val="24"/>
              </w:rPr>
            </w:pPr>
            <w:r w:rsidRPr="00DF02AD">
              <w:rPr>
                <w:szCs w:val="24"/>
              </w:rPr>
              <w:t>Aliu-Zhuja et al.</w:t>
            </w:r>
            <w:r w:rsidR="00D73116">
              <w:rPr>
                <w:szCs w:val="24"/>
              </w:rPr>
              <w:t xml:space="preserve"> (</w:t>
            </w:r>
            <w:r w:rsidRPr="00DF02AD">
              <w:rPr>
                <w:szCs w:val="24"/>
              </w:rPr>
              <w:t>2014</w:t>
            </w:r>
            <w:r w:rsidR="00D73116">
              <w:rPr>
                <w:szCs w:val="24"/>
              </w:rPr>
              <w:t>)</w:t>
            </w:r>
          </w:p>
        </w:tc>
        <w:tc>
          <w:tcPr>
            <w:tcW w:w="2070" w:type="dxa"/>
          </w:tcPr>
          <w:p w14:paraId="248B509F" w14:textId="41D2B0A9" w:rsidR="00DF02AD" w:rsidRDefault="00A76FA3" w:rsidP="001917F0">
            <w:pPr>
              <w:rPr>
                <w:szCs w:val="24"/>
              </w:rPr>
            </w:pPr>
            <w:r>
              <w:rPr>
                <w:szCs w:val="24"/>
              </w:rPr>
              <w:t>Kosovo</w:t>
            </w:r>
          </w:p>
        </w:tc>
        <w:tc>
          <w:tcPr>
            <w:tcW w:w="5305" w:type="dxa"/>
          </w:tcPr>
          <w:p w14:paraId="0FA0B2D0" w14:textId="57CC4D48" w:rsidR="00DF02AD" w:rsidRDefault="00340C24" w:rsidP="001917F0">
            <w:pPr>
              <w:rPr>
                <w:szCs w:val="24"/>
              </w:rPr>
            </w:pPr>
            <w:r>
              <w:rPr>
                <w:szCs w:val="24"/>
              </w:rPr>
              <w:t>M</w:t>
            </w:r>
            <w:r w:rsidRPr="00340C24">
              <w:rPr>
                <w:szCs w:val="24"/>
              </w:rPr>
              <w:t>embership in the E</w:t>
            </w:r>
            <w:r>
              <w:rPr>
                <w:szCs w:val="24"/>
              </w:rPr>
              <w:t>U</w:t>
            </w:r>
            <w:r w:rsidRPr="00340C24">
              <w:rPr>
                <w:szCs w:val="24"/>
              </w:rPr>
              <w:t xml:space="preserve"> is more than</w:t>
            </w:r>
            <w:r>
              <w:t xml:space="preserve"> </w:t>
            </w:r>
            <w:r w:rsidRPr="00340C24">
              <w:rPr>
                <w:szCs w:val="24"/>
              </w:rPr>
              <w:t>necessary and integration agreements are more than reasonable and offer the possibility of approximation of the intent of Kosovo</w:t>
            </w:r>
            <w:r>
              <w:rPr>
                <w:szCs w:val="24"/>
              </w:rPr>
              <w:t>.</w:t>
            </w:r>
          </w:p>
        </w:tc>
      </w:tr>
      <w:tr w:rsidR="00DF02AD" w14:paraId="1F8EF20D" w14:textId="77777777" w:rsidTr="0000605A">
        <w:tc>
          <w:tcPr>
            <w:tcW w:w="1975" w:type="dxa"/>
          </w:tcPr>
          <w:p w14:paraId="374E8C89" w14:textId="7DB82428" w:rsidR="00DF02AD" w:rsidRDefault="00DF02AD" w:rsidP="001917F0">
            <w:pPr>
              <w:rPr>
                <w:szCs w:val="24"/>
              </w:rPr>
            </w:pPr>
            <w:r w:rsidRPr="00DF02AD">
              <w:rPr>
                <w:szCs w:val="24"/>
              </w:rPr>
              <w:t>Bertelsmann Stiftung</w:t>
            </w:r>
            <w:r w:rsidR="00D73116">
              <w:rPr>
                <w:szCs w:val="24"/>
              </w:rPr>
              <w:t xml:space="preserve"> (</w:t>
            </w:r>
            <w:r w:rsidRPr="00DF02AD">
              <w:rPr>
                <w:szCs w:val="24"/>
              </w:rPr>
              <w:t>2020</w:t>
            </w:r>
            <w:r w:rsidR="00D73116">
              <w:rPr>
                <w:szCs w:val="24"/>
              </w:rPr>
              <w:t>)</w:t>
            </w:r>
          </w:p>
        </w:tc>
        <w:tc>
          <w:tcPr>
            <w:tcW w:w="2070" w:type="dxa"/>
          </w:tcPr>
          <w:p w14:paraId="5B722269" w14:textId="771EA779" w:rsidR="00DF02AD" w:rsidRDefault="00640189" w:rsidP="001917F0">
            <w:pPr>
              <w:rPr>
                <w:szCs w:val="24"/>
              </w:rPr>
            </w:pPr>
            <w:r>
              <w:rPr>
                <w:szCs w:val="24"/>
              </w:rPr>
              <w:t xml:space="preserve">Western Balkan </w:t>
            </w:r>
            <w:r w:rsidR="00FE334B">
              <w:rPr>
                <w:szCs w:val="24"/>
              </w:rPr>
              <w:t>c</w:t>
            </w:r>
            <w:r>
              <w:rPr>
                <w:szCs w:val="24"/>
              </w:rPr>
              <w:t>ountries</w:t>
            </w:r>
          </w:p>
        </w:tc>
        <w:tc>
          <w:tcPr>
            <w:tcW w:w="5305" w:type="dxa"/>
          </w:tcPr>
          <w:p w14:paraId="449EEA4A" w14:textId="252651FE" w:rsidR="00DF02AD" w:rsidRDefault="000853A2" w:rsidP="001917F0">
            <w:pPr>
              <w:rPr>
                <w:szCs w:val="24"/>
              </w:rPr>
            </w:pPr>
            <w:r>
              <w:rPr>
                <w:szCs w:val="24"/>
              </w:rPr>
              <w:t>I</w:t>
            </w:r>
            <w:r w:rsidRPr="000853A2">
              <w:rPr>
                <w:szCs w:val="24"/>
              </w:rPr>
              <w:t xml:space="preserve">n addition to their bilateral accession process with the EU, the Western Balkan countries have to achieve intraregional </w:t>
            </w:r>
            <w:r>
              <w:rPr>
                <w:szCs w:val="24"/>
              </w:rPr>
              <w:t>integration.</w:t>
            </w:r>
          </w:p>
        </w:tc>
      </w:tr>
      <w:tr w:rsidR="00DF02AD" w14:paraId="37A9547D" w14:textId="77777777" w:rsidTr="0000605A">
        <w:tc>
          <w:tcPr>
            <w:tcW w:w="1975" w:type="dxa"/>
          </w:tcPr>
          <w:p w14:paraId="49E8960B" w14:textId="206AEBED" w:rsidR="00DF02AD" w:rsidRDefault="00DF02AD" w:rsidP="001917F0">
            <w:pPr>
              <w:rPr>
                <w:szCs w:val="24"/>
              </w:rPr>
            </w:pPr>
            <w:r w:rsidRPr="00DF02AD">
              <w:rPr>
                <w:szCs w:val="24"/>
              </w:rPr>
              <w:lastRenderedPageBreak/>
              <w:t>Begović (2011)</w:t>
            </w:r>
          </w:p>
        </w:tc>
        <w:tc>
          <w:tcPr>
            <w:tcW w:w="2070" w:type="dxa"/>
          </w:tcPr>
          <w:p w14:paraId="7AD0FC1C" w14:textId="705D95CB" w:rsidR="00DF02AD" w:rsidRDefault="00FE334B" w:rsidP="00FE334B">
            <w:pPr>
              <w:rPr>
                <w:szCs w:val="24"/>
              </w:rPr>
            </w:pPr>
            <w:r w:rsidRPr="00FE334B">
              <w:rPr>
                <w:szCs w:val="24"/>
              </w:rPr>
              <w:t>CEFTA</w:t>
            </w:r>
            <w:r w:rsidR="006E2F24">
              <w:rPr>
                <w:szCs w:val="24"/>
              </w:rPr>
              <w:t>-2006</w:t>
            </w:r>
            <w:r w:rsidRPr="00FE334B">
              <w:rPr>
                <w:szCs w:val="24"/>
              </w:rPr>
              <w:t xml:space="preserve"> member</w:t>
            </w:r>
            <w:r>
              <w:rPr>
                <w:szCs w:val="24"/>
              </w:rPr>
              <w:t>-</w:t>
            </w:r>
            <w:r w:rsidRPr="00FE334B">
              <w:rPr>
                <w:szCs w:val="24"/>
              </w:rPr>
              <w:t xml:space="preserve">countries </w:t>
            </w:r>
          </w:p>
        </w:tc>
        <w:tc>
          <w:tcPr>
            <w:tcW w:w="5305" w:type="dxa"/>
          </w:tcPr>
          <w:p w14:paraId="3E64AF64" w14:textId="3A06C289" w:rsidR="00DF02AD" w:rsidRDefault="00DB4415" w:rsidP="001917F0">
            <w:pPr>
              <w:rPr>
                <w:szCs w:val="24"/>
              </w:rPr>
            </w:pPr>
            <w:r>
              <w:rPr>
                <w:szCs w:val="24"/>
              </w:rPr>
              <w:t xml:space="preserve">Trade liberalization has a </w:t>
            </w:r>
            <w:r w:rsidRPr="00DB4415">
              <w:rPr>
                <w:szCs w:val="24"/>
              </w:rPr>
              <w:t>significant but negative effect on bilateral trade flows in CEFTA-2006 member-states</w:t>
            </w:r>
            <w:r>
              <w:rPr>
                <w:szCs w:val="24"/>
              </w:rPr>
              <w:t>.</w:t>
            </w:r>
          </w:p>
        </w:tc>
      </w:tr>
      <w:tr w:rsidR="00DF02AD" w14:paraId="586E25D4" w14:textId="77777777" w:rsidTr="0000605A">
        <w:tc>
          <w:tcPr>
            <w:tcW w:w="1975" w:type="dxa"/>
          </w:tcPr>
          <w:p w14:paraId="761B0BFC" w14:textId="4FD8AB70" w:rsidR="00DF02AD" w:rsidRDefault="00D73116" w:rsidP="001917F0">
            <w:pPr>
              <w:rPr>
                <w:szCs w:val="24"/>
              </w:rPr>
            </w:pPr>
            <w:r w:rsidRPr="00D73116">
              <w:rPr>
                <w:szCs w:val="24"/>
              </w:rPr>
              <w:t>Klimczak et al. (2015)</w:t>
            </w:r>
          </w:p>
        </w:tc>
        <w:tc>
          <w:tcPr>
            <w:tcW w:w="2070" w:type="dxa"/>
          </w:tcPr>
          <w:p w14:paraId="06A7B4D1" w14:textId="72D16AC6" w:rsidR="00DF02AD" w:rsidRDefault="00FE334B" w:rsidP="001917F0">
            <w:pPr>
              <w:rPr>
                <w:szCs w:val="24"/>
              </w:rPr>
            </w:pPr>
            <w:r w:rsidRPr="00FE334B">
              <w:rPr>
                <w:szCs w:val="24"/>
              </w:rPr>
              <w:t>Western Balkan countries</w:t>
            </w:r>
          </w:p>
        </w:tc>
        <w:tc>
          <w:tcPr>
            <w:tcW w:w="5305" w:type="dxa"/>
          </w:tcPr>
          <w:p w14:paraId="6AD0698D" w14:textId="2740FE4D" w:rsidR="00DF02AD" w:rsidRDefault="00472FAB" w:rsidP="001917F0">
            <w:pPr>
              <w:rPr>
                <w:szCs w:val="24"/>
              </w:rPr>
            </w:pPr>
            <w:r>
              <w:rPr>
                <w:szCs w:val="24"/>
              </w:rPr>
              <w:t>N</w:t>
            </w:r>
            <w:r w:rsidRPr="00472FAB">
              <w:rPr>
                <w:szCs w:val="24"/>
              </w:rPr>
              <w:t xml:space="preserve">on-economic factors, such as language, culture and common history, </w:t>
            </w:r>
            <w:r w:rsidR="00DB4415">
              <w:rPr>
                <w:szCs w:val="24"/>
              </w:rPr>
              <w:t>are</w:t>
            </w:r>
            <w:r w:rsidRPr="00472FAB">
              <w:rPr>
                <w:szCs w:val="24"/>
              </w:rPr>
              <w:t xml:space="preserve"> the most important determinants </w:t>
            </w:r>
            <w:r>
              <w:rPr>
                <w:szCs w:val="24"/>
              </w:rPr>
              <w:t>of</w:t>
            </w:r>
            <w:r w:rsidRPr="00472FAB">
              <w:rPr>
                <w:szCs w:val="24"/>
              </w:rPr>
              <w:t xml:space="preserve"> the bilateral trade</w:t>
            </w:r>
            <w:r>
              <w:rPr>
                <w:szCs w:val="24"/>
              </w:rPr>
              <w:t xml:space="preserve"> in the Western Balkans.</w:t>
            </w:r>
          </w:p>
        </w:tc>
      </w:tr>
      <w:tr w:rsidR="00DF02AD" w14:paraId="15B76C42" w14:textId="77777777" w:rsidTr="0000605A">
        <w:tc>
          <w:tcPr>
            <w:tcW w:w="1975" w:type="dxa"/>
          </w:tcPr>
          <w:p w14:paraId="6D6D0BA8" w14:textId="04D129A4" w:rsidR="00DF02AD" w:rsidRDefault="00D73116" w:rsidP="001917F0">
            <w:pPr>
              <w:rPr>
                <w:szCs w:val="24"/>
              </w:rPr>
            </w:pPr>
            <w:r w:rsidRPr="00D73116">
              <w:rPr>
                <w:szCs w:val="24"/>
              </w:rPr>
              <w:t>Pere et al. (2017)</w:t>
            </w:r>
          </w:p>
        </w:tc>
        <w:tc>
          <w:tcPr>
            <w:tcW w:w="2070" w:type="dxa"/>
          </w:tcPr>
          <w:p w14:paraId="0B650F17" w14:textId="3C0786F4" w:rsidR="00DF02AD" w:rsidRDefault="000575A3" w:rsidP="001917F0">
            <w:pPr>
              <w:rPr>
                <w:szCs w:val="24"/>
              </w:rPr>
            </w:pPr>
            <w:r w:rsidRPr="000575A3">
              <w:rPr>
                <w:szCs w:val="24"/>
              </w:rPr>
              <w:t>Western Balkan countries</w:t>
            </w:r>
          </w:p>
        </w:tc>
        <w:tc>
          <w:tcPr>
            <w:tcW w:w="5305" w:type="dxa"/>
          </w:tcPr>
          <w:p w14:paraId="3F009DED" w14:textId="76EEB23A" w:rsidR="00DF02AD" w:rsidRDefault="00472FAB" w:rsidP="001917F0">
            <w:pPr>
              <w:rPr>
                <w:szCs w:val="24"/>
              </w:rPr>
            </w:pPr>
            <w:r>
              <w:rPr>
                <w:szCs w:val="24"/>
              </w:rPr>
              <w:t>E</w:t>
            </w:r>
            <w:r w:rsidRPr="00472FAB">
              <w:rPr>
                <w:szCs w:val="24"/>
              </w:rPr>
              <w:t>xports are positively affected by the common language and common borders with third countries, as well as with the EU, and with large and industrialized countries</w:t>
            </w:r>
            <w:r>
              <w:rPr>
                <w:szCs w:val="24"/>
              </w:rPr>
              <w:t>, whereas the</w:t>
            </w:r>
            <w:r>
              <w:t xml:space="preserve"> </w:t>
            </w:r>
            <w:r w:rsidRPr="00472FAB">
              <w:rPr>
                <w:szCs w:val="24"/>
              </w:rPr>
              <w:t>CEFTA-2006 agreement</w:t>
            </w:r>
            <w:r>
              <w:rPr>
                <w:szCs w:val="24"/>
              </w:rPr>
              <w:t xml:space="preserve"> dummy</w:t>
            </w:r>
            <w:r w:rsidRPr="00472FAB">
              <w:rPr>
                <w:szCs w:val="24"/>
              </w:rPr>
              <w:t xml:space="preserve"> </w:t>
            </w:r>
            <w:r>
              <w:rPr>
                <w:szCs w:val="24"/>
              </w:rPr>
              <w:t>has</w:t>
            </w:r>
            <w:r w:rsidRPr="00472FAB">
              <w:rPr>
                <w:szCs w:val="24"/>
              </w:rPr>
              <w:t xml:space="preserve"> a negative impact</w:t>
            </w:r>
            <w:r>
              <w:rPr>
                <w:szCs w:val="24"/>
              </w:rPr>
              <w:t xml:space="preserve"> on exports.</w:t>
            </w:r>
          </w:p>
        </w:tc>
      </w:tr>
      <w:tr w:rsidR="00DF02AD" w14:paraId="4C00AEBC" w14:textId="77777777" w:rsidTr="0000605A">
        <w:tc>
          <w:tcPr>
            <w:tcW w:w="1975" w:type="dxa"/>
          </w:tcPr>
          <w:p w14:paraId="7D2B2A6A" w14:textId="0AC57502" w:rsidR="00DF02AD" w:rsidRDefault="00D73116" w:rsidP="001917F0">
            <w:pPr>
              <w:rPr>
                <w:szCs w:val="24"/>
              </w:rPr>
            </w:pPr>
            <w:r w:rsidRPr="00D73116">
              <w:rPr>
                <w:szCs w:val="24"/>
              </w:rPr>
              <w:t>Petreski (2018)</w:t>
            </w:r>
          </w:p>
        </w:tc>
        <w:tc>
          <w:tcPr>
            <w:tcW w:w="2070" w:type="dxa"/>
          </w:tcPr>
          <w:p w14:paraId="7C071FFC" w14:textId="7CBE4451" w:rsidR="00DF02AD" w:rsidRDefault="006E2F24" w:rsidP="001917F0">
            <w:pPr>
              <w:rPr>
                <w:szCs w:val="24"/>
              </w:rPr>
            </w:pPr>
            <w:r w:rsidRPr="006E2F24">
              <w:rPr>
                <w:szCs w:val="24"/>
              </w:rPr>
              <w:t xml:space="preserve">CEFTA-2006 </w:t>
            </w:r>
            <w:r>
              <w:rPr>
                <w:szCs w:val="24"/>
              </w:rPr>
              <w:t>member-</w:t>
            </w:r>
            <w:r w:rsidRPr="006E2F24">
              <w:rPr>
                <w:szCs w:val="24"/>
              </w:rPr>
              <w:t>countries</w:t>
            </w:r>
          </w:p>
        </w:tc>
        <w:tc>
          <w:tcPr>
            <w:tcW w:w="5305" w:type="dxa"/>
          </w:tcPr>
          <w:p w14:paraId="386313F0" w14:textId="65A3AA8A" w:rsidR="00DF02AD" w:rsidRDefault="00D73116" w:rsidP="001917F0">
            <w:pPr>
              <w:rPr>
                <w:szCs w:val="24"/>
              </w:rPr>
            </w:pPr>
            <w:r w:rsidRPr="00D73116">
              <w:rPr>
                <w:szCs w:val="24"/>
              </w:rPr>
              <w:t>CEFTA-2006 increased intra-regional trade by 60% to 74%.</w:t>
            </w:r>
          </w:p>
        </w:tc>
      </w:tr>
      <w:tr w:rsidR="00DF02AD" w14:paraId="7AB72EB2" w14:textId="77777777" w:rsidTr="0000605A">
        <w:tc>
          <w:tcPr>
            <w:tcW w:w="1975" w:type="dxa"/>
          </w:tcPr>
          <w:p w14:paraId="1C797589" w14:textId="7917D54A" w:rsidR="00DF02AD" w:rsidRDefault="00D73116" w:rsidP="001917F0">
            <w:pPr>
              <w:rPr>
                <w:szCs w:val="24"/>
              </w:rPr>
            </w:pPr>
            <w:r w:rsidRPr="00D73116">
              <w:rPr>
                <w:szCs w:val="24"/>
              </w:rPr>
              <w:t>Grieveson et al. (2020)</w:t>
            </w:r>
          </w:p>
        </w:tc>
        <w:tc>
          <w:tcPr>
            <w:tcW w:w="2070" w:type="dxa"/>
          </w:tcPr>
          <w:p w14:paraId="7A9ED977" w14:textId="5D9B0E4A" w:rsidR="00DF02AD" w:rsidRDefault="0000605A" w:rsidP="001917F0">
            <w:pPr>
              <w:rPr>
                <w:szCs w:val="24"/>
              </w:rPr>
            </w:pPr>
            <w:r w:rsidRPr="0000605A">
              <w:rPr>
                <w:szCs w:val="24"/>
              </w:rPr>
              <w:t>Western Balkan countries</w:t>
            </w:r>
          </w:p>
        </w:tc>
        <w:tc>
          <w:tcPr>
            <w:tcW w:w="5305" w:type="dxa"/>
          </w:tcPr>
          <w:p w14:paraId="3B099C1F" w14:textId="5E786714" w:rsidR="00DF02AD" w:rsidRDefault="00E23F12" w:rsidP="001917F0">
            <w:pPr>
              <w:rPr>
                <w:szCs w:val="24"/>
              </w:rPr>
            </w:pPr>
            <w:r w:rsidRPr="00E23F12">
              <w:rPr>
                <w:szCs w:val="24"/>
              </w:rPr>
              <w:t>CEFTA-2006 membership promot</w:t>
            </w:r>
            <w:r>
              <w:rPr>
                <w:szCs w:val="24"/>
              </w:rPr>
              <w:t>es</w:t>
            </w:r>
            <w:r w:rsidRPr="00E23F12">
              <w:rPr>
                <w:szCs w:val="24"/>
              </w:rPr>
              <w:t xml:space="preserve"> intra-regional trade </w:t>
            </w:r>
            <w:r>
              <w:rPr>
                <w:szCs w:val="24"/>
              </w:rPr>
              <w:t>in</w:t>
            </w:r>
            <w:r w:rsidRPr="00E23F12">
              <w:rPr>
                <w:szCs w:val="24"/>
              </w:rPr>
              <w:t xml:space="preserve"> the Western Balkan and other countries, with an estimated rise in exports of 37.7%</w:t>
            </w:r>
            <w:r>
              <w:rPr>
                <w:szCs w:val="24"/>
              </w:rPr>
              <w:t>.</w:t>
            </w:r>
          </w:p>
        </w:tc>
      </w:tr>
      <w:tr w:rsidR="00DF02AD" w14:paraId="51C0F287" w14:textId="77777777" w:rsidTr="0000605A">
        <w:tc>
          <w:tcPr>
            <w:tcW w:w="1975" w:type="dxa"/>
          </w:tcPr>
          <w:p w14:paraId="4BF9CF4C" w14:textId="2FB39FA7" w:rsidR="00DF02AD" w:rsidRDefault="00D73116" w:rsidP="001917F0">
            <w:pPr>
              <w:rPr>
                <w:szCs w:val="24"/>
              </w:rPr>
            </w:pPr>
            <w:r w:rsidRPr="00D73116">
              <w:rPr>
                <w:szCs w:val="24"/>
              </w:rPr>
              <w:t>Srbinoski et al. (2022)</w:t>
            </w:r>
          </w:p>
        </w:tc>
        <w:tc>
          <w:tcPr>
            <w:tcW w:w="2070" w:type="dxa"/>
          </w:tcPr>
          <w:p w14:paraId="49927192" w14:textId="49D29A78" w:rsidR="00DF02AD" w:rsidRDefault="006E2F24" w:rsidP="001917F0">
            <w:pPr>
              <w:rPr>
                <w:szCs w:val="24"/>
              </w:rPr>
            </w:pPr>
            <w:r w:rsidRPr="006E2F24">
              <w:rPr>
                <w:szCs w:val="24"/>
              </w:rPr>
              <w:t>Western Balkan countries</w:t>
            </w:r>
          </w:p>
        </w:tc>
        <w:tc>
          <w:tcPr>
            <w:tcW w:w="5305" w:type="dxa"/>
          </w:tcPr>
          <w:p w14:paraId="121BDB83" w14:textId="1F8578CF" w:rsidR="00DF02AD" w:rsidRDefault="00E23F12" w:rsidP="001917F0">
            <w:pPr>
              <w:rPr>
                <w:szCs w:val="24"/>
              </w:rPr>
            </w:pPr>
            <w:r w:rsidRPr="00E23F12">
              <w:rPr>
                <w:szCs w:val="24"/>
              </w:rPr>
              <w:t>Common Regional Market</w:t>
            </w:r>
            <w:r>
              <w:rPr>
                <w:szCs w:val="24"/>
              </w:rPr>
              <w:t xml:space="preserve"> for the Western Balkan countries can</w:t>
            </w:r>
            <w:r w:rsidRPr="00E23F12">
              <w:rPr>
                <w:szCs w:val="24"/>
              </w:rPr>
              <w:t xml:space="preserve"> potential</w:t>
            </w:r>
            <w:r>
              <w:rPr>
                <w:szCs w:val="24"/>
              </w:rPr>
              <w:t>ly</w:t>
            </w:r>
            <w:r w:rsidRPr="00E23F12">
              <w:rPr>
                <w:szCs w:val="24"/>
              </w:rPr>
              <w:t xml:space="preserve"> accelerate the process of </w:t>
            </w:r>
            <w:r>
              <w:rPr>
                <w:szCs w:val="24"/>
              </w:rPr>
              <w:t>the EU</w:t>
            </w:r>
            <w:r w:rsidRPr="00E23F12">
              <w:rPr>
                <w:szCs w:val="24"/>
              </w:rPr>
              <w:t xml:space="preserve"> accession</w:t>
            </w:r>
            <w:r>
              <w:rPr>
                <w:szCs w:val="24"/>
              </w:rPr>
              <w:t>.</w:t>
            </w:r>
          </w:p>
        </w:tc>
      </w:tr>
    </w:tbl>
    <w:p w14:paraId="726F01DF" w14:textId="28E6647C" w:rsidR="00DF02AD" w:rsidRDefault="00B15E44" w:rsidP="001917F0">
      <w:pPr>
        <w:ind w:firstLine="720"/>
        <w:rPr>
          <w:szCs w:val="24"/>
        </w:rPr>
      </w:pPr>
      <w:r>
        <w:rPr>
          <w:szCs w:val="24"/>
        </w:rPr>
        <w:t>Source: compilation done by the authors</w:t>
      </w:r>
    </w:p>
    <w:p w14:paraId="6B34523D" w14:textId="77777777" w:rsidR="00DF02AD" w:rsidRPr="00A043A4" w:rsidRDefault="00DF02AD" w:rsidP="001917F0">
      <w:pPr>
        <w:ind w:firstLine="720"/>
        <w:rPr>
          <w:szCs w:val="24"/>
        </w:rPr>
      </w:pPr>
    </w:p>
    <w:p w14:paraId="518984BB" w14:textId="77777777" w:rsidR="00831547" w:rsidRPr="00A043A4" w:rsidRDefault="00831547" w:rsidP="001917F0">
      <w:pPr>
        <w:rPr>
          <w:b/>
          <w:bCs/>
        </w:rPr>
      </w:pPr>
    </w:p>
    <w:p w14:paraId="4B4278A2" w14:textId="09447A96" w:rsidR="00831547" w:rsidRPr="00A043A4" w:rsidRDefault="00AE23D1" w:rsidP="001917F0">
      <w:pPr>
        <w:pStyle w:val="ListParagraph"/>
        <w:numPr>
          <w:ilvl w:val="0"/>
          <w:numId w:val="2"/>
        </w:numPr>
        <w:spacing w:line="240" w:lineRule="auto"/>
      </w:pPr>
      <w:r w:rsidRPr="00A043A4">
        <w:rPr>
          <w:b/>
          <w:bCs/>
        </w:rPr>
        <w:t>Explanation of the econometric model and data</w:t>
      </w:r>
    </w:p>
    <w:p w14:paraId="2C1DD09F" w14:textId="6D1B3EEE" w:rsidR="00831547" w:rsidRPr="00A043A4" w:rsidRDefault="00A07B3F" w:rsidP="001917F0">
      <w:pPr>
        <w:ind w:firstLine="720"/>
        <w:rPr>
          <w:szCs w:val="24"/>
        </w:rPr>
      </w:pPr>
      <w:r w:rsidRPr="00A043A4">
        <w:rPr>
          <w:szCs w:val="24"/>
        </w:rPr>
        <w:t>For this paper</w:t>
      </w:r>
      <w:r w:rsidR="00BC2C37" w:rsidRPr="00A043A4">
        <w:rPr>
          <w:szCs w:val="24"/>
        </w:rPr>
        <w:t>,</w:t>
      </w:r>
      <w:r w:rsidRPr="00A043A4">
        <w:rPr>
          <w:szCs w:val="24"/>
        </w:rPr>
        <w:t xml:space="preserve"> a gravity panel model for North Macedonia’s trade </w:t>
      </w:r>
      <w:r w:rsidRPr="00A043A4">
        <w:rPr>
          <w:rFonts w:eastAsiaTheme="minorEastAsia"/>
          <w:iCs/>
          <w:szCs w:val="24"/>
        </w:rPr>
        <w:t xml:space="preserve">covering </w:t>
      </w:r>
      <w:r w:rsidR="00216271">
        <w:rPr>
          <w:rFonts w:eastAsiaTheme="minorEastAsia"/>
          <w:iCs/>
          <w:szCs w:val="24"/>
        </w:rPr>
        <w:t>six</w:t>
      </w:r>
      <w:r w:rsidRPr="00A043A4">
        <w:rPr>
          <w:rFonts w:eastAsiaTheme="minorEastAsia"/>
          <w:iCs/>
          <w:szCs w:val="24"/>
        </w:rPr>
        <w:t xml:space="preserve">teen years period </w:t>
      </w:r>
      <w:r w:rsidR="00721B70">
        <w:rPr>
          <w:rFonts w:eastAsiaTheme="minorEastAsia"/>
          <w:iCs/>
          <w:szCs w:val="24"/>
        </w:rPr>
        <w:t xml:space="preserve">from </w:t>
      </w:r>
      <w:r w:rsidRPr="00A043A4">
        <w:rPr>
          <w:rFonts w:eastAsiaTheme="minorEastAsia"/>
          <w:iCs/>
          <w:szCs w:val="24"/>
        </w:rPr>
        <w:t>2005</w:t>
      </w:r>
      <w:r w:rsidR="00721B70">
        <w:rPr>
          <w:rFonts w:eastAsiaTheme="minorEastAsia"/>
          <w:iCs/>
          <w:szCs w:val="24"/>
        </w:rPr>
        <w:t xml:space="preserve"> to </w:t>
      </w:r>
      <w:r w:rsidRPr="00A043A4">
        <w:rPr>
          <w:rFonts w:eastAsiaTheme="minorEastAsia"/>
          <w:iCs/>
          <w:szCs w:val="24"/>
        </w:rPr>
        <w:t>2020</w:t>
      </w:r>
      <w:r w:rsidR="00721B70">
        <w:rPr>
          <w:rFonts w:eastAsiaTheme="minorEastAsia"/>
          <w:iCs/>
          <w:szCs w:val="24"/>
        </w:rPr>
        <w:t xml:space="preserve"> (including 2005 and 2020</w:t>
      </w:r>
      <w:r w:rsidRPr="00A043A4">
        <w:rPr>
          <w:rFonts w:eastAsiaTheme="minorEastAsia"/>
          <w:iCs/>
          <w:szCs w:val="24"/>
        </w:rPr>
        <w:t>)</w:t>
      </w:r>
      <w:r w:rsidR="00FD6A5A">
        <w:rPr>
          <w:rFonts w:eastAsiaTheme="minorEastAsia"/>
          <w:iCs/>
          <w:szCs w:val="24"/>
        </w:rPr>
        <w:t xml:space="preserve"> is constructed,</w:t>
      </w:r>
      <w:r w:rsidRPr="00A043A4">
        <w:rPr>
          <w:rFonts w:eastAsiaTheme="minorEastAsia"/>
          <w:iCs/>
          <w:szCs w:val="24"/>
        </w:rPr>
        <w:t xml:space="preserve"> where the influence of bilateral and regional trade agreements </w:t>
      </w:r>
      <w:r w:rsidR="00BC2C37" w:rsidRPr="00A043A4">
        <w:rPr>
          <w:rFonts w:eastAsiaTheme="minorEastAsia"/>
          <w:iCs/>
          <w:szCs w:val="24"/>
        </w:rPr>
        <w:t xml:space="preserve">on </w:t>
      </w:r>
      <w:proofErr w:type="spellStart"/>
      <w:r w:rsidR="00AC66D8" w:rsidRPr="00A043A4">
        <w:rPr>
          <w:rFonts w:eastAsiaTheme="minorEastAsia"/>
          <w:iCs/>
          <w:szCs w:val="24"/>
          <w:lang w:val="mk-MK"/>
        </w:rPr>
        <w:t>the</w:t>
      </w:r>
      <w:proofErr w:type="spellEnd"/>
      <w:r w:rsidR="00AC66D8" w:rsidRPr="00A043A4">
        <w:rPr>
          <w:rFonts w:eastAsiaTheme="minorEastAsia"/>
          <w:iCs/>
          <w:szCs w:val="24"/>
          <w:lang w:val="mk-MK"/>
        </w:rPr>
        <w:t xml:space="preserve"> </w:t>
      </w:r>
      <w:r w:rsidRPr="00A043A4">
        <w:rPr>
          <w:rFonts w:eastAsiaTheme="minorEastAsia"/>
          <w:iCs/>
          <w:szCs w:val="24"/>
        </w:rPr>
        <w:t>country’s trade</w:t>
      </w:r>
      <w:r w:rsidR="00FD6A5A">
        <w:rPr>
          <w:rFonts w:eastAsiaTheme="minorEastAsia"/>
          <w:iCs/>
          <w:szCs w:val="24"/>
        </w:rPr>
        <w:t xml:space="preserve"> is analyzed</w:t>
      </w:r>
      <w:r w:rsidRPr="00A043A4">
        <w:rPr>
          <w:rFonts w:eastAsiaTheme="minorEastAsia"/>
          <w:iCs/>
          <w:szCs w:val="24"/>
        </w:rPr>
        <w:t xml:space="preserve">. </w:t>
      </w:r>
      <w:r w:rsidR="00FD6A5A">
        <w:rPr>
          <w:rFonts w:eastAsiaTheme="minorEastAsia"/>
          <w:iCs/>
          <w:szCs w:val="24"/>
        </w:rPr>
        <w:t>T</w:t>
      </w:r>
      <w:r w:rsidR="00E55B8F" w:rsidRPr="00A043A4">
        <w:rPr>
          <w:rFonts w:eastAsiaTheme="minorEastAsia"/>
          <w:iCs/>
          <w:szCs w:val="24"/>
        </w:rPr>
        <w:t xml:space="preserve">he trade flows of </w:t>
      </w:r>
      <w:r w:rsidR="003A5C8A" w:rsidRPr="00A043A4">
        <w:rPr>
          <w:rFonts w:eastAsiaTheme="minorEastAsia"/>
          <w:iCs/>
          <w:szCs w:val="24"/>
        </w:rPr>
        <w:t xml:space="preserve">North </w:t>
      </w:r>
      <w:r w:rsidR="00E55B8F" w:rsidRPr="00A043A4">
        <w:rPr>
          <w:rFonts w:eastAsiaTheme="minorEastAsia"/>
          <w:iCs/>
          <w:szCs w:val="24"/>
        </w:rPr>
        <w:t>Macedonia with 40 trading partners</w:t>
      </w:r>
      <w:r w:rsidR="00FD6A5A">
        <w:rPr>
          <w:rFonts w:eastAsiaTheme="minorEastAsia"/>
          <w:iCs/>
          <w:szCs w:val="24"/>
        </w:rPr>
        <w:t xml:space="preserve"> </w:t>
      </w:r>
      <w:r w:rsidR="00103A53">
        <w:rPr>
          <w:rFonts w:eastAsiaTheme="minorEastAsia"/>
          <w:iCs/>
          <w:szCs w:val="24"/>
        </w:rPr>
        <w:t>are</w:t>
      </w:r>
      <w:r w:rsidR="00FD6A5A">
        <w:rPr>
          <w:rFonts w:eastAsiaTheme="minorEastAsia"/>
          <w:iCs/>
          <w:szCs w:val="24"/>
        </w:rPr>
        <w:t xml:space="preserve"> measured</w:t>
      </w:r>
      <w:r w:rsidR="00E55B8F" w:rsidRPr="00A043A4">
        <w:rPr>
          <w:rFonts w:eastAsiaTheme="minorEastAsia"/>
          <w:iCs/>
          <w:szCs w:val="24"/>
        </w:rPr>
        <w:t xml:space="preserve">. </w:t>
      </w:r>
      <w:r w:rsidR="00E90F3B" w:rsidRPr="00A043A4">
        <w:rPr>
          <w:szCs w:val="24"/>
        </w:rPr>
        <w:t xml:space="preserve">Gravity models </w:t>
      </w:r>
      <w:r w:rsidR="00BC2C37" w:rsidRPr="00A043A4">
        <w:rPr>
          <w:szCs w:val="24"/>
        </w:rPr>
        <w:t xml:space="preserve">in international trade </w:t>
      </w:r>
      <w:r w:rsidR="00E90F3B" w:rsidRPr="00A043A4">
        <w:rPr>
          <w:szCs w:val="24"/>
        </w:rPr>
        <w:t xml:space="preserve">have long been used as a workhorse for analyzing bilateral trade flows. </w:t>
      </w:r>
      <w:r w:rsidR="00831547" w:rsidRPr="00A043A4">
        <w:rPr>
          <w:szCs w:val="24"/>
        </w:rPr>
        <w:t xml:space="preserve">This model is widely used to examine country-specific trade characteristics (Anderson </w:t>
      </w:r>
      <w:r w:rsidR="00C125C2">
        <w:rPr>
          <w:szCs w:val="24"/>
        </w:rPr>
        <w:t>et al.</w:t>
      </w:r>
      <w:r w:rsidR="00831547" w:rsidRPr="00A043A4">
        <w:rPr>
          <w:szCs w:val="24"/>
        </w:rPr>
        <w:t>, 2003). The</w:t>
      </w:r>
      <w:r w:rsidR="00AC66D8" w:rsidRPr="00A043A4">
        <w:rPr>
          <w:szCs w:val="24"/>
          <w:lang w:val="mk-MK"/>
        </w:rPr>
        <w:t xml:space="preserve"> </w:t>
      </w:r>
      <w:r w:rsidR="00831547" w:rsidRPr="00A043A4">
        <w:rPr>
          <w:szCs w:val="24"/>
        </w:rPr>
        <w:t xml:space="preserve">gravity model is OLS without effects. </w:t>
      </w:r>
      <w:r w:rsidR="008C6AF5" w:rsidRPr="00A043A4">
        <w:rPr>
          <w:szCs w:val="24"/>
        </w:rPr>
        <w:t>Although t</w:t>
      </w:r>
      <w:r w:rsidR="00E90F3B" w:rsidRPr="00A043A4">
        <w:rPr>
          <w:szCs w:val="24"/>
        </w:rPr>
        <w:t xml:space="preserve">here are different modifications of the classical gravity model </w:t>
      </w:r>
      <w:r w:rsidR="00831547" w:rsidRPr="00A043A4">
        <w:rPr>
          <w:szCs w:val="24"/>
        </w:rPr>
        <w:t>(</w:t>
      </w:r>
      <w:bookmarkStart w:id="0" w:name="_Hlk102117687"/>
      <w:r w:rsidR="008834E3" w:rsidRPr="00A043A4">
        <w:rPr>
          <w:szCs w:val="24"/>
        </w:rPr>
        <w:t>Helpman</w:t>
      </w:r>
      <w:r w:rsidR="00C125C2">
        <w:rPr>
          <w:szCs w:val="24"/>
        </w:rPr>
        <w:t xml:space="preserve"> et al.</w:t>
      </w:r>
      <w:r w:rsidR="00831547" w:rsidRPr="00A043A4">
        <w:rPr>
          <w:szCs w:val="24"/>
        </w:rPr>
        <w:t>, 2008</w:t>
      </w:r>
      <w:bookmarkEnd w:id="0"/>
      <w:r w:rsidR="00831547" w:rsidRPr="00A043A4">
        <w:rPr>
          <w:szCs w:val="24"/>
        </w:rPr>
        <w:t xml:space="preserve">; Almog, </w:t>
      </w:r>
      <w:r w:rsidR="00C125C2">
        <w:rPr>
          <w:szCs w:val="24"/>
        </w:rPr>
        <w:t>et al.</w:t>
      </w:r>
      <w:r w:rsidR="00831547" w:rsidRPr="00A043A4">
        <w:rPr>
          <w:szCs w:val="24"/>
        </w:rPr>
        <w:t>, 2019)</w:t>
      </w:r>
      <w:r w:rsidR="00E90F3B" w:rsidRPr="00A043A4">
        <w:rPr>
          <w:szCs w:val="24"/>
        </w:rPr>
        <w:t xml:space="preserve"> for this paper </w:t>
      </w:r>
      <w:r w:rsidR="00831547" w:rsidRPr="00A043A4">
        <w:rPr>
          <w:szCs w:val="24"/>
        </w:rPr>
        <w:t xml:space="preserve">the basic model </w:t>
      </w:r>
      <w:r w:rsidR="00EE5966">
        <w:rPr>
          <w:szCs w:val="24"/>
        </w:rPr>
        <w:t xml:space="preserve">is used </w:t>
      </w:r>
      <w:r w:rsidR="00831547" w:rsidRPr="00A043A4">
        <w:rPr>
          <w:szCs w:val="24"/>
        </w:rPr>
        <w:t xml:space="preserve">by constructing the following equation: </w:t>
      </w:r>
    </w:p>
    <w:p w14:paraId="0ED92B66" w14:textId="77777777" w:rsidR="00831547" w:rsidRPr="00A043A4" w:rsidRDefault="00831547" w:rsidP="001917F0">
      <w:pPr>
        <w:ind w:firstLine="720"/>
        <w:rPr>
          <w:szCs w:val="24"/>
        </w:rPr>
      </w:pPr>
    </w:p>
    <w:p w14:paraId="3C628E0B" w14:textId="2B6B7355" w:rsidR="00831547" w:rsidRPr="00A043A4" w:rsidRDefault="00831547" w:rsidP="001917F0">
      <w:pPr>
        <w:tabs>
          <w:tab w:val="left" w:pos="8085"/>
        </w:tabs>
        <w:rPr>
          <w:i/>
          <w:iCs/>
          <w:szCs w:val="24"/>
        </w:rPr>
      </w:pPr>
      <w:r w:rsidRPr="00A043A4">
        <w:rPr>
          <w:i/>
          <w:iCs/>
          <w:szCs w:val="24"/>
        </w:rPr>
        <w:t>LnTRADEijt</w:t>
      </w:r>
      <w:r w:rsidRPr="00A043A4">
        <w:rPr>
          <w:i/>
          <w:iCs/>
          <w:szCs w:val="24"/>
        </w:rPr>
        <w:sym w:font="Symbol" w:char="F03D"/>
      </w:r>
      <w:r w:rsidRPr="00A043A4">
        <w:rPr>
          <w:i/>
          <w:iCs/>
          <w:szCs w:val="24"/>
        </w:rPr>
        <w:t xml:space="preserve"> α</w:t>
      </w:r>
      <w:r w:rsidRPr="00A043A4">
        <w:rPr>
          <w:i/>
          <w:iCs/>
          <w:szCs w:val="24"/>
          <w:vertAlign w:val="subscript"/>
        </w:rPr>
        <w:t>1</w:t>
      </w:r>
      <w:r w:rsidRPr="00A043A4">
        <w:rPr>
          <w:i/>
          <w:iCs/>
          <w:szCs w:val="24"/>
        </w:rPr>
        <w:t xml:space="preserve">lnGDPcapitaijt </w:t>
      </w:r>
      <w:r w:rsidRPr="00A043A4">
        <w:rPr>
          <w:i/>
          <w:iCs/>
          <w:szCs w:val="24"/>
        </w:rPr>
        <w:sym w:font="Symbol" w:char="F02B"/>
      </w:r>
      <w:r w:rsidRPr="00A043A4">
        <w:rPr>
          <w:i/>
          <w:iCs/>
          <w:szCs w:val="24"/>
        </w:rPr>
        <w:t xml:space="preserve">  α</w:t>
      </w:r>
      <w:r w:rsidRPr="00A043A4">
        <w:rPr>
          <w:i/>
          <w:iCs/>
          <w:szCs w:val="24"/>
          <w:vertAlign w:val="subscript"/>
        </w:rPr>
        <w:t>2</w:t>
      </w:r>
      <w:r w:rsidRPr="00A043A4">
        <w:rPr>
          <w:i/>
          <w:iCs/>
          <w:szCs w:val="24"/>
        </w:rPr>
        <w:t xml:space="preserve">lnREMOTNESSijt </w:t>
      </w:r>
      <w:r w:rsidRPr="00A043A4">
        <w:rPr>
          <w:i/>
          <w:iCs/>
          <w:szCs w:val="24"/>
        </w:rPr>
        <w:sym w:font="Symbol" w:char="F02B"/>
      </w:r>
      <w:r w:rsidRPr="00A043A4">
        <w:rPr>
          <w:i/>
          <w:iCs/>
          <w:szCs w:val="24"/>
        </w:rPr>
        <w:t xml:space="preserve"> α</w:t>
      </w:r>
      <w:r w:rsidRPr="00A043A4">
        <w:rPr>
          <w:i/>
          <w:iCs/>
          <w:szCs w:val="24"/>
          <w:vertAlign w:val="subscript"/>
        </w:rPr>
        <w:t>3</w:t>
      </w:r>
      <w:r w:rsidRPr="00A043A4">
        <w:rPr>
          <w:i/>
          <w:iCs/>
          <w:szCs w:val="24"/>
        </w:rPr>
        <w:t xml:space="preserve">lnPOPijt </w:t>
      </w:r>
      <w:r w:rsidRPr="00A043A4">
        <w:rPr>
          <w:i/>
          <w:iCs/>
          <w:szCs w:val="24"/>
        </w:rPr>
        <w:sym w:font="Symbol" w:char="F02B"/>
      </w:r>
      <w:r w:rsidRPr="00A043A4">
        <w:rPr>
          <w:i/>
          <w:iCs/>
          <w:szCs w:val="24"/>
        </w:rPr>
        <w:t xml:space="preserve"> </w:t>
      </w:r>
      <w:r w:rsidR="00631349" w:rsidRPr="00A043A4">
        <w:rPr>
          <w:i/>
          <w:iCs/>
          <w:szCs w:val="24"/>
        </w:rPr>
        <w:t>α</w:t>
      </w:r>
      <w:r w:rsidR="00631349" w:rsidRPr="00A043A4">
        <w:rPr>
          <w:i/>
          <w:iCs/>
          <w:szCs w:val="24"/>
          <w:vertAlign w:val="subscript"/>
        </w:rPr>
        <w:t>4</w:t>
      </w:r>
      <w:r w:rsidRPr="00A043A4">
        <w:rPr>
          <w:i/>
          <w:iCs/>
          <w:szCs w:val="24"/>
        </w:rPr>
        <w:t xml:space="preserve">EUjt + </w:t>
      </w:r>
      <w:r w:rsidR="00631349" w:rsidRPr="00A043A4">
        <w:rPr>
          <w:i/>
          <w:iCs/>
          <w:szCs w:val="24"/>
        </w:rPr>
        <w:t>α</w:t>
      </w:r>
      <w:r w:rsidR="00631349" w:rsidRPr="00A043A4">
        <w:rPr>
          <w:i/>
          <w:iCs/>
          <w:szCs w:val="24"/>
          <w:vertAlign w:val="subscript"/>
        </w:rPr>
        <w:t>5</w:t>
      </w:r>
      <w:r w:rsidRPr="00A043A4">
        <w:rPr>
          <w:i/>
          <w:iCs/>
          <w:szCs w:val="24"/>
        </w:rPr>
        <w:t xml:space="preserve">CEFTAjt + </w:t>
      </w:r>
      <w:r w:rsidR="00631349" w:rsidRPr="00A043A4">
        <w:rPr>
          <w:i/>
          <w:iCs/>
          <w:szCs w:val="24"/>
        </w:rPr>
        <w:t>α</w:t>
      </w:r>
      <w:r w:rsidR="00631349" w:rsidRPr="00A043A4">
        <w:rPr>
          <w:i/>
          <w:iCs/>
          <w:szCs w:val="24"/>
          <w:vertAlign w:val="subscript"/>
        </w:rPr>
        <w:t>6</w:t>
      </w:r>
      <w:r w:rsidR="00315840" w:rsidRPr="00A043A4">
        <w:rPr>
          <w:i/>
          <w:iCs/>
          <w:szCs w:val="24"/>
        </w:rPr>
        <w:t>FTAjt + β</w:t>
      </w:r>
      <w:r w:rsidR="00631349" w:rsidRPr="00A043A4">
        <w:rPr>
          <w:i/>
          <w:iCs/>
          <w:szCs w:val="24"/>
          <w:vertAlign w:val="subscript"/>
        </w:rPr>
        <w:t>1</w:t>
      </w:r>
      <w:r w:rsidR="00315840" w:rsidRPr="00A043A4">
        <w:rPr>
          <w:i/>
          <w:iCs/>
          <w:szCs w:val="24"/>
        </w:rPr>
        <w:t xml:space="preserve">PROjt  + </w:t>
      </w:r>
      <w:r w:rsidRPr="00A043A4">
        <w:rPr>
          <w:i/>
          <w:iCs/>
          <w:szCs w:val="24"/>
        </w:rPr>
        <w:t>β</w:t>
      </w:r>
      <w:r w:rsidR="00631349" w:rsidRPr="00A043A4">
        <w:rPr>
          <w:i/>
          <w:iCs/>
          <w:szCs w:val="24"/>
          <w:vertAlign w:val="subscript"/>
        </w:rPr>
        <w:t>2</w:t>
      </w:r>
      <w:r w:rsidRPr="00A043A4">
        <w:rPr>
          <w:i/>
          <w:iCs/>
          <w:szCs w:val="24"/>
        </w:rPr>
        <w:t xml:space="preserve">LANGUAGEjt </w:t>
      </w:r>
      <w:r w:rsidRPr="00A043A4">
        <w:rPr>
          <w:szCs w:val="24"/>
        </w:rPr>
        <w:sym w:font="Symbol" w:char="F067"/>
      </w:r>
      <w:r w:rsidRPr="00A043A4">
        <w:rPr>
          <w:szCs w:val="24"/>
          <w:vertAlign w:val="subscript"/>
        </w:rPr>
        <w:t>j</w:t>
      </w:r>
      <w:r w:rsidRPr="00A043A4">
        <w:rPr>
          <w:szCs w:val="24"/>
        </w:rPr>
        <w:t xml:space="preserve"> +</w:t>
      </w:r>
      <w:r w:rsidRPr="00A043A4">
        <w:rPr>
          <w:i/>
          <w:iCs/>
          <w:szCs w:val="24"/>
        </w:rPr>
        <w:sym w:font="Symbol" w:char="F06C"/>
      </w:r>
      <w:r w:rsidRPr="00A043A4">
        <w:rPr>
          <w:i/>
          <w:iCs/>
          <w:szCs w:val="24"/>
        </w:rPr>
        <w:t xml:space="preserve">t </w:t>
      </w:r>
      <w:r w:rsidRPr="00A043A4">
        <w:rPr>
          <w:i/>
          <w:iCs/>
          <w:szCs w:val="24"/>
        </w:rPr>
        <w:sym w:font="Symbol" w:char="F02B"/>
      </w:r>
      <w:r w:rsidRPr="00A043A4">
        <w:rPr>
          <w:i/>
          <w:iCs/>
          <w:szCs w:val="24"/>
        </w:rPr>
        <w:t>u</w:t>
      </w:r>
      <w:r w:rsidRPr="00A043A4">
        <w:rPr>
          <w:i/>
          <w:iCs/>
          <w:szCs w:val="24"/>
          <w:vertAlign w:val="subscript"/>
        </w:rPr>
        <w:t>it</w:t>
      </w:r>
      <w:r w:rsidRPr="00A043A4">
        <w:rPr>
          <w:i/>
          <w:iCs/>
          <w:szCs w:val="24"/>
        </w:rPr>
        <w:t xml:space="preserve">                                                                                   (1)</w:t>
      </w:r>
    </w:p>
    <w:p w14:paraId="2BF0195C" w14:textId="77777777" w:rsidR="00831547" w:rsidRPr="00A043A4" w:rsidRDefault="00831547" w:rsidP="001917F0">
      <w:pPr>
        <w:tabs>
          <w:tab w:val="left" w:pos="8085"/>
        </w:tabs>
        <w:rPr>
          <w:i/>
          <w:iCs/>
          <w:szCs w:val="24"/>
        </w:rPr>
      </w:pPr>
    </w:p>
    <w:p w14:paraId="6CE808DE" w14:textId="24B85358" w:rsidR="006C2F55" w:rsidRPr="00A043A4" w:rsidRDefault="000B378B" w:rsidP="001917F0">
      <w:pPr>
        <w:tabs>
          <w:tab w:val="left" w:pos="540"/>
        </w:tabs>
        <w:rPr>
          <w:color w:val="000000" w:themeColor="text1"/>
          <w:szCs w:val="24"/>
          <w:lang w:val="en-GB"/>
        </w:rPr>
      </w:pPr>
      <w:r w:rsidRPr="00A043A4">
        <w:rPr>
          <w:color w:val="000000" w:themeColor="text1"/>
          <w:szCs w:val="24"/>
          <w:lang w:val="en-GB"/>
        </w:rPr>
        <w:tab/>
      </w:r>
      <w:r w:rsidR="00EE5966">
        <w:rPr>
          <w:color w:val="000000" w:themeColor="text1"/>
          <w:szCs w:val="24"/>
          <w:lang w:val="en-GB"/>
        </w:rPr>
        <w:t>T</w:t>
      </w:r>
      <w:r w:rsidR="00823777" w:rsidRPr="00A043A4">
        <w:rPr>
          <w:color w:val="000000" w:themeColor="text1"/>
          <w:szCs w:val="24"/>
          <w:lang w:val="en-GB"/>
        </w:rPr>
        <w:t xml:space="preserve">he influence of certain independent variables on </w:t>
      </w:r>
      <w:r w:rsidR="003A5C8A" w:rsidRPr="00A043A4">
        <w:rPr>
          <w:color w:val="000000" w:themeColor="text1"/>
          <w:szCs w:val="24"/>
          <w:lang w:val="en-GB"/>
        </w:rPr>
        <w:t xml:space="preserve">North </w:t>
      </w:r>
      <w:r w:rsidR="00823777" w:rsidRPr="00A043A4">
        <w:rPr>
          <w:color w:val="000000" w:themeColor="text1"/>
          <w:szCs w:val="24"/>
          <w:lang w:val="en-GB"/>
        </w:rPr>
        <w:t>Macedonia</w:t>
      </w:r>
      <w:r w:rsidR="00E55B8F" w:rsidRPr="00A043A4">
        <w:rPr>
          <w:color w:val="000000" w:themeColor="text1"/>
          <w:szCs w:val="24"/>
          <w:lang w:val="en-GB"/>
        </w:rPr>
        <w:t>’s</w:t>
      </w:r>
      <w:r w:rsidR="00823777" w:rsidRPr="00A043A4">
        <w:rPr>
          <w:color w:val="000000" w:themeColor="text1"/>
          <w:szCs w:val="24"/>
          <w:lang w:val="en-GB"/>
        </w:rPr>
        <w:t xml:space="preserve"> trade</w:t>
      </w:r>
      <w:r w:rsidR="00EE5966">
        <w:rPr>
          <w:color w:val="000000" w:themeColor="text1"/>
          <w:szCs w:val="24"/>
          <w:lang w:val="en-GB"/>
        </w:rPr>
        <w:t xml:space="preserve"> is investigated</w:t>
      </w:r>
      <w:r w:rsidR="00823777" w:rsidRPr="00A043A4">
        <w:rPr>
          <w:color w:val="000000" w:themeColor="text1"/>
          <w:szCs w:val="24"/>
          <w:lang w:val="en-GB"/>
        </w:rPr>
        <w:t>. The dependent variable trade (</w:t>
      </w:r>
      <w:proofErr w:type="spellStart"/>
      <w:r w:rsidR="00823777" w:rsidRPr="00A043A4">
        <w:rPr>
          <w:color w:val="000000" w:themeColor="text1"/>
          <w:szCs w:val="24"/>
          <w:lang w:val="en-GB"/>
        </w:rPr>
        <w:t>TRADE</w:t>
      </w:r>
      <w:r w:rsidR="00823777" w:rsidRPr="00A043A4">
        <w:rPr>
          <w:i/>
          <w:iCs/>
          <w:color w:val="000000" w:themeColor="text1"/>
          <w:szCs w:val="24"/>
          <w:lang w:val="en-GB"/>
        </w:rPr>
        <w:t>ijt</w:t>
      </w:r>
      <w:proofErr w:type="spellEnd"/>
      <w:r w:rsidR="00823777" w:rsidRPr="00A043A4">
        <w:rPr>
          <w:color w:val="000000" w:themeColor="text1"/>
          <w:szCs w:val="24"/>
          <w:lang w:val="en-GB"/>
        </w:rPr>
        <w:t xml:space="preserve">) is constructed as a sum of </w:t>
      </w:r>
      <w:r w:rsidR="003A5C8A" w:rsidRPr="00A043A4">
        <w:rPr>
          <w:color w:val="000000" w:themeColor="text1"/>
          <w:szCs w:val="24"/>
          <w:lang w:val="en-GB"/>
        </w:rPr>
        <w:t xml:space="preserve">North </w:t>
      </w:r>
      <w:r w:rsidR="00823777" w:rsidRPr="00A043A4">
        <w:rPr>
          <w:color w:val="000000" w:themeColor="text1"/>
          <w:szCs w:val="24"/>
          <w:lang w:val="en-GB"/>
        </w:rPr>
        <w:t>Macedonia’s export and import to its trading partners in absolute values.</w:t>
      </w:r>
      <w:r w:rsidR="00EE5966">
        <w:rPr>
          <w:color w:val="000000" w:themeColor="text1"/>
          <w:szCs w:val="24"/>
          <w:lang w:val="en-GB"/>
        </w:rPr>
        <w:t xml:space="preserve"> T</w:t>
      </w:r>
      <w:r w:rsidR="00823777" w:rsidRPr="00A043A4">
        <w:rPr>
          <w:color w:val="000000" w:themeColor="text1"/>
          <w:szCs w:val="24"/>
          <w:lang w:val="en-GB"/>
        </w:rPr>
        <w:t xml:space="preserve">hree regressions </w:t>
      </w:r>
      <w:r w:rsidR="00EE5966">
        <w:rPr>
          <w:color w:val="000000" w:themeColor="text1"/>
          <w:szCs w:val="24"/>
          <w:lang w:val="en-GB"/>
        </w:rPr>
        <w:t xml:space="preserve">are constructed </w:t>
      </w:r>
      <w:r w:rsidR="00823777" w:rsidRPr="00A043A4">
        <w:rPr>
          <w:color w:val="000000" w:themeColor="text1"/>
          <w:szCs w:val="24"/>
          <w:lang w:val="en-GB"/>
        </w:rPr>
        <w:t xml:space="preserve">for testing the influence of trade agreements on </w:t>
      </w:r>
      <w:r w:rsidR="003A5C8A" w:rsidRPr="00A043A4">
        <w:rPr>
          <w:color w:val="000000" w:themeColor="text1"/>
          <w:szCs w:val="24"/>
          <w:lang w:val="en-GB"/>
        </w:rPr>
        <w:t xml:space="preserve">North </w:t>
      </w:r>
      <w:r w:rsidR="00823777" w:rsidRPr="00A043A4">
        <w:rPr>
          <w:color w:val="000000" w:themeColor="text1"/>
          <w:szCs w:val="24"/>
          <w:lang w:val="en-GB"/>
        </w:rPr>
        <w:t>Macedonia</w:t>
      </w:r>
      <w:r w:rsidR="00E55B8F" w:rsidRPr="00A043A4">
        <w:rPr>
          <w:color w:val="000000" w:themeColor="text1"/>
          <w:szCs w:val="24"/>
          <w:lang w:val="en-GB"/>
        </w:rPr>
        <w:t>’s</w:t>
      </w:r>
      <w:r w:rsidR="00823777" w:rsidRPr="00A043A4">
        <w:rPr>
          <w:color w:val="000000" w:themeColor="text1"/>
          <w:szCs w:val="24"/>
          <w:lang w:val="en-GB"/>
        </w:rPr>
        <w:t xml:space="preserve"> trade. For all three regressions</w:t>
      </w:r>
      <w:r w:rsidR="00BC2C37" w:rsidRPr="00A043A4">
        <w:rPr>
          <w:color w:val="000000" w:themeColor="text1"/>
          <w:szCs w:val="24"/>
          <w:lang w:val="en-GB"/>
        </w:rPr>
        <w:t>,</w:t>
      </w:r>
      <w:r w:rsidR="00823777" w:rsidRPr="00A043A4">
        <w:rPr>
          <w:color w:val="000000" w:themeColor="text1"/>
          <w:szCs w:val="24"/>
          <w:lang w:val="en-GB"/>
        </w:rPr>
        <w:t xml:space="preserve"> commonly used variables in gravity models</w:t>
      </w:r>
      <w:r w:rsidR="00B0466F">
        <w:rPr>
          <w:color w:val="000000" w:themeColor="text1"/>
          <w:szCs w:val="24"/>
          <w:lang w:val="en-GB"/>
        </w:rPr>
        <w:t xml:space="preserve"> are tested</w:t>
      </w:r>
      <w:r w:rsidR="00823777" w:rsidRPr="00A043A4">
        <w:rPr>
          <w:color w:val="000000" w:themeColor="text1"/>
          <w:szCs w:val="24"/>
          <w:lang w:val="en-GB"/>
        </w:rPr>
        <w:t xml:space="preserve">: GDP per capita, </w:t>
      </w:r>
      <w:r w:rsidR="001673AB" w:rsidRPr="00A043A4">
        <w:rPr>
          <w:color w:val="000000" w:themeColor="text1"/>
          <w:szCs w:val="24"/>
          <w:lang w:val="en-GB"/>
        </w:rPr>
        <w:t>remoteness</w:t>
      </w:r>
      <w:r w:rsidR="00BC2C37" w:rsidRPr="00A043A4">
        <w:rPr>
          <w:color w:val="000000" w:themeColor="text1"/>
          <w:szCs w:val="24"/>
          <w:lang w:val="en-GB"/>
        </w:rPr>
        <w:t>,</w:t>
      </w:r>
      <w:r w:rsidR="00493DF3" w:rsidRPr="00A043A4">
        <w:rPr>
          <w:color w:val="000000" w:themeColor="text1"/>
          <w:szCs w:val="24"/>
          <w:lang w:val="en-GB"/>
        </w:rPr>
        <w:t xml:space="preserve"> and population. </w:t>
      </w:r>
      <w:r w:rsidR="002D5A8E" w:rsidRPr="00A043A4">
        <w:rPr>
          <w:color w:val="000000" w:themeColor="text1"/>
          <w:szCs w:val="24"/>
          <w:lang w:val="en-GB"/>
        </w:rPr>
        <w:t>Additionally</w:t>
      </w:r>
      <w:r w:rsidR="006C2F55" w:rsidRPr="00A043A4">
        <w:rPr>
          <w:color w:val="000000" w:themeColor="text1"/>
          <w:szCs w:val="24"/>
          <w:lang w:val="en-GB"/>
        </w:rPr>
        <w:t>,</w:t>
      </w:r>
      <w:r w:rsidR="002D5A8E" w:rsidRPr="00A043A4">
        <w:rPr>
          <w:color w:val="000000" w:themeColor="text1"/>
          <w:szCs w:val="24"/>
          <w:lang w:val="en-GB"/>
        </w:rPr>
        <w:t xml:space="preserve"> from these standard independent variables</w:t>
      </w:r>
      <w:r w:rsidR="006C2F55" w:rsidRPr="00A043A4">
        <w:rPr>
          <w:color w:val="000000" w:themeColor="text1"/>
          <w:szCs w:val="24"/>
          <w:lang w:val="en-GB"/>
        </w:rPr>
        <w:t>,</w:t>
      </w:r>
      <w:r w:rsidR="002D5A8E" w:rsidRPr="00A043A4">
        <w:rPr>
          <w:color w:val="000000" w:themeColor="text1"/>
          <w:szCs w:val="24"/>
          <w:lang w:val="en-GB"/>
        </w:rPr>
        <w:t xml:space="preserve"> three dummy variables</w:t>
      </w:r>
      <w:r w:rsidR="00B0466F">
        <w:rPr>
          <w:color w:val="000000" w:themeColor="text1"/>
          <w:szCs w:val="24"/>
          <w:lang w:val="en-GB"/>
        </w:rPr>
        <w:t xml:space="preserve"> are applied</w:t>
      </w:r>
      <w:r w:rsidR="002D5A8E" w:rsidRPr="00A043A4">
        <w:rPr>
          <w:color w:val="000000" w:themeColor="text1"/>
          <w:szCs w:val="24"/>
          <w:lang w:val="en-GB"/>
        </w:rPr>
        <w:t xml:space="preserve">: </w:t>
      </w:r>
      <w:r w:rsidR="006C2F55" w:rsidRPr="00A043A4">
        <w:rPr>
          <w:color w:val="000000" w:themeColor="text1"/>
          <w:szCs w:val="24"/>
          <w:lang w:val="en-GB"/>
        </w:rPr>
        <w:t xml:space="preserve">the membership of </w:t>
      </w:r>
      <w:r w:rsidR="00E55B8F" w:rsidRPr="00A043A4">
        <w:rPr>
          <w:color w:val="000000" w:themeColor="text1"/>
          <w:szCs w:val="24"/>
          <w:lang w:val="en-GB"/>
        </w:rPr>
        <w:t>the trading partner</w:t>
      </w:r>
      <w:r w:rsidR="006C2F55" w:rsidRPr="00A043A4">
        <w:rPr>
          <w:color w:val="000000" w:themeColor="text1"/>
          <w:szCs w:val="24"/>
          <w:lang w:val="en-GB"/>
        </w:rPr>
        <w:t xml:space="preserve"> in CEFTA-2</w:t>
      </w:r>
      <w:r w:rsidR="00D47864" w:rsidRPr="00A043A4">
        <w:rPr>
          <w:color w:val="000000" w:themeColor="text1"/>
          <w:szCs w:val="24"/>
          <w:lang w:val="en-GB"/>
        </w:rPr>
        <w:t>0</w:t>
      </w:r>
      <w:r w:rsidR="006C2F55" w:rsidRPr="00A043A4">
        <w:rPr>
          <w:color w:val="000000" w:themeColor="text1"/>
          <w:szCs w:val="24"/>
          <w:lang w:val="en-GB"/>
        </w:rPr>
        <w:t xml:space="preserve">06, </w:t>
      </w:r>
      <w:r w:rsidR="00E55B8F" w:rsidRPr="00A043A4">
        <w:rPr>
          <w:color w:val="000000" w:themeColor="text1"/>
          <w:szCs w:val="24"/>
          <w:lang w:val="en-GB"/>
        </w:rPr>
        <w:t xml:space="preserve">being </w:t>
      </w:r>
      <w:r w:rsidR="00BC2C37" w:rsidRPr="00A043A4">
        <w:rPr>
          <w:color w:val="000000" w:themeColor="text1"/>
          <w:szCs w:val="24"/>
          <w:lang w:val="en-GB"/>
        </w:rPr>
        <w:t xml:space="preserve">a </w:t>
      </w:r>
      <w:r w:rsidR="00E55B8F" w:rsidRPr="00A043A4">
        <w:rPr>
          <w:color w:val="000000" w:themeColor="text1"/>
          <w:szCs w:val="24"/>
          <w:lang w:val="en-GB"/>
        </w:rPr>
        <w:t>member of t</w:t>
      </w:r>
      <w:r w:rsidR="006C2F55" w:rsidRPr="00A043A4">
        <w:rPr>
          <w:color w:val="000000" w:themeColor="text1"/>
          <w:szCs w:val="24"/>
          <w:lang w:val="en-GB"/>
        </w:rPr>
        <w:t>he European Union</w:t>
      </w:r>
      <w:r w:rsidR="00E33975" w:rsidRPr="00A043A4">
        <w:rPr>
          <w:color w:val="000000" w:themeColor="text1"/>
          <w:szCs w:val="24"/>
          <w:lang w:val="en-GB"/>
        </w:rPr>
        <w:t>;</w:t>
      </w:r>
      <w:r w:rsidR="006C2F55" w:rsidRPr="00A043A4">
        <w:rPr>
          <w:color w:val="000000" w:themeColor="text1"/>
          <w:szCs w:val="24"/>
          <w:lang w:val="en-GB"/>
        </w:rPr>
        <w:t xml:space="preserve"> </w:t>
      </w:r>
      <w:r w:rsidR="00E55B8F" w:rsidRPr="00A043A4">
        <w:rPr>
          <w:color w:val="000000" w:themeColor="text1"/>
          <w:szCs w:val="24"/>
          <w:lang w:val="en-GB"/>
        </w:rPr>
        <w:t>or having signed</w:t>
      </w:r>
      <w:r w:rsidR="006C2F55" w:rsidRPr="00A043A4">
        <w:rPr>
          <w:color w:val="000000" w:themeColor="text1"/>
          <w:szCs w:val="24"/>
          <w:lang w:val="en-GB"/>
        </w:rPr>
        <w:t xml:space="preserve"> </w:t>
      </w:r>
      <w:r w:rsidR="00BC2C37" w:rsidRPr="00A043A4">
        <w:rPr>
          <w:color w:val="000000" w:themeColor="text1"/>
          <w:szCs w:val="24"/>
          <w:lang w:val="en-GB"/>
        </w:rPr>
        <w:t xml:space="preserve">a </w:t>
      </w:r>
      <w:r w:rsidR="006C2F55" w:rsidRPr="00A043A4">
        <w:rPr>
          <w:color w:val="000000" w:themeColor="text1"/>
          <w:szCs w:val="24"/>
          <w:lang w:val="en-GB"/>
        </w:rPr>
        <w:t>free trade agreement</w:t>
      </w:r>
      <w:r w:rsidR="00BC2C37" w:rsidRPr="00A043A4">
        <w:rPr>
          <w:color w:val="000000" w:themeColor="text1"/>
          <w:szCs w:val="24"/>
          <w:lang w:val="en-GB"/>
        </w:rPr>
        <w:t xml:space="preserve"> </w:t>
      </w:r>
      <w:r w:rsidR="00C074BF" w:rsidRPr="00A043A4">
        <w:rPr>
          <w:color w:val="000000" w:themeColor="text1"/>
          <w:szCs w:val="24"/>
          <w:lang w:val="en-GB"/>
        </w:rPr>
        <w:t xml:space="preserve">with </w:t>
      </w:r>
      <w:r w:rsidR="003A5C8A" w:rsidRPr="00A043A4">
        <w:rPr>
          <w:color w:val="000000" w:themeColor="text1"/>
          <w:szCs w:val="24"/>
          <w:lang w:val="en-GB"/>
        </w:rPr>
        <w:t xml:space="preserve">North </w:t>
      </w:r>
      <w:r w:rsidR="00C074BF" w:rsidRPr="00A043A4">
        <w:rPr>
          <w:color w:val="000000" w:themeColor="text1"/>
          <w:szCs w:val="24"/>
          <w:lang w:val="en-GB"/>
        </w:rPr>
        <w:t xml:space="preserve">Macedonia and being one of the </w:t>
      </w:r>
      <w:r w:rsidR="006C2F55" w:rsidRPr="00A043A4">
        <w:rPr>
          <w:color w:val="000000" w:themeColor="text1"/>
          <w:szCs w:val="24"/>
          <w:lang w:val="en-GB"/>
        </w:rPr>
        <w:t>EFTA</w:t>
      </w:r>
      <w:r w:rsidR="00E55B8F" w:rsidRPr="00A043A4">
        <w:rPr>
          <w:color w:val="000000" w:themeColor="text1"/>
          <w:szCs w:val="24"/>
          <w:lang w:val="en-GB"/>
        </w:rPr>
        <w:t xml:space="preserve"> countries</w:t>
      </w:r>
      <w:r w:rsidR="006C2F55" w:rsidRPr="00A043A4">
        <w:rPr>
          <w:color w:val="000000" w:themeColor="text1"/>
          <w:szCs w:val="24"/>
          <w:lang w:val="en-GB"/>
        </w:rPr>
        <w:t xml:space="preserve">, </w:t>
      </w:r>
      <w:proofErr w:type="gramStart"/>
      <w:r w:rsidR="006C2F55" w:rsidRPr="00A043A4">
        <w:rPr>
          <w:color w:val="000000" w:themeColor="text1"/>
          <w:szCs w:val="24"/>
          <w:lang w:val="en-GB"/>
        </w:rPr>
        <w:t>Turkey</w:t>
      </w:r>
      <w:proofErr w:type="gramEnd"/>
      <w:r w:rsidR="006C2F55" w:rsidRPr="00A043A4">
        <w:rPr>
          <w:color w:val="000000" w:themeColor="text1"/>
          <w:szCs w:val="24"/>
          <w:lang w:val="en-GB"/>
        </w:rPr>
        <w:t xml:space="preserve"> </w:t>
      </w:r>
      <w:r w:rsidR="00E55B8F" w:rsidRPr="00A043A4">
        <w:rPr>
          <w:color w:val="000000" w:themeColor="text1"/>
          <w:szCs w:val="24"/>
          <w:lang w:val="en-GB"/>
        </w:rPr>
        <w:t>or</w:t>
      </w:r>
      <w:r w:rsidR="006C2F55" w:rsidRPr="00A043A4">
        <w:rPr>
          <w:color w:val="000000" w:themeColor="text1"/>
          <w:szCs w:val="24"/>
          <w:lang w:val="en-GB"/>
        </w:rPr>
        <w:t xml:space="preserve"> Ukraine</w:t>
      </w:r>
      <w:r w:rsidR="00BC2C37" w:rsidRPr="00A043A4">
        <w:rPr>
          <w:color w:val="000000" w:themeColor="text1"/>
          <w:szCs w:val="24"/>
          <w:lang w:val="en-GB"/>
        </w:rPr>
        <w:t>, for example</w:t>
      </w:r>
      <w:r w:rsidR="00C074BF" w:rsidRPr="00A043A4">
        <w:rPr>
          <w:color w:val="000000" w:themeColor="text1"/>
          <w:szCs w:val="24"/>
          <w:lang w:val="en-GB"/>
        </w:rPr>
        <w:t>.</w:t>
      </w:r>
    </w:p>
    <w:p w14:paraId="6578FE12" w14:textId="313BF1F1" w:rsidR="00823777" w:rsidRPr="00A043A4" w:rsidRDefault="000B378B" w:rsidP="001917F0">
      <w:pPr>
        <w:tabs>
          <w:tab w:val="left" w:pos="540"/>
        </w:tabs>
        <w:rPr>
          <w:color w:val="000000" w:themeColor="text1"/>
          <w:szCs w:val="24"/>
          <w:lang w:val="en-GB"/>
        </w:rPr>
      </w:pPr>
      <w:r w:rsidRPr="00A043A4">
        <w:rPr>
          <w:color w:val="000000" w:themeColor="text1"/>
          <w:szCs w:val="24"/>
          <w:lang w:val="en-GB"/>
        </w:rPr>
        <w:lastRenderedPageBreak/>
        <w:tab/>
      </w:r>
      <w:r w:rsidR="00823777" w:rsidRPr="00A043A4">
        <w:rPr>
          <w:color w:val="000000" w:themeColor="text1"/>
          <w:szCs w:val="24"/>
          <w:lang w:val="en-GB"/>
        </w:rPr>
        <w:t xml:space="preserve">In the </w:t>
      </w:r>
      <w:r w:rsidR="006C2F55" w:rsidRPr="00A043A4">
        <w:rPr>
          <w:color w:val="000000" w:themeColor="text1"/>
          <w:szCs w:val="24"/>
          <w:lang w:val="en-GB"/>
        </w:rPr>
        <w:t xml:space="preserve">second </w:t>
      </w:r>
      <w:r w:rsidR="00823777" w:rsidRPr="00A043A4">
        <w:rPr>
          <w:color w:val="000000" w:themeColor="text1"/>
          <w:szCs w:val="24"/>
          <w:lang w:val="en-GB"/>
        </w:rPr>
        <w:t>regression</w:t>
      </w:r>
      <w:r w:rsidR="00AC66D8" w:rsidRPr="00A043A4">
        <w:rPr>
          <w:color w:val="000000" w:themeColor="text1"/>
          <w:szCs w:val="24"/>
          <w:lang w:val="mk-MK"/>
        </w:rPr>
        <w:t>,</w:t>
      </w:r>
      <w:r w:rsidR="00823777" w:rsidRPr="00A043A4">
        <w:rPr>
          <w:color w:val="000000" w:themeColor="text1"/>
          <w:szCs w:val="24"/>
          <w:lang w:val="en-GB"/>
        </w:rPr>
        <w:t xml:space="preserve"> </w:t>
      </w:r>
      <w:r w:rsidR="004404C1" w:rsidRPr="00A043A4">
        <w:rPr>
          <w:color w:val="000000" w:themeColor="text1"/>
          <w:szCs w:val="24"/>
          <w:lang w:val="en-GB"/>
        </w:rPr>
        <w:t xml:space="preserve">the variable productivity measuring country’s </w:t>
      </w:r>
      <w:proofErr w:type="spellStart"/>
      <w:r w:rsidR="00B0466F">
        <w:rPr>
          <w:color w:val="000000" w:themeColor="text1"/>
          <w:szCs w:val="24"/>
          <w:lang w:val="en-GB"/>
        </w:rPr>
        <w:t>labor</w:t>
      </w:r>
      <w:proofErr w:type="spellEnd"/>
      <w:r w:rsidR="004404C1" w:rsidRPr="00A043A4">
        <w:rPr>
          <w:color w:val="000000" w:themeColor="text1"/>
          <w:szCs w:val="24"/>
          <w:lang w:val="en-GB"/>
        </w:rPr>
        <w:t xml:space="preserve"> productivity</w:t>
      </w:r>
      <w:r w:rsidR="00B0466F">
        <w:rPr>
          <w:color w:val="000000" w:themeColor="text1"/>
          <w:szCs w:val="24"/>
          <w:lang w:val="en-GB"/>
        </w:rPr>
        <w:t xml:space="preserve"> is added</w:t>
      </w:r>
      <w:r w:rsidR="004404C1" w:rsidRPr="00A043A4">
        <w:rPr>
          <w:color w:val="000000" w:themeColor="text1"/>
          <w:szCs w:val="24"/>
          <w:lang w:val="en-GB"/>
        </w:rPr>
        <w:t>, and in the third regression</w:t>
      </w:r>
      <w:r w:rsidR="00F01E92" w:rsidRPr="00A043A4">
        <w:rPr>
          <w:color w:val="000000" w:themeColor="text1"/>
          <w:szCs w:val="24"/>
          <w:lang w:val="en-GB"/>
        </w:rPr>
        <w:t>,</w:t>
      </w:r>
      <w:r w:rsidR="004404C1" w:rsidRPr="00A043A4">
        <w:rPr>
          <w:color w:val="000000" w:themeColor="text1"/>
          <w:szCs w:val="24"/>
          <w:lang w:val="en-GB"/>
        </w:rPr>
        <w:t xml:space="preserve"> the variable common language</w:t>
      </w:r>
      <w:r w:rsidR="00B0466F">
        <w:rPr>
          <w:color w:val="000000" w:themeColor="text1"/>
          <w:szCs w:val="24"/>
          <w:lang w:val="en-GB"/>
        </w:rPr>
        <w:t xml:space="preserve"> is added</w:t>
      </w:r>
      <w:r w:rsidR="004404C1" w:rsidRPr="00A043A4">
        <w:rPr>
          <w:color w:val="000000" w:themeColor="text1"/>
          <w:szCs w:val="24"/>
          <w:lang w:val="en-GB"/>
        </w:rPr>
        <w:t>.</w:t>
      </w:r>
    </w:p>
    <w:p w14:paraId="6551924F" w14:textId="7DB7DBAD" w:rsidR="00831547" w:rsidRPr="00A043A4" w:rsidRDefault="000B378B" w:rsidP="001917F0">
      <w:pPr>
        <w:tabs>
          <w:tab w:val="left" w:pos="540"/>
        </w:tabs>
        <w:rPr>
          <w:szCs w:val="24"/>
        </w:rPr>
      </w:pPr>
      <w:r w:rsidRPr="00A043A4">
        <w:rPr>
          <w:szCs w:val="24"/>
        </w:rPr>
        <w:tab/>
      </w:r>
      <w:r w:rsidR="004404C1" w:rsidRPr="00A043A4">
        <w:rPr>
          <w:szCs w:val="24"/>
        </w:rPr>
        <w:t>The variable GDP per capita is the most common indicator for measuring the level of economic development. In this model</w:t>
      </w:r>
      <w:r w:rsidR="00F01E92" w:rsidRPr="00A043A4">
        <w:rPr>
          <w:szCs w:val="24"/>
        </w:rPr>
        <w:t>,</w:t>
      </w:r>
      <w:r w:rsidR="004404C1" w:rsidRPr="00A043A4">
        <w:rPr>
          <w:szCs w:val="24"/>
        </w:rPr>
        <w:t xml:space="preserve"> the variable is calculated as the difference between </w:t>
      </w:r>
      <w:r w:rsidR="00F01E92" w:rsidRPr="00A043A4">
        <w:rPr>
          <w:szCs w:val="24"/>
        </w:rPr>
        <w:t xml:space="preserve">the </w:t>
      </w:r>
      <w:r w:rsidR="004404C1" w:rsidRPr="00A043A4">
        <w:rPr>
          <w:szCs w:val="24"/>
        </w:rPr>
        <w:t xml:space="preserve">maximum and </w:t>
      </w:r>
      <w:r w:rsidR="00F01E92" w:rsidRPr="00A043A4">
        <w:rPr>
          <w:szCs w:val="24"/>
        </w:rPr>
        <w:t xml:space="preserve">the </w:t>
      </w:r>
      <w:r w:rsidR="004404C1" w:rsidRPr="00A043A4">
        <w:rPr>
          <w:szCs w:val="24"/>
        </w:rPr>
        <w:t>minimum value of GDP per capita of</w:t>
      </w:r>
      <w:r w:rsidR="00E55B8F" w:rsidRPr="00A043A4">
        <w:rPr>
          <w:szCs w:val="24"/>
        </w:rPr>
        <w:t xml:space="preserve"> </w:t>
      </w:r>
      <w:r w:rsidR="003A5C8A" w:rsidRPr="00A043A4">
        <w:rPr>
          <w:szCs w:val="24"/>
        </w:rPr>
        <w:t xml:space="preserve">North </w:t>
      </w:r>
      <w:r w:rsidR="004404C1" w:rsidRPr="00A043A4">
        <w:rPr>
          <w:szCs w:val="24"/>
        </w:rPr>
        <w:t>Macedonia and the trading partner</w:t>
      </w:r>
      <w:r w:rsidR="00315840" w:rsidRPr="00A043A4">
        <w:rPr>
          <w:szCs w:val="24"/>
        </w:rPr>
        <w:t xml:space="preserve"> at constant prices (</w:t>
      </w:r>
      <w:r w:rsidR="00315840" w:rsidRPr="00A043A4">
        <w:rPr>
          <w:i/>
          <w:iCs/>
          <w:szCs w:val="24"/>
        </w:rPr>
        <w:t>GDPcapitaijt)</w:t>
      </w:r>
      <w:r w:rsidR="00315840" w:rsidRPr="00A043A4">
        <w:rPr>
          <w:szCs w:val="24"/>
        </w:rPr>
        <w:t xml:space="preserve">. The expectation is that the coefficient should be statistically significant and positive, thus meaning that an increase in the gap </w:t>
      </w:r>
      <w:r w:rsidR="00121358">
        <w:rPr>
          <w:szCs w:val="24"/>
        </w:rPr>
        <w:t>in</w:t>
      </w:r>
      <w:r w:rsidR="00315840" w:rsidRPr="00A043A4">
        <w:rPr>
          <w:szCs w:val="24"/>
        </w:rPr>
        <w:t xml:space="preserve"> the GDP per capita between </w:t>
      </w:r>
      <w:r w:rsidR="003A5C8A" w:rsidRPr="00A043A4">
        <w:rPr>
          <w:szCs w:val="24"/>
        </w:rPr>
        <w:t xml:space="preserve">North </w:t>
      </w:r>
      <w:r w:rsidR="00315840" w:rsidRPr="00A043A4">
        <w:rPr>
          <w:szCs w:val="24"/>
        </w:rPr>
        <w:t xml:space="preserve">Macedonia and its trading partners should increase the </w:t>
      </w:r>
      <w:r w:rsidR="00F01E92" w:rsidRPr="00A043A4">
        <w:rPr>
          <w:szCs w:val="24"/>
        </w:rPr>
        <w:t xml:space="preserve">intensity </w:t>
      </w:r>
      <w:r w:rsidR="00315840" w:rsidRPr="00A043A4">
        <w:rPr>
          <w:szCs w:val="24"/>
        </w:rPr>
        <w:t xml:space="preserve">of mutual trade. </w:t>
      </w:r>
      <w:r w:rsidR="00831547" w:rsidRPr="00A043A4">
        <w:rPr>
          <w:szCs w:val="24"/>
        </w:rPr>
        <w:t xml:space="preserve"> </w:t>
      </w:r>
    </w:p>
    <w:p w14:paraId="4F647ECF" w14:textId="08274C71" w:rsidR="001D6AB1" w:rsidRPr="00A043A4" w:rsidRDefault="00315840" w:rsidP="001917F0">
      <w:pPr>
        <w:ind w:firstLine="720"/>
        <w:rPr>
          <w:rFonts w:eastAsiaTheme="minorEastAsia"/>
        </w:rPr>
      </w:pPr>
      <w:r w:rsidRPr="00A043A4">
        <w:rPr>
          <w:szCs w:val="24"/>
        </w:rPr>
        <w:t xml:space="preserve">The variable remoteness is also </w:t>
      </w:r>
      <w:r w:rsidR="00F01E92" w:rsidRPr="00A043A4">
        <w:rPr>
          <w:szCs w:val="24"/>
        </w:rPr>
        <w:t xml:space="preserve">a </w:t>
      </w:r>
      <w:r w:rsidRPr="00A043A4">
        <w:rPr>
          <w:szCs w:val="24"/>
        </w:rPr>
        <w:t xml:space="preserve">standard variable applied in gravity models measuring the </w:t>
      </w:r>
      <w:r w:rsidR="000A69B1" w:rsidRPr="00A043A4">
        <w:rPr>
          <w:szCs w:val="24"/>
        </w:rPr>
        <w:t xml:space="preserve">weighted </w:t>
      </w:r>
      <w:r w:rsidRPr="00A043A4">
        <w:rPr>
          <w:szCs w:val="24"/>
        </w:rPr>
        <w:t>geographical distance</w:t>
      </w:r>
      <w:r w:rsidR="000A69B1" w:rsidRPr="00A043A4">
        <w:rPr>
          <w:szCs w:val="24"/>
        </w:rPr>
        <w:t xml:space="preserve"> </w:t>
      </w:r>
      <w:r w:rsidRPr="00A043A4">
        <w:rPr>
          <w:szCs w:val="24"/>
        </w:rPr>
        <w:t>(</w:t>
      </w:r>
      <w:r w:rsidRPr="00A043A4">
        <w:rPr>
          <w:i/>
          <w:iCs/>
          <w:szCs w:val="24"/>
        </w:rPr>
        <w:t>REMOTNESSijt)</w:t>
      </w:r>
      <w:r w:rsidRPr="00A043A4">
        <w:rPr>
          <w:szCs w:val="24"/>
        </w:rPr>
        <w:t>.</w:t>
      </w:r>
      <w:r w:rsidR="000A69B1" w:rsidRPr="00A043A4">
        <w:rPr>
          <w:szCs w:val="24"/>
        </w:rPr>
        <w:t xml:space="preserve"> </w:t>
      </w:r>
      <w:r w:rsidR="00A84647" w:rsidRPr="00A043A4">
        <w:rPr>
          <w:szCs w:val="24"/>
        </w:rPr>
        <w:t xml:space="preserve">Because the geographical distance is constant through time </w:t>
      </w:r>
      <w:r w:rsidR="00F01E92" w:rsidRPr="00A043A4">
        <w:rPr>
          <w:szCs w:val="24"/>
        </w:rPr>
        <w:t xml:space="preserve">a </w:t>
      </w:r>
      <w:r w:rsidR="00A84647" w:rsidRPr="00A043A4">
        <w:rPr>
          <w:szCs w:val="24"/>
        </w:rPr>
        <w:t>dynamic component</w:t>
      </w:r>
      <w:r w:rsidR="00B0466F">
        <w:rPr>
          <w:szCs w:val="24"/>
        </w:rPr>
        <w:t xml:space="preserve"> is added -</w:t>
      </w:r>
      <w:r w:rsidR="00A84647" w:rsidRPr="00A043A4">
        <w:rPr>
          <w:szCs w:val="24"/>
        </w:rPr>
        <w:t xml:space="preserve"> </w:t>
      </w:r>
      <w:r w:rsidR="00A84647" w:rsidRPr="00A043A4">
        <w:rPr>
          <w:rFonts w:eastAsiaTheme="minorEastAsia"/>
        </w:rPr>
        <w:t>g</w:t>
      </w:r>
      <w:r w:rsidR="000A69B1" w:rsidRPr="00A043A4">
        <w:rPr>
          <w:rFonts w:eastAsiaTheme="minorEastAsia"/>
        </w:rPr>
        <w:t>eographical distance weighted by the</w:t>
      </w:r>
      <w:r w:rsidR="007F65D4" w:rsidRPr="00A043A4">
        <w:rPr>
          <w:rFonts w:eastAsiaTheme="minorEastAsia"/>
        </w:rPr>
        <w:t xml:space="preserve"> GDP of the economies</w:t>
      </w:r>
      <w:r w:rsidR="003E1CD7" w:rsidRPr="00A043A4">
        <w:rPr>
          <w:rFonts w:eastAsiaTheme="minorEastAsia"/>
        </w:rPr>
        <w:t xml:space="preserve">. </w:t>
      </w:r>
      <w:r w:rsidR="00EF48C9" w:rsidRPr="00A043A4">
        <w:rPr>
          <w:rFonts w:eastAsiaTheme="minorEastAsia"/>
        </w:rPr>
        <w:t>The idea of using remoteness is to make an approximation for each country’s set of alternatives considering the distance and economic size of the other countries.</w:t>
      </w:r>
      <w:r w:rsidR="00A84647" w:rsidRPr="00A043A4">
        <w:rPr>
          <w:rFonts w:eastAsiaTheme="minorEastAsia"/>
        </w:rPr>
        <w:t xml:space="preserve"> </w:t>
      </w:r>
      <w:r w:rsidR="00285A5C" w:rsidRPr="00A043A4">
        <w:rPr>
          <w:rFonts w:eastAsiaTheme="minorEastAsia"/>
        </w:rPr>
        <w:t xml:space="preserve"> </w:t>
      </w:r>
      <w:r w:rsidR="001D6AB1" w:rsidRPr="00A043A4">
        <w:rPr>
          <w:rFonts w:eastAsiaTheme="minorEastAsia"/>
        </w:rPr>
        <w:t>The formula for remoteness is based on Head (2000):</w:t>
      </w:r>
    </w:p>
    <w:p w14:paraId="5D61A304" w14:textId="77777777" w:rsidR="001D6AB1" w:rsidRPr="00A043A4" w:rsidRDefault="00A92A2D" w:rsidP="001917F0">
      <w:pPr>
        <w:autoSpaceDE w:val="0"/>
        <w:autoSpaceDN w:val="0"/>
        <w:adjustRightInd w:val="0"/>
        <w:contextualSpacing/>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Rem</m:t>
              </m:r>
            </m:e>
            <m:sub>
              <m:r>
                <w:rPr>
                  <w:rFonts w:ascii="Cambria Math" w:eastAsiaTheme="minorEastAsia" w:hAnsi="Cambria Math"/>
                </w:rPr>
                <m:t>it</m:t>
              </m:r>
            </m:sub>
          </m:sSub>
          <m:r>
            <w:rPr>
              <w:rFonts w:ascii="Cambria Math" w:eastAsiaTheme="minorEastAsia"/>
            </w:rPr>
            <m:t>=</m:t>
          </m:r>
          <m:f>
            <m:fPr>
              <m:ctrlPr>
                <w:rPr>
                  <w:rFonts w:ascii="Cambria Math" w:eastAsiaTheme="minorEastAsia" w:hAnsi="Cambria Math"/>
                  <w:i/>
                </w:rPr>
              </m:ctrlPr>
            </m:fPr>
            <m:num>
              <m:r>
                <w:rPr>
                  <w:rFonts w:ascii="Cambria Math" w:eastAsiaTheme="minorEastAsia"/>
                </w:rPr>
                <m:t>1</m:t>
              </m:r>
            </m:num>
            <m:den>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hAnsi="Cambria Math"/>
                            </w:rPr>
                            <m:t>1</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jt</m:t>
                          </m:r>
                        </m:e>
                        <m:sub>
                          <m:r>
                            <w:rPr>
                              <w:rFonts w:ascii="Cambria Math" w:eastAsiaTheme="minorEastAsia"/>
                            </w:rPr>
                            <m:t>1</m:t>
                          </m:r>
                        </m:sub>
                      </m:sSub>
                    </m:sub>
                  </m:sSub>
                </m:den>
              </m:f>
              <m:r>
                <w:rPr>
                  <w:rFonts w:ascii="Cambria Math" w:eastAsiaTheme="minorEastAsia"/>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rPr>
                            <m:t>2</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rPr>
                            <m:t>t2</m:t>
                          </m:r>
                        </m:sub>
                      </m:sSub>
                    </m:sub>
                  </m:sSub>
                </m:den>
              </m:f>
              <m:r>
                <w:rPr>
                  <w:rFonts w:ascii="Cambria Math" w:eastAsiaTheme="minorEastAsia"/>
                </w:rPr>
                <m:t>+</m:t>
              </m:r>
              <m:r>
                <w:rPr>
                  <w:rFonts w:ascii="Cambria Math" w:eastAsiaTheme="minorEastAsia" w:hAnsi="Cambria Math"/>
                </w:rPr>
                <m:t>⋯</m:t>
              </m:r>
              <m:r>
                <w:rPr>
                  <w:rFonts w:ascii="Cambria Math" w:eastAsiaTheme="minorEastAsia"/>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m:t>
                      </m:r>
                      <m:r>
                        <w:rPr>
                          <w:rFonts w:ascii="Cambria Math" w:eastAsiaTheme="minorEastAsia"/>
                        </w:rPr>
                        <m:t>,</m:t>
                      </m:r>
                      <m:sSub>
                        <m:sSubPr>
                          <m:ctrlPr>
                            <w:rPr>
                              <w:rFonts w:ascii="Cambria Math" w:eastAsiaTheme="minorEastAsia" w:hAnsi="Cambria Math"/>
                              <w:i/>
                            </w:rPr>
                          </m:ctrlPr>
                        </m:sSubPr>
                        <m:e>
                          <m:r>
                            <w:rPr>
                              <w:rFonts w:ascii="Cambria Math" w:eastAsiaTheme="minorEastAsia" w:hAnsi="Cambria Math"/>
                            </w:rPr>
                            <m:t>j</m:t>
                          </m:r>
                        </m:e>
                        <m:sub>
                          <m:r>
                            <w:rPr>
                              <w:rFonts w:ascii="Cambria Math" w:eastAsiaTheme="minorEastAsia" w:hAnsi="Cambria Math"/>
                            </w:rPr>
                            <m:t>r</m:t>
                          </m:r>
                        </m:sub>
                      </m:sSub>
                    </m:sub>
                  </m:sSub>
                </m:num>
                <m:den>
                  <m:sSub>
                    <m:sSubPr>
                      <m:ctrlPr>
                        <w:rPr>
                          <w:rFonts w:ascii="Cambria Math" w:eastAsiaTheme="minorEastAsia" w:hAnsi="Cambria Math"/>
                          <w:i/>
                        </w:rPr>
                      </m:ctrlPr>
                    </m:sSubPr>
                    <m:e>
                      <m:r>
                        <w:rPr>
                          <w:rFonts w:ascii="Cambria Math" w:eastAsiaTheme="minorEastAsia" w:hAnsi="Cambria Math"/>
                        </w:rPr>
                        <m:t>GDP</m:t>
                      </m:r>
                    </m:e>
                    <m:sub>
                      <m:sSub>
                        <m:sSubPr>
                          <m:ctrlPr>
                            <w:rPr>
                              <w:rFonts w:ascii="Cambria Math" w:eastAsiaTheme="minorEastAsia" w:hAnsi="Cambria Math"/>
                              <w:i/>
                            </w:rPr>
                          </m:ctrlPr>
                        </m:sSubPr>
                        <m:e>
                          <m:r>
                            <w:rPr>
                              <w:rFonts w:ascii="Cambria Math" w:eastAsiaTheme="minorEastAsia" w:hAnsi="Cambria Math"/>
                            </w:rPr>
                            <m:t>jt</m:t>
                          </m:r>
                        </m:e>
                        <m:sub>
                          <m:r>
                            <w:rPr>
                              <w:rFonts w:ascii="Cambria Math" w:eastAsiaTheme="minorEastAsia" w:hAnsi="Cambria Math"/>
                            </w:rPr>
                            <m:t>r</m:t>
                          </m:r>
                        </m:sub>
                      </m:sSub>
                    </m:sub>
                  </m:sSub>
                </m:den>
              </m:f>
            </m:den>
          </m:f>
        </m:oMath>
      </m:oMathPara>
    </w:p>
    <w:p w14:paraId="7A23C47C" w14:textId="77777777" w:rsidR="00B0466F" w:rsidRDefault="00B0466F" w:rsidP="001917F0">
      <w:pPr>
        <w:autoSpaceDE w:val="0"/>
        <w:autoSpaceDN w:val="0"/>
        <w:adjustRightInd w:val="0"/>
        <w:ind w:firstLine="720"/>
        <w:contextualSpacing/>
        <w:rPr>
          <w:szCs w:val="24"/>
        </w:rPr>
      </w:pPr>
    </w:p>
    <w:p w14:paraId="0566C6C1" w14:textId="14262A99" w:rsidR="00831547" w:rsidRPr="00A043A4" w:rsidRDefault="008C131E" w:rsidP="001917F0">
      <w:pPr>
        <w:autoSpaceDE w:val="0"/>
        <w:autoSpaceDN w:val="0"/>
        <w:adjustRightInd w:val="0"/>
        <w:ind w:firstLine="720"/>
        <w:contextualSpacing/>
        <w:rPr>
          <w:rFonts w:eastAsiaTheme="minorHAnsi"/>
        </w:rPr>
      </w:pPr>
      <w:r w:rsidRPr="00A043A4">
        <w:rPr>
          <w:szCs w:val="24"/>
        </w:rPr>
        <w:t xml:space="preserve">The coefficient </w:t>
      </w:r>
      <w:r w:rsidR="00BA3348">
        <w:rPr>
          <w:szCs w:val="24"/>
        </w:rPr>
        <w:t>measuring</w:t>
      </w:r>
      <w:r w:rsidRPr="00A043A4">
        <w:rPr>
          <w:szCs w:val="24"/>
        </w:rPr>
        <w:t xml:space="preserve"> remoteness should be significant and negative since the expectation is that when the distance between two countries is higher it should likely have </w:t>
      </w:r>
      <w:r w:rsidR="00121358">
        <w:rPr>
          <w:szCs w:val="24"/>
        </w:rPr>
        <w:t xml:space="preserve">a </w:t>
      </w:r>
      <w:r w:rsidRPr="00A043A4">
        <w:rPr>
          <w:szCs w:val="24"/>
        </w:rPr>
        <w:t xml:space="preserve">negative impact on their bilateral trade.  </w:t>
      </w:r>
    </w:p>
    <w:p w14:paraId="52E39CB9" w14:textId="5F082FFA" w:rsidR="00831547" w:rsidRPr="00A043A4" w:rsidRDefault="00E36335" w:rsidP="001917F0">
      <w:pPr>
        <w:ind w:firstLine="720"/>
        <w:rPr>
          <w:szCs w:val="24"/>
        </w:rPr>
      </w:pPr>
      <w:r w:rsidRPr="00A043A4">
        <w:rPr>
          <w:szCs w:val="24"/>
        </w:rPr>
        <w:t>The variable population (</w:t>
      </w:r>
      <w:r w:rsidRPr="00A043A4">
        <w:rPr>
          <w:i/>
          <w:iCs/>
          <w:szCs w:val="24"/>
        </w:rPr>
        <w:t>POPijt)</w:t>
      </w:r>
      <w:r w:rsidRPr="00A043A4">
        <w:rPr>
          <w:szCs w:val="24"/>
        </w:rPr>
        <w:t xml:space="preserve"> represents the sum of the population in </w:t>
      </w:r>
      <w:r w:rsidR="003A5C8A" w:rsidRPr="00A043A4">
        <w:rPr>
          <w:szCs w:val="24"/>
        </w:rPr>
        <w:t xml:space="preserve">North </w:t>
      </w:r>
      <w:r w:rsidRPr="00A043A4">
        <w:rPr>
          <w:szCs w:val="24"/>
        </w:rPr>
        <w:t xml:space="preserve">Macedonia and the trading partner. The expectation is that </w:t>
      </w:r>
      <w:r w:rsidR="00BA3348">
        <w:rPr>
          <w:szCs w:val="24"/>
        </w:rPr>
        <w:t xml:space="preserve">a </w:t>
      </w:r>
      <w:r w:rsidRPr="00A043A4">
        <w:rPr>
          <w:szCs w:val="24"/>
        </w:rPr>
        <w:t>bigger population means big</w:t>
      </w:r>
      <w:r w:rsidR="00121358">
        <w:rPr>
          <w:szCs w:val="24"/>
        </w:rPr>
        <w:t xml:space="preserve">a </w:t>
      </w:r>
      <w:r w:rsidRPr="00A043A4">
        <w:rPr>
          <w:szCs w:val="24"/>
        </w:rPr>
        <w:t xml:space="preserve">ger market and </w:t>
      </w:r>
      <w:r w:rsidR="00BA3348">
        <w:rPr>
          <w:szCs w:val="24"/>
        </w:rPr>
        <w:t>therefore</w:t>
      </w:r>
      <w:r w:rsidRPr="00A043A4">
        <w:rPr>
          <w:szCs w:val="24"/>
        </w:rPr>
        <w:t xml:space="preserve"> bigger potential for trade. So, it is expected that the sign of this variable should be positive.  </w:t>
      </w:r>
    </w:p>
    <w:p w14:paraId="0E88B125" w14:textId="53A4D7A5" w:rsidR="00E36335" w:rsidRPr="00A043A4" w:rsidRDefault="00E36335" w:rsidP="001917F0">
      <w:pPr>
        <w:ind w:firstLine="720"/>
        <w:rPr>
          <w:szCs w:val="24"/>
        </w:rPr>
      </w:pPr>
      <w:r w:rsidRPr="00A043A4">
        <w:rPr>
          <w:szCs w:val="24"/>
        </w:rPr>
        <w:t xml:space="preserve">For the purposes of </w:t>
      </w:r>
      <w:r w:rsidR="00B0466F">
        <w:rPr>
          <w:szCs w:val="24"/>
        </w:rPr>
        <w:t>the</w:t>
      </w:r>
      <w:r w:rsidRPr="00A043A4">
        <w:rPr>
          <w:szCs w:val="24"/>
        </w:rPr>
        <w:t xml:space="preserve"> research and inve</w:t>
      </w:r>
      <w:r w:rsidR="00E55B8F" w:rsidRPr="00A043A4">
        <w:rPr>
          <w:szCs w:val="24"/>
        </w:rPr>
        <w:t>st</w:t>
      </w:r>
      <w:r w:rsidRPr="00A043A4">
        <w:rPr>
          <w:szCs w:val="24"/>
        </w:rPr>
        <w:t>igating the i</w:t>
      </w:r>
      <w:r w:rsidR="00B0466F">
        <w:rPr>
          <w:szCs w:val="24"/>
        </w:rPr>
        <w:t>n</w:t>
      </w:r>
      <w:r w:rsidRPr="00A043A4">
        <w:rPr>
          <w:szCs w:val="24"/>
        </w:rPr>
        <w:t>fluence of regional and bilateral trade agreements on trade</w:t>
      </w:r>
      <w:r w:rsidR="00B0466F">
        <w:rPr>
          <w:szCs w:val="24"/>
        </w:rPr>
        <w:t>,</w:t>
      </w:r>
      <w:r w:rsidRPr="00A043A4">
        <w:rPr>
          <w:szCs w:val="24"/>
        </w:rPr>
        <w:t xml:space="preserve"> th</w:t>
      </w:r>
      <w:r w:rsidR="00631349" w:rsidRPr="00A043A4">
        <w:rPr>
          <w:szCs w:val="24"/>
        </w:rPr>
        <w:t>re</w:t>
      </w:r>
      <w:r w:rsidRPr="00A043A4">
        <w:rPr>
          <w:szCs w:val="24"/>
        </w:rPr>
        <w:t>e dummy variables</w:t>
      </w:r>
      <w:r w:rsidR="00B0466F">
        <w:rPr>
          <w:szCs w:val="24"/>
        </w:rPr>
        <w:t xml:space="preserve"> are added</w:t>
      </w:r>
      <w:r w:rsidRPr="00A043A4">
        <w:rPr>
          <w:szCs w:val="24"/>
        </w:rPr>
        <w:t xml:space="preserve">. The first </w:t>
      </w:r>
      <w:r w:rsidR="00631349" w:rsidRPr="00A043A4">
        <w:rPr>
          <w:szCs w:val="24"/>
        </w:rPr>
        <w:t xml:space="preserve">dummy variable is </w:t>
      </w:r>
      <w:r w:rsidR="00BA3348">
        <w:rPr>
          <w:szCs w:val="24"/>
        </w:rPr>
        <w:t xml:space="preserve">the </w:t>
      </w:r>
      <w:r w:rsidR="00631349" w:rsidRPr="00A043A4">
        <w:rPr>
          <w:szCs w:val="24"/>
        </w:rPr>
        <w:t xml:space="preserve">EU and measures whether </w:t>
      </w:r>
      <w:r w:rsidR="003A5C8A" w:rsidRPr="00A043A4">
        <w:rPr>
          <w:szCs w:val="24"/>
        </w:rPr>
        <w:t xml:space="preserve">North </w:t>
      </w:r>
      <w:r w:rsidR="00BA3348">
        <w:rPr>
          <w:szCs w:val="24"/>
        </w:rPr>
        <w:t>Macedonia’s</w:t>
      </w:r>
      <w:r w:rsidR="00631349" w:rsidRPr="00A043A4">
        <w:rPr>
          <w:szCs w:val="24"/>
        </w:rPr>
        <w:t xml:space="preserve"> trading partner is </w:t>
      </w:r>
      <w:r w:rsidR="00BA3348">
        <w:rPr>
          <w:szCs w:val="24"/>
        </w:rPr>
        <w:t xml:space="preserve">a </w:t>
      </w:r>
      <w:r w:rsidR="00631349" w:rsidRPr="00A043A4">
        <w:rPr>
          <w:szCs w:val="24"/>
        </w:rPr>
        <w:t xml:space="preserve">European Union member with whom the bilateral trade is under preferential treatment. The second dummy variable is CEFTA-2006 </w:t>
      </w:r>
      <w:r w:rsidR="00BA3348">
        <w:rPr>
          <w:szCs w:val="24"/>
        </w:rPr>
        <w:t>which</w:t>
      </w:r>
      <w:r w:rsidR="00631349" w:rsidRPr="00A043A4">
        <w:rPr>
          <w:szCs w:val="24"/>
        </w:rPr>
        <w:t xml:space="preserve"> measures the trade flows with the other partners which are part of the regional integration CEFTA-2006. The third dummy variable, FTA, measures the trade of </w:t>
      </w:r>
      <w:r w:rsidR="003A5C8A" w:rsidRPr="00A043A4">
        <w:rPr>
          <w:szCs w:val="24"/>
        </w:rPr>
        <w:t xml:space="preserve">North </w:t>
      </w:r>
      <w:r w:rsidR="00631349" w:rsidRPr="00A043A4">
        <w:rPr>
          <w:szCs w:val="24"/>
        </w:rPr>
        <w:t xml:space="preserve">Macedonia with the partners with whom </w:t>
      </w:r>
      <w:r w:rsidR="003A5C8A" w:rsidRPr="00A043A4">
        <w:rPr>
          <w:szCs w:val="24"/>
        </w:rPr>
        <w:t xml:space="preserve">North </w:t>
      </w:r>
      <w:r w:rsidR="00631349" w:rsidRPr="00A043A4">
        <w:rPr>
          <w:szCs w:val="24"/>
        </w:rPr>
        <w:t xml:space="preserve">Macedonia has bilateral free trade agreements, like: Turkey, EFTA countries and Ukraine. </w:t>
      </w:r>
      <w:r w:rsidRPr="00A043A4">
        <w:rPr>
          <w:szCs w:val="24"/>
        </w:rPr>
        <w:t xml:space="preserve">The impact of </w:t>
      </w:r>
      <w:r w:rsidR="00D006D3" w:rsidRPr="00A043A4">
        <w:rPr>
          <w:szCs w:val="24"/>
        </w:rPr>
        <w:t xml:space="preserve">these signed preferential trade </w:t>
      </w:r>
      <w:r w:rsidR="00BA3348">
        <w:rPr>
          <w:szCs w:val="24"/>
        </w:rPr>
        <w:t>agreements</w:t>
      </w:r>
      <w:r w:rsidR="00D006D3" w:rsidRPr="00A043A4">
        <w:rPr>
          <w:szCs w:val="24"/>
        </w:rPr>
        <w:t xml:space="preserve">, no matter whether bilateral or regional, should be </w:t>
      </w:r>
      <w:r w:rsidRPr="00A043A4">
        <w:rPr>
          <w:szCs w:val="24"/>
        </w:rPr>
        <w:t>positive and statistically significant</w:t>
      </w:r>
      <w:r w:rsidR="00D006D3" w:rsidRPr="00A043A4">
        <w:rPr>
          <w:szCs w:val="24"/>
        </w:rPr>
        <w:t xml:space="preserve"> over trade</w:t>
      </w:r>
      <w:r w:rsidRPr="00A043A4">
        <w:rPr>
          <w:szCs w:val="24"/>
        </w:rPr>
        <w:t xml:space="preserve">. </w:t>
      </w:r>
    </w:p>
    <w:p w14:paraId="38517F9B" w14:textId="2E90D4E5" w:rsidR="00D00304" w:rsidRPr="00A043A4" w:rsidRDefault="00D006D3" w:rsidP="001917F0">
      <w:pPr>
        <w:ind w:firstLine="720"/>
        <w:rPr>
          <w:szCs w:val="24"/>
        </w:rPr>
      </w:pPr>
      <w:r w:rsidRPr="00A043A4">
        <w:rPr>
          <w:szCs w:val="24"/>
        </w:rPr>
        <w:t>In the second regression</w:t>
      </w:r>
      <w:r w:rsidR="00BA3348">
        <w:rPr>
          <w:szCs w:val="24"/>
        </w:rPr>
        <w:t>,</w:t>
      </w:r>
      <w:r w:rsidRPr="00A043A4">
        <w:rPr>
          <w:szCs w:val="24"/>
        </w:rPr>
        <w:t xml:space="preserve"> the variable productivity </w:t>
      </w:r>
      <w:r w:rsidRPr="00A043A4">
        <w:rPr>
          <w:i/>
          <w:iCs/>
          <w:szCs w:val="24"/>
        </w:rPr>
        <w:t xml:space="preserve">(PROjt) </w:t>
      </w:r>
      <w:r w:rsidR="00B0466F" w:rsidRPr="00B0466F">
        <w:rPr>
          <w:szCs w:val="24"/>
        </w:rPr>
        <w:t>is added to</w:t>
      </w:r>
      <w:r w:rsidR="008A7F3E" w:rsidRPr="00A043A4">
        <w:rPr>
          <w:szCs w:val="24"/>
        </w:rPr>
        <w:t xml:space="preserve"> measure the influence of the differences between </w:t>
      </w:r>
      <w:r w:rsidR="00BA3348">
        <w:rPr>
          <w:szCs w:val="24"/>
        </w:rPr>
        <w:t>labor</w:t>
      </w:r>
      <w:r w:rsidR="008A7F3E" w:rsidRPr="00A043A4">
        <w:rPr>
          <w:szCs w:val="24"/>
        </w:rPr>
        <w:t xml:space="preserve"> productivity</w:t>
      </w:r>
      <w:r w:rsidR="00F01E92" w:rsidRPr="00A043A4">
        <w:rPr>
          <w:szCs w:val="24"/>
        </w:rPr>
        <w:t xml:space="preserve"> in</w:t>
      </w:r>
      <w:r w:rsidR="008A7F3E" w:rsidRPr="00A043A4">
        <w:rPr>
          <w:szCs w:val="24"/>
        </w:rPr>
        <w:t xml:space="preserve"> </w:t>
      </w:r>
      <w:r w:rsidR="003A5C8A" w:rsidRPr="00A043A4">
        <w:rPr>
          <w:szCs w:val="24"/>
        </w:rPr>
        <w:t xml:space="preserve">North </w:t>
      </w:r>
      <w:r w:rsidR="008A7F3E" w:rsidRPr="00A043A4">
        <w:rPr>
          <w:szCs w:val="24"/>
        </w:rPr>
        <w:t xml:space="preserve">Macedonia and its trading partners. If the sign of the coefficient for </w:t>
      </w:r>
      <w:r w:rsidR="00BA3348">
        <w:rPr>
          <w:szCs w:val="24"/>
        </w:rPr>
        <w:t>labor</w:t>
      </w:r>
      <w:r w:rsidR="008A7F3E" w:rsidRPr="00A043A4">
        <w:rPr>
          <w:szCs w:val="24"/>
        </w:rPr>
        <w:t xml:space="preserve"> productivity is negative it means that an increase in the difference between </w:t>
      </w:r>
      <w:r w:rsidR="00BA3348">
        <w:rPr>
          <w:szCs w:val="24"/>
        </w:rPr>
        <w:t>labor</w:t>
      </w:r>
      <w:r w:rsidR="008A7F3E" w:rsidRPr="00A043A4">
        <w:rPr>
          <w:szCs w:val="24"/>
        </w:rPr>
        <w:t xml:space="preserve"> productivity between </w:t>
      </w:r>
      <w:r w:rsidR="003A5C8A" w:rsidRPr="00A043A4">
        <w:rPr>
          <w:szCs w:val="24"/>
        </w:rPr>
        <w:t xml:space="preserve">North </w:t>
      </w:r>
      <w:r w:rsidR="008A7F3E" w:rsidRPr="00A043A4">
        <w:rPr>
          <w:szCs w:val="24"/>
        </w:rPr>
        <w:t xml:space="preserve">Macedonia and its trading partners will lead to decreasing bilateral trade. If the sign of the coefficient is positive </w:t>
      </w:r>
      <w:r w:rsidR="00D00304" w:rsidRPr="00A043A4">
        <w:rPr>
          <w:szCs w:val="24"/>
        </w:rPr>
        <w:t xml:space="preserve">it means that increasing the difference in </w:t>
      </w:r>
      <w:r w:rsidR="00BA3348">
        <w:rPr>
          <w:szCs w:val="24"/>
        </w:rPr>
        <w:t>labor</w:t>
      </w:r>
      <w:r w:rsidR="00D00304" w:rsidRPr="00A043A4">
        <w:rPr>
          <w:szCs w:val="24"/>
        </w:rPr>
        <w:t xml:space="preserve"> productivity will lead to </w:t>
      </w:r>
      <w:r w:rsidR="007467A6">
        <w:rPr>
          <w:szCs w:val="24"/>
        </w:rPr>
        <w:t>increased</w:t>
      </w:r>
      <w:r w:rsidR="00F01E92" w:rsidRPr="00A043A4">
        <w:rPr>
          <w:szCs w:val="24"/>
        </w:rPr>
        <w:t xml:space="preserve"> </w:t>
      </w:r>
      <w:r w:rsidR="00D00304" w:rsidRPr="00A043A4">
        <w:rPr>
          <w:szCs w:val="24"/>
        </w:rPr>
        <w:t xml:space="preserve">trade among </w:t>
      </w:r>
      <w:r w:rsidR="003A5C8A" w:rsidRPr="00A043A4">
        <w:rPr>
          <w:szCs w:val="24"/>
        </w:rPr>
        <w:t xml:space="preserve">North </w:t>
      </w:r>
      <w:r w:rsidR="00D00304" w:rsidRPr="00A043A4">
        <w:rPr>
          <w:szCs w:val="24"/>
        </w:rPr>
        <w:t xml:space="preserve">Macedonia and its trading partners. </w:t>
      </w:r>
    </w:p>
    <w:p w14:paraId="01005168" w14:textId="554C1355" w:rsidR="00831547" w:rsidRPr="00A043A4" w:rsidRDefault="00D00304" w:rsidP="001917F0">
      <w:pPr>
        <w:ind w:firstLine="720"/>
        <w:rPr>
          <w:color w:val="FF0000"/>
          <w:szCs w:val="24"/>
        </w:rPr>
      </w:pPr>
      <w:r w:rsidRPr="00A043A4">
        <w:rPr>
          <w:szCs w:val="24"/>
        </w:rPr>
        <w:t>In the third regression</w:t>
      </w:r>
      <w:r w:rsidR="00F01E92" w:rsidRPr="00A043A4">
        <w:rPr>
          <w:szCs w:val="24"/>
        </w:rPr>
        <w:t>,</w:t>
      </w:r>
      <w:r w:rsidR="00B0466F">
        <w:rPr>
          <w:szCs w:val="24"/>
        </w:rPr>
        <w:t xml:space="preserve"> </w:t>
      </w:r>
      <w:r w:rsidRPr="00A043A4">
        <w:rPr>
          <w:szCs w:val="24"/>
        </w:rPr>
        <w:t xml:space="preserve">a dummy variable for language </w:t>
      </w:r>
      <w:r w:rsidRPr="00A043A4">
        <w:rPr>
          <w:i/>
          <w:iCs/>
          <w:szCs w:val="24"/>
        </w:rPr>
        <w:t xml:space="preserve">(LANGjt) </w:t>
      </w:r>
      <w:r w:rsidR="00B0466F" w:rsidRPr="00B0466F">
        <w:rPr>
          <w:szCs w:val="24"/>
        </w:rPr>
        <w:t>is added</w:t>
      </w:r>
      <w:r w:rsidR="00B0466F">
        <w:rPr>
          <w:i/>
          <w:iCs/>
          <w:szCs w:val="24"/>
        </w:rPr>
        <w:t xml:space="preserve"> </w:t>
      </w:r>
      <w:r w:rsidRPr="00A043A4">
        <w:rPr>
          <w:szCs w:val="24"/>
        </w:rPr>
        <w:t xml:space="preserve">for testing the </w:t>
      </w:r>
      <w:r w:rsidR="00F01E92" w:rsidRPr="00A043A4">
        <w:rPr>
          <w:szCs w:val="24"/>
        </w:rPr>
        <w:t xml:space="preserve">influence </w:t>
      </w:r>
      <w:r w:rsidRPr="00A043A4">
        <w:rPr>
          <w:szCs w:val="24"/>
        </w:rPr>
        <w:t xml:space="preserve">of sharing </w:t>
      </w:r>
      <w:r w:rsidR="00F01E92" w:rsidRPr="00A043A4">
        <w:rPr>
          <w:szCs w:val="24"/>
        </w:rPr>
        <w:t xml:space="preserve">a </w:t>
      </w:r>
      <w:r w:rsidRPr="00A043A4">
        <w:rPr>
          <w:szCs w:val="24"/>
        </w:rPr>
        <w:t>common language between the trading partners on trade.</w:t>
      </w:r>
    </w:p>
    <w:p w14:paraId="1CE94083" w14:textId="22E26A62" w:rsidR="00831547" w:rsidRPr="00A043A4" w:rsidRDefault="00831547" w:rsidP="001917F0">
      <w:pPr>
        <w:ind w:firstLine="720"/>
        <w:rPr>
          <w:szCs w:val="24"/>
        </w:rPr>
      </w:pPr>
      <w:r w:rsidRPr="00A043A4">
        <w:rPr>
          <w:szCs w:val="24"/>
        </w:rPr>
        <w:t xml:space="preserve">The general fit of the model is high, explaining around </w:t>
      </w:r>
      <w:r w:rsidR="00CC1B6A" w:rsidRPr="00A043A4">
        <w:rPr>
          <w:szCs w:val="24"/>
        </w:rPr>
        <w:t>6</w:t>
      </w:r>
      <w:r w:rsidRPr="00A043A4">
        <w:rPr>
          <w:szCs w:val="24"/>
        </w:rPr>
        <w:t xml:space="preserve">0% of the variation in trade. </w:t>
      </w:r>
      <w:r w:rsidR="00CC1B6A" w:rsidRPr="00A043A4">
        <w:rPr>
          <w:szCs w:val="24"/>
        </w:rPr>
        <w:t>Since the results are stable in all three equations</w:t>
      </w:r>
      <w:r w:rsidR="00B0466F">
        <w:rPr>
          <w:szCs w:val="24"/>
        </w:rPr>
        <w:t>,</w:t>
      </w:r>
      <w:r w:rsidR="00CC1B6A" w:rsidRPr="00A043A4">
        <w:rPr>
          <w:szCs w:val="24"/>
        </w:rPr>
        <w:t xml:space="preserve"> the results are </w:t>
      </w:r>
      <w:r w:rsidR="00B0466F">
        <w:rPr>
          <w:szCs w:val="24"/>
        </w:rPr>
        <w:t xml:space="preserve">considered to be </w:t>
      </w:r>
      <w:r w:rsidR="00CC1B6A" w:rsidRPr="00A043A4">
        <w:rPr>
          <w:szCs w:val="24"/>
        </w:rPr>
        <w:t>robust. The data for the trade flows from and to</w:t>
      </w:r>
      <w:r w:rsidR="003A5C8A" w:rsidRPr="00A043A4">
        <w:rPr>
          <w:szCs w:val="24"/>
        </w:rPr>
        <w:t xml:space="preserve"> North</w:t>
      </w:r>
      <w:r w:rsidR="002C4472" w:rsidRPr="00A043A4">
        <w:rPr>
          <w:szCs w:val="24"/>
        </w:rPr>
        <w:t xml:space="preserve"> </w:t>
      </w:r>
      <w:r w:rsidR="00CC1B6A" w:rsidRPr="00A043A4">
        <w:rPr>
          <w:szCs w:val="24"/>
        </w:rPr>
        <w:t>Macedon</w:t>
      </w:r>
      <w:r w:rsidR="00E55B8F" w:rsidRPr="00A043A4">
        <w:rPr>
          <w:szCs w:val="24"/>
        </w:rPr>
        <w:t>ia</w:t>
      </w:r>
      <w:r w:rsidR="00CC1B6A" w:rsidRPr="00A043A4">
        <w:rPr>
          <w:szCs w:val="24"/>
        </w:rPr>
        <w:t xml:space="preserve"> </w:t>
      </w:r>
      <w:r w:rsidR="003F7556">
        <w:rPr>
          <w:szCs w:val="24"/>
        </w:rPr>
        <w:t>are</w:t>
      </w:r>
      <w:r w:rsidR="00CC1B6A" w:rsidRPr="00A043A4">
        <w:rPr>
          <w:szCs w:val="24"/>
        </w:rPr>
        <w:t xml:space="preserve"> derived from the National Bank of the Republic of </w:t>
      </w:r>
      <w:r w:rsidR="00E55B8F" w:rsidRPr="00A043A4">
        <w:rPr>
          <w:szCs w:val="24"/>
        </w:rPr>
        <w:lastRenderedPageBreak/>
        <w:t xml:space="preserve">North </w:t>
      </w:r>
      <w:r w:rsidR="00CC1B6A" w:rsidRPr="00A043A4">
        <w:rPr>
          <w:szCs w:val="24"/>
        </w:rPr>
        <w:t>Macedonia and the other data a</w:t>
      </w:r>
      <w:r w:rsidR="00677065" w:rsidRPr="00A043A4">
        <w:rPr>
          <w:szCs w:val="24"/>
        </w:rPr>
        <w:t>re from the World Bank data development indicators.</w:t>
      </w:r>
      <w:r w:rsidR="00D00304" w:rsidRPr="00A043A4">
        <w:rPr>
          <w:szCs w:val="24"/>
        </w:rPr>
        <w:t xml:space="preserve"> The </w:t>
      </w:r>
      <w:r w:rsidR="00294A41" w:rsidRPr="00A043A4">
        <w:rPr>
          <w:szCs w:val="24"/>
        </w:rPr>
        <w:t xml:space="preserve">explanation of the </w:t>
      </w:r>
      <w:r w:rsidR="00D00304" w:rsidRPr="00A043A4">
        <w:rPr>
          <w:szCs w:val="24"/>
        </w:rPr>
        <w:t>data</w:t>
      </w:r>
      <w:r w:rsidR="00294A41" w:rsidRPr="00A043A4">
        <w:rPr>
          <w:szCs w:val="24"/>
        </w:rPr>
        <w:t xml:space="preserve"> is given in Table 2 in the Appendix.</w:t>
      </w:r>
      <w:r w:rsidR="00D00304" w:rsidRPr="00A043A4">
        <w:rPr>
          <w:szCs w:val="24"/>
        </w:rPr>
        <w:t xml:space="preserve"> </w:t>
      </w:r>
      <w:r w:rsidR="00677065" w:rsidRPr="00A043A4">
        <w:rPr>
          <w:szCs w:val="24"/>
        </w:rPr>
        <w:t xml:space="preserve"> </w:t>
      </w:r>
    </w:p>
    <w:p w14:paraId="41645A52" w14:textId="77777777" w:rsidR="008A7213" w:rsidRPr="00A043A4" w:rsidRDefault="008A7213" w:rsidP="001917F0">
      <w:pPr>
        <w:rPr>
          <w:color w:val="FF0000"/>
          <w:szCs w:val="24"/>
        </w:rPr>
      </w:pPr>
    </w:p>
    <w:p w14:paraId="08297E3F" w14:textId="004998FC" w:rsidR="00831547" w:rsidRPr="00A043A4" w:rsidRDefault="00AE23D1" w:rsidP="001917F0">
      <w:pPr>
        <w:pStyle w:val="ListParagraph"/>
        <w:numPr>
          <w:ilvl w:val="0"/>
          <w:numId w:val="2"/>
        </w:numPr>
        <w:spacing w:line="240" w:lineRule="auto"/>
      </w:pPr>
      <w:r w:rsidRPr="00A043A4">
        <w:rPr>
          <w:b/>
        </w:rPr>
        <w:t>Explanation of the results</w:t>
      </w:r>
    </w:p>
    <w:p w14:paraId="47988EE0" w14:textId="79AE1F0B" w:rsidR="002C4472" w:rsidRPr="00A043A4" w:rsidRDefault="000B378B" w:rsidP="001917F0">
      <w:pPr>
        <w:ind w:firstLine="720"/>
        <w:rPr>
          <w:szCs w:val="24"/>
        </w:rPr>
      </w:pPr>
      <w:r w:rsidRPr="00A043A4">
        <w:rPr>
          <w:szCs w:val="24"/>
        </w:rPr>
        <w:t>In Table 1 the results from the gravity model</w:t>
      </w:r>
      <w:r w:rsidR="0091024F">
        <w:rPr>
          <w:szCs w:val="24"/>
        </w:rPr>
        <w:t xml:space="preserve"> are provided</w:t>
      </w:r>
      <w:r w:rsidRPr="00A043A4">
        <w:rPr>
          <w:szCs w:val="24"/>
        </w:rPr>
        <w:t xml:space="preserve">. </w:t>
      </w:r>
      <w:r w:rsidR="0091024F">
        <w:rPr>
          <w:szCs w:val="24"/>
        </w:rPr>
        <w:t>It</w:t>
      </w:r>
      <w:r w:rsidRPr="00A043A4">
        <w:rPr>
          <w:szCs w:val="24"/>
        </w:rPr>
        <w:t xml:space="preserve"> can</w:t>
      </w:r>
      <w:r w:rsidR="0091024F">
        <w:rPr>
          <w:szCs w:val="24"/>
        </w:rPr>
        <w:t xml:space="preserve"> be</w:t>
      </w:r>
      <w:r w:rsidRPr="00A043A4">
        <w:rPr>
          <w:szCs w:val="24"/>
        </w:rPr>
        <w:t xml:space="preserve"> see</w:t>
      </w:r>
      <w:r w:rsidR="0091024F">
        <w:rPr>
          <w:szCs w:val="24"/>
        </w:rPr>
        <w:t>n</w:t>
      </w:r>
      <w:r w:rsidRPr="00A043A4">
        <w:rPr>
          <w:szCs w:val="24"/>
        </w:rPr>
        <w:t xml:space="preserve"> that all analyzed variables are statistically significant in all three regressions and bear the same sign. This gives the impression that the results are stable and robust. R2 and adjusted R2 are around 60% which points out that the independent variables explain on</w:t>
      </w:r>
      <w:r w:rsidR="00F01E92" w:rsidRPr="00A043A4">
        <w:rPr>
          <w:szCs w:val="24"/>
        </w:rPr>
        <w:t xml:space="preserve"> </w:t>
      </w:r>
      <w:r w:rsidR="0091024F">
        <w:rPr>
          <w:szCs w:val="24"/>
        </w:rPr>
        <w:t xml:space="preserve">a </w:t>
      </w:r>
      <w:r w:rsidRPr="00A043A4">
        <w:rPr>
          <w:szCs w:val="24"/>
        </w:rPr>
        <w:t>satisfactory level the dependent variable trade.</w:t>
      </w:r>
    </w:p>
    <w:p w14:paraId="3ADCF1C8" w14:textId="5C7D2245" w:rsidR="00831547" w:rsidRPr="00A043A4" w:rsidRDefault="000B378B" w:rsidP="001917F0">
      <w:pPr>
        <w:ind w:firstLine="720"/>
        <w:rPr>
          <w:szCs w:val="24"/>
        </w:rPr>
      </w:pPr>
      <w:r w:rsidRPr="00A043A4">
        <w:rPr>
          <w:szCs w:val="24"/>
        </w:rPr>
        <w:t xml:space="preserve"> </w:t>
      </w:r>
    </w:p>
    <w:p w14:paraId="5695F50C" w14:textId="2155FB5A" w:rsidR="00D514E2" w:rsidRPr="00A043A4" w:rsidRDefault="00D00304" w:rsidP="001917F0">
      <w:pPr>
        <w:ind w:firstLine="720"/>
        <w:jc w:val="center"/>
        <w:rPr>
          <w:color w:val="000000" w:themeColor="text1"/>
          <w:szCs w:val="24"/>
        </w:rPr>
      </w:pPr>
      <w:r w:rsidRPr="00A043A4">
        <w:rPr>
          <w:color w:val="000000" w:themeColor="text1"/>
          <w:szCs w:val="24"/>
        </w:rPr>
        <w:t xml:space="preserve">Table </w:t>
      </w:r>
      <w:r w:rsidR="00DF02AD">
        <w:rPr>
          <w:color w:val="000000" w:themeColor="text1"/>
          <w:szCs w:val="24"/>
        </w:rPr>
        <w:t>2</w:t>
      </w:r>
      <w:r w:rsidRPr="00A043A4">
        <w:rPr>
          <w:color w:val="000000" w:themeColor="text1"/>
          <w:szCs w:val="24"/>
        </w:rPr>
        <w:t xml:space="preserve">. </w:t>
      </w:r>
      <w:r w:rsidR="00E0166D" w:rsidRPr="00A043A4">
        <w:rPr>
          <w:color w:val="000000" w:themeColor="text1"/>
          <w:szCs w:val="24"/>
        </w:rPr>
        <w:t>Results from the gravity  data model</w:t>
      </w:r>
    </w:p>
    <w:tbl>
      <w:tblPr>
        <w:tblStyle w:val="TableGrid"/>
        <w:tblW w:w="0" w:type="auto"/>
        <w:tblLook w:val="04A0" w:firstRow="1" w:lastRow="0" w:firstColumn="1" w:lastColumn="0" w:noHBand="0" w:noVBand="1"/>
      </w:tblPr>
      <w:tblGrid>
        <w:gridCol w:w="2337"/>
        <w:gridCol w:w="2337"/>
        <w:gridCol w:w="2338"/>
        <w:gridCol w:w="2338"/>
      </w:tblGrid>
      <w:tr w:rsidR="00A535B2" w:rsidRPr="00A043A4" w14:paraId="4AE2DB07" w14:textId="77777777" w:rsidTr="00A535B2">
        <w:tc>
          <w:tcPr>
            <w:tcW w:w="2337" w:type="dxa"/>
          </w:tcPr>
          <w:p w14:paraId="1BA0363D" w14:textId="4A1ABCE3" w:rsidR="00A535B2" w:rsidRPr="00A043A4" w:rsidRDefault="00A535B2" w:rsidP="001917F0">
            <w:pPr>
              <w:jc w:val="center"/>
              <w:rPr>
                <w:color w:val="000000" w:themeColor="text1"/>
                <w:szCs w:val="24"/>
              </w:rPr>
            </w:pPr>
            <w:r w:rsidRPr="00A043A4">
              <w:rPr>
                <w:color w:val="000000" w:themeColor="text1"/>
                <w:szCs w:val="24"/>
              </w:rPr>
              <w:t>No of observations</w:t>
            </w:r>
          </w:p>
        </w:tc>
        <w:tc>
          <w:tcPr>
            <w:tcW w:w="2337" w:type="dxa"/>
          </w:tcPr>
          <w:p w14:paraId="6C4D7FAD" w14:textId="08C09B66" w:rsidR="00A535B2" w:rsidRPr="00A043A4" w:rsidRDefault="00A535B2" w:rsidP="001917F0">
            <w:pPr>
              <w:jc w:val="center"/>
              <w:rPr>
                <w:color w:val="000000" w:themeColor="text1"/>
                <w:szCs w:val="24"/>
              </w:rPr>
            </w:pPr>
            <w:r w:rsidRPr="00A043A4">
              <w:rPr>
                <w:color w:val="000000" w:themeColor="text1"/>
                <w:szCs w:val="24"/>
              </w:rPr>
              <w:t>599</w:t>
            </w:r>
          </w:p>
        </w:tc>
        <w:tc>
          <w:tcPr>
            <w:tcW w:w="2338" w:type="dxa"/>
          </w:tcPr>
          <w:p w14:paraId="7427EE8E" w14:textId="784D92E5" w:rsidR="00A535B2" w:rsidRPr="00A043A4" w:rsidRDefault="00A535B2" w:rsidP="001917F0">
            <w:pPr>
              <w:jc w:val="center"/>
              <w:rPr>
                <w:color w:val="000000" w:themeColor="text1"/>
                <w:szCs w:val="24"/>
              </w:rPr>
            </w:pPr>
            <w:r w:rsidRPr="00A043A4">
              <w:rPr>
                <w:color w:val="000000" w:themeColor="text1"/>
                <w:szCs w:val="24"/>
              </w:rPr>
              <w:t>587</w:t>
            </w:r>
          </w:p>
        </w:tc>
        <w:tc>
          <w:tcPr>
            <w:tcW w:w="2338" w:type="dxa"/>
          </w:tcPr>
          <w:p w14:paraId="3AF7AE34" w14:textId="5768A42A" w:rsidR="00A535B2" w:rsidRPr="00A043A4" w:rsidRDefault="00A535B2" w:rsidP="001917F0">
            <w:pPr>
              <w:jc w:val="center"/>
              <w:rPr>
                <w:color w:val="000000" w:themeColor="text1"/>
                <w:szCs w:val="24"/>
              </w:rPr>
            </w:pPr>
            <w:r w:rsidRPr="00A043A4">
              <w:rPr>
                <w:color w:val="000000" w:themeColor="text1"/>
                <w:szCs w:val="24"/>
              </w:rPr>
              <w:t>587</w:t>
            </w:r>
          </w:p>
        </w:tc>
      </w:tr>
      <w:tr w:rsidR="004C1BE8" w:rsidRPr="00A043A4" w14:paraId="290DB250" w14:textId="77777777" w:rsidTr="00456AD2">
        <w:tc>
          <w:tcPr>
            <w:tcW w:w="2337" w:type="dxa"/>
          </w:tcPr>
          <w:p w14:paraId="6AF0A80C" w14:textId="583C6872" w:rsidR="004C1BE8" w:rsidRPr="00A043A4" w:rsidRDefault="004C1BE8" w:rsidP="001917F0">
            <w:pPr>
              <w:jc w:val="center"/>
              <w:rPr>
                <w:color w:val="000000" w:themeColor="text1"/>
                <w:szCs w:val="24"/>
              </w:rPr>
            </w:pPr>
            <w:r>
              <w:rPr>
                <w:color w:val="000000" w:themeColor="text1"/>
                <w:szCs w:val="24"/>
              </w:rPr>
              <w:t>Dependent variable</w:t>
            </w:r>
          </w:p>
        </w:tc>
        <w:tc>
          <w:tcPr>
            <w:tcW w:w="7013" w:type="dxa"/>
            <w:gridSpan w:val="3"/>
          </w:tcPr>
          <w:p w14:paraId="50355514" w14:textId="20CB0A88" w:rsidR="004C1BE8" w:rsidRPr="00A043A4" w:rsidRDefault="004C1BE8" w:rsidP="001917F0">
            <w:pPr>
              <w:jc w:val="center"/>
              <w:rPr>
                <w:color w:val="000000" w:themeColor="text1"/>
                <w:szCs w:val="24"/>
              </w:rPr>
            </w:pPr>
            <w:r>
              <w:rPr>
                <w:color w:val="000000" w:themeColor="text1"/>
                <w:szCs w:val="24"/>
              </w:rPr>
              <w:t>Ln (TRADE)</w:t>
            </w:r>
            <w:r w:rsidR="00DD3175">
              <w:rPr>
                <w:color w:val="000000" w:themeColor="text1"/>
                <w:szCs w:val="24"/>
              </w:rPr>
              <w:t xml:space="preserve"> in all three specifications</w:t>
            </w:r>
          </w:p>
        </w:tc>
      </w:tr>
      <w:tr w:rsidR="00A535B2" w:rsidRPr="00A043A4" w14:paraId="7FFB3DA3" w14:textId="77777777" w:rsidTr="00A535B2">
        <w:tc>
          <w:tcPr>
            <w:tcW w:w="2337" w:type="dxa"/>
          </w:tcPr>
          <w:p w14:paraId="7BF98916" w14:textId="206FC956" w:rsidR="00A535B2" w:rsidRPr="00A043A4" w:rsidRDefault="00A535B2" w:rsidP="001917F0">
            <w:pPr>
              <w:jc w:val="center"/>
              <w:rPr>
                <w:color w:val="000000" w:themeColor="text1"/>
                <w:szCs w:val="24"/>
              </w:rPr>
            </w:pPr>
            <w:r w:rsidRPr="00A043A4">
              <w:rPr>
                <w:color w:val="000000" w:themeColor="text1"/>
                <w:szCs w:val="24"/>
              </w:rPr>
              <w:t>LOG (CAPITADIF)</w:t>
            </w:r>
          </w:p>
        </w:tc>
        <w:tc>
          <w:tcPr>
            <w:tcW w:w="2337" w:type="dxa"/>
          </w:tcPr>
          <w:p w14:paraId="6F205858" w14:textId="77777777" w:rsidR="00A535B2" w:rsidRPr="00A043A4" w:rsidRDefault="00930A1B" w:rsidP="001917F0">
            <w:pPr>
              <w:jc w:val="center"/>
              <w:rPr>
                <w:color w:val="000000" w:themeColor="text1"/>
                <w:szCs w:val="24"/>
              </w:rPr>
            </w:pPr>
            <w:r w:rsidRPr="00A043A4">
              <w:rPr>
                <w:color w:val="000000" w:themeColor="text1"/>
                <w:szCs w:val="24"/>
              </w:rPr>
              <w:t>0.314276***</w:t>
            </w:r>
          </w:p>
          <w:p w14:paraId="2F0D0043" w14:textId="049BCD6A" w:rsidR="00930A1B" w:rsidRPr="00A043A4" w:rsidRDefault="00930A1B" w:rsidP="001917F0">
            <w:pPr>
              <w:jc w:val="center"/>
              <w:rPr>
                <w:color w:val="000000" w:themeColor="text1"/>
                <w:szCs w:val="24"/>
              </w:rPr>
            </w:pPr>
            <w:r w:rsidRPr="00A043A4">
              <w:rPr>
                <w:color w:val="000000" w:themeColor="text1"/>
                <w:szCs w:val="24"/>
              </w:rPr>
              <w:t>(0.06771)</w:t>
            </w:r>
          </w:p>
        </w:tc>
        <w:tc>
          <w:tcPr>
            <w:tcW w:w="2338" w:type="dxa"/>
          </w:tcPr>
          <w:p w14:paraId="6D475276" w14:textId="77777777" w:rsidR="00A535B2" w:rsidRPr="00A043A4" w:rsidRDefault="00930A1B" w:rsidP="001917F0">
            <w:pPr>
              <w:jc w:val="center"/>
              <w:rPr>
                <w:color w:val="000000" w:themeColor="text1"/>
                <w:szCs w:val="24"/>
              </w:rPr>
            </w:pPr>
            <w:r w:rsidRPr="00A043A4">
              <w:rPr>
                <w:color w:val="000000" w:themeColor="text1"/>
                <w:szCs w:val="24"/>
              </w:rPr>
              <w:t>0.535938***</w:t>
            </w:r>
          </w:p>
          <w:p w14:paraId="20CFDA24" w14:textId="6DE44518" w:rsidR="00930A1B" w:rsidRPr="00A043A4" w:rsidRDefault="00930A1B" w:rsidP="001917F0">
            <w:pPr>
              <w:jc w:val="center"/>
              <w:rPr>
                <w:color w:val="000000" w:themeColor="text1"/>
                <w:szCs w:val="24"/>
              </w:rPr>
            </w:pPr>
            <w:r w:rsidRPr="00A043A4">
              <w:rPr>
                <w:color w:val="000000" w:themeColor="text1"/>
                <w:szCs w:val="24"/>
              </w:rPr>
              <w:t>(0.079209)</w:t>
            </w:r>
          </w:p>
        </w:tc>
        <w:tc>
          <w:tcPr>
            <w:tcW w:w="2338" w:type="dxa"/>
          </w:tcPr>
          <w:p w14:paraId="4B0AFE84" w14:textId="77777777" w:rsidR="00A535B2" w:rsidRPr="00A043A4" w:rsidRDefault="003A6B24" w:rsidP="001917F0">
            <w:pPr>
              <w:jc w:val="center"/>
              <w:rPr>
                <w:color w:val="000000" w:themeColor="text1"/>
                <w:szCs w:val="24"/>
              </w:rPr>
            </w:pPr>
            <w:r w:rsidRPr="00A043A4">
              <w:rPr>
                <w:color w:val="000000" w:themeColor="text1"/>
                <w:szCs w:val="24"/>
              </w:rPr>
              <w:t>0.477921***</w:t>
            </w:r>
          </w:p>
          <w:p w14:paraId="60F05BB6" w14:textId="12C7590D" w:rsidR="003A6B24" w:rsidRPr="00A043A4" w:rsidRDefault="003A6B24" w:rsidP="001917F0">
            <w:pPr>
              <w:jc w:val="center"/>
              <w:rPr>
                <w:color w:val="000000" w:themeColor="text1"/>
                <w:szCs w:val="24"/>
              </w:rPr>
            </w:pPr>
            <w:r w:rsidRPr="00A043A4">
              <w:rPr>
                <w:color w:val="000000" w:themeColor="text1"/>
                <w:szCs w:val="24"/>
              </w:rPr>
              <w:t>(0.074294)</w:t>
            </w:r>
          </w:p>
        </w:tc>
      </w:tr>
      <w:tr w:rsidR="00A535B2" w:rsidRPr="00A043A4" w14:paraId="63CC33E3" w14:textId="77777777" w:rsidTr="00A535B2">
        <w:tc>
          <w:tcPr>
            <w:tcW w:w="2337" w:type="dxa"/>
          </w:tcPr>
          <w:p w14:paraId="6478A553" w14:textId="41CF74FE" w:rsidR="00A535B2" w:rsidRPr="00A043A4" w:rsidRDefault="00A535B2" w:rsidP="001917F0">
            <w:pPr>
              <w:jc w:val="center"/>
              <w:rPr>
                <w:color w:val="000000" w:themeColor="text1"/>
                <w:szCs w:val="24"/>
              </w:rPr>
            </w:pPr>
            <w:r w:rsidRPr="00A043A4">
              <w:rPr>
                <w:color w:val="000000" w:themeColor="text1"/>
                <w:szCs w:val="24"/>
              </w:rPr>
              <w:t>LOG (REMOT2020)</w:t>
            </w:r>
          </w:p>
        </w:tc>
        <w:tc>
          <w:tcPr>
            <w:tcW w:w="2337" w:type="dxa"/>
          </w:tcPr>
          <w:p w14:paraId="4B022B55" w14:textId="77777777" w:rsidR="00A535B2" w:rsidRPr="00A043A4" w:rsidRDefault="00930A1B" w:rsidP="001917F0">
            <w:pPr>
              <w:jc w:val="center"/>
              <w:rPr>
                <w:color w:val="000000" w:themeColor="text1"/>
                <w:szCs w:val="24"/>
              </w:rPr>
            </w:pPr>
            <w:r w:rsidRPr="00A043A4">
              <w:rPr>
                <w:color w:val="000000" w:themeColor="text1"/>
                <w:szCs w:val="24"/>
              </w:rPr>
              <w:t>-0.328188***</w:t>
            </w:r>
          </w:p>
          <w:p w14:paraId="036B5EF6" w14:textId="71DBCD66" w:rsidR="00930A1B" w:rsidRPr="00A043A4" w:rsidRDefault="00930A1B" w:rsidP="001917F0">
            <w:pPr>
              <w:jc w:val="center"/>
              <w:rPr>
                <w:color w:val="000000" w:themeColor="text1"/>
                <w:szCs w:val="24"/>
              </w:rPr>
            </w:pPr>
            <w:r w:rsidRPr="00A043A4">
              <w:rPr>
                <w:color w:val="000000" w:themeColor="text1"/>
                <w:szCs w:val="24"/>
              </w:rPr>
              <w:t>(0.070433)</w:t>
            </w:r>
          </w:p>
        </w:tc>
        <w:tc>
          <w:tcPr>
            <w:tcW w:w="2338" w:type="dxa"/>
          </w:tcPr>
          <w:p w14:paraId="31B5AAA8" w14:textId="77777777" w:rsidR="00A535B2" w:rsidRPr="00A043A4" w:rsidRDefault="00930A1B" w:rsidP="001917F0">
            <w:pPr>
              <w:jc w:val="center"/>
              <w:rPr>
                <w:color w:val="000000" w:themeColor="text1"/>
                <w:szCs w:val="24"/>
              </w:rPr>
            </w:pPr>
            <w:r w:rsidRPr="00A043A4">
              <w:rPr>
                <w:color w:val="000000" w:themeColor="text1"/>
                <w:szCs w:val="24"/>
              </w:rPr>
              <w:t>-0.31902***</w:t>
            </w:r>
          </w:p>
          <w:p w14:paraId="4926B5DE" w14:textId="616D7B0D" w:rsidR="00930A1B" w:rsidRPr="00A043A4" w:rsidRDefault="00930A1B" w:rsidP="001917F0">
            <w:pPr>
              <w:jc w:val="center"/>
              <w:rPr>
                <w:color w:val="000000" w:themeColor="text1"/>
                <w:szCs w:val="24"/>
              </w:rPr>
            </w:pPr>
            <w:r w:rsidRPr="00A043A4">
              <w:rPr>
                <w:color w:val="000000" w:themeColor="text1"/>
                <w:szCs w:val="24"/>
              </w:rPr>
              <w:t>(0.077643)</w:t>
            </w:r>
          </w:p>
        </w:tc>
        <w:tc>
          <w:tcPr>
            <w:tcW w:w="2338" w:type="dxa"/>
          </w:tcPr>
          <w:p w14:paraId="63AFE9A5" w14:textId="77777777" w:rsidR="00A535B2" w:rsidRPr="00A043A4" w:rsidRDefault="003A6B24" w:rsidP="001917F0">
            <w:pPr>
              <w:jc w:val="center"/>
              <w:rPr>
                <w:color w:val="000000" w:themeColor="text1"/>
                <w:szCs w:val="24"/>
              </w:rPr>
            </w:pPr>
            <w:r w:rsidRPr="00A043A4">
              <w:rPr>
                <w:color w:val="000000" w:themeColor="text1"/>
                <w:szCs w:val="24"/>
              </w:rPr>
              <w:t>-0.27848***</w:t>
            </w:r>
          </w:p>
          <w:p w14:paraId="6D1BEFD2" w14:textId="40A1C4C5" w:rsidR="003A6B24" w:rsidRPr="00A043A4" w:rsidRDefault="003A6B24" w:rsidP="001917F0">
            <w:pPr>
              <w:jc w:val="center"/>
              <w:rPr>
                <w:color w:val="000000" w:themeColor="text1"/>
                <w:szCs w:val="24"/>
              </w:rPr>
            </w:pPr>
            <w:r w:rsidRPr="00A043A4">
              <w:rPr>
                <w:color w:val="000000" w:themeColor="text1"/>
                <w:szCs w:val="24"/>
              </w:rPr>
              <w:t>(0.072692)</w:t>
            </w:r>
          </w:p>
        </w:tc>
      </w:tr>
      <w:tr w:rsidR="00A535B2" w:rsidRPr="00A043A4" w14:paraId="00BE0D21" w14:textId="77777777" w:rsidTr="00A535B2">
        <w:tc>
          <w:tcPr>
            <w:tcW w:w="2337" w:type="dxa"/>
          </w:tcPr>
          <w:p w14:paraId="2BEF7B2F" w14:textId="287CFF2B" w:rsidR="00A535B2" w:rsidRPr="00A043A4" w:rsidRDefault="00A535B2" w:rsidP="001917F0">
            <w:pPr>
              <w:jc w:val="center"/>
              <w:rPr>
                <w:color w:val="000000" w:themeColor="text1"/>
                <w:szCs w:val="24"/>
              </w:rPr>
            </w:pPr>
            <w:r w:rsidRPr="00A043A4">
              <w:rPr>
                <w:color w:val="000000" w:themeColor="text1"/>
                <w:szCs w:val="24"/>
              </w:rPr>
              <w:t>LOG (POP)</w:t>
            </w:r>
          </w:p>
        </w:tc>
        <w:tc>
          <w:tcPr>
            <w:tcW w:w="2337" w:type="dxa"/>
          </w:tcPr>
          <w:p w14:paraId="2055D81A" w14:textId="77777777" w:rsidR="00A535B2" w:rsidRPr="00A043A4" w:rsidRDefault="00930A1B" w:rsidP="001917F0">
            <w:pPr>
              <w:jc w:val="center"/>
              <w:rPr>
                <w:color w:val="000000" w:themeColor="text1"/>
                <w:szCs w:val="24"/>
              </w:rPr>
            </w:pPr>
            <w:r w:rsidRPr="00A043A4">
              <w:rPr>
                <w:color w:val="000000" w:themeColor="text1"/>
                <w:szCs w:val="24"/>
              </w:rPr>
              <w:t>1.483945***</w:t>
            </w:r>
          </w:p>
          <w:p w14:paraId="1D558D3F" w14:textId="199E2D3B" w:rsidR="00930A1B" w:rsidRPr="00A043A4" w:rsidRDefault="00930A1B" w:rsidP="001917F0">
            <w:pPr>
              <w:jc w:val="center"/>
              <w:rPr>
                <w:color w:val="000000" w:themeColor="text1"/>
                <w:szCs w:val="24"/>
              </w:rPr>
            </w:pPr>
            <w:r w:rsidRPr="00A043A4">
              <w:rPr>
                <w:color w:val="000000" w:themeColor="text1"/>
                <w:szCs w:val="24"/>
              </w:rPr>
              <w:t>(0.104069)</w:t>
            </w:r>
          </w:p>
        </w:tc>
        <w:tc>
          <w:tcPr>
            <w:tcW w:w="2338" w:type="dxa"/>
          </w:tcPr>
          <w:p w14:paraId="78E4871C" w14:textId="77777777" w:rsidR="00A535B2" w:rsidRPr="00A043A4" w:rsidRDefault="00930A1B" w:rsidP="001917F0">
            <w:pPr>
              <w:jc w:val="center"/>
              <w:rPr>
                <w:color w:val="000000" w:themeColor="text1"/>
                <w:szCs w:val="24"/>
              </w:rPr>
            </w:pPr>
            <w:r w:rsidRPr="00A043A4">
              <w:rPr>
                <w:color w:val="000000" w:themeColor="text1"/>
                <w:szCs w:val="24"/>
              </w:rPr>
              <w:t>1.46883***</w:t>
            </w:r>
          </w:p>
          <w:p w14:paraId="76187530" w14:textId="55609F13" w:rsidR="003A6B24" w:rsidRPr="00A043A4" w:rsidRDefault="003A6B24" w:rsidP="001917F0">
            <w:pPr>
              <w:jc w:val="center"/>
              <w:rPr>
                <w:color w:val="000000" w:themeColor="text1"/>
                <w:szCs w:val="24"/>
              </w:rPr>
            </w:pPr>
            <w:r w:rsidRPr="00A043A4">
              <w:rPr>
                <w:color w:val="000000" w:themeColor="text1"/>
                <w:szCs w:val="24"/>
              </w:rPr>
              <w:t>(0.109757)</w:t>
            </w:r>
          </w:p>
        </w:tc>
        <w:tc>
          <w:tcPr>
            <w:tcW w:w="2338" w:type="dxa"/>
          </w:tcPr>
          <w:p w14:paraId="320AD9A2" w14:textId="77777777" w:rsidR="00A535B2" w:rsidRPr="00A043A4" w:rsidRDefault="003A6B24" w:rsidP="001917F0">
            <w:pPr>
              <w:jc w:val="center"/>
              <w:rPr>
                <w:color w:val="000000" w:themeColor="text1"/>
                <w:szCs w:val="24"/>
              </w:rPr>
            </w:pPr>
            <w:r w:rsidRPr="00A043A4">
              <w:rPr>
                <w:color w:val="000000" w:themeColor="text1"/>
                <w:szCs w:val="24"/>
              </w:rPr>
              <w:t>1.525757***</w:t>
            </w:r>
          </w:p>
          <w:p w14:paraId="2354A155" w14:textId="650F4603" w:rsidR="003A6B24" w:rsidRPr="00A043A4" w:rsidRDefault="003A6B24" w:rsidP="001917F0">
            <w:pPr>
              <w:jc w:val="center"/>
              <w:rPr>
                <w:color w:val="000000" w:themeColor="text1"/>
                <w:szCs w:val="24"/>
              </w:rPr>
            </w:pPr>
            <w:r w:rsidRPr="00A043A4">
              <w:rPr>
                <w:color w:val="000000" w:themeColor="text1"/>
                <w:szCs w:val="24"/>
              </w:rPr>
              <w:t>(0.102756)</w:t>
            </w:r>
          </w:p>
        </w:tc>
      </w:tr>
      <w:tr w:rsidR="00A535B2" w:rsidRPr="00A043A4" w14:paraId="7EF0D4CB" w14:textId="77777777" w:rsidTr="00A535B2">
        <w:tc>
          <w:tcPr>
            <w:tcW w:w="2337" w:type="dxa"/>
          </w:tcPr>
          <w:p w14:paraId="160A56E6" w14:textId="4858A6A8" w:rsidR="00A535B2" w:rsidRPr="00A043A4" w:rsidRDefault="00A535B2" w:rsidP="001917F0">
            <w:pPr>
              <w:jc w:val="center"/>
              <w:rPr>
                <w:color w:val="000000" w:themeColor="text1"/>
                <w:szCs w:val="24"/>
              </w:rPr>
            </w:pPr>
            <w:r w:rsidRPr="00A043A4">
              <w:rPr>
                <w:color w:val="000000" w:themeColor="text1"/>
                <w:szCs w:val="24"/>
              </w:rPr>
              <w:t>EU</w:t>
            </w:r>
          </w:p>
        </w:tc>
        <w:tc>
          <w:tcPr>
            <w:tcW w:w="2337" w:type="dxa"/>
          </w:tcPr>
          <w:p w14:paraId="7FE3429D" w14:textId="77777777" w:rsidR="00A535B2" w:rsidRPr="00A043A4" w:rsidRDefault="00930A1B" w:rsidP="001917F0">
            <w:pPr>
              <w:jc w:val="center"/>
              <w:rPr>
                <w:color w:val="000000" w:themeColor="text1"/>
                <w:szCs w:val="24"/>
              </w:rPr>
            </w:pPr>
            <w:r w:rsidRPr="00A043A4">
              <w:rPr>
                <w:color w:val="000000" w:themeColor="text1"/>
                <w:szCs w:val="24"/>
              </w:rPr>
              <w:t>2.757062***</w:t>
            </w:r>
          </w:p>
          <w:p w14:paraId="25B479F8" w14:textId="5D6D81A5" w:rsidR="00930A1B" w:rsidRPr="00A043A4" w:rsidRDefault="00930A1B" w:rsidP="001917F0">
            <w:pPr>
              <w:jc w:val="center"/>
              <w:rPr>
                <w:color w:val="000000" w:themeColor="text1"/>
                <w:szCs w:val="24"/>
              </w:rPr>
            </w:pPr>
            <w:r w:rsidRPr="00A043A4">
              <w:rPr>
                <w:color w:val="000000" w:themeColor="text1"/>
                <w:szCs w:val="24"/>
              </w:rPr>
              <w:t>(0.177778)</w:t>
            </w:r>
          </w:p>
        </w:tc>
        <w:tc>
          <w:tcPr>
            <w:tcW w:w="2338" w:type="dxa"/>
          </w:tcPr>
          <w:p w14:paraId="542C9E0D" w14:textId="77777777" w:rsidR="00A535B2" w:rsidRPr="00A043A4" w:rsidRDefault="003A6B24" w:rsidP="001917F0">
            <w:pPr>
              <w:jc w:val="center"/>
              <w:rPr>
                <w:color w:val="000000" w:themeColor="text1"/>
                <w:szCs w:val="24"/>
              </w:rPr>
            </w:pPr>
            <w:r w:rsidRPr="00A043A4">
              <w:rPr>
                <w:color w:val="000000" w:themeColor="text1"/>
                <w:szCs w:val="24"/>
              </w:rPr>
              <w:t>2.731643***</w:t>
            </w:r>
          </w:p>
          <w:p w14:paraId="17B7D7DB" w14:textId="7516176D" w:rsidR="003A6B24" w:rsidRPr="00A043A4" w:rsidRDefault="003A6B24" w:rsidP="001917F0">
            <w:pPr>
              <w:jc w:val="center"/>
              <w:rPr>
                <w:color w:val="000000" w:themeColor="text1"/>
                <w:szCs w:val="24"/>
              </w:rPr>
            </w:pPr>
            <w:r w:rsidRPr="00A043A4">
              <w:rPr>
                <w:color w:val="000000" w:themeColor="text1"/>
                <w:szCs w:val="24"/>
              </w:rPr>
              <w:t>(0.18309)</w:t>
            </w:r>
          </w:p>
        </w:tc>
        <w:tc>
          <w:tcPr>
            <w:tcW w:w="2338" w:type="dxa"/>
          </w:tcPr>
          <w:p w14:paraId="1A92B255" w14:textId="77777777" w:rsidR="00A535B2" w:rsidRPr="00A043A4" w:rsidRDefault="003A6B24" w:rsidP="001917F0">
            <w:pPr>
              <w:jc w:val="center"/>
              <w:rPr>
                <w:color w:val="000000" w:themeColor="text1"/>
                <w:szCs w:val="24"/>
              </w:rPr>
            </w:pPr>
            <w:r w:rsidRPr="00A043A4">
              <w:rPr>
                <w:color w:val="000000" w:themeColor="text1"/>
                <w:szCs w:val="24"/>
              </w:rPr>
              <w:t>2.660339***</w:t>
            </w:r>
          </w:p>
          <w:p w14:paraId="02E0A399" w14:textId="7FAADA32" w:rsidR="003A6B24" w:rsidRPr="00A043A4" w:rsidRDefault="003A6B24" w:rsidP="001917F0">
            <w:pPr>
              <w:jc w:val="center"/>
              <w:rPr>
                <w:color w:val="000000" w:themeColor="text1"/>
                <w:szCs w:val="24"/>
              </w:rPr>
            </w:pPr>
            <w:r w:rsidRPr="00A043A4">
              <w:rPr>
                <w:color w:val="000000" w:themeColor="text1"/>
                <w:szCs w:val="24"/>
              </w:rPr>
              <w:t>(0.171272)</w:t>
            </w:r>
          </w:p>
        </w:tc>
      </w:tr>
      <w:tr w:rsidR="00A535B2" w:rsidRPr="00A043A4" w14:paraId="414160B4" w14:textId="77777777" w:rsidTr="00A535B2">
        <w:tc>
          <w:tcPr>
            <w:tcW w:w="2337" w:type="dxa"/>
          </w:tcPr>
          <w:p w14:paraId="78207EBF" w14:textId="7254083D" w:rsidR="00A535B2" w:rsidRPr="00A043A4" w:rsidRDefault="00A535B2" w:rsidP="001917F0">
            <w:pPr>
              <w:jc w:val="center"/>
              <w:rPr>
                <w:color w:val="000000" w:themeColor="text1"/>
                <w:szCs w:val="24"/>
              </w:rPr>
            </w:pPr>
            <w:r w:rsidRPr="00A043A4">
              <w:rPr>
                <w:color w:val="000000" w:themeColor="text1"/>
                <w:szCs w:val="24"/>
              </w:rPr>
              <w:t>CEFTA-2006</w:t>
            </w:r>
          </w:p>
        </w:tc>
        <w:tc>
          <w:tcPr>
            <w:tcW w:w="2337" w:type="dxa"/>
          </w:tcPr>
          <w:p w14:paraId="6F3549CA" w14:textId="77777777" w:rsidR="00A535B2" w:rsidRPr="00A043A4" w:rsidRDefault="00930A1B" w:rsidP="001917F0">
            <w:pPr>
              <w:jc w:val="center"/>
              <w:rPr>
                <w:color w:val="000000" w:themeColor="text1"/>
                <w:szCs w:val="24"/>
              </w:rPr>
            </w:pPr>
            <w:r w:rsidRPr="00A043A4">
              <w:rPr>
                <w:color w:val="000000" w:themeColor="text1"/>
                <w:szCs w:val="24"/>
              </w:rPr>
              <w:t>4.202928***</w:t>
            </w:r>
          </w:p>
          <w:p w14:paraId="11AB5C73" w14:textId="76D6DD1D" w:rsidR="00930A1B" w:rsidRPr="00A043A4" w:rsidRDefault="00930A1B" w:rsidP="001917F0">
            <w:pPr>
              <w:jc w:val="center"/>
              <w:rPr>
                <w:color w:val="000000" w:themeColor="text1"/>
                <w:szCs w:val="24"/>
              </w:rPr>
            </w:pPr>
            <w:r w:rsidRPr="00A043A4">
              <w:rPr>
                <w:color w:val="000000" w:themeColor="text1"/>
                <w:szCs w:val="24"/>
              </w:rPr>
              <w:t>(0.281989)</w:t>
            </w:r>
          </w:p>
        </w:tc>
        <w:tc>
          <w:tcPr>
            <w:tcW w:w="2338" w:type="dxa"/>
          </w:tcPr>
          <w:p w14:paraId="2F17F752" w14:textId="77777777" w:rsidR="00A535B2" w:rsidRPr="00A043A4" w:rsidRDefault="003A6B24" w:rsidP="001917F0">
            <w:pPr>
              <w:jc w:val="center"/>
              <w:rPr>
                <w:color w:val="000000" w:themeColor="text1"/>
                <w:szCs w:val="24"/>
              </w:rPr>
            </w:pPr>
            <w:r w:rsidRPr="00A043A4">
              <w:rPr>
                <w:color w:val="000000" w:themeColor="text1"/>
                <w:szCs w:val="24"/>
              </w:rPr>
              <w:t>3.995254***</w:t>
            </w:r>
          </w:p>
          <w:p w14:paraId="76067361" w14:textId="69C9C19A" w:rsidR="003A6B24" w:rsidRPr="00A043A4" w:rsidRDefault="003A6B24" w:rsidP="001917F0">
            <w:pPr>
              <w:jc w:val="center"/>
              <w:rPr>
                <w:color w:val="000000" w:themeColor="text1"/>
                <w:szCs w:val="24"/>
              </w:rPr>
            </w:pPr>
            <w:r w:rsidRPr="00A043A4">
              <w:rPr>
                <w:color w:val="000000" w:themeColor="text1"/>
                <w:szCs w:val="24"/>
              </w:rPr>
              <w:t>(0.274988)</w:t>
            </w:r>
          </w:p>
        </w:tc>
        <w:tc>
          <w:tcPr>
            <w:tcW w:w="2338" w:type="dxa"/>
          </w:tcPr>
          <w:p w14:paraId="30BE343E" w14:textId="77777777" w:rsidR="00A535B2" w:rsidRPr="00A043A4" w:rsidRDefault="003A6B24" w:rsidP="001917F0">
            <w:pPr>
              <w:jc w:val="center"/>
              <w:rPr>
                <w:color w:val="000000" w:themeColor="text1"/>
                <w:szCs w:val="24"/>
              </w:rPr>
            </w:pPr>
            <w:r w:rsidRPr="00A043A4">
              <w:rPr>
                <w:color w:val="000000" w:themeColor="text1"/>
                <w:szCs w:val="24"/>
              </w:rPr>
              <w:t>3.300122***</w:t>
            </w:r>
          </w:p>
          <w:p w14:paraId="708534A4" w14:textId="2E6D1212" w:rsidR="003A6B24" w:rsidRPr="00A043A4" w:rsidRDefault="003A6B24" w:rsidP="001917F0">
            <w:pPr>
              <w:jc w:val="center"/>
              <w:rPr>
                <w:color w:val="000000" w:themeColor="text1"/>
                <w:szCs w:val="24"/>
              </w:rPr>
            </w:pPr>
            <w:r w:rsidRPr="00A043A4">
              <w:rPr>
                <w:color w:val="000000" w:themeColor="text1"/>
                <w:szCs w:val="24"/>
              </w:rPr>
              <w:t>(0.268165)</w:t>
            </w:r>
          </w:p>
        </w:tc>
      </w:tr>
      <w:tr w:rsidR="00A535B2" w:rsidRPr="00A043A4" w14:paraId="78771CCF" w14:textId="77777777" w:rsidTr="00A535B2">
        <w:tc>
          <w:tcPr>
            <w:tcW w:w="2337" w:type="dxa"/>
          </w:tcPr>
          <w:p w14:paraId="0427AD3D" w14:textId="54126F5C" w:rsidR="00A535B2" w:rsidRPr="00A043A4" w:rsidRDefault="00A535B2" w:rsidP="001917F0">
            <w:pPr>
              <w:jc w:val="center"/>
              <w:rPr>
                <w:color w:val="000000" w:themeColor="text1"/>
                <w:szCs w:val="24"/>
              </w:rPr>
            </w:pPr>
            <w:r w:rsidRPr="00A043A4">
              <w:rPr>
                <w:color w:val="000000" w:themeColor="text1"/>
                <w:szCs w:val="24"/>
              </w:rPr>
              <w:t>FTA</w:t>
            </w:r>
          </w:p>
        </w:tc>
        <w:tc>
          <w:tcPr>
            <w:tcW w:w="2337" w:type="dxa"/>
          </w:tcPr>
          <w:p w14:paraId="0BAE4453" w14:textId="77777777" w:rsidR="00A535B2" w:rsidRPr="00A043A4" w:rsidRDefault="00930A1B" w:rsidP="001917F0">
            <w:pPr>
              <w:jc w:val="center"/>
              <w:rPr>
                <w:color w:val="000000" w:themeColor="text1"/>
                <w:szCs w:val="24"/>
              </w:rPr>
            </w:pPr>
            <w:r w:rsidRPr="00A043A4">
              <w:rPr>
                <w:color w:val="000000" w:themeColor="text1"/>
                <w:szCs w:val="24"/>
              </w:rPr>
              <w:t>2.095796***</w:t>
            </w:r>
          </w:p>
          <w:p w14:paraId="012DBA75" w14:textId="2A86E07D" w:rsidR="00930A1B" w:rsidRPr="00A043A4" w:rsidRDefault="00930A1B" w:rsidP="001917F0">
            <w:pPr>
              <w:jc w:val="center"/>
              <w:rPr>
                <w:color w:val="000000" w:themeColor="text1"/>
                <w:szCs w:val="24"/>
              </w:rPr>
            </w:pPr>
            <w:r w:rsidRPr="00A043A4">
              <w:rPr>
                <w:color w:val="000000" w:themeColor="text1"/>
                <w:szCs w:val="24"/>
              </w:rPr>
              <w:t>(0.246074)</w:t>
            </w:r>
          </w:p>
        </w:tc>
        <w:tc>
          <w:tcPr>
            <w:tcW w:w="2338" w:type="dxa"/>
          </w:tcPr>
          <w:p w14:paraId="4FCD9C71" w14:textId="77777777" w:rsidR="00A535B2" w:rsidRPr="00A043A4" w:rsidRDefault="003A6B24" w:rsidP="001917F0">
            <w:pPr>
              <w:jc w:val="center"/>
              <w:rPr>
                <w:color w:val="000000" w:themeColor="text1"/>
                <w:szCs w:val="24"/>
              </w:rPr>
            </w:pPr>
            <w:r w:rsidRPr="00A043A4">
              <w:rPr>
                <w:color w:val="000000" w:themeColor="text1"/>
                <w:szCs w:val="24"/>
              </w:rPr>
              <w:t>2.374491***</w:t>
            </w:r>
          </w:p>
          <w:p w14:paraId="5256BDF2" w14:textId="1435540D" w:rsidR="003A6B24" w:rsidRPr="00A043A4" w:rsidRDefault="003A6B24" w:rsidP="001917F0">
            <w:pPr>
              <w:jc w:val="center"/>
              <w:rPr>
                <w:color w:val="000000" w:themeColor="text1"/>
                <w:szCs w:val="24"/>
              </w:rPr>
            </w:pPr>
            <w:r w:rsidRPr="00A043A4">
              <w:rPr>
                <w:color w:val="000000" w:themeColor="text1"/>
                <w:szCs w:val="24"/>
              </w:rPr>
              <w:t>(0.247807)</w:t>
            </w:r>
          </w:p>
        </w:tc>
        <w:tc>
          <w:tcPr>
            <w:tcW w:w="2338" w:type="dxa"/>
          </w:tcPr>
          <w:p w14:paraId="4CB5F564" w14:textId="77777777" w:rsidR="00A535B2" w:rsidRPr="00A043A4" w:rsidRDefault="003A6B24" w:rsidP="001917F0">
            <w:pPr>
              <w:jc w:val="center"/>
              <w:rPr>
                <w:color w:val="000000" w:themeColor="text1"/>
                <w:szCs w:val="24"/>
              </w:rPr>
            </w:pPr>
            <w:r w:rsidRPr="00A043A4">
              <w:rPr>
                <w:color w:val="000000" w:themeColor="text1"/>
                <w:szCs w:val="24"/>
              </w:rPr>
              <w:t>2.457498***</w:t>
            </w:r>
          </w:p>
          <w:p w14:paraId="64C1C388" w14:textId="3F813F5F" w:rsidR="003A6B24" w:rsidRPr="00A043A4" w:rsidRDefault="003A6B24" w:rsidP="001917F0">
            <w:pPr>
              <w:jc w:val="center"/>
              <w:rPr>
                <w:color w:val="000000" w:themeColor="text1"/>
                <w:szCs w:val="24"/>
              </w:rPr>
            </w:pPr>
            <w:r w:rsidRPr="00A043A4">
              <w:rPr>
                <w:color w:val="000000" w:themeColor="text1"/>
                <w:szCs w:val="24"/>
              </w:rPr>
              <w:t>(0.231747)</w:t>
            </w:r>
          </w:p>
        </w:tc>
      </w:tr>
      <w:tr w:rsidR="00A535B2" w:rsidRPr="00A043A4" w14:paraId="1E6F4758" w14:textId="77777777" w:rsidTr="00A535B2">
        <w:tc>
          <w:tcPr>
            <w:tcW w:w="2337" w:type="dxa"/>
          </w:tcPr>
          <w:p w14:paraId="0C991A54" w14:textId="5B6F1010" w:rsidR="00A535B2" w:rsidRPr="00A043A4" w:rsidRDefault="00930A1B" w:rsidP="001917F0">
            <w:pPr>
              <w:jc w:val="center"/>
              <w:rPr>
                <w:color w:val="000000" w:themeColor="text1"/>
                <w:szCs w:val="24"/>
              </w:rPr>
            </w:pPr>
            <w:r w:rsidRPr="00A043A4">
              <w:rPr>
                <w:color w:val="000000" w:themeColor="text1"/>
                <w:szCs w:val="24"/>
              </w:rPr>
              <w:t>LOG (PRO)</w:t>
            </w:r>
          </w:p>
        </w:tc>
        <w:tc>
          <w:tcPr>
            <w:tcW w:w="2337" w:type="dxa"/>
          </w:tcPr>
          <w:p w14:paraId="6893B5FF" w14:textId="77777777" w:rsidR="00A535B2" w:rsidRPr="00A043A4" w:rsidRDefault="00A535B2" w:rsidP="001917F0">
            <w:pPr>
              <w:jc w:val="center"/>
              <w:rPr>
                <w:color w:val="000000" w:themeColor="text1"/>
                <w:szCs w:val="24"/>
              </w:rPr>
            </w:pPr>
          </w:p>
        </w:tc>
        <w:tc>
          <w:tcPr>
            <w:tcW w:w="2338" w:type="dxa"/>
          </w:tcPr>
          <w:p w14:paraId="43BD9769" w14:textId="77777777" w:rsidR="00A535B2" w:rsidRPr="00A043A4" w:rsidRDefault="003A6B24" w:rsidP="001917F0">
            <w:pPr>
              <w:jc w:val="center"/>
              <w:rPr>
                <w:color w:val="000000" w:themeColor="text1"/>
                <w:szCs w:val="24"/>
              </w:rPr>
            </w:pPr>
            <w:r w:rsidRPr="00A043A4">
              <w:rPr>
                <w:color w:val="000000" w:themeColor="text1"/>
                <w:szCs w:val="24"/>
              </w:rPr>
              <w:t>-0.43976***</w:t>
            </w:r>
          </w:p>
          <w:p w14:paraId="05B9DB4C" w14:textId="2616756C" w:rsidR="003A6B24" w:rsidRPr="00A043A4" w:rsidRDefault="003A6B24" w:rsidP="001917F0">
            <w:pPr>
              <w:jc w:val="center"/>
              <w:rPr>
                <w:color w:val="000000" w:themeColor="text1"/>
                <w:szCs w:val="24"/>
              </w:rPr>
            </w:pPr>
            <w:r w:rsidRPr="00A043A4">
              <w:rPr>
                <w:color w:val="000000" w:themeColor="text1"/>
                <w:szCs w:val="24"/>
              </w:rPr>
              <w:t>(0.083117)</w:t>
            </w:r>
          </w:p>
        </w:tc>
        <w:tc>
          <w:tcPr>
            <w:tcW w:w="2338" w:type="dxa"/>
          </w:tcPr>
          <w:p w14:paraId="32D3E01E" w14:textId="77777777" w:rsidR="00A535B2" w:rsidRPr="00A043A4" w:rsidRDefault="003A6B24" w:rsidP="001917F0">
            <w:pPr>
              <w:jc w:val="center"/>
              <w:rPr>
                <w:color w:val="000000" w:themeColor="text1"/>
                <w:szCs w:val="24"/>
              </w:rPr>
            </w:pPr>
            <w:r w:rsidRPr="00A043A4">
              <w:rPr>
                <w:color w:val="000000" w:themeColor="text1"/>
                <w:szCs w:val="24"/>
              </w:rPr>
              <w:t>-0.21927***</w:t>
            </w:r>
          </w:p>
          <w:p w14:paraId="461E960D" w14:textId="60C6E96F" w:rsidR="003A6B24" w:rsidRPr="00A043A4" w:rsidRDefault="003A6B24" w:rsidP="001917F0">
            <w:pPr>
              <w:jc w:val="center"/>
              <w:rPr>
                <w:color w:val="000000" w:themeColor="text1"/>
                <w:szCs w:val="24"/>
              </w:rPr>
            </w:pPr>
            <w:r w:rsidRPr="00A043A4">
              <w:rPr>
                <w:color w:val="000000" w:themeColor="text1"/>
                <w:szCs w:val="24"/>
              </w:rPr>
              <w:t>(0.08139)</w:t>
            </w:r>
          </w:p>
        </w:tc>
      </w:tr>
      <w:tr w:rsidR="00A535B2" w:rsidRPr="00A043A4" w14:paraId="59D87F57" w14:textId="77777777" w:rsidTr="00A535B2">
        <w:tc>
          <w:tcPr>
            <w:tcW w:w="2337" w:type="dxa"/>
          </w:tcPr>
          <w:p w14:paraId="2E10AD8C" w14:textId="375CF69F" w:rsidR="00A535B2" w:rsidRPr="00A043A4" w:rsidRDefault="00930A1B" w:rsidP="001917F0">
            <w:pPr>
              <w:jc w:val="center"/>
              <w:rPr>
                <w:color w:val="000000" w:themeColor="text1"/>
                <w:szCs w:val="24"/>
              </w:rPr>
            </w:pPr>
            <w:r w:rsidRPr="00A043A4">
              <w:rPr>
                <w:color w:val="000000" w:themeColor="text1"/>
                <w:szCs w:val="24"/>
              </w:rPr>
              <w:t>LANG</w:t>
            </w:r>
          </w:p>
        </w:tc>
        <w:tc>
          <w:tcPr>
            <w:tcW w:w="2337" w:type="dxa"/>
          </w:tcPr>
          <w:p w14:paraId="50DE9EA3" w14:textId="77777777" w:rsidR="00A535B2" w:rsidRPr="00A043A4" w:rsidRDefault="00A535B2" w:rsidP="001917F0">
            <w:pPr>
              <w:jc w:val="center"/>
              <w:rPr>
                <w:color w:val="000000" w:themeColor="text1"/>
                <w:szCs w:val="24"/>
              </w:rPr>
            </w:pPr>
          </w:p>
        </w:tc>
        <w:tc>
          <w:tcPr>
            <w:tcW w:w="2338" w:type="dxa"/>
          </w:tcPr>
          <w:p w14:paraId="0778B7B3" w14:textId="77777777" w:rsidR="00A535B2" w:rsidRPr="00A043A4" w:rsidRDefault="00A535B2" w:rsidP="001917F0">
            <w:pPr>
              <w:jc w:val="center"/>
              <w:rPr>
                <w:color w:val="000000" w:themeColor="text1"/>
                <w:szCs w:val="24"/>
              </w:rPr>
            </w:pPr>
          </w:p>
        </w:tc>
        <w:tc>
          <w:tcPr>
            <w:tcW w:w="2338" w:type="dxa"/>
          </w:tcPr>
          <w:p w14:paraId="3CE15087" w14:textId="77777777" w:rsidR="00A535B2" w:rsidRPr="00A043A4" w:rsidRDefault="003A6B24" w:rsidP="001917F0">
            <w:pPr>
              <w:jc w:val="center"/>
              <w:rPr>
                <w:color w:val="000000" w:themeColor="text1"/>
                <w:szCs w:val="24"/>
              </w:rPr>
            </w:pPr>
            <w:r w:rsidRPr="00A043A4">
              <w:rPr>
                <w:color w:val="000000" w:themeColor="text1"/>
                <w:szCs w:val="24"/>
              </w:rPr>
              <w:t>1.799177***</w:t>
            </w:r>
          </w:p>
          <w:p w14:paraId="3D2BF165" w14:textId="76F7FB9B" w:rsidR="003A6B24" w:rsidRPr="00A043A4" w:rsidRDefault="003A6B24" w:rsidP="001917F0">
            <w:pPr>
              <w:jc w:val="center"/>
              <w:rPr>
                <w:color w:val="000000" w:themeColor="text1"/>
                <w:szCs w:val="24"/>
              </w:rPr>
            </w:pPr>
            <w:r w:rsidRPr="00A043A4">
              <w:rPr>
                <w:color w:val="000000" w:themeColor="text1"/>
                <w:szCs w:val="24"/>
              </w:rPr>
              <w:t>(</w:t>
            </w:r>
            <w:r w:rsidR="00306409" w:rsidRPr="00A043A4">
              <w:rPr>
                <w:color w:val="000000" w:themeColor="text1"/>
                <w:szCs w:val="24"/>
              </w:rPr>
              <w:t>0.198492)</w:t>
            </w:r>
          </w:p>
        </w:tc>
      </w:tr>
      <w:tr w:rsidR="00A535B2" w:rsidRPr="00A043A4" w14:paraId="1BEF9CA3" w14:textId="77777777" w:rsidTr="00A535B2">
        <w:tc>
          <w:tcPr>
            <w:tcW w:w="2337" w:type="dxa"/>
          </w:tcPr>
          <w:p w14:paraId="619A09AA" w14:textId="6FE22CF9" w:rsidR="00A535B2" w:rsidRPr="00A043A4" w:rsidRDefault="00930A1B" w:rsidP="001917F0">
            <w:pPr>
              <w:jc w:val="center"/>
              <w:rPr>
                <w:color w:val="000000" w:themeColor="text1"/>
                <w:szCs w:val="24"/>
              </w:rPr>
            </w:pPr>
            <w:r w:rsidRPr="00A043A4">
              <w:rPr>
                <w:color w:val="000000" w:themeColor="text1"/>
                <w:szCs w:val="24"/>
              </w:rPr>
              <w:t>R-squared</w:t>
            </w:r>
          </w:p>
        </w:tc>
        <w:tc>
          <w:tcPr>
            <w:tcW w:w="2337" w:type="dxa"/>
          </w:tcPr>
          <w:p w14:paraId="6D71AF86" w14:textId="3300F7B4" w:rsidR="00A535B2" w:rsidRPr="00A043A4" w:rsidRDefault="00930A1B" w:rsidP="001917F0">
            <w:pPr>
              <w:jc w:val="center"/>
              <w:rPr>
                <w:color w:val="000000" w:themeColor="text1"/>
                <w:szCs w:val="24"/>
              </w:rPr>
            </w:pPr>
            <w:r w:rsidRPr="00A043A4">
              <w:rPr>
                <w:color w:val="000000" w:themeColor="text1"/>
                <w:szCs w:val="24"/>
              </w:rPr>
              <w:t>0.567987</w:t>
            </w:r>
          </w:p>
        </w:tc>
        <w:tc>
          <w:tcPr>
            <w:tcW w:w="2338" w:type="dxa"/>
          </w:tcPr>
          <w:p w14:paraId="3D678FAE" w14:textId="25AA6380" w:rsidR="00A535B2" w:rsidRPr="00A043A4" w:rsidRDefault="003A6B24" w:rsidP="001917F0">
            <w:pPr>
              <w:jc w:val="center"/>
              <w:rPr>
                <w:color w:val="000000" w:themeColor="text1"/>
                <w:szCs w:val="24"/>
              </w:rPr>
            </w:pPr>
            <w:r w:rsidRPr="00A043A4">
              <w:rPr>
                <w:color w:val="000000" w:themeColor="text1"/>
                <w:szCs w:val="24"/>
              </w:rPr>
              <w:t>0.591039</w:t>
            </w:r>
          </w:p>
        </w:tc>
        <w:tc>
          <w:tcPr>
            <w:tcW w:w="2338" w:type="dxa"/>
          </w:tcPr>
          <w:p w14:paraId="48FFE48C" w14:textId="2DF4F24D" w:rsidR="00A535B2" w:rsidRPr="00A043A4" w:rsidRDefault="00306409" w:rsidP="001917F0">
            <w:pPr>
              <w:jc w:val="center"/>
              <w:rPr>
                <w:color w:val="000000" w:themeColor="text1"/>
                <w:szCs w:val="24"/>
              </w:rPr>
            </w:pPr>
            <w:r w:rsidRPr="00A043A4">
              <w:rPr>
                <w:color w:val="000000" w:themeColor="text1"/>
                <w:szCs w:val="24"/>
              </w:rPr>
              <w:t>0.643526</w:t>
            </w:r>
          </w:p>
        </w:tc>
      </w:tr>
      <w:tr w:rsidR="00A535B2" w:rsidRPr="00A043A4" w14:paraId="4E7882EF" w14:textId="77777777" w:rsidTr="00A535B2">
        <w:tc>
          <w:tcPr>
            <w:tcW w:w="2337" w:type="dxa"/>
          </w:tcPr>
          <w:p w14:paraId="5258E185" w14:textId="617934ED" w:rsidR="00A535B2" w:rsidRPr="00A043A4" w:rsidRDefault="00930A1B" w:rsidP="001917F0">
            <w:pPr>
              <w:jc w:val="center"/>
              <w:rPr>
                <w:color w:val="000000" w:themeColor="text1"/>
                <w:szCs w:val="24"/>
              </w:rPr>
            </w:pPr>
            <w:r w:rsidRPr="00A043A4">
              <w:rPr>
                <w:color w:val="000000" w:themeColor="text1"/>
                <w:szCs w:val="24"/>
              </w:rPr>
              <w:t>Adjusted R-squared</w:t>
            </w:r>
          </w:p>
        </w:tc>
        <w:tc>
          <w:tcPr>
            <w:tcW w:w="2337" w:type="dxa"/>
          </w:tcPr>
          <w:p w14:paraId="36D09005" w14:textId="309CDC00" w:rsidR="00A535B2" w:rsidRPr="00A043A4" w:rsidRDefault="00930A1B" w:rsidP="001917F0">
            <w:pPr>
              <w:jc w:val="center"/>
              <w:rPr>
                <w:color w:val="000000" w:themeColor="text1"/>
                <w:szCs w:val="24"/>
              </w:rPr>
            </w:pPr>
            <w:r w:rsidRPr="00A043A4">
              <w:rPr>
                <w:color w:val="000000" w:themeColor="text1"/>
                <w:szCs w:val="24"/>
              </w:rPr>
              <w:t>0.563455</w:t>
            </w:r>
          </w:p>
        </w:tc>
        <w:tc>
          <w:tcPr>
            <w:tcW w:w="2338" w:type="dxa"/>
          </w:tcPr>
          <w:p w14:paraId="7A31EE73" w14:textId="10239628" w:rsidR="00A535B2" w:rsidRPr="00A043A4" w:rsidRDefault="003A6B24" w:rsidP="001917F0">
            <w:pPr>
              <w:jc w:val="center"/>
              <w:rPr>
                <w:color w:val="000000" w:themeColor="text1"/>
                <w:szCs w:val="24"/>
              </w:rPr>
            </w:pPr>
            <w:r w:rsidRPr="00A043A4">
              <w:rPr>
                <w:color w:val="000000" w:themeColor="text1"/>
                <w:szCs w:val="24"/>
              </w:rPr>
              <w:t>0.585918</w:t>
            </w:r>
          </w:p>
        </w:tc>
        <w:tc>
          <w:tcPr>
            <w:tcW w:w="2338" w:type="dxa"/>
          </w:tcPr>
          <w:p w14:paraId="68959B6D" w14:textId="7342BC63" w:rsidR="00A535B2" w:rsidRPr="00A043A4" w:rsidRDefault="00306409" w:rsidP="001917F0">
            <w:pPr>
              <w:jc w:val="center"/>
              <w:rPr>
                <w:color w:val="000000" w:themeColor="text1"/>
                <w:szCs w:val="24"/>
              </w:rPr>
            </w:pPr>
            <w:r w:rsidRPr="00A043A4">
              <w:rPr>
                <w:color w:val="000000" w:themeColor="text1"/>
                <w:szCs w:val="24"/>
              </w:rPr>
              <w:t>0.638416</w:t>
            </w:r>
          </w:p>
        </w:tc>
      </w:tr>
    </w:tbl>
    <w:p w14:paraId="5027E41C" w14:textId="77777777" w:rsidR="00E0166D" w:rsidRPr="00A043A4" w:rsidRDefault="00E0166D" w:rsidP="001917F0">
      <w:pPr>
        <w:spacing w:after="120"/>
        <w:rPr>
          <w:color w:val="000000" w:themeColor="text1"/>
          <w:sz w:val="20"/>
          <w:szCs w:val="20"/>
        </w:rPr>
      </w:pPr>
      <w:r w:rsidRPr="00A043A4">
        <w:rPr>
          <w:color w:val="000000" w:themeColor="text1"/>
          <w:sz w:val="20"/>
          <w:szCs w:val="20"/>
        </w:rPr>
        <w:t xml:space="preserve">Note: Numbers given in parenthesis are corresponding standard deviations. *** : p&lt; 0.01; **:p&lt; 0.05; * : p &lt; 0.1 </w:t>
      </w:r>
    </w:p>
    <w:p w14:paraId="2566DE5D" w14:textId="77777777" w:rsidR="00E0166D" w:rsidRPr="00A043A4" w:rsidRDefault="00E0166D" w:rsidP="001917F0">
      <w:pPr>
        <w:spacing w:after="120"/>
        <w:rPr>
          <w:bCs/>
          <w:i/>
          <w:color w:val="000000" w:themeColor="text1"/>
          <w:sz w:val="20"/>
          <w:szCs w:val="20"/>
        </w:rPr>
      </w:pPr>
      <w:r w:rsidRPr="00A043A4">
        <w:rPr>
          <w:bCs/>
          <w:i/>
          <w:color w:val="000000" w:themeColor="text1"/>
          <w:sz w:val="20"/>
          <w:szCs w:val="20"/>
        </w:rPr>
        <w:t>Source: Authors` calculations</w:t>
      </w:r>
    </w:p>
    <w:p w14:paraId="5C1CD809" w14:textId="1AD0CCDD" w:rsidR="00AD2223" w:rsidRPr="00A043A4" w:rsidRDefault="00AD2223" w:rsidP="001917F0">
      <w:pPr>
        <w:ind w:firstLine="720"/>
        <w:rPr>
          <w:szCs w:val="24"/>
          <w:lang w:val="en-US"/>
        </w:rPr>
      </w:pPr>
      <w:r w:rsidRPr="00A043A4">
        <w:rPr>
          <w:szCs w:val="24"/>
          <w:lang w:val="en-US"/>
        </w:rPr>
        <w:t xml:space="preserve">The results for the variable GDP per capita difference are positive and statistically significant. These results confirm the reality that with the increment of the gap </w:t>
      </w:r>
      <w:r w:rsidR="00BA3348">
        <w:rPr>
          <w:szCs w:val="24"/>
          <w:lang w:val="en-US"/>
        </w:rPr>
        <w:t>in</w:t>
      </w:r>
      <w:r w:rsidRPr="00A043A4">
        <w:rPr>
          <w:szCs w:val="24"/>
          <w:lang w:val="en-US"/>
        </w:rPr>
        <w:t xml:space="preserve"> GDP per capita between </w:t>
      </w:r>
      <w:r w:rsidR="003A5C8A" w:rsidRPr="00A043A4">
        <w:rPr>
          <w:szCs w:val="24"/>
          <w:lang w:val="en-US"/>
        </w:rPr>
        <w:t xml:space="preserve">North </w:t>
      </w:r>
      <w:r w:rsidRPr="00A043A4">
        <w:rPr>
          <w:szCs w:val="24"/>
          <w:lang w:val="en-US"/>
        </w:rPr>
        <w:t xml:space="preserve">Macedonia and its trading partners the possibility for trade increases. This is completely true as Macedonia’s greatest trading partners are countries with significantly higher GDP per capita and is in line with the results that </w:t>
      </w:r>
      <w:proofErr w:type="spellStart"/>
      <w:r w:rsidRPr="00A043A4">
        <w:rPr>
          <w:szCs w:val="24"/>
          <w:lang w:val="en-US"/>
        </w:rPr>
        <w:t>Kikerkova</w:t>
      </w:r>
      <w:proofErr w:type="spellEnd"/>
      <w:r w:rsidRPr="00A043A4">
        <w:rPr>
          <w:szCs w:val="24"/>
          <w:lang w:val="en-US"/>
        </w:rPr>
        <w:t xml:space="preserve"> and al. (2021) have found in the analysis of the bilateral trade flows of </w:t>
      </w:r>
      <w:r w:rsidR="003A5C8A" w:rsidRPr="00A043A4">
        <w:rPr>
          <w:szCs w:val="24"/>
          <w:lang w:val="en-US"/>
        </w:rPr>
        <w:t xml:space="preserve">North </w:t>
      </w:r>
      <w:r w:rsidRPr="00A043A4">
        <w:rPr>
          <w:szCs w:val="24"/>
          <w:lang w:val="en-US"/>
        </w:rPr>
        <w:t>Macedonia.</w:t>
      </w:r>
    </w:p>
    <w:p w14:paraId="4A0550AC" w14:textId="5EBAA0BF" w:rsidR="00AD2223" w:rsidRPr="00A043A4" w:rsidRDefault="00AD2223" w:rsidP="001917F0">
      <w:pPr>
        <w:ind w:firstLine="720"/>
        <w:rPr>
          <w:szCs w:val="24"/>
          <w:lang w:val="en-US"/>
        </w:rPr>
      </w:pPr>
      <w:r w:rsidRPr="00A043A4">
        <w:rPr>
          <w:szCs w:val="24"/>
          <w:lang w:val="en-US"/>
        </w:rPr>
        <w:t xml:space="preserve">The results for the variable Remoteness are statistically significant with </w:t>
      </w:r>
      <w:r w:rsidR="0091024F">
        <w:rPr>
          <w:szCs w:val="24"/>
          <w:lang w:val="en-US"/>
        </w:rPr>
        <w:t xml:space="preserve">a </w:t>
      </w:r>
      <w:r w:rsidRPr="00A043A4">
        <w:rPr>
          <w:szCs w:val="24"/>
          <w:lang w:val="en-US"/>
        </w:rPr>
        <w:t xml:space="preserve">negative sign which is also in line with the expectations. The main feature of gravity models is that the </w:t>
      </w:r>
      <w:r w:rsidR="00F01E92" w:rsidRPr="00A043A4">
        <w:rPr>
          <w:szCs w:val="24"/>
          <w:lang w:val="en-US"/>
        </w:rPr>
        <w:t xml:space="preserve">increase </w:t>
      </w:r>
      <w:r w:rsidRPr="00A043A4">
        <w:rPr>
          <w:szCs w:val="24"/>
          <w:lang w:val="en-US"/>
        </w:rPr>
        <w:t xml:space="preserve">of the distance between the trading partners has </w:t>
      </w:r>
      <w:r w:rsidR="00F01E92" w:rsidRPr="00A043A4">
        <w:rPr>
          <w:szCs w:val="24"/>
          <w:lang w:val="en-US"/>
        </w:rPr>
        <w:t xml:space="preserve">a </w:t>
      </w:r>
      <w:r w:rsidRPr="00A043A4">
        <w:rPr>
          <w:szCs w:val="24"/>
          <w:lang w:val="en-US"/>
        </w:rPr>
        <w:t xml:space="preserve">negative influence </w:t>
      </w:r>
      <w:r w:rsidR="0091024F">
        <w:rPr>
          <w:szCs w:val="24"/>
          <w:lang w:val="en-US"/>
        </w:rPr>
        <w:t>on</w:t>
      </w:r>
      <w:r w:rsidRPr="00A043A4">
        <w:rPr>
          <w:szCs w:val="24"/>
          <w:lang w:val="en-US"/>
        </w:rPr>
        <w:t xml:space="preserve"> their mutual trade. With the increase </w:t>
      </w:r>
      <w:r w:rsidR="0091024F">
        <w:rPr>
          <w:szCs w:val="24"/>
          <w:lang w:val="en-US"/>
        </w:rPr>
        <w:t>in</w:t>
      </w:r>
      <w:r w:rsidRPr="00A043A4">
        <w:rPr>
          <w:szCs w:val="24"/>
          <w:lang w:val="en-US"/>
        </w:rPr>
        <w:t xml:space="preserve"> the distance between the trading partners</w:t>
      </w:r>
      <w:r w:rsidR="00C867DA" w:rsidRPr="00A043A4">
        <w:rPr>
          <w:szCs w:val="24"/>
          <w:lang w:val="en-US"/>
        </w:rPr>
        <w:t>,</w:t>
      </w:r>
      <w:r w:rsidRPr="00A043A4">
        <w:rPr>
          <w:szCs w:val="24"/>
          <w:lang w:val="en-US"/>
        </w:rPr>
        <w:t xml:space="preserve"> their trade should also decrease. </w:t>
      </w:r>
    </w:p>
    <w:p w14:paraId="108BBC30" w14:textId="545E6382" w:rsidR="00AD2223" w:rsidRPr="00A043A4" w:rsidRDefault="00AD2223" w:rsidP="001917F0">
      <w:pPr>
        <w:ind w:firstLine="720"/>
        <w:rPr>
          <w:szCs w:val="24"/>
          <w:lang w:val="en-US"/>
        </w:rPr>
      </w:pPr>
      <w:r w:rsidRPr="00A043A4">
        <w:rPr>
          <w:szCs w:val="24"/>
          <w:lang w:val="en-US"/>
        </w:rPr>
        <w:t xml:space="preserve">The influence of the variable Population is statistically significant and positive. The coefficients of the regressions are also stable and with </w:t>
      </w:r>
      <w:r w:rsidR="00C867DA" w:rsidRPr="00A043A4">
        <w:rPr>
          <w:szCs w:val="24"/>
          <w:lang w:val="en-US"/>
        </w:rPr>
        <w:t xml:space="preserve">a </w:t>
      </w:r>
      <w:r w:rsidRPr="00A043A4">
        <w:rPr>
          <w:szCs w:val="24"/>
          <w:lang w:val="en-US"/>
        </w:rPr>
        <w:t xml:space="preserve">similar value in all three regressions. </w:t>
      </w:r>
    </w:p>
    <w:p w14:paraId="115C1F63" w14:textId="11D67144" w:rsidR="00183F21" w:rsidRPr="00A043A4" w:rsidRDefault="00AD2223" w:rsidP="001917F0">
      <w:pPr>
        <w:ind w:firstLine="720"/>
        <w:rPr>
          <w:szCs w:val="24"/>
          <w:lang w:val="en-US"/>
        </w:rPr>
      </w:pPr>
      <w:r w:rsidRPr="00A043A4">
        <w:rPr>
          <w:szCs w:val="24"/>
          <w:lang w:val="en-US"/>
        </w:rPr>
        <w:lastRenderedPageBreak/>
        <w:t>The main finding</w:t>
      </w:r>
      <w:r w:rsidR="003B161E" w:rsidRPr="00A043A4">
        <w:rPr>
          <w:szCs w:val="24"/>
          <w:lang w:val="en-US"/>
        </w:rPr>
        <w:t>s</w:t>
      </w:r>
      <w:r w:rsidRPr="00A043A4">
        <w:rPr>
          <w:szCs w:val="24"/>
          <w:lang w:val="en-US"/>
        </w:rPr>
        <w:t xml:space="preserve"> of our paper are</w:t>
      </w:r>
      <w:r w:rsidR="003B161E" w:rsidRPr="00A043A4">
        <w:rPr>
          <w:szCs w:val="24"/>
          <w:lang w:val="en-US"/>
        </w:rPr>
        <w:t xml:space="preserve"> included in the results from the influence of the dummy variables: European Union member, CEFTA-2006 member or EFTA</w:t>
      </w:r>
      <w:r w:rsidR="002C4472" w:rsidRPr="00A043A4">
        <w:rPr>
          <w:szCs w:val="24"/>
          <w:lang w:val="en-US"/>
        </w:rPr>
        <w:t xml:space="preserve"> member-country</w:t>
      </w:r>
      <w:r w:rsidR="003B161E" w:rsidRPr="00A043A4">
        <w:rPr>
          <w:szCs w:val="24"/>
          <w:lang w:val="en-US"/>
        </w:rPr>
        <w:t xml:space="preserve">, </w:t>
      </w:r>
      <w:proofErr w:type="gramStart"/>
      <w:r w:rsidR="003B161E" w:rsidRPr="00A043A4">
        <w:rPr>
          <w:szCs w:val="24"/>
          <w:lang w:val="en-US"/>
        </w:rPr>
        <w:t>Turkey</w:t>
      </w:r>
      <w:proofErr w:type="gramEnd"/>
      <w:r w:rsidR="003B161E" w:rsidRPr="00A043A4">
        <w:rPr>
          <w:szCs w:val="24"/>
          <w:lang w:val="en-US"/>
        </w:rPr>
        <w:t xml:space="preserve"> and Ukraine on </w:t>
      </w:r>
      <w:r w:rsidR="003A5C8A" w:rsidRPr="00A043A4">
        <w:rPr>
          <w:szCs w:val="24"/>
          <w:lang w:val="en-US"/>
        </w:rPr>
        <w:t xml:space="preserve">North </w:t>
      </w:r>
      <w:r w:rsidR="003B161E" w:rsidRPr="00A043A4">
        <w:rPr>
          <w:szCs w:val="24"/>
          <w:lang w:val="en-US"/>
        </w:rPr>
        <w:t xml:space="preserve">Macedonia’s trade. All results are statistically significant, with positive signs and stable coefficients. What is more prominent and worth </w:t>
      </w:r>
      <w:r w:rsidR="00C867DA" w:rsidRPr="00A043A4">
        <w:rPr>
          <w:szCs w:val="24"/>
          <w:lang w:val="en-US"/>
        </w:rPr>
        <w:t>mentioning</w:t>
      </w:r>
      <w:r w:rsidR="003B161E" w:rsidRPr="00A043A4">
        <w:rPr>
          <w:szCs w:val="24"/>
          <w:lang w:val="en-US"/>
        </w:rPr>
        <w:t xml:space="preserve"> is the highest coefficient obtained from the trade with CEFTA-2006 partners. These coefficients </w:t>
      </w:r>
      <w:r w:rsidR="002C4472" w:rsidRPr="00A043A4">
        <w:rPr>
          <w:szCs w:val="24"/>
          <w:lang w:val="en-US"/>
        </w:rPr>
        <w:t xml:space="preserve">in the three regressions </w:t>
      </w:r>
      <w:r w:rsidR="003B161E" w:rsidRPr="00A043A4">
        <w:rPr>
          <w:szCs w:val="24"/>
          <w:lang w:val="en-US"/>
        </w:rPr>
        <w:t xml:space="preserve">are higher than the results from the influence of the trade with European Union </w:t>
      </w:r>
      <w:r w:rsidR="00C867DA" w:rsidRPr="00A043A4">
        <w:rPr>
          <w:szCs w:val="24"/>
          <w:lang w:val="en-US"/>
        </w:rPr>
        <w:t xml:space="preserve">members </w:t>
      </w:r>
      <w:r w:rsidR="003B161E" w:rsidRPr="00A043A4">
        <w:rPr>
          <w:szCs w:val="24"/>
          <w:lang w:val="en-US"/>
        </w:rPr>
        <w:t xml:space="preserve">and with the free trade agreements signed with EFTA countries, </w:t>
      </w:r>
      <w:proofErr w:type="gramStart"/>
      <w:r w:rsidR="003B161E" w:rsidRPr="00A043A4">
        <w:rPr>
          <w:szCs w:val="24"/>
          <w:lang w:val="en-US"/>
        </w:rPr>
        <w:t>Turkey</w:t>
      </w:r>
      <w:proofErr w:type="gramEnd"/>
      <w:r w:rsidR="003B161E" w:rsidRPr="00A043A4">
        <w:rPr>
          <w:szCs w:val="24"/>
          <w:lang w:val="en-US"/>
        </w:rPr>
        <w:t xml:space="preserve"> and Ukraine. This shows that a 1% increase </w:t>
      </w:r>
      <w:r w:rsidR="00C867DA" w:rsidRPr="00A043A4">
        <w:rPr>
          <w:szCs w:val="24"/>
          <w:lang w:val="en-US"/>
        </w:rPr>
        <w:t xml:space="preserve">in </w:t>
      </w:r>
      <w:r w:rsidR="003B161E" w:rsidRPr="00A043A4">
        <w:rPr>
          <w:szCs w:val="24"/>
          <w:lang w:val="en-US"/>
        </w:rPr>
        <w:t xml:space="preserve">the trade with </w:t>
      </w:r>
      <w:r w:rsidR="00286469">
        <w:rPr>
          <w:szCs w:val="24"/>
          <w:lang w:val="en-US"/>
        </w:rPr>
        <w:t xml:space="preserve">the </w:t>
      </w:r>
      <w:r w:rsidR="003B161E" w:rsidRPr="00A043A4">
        <w:rPr>
          <w:szCs w:val="24"/>
          <w:lang w:val="en-US"/>
        </w:rPr>
        <w:t xml:space="preserve">CEFTA-2006 partner could lead to </w:t>
      </w:r>
      <w:r w:rsidR="00C867DA" w:rsidRPr="00A043A4">
        <w:rPr>
          <w:szCs w:val="24"/>
          <w:lang w:val="en-US"/>
        </w:rPr>
        <w:t xml:space="preserve">an </w:t>
      </w:r>
      <w:r w:rsidR="003B161E" w:rsidRPr="00A043A4">
        <w:rPr>
          <w:szCs w:val="24"/>
          <w:lang w:val="en-US"/>
        </w:rPr>
        <w:t xml:space="preserve">increase </w:t>
      </w:r>
      <w:r w:rsidR="00286469">
        <w:rPr>
          <w:szCs w:val="24"/>
          <w:lang w:val="en-US"/>
        </w:rPr>
        <w:t>in</w:t>
      </w:r>
      <w:r w:rsidR="003B161E" w:rsidRPr="00A043A4">
        <w:rPr>
          <w:szCs w:val="24"/>
          <w:lang w:val="en-US"/>
        </w:rPr>
        <w:t xml:space="preserve"> </w:t>
      </w:r>
      <w:r w:rsidR="003A5C8A" w:rsidRPr="00A043A4">
        <w:rPr>
          <w:szCs w:val="24"/>
          <w:lang w:val="en-US"/>
        </w:rPr>
        <w:t xml:space="preserve">North </w:t>
      </w:r>
      <w:r w:rsidR="003B161E" w:rsidRPr="00A043A4">
        <w:rPr>
          <w:szCs w:val="24"/>
          <w:lang w:val="en-US"/>
        </w:rPr>
        <w:t xml:space="preserve">Macedonia’s trade of </w:t>
      </w:r>
      <w:r w:rsidR="00183F21" w:rsidRPr="00A043A4">
        <w:rPr>
          <w:szCs w:val="24"/>
          <w:lang w:val="en-US"/>
        </w:rPr>
        <w:t>4.2% (3.99% or 3.3%</w:t>
      </w:r>
      <w:r w:rsidR="002C4472" w:rsidRPr="00A043A4">
        <w:rPr>
          <w:szCs w:val="24"/>
          <w:lang w:val="en-US"/>
        </w:rPr>
        <w:t xml:space="preserve"> respectively</w:t>
      </w:r>
      <w:r w:rsidR="00183F21" w:rsidRPr="00A043A4">
        <w:rPr>
          <w:szCs w:val="24"/>
          <w:lang w:val="en-US"/>
        </w:rPr>
        <w:t xml:space="preserve">). </w:t>
      </w:r>
      <w:r w:rsidR="00525E92" w:rsidRPr="00A043A4">
        <w:rPr>
          <w:szCs w:val="24"/>
          <w:lang w:val="en-US"/>
        </w:rPr>
        <w:t xml:space="preserve">Although these results might look opposite to the reality that </w:t>
      </w:r>
      <w:r w:rsidR="003A5C8A" w:rsidRPr="00A043A4">
        <w:rPr>
          <w:szCs w:val="24"/>
          <w:lang w:val="en-US"/>
        </w:rPr>
        <w:t xml:space="preserve">North </w:t>
      </w:r>
      <w:r w:rsidR="00525E92" w:rsidRPr="00A043A4">
        <w:rPr>
          <w:szCs w:val="24"/>
          <w:lang w:val="en-US"/>
        </w:rPr>
        <w:t xml:space="preserve">Macedonia and most of the Western Balkan countries trade more with the European Union than among </w:t>
      </w:r>
      <w:r w:rsidR="00670DD0" w:rsidRPr="00A043A4">
        <w:rPr>
          <w:szCs w:val="24"/>
          <w:lang w:val="en-US"/>
        </w:rPr>
        <w:t>themselves,</w:t>
      </w:r>
      <w:r w:rsidR="00525E92" w:rsidRPr="00A043A4">
        <w:rPr>
          <w:szCs w:val="24"/>
          <w:lang w:val="en-US"/>
        </w:rPr>
        <w:t xml:space="preserve"> they </w:t>
      </w:r>
      <w:r w:rsidR="00900ADF" w:rsidRPr="00A043A4">
        <w:rPr>
          <w:szCs w:val="24"/>
          <w:lang w:val="en-US"/>
        </w:rPr>
        <w:t xml:space="preserve">indicate that there is still potential in the increasing trade </w:t>
      </w:r>
      <w:r w:rsidR="002C4472" w:rsidRPr="00A043A4">
        <w:rPr>
          <w:szCs w:val="24"/>
          <w:lang w:val="en-US"/>
        </w:rPr>
        <w:t>by</w:t>
      </w:r>
      <w:r w:rsidR="00900ADF" w:rsidRPr="00A043A4">
        <w:rPr>
          <w:szCs w:val="24"/>
          <w:lang w:val="en-US"/>
        </w:rPr>
        <w:t xml:space="preserve"> deepening trade integration processes through different regional initiatives. </w:t>
      </w:r>
      <w:r w:rsidR="00183F21" w:rsidRPr="00A043A4">
        <w:rPr>
          <w:szCs w:val="24"/>
          <w:lang w:val="en-US"/>
        </w:rPr>
        <w:t xml:space="preserve">In this line what </w:t>
      </w:r>
      <w:r w:rsidR="0091024F">
        <w:rPr>
          <w:szCs w:val="24"/>
          <w:lang w:val="en-US"/>
        </w:rPr>
        <w:t>this research</w:t>
      </w:r>
      <w:r w:rsidR="00183F21" w:rsidRPr="00A043A4">
        <w:rPr>
          <w:szCs w:val="24"/>
          <w:lang w:val="en-US"/>
        </w:rPr>
        <w:t xml:space="preserve"> propose</w:t>
      </w:r>
      <w:r w:rsidR="0091024F">
        <w:rPr>
          <w:szCs w:val="24"/>
          <w:lang w:val="en-US"/>
        </w:rPr>
        <w:t>s</w:t>
      </w:r>
      <w:r w:rsidR="00183F21" w:rsidRPr="00A043A4">
        <w:rPr>
          <w:szCs w:val="24"/>
          <w:lang w:val="en-US"/>
        </w:rPr>
        <w:t xml:space="preserve"> is </w:t>
      </w:r>
      <w:r w:rsidR="00C867DA" w:rsidRPr="00A043A4">
        <w:rPr>
          <w:szCs w:val="24"/>
          <w:lang w:val="en-US"/>
        </w:rPr>
        <w:t xml:space="preserve">a </w:t>
      </w:r>
      <w:r w:rsidR="00183F21" w:rsidRPr="00A043A4">
        <w:rPr>
          <w:szCs w:val="24"/>
          <w:lang w:val="en-US"/>
        </w:rPr>
        <w:t>deepening of trade facilitation measures and increased application of mutual digital tools to facilitate trade.</w:t>
      </w:r>
      <w:r w:rsidR="00900ADF" w:rsidRPr="00A043A4">
        <w:rPr>
          <w:szCs w:val="24"/>
          <w:lang w:val="en-US"/>
        </w:rPr>
        <w:t xml:space="preserve"> Similar results were also obtained by </w:t>
      </w:r>
      <w:proofErr w:type="spellStart"/>
      <w:r w:rsidR="00900ADF" w:rsidRPr="00A043A4">
        <w:rPr>
          <w:szCs w:val="24"/>
          <w:lang w:val="en-US"/>
        </w:rPr>
        <w:t>Petreski</w:t>
      </w:r>
      <w:proofErr w:type="spellEnd"/>
      <w:r w:rsidR="00900ADF" w:rsidRPr="00A043A4">
        <w:rPr>
          <w:szCs w:val="24"/>
          <w:lang w:val="en-US"/>
        </w:rPr>
        <w:t xml:space="preserve"> </w:t>
      </w:r>
      <w:r w:rsidR="00AC66D8" w:rsidRPr="00A043A4">
        <w:rPr>
          <w:szCs w:val="24"/>
          <w:lang w:val="mk-MK"/>
        </w:rPr>
        <w:t>(</w:t>
      </w:r>
      <w:r w:rsidR="00900ADF" w:rsidRPr="00A043A4">
        <w:rPr>
          <w:szCs w:val="24"/>
          <w:lang w:val="en-US"/>
        </w:rPr>
        <w:t>2013</w:t>
      </w:r>
      <w:r w:rsidR="00AC66D8" w:rsidRPr="00A043A4">
        <w:rPr>
          <w:szCs w:val="24"/>
          <w:lang w:val="mk-MK"/>
        </w:rPr>
        <w:t>)</w:t>
      </w:r>
      <w:r w:rsidR="00900ADF" w:rsidRPr="00A043A4">
        <w:rPr>
          <w:szCs w:val="24"/>
          <w:lang w:val="en-US"/>
        </w:rPr>
        <w:t xml:space="preserve"> when </w:t>
      </w:r>
      <w:r w:rsidR="002C4472" w:rsidRPr="00A043A4">
        <w:rPr>
          <w:szCs w:val="24"/>
          <w:lang w:val="en-US"/>
        </w:rPr>
        <w:t>the author</w:t>
      </w:r>
      <w:r w:rsidR="00900ADF" w:rsidRPr="00A043A4">
        <w:rPr>
          <w:szCs w:val="24"/>
          <w:lang w:val="en-US"/>
        </w:rPr>
        <w:t xml:space="preserve"> estimated that CEFTA-2006 should have </w:t>
      </w:r>
      <w:r w:rsidR="00C867DA" w:rsidRPr="00A043A4">
        <w:rPr>
          <w:szCs w:val="24"/>
          <w:lang w:val="en-US"/>
        </w:rPr>
        <w:t xml:space="preserve">a </w:t>
      </w:r>
      <w:r w:rsidR="00900ADF" w:rsidRPr="00A043A4">
        <w:rPr>
          <w:szCs w:val="24"/>
          <w:lang w:val="en-US"/>
        </w:rPr>
        <w:t xml:space="preserve">larger effect on trade than the Stabilization and association agreements signed between these countries and </w:t>
      </w:r>
      <w:r w:rsidR="00286469">
        <w:rPr>
          <w:szCs w:val="24"/>
          <w:lang w:val="en-US"/>
        </w:rPr>
        <w:t xml:space="preserve">the </w:t>
      </w:r>
      <w:r w:rsidR="00900ADF" w:rsidRPr="00A043A4">
        <w:rPr>
          <w:szCs w:val="24"/>
          <w:lang w:val="en-US"/>
        </w:rPr>
        <w:t>EU.</w:t>
      </w:r>
    </w:p>
    <w:p w14:paraId="0B7958C4" w14:textId="26485228" w:rsidR="00900ADF" w:rsidRPr="00A043A4" w:rsidRDefault="00183F21" w:rsidP="001917F0">
      <w:pPr>
        <w:ind w:firstLine="720"/>
        <w:rPr>
          <w:color w:val="FF0000"/>
          <w:szCs w:val="24"/>
          <w:lang w:val="en-US"/>
        </w:rPr>
      </w:pPr>
      <w:r w:rsidRPr="00A043A4">
        <w:rPr>
          <w:szCs w:val="24"/>
          <w:lang w:val="en-US"/>
        </w:rPr>
        <w:t xml:space="preserve">In the second and the third regression the variable labor productivity </w:t>
      </w:r>
      <w:r w:rsidR="0091024F">
        <w:rPr>
          <w:szCs w:val="24"/>
          <w:lang w:val="en-US"/>
        </w:rPr>
        <w:t xml:space="preserve">is added, </w:t>
      </w:r>
      <w:r w:rsidRPr="00A043A4">
        <w:rPr>
          <w:szCs w:val="24"/>
          <w:lang w:val="en-US"/>
        </w:rPr>
        <w:t xml:space="preserve">which results are significant with </w:t>
      </w:r>
      <w:r w:rsidR="00C867DA" w:rsidRPr="00A043A4">
        <w:rPr>
          <w:szCs w:val="24"/>
          <w:lang w:val="en-US"/>
        </w:rPr>
        <w:t xml:space="preserve">a </w:t>
      </w:r>
      <w:r w:rsidRPr="00A043A4">
        <w:rPr>
          <w:szCs w:val="24"/>
          <w:lang w:val="en-US"/>
        </w:rPr>
        <w:t xml:space="preserve">negative sign. These results show that the increase </w:t>
      </w:r>
      <w:r w:rsidR="00286469">
        <w:rPr>
          <w:szCs w:val="24"/>
          <w:lang w:val="en-US"/>
        </w:rPr>
        <w:t>in</w:t>
      </w:r>
      <w:r w:rsidRPr="00A043A4">
        <w:rPr>
          <w:szCs w:val="24"/>
          <w:lang w:val="en-US"/>
        </w:rPr>
        <w:t xml:space="preserve"> the difference </w:t>
      </w:r>
      <w:r w:rsidR="00286469">
        <w:rPr>
          <w:szCs w:val="24"/>
          <w:lang w:val="en-US"/>
        </w:rPr>
        <w:t>in</w:t>
      </w:r>
      <w:r w:rsidRPr="00A043A4">
        <w:rPr>
          <w:szCs w:val="24"/>
          <w:lang w:val="en-US"/>
        </w:rPr>
        <w:t xml:space="preserve"> labor productivity between </w:t>
      </w:r>
      <w:r w:rsidR="003A5C8A" w:rsidRPr="00A043A4">
        <w:rPr>
          <w:szCs w:val="24"/>
          <w:lang w:val="en-US"/>
        </w:rPr>
        <w:t xml:space="preserve">North </w:t>
      </w:r>
      <w:r w:rsidRPr="00A043A4">
        <w:rPr>
          <w:szCs w:val="24"/>
          <w:lang w:val="en-US"/>
        </w:rPr>
        <w:t xml:space="preserve">Macedonia and its trading partners should have </w:t>
      </w:r>
      <w:r w:rsidR="00286469">
        <w:rPr>
          <w:szCs w:val="24"/>
          <w:lang w:val="en-US"/>
        </w:rPr>
        <w:t xml:space="preserve">a </w:t>
      </w:r>
      <w:r w:rsidR="00525E92" w:rsidRPr="00A043A4">
        <w:rPr>
          <w:szCs w:val="24"/>
          <w:lang w:val="en-US"/>
        </w:rPr>
        <w:t>negative</w:t>
      </w:r>
      <w:r w:rsidRPr="00A043A4">
        <w:rPr>
          <w:szCs w:val="24"/>
          <w:lang w:val="en-US"/>
        </w:rPr>
        <w:t xml:space="preserve"> influence </w:t>
      </w:r>
      <w:r w:rsidR="00286469">
        <w:rPr>
          <w:szCs w:val="24"/>
          <w:lang w:val="en-US"/>
        </w:rPr>
        <w:t>on</w:t>
      </w:r>
      <w:r w:rsidR="00525E92" w:rsidRPr="00A043A4">
        <w:rPr>
          <w:szCs w:val="24"/>
          <w:lang w:val="en-US"/>
        </w:rPr>
        <w:t xml:space="preserve"> </w:t>
      </w:r>
      <w:r w:rsidR="003A5C8A" w:rsidRPr="00A043A4">
        <w:rPr>
          <w:szCs w:val="24"/>
          <w:lang w:val="en-US"/>
        </w:rPr>
        <w:t xml:space="preserve">North </w:t>
      </w:r>
      <w:r w:rsidR="00525E92" w:rsidRPr="00A043A4">
        <w:rPr>
          <w:szCs w:val="24"/>
          <w:lang w:val="en-US"/>
        </w:rPr>
        <w:t>Macedonia’s trade. The results are</w:t>
      </w:r>
      <w:r w:rsidRPr="00A043A4">
        <w:rPr>
          <w:szCs w:val="24"/>
          <w:lang w:val="en-US"/>
        </w:rPr>
        <w:t xml:space="preserve"> in line with the economic structure of the country</w:t>
      </w:r>
      <w:r w:rsidR="00525E92" w:rsidRPr="00A043A4">
        <w:rPr>
          <w:szCs w:val="24"/>
          <w:lang w:val="en-US"/>
        </w:rPr>
        <w:t xml:space="preserve"> (</w:t>
      </w:r>
      <w:proofErr w:type="spellStart"/>
      <w:r w:rsidR="00525E92" w:rsidRPr="00A043A4">
        <w:rPr>
          <w:szCs w:val="24"/>
          <w:lang w:val="en-US"/>
        </w:rPr>
        <w:t>Kike</w:t>
      </w:r>
      <w:r w:rsidR="00C96245">
        <w:rPr>
          <w:szCs w:val="24"/>
          <w:lang w:val="en-US"/>
        </w:rPr>
        <w:t>rk</w:t>
      </w:r>
      <w:r w:rsidR="00525E92" w:rsidRPr="00A043A4">
        <w:rPr>
          <w:szCs w:val="24"/>
          <w:lang w:val="en-US"/>
        </w:rPr>
        <w:t>ova</w:t>
      </w:r>
      <w:proofErr w:type="spellEnd"/>
      <w:r w:rsidR="00525E92" w:rsidRPr="00A043A4">
        <w:rPr>
          <w:szCs w:val="24"/>
          <w:lang w:val="en-US"/>
        </w:rPr>
        <w:t xml:space="preserve"> et al., 2021).</w:t>
      </w:r>
      <w:r w:rsidRPr="00A043A4">
        <w:rPr>
          <w:szCs w:val="24"/>
          <w:lang w:val="en-US"/>
        </w:rPr>
        <w:t xml:space="preserve">  </w:t>
      </w:r>
      <w:r w:rsidR="00AD2223" w:rsidRPr="00A043A4">
        <w:rPr>
          <w:szCs w:val="24"/>
          <w:lang w:val="en-US"/>
        </w:rPr>
        <w:t xml:space="preserve">  </w:t>
      </w:r>
    </w:p>
    <w:p w14:paraId="2632C003" w14:textId="2F216EE0" w:rsidR="008A7213" w:rsidRPr="00A043A4" w:rsidRDefault="00900ADF" w:rsidP="001917F0">
      <w:pPr>
        <w:ind w:firstLine="720"/>
        <w:rPr>
          <w:iCs/>
          <w:szCs w:val="24"/>
          <w:lang w:val="en-US"/>
        </w:rPr>
      </w:pPr>
      <w:r w:rsidRPr="00A043A4">
        <w:rPr>
          <w:szCs w:val="24"/>
          <w:lang w:val="en-US"/>
        </w:rPr>
        <w:t>In the last regression</w:t>
      </w:r>
      <w:r w:rsidR="00C867DA" w:rsidRPr="00A043A4">
        <w:rPr>
          <w:szCs w:val="24"/>
          <w:lang w:val="en-US"/>
        </w:rPr>
        <w:t>,</w:t>
      </w:r>
      <w:r w:rsidRPr="00A043A4">
        <w:rPr>
          <w:szCs w:val="24"/>
          <w:lang w:val="en-US"/>
        </w:rPr>
        <w:t xml:space="preserve"> the dummy variable Language</w:t>
      </w:r>
      <w:r w:rsidR="0091024F">
        <w:rPr>
          <w:szCs w:val="24"/>
          <w:lang w:val="en-US"/>
        </w:rPr>
        <w:t xml:space="preserve"> is added</w:t>
      </w:r>
      <w:r w:rsidRPr="00A043A4">
        <w:rPr>
          <w:iCs/>
          <w:szCs w:val="24"/>
          <w:lang w:val="en-US"/>
        </w:rPr>
        <w:t xml:space="preserve">, more as a control variable, which indicates that sharing </w:t>
      </w:r>
      <w:r w:rsidR="00C867DA" w:rsidRPr="00A043A4">
        <w:rPr>
          <w:iCs/>
          <w:szCs w:val="24"/>
          <w:lang w:val="en-US"/>
        </w:rPr>
        <w:t xml:space="preserve">a </w:t>
      </w:r>
      <w:r w:rsidRPr="00A043A4">
        <w:rPr>
          <w:iCs/>
          <w:szCs w:val="24"/>
          <w:lang w:val="en-US"/>
        </w:rPr>
        <w:t xml:space="preserve">common language among the trading partners should have </w:t>
      </w:r>
      <w:r w:rsidR="00C867DA" w:rsidRPr="00A043A4">
        <w:rPr>
          <w:iCs/>
          <w:szCs w:val="24"/>
          <w:lang w:val="en-US"/>
        </w:rPr>
        <w:t xml:space="preserve">a </w:t>
      </w:r>
      <w:r w:rsidRPr="00A043A4">
        <w:rPr>
          <w:iCs/>
          <w:szCs w:val="24"/>
          <w:lang w:val="en-US"/>
        </w:rPr>
        <w:t xml:space="preserve">positive influence </w:t>
      </w:r>
      <w:r w:rsidR="00286469">
        <w:rPr>
          <w:iCs/>
          <w:szCs w:val="24"/>
          <w:lang w:val="en-US"/>
        </w:rPr>
        <w:t>on</w:t>
      </w:r>
      <w:r w:rsidRPr="00A043A4">
        <w:rPr>
          <w:iCs/>
          <w:szCs w:val="24"/>
          <w:lang w:val="en-US"/>
        </w:rPr>
        <w:t xml:space="preserve"> trade. </w:t>
      </w:r>
      <w:r w:rsidR="00831547" w:rsidRPr="00A043A4">
        <w:rPr>
          <w:iCs/>
          <w:szCs w:val="24"/>
          <w:lang w:val="en-US"/>
        </w:rPr>
        <w:t xml:space="preserve"> </w:t>
      </w:r>
    </w:p>
    <w:p w14:paraId="03FCE7EB" w14:textId="77777777" w:rsidR="008A7213" w:rsidRPr="00A043A4" w:rsidRDefault="008A7213" w:rsidP="001917F0">
      <w:pPr>
        <w:rPr>
          <w:iCs/>
          <w:szCs w:val="24"/>
          <w:lang w:val="en-US"/>
        </w:rPr>
      </w:pPr>
    </w:p>
    <w:p w14:paraId="21E3DD62" w14:textId="715401C4" w:rsidR="00831547" w:rsidRPr="00A043A4" w:rsidRDefault="00831547" w:rsidP="001917F0">
      <w:pPr>
        <w:pStyle w:val="ListParagraph"/>
        <w:numPr>
          <w:ilvl w:val="0"/>
          <w:numId w:val="2"/>
        </w:numPr>
        <w:spacing w:line="240" w:lineRule="auto"/>
        <w:rPr>
          <w:b/>
          <w:bCs/>
          <w:iCs/>
        </w:rPr>
      </w:pPr>
      <w:r w:rsidRPr="00A043A4">
        <w:rPr>
          <w:b/>
          <w:bCs/>
          <w:iCs/>
        </w:rPr>
        <w:t>Conclusion</w:t>
      </w:r>
    </w:p>
    <w:p w14:paraId="2900A450" w14:textId="5EFA636D" w:rsidR="001457F5" w:rsidRPr="00A043A4" w:rsidRDefault="00E81EDE" w:rsidP="001917F0">
      <w:pPr>
        <w:ind w:firstLine="720"/>
        <w:rPr>
          <w:rFonts w:eastAsiaTheme="minorEastAsia"/>
          <w:iCs/>
          <w:szCs w:val="24"/>
        </w:rPr>
      </w:pPr>
      <w:r w:rsidRPr="00A043A4">
        <w:rPr>
          <w:iCs/>
          <w:lang w:val="en-US"/>
        </w:rPr>
        <w:t xml:space="preserve">The existence of many regional initiatives and </w:t>
      </w:r>
      <w:r w:rsidR="001457F5" w:rsidRPr="00A043A4">
        <w:rPr>
          <w:iCs/>
          <w:lang w:val="en-US"/>
        </w:rPr>
        <w:t>the negative influence of the COVID-19 pandemic on trade inspired</w:t>
      </w:r>
      <w:r w:rsidR="001054D9" w:rsidRPr="00A043A4">
        <w:rPr>
          <w:iCs/>
          <w:lang w:val="en-US"/>
        </w:rPr>
        <w:t xml:space="preserve"> </w:t>
      </w:r>
      <w:r w:rsidR="00EB2013">
        <w:rPr>
          <w:iCs/>
          <w:lang w:val="en-US"/>
        </w:rPr>
        <w:t>this</w:t>
      </w:r>
      <w:r w:rsidR="001054D9" w:rsidRPr="00A043A4">
        <w:rPr>
          <w:iCs/>
          <w:lang w:val="en-US"/>
        </w:rPr>
        <w:t xml:space="preserve"> paper that aims to elaborate </w:t>
      </w:r>
      <w:r w:rsidR="00C867DA" w:rsidRPr="00A043A4">
        <w:rPr>
          <w:iCs/>
          <w:lang w:val="en-US"/>
        </w:rPr>
        <w:t xml:space="preserve">on </w:t>
      </w:r>
      <w:r w:rsidR="001054D9" w:rsidRPr="00A043A4">
        <w:rPr>
          <w:iCs/>
          <w:lang w:val="en-US"/>
        </w:rPr>
        <w:t xml:space="preserve">the possibilities that derive </w:t>
      </w:r>
      <w:r w:rsidR="00C867DA" w:rsidRPr="00A043A4">
        <w:rPr>
          <w:iCs/>
          <w:lang w:val="en-US"/>
        </w:rPr>
        <w:t xml:space="preserve">from </w:t>
      </w:r>
      <w:r w:rsidR="001054D9" w:rsidRPr="00A043A4">
        <w:rPr>
          <w:iCs/>
          <w:lang w:val="en-US"/>
        </w:rPr>
        <w:t>the latest regional integration initiatives which might further support trade liberalization and boost CEFTA-2006 trade exchange.</w:t>
      </w:r>
      <w:r w:rsidR="001054D9" w:rsidRPr="00A043A4">
        <w:rPr>
          <w:rFonts w:eastAsiaTheme="minorEastAsia"/>
          <w:iCs/>
          <w:szCs w:val="24"/>
        </w:rPr>
        <w:t xml:space="preserve"> For this </w:t>
      </w:r>
      <w:r w:rsidR="00C867DA" w:rsidRPr="00A043A4">
        <w:rPr>
          <w:rFonts w:eastAsiaTheme="minorEastAsia"/>
          <w:iCs/>
          <w:szCs w:val="24"/>
        </w:rPr>
        <w:t>purpose</w:t>
      </w:r>
      <w:r w:rsidR="00EB2013">
        <w:rPr>
          <w:rFonts w:eastAsiaTheme="minorEastAsia"/>
          <w:iCs/>
          <w:szCs w:val="24"/>
        </w:rPr>
        <w:t>,</w:t>
      </w:r>
      <w:r w:rsidR="00C867DA" w:rsidRPr="00A043A4">
        <w:rPr>
          <w:rFonts w:eastAsiaTheme="minorEastAsia"/>
          <w:iCs/>
          <w:szCs w:val="24"/>
        </w:rPr>
        <w:t xml:space="preserve"> </w:t>
      </w:r>
      <w:r w:rsidR="0091024F">
        <w:rPr>
          <w:rFonts w:eastAsiaTheme="minorEastAsia"/>
          <w:iCs/>
          <w:szCs w:val="24"/>
        </w:rPr>
        <w:t>this</w:t>
      </w:r>
      <w:r w:rsidR="001054D9" w:rsidRPr="00A043A4">
        <w:rPr>
          <w:rFonts w:eastAsiaTheme="minorEastAsia"/>
          <w:iCs/>
          <w:szCs w:val="24"/>
        </w:rPr>
        <w:t xml:space="preserve"> research </w:t>
      </w:r>
      <w:r w:rsidR="0091024F">
        <w:rPr>
          <w:rFonts w:eastAsiaTheme="minorEastAsia"/>
          <w:iCs/>
          <w:szCs w:val="24"/>
        </w:rPr>
        <w:t xml:space="preserve">is focused </w:t>
      </w:r>
      <w:r w:rsidR="001054D9" w:rsidRPr="00A043A4">
        <w:rPr>
          <w:rFonts w:eastAsiaTheme="minorEastAsia"/>
          <w:iCs/>
          <w:szCs w:val="24"/>
        </w:rPr>
        <w:t>on data on the trade exchange of goods of</w:t>
      </w:r>
      <w:r w:rsidR="002C4472" w:rsidRPr="00A043A4">
        <w:rPr>
          <w:rFonts w:eastAsiaTheme="minorEastAsia"/>
          <w:iCs/>
          <w:szCs w:val="24"/>
        </w:rPr>
        <w:t xml:space="preserve"> </w:t>
      </w:r>
      <w:r w:rsidR="003A5C8A" w:rsidRPr="00A043A4">
        <w:rPr>
          <w:rFonts w:eastAsiaTheme="minorEastAsia"/>
          <w:iCs/>
          <w:szCs w:val="24"/>
        </w:rPr>
        <w:t xml:space="preserve">North </w:t>
      </w:r>
      <w:r w:rsidR="001054D9" w:rsidRPr="00A043A4">
        <w:rPr>
          <w:rFonts w:eastAsiaTheme="minorEastAsia"/>
          <w:iCs/>
          <w:szCs w:val="24"/>
        </w:rPr>
        <w:t xml:space="preserve">Macedonia for </w:t>
      </w:r>
      <w:r w:rsidR="00286469">
        <w:rPr>
          <w:rFonts w:eastAsiaTheme="minorEastAsia"/>
          <w:iCs/>
          <w:szCs w:val="24"/>
        </w:rPr>
        <w:t>15 years</w:t>
      </w:r>
      <w:r w:rsidR="001054D9" w:rsidRPr="00A043A4">
        <w:rPr>
          <w:rFonts w:eastAsiaTheme="minorEastAsia"/>
          <w:iCs/>
          <w:szCs w:val="24"/>
        </w:rPr>
        <w:t xml:space="preserve"> from 2005-2020</w:t>
      </w:r>
      <w:r w:rsidR="00EB2013">
        <w:rPr>
          <w:rFonts w:eastAsiaTheme="minorEastAsia"/>
          <w:iCs/>
          <w:szCs w:val="24"/>
        </w:rPr>
        <w:t>,</w:t>
      </w:r>
      <w:r w:rsidR="001054D9" w:rsidRPr="00A043A4">
        <w:rPr>
          <w:rFonts w:eastAsiaTheme="minorEastAsia"/>
          <w:iCs/>
          <w:szCs w:val="24"/>
        </w:rPr>
        <w:t xml:space="preserve"> and the influence of bilateral and regional trade agreements </w:t>
      </w:r>
      <w:r w:rsidR="0091024F">
        <w:rPr>
          <w:rFonts w:eastAsiaTheme="minorEastAsia"/>
          <w:iCs/>
          <w:szCs w:val="24"/>
        </w:rPr>
        <w:t>on</w:t>
      </w:r>
      <w:r w:rsidR="001054D9" w:rsidRPr="00A043A4">
        <w:rPr>
          <w:rFonts w:eastAsiaTheme="minorEastAsia"/>
          <w:iCs/>
          <w:szCs w:val="24"/>
        </w:rPr>
        <w:t xml:space="preserve"> </w:t>
      </w:r>
      <w:r w:rsidR="00286469">
        <w:rPr>
          <w:rFonts w:eastAsiaTheme="minorEastAsia"/>
          <w:iCs/>
          <w:szCs w:val="24"/>
        </w:rPr>
        <w:t xml:space="preserve">the </w:t>
      </w:r>
      <w:r w:rsidR="001054D9" w:rsidRPr="00A043A4">
        <w:rPr>
          <w:rFonts w:eastAsiaTheme="minorEastAsia"/>
          <w:iCs/>
          <w:szCs w:val="24"/>
        </w:rPr>
        <w:t>country’s trade</w:t>
      </w:r>
      <w:r w:rsidR="0091024F" w:rsidRPr="0091024F">
        <w:t xml:space="preserve"> </w:t>
      </w:r>
      <w:r w:rsidR="0091024F" w:rsidRPr="0091024F">
        <w:rPr>
          <w:rFonts w:eastAsiaTheme="minorEastAsia"/>
          <w:iCs/>
          <w:szCs w:val="24"/>
        </w:rPr>
        <w:t>is estimated</w:t>
      </w:r>
      <w:r w:rsidR="00EB2013" w:rsidRPr="00EB2013">
        <w:t xml:space="preserve"> </w:t>
      </w:r>
      <w:r w:rsidR="00EB2013" w:rsidRPr="00EB2013">
        <w:rPr>
          <w:rFonts w:eastAsiaTheme="minorEastAsia"/>
          <w:iCs/>
          <w:szCs w:val="24"/>
        </w:rPr>
        <w:t>by a gravity model</w:t>
      </w:r>
      <w:r w:rsidR="001054D9" w:rsidRPr="00A043A4">
        <w:rPr>
          <w:rFonts w:eastAsiaTheme="minorEastAsia"/>
          <w:iCs/>
          <w:szCs w:val="24"/>
        </w:rPr>
        <w:t xml:space="preserve">. According to the results of the </w:t>
      </w:r>
      <w:r w:rsidR="002C4472" w:rsidRPr="00A043A4">
        <w:rPr>
          <w:rFonts w:eastAsiaTheme="minorEastAsia"/>
          <w:iCs/>
          <w:szCs w:val="24"/>
        </w:rPr>
        <w:t>model</w:t>
      </w:r>
      <w:r w:rsidR="001054D9" w:rsidRPr="00A043A4">
        <w:rPr>
          <w:rFonts w:eastAsiaTheme="minorEastAsia"/>
          <w:iCs/>
          <w:szCs w:val="24"/>
        </w:rPr>
        <w:t>,</w:t>
      </w:r>
      <w:r w:rsidR="001457F5" w:rsidRPr="00A043A4">
        <w:rPr>
          <w:rFonts w:eastAsiaTheme="minorEastAsia"/>
          <w:iCs/>
          <w:szCs w:val="24"/>
        </w:rPr>
        <w:t xml:space="preserve"> </w:t>
      </w:r>
      <w:r w:rsidR="001054D9" w:rsidRPr="00A043A4">
        <w:rPr>
          <w:rFonts w:eastAsiaTheme="minorEastAsia"/>
          <w:iCs/>
          <w:szCs w:val="24"/>
        </w:rPr>
        <w:t>in the case of</w:t>
      </w:r>
      <w:r w:rsidR="002C4472" w:rsidRPr="00A043A4">
        <w:rPr>
          <w:rFonts w:eastAsiaTheme="minorEastAsia"/>
          <w:iCs/>
          <w:szCs w:val="24"/>
        </w:rPr>
        <w:t xml:space="preserve"> </w:t>
      </w:r>
      <w:r w:rsidR="003A5C8A" w:rsidRPr="00A043A4">
        <w:rPr>
          <w:rFonts w:eastAsiaTheme="minorEastAsia"/>
          <w:iCs/>
          <w:szCs w:val="24"/>
        </w:rPr>
        <w:t xml:space="preserve">North </w:t>
      </w:r>
      <w:r w:rsidR="001054D9" w:rsidRPr="00A043A4">
        <w:rPr>
          <w:rFonts w:eastAsiaTheme="minorEastAsia"/>
          <w:iCs/>
          <w:szCs w:val="24"/>
        </w:rPr>
        <w:t xml:space="preserve">Macedonia, CEFTA-2006 membership has </w:t>
      </w:r>
      <w:r w:rsidR="00C867DA" w:rsidRPr="00A043A4">
        <w:rPr>
          <w:rFonts w:eastAsiaTheme="minorEastAsia"/>
          <w:iCs/>
          <w:szCs w:val="24"/>
        </w:rPr>
        <w:t xml:space="preserve">a </w:t>
      </w:r>
      <w:r w:rsidR="001054D9" w:rsidRPr="00A043A4">
        <w:rPr>
          <w:rFonts w:eastAsiaTheme="minorEastAsia"/>
          <w:iCs/>
          <w:szCs w:val="24"/>
        </w:rPr>
        <w:t xml:space="preserve">higher significance of increasing trade when compared to the </w:t>
      </w:r>
      <w:r w:rsidR="00651990" w:rsidRPr="00A043A4">
        <w:rPr>
          <w:rFonts w:eastAsiaTheme="minorEastAsia"/>
          <w:iCs/>
          <w:szCs w:val="24"/>
        </w:rPr>
        <w:t xml:space="preserve">preferential agreement </w:t>
      </w:r>
      <w:r w:rsidR="001054D9" w:rsidRPr="00A043A4">
        <w:rPr>
          <w:rFonts w:eastAsiaTheme="minorEastAsia"/>
          <w:iCs/>
          <w:szCs w:val="24"/>
        </w:rPr>
        <w:t>with the EU</w:t>
      </w:r>
      <w:r w:rsidR="00651990" w:rsidRPr="00A043A4">
        <w:rPr>
          <w:rFonts w:eastAsiaTheme="minorEastAsia"/>
          <w:iCs/>
          <w:szCs w:val="24"/>
        </w:rPr>
        <w:t xml:space="preserve"> members</w:t>
      </w:r>
      <w:r w:rsidR="001054D9" w:rsidRPr="00A043A4">
        <w:rPr>
          <w:rFonts w:eastAsiaTheme="minorEastAsia"/>
          <w:iCs/>
          <w:szCs w:val="24"/>
        </w:rPr>
        <w:t>, as well as to bilateral free trade agreements signed with EFTA</w:t>
      </w:r>
      <w:r w:rsidR="00651990" w:rsidRPr="00A043A4">
        <w:rPr>
          <w:rFonts w:eastAsiaTheme="minorEastAsia"/>
          <w:iCs/>
          <w:szCs w:val="24"/>
        </w:rPr>
        <w:t xml:space="preserve"> countries</w:t>
      </w:r>
      <w:r w:rsidR="001054D9" w:rsidRPr="00A043A4">
        <w:rPr>
          <w:rFonts w:eastAsiaTheme="minorEastAsia"/>
          <w:iCs/>
          <w:szCs w:val="24"/>
        </w:rPr>
        <w:t xml:space="preserve">, Turkey and Ukraine. Although </w:t>
      </w:r>
      <w:r w:rsidR="0091024F">
        <w:rPr>
          <w:rFonts w:eastAsiaTheme="minorEastAsia"/>
          <w:iCs/>
          <w:szCs w:val="24"/>
        </w:rPr>
        <w:t>this</w:t>
      </w:r>
      <w:r w:rsidR="001054D9" w:rsidRPr="00A043A4">
        <w:rPr>
          <w:rFonts w:eastAsiaTheme="minorEastAsia"/>
          <w:iCs/>
          <w:szCs w:val="24"/>
        </w:rPr>
        <w:t xml:space="preserve"> </w:t>
      </w:r>
      <w:r w:rsidR="00C867DA" w:rsidRPr="00A043A4">
        <w:rPr>
          <w:rFonts w:eastAsiaTheme="minorEastAsia"/>
          <w:iCs/>
          <w:szCs w:val="24"/>
        </w:rPr>
        <w:t>model</w:t>
      </w:r>
      <w:r w:rsidR="001054D9" w:rsidRPr="00A043A4">
        <w:rPr>
          <w:rFonts w:eastAsiaTheme="minorEastAsia"/>
          <w:iCs/>
          <w:szCs w:val="24"/>
        </w:rPr>
        <w:t xml:space="preserve"> does not provide any insight or information on other member-states within CEFTA-2006, having </w:t>
      </w:r>
      <w:r w:rsidR="00C867DA" w:rsidRPr="00A043A4">
        <w:rPr>
          <w:rFonts w:eastAsiaTheme="minorEastAsia"/>
          <w:iCs/>
          <w:szCs w:val="24"/>
        </w:rPr>
        <w:t>in</w:t>
      </w:r>
      <w:r w:rsidR="001054D9" w:rsidRPr="00A043A4">
        <w:rPr>
          <w:rFonts w:eastAsiaTheme="minorEastAsia"/>
          <w:iCs/>
          <w:szCs w:val="24"/>
        </w:rPr>
        <w:t xml:space="preserve"> mind some of </w:t>
      </w:r>
      <w:r w:rsidR="002C647C">
        <w:rPr>
          <w:rFonts w:eastAsiaTheme="minorEastAsia"/>
          <w:iCs/>
          <w:szCs w:val="24"/>
        </w:rPr>
        <w:t>the authors’</w:t>
      </w:r>
      <w:r w:rsidR="001054D9" w:rsidRPr="00A043A4">
        <w:rPr>
          <w:rFonts w:eastAsiaTheme="minorEastAsia"/>
          <w:iCs/>
          <w:szCs w:val="24"/>
        </w:rPr>
        <w:t xml:space="preserve"> previous rese</w:t>
      </w:r>
      <w:r w:rsidR="00651990" w:rsidRPr="00A043A4">
        <w:rPr>
          <w:rFonts w:eastAsiaTheme="minorEastAsia"/>
          <w:iCs/>
          <w:szCs w:val="24"/>
        </w:rPr>
        <w:t>a</w:t>
      </w:r>
      <w:r w:rsidR="001054D9" w:rsidRPr="00A043A4">
        <w:rPr>
          <w:rFonts w:eastAsiaTheme="minorEastAsia"/>
          <w:iCs/>
          <w:szCs w:val="24"/>
        </w:rPr>
        <w:t xml:space="preserve">rch on the trade exchange of goods within the free trade area, </w:t>
      </w:r>
      <w:r w:rsidR="0091024F">
        <w:rPr>
          <w:rFonts w:eastAsiaTheme="minorEastAsia"/>
          <w:iCs/>
          <w:szCs w:val="24"/>
        </w:rPr>
        <w:t>the authors</w:t>
      </w:r>
      <w:r w:rsidR="001054D9" w:rsidRPr="00A043A4">
        <w:rPr>
          <w:rFonts w:eastAsiaTheme="minorEastAsia"/>
          <w:iCs/>
          <w:szCs w:val="24"/>
        </w:rPr>
        <w:t xml:space="preserve"> strongly </w:t>
      </w:r>
      <w:r w:rsidR="00C867DA" w:rsidRPr="00A043A4">
        <w:rPr>
          <w:rFonts w:eastAsiaTheme="minorEastAsia"/>
          <w:iCs/>
          <w:szCs w:val="24"/>
        </w:rPr>
        <w:t xml:space="preserve">believe </w:t>
      </w:r>
      <w:r w:rsidR="001054D9" w:rsidRPr="00A043A4">
        <w:rPr>
          <w:rFonts w:eastAsiaTheme="minorEastAsia"/>
          <w:iCs/>
          <w:szCs w:val="24"/>
        </w:rPr>
        <w:t xml:space="preserve">that </w:t>
      </w:r>
      <w:r w:rsidR="00C867DA" w:rsidRPr="00A043A4">
        <w:rPr>
          <w:rFonts w:eastAsiaTheme="minorEastAsia"/>
          <w:iCs/>
          <w:szCs w:val="24"/>
        </w:rPr>
        <w:t xml:space="preserve">similar </w:t>
      </w:r>
      <w:r w:rsidR="001054D9" w:rsidRPr="00A043A4">
        <w:rPr>
          <w:rFonts w:eastAsiaTheme="minorEastAsia"/>
          <w:iCs/>
          <w:szCs w:val="24"/>
        </w:rPr>
        <w:t xml:space="preserve">even identical results could be obtained in their cases (with exception of Moldova which traditionally has </w:t>
      </w:r>
      <w:r w:rsidR="00C867DA" w:rsidRPr="00A043A4">
        <w:rPr>
          <w:rFonts w:eastAsiaTheme="minorEastAsia"/>
          <w:iCs/>
          <w:szCs w:val="24"/>
        </w:rPr>
        <w:t xml:space="preserve">negligible </w:t>
      </w:r>
      <w:r w:rsidR="001054D9" w:rsidRPr="00A043A4">
        <w:rPr>
          <w:rFonts w:eastAsiaTheme="minorEastAsia"/>
          <w:iCs/>
          <w:szCs w:val="24"/>
        </w:rPr>
        <w:t xml:space="preserve">economic and trade links with the region). </w:t>
      </w:r>
      <w:r w:rsidR="00286469">
        <w:rPr>
          <w:rFonts w:eastAsiaTheme="minorEastAsia"/>
          <w:iCs/>
          <w:szCs w:val="24"/>
        </w:rPr>
        <w:t>The</w:t>
      </w:r>
      <w:r w:rsidR="001457F5" w:rsidRPr="00A043A4">
        <w:rPr>
          <w:rFonts w:eastAsiaTheme="minorEastAsia"/>
          <w:iCs/>
          <w:szCs w:val="24"/>
        </w:rPr>
        <w:t xml:space="preserve"> greatest limitation of </w:t>
      </w:r>
      <w:r w:rsidR="0091024F">
        <w:rPr>
          <w:rFonts w:eastAsiaTheme="minorEastAsia"/>
          <w:iCs/>
          <w:szCs w:val="24"/>
        </w:rPr>
        <w:t>th</w:t>
      </w:r>
      <w:r w:rsidR="002C647C">
        <w:rPr>
          <w:rFonts w:eastAsiaTheme="minorEastAsia"/>
          <w:iCs/>
          <w:szCs w:val="24"/>
        </w:rPr>
        <w:t>e</w:t>
      </w:r>
      <w:r w:rsidR="001457F5" w:rsidRPr="00A043A4">
        <w:rPr>
          <w:rFonts w:eastAsiaTheme="minorEastAsia"/>
          <w:iCs/>
          <w:szCs w:val="24"/>
        </w:rPr>
        <w:t xml:space="preserve"> research </w:t>
      </w:r>
      <w:r w:rsidR="002C647C">
        <w:rPr>
          <w:rFonts w:eastAsiaTheme="minorEastAsia"/>
          <w:iCs/>
          <w:szCs w:val="24"/>
        </w:rPr>
        <w:t xml:space="preserve">so far </w:t>
      </w:r>
      <w:r w:rsidR="001457F5" w:rsidRPr="00A043A4">
        <w:rPr>
          <w:rFonts w:eastAsiaTheme="minorEastAsia"/>
          <w:iCs/>
          <w:szCs w:val="24"/>
        </w:rPr>
        <w:t>is that the analysis</w:t>
      </w:r>
      <w:r w:rsidR="002C647C">
        <w:rPr>
          <w:rFonts w:eastAsiaTheme="minorEastAsia"/>
          <w:iCs/>
          <w:szCs w:val="24"/>
        </w:rPr>
        <w:t xml:space="preserve"> has been done</w:t>
      </w:r>
      <w:r w:rsidR="001457F5" w:rsidRPr="00A043A4">
        <w:rPr>
          <w:rFonts w:eastAsiaTheme="minorEastAsia"/>
          <w:iCs/>
          <w:szCs w:val="24"/>
        </w:rPr>
        <w:t xml:space="preserve"> on the trade of</w:t>
      </w:r>
      <w:r w:rsidR="00651990" w:rsidRPr="00A043A4">
        <w:rPr>
          <w:rFonts w:eastAsiaTheme="minorEastAsia"/>
          <w:iCs/>
          <w:szCs w:val="24"/>
        </w:rPr>
        <w:t xml:space="preserve"> </w:t>
      </w:r>
      <w:r w:rsidR="003A5C8A" w:rsidRPr="00A043A4">
        <w:rPr>
          <w:rFonts w:eastAsiaTheme="minorEastAsia"/>
          <w:iCs/>
          <w:szCs w:val="24"/>
        </w:rPr>
        <w:t xml:space="preserve">North </w:t>
      </w:r>
      <w:r w:rsidR="001457F5" w:rsidRPr="00A043A4">
        <w:rPr>
          <w:rFonts w:eastAsiaTheme="minorEastAsia"/>
          <w:iCs/>
          <w:szCs w:val="24"/>
        </w:rPr>
        <w:t xml:space="preserve">Macedonia and in </w:t>
      </w:r>
      <w:r w:rsidR="00C867DA" w:rsidRPr="00A043A4">
        <w:rPr>
          <w:rFonts w:eastAsiaTheme="minorEastAsia"/>
          <w:iCs/>
          <w:szCs w:val="24"/>
        </w:rPr>
        <w:t xml:space="preserve">the </w:t>
      </w:r>
      <w:r w:rsidR="001457F5" w:rsidRPr="00A043A4">
        <w:rPr>
          <w:rFonts w:eastAsiaTheme="minorEastAsia"/>
          <w:iCs/>
          <w:szCs w:val="24"/>
        </w:rPr>
        <w:t>future</w:t>
      </w:r>
      <w:r w:rsidR="002C647C">
        <w:rPr>
          <w:rFonts w:eastAsiaTheme="minorEastAsia"/>
          <w:iCs/>
          <w:szCs w:val="24"/>
        </w:rPr>
        <w:t>,</w:t>
      </w:r>
      <w:r w:rsidR="001457F5" w:rsidRPr="00A043A4">
        <w:rPr>
          <w:rFonts w:eastAsiaTheme="minorEastAsia"/>
          <w:iCs/>
          <w:szCs w:val="24"/>
        </w:rPr>
        <w:t xml:space="preserve"> </w:t>
      </w:r>
      <w:r w:rsidR="0091024F">
        <w:rPr>
          <w:rFonts w:eastAsiaTheme="minorEastAsia"/>
          <w:iCs/>
          <w:szCs w:val="24"/>
        </w:rPr>
        <w:t>the</w:t>
      </w:r>
      <w:r w:rsidR="002C647C">
        <w:rPr>
          <w:rFonts w:eastAsiaTheme="minorEastAsia"/>
          <w:iCs/>
          <w:szCs w:val="24"/>
        </w:rPr>
        <w:t>re should be a</w:t>
      </w:r>
      <w:r w:rsidR="001457F5" w:rsidRPr="00A043A4">
        <w:rPr>
          <w:rFonts w:eastAsiaTheme="minorEastAsia"/>
          <w:iCs/>
          <w:szCs w:val="24"/>
        </w:rPr>
        <w:t xml:space="preserve"> focus and </w:t>
      </w:r>
      <w:r w:rsidR="00C867DA" w:rsidRPr="00A043A4">
        <w:rPr>
          <w:rFonts w:eastAsiaTheme="minorEastAsia"/>
          <w:iCs/>
          <w:szCs w:val="24"/>
        </w:rPr>
        <w:t>elaborat</w:t>
      </w:r>
      <w:r w:rsidR="002C647C">
        <w:rPr>
          <w:rFonts w:eastAsiaTheme="minorEastAsia"/>
          <w:iCs/>
          <w:szCs w:val="24"/>
        </w:rPr>
        <w:t>ion on</w:t>
      </w:r>
      <w:r w:rsidR="00C867DA" w:rsidRPr="00A043A4">
        <w:rPr>
          <w:rFonts w:eastAsiaTheme="minorEastAsia"/>
          <w:iCs/>
          <w:szCs w:val="24"/>
        </w:rPr>
        <w:t xml:space="preserve"> </w:t>
      </w:r>
      <w:r w:rsidR="001457F5" w:rsidRPr="00A043A4">
        <w:rPr>
          <w:rFonts w:eastAsiaTheme="minorEastAsia"/>
          <w:iCs/>
          <w:szCs w:val="24"/>
        </w:rPr>
        <w:t>the situation of the other Western Balkan countries.</w:t>
      </w:r>
    </w:p>
    <w:p w14:paraId="72896871" w14:textId="4D123B32" w:rsidR="001054D9" w:rsidRPr="00A043A4" w:rsidRDefault="001457F5" w:rsidP="001917F0">
      <w:pPr>
        <w:ind w:firstLine="720"/>
        <w:rPr>
          <w:iCs/>
          <w:lang w:val="en-US"/>
        </w:rPr>
      </w:pPr>
      <w:r w:rsidRPr="00A043A4">
        <w:rPr>
          <w:rFonts w:eastAsiaTheme="minorEastAsia"/>
          <w:iCs/>
          <w:szCs w:val="24"/>
        </w:rPr>
        <w:t>As for the</w:t>
      </w:r>
      <w:r w:rsidR="001054D9" w:rsidRPr="00A043A4">
        <w:rPr>
          <w:iCs/>
          <w:szCs w:val="24"/>
        </w:rPr>
        <w:t xml:space="preserve"> possible solutions </w:t>
      </w:r>
      <w:r w:rsidRPr="00A043A4">
        <w:rPr>
          <w:iCs/>
          <w:szCs w:val="24"/>
        </w:rPr>
        <w:t>for</w:t>
      </w:r>
      <w:r w:rsidR="001054D9" w:rsidRPr="00A043A4">
        <w:rPr>
          <w:iCs/>
          <w:szCs w:val="24"/>
        </w:rPr>
        <w:t xml:space="preserve"> further trade liberalization and deeper economic integration </w:t>
      </w:r>
      <w:r w:rsidR="002C647C">
        <w:rPr>
          <w:iCs/>
          <w:szCs w:val="24"/>
        </w:rPr>
        <w:t>authors</w:t>
      </w:r>
      <w:r w:rsidRPr="00A043A4">
        <w:rPr>
          <w:iCs/>
          <w:szCs w:val="24"/>
        </w:rPr>
        <w:t xml:space="preserve"> recommend deepening </w:t>
      </w:r>
      <w:r w:rsidR="00670DD0" w:rsidRPr="00A043A4">
        <w:rPr>
          <w:iCs/>
          <w:szCs w:val="24"/>
        </w:rPr>
        <w:t xml:space="preserve">regional cooperation which could be possible by implementing </w:t>
      </w:r>
      <w:r w:rsidR="001054D9" w:rsidRPr="00A043A4">
        <w:rPr>
          <w:iCs/>
          <w:szCs w:val="24"/>
        </w:rPr>
        <w:t xml:space="preserve">trade facilitation measures, such as: </w:t>
      </w:r>
      <w:r w:rsidR="001054D9" w:rsidRPr="00A043A4">
        <w:rPr>
          <w:rFonts w:eastAsiaTheme="minorEastAsia"/>
          <w:iCs/>
          <w:szCs w:val="24"/>
        </w:rPr>
        <w:t xml:space="preserve">expanding the concept of green corridors and green lanes in all border crossing points; </w:t>
      </w:r>
      <w:r w:rsidR="001054D9" w:rsidRPr="00A043A4">
        <w:rPr>
          <w:iCs/>
          <w:szCs w:val="24"/>
        </w:rPr>
        <w:t>increasing</w:t>
      </w:r>
      <w:r w:rsidR="001054D9" w:rsidRPr="00A043A4">
        <w:rPr>
          <w:rFonts w:eastAsiaTheme="minorEastAsia"/>
          <w:iCs/>
          <w:szCs w:val="24"/>
        </w:rPr>
        <w:t xml:space="preserve"> the number of joint customs control points</w:t>
      </w:r>
      <w:r w:rsidR="001054D9" w:rsidRPr="00A043A4">
        <w:rPr>
          <w:iCs/>
          <w:szCs w:val="24"/>
        </w:rPr>
        <w:t xml:space="preserve">, </w:t>
      </w:r>
      <w:r w:rsidR="001054D9" w:rsidRPr="00A043A4">
        <w:rPr>
          <w:iCs/>
          <w:szCs w:val="24"/>
        </w:rPr>
        <w:lastRenderedPageBreak/>
        <w:t>e</w:t>
      </w:r>
      <w:r w:rsidR="001054D9" w:rsidRPr="00A043A4">
        <w:rPr>
          <w:rFonts w:eastAsiaTheme="minorEastAsia"/>
          <w:iCs/>
          <w:szCs w:val="24"/>
        </w:rPr>
        <w:t>xpanding the Mutual Recogn</w:t>
      </w:r>
      <w:r w:rsidR="001054D9" w:rsidRPr="00A043A4">
        <w:rPr>
          <w:iCs/>
          <w:szCs w:val="24"/>
        </w:rPr>
        <w:t xml:space="preserve">ition Programmes in different areas (which to some extent has been already happening); enabling </w:t>
      </w:r>
      <w:r w:rsidR="00286469">
        <w:rPr>
          <w:iCs/>
          <w:szCs w:val="24"/>
        </w:rPr>
        <w:t xml:space="preserve">a </w:t>
      </w:r>
      <w:r w:rsidR="001054D9" w:rsidRPr="00A043A4">
        <w:rPr>
          <w:iCs/>
          <w:szCs w:val="24"/>
        </w:rPr>
        <w:t>fast im</w:t>
      </w:r>
      <w:r w:rsidR="00651990" w:rsidRPr="00A043A4">
        <w:rPr>
          <w:iCs/>
          <w:szCs w:val="24"/>
        </w:rPr>
        <w:t>p</w:t>
      </w:r>
      <w:r w:rsidR="001054D9" w:rsidRPr="00A043A4">
        <w:rPr>
          <w:iCs/>
          <w:szCs w:val="24"/>
        </w:rPr>
        <w:t>lementation</w:t>
      </w:r>
      <w:r w:rsidR="001054D9" w:rsidRPr="00A043A4">
        <w:rPr>
          <w:rFonts w:eastAsiaTheme="minorEastAsia"/>
          <w:iCs/>
          <w:szCs w:val="24"/>
        </w:rPr>
        <w:t xml:space="preserve"> of the M</w:t>
      </w:r>
      <w:r w:rsidR="00670DD0" w:rsidRPr="00A043A4">
        <w:rPr>
          <w:rFonts w:eastAsiaTheme="minorEastAsia"/>
          <w:iCs/>
          <w:szCs w:val="24"/>
        </w:rPr>
        <w:t xml:space="preserve">utual </w:t>
      </w:r>
      <w:r w:rsidR="001054D9" w:rsidRPr="00A043A4">
        <w:rPr>
          <w:rFonts w:eastAsiaTheme="minorEastAsia"/>
          <w:iCs/>
          <w:szCs w:val="24"/>
        </w:rPr>
        <w:t>R</w:t>
      </w:r>
      <w:r w:rsidR="00670DD0" w:rsidRPr="00A043A4">
        <w:rPr>
          <w:rFonts w:eastAsiaTheme="minorEastAsia"/>
          <w:iCs/>
          <w:szCs w:val="24"/>
        </w:rPr>
        <w:t xml:space="preserve">ecognition </w:t>
      </w:r>
      <w:r w:rsidR="001054D9" w:rsidRPr="00A043A4">
        <w:rPr>
          <w:rFonts w:eastAsiaTheme="minorEastAsia"/>
          <w:iCs/>
          <w:szCs w:val="24"/>
        </w:rPr>
        <w:t>A</w:t>
      </w:r>
      <w:r w:rsidR="00670DD0" w:rsidRPr="00A043A4">
        <w:rPr>
          <w:rFonts w:eastAsiaTheme="minorEastAsia"/>
          <w:iCs/>
          <w:szCs w:val="24"/>
        </w:rPr>
        <w:t>greements</w:t>
      </w:r>
      <w:r w:rsidR="001054D9" w:rsidRPr="00A043A4">
        <w:rPr>
          <w:rFonts w:eastAsiaTheme="minorEastAsia"/>
          <w:iCs/>
          <w:szCs w:val="24"/>
        </w:rPr>
        <w:t xml:space="preserve"> of Authoriz</w:t>
      </w:r>
      <w:r w:rsidR="001054D9" w:rsidRPr="00A043A4">
        <w:rPr>
          <w:iCs/>
          <w:szCs w:val="24"/>
        </w:rPr>
        <w:t xml:space="preserve">ed Economic Operator </w:t>
      </w:r>
      <w:r w:rsidR="00286469">
        <w:rPr>
          <w:iCs/>
          <w:szCs w:val="24"/>
        </w:rPr>
        <w:t>programs</w:t>
      </w:r>
      <w:r w:rsidR="001054D9" w:rsidRPr="00A043A4">
        <w:rPr>
          <w:iCs/>
          <w:szCs w:val="24"/>
        </w:rPr>
        <w:t xml:space="preserve">; enabling </w:t>
      </w:r>
      <w:r w:rsidR="00286469">
        <w:rPr>
          <w:iCs/>
          <w:szCs w:val="24"/>
        </w:rPr>
        <w:t xml:space="preserve">the </w:t>
      </w:r>
      <w:r w:rsidR="001054D9" w:rsidRPr="00A043A4">
        <w:rPr>
          <w:iCs/>
          <w:szCs w:val="24"/>
        </w:rPr>
        <w:t>implementation of compatible</w:t>
      </w:r>
      <w:r w:rsidR="001054D9" w:rsidRPr="00A043A4">
        <w:rPr>
          <w:rFonts w:eastAsiaTheme="minorEastAsia"/>
          <w:iCs/>
          <w:szCs w:val="24"/>
        </w:rPr>
        <w:t xml:space="preserve"> digital platforms for smooth cross-border paperless trade exchange </w:t>
      </w:r>
      <w:r w:rsidR="00286469">
        <w:rPr>
          <w:rFonts w:eastAsiaTheme="minorEastAsia"/>
          <w:iCs/>
          <w:szCs w:val="24"/>
        </w:rPr>
        <w:t>throughout</w:t>
      </w:r>
      <w:r w:rsidR="001054D9" w:rsidRPr="00A043A4">
        <w:rPr>
          <w:rFonts w:eastAsiaTheme="minorEastAsia"/>
          <w:iCs/>
          <w:szCs w:val="24"/>
        </w:rPr>
        <w:t xml:space="preserve"> the region, etc.</w:t>
      </w:r>
      <w:r w:rsidRPr="00A043A4">
        <w:rPr>
          <w:iCs/>
          <w:lang w:val="en-US"/>
        </w:rPr>
        <w:t xml:space="preserve"> </w:t>
      </w:r>
      <w:r w:rsidR="001054D9" w:rsidRPr="00A043A4">
        <w:rPr>
          <w:rFonts w:eastAsiaTheme="minorEastAsia"/>
          <w:iCs/>
          <w:szCs w:val="24"/>
        </w:rPr>
        <w:t xml:space="preserve">Yet, </w:t>
      </w:r>
      <w:r w:rsidR="002C647C">
        <w:rPr>
          <w:rFonts w:eastAsiaTheme="minorEastAsia"/>
          <w:iCs/>
          <w:szCs w:val="24"/>
        </w:rPr>
        <w:t>it should be</w:t>
      </w:r>
      <w:r w:rsidR="001054D9" w:rsidRPr="00A043A4">
        <w:rPr>
          <w:rFonts w:eastAsiaTheme="minorEastAsia"/>
          <w:iCs/>
          <w:szCs w:val="24"/>
        </w:rPr>
        <w:t xml:space="preserve"> </w:t>
      </w:r>
      <w:r w:rsidR="00286469">
        <w:rPr>
          <w:rFonts w:eastAsiaTheme="minorEastAsia"/>
          <w:iCs/>
          <w:szCs w:val="24"/>
        </w:rPr>
        <w:t>emphasized</w:t>
      </w:r>
      <w:r w:rsidR="001054D9" w:rsidRPr="00A043A4">
        <w:rPr>
          <w:rFonts w:eastAsiaTheme="minorEastAsia"/>
          <w:iCs/>
          <w:szCs w:val="24"/>
        </w:rPr>
        <w:t xml:space="preserve"> that all the efforts are going to be </w:t>
      </w:r>
      <w:r w:rsidR="00286469">
        <w:rPr>
          <w:rFonts w:eastAsiaTheme="minorEastAsia"/>
          <w:iCs/>
          <w:szCs w:val="24"/>
        </w:rPr>
        <w:t>condemned</w:t>
      </w:r>
      <w:r w:rsidR="001054D9" w:rsidRPr="00A043A4">
        <w:rPr>
          <w:rFonts w:eastAsiaTheme="minorEastAsia"/>
          <w:iCs/>
          <w:szCs w:val="24"/>
        </w:rPr>
        <w:t xml:space="preserve"> to fail if there is not a strong political will that will back them up at </w:t>
      </w:r>
      <w:r w:rsidR="00286469">
        <w:rPr>
          <w:rFonts w:eastAsiaTheme="minorEastAsia"/>
          <w:iCs/>
          <w:szCs w:val="24"/>
        </w:rPr>
        <w:t xml:space="preserve">the </w:t>
      </w:r>
      <w:r w:rsidR="001054D9" w:rsidRPr="00A043A4">
        <w:rPr>
          <w:rFonts w:eastAsiaTheme="minorEastAsia"/>
          <w:iCs/>
          <w:szCs w:val="24"/>
        </w:rPr>
        <w:t>regional level.</w:t>
      </w:r>
    </w:p>
    <w:p w14:paraId="07BDF2B3" w14:textId="40AB5BB5" w:rsidR="001054D9" w:rsidRDefault="001054D9" w:rsidP="001917F0">
      <w:pPr>
        <w:rPr>
          <w:rFonts w:eastAsiaTheme="minorEastAsia"/>
          <w:iCs/>
          <w:szCs w:val="24"/>
        </w:rPr>
      </w:pPr>
    </w:p>
    <w:p w14:paraId="08EA03CD" w14:textId="77777777" w:rsidR="0038234C" w:rsidRPr="00A043A4" w:rsidRDefault="0038234C" w:rsidP="001917F0">
      <w:pPr>
        <w:rPr>
          <w:rFonts w:eastAsiaTheme="minorEastAsia"/>
          <w:iCs/>
          <w:szCs w:val="24"/>
        </w:rPr>
      </w:pPr>
    </w:p>
    <w:p w14:paraId="552D1DAF" w14:textId="77777777" w:rsidR="008A7213" w:rsidRPr="00A043A4" w:rsidRDefault="008A7213" w:rsidP="001917F0">
      <w:pPr>
        <w:rPr>
          <w:b/>
          <w:bCs/>
          <w:szCs w:val="24"/>
        </w:rPr>
      </w:pPr>
      <w:r w:rsidRPr="00A043A4">
        <w:rPr>
          <w:b/>
          <w:bCs/>
          <w:szCs w:val="24"/>
        </w:rPr>
        <w:t>References:</w:t>
      </w:r>
    </w:p>
    <w:p w14:paraId="1492D2F8" w14:textId="0404234A" w:rsidR="00CB547D" w:rsidRDefault="00CB547D" w:rsidP="001917F0">
      <w:pPr>
        <w:rPr>
          <w:szCs w:val="24"/>
          <w:shd w:val="clear" w:color="auto" w:fill="FFFFFF"/>
        </w:rPr>
      </w:pPr>
      <w:r w:rsidRPr="00CB547D">
        <w:rPr>
          <w:szCs w:val="24"/>
          <w:shd w:val="clear" w:color="auto" w:fill="FFFFFF"/>
        </w:rPr>
        <w:t xml:space="preserve">Agbonkhese, A. O., &amp; Adekola, A. G. (2014). </w:t>
      </w:r>
      <w:r>
        <w:rPr>
          <w:szCs w:val="24"/>
          <w:shd w:val="clear" w:color="auto" w:fill="FFFFFF"/>
        </w:rPr>
        <w:t>R</w:t>
      </w:r>
      <w:r w:rsidRPr="00CB547D">
        <w:rPr>
          <w:szCs w:val="24"/>
          <w:shd w:val="clear" w:color="auto" w:fill="FFFFFF"/>
        </w:rPr>
        <w:t xml:space="preserve">egional economic integration in developing countries: a case study of </w:t>
      </w:r>
      <w:r>
        <w:rPr>
          <w:szCs w:val="24"/>
          <w:shd w:val="clear" w:color="auto" w:fill="FFFFFF"/>
        </w:rPr>
        <w:t>Nigeria</w:t>
      </w:r>
      <w:r w:rsidRPr="00CB547D">
        <w:rPr>
          <w:szCs w:val="24"/>
          <w:shd w:val="clear" w:color="auto" w:fill="FFFFFF"/>
        </w:rPr>
        <w:t xml:space="preserve">; a member of ECOWAS. </w:t>
      </w:r>
      <w:r w:rsidRPr="00CB547D">
        <w:rPr>
          <w:i/>
          <w:iCs/>
          <w:szCs w:val="24"/>
          <w:shd w:val="clear" w:color="auto" w:fill="FFFFFF"/>
        </w:rPr>
        <w:t>European Scientific Journal</w:t>
      </w:r>
      <w:r w:rsidRPr="00CB547D">
        <w:rPr>
          <w:szCs w:val="24"/>
          <w:shd w:val="clear" w:color="auto" w:fill="FFFFFF"/>
        </w:rPr>
        <w:t xml:space="preserve">, 10(19). </w:t>
      </w:r>
      <w:r w:rsidR="00C5772A" w:rsidRPr="00C5772A">
        <w:rPr>
          <w:szCs w:val="24"/>
          <w:shd w:val="clear" w:color="auto" w:fill="FFFFFF"/>
        </w:rPr>
        <w:t>https://doi.org/10.19044/esj.2014.v10n19p%p</w:t>
      </w:r>
      <w:r w:rsidR="00C5772A">
        <w:rPr>
          <w:szCs w:val="24"/>
          <w:shd w:val="clear" w:color="auto" w:fill="FFFFFF"/>
        </w:rPr>
        <w:t>.</w:t>
      </w:r>
    </w:p>
    <w:p w14:paraId="48A84138" w14:textId="47E7AB29" w:rsidR="00C5772A" w:rsidRDefault="00C5772A" w:rsidP="001917F0">
      <w:pPr>
        <w:rPr>
          <w:szCs w:val="24"/>
          <w:shd w:val="clear" w:color="auto" w:fill="FFFFFF"/>
        </w:rPr>
      </w:pPr>
      <w:r w:rsidRPr="00C5772A">
        <w:rPr>
          <w:szCs w:val="24"/>
          <w:shd w:val="clear" w:color="auto" w:fill="FFFFFF"/>
        </w:rPr>
        <w:t>Aliu-Zhuja</w:t>
      </w:r>
      <w:r>
        <w:rPr>
          <w:szCs w:val="24"/>
          <w:shd w:val="clear" w:color="auto" w:fill="FFFFFF"/>
        </w:rPr>
        <w:t>, D.</w:t>
      </w:r>
      <w:r w:rsidR="00EB7946">
        <w:rPr>
          <w:szCs w:val="24"/>
          <w:shd w:val="clear" w:color="auto" w:fill="FFFFFF"/>
        </w:rPr>
        <w:t xml:space="preserve">, &amp; </w:t>
      </w:r>
      <w:r w:rsidR="00EB7946" w:rsidRPr="00EB7946">
        <w:rPr>
          <w:szCs w:val="24"/>
          <w:shd w:val="clear" w:color="auto" w:fill="FFFFFF"/>
        </w:rPr>
        <w:t>Nallbani</w:t>
      </w:r>
      <w:r w:rsidR="00EB7946">
        <w:rPr>
          <w:szCs w:val="24"/>
          <w:shd w:val="clear" w:color="auto" w:fill="FFFFFF"/>
        </w:rPr>
        <w:t>, V. (2014). I</w:t>
      </w:r>
      <w:r w:rsidR="00EB7946" w:rsidRPr="00EB7946">
        <w:rPr>
          <w:szCs w:val="24"/>
          <w:shd w:val="clear" w:color="auto" w:fill="FFFFFF"/>
        </w:rPr>
        <w:t xml:space="preserve">ntegration agreements and their impact </w:t>
      </w:r>
      <w:r w:rsidR="00121358">
        <w:rPr>
          <w:szCs w:val="24"/>
          <w:shd w:val="clear" w:color="auto" w:fill="FFFFFF"/>
        </w:rPr>
        <w:t>on</w:t>
      </w:r>
      <w:r w:rsidR="00EB7946" w:rsidRPr="00EB7946">
        <w:rPr>
          <w:szCs w:val="24"/>
          <w:shd w:val="clear" w:color="auto" w:fill="FFFFFF"/>
        </w:rPr>
        <w:t xml:space="preserve"> integration of </w:t>
      </w:r>
      <w:r w:rsidR="00EB7946">
        <w:rPr>
          <w:szCs w:val="24"/>
          <w:shd w:val="clear" w:color="auto" w:fill="FFFFFF"/>
        </w:rPr>
        <w:t>Kosovo</w:t>
      </w:r>
      <w:r w:rsidR="00EB7946" w:rsidRPr="00EB7946">
        <w:rPr>
          <w:szCs w:val="24"/>
          <w:shd w:val="clear" w:color="auto" w:fill="FFFFFF"/>
        </w:rPr>
        <w:t xml:space="preserve"> in the </w:t>
      </w:r>
      <w:r w:rsidR="00EB7946">
        <w:rPr>
          <w:szCs w:val="24"/>
          <w:shd w:val="clear" w:color="auto" w:fill="FFFFFF"/>
        </w:rPr>
        <w:t>European</w:t>
      </w:r>
      <w:r w:rsidR="00EB7946" w:rsidRPr="00EB7946">
        <w:rPr>
          <w:szCs w:val="24"/>
          <w:shd w:val="clear" w:color="auto" w:fill="FFFFFF"/>
        </w:rPr>
        <w:t xml:space="preserve"> </w:t>
      </w:r>
      <w:r w:rsidR="00EB7946">
        <w:rPr>
          <w:szCs w:val="24"/>
          <w:shd w:val="clear" w:color="auto" w:fill="FFFFFF"/>
        </w:rPr>
        <w:t xml:space="preserve">Union. </w:t>
      </w:r>
      <w:r w:rsidR="00EB7946" w:rsidRPr="00EB7946">
        <w:rPr>
          <w:i/>
          <w:iCs/>
          <w:szCs w:val="24"/>
          <w:shd w:val="clear" w:color="auto" w:fill="FFFFFF"/>
        </w:rPr>
        <w:t>European Scientific Journal</w:t>
      </w:r>
      <w:r w:rsidR="00EB7946">
        <w:rPr>
          <w:szCs w:val="24"/>
          <w:shd w:val="clear" w:color="auto" w:fill="FFFFFF"/>
        </w:rPr>
        <w:t xml:space="preserve">, </w:t>
      </w:r>
      <w:r w:rsidR="00EB7946" w:rsidRPr="00EB7946">
        <w:rPr>
          <w:szCs w:val="24"/>
          <w:shd w:val="clear" w:color="auto" w:fill="FFFFFF"/>
        </w:rPr>
        <w:t>10</w:t>
      </w:r>
      <w:r w:rsidR="00EB7946">
        <w:rPr>
          <w:szCs w:val="24"/>
          <w:shd w:val="clear" w:color="auto" w:fill="FFFFFF"/>
        </w:rPr>
        <w:t>(</w:t>
      </w:r>
      <w:r w:rsidR="00EB7946" w:rsidRPr="00EB7946">
        <w:rPr>
          <w:szCs w:val="24"/>
          <w:shd w:val="clear" w:color="auto" w:fill="FFFFFF"/>
        </w:rPr>
        <w:t>32</w:t>
      </w:r>
      <w:r w:rsidR="00EB7946">
        <w:rPr>
          <w:szCs w:val="24"/>
          <w:shd w:val="clear" w:color="auto" w:fill="FFFFFF"/>
        </w:rPr>
        <w:t>).</w:t>
      </w:r>
    </w:p>
    <w:p w14:paraId="55CADEF4" w14:textId="08252897" w:rsidR="0077145B" w:rsidRPr="00A043A4" w:rsidRDefault="0077145B" w:rsidP="001917F0">
      <w:pPr>
        <w:rPr>
          <w:szCs w:val="24"/>
          <w:shd w:val="clear" w:color="auto" w:fill="FFFFFF"/>
        </w:rPr>
      </w:pPr>
      <w:r w:rsidRPr="00A043A4">
        <w:rPr>
          <w:szCs w:val="24"/>
          <w:shd w:val="clear" w:color="auto" w:fill="FFFFFF"/>
        </w:rPr>
        <w:t xml:space="preserve">Almog, A., Bird, R., </w:t>
      </w:r>
      <w:r w:rsidR="00352E42">
        <w:rPr>
          <w:szCs w:val="24"/>
          <w:shd w:val="clear" w:color="auto" w:fill="FFFFFF"/>
        </w:rPr>
        <w:t>&amp;</w:t>
      </w:r>
      <w:r w:rsidRPr="00A043A4">
        <w:rPr>
          <w:szCs w:val="24"/>
          <w:shd w:val="clear" w:color="auto" w:fill="FFFFFF"/>
        </w:rPr>
        <w:t xml:space="preserve"> Garlaschelli, D. (2019). Enhanced gravity model of trade: reconciling macroeconomic and network models. </w:t>
      </w:r>
      <w:r w:rsidRPr="00A043A4">
        <w:rPr>
          <w:i/>
          <w:iCs/>
          <w:szCs w:val="24"/>
          <w:shd w:val="clear" w:color="auto" w:fill="FFFFFF"/>
        </w:rPr>
        <w:t>Frontiers in Physics</w:t>
      </w:r>
      <w:r w:rsidRPr="00A043A4">
        <w:rPr>
          <w:szCs w:val="24"/>
          <w:shd w:val="clear" w:color="auto" w:fill="FFFFFF"/>
        </w:rPr>
        <w:t>, </w:t>
      </w:r>
      <w:r w:rsidRPr="00A043A4">
        <w:rPr>
          <w:i/>
          <w:iCs/>
          <w:szCs w:val="24"/>
          <w:shd w:val="clear" w:color="auto" w:fill="FFFFFF"/>
        </w:rPr>
        <w:t>7</w:t>
      </w:r>
      <w:r w:rsidRPr="00A043A4">
        <w:rPr>
          <w:szCs w:val="24"/>
          <w:shd w:val="clear" w:color="auto" w:fill="FFFFFF"/>
        </w:rPr>
        <w:t>, p.55</w:t>
      </w:r>
      <w:r w:rsidR="002E6293">
        <w:rPr>
          <w:szCs w:val="24"/>
          <w:shd w:val="clear" w:color="auto" w:fill="FFFFFF"/>
        </w:rPr>
        <w:t xml:space="preserve">, </w:t>
      </w:r>
      <w:r w:rsidR="002E6293" w:rsidRPr="002E6293">
        <w:rPr>
          <w:szCs w:val="24"/>
          <w:shd w:val="clear" w:color="auto" w:fill="FFFFFF"/>
        </w:rPr>
        <w:t>https://doi.org/10.3389/fphy.2019.00055</w:t>
      </w:r>
      <w:r w:rsidR="002E6293">
        <w:rPr>
          <w:szCs w:val="24"/>
          <w:shd w:val="clear" w:color="auto" w:fill="FFFFFF"/>
        </w:rPr>
        <w:t>.</w:t>
      </w:r>
    </w:p>
    <w:p w14:paraId="62D81D4A" w14:textId="2DC3DBDC" w:rsidR="0077145B" w:rsidRPr="00A043A4" w:rsidRDefault="0077145B" w:rsidP="001917F0">
      <w:pPr>
        <w:rPr>
          <w:szCs w:val="24"/>
          <w:shd w:val="clear" w:color="auto" w:fill="FFFFFF"/>
        </w:rPr>
      </w:pPr>
      <w:r w:rsidRPr="00A043A4">
        <w:rPr>
          <w:szCs w:val="24"/>
          <w:shd w:val="clear" w:color="auto" w:fill="FFFFFF"/>
        </w:rPr>
        <w:t xml:space="preserve">Anderson, J. E., </w:t>
      </w:r>
      <w:r w:rsidR="00352E42">
        <w:rPr>
          <w:szCs w:val="24"/>
          <w:shd w:val="clear" w:color="auto" w:fill="FFFFFF"/>
        </w:rPr>
        <w:t>&amp;</w:t>
      </w:r>
      <w:r w:rsidRPr="00A043A4">
        <w:rPr>
          <w:szCs w:val="24"/>
          <w:shd w:val="clear" w:color="auto" w:fill="FFFFFF"/>
        </w:rPr>
        <w:t xml:space="preserve"> Van Wincoop, E. (2003). Gravity with gravitas: A solution to the border puzzle. </w:t>
      </w:r>
      <w:r w:rsidRPr="00A043A4">
        <w:rPr>
          <w:i/>
          <w:iCs/>
          <w:szCs w:val="24"/>
          <w:shd w:val="clear" w:color="auto" w:fill="FFFFFF"/>
        </w:rPr>
        <w:t>American economic review</w:t>
      </w:r>
      <w:r w:rsidRPr="00A043A4">
        <w:rPr>
          <w:szCs w:val="24"/>
          <w:shd w:val="clear" w:color="auto" w:fill="FFFFFF"/>
        </w:rPr>
        <w:t>, </w:t>
      </w:r>
      <w:r w:rsidRPr="00A043A4">
        <w:rPr>
          <w:i/>
          <w:iCs/>
          <w:szCs w:val="24"/>
          <w:shd w:val="clear" w:color="auto" w:fill="FFFFFF"/>
        </w:rPr>
        <w:t>93</w:t>
      </w:r>
      <w:r w:rsidRPr="00A043A4">
        <w:rPr>
          <w:szCs w:val="24"/>
          <w:shd w:val="clear" w:color="auto" w:fill="FFFFFF"/>
        </w:rPr>
        <w:t>(1), pp. 170-192</w:t>
      </w:r>
      <w:r w:rsidR="006E0DF9">
        <w:rPr>
          <w:szCs w:val="24"/>
          <w:shd w:val="clear" w:color="auto" w:fill="FFFFFF"/>
        </w:rPr>
        <w:t>, https://doi.org/</w:t>
      </w:r>
      <w:r w:rsidR="006E0DF9" w:rsidRPr="006E0DF9">
        <w:rPr>
          <w:szCs w:val="24"/>
          <w:shd w:val="clear" w:color="auto" w:fill="FFFFFF"/>
        </w:rPr>
        <w:t>10.1257/000282803321455214</w:t>
      </w:r>
      <w:r w:rsidR="006E0DF9">
        <w:rPr>
          <w:szCs w:val="24"/>
          <w:shd w:val="clear" w:color="auto" w:fill="FFFFFF"/>
        </w:rPr>
        <w:t>.</w:t>
      </w:r>
    </w:p>
    <w:p w14:paraId="03AB1C38" w14:textId="04ADF818" w:rsidR="0077145B" w:rsidRPr="00764B5C" w:rsidRDefault="0077145B" w:rsidP="001917F0">
      <w:pPr>
        <w:rPr>
          <w:szCs w:val="24"/>
        </w:rPr>
      </w:pPr>
      <w:r w:rsidRPr="00A043A4">
        <w:rPr>
          <w:szCs w:val="24"/>
        </w:rPr>
        <w:t>Begović, S. (2011)</w:t>
      </w:r>
      <w:r w:rsidR="00352E42">
        <w:rPr>
          <w:szCs w:val="24"/>
        </w:rPr>
        <w:t>.</w:t>
      </w:r>
      <w:r w:rsidRPr="00A043A4">
        <w:rPr>
          <w:szCs w:val="24"/>
        </w:rPr>
        <w:t xml:space="preserve"> The Effect of Free Trade Agreements on Bilateral Trade Flows: The Case of </w:t>
      </w:r>
      <w:r w:rsidRPr="00C96245">
        <w:rPr>
          <w:szCs w:val="24"/>
        </w:rPr>
        <w:t xml:space="preserve">CEFTA, </w:t>
      </w:r>
      <w:r w:rsidRPr="00C96245">
        <w:rPr>
          <w:i/>
          <w:iCs/>
          <w:szCs w:val="24"/>
        </w:rPr>
        <w:t>Zagreb International Review of Economics &amp; Business</w:t>
      </w:r>
      <w:r w:rsidRPr="00C96245">
        <w:rPr>
          <w:szCs w:val="24"/>
        </w:rPr>
        <w:t>, Vol. 14 (2), pp. 51–69</w:t>
      </w:r>
      <w:r w:rsidR="006E0DF9" w:rsidRPr="00C96245">
        <w:rPr>
          <w:szCs w:val="24"/>
        </w:rPr>
        <w:t xml:space="preserve">. </w:t>
      </w:r>
      <w:bookmarkStart w:id="1" w:name="_Hlk100060096"/>
    </w:p>
    <w:p w14:paraId="56663BE0" w14:textId="22A769B0" w:rsidR="0077145B" w:rsidRDefault="0077145B" w:rsidP="001917F0">
      <w:pPr>
        <w:rPr>
          <w:szCs w:val="24"/>
        </w:rPr>
      </w:pPr>
      <w:r w:rsidRPr="00C96245">
        <w:rPr>
          <w:szCs w:val="24"/>
        </w:rPr>
        <w:t>Bertelsmann Stiftung (2020). Pushing on a String? An evaluation of regional economic cooperation in the Western Balkans</w:t>
      </w:r>
      <w:r w:rsidR="006E0DF9" w:rsidRPr="00C96245">
        <w:rPr>
          <w:szCs w:val="24"/>
        </w:rPr>
        <w:t xml:space="preserve">, </w:t>
      </w:r>
      <w:r w:rsidR="00B403D2" w:rsidRPr="00340530">
        <w:rPr>
          <w:szCs w:val="24"/>
        </w:rPr>
        <w:t>https://doi.org/10.11586/2020047</w:t>
      </w:r>
      <w:r w:rsidR="006E0DF9" w:rsidRPr="00C96245">
        <w:rPr>
          <w:szCs w:val="24"/>
        </w:rPr>
        <w:t>.</w:t>
      </w:r>
    </w:p>
    <w:p w14:paraId="60A3DDD7" w14:textId="0FF7E77E" w:rsidR="00B403D2" w:rsidRPr="00C96245" w:rsidRDefault="00B403D2" w:rsidP="001917F0">
      <w:pPr>
        <w:rPr>
          <w:szCs w:val="24"/>
        </w:rPr>
      </w:pPr>
      <w:r w:rsidRPr="00B403D2">
        <w:rPr>
          <w:szCs w:val="24"/>
        </w:rPr>
        <w:t xml:space="preserve">Fetahu, E. (2014). </w:t>
      </w:r>
      <w:r>
        <w:rPr>
          <w:szCs w:val="24"/>
        </w:rPr>
        <w:t>T</w:t>
      </w:r>
      <w:r w:rsidRPr="00B403D2">
        <w:rPr>
          <w:szCs w:val="24"/>
        </w:rPr>
        <w:t xml:space="preserve">rade integration between </w:t>
      </w:r>
      <w:r>
        <w:rPr>
          <w:szCs w:val="24"/>
        </w:rPr>
        <w:t>Albania</w:t>
      </w:r>
      <w:r w:rsidRPr="00B403D2">
        <w:rPr>
          <w:szCs w:val="24"/>
        </w:rPr>
        <w:t xml:space="preserve"> and </w:t>
      </w:r>
      <w:r>
        <w:rPr>
          <w:szCs w:val="24"/>
        </w:rPr>
        <w:t>European</w:t>
      </w:r>
      <w:r w:rsidRPr="00B403D2">
        <w:rPr>
          <w:szCs w:val="24"/>
        </w:rPr>
        <w:t xml:space="preserve"> </w:t>
      </w:r>
      <w:r w:rsidR="003D0C92">
        <w:rPr>
          <w:szCs w:val="24"/>
        </w:rPr>
        <w:t>U</w:t>
      </w:r>
      <w:r w:rsidRPr="00B403D2">
        <w:rPr>
          <w:szCs w:val="24"/>
        </w:rPr>
        <w:t xml:space="preserve">nion a gravity model based analysis. </w:t>
      </w:r>
      <w:r w:rsidRPr="003D0C92">
        <w:rPr>
          <w:i/>
          <w:iCs/>
          <w:szCs w:val="24"/>
        </w:rPr>
        <w:t>European Scientific Journal</w:t>
      </w:r>
      <w:r w:rsidRPr="00B403D2">
        <w:rPr>
          <w:szCs w:val="24"/>
        </w:rPr>
        <w:t>, 10(7). https://doi.org/10.19044/esj.2014.v10n7p%p</w:t>
      </w:r>
      <w:r>
        <w:rPr>
          <w:szCs w:val="24"/>
        </w:rPr>
        <w:t>.</w:t>
      </w:r>
    </w:p>
    <w:bookmarkEnd w:id="1"/>
    <w:p w14:paraId="75C3F1C8" w14:textId="6BE23472" w:rsidR="0077145B" w:rsidRPr="00C96245" w:rsidRDefault="0077145B" w:rsidP="001917F0">
      <w:pPr>
        <w:rPr>
          <w:szCs w:val="24"/>
        </w:rPr>
      </w:pPr>
      <w:r w:rsidRPr="00C96245">
        <w:rPr>
          <w:szCs w:val="24"/>
        </w:rPr>
        <w:t>Grieveson, R</w:t>
      </w:r>
      <w:r w:rsidR="00352E42" w:rsidRPr="00C96245">
        <w:rPr>
          <w:szCs w:val="24"/>
        </w:rPr>
        <w:t>.</w:t>
      </w:r>
      <w:r w:rsidRPr="00C96245">
        <w:rPr>
          <w:szCs w:val="24"/>
        </w:rPr>
        <w:t>, Holzner</w:t>
      </w:r>
      <w:r w:rsidR="00352E42" w:rsidRPr="00C96245">
        <w:rPr>
          <w:szCs w:val="24"/>
        </w:rPr>
        <w:t>, M., &amp;</w:t>
      </w:r>
      <w:r w:rsidRPr="00C96245">
        <w:rPr>
          <w:szCs w:val="24"/>
        </w:rPr>
        <w:t xml:space="preserve"> Vuksic</w:t>
      </w:r>
      <w:r w:rsidR="00352E42" w:rsidRPr="00C96245">
        <w:rPr>
          <w:szCs w:val="24"/>
        </w:rPr>
        <w:t>, G.</w:t>
      </w:r>
      <w:r w:rsidRPr="00C96245">
        <w:rPr>
          <w:szCs w:val="24"/>
        </w:rPr>
        <w:t xml:space="preserve"> (2020). Regional Cooperation in the Western Balkans: The Role of Stabilisation and Association Agreements, Bilateral Investment Treaties and Free Trade Agreements in Regional Investment and Trade Flows. </w:t>
      </w:r>
      <w:r w:rsidR="00352E42" w:rsidRPr="00C96245">
        <w:rPr>
          <w:i/>
          <w:iCs/>
          <w:szCs w:val="24"/>
        </w:rPr>
        <w:t>WIIW</w:t>
      </w:r>
      <w:r w:rsidRPr="00C96245">
        <w:rPr>
          <w:i/>
          <w:iCs/>
          <w:szCs w:val="24"/>
        </w:rPr>
        <w:t xml:space="preserve"> Research Report</w:t>
      </w:r>
      <w:r w:rsidR="00352E42" w:rsidRPr="00C96245">
        <w:rPr>
          <w:i/>
          <w:iCs/>
          <w:szCs w:val="24"/>
        </w:rPr>
        <w:t>,</w:t>
      </w:r>
      <w:r w:rsidRPr="00C96245">
        <w:rPr>
          <w:szCs w:val="24"/>
        </w:rPr>
        <w:t xml:space="preserve"> No. 445. </w:t>
      </w:r>
    </w:p>
    <w:p w14:paraId="17548A5D" w14:textId="0AEBDDF0" w:rsidR="000B15B7" w:rsidRPr="00C125C2" w:rsidRDefault="000B15B7" w:rsidP="001917F0">
      <w:pPr>
        <w:rPr>
          <w:szCs w:val="24"/>
        </w:rPr>
      </w:pPr>
      <w:r w:rsidRPr="00C125C2">
        <w:rPr>
          <w:szCs w:val="24"/>
        </w:rPr>
        <w:t xml:space="preserve">Head, Keith. (2003). </w:t>
      </w:r>
      <w:r w:rsidRPr="00C125C2">
        <w:rPr>
          <w:i/>
          <w:iCs/>
          <w:szCs w:val="24"/>
        </w:rPr>
        <w:t>Gravity for beginners</w:t>
      </w:r>
      <w:r w:rsidRPr="00C125C2">
        <w:rPr>
          <w:szCs w:val="24"/>
        </w:rPr>
        <w:t>. University of British Columbia.</w:t>
      </w:r>
    </w:p>
    <w:p w14:paraId="46D577E5" w14:textId="2F4BF3FE" w:rsidR="0077145B" w:rsidRPr="00C96245" w:rsidRDefault="0077145B" w:rsidP="001917F0">
      <w:pPr>
        <w:rPr>
          <w:szCs w:val="24"/>
        </w:rPr>
      </w:pPr>
      <w:r w:rsidRPr="00C96245">
        <w:rPr>
          <w:szCs w:val="24"/>
          <w:shd w:val="clear" w:color="auto" w:fill="FFFFFF"/>
        </w:rPr>
        <w:t xml:space="preserve">Helpman, E., Melitz, M., </w:t>
      </w:r>
      <w:r w:rsidR="00352E42" w:rsidRPr="00C96245">
        <w:rPr>
          <w:szCs w:val="24"/>
          <w:shd w:val="clear" w:color="auto" w:fill="FFFFFF"/>
        </w:rPr>
        <w:t>&amp;</w:t>
      </w:r>
      <w:r w:rsidRPr="00C96245">
        <w:rPr>
          <w:szCs w:val="24"/>
          <w:shd w:val="clear" w:color="auto" w:fill="FFFFFF"/>
        </w:rPr>
        <w:t xml:space="preserve"> Rubinstein, Y. (2008). Estimating trade flows: Trading partners and trading volumes. </w:t>
      </w:r>
      <w:r w:rsidRPr="00C96245">
        <w:rPr>
          <w:i/>
          <w:iCs/>
          <w:szCs w:val="24"/>
          <w:shd w:val="clear" w:color="auto" w:fill="FFFFFF"/>
        </w:rPr>
        <w:t>The quarterly journal of economics</w:t>
      </w:r>
      <w:r w:rsidRPr="00C96245">
        <w:rPr>
          <w:szCs w:val="24"/>
          <w:shd w:val="clear" w:color="auto" w:fill="FFFFFF"/>
        </w:rPr>
        <w:t>, </w:t>
      </w:r>
      <w:r w:rsidRPr="00C96245">
        <w:rPr>
          <w:i/>
          <w:iCs/>
          <w:szCs w:val="24"/>
          <w:shd w:val="clear" w:color="auto" w:fill="FFFFFF"/>
        </w:rPr>
        <w:t>123</w:t>
      </w:r>
      <w:r w:rsidRPr="00C96245">
        <w:rPr>
          <w:szCs w:val="24"/>
          <w:shd w:val="clear" w:color="auto" w:fill="FFFFFF"/>
        </w:rPr>
        <w:t>(2), pp.441-487</w:t>
      </w:r>
      <w:r w:rsidR="00EE41C3" w:rsidRPr="00C96245">
        <w:rPr>
          <w:szCs w:val="24"/>
          <w:shd w:val="clear" w:color="auto" w:fill="FFFFFF"/>
        </w:rPr>
        <w:t>, https://doi.org/10.1162/qjec.2008.123.2.441</w:t>
      </w:r>
      <w:r w:rsidRPr="00C96245">
        <w:rPr>
          <w:szCs w:val="24"/>
          <w:shd w:val="clear" w:color="auto" w:fill="FFFFFF"/>
        </w:rPr>
        <w:t>.</w:t>
      </w:r>
    </w:p>
    <w:p w14:paraId="5D800F23" w14:textId="187CEFFD" w:rsidR="00263401" w:rsidRPr="00C96245" w:rsidRDefault="00263401" w:rsidP="001917F0">
      <w:pPr>
        <w:rPr>
          <w:szCs w:val="24"/>
        </w:rPr>
      </w:pPr>
      <w:r w:rsidRPr="00C96245">
        <w:rPr>
          <w:szCs w:val="24"/>
        </w:rPr>
        <w:t>Ki</w:t>
      </w:r>
      <w:r w:rsidR="001917F0">
        <w:rPr>
          <w:szCs w:val="24"/>
        </w:rPr>
        <w:t>kerk</w:t>
      </w:r>
      <w:r w:rsidRPr="00C96245">
        <w:rPr>
          <w:szCs w:val="24"/>
        </w:rPr>
        <w:t>ova I., Makrevska Disoska E., Toshevska-Trpchevska K.</w:t>
      </w:r>
      <w:r w:rsidR="00352E42" w:rsidRPr="00C96245">
        <w:rPr>
          <w:szCs w:val="24"/>
        </w:rPr>
        <w:t>,</w:t>
      </w:r>
      <w:r w:rsidRPr="00C96245">
        <w:rPr>
          <w:szCs w:val="24"/>
        </w:rPr>
        <w:t xml:space="preserve"> </w:t>
      </w:r>
      <w:r w:rsidR="006F1E55" w:rsidRPr="00C96245">
        <w:rPr>
          <w:szCs w:val="24"/>
        </w:rPr>
        <w:t>&amp;</w:t>
      </w:r>
      <w:r w:rsidRPr="00C96245">
        <w:rPr>
          <w:szCs w:val="24"/>
        </w:rPr>
        <w:t xml:space="preserve"> Tonovska J. (2021). Determinants of the Bilateral Trade Flows of North Macedonia – A Gravity Model Approach, </w:t>
      </w:r>
      <w:r w:rsidRPr="00C96245">
        <w:rPr>
          <w:i/>
          <w:iCs/>
          <w:szCs w:val="24"/>
        </w:rPr>
        <w:t>DIEM: Dubrovnik International Economics Meeting</w:t>
      </w:r>
      <w:r w:rsidRPr="00C96245">
        <w:rPr>
          <w:szCs w:val="24"/>
        </w:rPr>
        <w:t xml:space="preserve">, Vol. 6, No.1, 2021, pp. 98-107, </w:t>
      </w:r>
      <w:r w:rsidR="00EE41C3" w:rsidRPr="00C96245">
        <w:rPr>
          <w:szCs w:val="24"/>
        </w:rPr>
        <w:t>https://doi.org/</w:t>
      </w:r>
      <w:r w:rsidRPr="00C96245">
        <w:rPr>
          <w:szCs w:val="24"/>
        </w:rPr>
        <w:t>10.17818/DIEM/2021/1.10.</w:t>
      </w:r>
    </w:p>
    <w:p w14:paraId="1E8B67DD" w14:textId="16BCB377" w:rsidR="0077145B" w:rsidRPr="00C96245" w:rsidRDefault="0077145B" w:rsidP="001917F0">
      <w:pPr>
        <w:rPr>
          <w:szCs w:val="24"/>
        </w:rPr>
      </w:pPr>
      <w:r w:rsidRPr="00C96245">
        <w:rPr>
          <w:szCs w:val="24"/>
        </w:rPr>
        <w:t>Klimczak, Ł</w:t>
      </w:r>
      <w:r w:rsidR="00B272B9" w:rsidRPr="00C96245">
        <w:rPr>
          <w:szCs w:val="24"/>
        </w:rPr>
        <w:t>.</w:t>
      </w:r>
      <w:r w:rsidRPr="00C96245">
        <w:rPr>
          <w:szCs w:val="24"/>
        </w:rPr>
        <w:t xml:space="preserve"> </w:t>
      </w:r>
      <w:r w:rsidR="006F1E55" w:rsidRPr="00C96245">
        <w:rPr>
          <w:szCs w:val="24"/>
        </w:rPr>
        <w:t>&amp;</w:t>
      </w:r>
      <w:r w:rsidRPr="00C96245">
        <w:rPr>
          <w:szCs w:val="24"/>
        </w:rPr>
        <w:t xml:space="preserve"> Trivić, J. (2015). “The determinants of intra-regional trade in the Western Balkans”, </w:t>
      </w:r>
      <w:r w:rsidRPr="00C96245">
        <w:rPr>
          <w:i/>
          <w:iCs/>
          <w:szCs w:val="24"/>
        </w:rPr>
        <w:t>Proceedings of Rijeka School of Economics</w:t>
      </w:r>
      <w:r w:rsidRPr="00C96245">
        <w:rPr>
          <w:szCs w:val="24"/>
        </w:rPr>
        <w:t>, vol. 33, sv. 1, pp. 37-66.</w:t>
      </w:r>
    </w:p>
    <w:p w14:paraId="0C0B2033" w14:textId="0A078F8C" w:rsidR="0077145B" w:rsidRPr="00C96245" w:rsidRDefault="0077145B" w:rsidP="001917F0">
      <w:pPr>
        <w:rPr>
          <w:szCs w:val="24"/>
        </w:rPr>
      </w:pPr>
      <w:r w:rsidRPr="00C96245">
        <w:rPr>
          <w:szCs w:val="24"/>
        </w:rPr>
        <w:t>Levitin, O</w:t>
      </w:r>
      <w:r w:rsidR="006F1E55" w:rsidRPr="00C96245">
        <w:rPr>
          <w:szCs w:val="24"/>
        </w:rPr>
        <w:t>.</w:t>
      </w:r>
      <w:r w:rsidRPr="00C96245">
        <w:rPr>
          <w:szCs w:val="24"/>
        </w:rPr>
        <w:t xml:space="preserve">, </w:t>
      </w:r>
      <w:r w:rsidR="006F1E55" w:rsidRPr="00C96245">
        <w:rPr>
          <w:szCs w:val="24"/>
        </w:rPr>
        <w:t>&amp;</w:t>
      </w:r>
      <w:r w:rsidRPr="00C96245">
        <w:rPr>
          <w:szCs w:val="24"/>
        </w:rPr>
        <w:t xml:space="preserve"> Sanfey</w:t>
      </w:r>
      <w:r w:rsidR="006F1E55" w:rsidRPr="00C96245">
        <w:rPr>
          <w:szCs w:val="24"/>
        </w:rPr>
        <w:t>, P.</w:t>
      </w:r>
      <w:r w:rsidRPr="00C96245">
        <w:rPr>
          <w:szCs w:val="24"/>
        </w:rPr>
        <w:t xml:space="preserve"> (2018). Regional cooperation in the Western Balkans. European Bank for Reconstruction and Development (EBRD).</w:t>
      </w:r>
    </w:p>
    <w:p w14:paraId="2C7F744D" w14:textId="2137F9F9" w:rsidR="0077145B" w:rsidRPr="00C96245" w:rsidRDefault="0077145B" w:rsidP="001917F0">
      <w:pPr>
        <w:rPr>
          <w:szCs w:val="24"/>
        </w:rPr>
      </w:pPr>
      <w:r w:rsidRPr="00C96245">
        <w:rPr>
          <w:szCs w:val="24"/>
        </w:rPr>
        <w:t xml:space="preserve">Pere, E., </w:t>
      </w:r>
      <w:r w:rsidR="006F1E55" w:rsidRPr="00C96245">
        <w:rPr>
          <w:szCs w:val="24"/>
        </w:rPr>
        <w:t>&amp;</w:t>
      </w:r>
      <w:r w:rsidRPr="00C96245">
        <w:rPr>
          <w:szCs w:val="24"/>
        </w:rPr>
        <w:t xml:space="preserve"> Ninka, E. (2017). International Trade in Western Balkan Countries: Analysis Based on the Gravity Model, </w:t>
      </w:r>
      <w:r w:rsidRPr="00C96245">
        <w:rPr>
          <w:i/>
          <w:iCs/>
          <w:szCs w:val="24"/>
        </w:rPr>
        <w:t>The WIIW Balkan Observatory, Working Papers</w:t>
      </w:r>
      <w:r w:rsidRPr="00C96245">
        <w:rPr>
          <w:szCs w:val="24"/>
        </w:rPr>
        <w:t>, No. 126.</w:t>
      </w:r>
    </w:p>
    <w:p w14:paraId="08BC4BC5" w14:textId="3BAC4286" w:rsidR="00461477" w:rsidRPr="00C96245" w:rsidRDefault="00461477" w:rsidP="001917F0">
      <w:pPr>
        <w:rPr>
          <w:szCs w:val="24"/>
        </w:rPr>
      </w:pPr>
      <w:r w:rsidRPr="00C96245">
        <w:rPr>
          <w:szCs w:val="24"/>
        </w:rPr>
        <w:t>Petreski, M</w:t>
      </w:r>
      <w:r w:rsidR="006F1E55" w:rsidRPr="00C96245">
        <w:rPr>
          <w:szCs w:val="24"/>
        </w:rPr>
        <w:t>.</w:t>
      </w:r>
      <w:r w:rsidRPr="00C96245">
        <w:rPr>
          <w:szCs w:val="24"/>
        </w:rPr>
        <w:t xml:space="preserve"> (2013). </w:t>
      </w:r>
      <w:r w:rsidR="006F1E55" w:rsidRPr="00C96245">
        <w:rPr>
          <w:szCs w:val="24"/>
        </w:rPr>
        <w:t>Southeastern</w:t>
      </w:r>
      <w:r w:rsidRPr="00C96245">
        <w:rPr>
          <w:szCs w:val="24"/>
        </w:rPr>
        <w:t xml:space="preserve"> European Trade Analysis: A Role for Endogenous CEFTA-2006?</w:t>
      </w:r>
      <w:r w:rsidR="00263401" w:rsidRPr="00C96245">
        <w:rPr>
          <w:szCs w:val="24"/>
        </w:rPr>
        <w:t>,</w:t>
      </w:r>
      <w:r w:rsidRPr="00C96245">
        <w:rPr>
          <w:szCs w:val="24"/>
        </w:rPr>
        <w:t xml:space="preserve"> </w:t>
      </w:r>
      <w:r w:rsidRPr="00C96245">
        <w:rPr>
          <w:i/>
          <w:iCs/>
          <w:szCs w:val="24"/>
        </w:rPr>
        <w:t>Emerging Markets Finance and Trade</w:t>
      </w:r>
      <w:r w:rsidRPr="00C96245">
        <w:rPr>
          <w:szCs w:val="24"/>
        </w:rPr>
        <w:t xml:space="preserve"> 49(5): 26-44</w:t>
      </w:r>
      <w:r w:rsidR="00EF450E" w:rsidRPr="00C96245">
        <w:rPr>
          <w:szCs w:val="24"/>
        </w:rPr>
        <w:t xml:space="preserve">, </w:t>
      </w:r>
      <w:r w:rsidRPr="00C96245">
        <w:rPr>
          <w:szCs w:val="24"/>
        </w:rPr>
        <w:t xml:space="preserve"> </w:t>
      </w:r>
      <w:r w:rsidR="00EF450E" w:rsidRPr="00C96245">
        <w:rPr>
          <w:szCs w:val="24"/>
        </w:rPr>
        <w:t>https://doi.org/10.2753/REE1540-496X490502.</w:t>
      </w:r>
    </w:p>
    <w:p w14:paraId="2702A1A4" w14:textId="699012BA" w:rsidR="0077145B" w:rsidRPr="00C96245" w:rsidRDefault="0077145B" w:rsidP="001917F0">
      <w:pPr>
        <w:rPr>
          <w:szCs w:val="24"/>
        </w:rPr>
      </w:pPr>
      <w:r w:rsidRPr="00C96245">
        <w:rPr>
          <w:szCs w:val="24"/>
        </w:rPr>
        <w:lastRenderedPageBreak/>
        <w:t>Petreski, M</w:t>
      </w:r>
      <w:r w:rsidR="006F1E55" w:rsidRPr="00C96245">
        <w:rPr>
          <w:szCs w:val="24"/>
        </w:rPr>
        <w:t>.</w:t>
      </w:r>
      <w:r w:rsidRPr="00C96245">
        <w:rPr>
          <w:szCs w:val="24"/>
        </w:rPr>
        <w:t xml:space="preserve"> (2018). Has CEFTA Increased Members’ Mutual Trade? Evidence with an Enlarged Set of Plausibly Exogenous Instruments</w:t>
      </w:r>
      <w:r w:rsidR="006F1E55" w:rsidRPr="00C96245">
        <w:rPr>
          <w:szCs w:val="24"/>
        </w:rPr>
        <w:t>,</w:t>
      </w:r>
      <w:r w:rsidRPr="00C96245">
        <w:rPr>
          <w:szCs w:val="24"/>
        </w:rPr>
        <w:t xml:space="preserve"> </w:t>
      </w:r>
      <w:r w:rsidRPr="00C96245">
        <w:rPr>
          <w:i/>
          <w:iCs/>
          <w:szCs w:val="24"/>
        </w:rPr>
        <w:t>Czech Journal of Economics and Finance</w:t>
      </w:r>
      <w:r w:rsidRPr="00C96245">
        <w:rPr>
          <w:szCs w:val="24"/>
        </w:rPr>
        <w:t xml:space="preserve"> (68) 3: 293–316.</w:t>
      </w:r>
    </w:p>
    <w:p w14:paraId="3DC09370" w14:textId="372C869D" w:rsidR="0077145B" w:rsidRPr="00C96245" w:rsidRDefault="0077145B" w:rsidP="001917F0">
      <w:pPr>
        <w:rPr>
          <w:szCs w:val="24"/>
        </w:rPr>
      </w:pPr>
      <w:r w:rsidRPr="00C96245">
        <w:rPr>
          <w:szCs w:val="24"/>
        </w:rPr>
        <w:t xml:space="preserve">Srbinoski, B., </w:t>
      </w:r>
      <w:r w:rsidR="006F1E55" w:rsidRPr="00C96245">
        <w:rPr>
          <w:szCs w:val="24"/>
        </w:rPr>
        <w:t xml:space="preserve">&amp; </w:t>
      </w:r>
      <w:r w:rsidRPr="00C96245">
        <w:rPr>
          <w:szCs w:val="24"/>
        </w:rPr>
        <w:t xml:space="preserve">Petreski, B. (2022). Integrating WB6 towards Integrated EU - a View from North Macedonia. </w:t>
      </w:r>
      <w:r w:rsidRPr="00C96245">
        <w:rPr>
          <w:i/>
          <w:iCs/>
          <w:szCs w:val="24"/>
        </w:rPr>
        <w:t>Finance Think. Policy Study</w:t>
      </w:r>
      <w:r w:rsidRPr="00C96245">
        <w:rPr>
          <w:szCs w:val="24"/>
        </w:rPr>
        <w:t xml:space="preserve"> No. 40.</w:t>
      </w:r>
    </w:p>
    <w:p w14:paraId="0F19D9E9" w14:textId="22B9988C" w:rsidR="00764B5C" w:rsidRPr="00764B5C" w:rsidRDefault="00764B5C" w:rsidP="001917F0">
      <w:pPr>
        <w:rPr>
          <w:szCs w:val="24"/>
        </w:rPr>
      </w:pPr>
      <w:r w:rsidRPr="00764B5C">
        <w:rPr>
          <w:szCs w:val="24"/>
        </w:rPr>
        <w:t xml:space="preserve">World Bank (2019). </w:t>
      </w:r>
      <w:r w:rsidRPr="00764B5C">
        <w:rPr>
          <w:i/>
          <w:iCs/>
          <w:szCs w:val="24"/>
        </w:rPr>
        <w:t>Western Balkan Regular Economic Report</w:t>
      </w:r>
      <w:r w:rsidRPr="00764B5C">
        <w:rPr>
          <w:szCs w:val="24"/>
        </w:rPr>
        <w:t>, World Bank, Washington D.C.</w:t>
      </w:r>
    </w:p>
    <w:p w14:paraId="4D912292" w14:textId="67540D89" w:rsidR="00C811EF" w:rsidRPr="00C811EF" w:rsidRDefault="00C811EF" w:rsidP="00C811EF">
      <w:pPr>
        <w:spacing w:after="120" w:line="360" w:lineRule="auto"/>
        <w:rPr>
          <w:szCs w:val="24"/>
        </w:rPr>
      </w:pPr>
    </w:p>
    <w:p w14:paraId="11ADBBCC" w14:textId="77777777" w:rsidR="0077145B" w:rsidRPr="00C276DA" w:rsidRDefault="0077145B" w:rsidP="00831547">
      <w:pPr>
        <w:spacing w:after="120"/>
        <w:ind w:firstLine="720"/>
        <w:rPr>
          <w:b/>
        </w:rPr>
      </w:pPr>
    </w:p>
    <w:p w14:paraId="1E5CA710" w14:textId="77777777" w:rsidR="00831547" w:rsidRPr="00831547" w:rsidRDefault="00831547" w:rsidP="00831547">
      <w:pPr>
        <w:rPr>
          <w:b/>
          <w:bCs/>
          <w:sz w:val="20"/>
          <w:szCs w:val="20"/>
        </w:rPr>
      </w:pPr>
      <w:r w:rsidRPr="00831547">
        <w:rPr>
          <w:b/>
          <w:bCs/>
          <w:sz w:val="20"/>
          <w:szCs w:val="20"/>
        </w:rPr>
        <w:t>Appendix</w:t>
      </w:r>
    </w:p>
    <w:p w14:paraId="6381DF1C" w14:textId="77777777" w:rsidR="00831547" w:rsidRPr="00831547" w:rsidRDefault="00831547" w:rsidP="00831547">
      <w:pPr>
        <w:rPr>
          <w:b/>
          <w:bCs/>
          <w:sz w:val="20"/>
          <w:szCs w:val="20"/>
        </w:rPr>
      </w:pPr>
    </w:p>
    <w:p w14:paraId="08592E42" w14:textId="4245CFA2" w:rsidR="00831547" w:rsidRPr="00831547" w:rsidRDefault="00831547" w:rsidP="00831547">
      <w:pPr>
        <w:rPr>
          <w:sz w:val="20"/>
          <w:szCs w:val="20"/>
        </w:rPr>
      </w:pPr>
      <w:r w:rsidRPr="00831547">
        <w:rPr>
          <w:sz w:val="20"/>
          <w:szCs w:val="20"/>
        </w:rPr>
        <w:t xml:space="preserve">Table </w:t>
      </w:r>
      <w:r w:rsidR="00DF02AD">
        <w:rPr>
          <w:sz w:val="20"/>
          <w:szCs w:val="20"/>
        </w:rPr>
        <w:t>3</w:t>
      </w:r>
    </w:p>
    <w:tbl>
      <w:tblPr>
        <w:tblW w:w="6220" w:type="dxa"/>
        <w:tblInd w:w="113" w:type="dxa"/>
        <w:tblLook w:val="04A0" w:firstRow="1" w:lastRow="0" w:firstColumn="1" w:lastColumn="0" w:noHBand="0" w:noVBand="1"/>
      </w:tblPr>
      <w:tblGrid>
        <w:gridCol w:w="1194"/>
        <w:gridCol w:w="1889"/>
        <w:gridCol w:w="1886"/>
        <w:gridCol w:w="1251"/>
      </w:tblGrid>
      <w:tr w:rsidR="00831547" w:rsidRPr="00831547" w14:paraId="64720AC4" w14:textId="77777777" w:rsidTr="001457F5">
        <w:trPr>
          <w:trHeight w:val="300"/>
        </w:trPr>
        <w:tc>
          <w:tcPr>
            <w:tcW w:w="119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05061D5" w14:textId="77777777" w:rsidR="00831547" w:rsidRPr="00831547" w:rsidRDefault="00831547" w:rsidP="00831547">
            <w:pPr>
              <w:rPr>
                <w:sz w:val="20"/>
                <w:szCs w:val="20"/>
                <w:lang w:val="en-US"/>
              </w:rPr>
            </w:pPr>
            <w:r w:rsidRPr="00831547">
              <w:rPr>
                <w:sz w:val="20"/>
                <w:szCs w:val="20"/>
              </w:rPr>
              <w:t>Variable</w:t>
            </w:r>
          </w:p>
        </w:tc>
        <w:tc>
          <w:tcPr>
            <w:tcW w:w="1889" w:type="dxa"/>
            <w:tcBorders>
              <w:top w:val="single" w:sz="4" w:space="0" w:color="auto"/>
              <w:left w:val="nil"/>
              <w:bottom w:val="single" w:sz="4" w:space="0" w:color="auto"/>
              <w:right w:val="single" w:sz="4" w:space="0" w:color="auto"/>
            </w:tcBorders>
            <w:shd w:val="clear" w:color="auto" w:fill="auto"/>
            <w:vAlign w:val="bottom"/>
            <w:hideMark/>
          </w:tcPr>
          <w:p w14:paraId="06C609A4" w14:textId="77777777" w:rsidR="00831547" w:rsidRPr="00831547" w:rsidRDefault="00831547" w:rsidP="00831547">
            <w:pPr>
              <w:rPr>
                <w:sz w:val="20"/>
                <w:szCs w:val="20"/>
                <w:lang w:val="en-US"/>
              </w:rPr>
            </w:pPr>
            <w:r w:rsidRPr="00831547">
              <w:rPr>
                <w:sz w:val="20"/>
                <w:szCs w:val="20"/>
              </w:rPr>
              <w:t>Explanation</w:t>
            </w:r>
          </w:p>
        </w:tc>
        <w:tc>
          <w:tcPr>
            <w:tcW w:w="1886" w:type="dxa"/>
            <w:tcBorders>
              <w:top w:val="single" w:sz="4" w:space="0" w:color="auto"/>
              <w:left w:val="nil"/>
              <w:bottom w:val="single" w:sz="4" w:space="0" w:color="auto"/>
              <w:right w:val="single" w:sz="4" w:space="0" w:color="auto"/>
            </w:tcBorders>
            <w:shd w:val="clear" w:color="auto" w:fill="auto"/>
            <w:vAlign w:val="bottom"/>
            <w:hideMark/>
          </w:tcPr>
          <w:p w14:paraId="766C8336" w14:textId="77777777" w:rsidR="00831547" w:rsidRPr="00831547" w:rsidRDefault="00831547" w:rsidP="00831547">
            <w:pPr>
              <w:rPr>
                <w:sz w:val="20"/>
                <w:szCs w:val="20"/>
                <w:lang w:val="en-US"/>
              </w:rPr>
            </w:pPr>
            <w:r w:rsidRPr="00831547">
              <w:rPr>
                <w:sz w:val="20"/>
                <w:szCs w:val="20"/>
              </w:rPr>
              <w:t>Source</w:t>
            </w:r>
          </w:p>
        </w:tc>
        <w:tc>
          <w:tcPr>
            <w:tcW w:w="1251" w:type="dxa"/>
            <w:tcBorders>
              <w:top w:val="single" w:sz="4" w:space="0" w:color="auto"/>
              <w:left w:val="nil"/>
              <w:bottom w:val="single" w:sz="4" w:space="0" w:color="auto"/>
              <w:right w:val="single" w:sz="4" w:space="0" w:color="auto"/>
            </w:tcBorders>
            <w:shd w:val="clear" w:color="auto" w:fill="auto"/>
            <w:vAlign w:val="bottom"/>
            <w:hideMark/>
          </w:tcPr>
          <w:p w14:paraId="3BF29605" w14:textId="77777777" w:rsidR="00831547" w:rsidRPr="00831547" w:rsidRDefault="00831547" w:rsidP="00831547">
            <w:pPr>
              <w:rPr>
                <w:sz w:val="20"/>
                <w:szCs w:val="20"/>
                <w:lang w:val="en-US"/>
              </w:rPr>
            </w:pPr>
            <w:r w:rsidRPr="00831547">
              <w:rPr>
                <w:sz w:val="20"/>
                <w:szCs w:val="20"/>
              </w:rPr>
              <w:t>Expected sign</w:t>
            </w:r>
          </w:p>
        </w:tc>
      </w:tr>
      <w:tr w:rsidR="00831547" w:rsidRPr="00831547" w14:paraId="3BD647A1" w14:textId="77777777" w:rsidTr="001457F5">
        <w:trPr>
          <w:trHeight w:val="633"/>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0613EFF3" w14:textId="77777777" w:rsidR="00831547" w:rsidRPr="00831547" w:rsidRDefault="00831547" w:rsidP="00831547">
            <w:pPr>
              <w:rPr>
                <w:sz w:val="20"/>
                <w:szCs w:val="20"/>
                <w:lang w:val="en-US"/>
              </w:rPr>
            </w:pPr>
            <w:r w:rsidRPr="00831547">
              <w:rPr>
                <w:sz w:val="20"/>
                <w:szCs w:val="20"/>
              </w:rPr>
              <w:t>Trade</w:t>
            </w:r>
          </w:p>
        </w:tc>
        <w:tc>
          <w:tcPr>
            <w:tcW w:w="1889" w:type="dxa"/>
            <w:tcBorders>
              <w:top w:val="nil"/>
              <w:left w:val="nil"/>
              <w:bottom w:val="single" w:sz="4" w:space="0" w:color="auto"/>
              <w:right w:val="single" w:sz="4" w:space="0" w:color="auto"/>
            </w:tcBorders>
            <w:shd w:val="clear" w:color="auto" w:fill="auto"/>
            <w:vAlign w:val="bottom"/>
            <w:hideMark/>
          </w:tcPr>
          <w:p w14:paraId="45E90296" w14:textId="77777777" w:rsidR="00831547" w:rsidRPr="00831547" w:rsidRDefault="00831547" w:rsidP="00831547">
            <w:pPr>
              <w:rPr>
                <w:sz w:val="20"/>
                <w:szCs w:val="20"/>
                <w:lang w:val="en-US"/>
              </w:rPr>
            </w:pPr>
            <w:r w:rsidRPr="00831547">
              <w:rPr>
                <w:sz w:val="20"/>
                <w:szCs w:val="20"/>
              </w:rPr>
              <w:t>export + import from Macedonia to the trading partner in absolute values</w:t>
            </w:r>
          </w:p>
        </w:tc>
        <w:tc>
          <w:tcPr>
            <w:tcW w:w="1886" w:type="dxa"/>
            <w:tcBorders>
              <w:top w:val="nil"/>
              <w:left w:val="nil"/>
              <w:bottom w:val="single" w:sz="4" w:space="0" w:color="auto"/>
              <w:right w:val="single" w:sz="4" w:space="0" w:color="auto"/>
            </w:tcBorders>
            <w:shd w:val="clear" w:color="auto" w:fill="auto"/>
            <w:vAlign w:val="bottom"/>
            <w:hideMark/>
          </w:tcPr>
          <w:p w14:paraId="17150F02" w14:textId="77777777" w:rsidR="00831547" w:rsidRPr="00831547" w:rsidRDefault="00831547" w:rsidP="00831547">
            <w:pPr>
              <w:rPr>
                <w:sz w:val="20"/>
                <w:szCs w:val="20"/>
                <w:lang w:val="en-US"/>
              </w:rPr>
            </w:pPr>
            <w:r w:rsidRPr="00831547">
              <w:rPr>
                <w:sz w:val="20"/>
                <w:szCs w:val="20"/>
              </w:rPr>
              <w:t>World Bank national accounts data and National Bank of the Republic of North Macedonia</w:t>
            </w:r>
          </w:p>
        </w:tc>
        <w:tc>
          <w:tcPr>
            <w:tcW w:w="1251" w:type="dxa"/>
            <w:tcBorders>
              <w:top w:val="nil"/>
              <w:left w:val="nil"/>
              <w:bottom w:val="single" w:sz="4" w:space="0" w:color="auto"/>
              <w:right w:val="single" w:sz="4" w:space="0" w:color="auto"/>
            </w:tcBorders>
            <w:shd w:val="clear" w:color="auto" w:fill="auto"/>
            <w:vAlign w:val="bottom"/>
            <w:hideMark/>
          </w:tcPr>
          <w:p w14:paraId="1DED8364" w14:textId="77777777" w:rsidR="00831547" w:rsidRPr="00831547" w:rsidRDefault="00831547" w:rsidP="00831547">
            <w:pPr>
              <w:ind w:firstLineChars="400" w:firstLine="800"/>
              <w:rPr>
                <w:sz w:val="20"/>
                <w:szCs w:val="20"/>
                <w:lang w:val="en-US"/>
              </w:rPr>
            </w:pPr>
          </w:p>
        </w:tc>
      </w:tr>
      <w:tr w:rsidR="00831547" w:rsidRPr="00831547" w14:paraId="2923A9B0" w14:textId="77777777" w:rsidTr="001457F5">
        <w:trPr>
          <w:trHeight w:val="705"/>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2686BD16" w14:textId="77777777" w:rsidR="00831547" w:rsidRPr="00831547" w:rsidRDefault="00831547" w:rsidP="00831547">
            <w:pPr>
              <w:rPr>
                <w:sz w:val="20"/>
                <w:szCs w:val="20"/>
                <w:lang w:val="en-US"/>
              </w:rPr>
            </w:pPr>
            <w:r w:rsidRPr="00831547">
              <w:rPr>
                <w:sz w:val="20"/>
                <w:szCs w:val="20"/>
              </w:rPr>
              <w:t>GDPcapita</w:t>
            </w:r>
          </w:p>
        </w:tc>
        <w:tc>
          <w:tcPr>
            <w:tcW w:w="1889" w:type="dxa"/>
            <w:tcBorders>
              <w:top w:val="nil"/>
              <w:left w:val="nil"/>
              <w:bottom w:val="single" w:sz="4" w:space="0" w:color="auto"/>
              <w:right w:val="single" w:sz="4" w:space="0" w:color="auto"/>
            </w:tcBorders>
            <w:shd w:val="clear" w:color="auto" w:fill="auto"/>
            <w:vAlign w:val="bottom"/>
            <w:hideMark/>
          </w:tcPr>
          <w:p w14:paraId="1A10C76A" w14:textId="77777777" w:rsidR="00831547" w:rsidRPr="00831547" w:rsidRDefault="00831547" w:rsidP="00831547">
            <w:pPr>
              <w:rPr>
                <w:sz w:val="20"/>
                <w:szCs w:val="20"/>
                <w:lang w:val="en-US"/>
              </w:rPr>
            </w:pPr>
            <w:r w:rsidRPr="00831547">
              <w:rPr>
                <w:sz w:val="20"/>
                <w:szCs w:val="20"/>
              </w:rPr>
              <w:t>max-min value of GDP per capita constant prices 2020 US dollars of Macedonia and the trading partner</w:t>
            </w:r>
          </w:p>
        </w:tc>
        <w:tc>
          <w:tcPr>
            <w:tcW w:w="1886" w:type="dxa"/>
            <w:tcBorders>
              <w:top w:val="nil"/>
              <w:left w:val="nil"/>
              <w:bottom w:val="single" w:sz="4" w:space="0" w:color="auto"/>
              <w:right w:val="single" w:sz="4" w:space="0" w:color="auto"/>
            </w:tcBorders>
            <w:shd w:val="clear" w:color="auto" w:fill="auto"/>
            <w:vAlign w:val="bottom"/>
            <w:hideMark/>
          </w:tcPr>
          <w:p w14:paraId="10BEFFDB" w14:textId="77777777" w:rsidR="00831547" w:rsidRPr="00831547" w:rsidRDefault="00831547" w:rsidP="00831547">
            <w:pPr>
              <w:rPr>
                <w:sz w:val="20"/>
                <w:szCs w:val="20"/>
                <w:lang w:val="en-US"/>
              </w:rPr>
            </w:pPr>
            <w:r w:rsidRPr="00831547">
              <w:rPr>
                <w:sz w:val="20"/>
                <w:szCs w:val="20"/>
              </w:rPr>
              <w:t>World Bank national accounts data</w:t>
            </w:r>
          </w:p>
        </w:tc>
        <w:tc>
          <w:tcPr>
            <w:tcW w:w="1251" w:type="dxa"/>
            <w:tcBorders>
              <w:top w:val="nil"/>
              <w:left w:val="nil"/>
              <w:bottom w:val="single" w:sz="4" w:space="0" w:color="auto"/>
              <w:right w:val="single" w:sz="4" w:space="0" w:color="auto"/>
            </w:tcBorders>
            <w:shd w:val="clear" w:color="auto" w:fill="auto"/>
            <w:vAlign w:val="bottom"/>
            <w:hideMark/>
          </w:tcPr>
          <w:p w14:paraId="0A6A3FF1" w14:textId="77777777" w:rsidR="00831547" w:rsidRPr="00831547" w:rsidRDefault="00831547" w:rsidP="00831547">
            <w:pPr>
              <w:ind w:firstLineChars="400" w:firstLine="800"/>
              <w:rPr>
                <w:sz w:val="20"/>
                <w:szCs w:val="20"/>
                <w:lang w:val="en-US"/>
              </w:rPr>
            </w:pPr>
            <w:r w:rsidRPr="00831547">
              <w:rPr>
                <w:sz w:val="20"/>
                <w:szCs w:val="20"/>
              </w:rPr>
              <w:t>+</w:t>
            </w:r>
          </w:p>
        </w:tc>
      </w:tr>
      <w:tr w:rsidR="00831547" w:rsidRPr="00831547" w14:paraId="4840BE03" w14:textId="77777777" w:rsidTr="001457F5">
        <w:trPr>
          <w:trHeight w:val="804"/>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58319410" w14:textId="499845B7" w:rsidR="00831547" w:rsidRPr="00831547" w:rsidRDefault="00BA3348" w:rsidP="00831547">
            <w:pPr>
              <w:rPr>
                <w:sz w:val="20"/>
                <w:szCs w:val="20"/>
                <w:lang w:val="en-US"/>
              </w:rPr>
            </w:pPr>
            <w:r>
              <w:rPr>
                <w:sz w:val="20"/>
                <w:szCs w:val="20"/>
              </w:rPr>
              <w:t>Remoteness</w:t>
            </w:r>
          </w:p>
        </w:tc>
        <w:tc>
          <w:tcPr>
            <w:tcW w:w="1889" w:type="dxa"/>
            <w:tcBorders>
              <w:top w:val="nil"/>
              <w:left w:val="nil"/>
              <w:bottom w:val="single" w:sz="4" w:space="0" w:color="auto"/>
              <w:right w:val="single" w:sz="4" w:space="0" w:color="auto"/>
            </w:tcBorders>
            <w:shd w:val="clear" w:color="auto" w:fill="auto"/>
            <w:vAlign w:val="bottom"/>
            <w:hideMark/>
          </w:tcPr>
          <w:p w14:paraId="0109FC76" w14:textId="77777777" w:rsidR="00831547" w:rsidRPr="00831547" w:rsidRDefault="00831547" w:rsidP="00831547">
            <w:pPr>
              <w:rPr>
                <w:sz w:val="20"/>
                <w:szCs w:val="20"/>
                <w:lang w:val="en-US"/>
              </w:rPr>
            </w:pPr>
            <w:r w:rsidRPr="00831547">
              <w:rPr>
                <w:sz w:val="20"/>
                <w:szCs w:val="20"/>
              </w:rPr>
              <w:t>distance in km * GDP constant2010 US dollars trade partner/world GDP constant 2010 US dollars</w:t>
            </w:r>
          </w:p>
        </w:tc>
        <w:tc>
          <w:tcPr>
            <w:tcW w:w="1886" w:type="dxa"/>
            <w:tcBorders>
              <w:top w:val="nil"/>
              <w:left w:val="nil"/>
              <w:bottom w:val="single" w:sz="4" w:space="0" w:color="auto"/>
              <w:right w:val="single" w:sz="4" w:space="0" w:color="auto"/>
            </w:tcBorders>
            <w:shd w:val="clear" w:color="auto" w:fill="auto"/>
            <w:vAlign w:val="bottom"/>
            <w:hideMark/>
          </w:tcPr>
          <w:p w14:paraId="7726FBC1" w14:textId="11A77D8F" w:rsidR="00831547" w:rsidRPr="00831547" w:rsidRDefault="00831547" w:rsidP="00831547">
            <w:pPr>
              <w:rPr>
                <w:sz w:val="20"/>
                <w:szCs w:val="20"/>
                <w:lang w:val="en-US"/>
              </w:rPr>
            </w:pPr>
            <w:r w:rsidRPr="00831547">
              <w:rPr>
                <w:sz w:val="20"/>
                <w:szCs w:val="20"/>
              </w:rPr>
              <w:t xml:space="preserve">Google maps and World Bank </w:t>
            </w:r>
            <w:r w:rsidR="00BA3348">
              <w:rPr>
                <w:sz w:val="20"/>
                <w:szCs w:val="20"/>
              </w:rPr>
              <w:t>national</w:t>
            </w:r>
            <w:r w:rsidRPr="00831547">
              <w:rPr>
                <w:sz w:val="20"/>
                <w:szCs w:val="20"/>
              </w:rPr>
              <w:t xml:space="preserve"> accounts data</w:t>
            </w:r>
          </w:p>
        </w:tc>
        <w:tc>
          <w:tcPr>
            <w:tcW w:w="1251" w:type="dxa"/>
            <w:tcBorders>
              <w:top w:val="nil"/>
              <w:left w:val="nil"/>
              <w:bottom w:val="single" w:sz="4" w:space="0" w:color="auto"/>
              <w:right w:val="single" w:sz="4" w:space="0" w:color="auto"/>
            </w:tcBorders>
            <w:shd w:val="clear" w:color="auto" w:fill="auto"/>
            <w:vAlign w:val="bottom"/>
            <w:hideMark/>
          </w:tcPr>
          <w:p w14:paraId="2D95007E" w14:textId="43B8BEC6" w:rsidR="00831547" w:rsidRPr="00831547" w:rsidRDefault="00831547" w:rsidP="00831547">
            <w:pPr>
              <w:ind w:firstLineChars="400" w:firstLine="800"/>
              <w:rPr>
                <w:sz w:val="20"/>
                <w:szCs w:val="20"/>
                <w:lang w:val="en-US"/>
              </w:rPr>
            </w:pPr>
            <w:r w:rsidRPr="00831547">
              <w:rPr>
                <w:sz w:val="20"/>
                <w:szCs w:val="20"/>
              </w:rPr>
              <w:t>_</w:t>
            </w:r>
            <w:r w:rsidR="00294A41">
              <w:rPr>
                <w:sz w:val="20"/>
                <w:szCs w:val="20"/>
              </w:rPr>
              <w:t>-</w:t>
            </w:r>
          </w:p>
        </w:tc>
      </w:tr>
      <w:tr w:rsidR="00831547" w:rsidRPr="00831547" w14:paraId="27D5B840" w14:textId="77777777" w:rsidTr="001457F5">
        <w:trPr>
          <w:trHeight w:val="579"/>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76C64391" w14:textId="6C93C352" w:rsidR="00831547" w:rsidRPr="00831547" w:rsidRDefault="00831547" w:rsidP="00831547">
            <w:pPr>
              <w:rPr>
                <w:sz w:val="20"/>
                <w:szCs w:val="20"/>
                <w:lang w:val="en-US"/>
              </w:rPr>
            </w:pPr>
            <w:r w:rsidRPr="00831547">
              <w:rPr>
                <w:sz w:val="20"/>
                <w:szCs w:val="20"/>
              </w:rPr>
              <w:t>Pop</w:t>
            </w:r>
            <w:r w:rsidR="002B01DB">
              <w:rPr>
                <w:sz w:val="20"/>
                <w:szCs w:val="20"/>
              </w:rPr>
              <w:t>ulation</w:t>
            </w:r>
          </w:p>
        </w:tc>
        <w:tc>
          <w:tcPr>
            <w:tcW w:w="1889" w:type="dxa"/>
            <w:tcBorders>
              <w:top w:val="nil"/>
              <w:left w:val="nil"/>
              <w:bottom w:val="single" w:sz="4" w:space="0" w:color="auto"/>
              <w:right w:val="single" w:sz="4" w:space="0" w:color="auto"/>
            </w:tcBorders>
            <w:shd w:val="clear" w:color="auto" w:fill="auto"/>
            <w:vAlign w:val="bottom"/>
            <w:hideMark/>
          </w:tcPr>
          <w:p w14:paraId="2F1B00A5" w14:textId="0B1D6006" w:rsidR="00831547" w:rsidRPr="00831547" w:rsidRDefault="00BA3348" w:rsidP="00831547">
            <w:pPr>
              <w:rPr>
                <w:sz w:val="20"/>
                <w:szCs w:val="20"/>
                <w:lang w:val="en-US"/>
              </w:rPr>
            </w:pPr>
            <w:r>
              <w:rPr>
                <w:sz w:val="20"/>
                <w:szCs w:val="20"/>
              </w:rPr>
              <w:t xml:space="preserve">The </w:t>
            </w:r>
            <w:r w:rsidR="00831547" w:rsidRPr="00831547">
              <w:rPr>
                <w:sz w:val="20"/>
                <w:szCs w:val="20"/>
              </w:rPr>
              <w:t xml:space="preserve">sum of </w:t>
            </w:r>
            <w:r>
              <w:rPr>
                <w:sz w:val="20"/>
                <w:szCs w:val="20"/>
              </w:rPr>
              <w:t xml:space="preserve">the </w:t>
            </w:r>
            <w:r w:rsidR="00831547" w:rsidRPr="00831547">
              <w:rPr>
                <w:sz w:val="20"/>
                <w:szCs w:val="20"/>
              </w:rPr>
              <w:t>population of Macedonia and the trade partner</w:t>
            </w:r>
          </w:p>
        </w:tc>
        <w:tc>
          <w:tcPr>
            <w:tcW w:w="1886" w:type="dxa"/>
            <w:tcBorders>
              <w:top w:val="nil"/>
              <w:left w:val="nil"/>
              <w:bottom w:val="single" w:sz="4" w:space="0" w:color="auto"/>
              <w:right w:val="single" w:sz="4" w:space="0" w:color="auto"/>
            </w:tcBorders>
            <w:shd w:val="clear" w:color="auto" w:fill="auto"/>
            <w:vAlign w:val="bottom"/>
            <w:hideMark/>
          </w:tcPr>
          <w:p w14:paraId="39F4943B" w14:textId="77777777" w:rsidR="00831547" w:rsidRPr="00831547" w:rsidRDefault="00831547" w:rsidP="00831547">
            <w:pPr>
              <w:rPr>
                <w:sz w:val="20"/>
                <w:szCs w:val="20"/>
                <w:lang w:val="en-US"/>
              </w:rPr>
            </w:pPr>
            <w:r w:rsidRPr="00831547">
              <w:rPr>
                <w:sz w:val="20"/>
                <w:szCs w:val="20"/>
              </w:rPr>
              <w:t xml:space="preserve">United Nations Population Division. World Population Prospects: 2019 Revision. </w:t>
            </w:r>
          </w:p>
        </w:tc>
        <w:tc>
          <w:tcPr>
            <w:tcW w:w="1251" w:type="dxa"/>
            <w:tcBorders>
              <w:top w:val="nil"/>
              <w:left w:val="nil"/>
              <w:bottom w:val="single" w:sz="4" w:space="0" w:color="auto"/>
              <w:right w:val="single" w:sz="4" w:space="0" w:color="auto"/>
            </w:tcBorders>
            <w:shd w:val="clear" w:color="auto" w:fill="auto"/>
            <w:vAlign w:val="bottom"/>
            <w:hideMark/>
          </w:tcPr>
          <w:p w14:paraId="76E7708D" w14:textId="77777777" w:rsidR="00831547" w:rsidRPr="00831547" w:rsidRDefault="00831547" w:rsidP="00831547">
            <w:pPr>
              <w:ind w:firstLineChars="400" w:firstLine="800"/>
              <w:rPr>
                <w:sz w:val="20"/>
                <w:szCs w:val="20"/>
                <w:lang w:val="en-US"/>
              </w:rPr>
            </w:pPr>
            <w:r w:rsidRPr="00831547">
              <w:rPr>
                <w:sz w:val="20"/>
                <w:szCs w:val="20"/>
              </w:rPr>
              <w:t>+/-</w:t>
            </w:r>
          </w:p>
        </w:tc>
      </w:tr>
      <w:tr w:rsidR="00831547" w:rsidRPr="00831547" w14:paraId="59BBFDA5" w14:textId="77777777" w:rsidTr="001457F5">
        <w:trPr>
          <w:trHeight w:val="465"/>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1304FDA9" w14:textId="77777777" w:rsidR="00831547" w:rsidRPr="00831547" w:rsidRDefault="00831547" w:rsidP="00831547">
            <w:pPr>
              <w:rPr>
                <w:sz w:val="20"/>
                <w:szCs w:val="20"/>
              </w:rPr>
            </w:pPr>
            <w:r w:rsidRPr="00831547">
              <w:rPr>
                <w:sz w:val="20"/>
                <w:szCs w:val="20"/>
              </w:rPr>
              <w:t>Labor productivity</w:t>
            </w:r>
          </w:p>
        </w:tc>
        <w:tc>
          <w:tcPr>
            <w:tcW w:w="1889" w:type="dxa"/>
            <w:tcBorders>
              <w:top w:val="nil"/>
              <w:left w:val="nil"/>
              <w:bottom w:val="single" w:sz="4" w:space="0" w:color="auto"/>
              <w:right w:val="single" w:sz="4" w:space="0" w:color="auto"/>
            </w:tcBorders>
            <w:shd w:val="clear" w:color="auto" w:fill="auto"/>
            <w:vAlign w:val="bottom"/>
            <w:hideMark/>
          </w:tcPr>
          <w:p w14:paraId="41840513" w14:textId="77777777" w:rsidR="00831547" w:rsidRPr="00831547" w:rsidRDefault="00831547" w:rsidP="00831547">
            <w:pPr>
              <w:rPr>
                <w:rFonts w:ascii="Calibri" w:hAnsi="Calibri" w:cs="Calibri"/>
                <w:color w:val="000000"/>
                <w:sz w:val="20"/>
                <w:szCs w:val="20"/>
              </w:rPr>
            </w:pPr>
            <w:r w:rsidRPr="00831547">
              <w:rPr>
                <w:sz w:val="20"/>
                <w:szCs w:val="20"/>
              </w:rPr>
              <w:t>Max-min value of  GDP per person employed (constant 2017 PPP $)</w:t>
            </w:r>
          </w:p>
        </w:tc>
        <w:tc>
          <w:tcPr>
            <w:tcW w:w="1886" w:type="dxa"/>
            <w:tcBorders>
              <w:top w:val="nil"/>
              <w:left w:val="nil"/>
              <w:bottom w:val="single" w:sz="4" w:space="0" w:color="auto"/>
              <w:right w:val="single" w:sz="4" w:space="0" w:color="auto"/>
            </w:tcBorders>
            <w:shd w:val="clear" w:color="auto" w:fill="auto"/>
            <w:vAlign w:val="bottom"/>
            <w:hideMark/>
          </w:tcPr>
          <w:p w14:paraId="00C38B17" w14:textId="77777777" w:rsidR="00831547" w:rsidRPr="00831547" w:rsidRDefault="00831547" w:rsidP="00831547">
            <w:pPr>
              <w:rPr>
                <w:sz w:val="20"/>
                <w:szCs w:val="20"/>
              </w:rPr>
            </w:pPr>
            <w:r w:rsidRPr="00831547">
              <w:rPr>
                <w:sz w:val="20"/>
                <w:szCs w:val="20"/>
              </w:rPr>
              <w:t>World Bank national accounts data, and OECD National Accounts data files.</w:t>
            </w:r>
          </w:p>
          <w:p w14:paraId="68BB9505" w14:textId="77777777" w:rsidR="00831547" w:rsidRPr="00831547" w:rsidRDefault="00831547" w:rsidP="00831547">
            <w:pPr>
              <w:rPr>
                <w:sz w:val="20"/>
                <w:szCs w:val="20"/>
              </w:rPr>
            </w:pPr>
          </w:p>
        </w:tc>
        <w:tc>
          <w:tcPr>
            <w:tcW w:w="1251" w:type="dxa"/>
            <w:tcBorders>
              <w:top w:val="nil"/>
              <w:left w:val="nil"/>
              <w:bottom w:val="single" w:sz="4" w:space="0" w:color="auto"/>
              <w:right w:val="single" w:sz="4" w:space="0" w:color="auto"/>
            </w:tcBorders>
            <w:shd w:val="clear" w:color="auto" w:fill="auto"/>
            <w:vAlign w:val="bottom"/>
            <w:hideMark/>
          </w:tcPr>
          <w:p w14:paraId="7F50CC56" w14:textId="77777777" w:rsidR="00831547" w:rsidRPr="00831547" w:rsidRDefault="00831547" w:rsidP="00831547">
            <w:pPr>
              <w:ind w:firstLineChars="400" w:firstLine="800"/>
              <w:rPr>
                <w:sz w:val="20"/>
                <w:szCs w:val="20"/>
              </w:rPr>
            </w:pPr>
            <w:r w:rsidRPr="00831547">
              <w:rPr>
                <w:sz w:val="20"/>
                <w:szCs w:val="20"/>
              </w:rPr>
              <w:t>+</w:t>
            </w:r>
          </w:p>
        </w:tc>
      </w:tr>
      <w:tr w:rsidR="00831547" w:rsidRPr="00831547" w14:paraId="4E85BB28" w14:textId="77777777" w:rsidTr="001457F5">
        <w:trPr>
          <w:trHeight w:val="465"/>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1BFE8D44" w14:textId="77777777" w:rsidR="00831547" w:rsidRPr="00831547" w:rsidRDefault="00831547" w:rsidP="00831547">
            <w:pPr>
              <w:rPr>
                <w:sz w:val="20"/>
                <w:szCs w:val="20"/>
                <w:lang w:val="en-US"/>
              </w:rPr>
            </w:pPr>
            <w:r w:rsidRPr="00831547">
              <w:rPr>
                <w:sz w:val="20"/>
                <w:szCs w:val="20"/>
              </w:rPr>
              <w:t xml:space="preserve">EU </w:t>
            </w:r>
          </w:p>
        </w:tc>
        <w:tc>
          <w:tcPr>
            <w:tcW w:w="1889" w:type="dxa"/>
            <w:tcBorders>
              <w:top w:val="nil"/>
              <w:left w:val="nil"/>
              <w:bottom w:val="single" w:sz="4" w:space="0" w:color="auto"/>
              <w:right w:val="single" w:sz="4" w:space="0" w:color="auto"/>
            </w:tcBorders>
            <w:shd w:val="clear" w:color="auto" w:fill="auto"/>
            <w:vAlign w:val="bottom"/>
            <w:hideMark/>
          </w:tcPr>
          <w:p w14:paraId="0F7E39E1" w14:textId="77777777" w:rsidR="00831547" w:rsidRPr="00831547" w:rsidRDefault="00831547" w:rsidP="00831547">
            <w:pPr>
              <w:rPr>
                <w:sz w:val="20"/>
                <w:szCs w:val="20"/>
                <w:lang w:val="en-US"/>
              </w:rPr>
            </w:pPr>
            <w:r w:rsidRPr="00831547">
              <w:rPr>
                <w:sz w:val="20"/>
                <w:szCs w:val="20"/>
              </w:rPr>
              <w:t>Membership in EU</w:t>
            </w:r>
          </w:p>
        </w:tc>
        <w:tc>
          <w:tcPr>
            <w:tcW w:w="1886" w:type="dxa"/>
            <w:tcBorders>
              <w:top w:val="nil"/>
              <w:left w:val="nil"/>
              <w:bottom w:val="single" w:sz="4" w:space="0" w:color="auto"/>
              <w:right w:val="single" w:sz="4" w:space="0" w:color="auto"/>
            </w:tcBorders>
            <w:shd w:val="clear" w:color="auto" w:fill="auto"/>
            <w:vAlign w:val="bottom"/>
            <w:hideMark/>
          </w:tcPr>
          <w:p w14:paraId="787F2DD9" w14:textId="77777777" w:rsidR="00831547" w:rsidRPr="00831547" w:rsidRDefault="00831547" w:rsidP="00831547">
            <w:pPr>
              <w:rPr>
                <w:sz w:val="20"/>
                <w:szCs w:val="20"/>
                <w:lang w:val="en-US"/>
              </w:rPr>
            </w:pPr>
            <w:r w:rsidRPr="00831547">
              <w:rPr>
                <w:sz w:val="20"/>
                <w:szCs w:val="20"/>
              </w:rPr>
              <w:t>Dummy variable</w:t>
            </w:r>
          </w:p>
        </w:tc>
        <w:tc>
          <w:tcPr>
            <w:tcW w:w="1251" w:type="dxa"/>
            <w:tcBorders>
              <w:top w:val="nil"/>
              <w:left w:val="nil"/>
              <w:bottom w:val="single" w:sz="4" w:space="0" w:color="auto"/>
              <w:right w:val="single" w:sz="4" w:space="0" w:color="auto"/>
            </w:tcBorders>
            <w:shd w:val="clear" w:color="auto" w:fill="auto"/>
            <w:vAlign w:val="bottom"/>
            <w:hideMark/>
          </w:tcPr>
          <w:p w14:paraId="420ED81D" w14:textId="77777777" w:rsidR="00831547" w:rsidRPr="00831547" w:rsidRDefault="00831547" w:rsidP="00831547">
            <w:pPr>
              <w:ind w:firstLineChars="400" w:firstLine="800"/>
              <w:rPr>
                <w:sz w:val="20"/>
                <w:szCs w:val="20"/>
                <w:lang w:val="en-US"/>
              </w:rPr>
            </w:pPr>
            <w:r w:rsidRPr="00831547">
              <w:rPr>
                <w:sz w:val="20"/>
                <w:szCs w:val="20"/>
              </w:rPr>
              <w:t>+</w:t>
            </w:r>
          </w:p>
        </w:tc>
      </w:tr>
      <w:tr w:rsidR="00831547" w:rsidRPr="00831547" w14:paraId="2D3A24D1" w14:textId="77777777" w:rsidTr="001457F5">
        <w:trPr>
          <w:trHeight w:val="690"/>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7B69D993" w14:textId="20F300CA" w:rsidR="00831547" w:rsidRPr="00831547" w:rsidRDefault="00831547" w:rsidP="00831547">
            <w:pPr>
              <w:rPr>
                <w:sz w:val="20"/>
                <w:szCs w:val="20"/>
                <w:lang w:val="en-US"/>
              </w:rPr>
            </w:pPr>
            <w:r w:rsidRPr="00831547">
              <w:rPr>
                <w:sz w:val="20"/>
                <w:szCs w:val="20"/>
              </w:rPr>
              <w:t>CEFTA</w:t>
            </w:r>
            <w:r w:rsidR="002B01DB">
              <w:rPr>
                <w:sz w:val="20"/>
                <w:szCs w:val="20"/>
              </w:rPr>
              <w:t>-2006</w:t>
            </w:r>
          </w:p>
        </w:tc>
        <w:tc>
          <w:tcPr>
            <w:tcW w:w="1889" w:type="dxa"/>
            <w:tcBorders>
              <w:top w:val="nil"/>
              <w:left w:val="nil"/>
              <w:bottom w:val="single" w:sz="4" w:space="0" w:color="auto"/>
              <w:right w:val="single" w:sz="4" w:space="0" w:color="auto"/>
            </w:tcBorders>
            <w:shd w:val="clear" w:color="auto" w:fill="auto"/>
            <w:vAlign w:val="bottom"/>
            <w:hideMark/>
          </w:tcPr>
          <w:p w14:paraId="26CCD9C2" w14:textId="77777777" w:rsidR="00831547" w:rsidRPr="00831547" w:rsidRDefault="00831547" w:rsidP="00831547">
            <w:pPr>
              <w:rPr>
                <w:sz w:val="20"/>
                <w:szCs w:val="20"/>
                <w:lang w:val="en-US"/>
              </w:rPr>
            </w:pPr>
            <w:r w:rsidRPr="00831547">
              <w:rPr>
                <w:sz w:val="20"/>
                <w:szCs w:val="20"/>
              </w:rPr>
              <w:t>Membership in CEFTA-2006</w:t>
            </w:r>
          </w:p>
        </w:tc>
        <w:tc>
          <w:tcPr>
            <w:tcW w:w="1886" w:type="dxa"/>
            <w:tcBorders>
              <w:top w:val="nil"/>
              <w:left w:val="nil"/>
              <w:bottom w:val="single" w:sz="4" w:space="0" w:color="auto"/>
              <w:right w:val="single" w:sz="4" w:space="0" w:color="auto"/>
            </w:tcBorders>
            <w:shd w:val="clear" w:color="auto" w:fill="auto"/>
            <w:vAlign w:val="bottom"/>
            <w:hideMark/>
          </w:tcPr>
          <w:p w14:paraId="1BCABCF9" w14:textId="77777777" w:rsidR="00831547" w:rsidRPr="00831547" w:rsidRDefault="00831547" w:rsidP="00831547">
            <w:pPr>
              <w:rPr>
                <w:sz w:val="20"/>
                <w:szCs w:val="20"/>
                <w:lang w:val="en-US"/>
              </w:rPr>
            </w:pPr>
            <w:r w:rsidRPr="00831547">
              <w:rPr>
                <w:sz w:val="20"/>
                <w:szCs w:val="20"/>
              </w:rPr>
              <w:t>Dummy variable</w:t>
            </w:r>
          </w:p>
        </w:tc>
        <w:tc>
          <w:tcPr>
            <w:tcW w:w="1251" w:type="dxa"/>
            <w:tcBorders>
              <w:top w:val="nil"/>
              <w:left w:val="nil"/>
              <w:bottom w:val="single" w:sz="4" w:space="0" w:color="auto"/>
              <w:right w:val="single" w:sz="4" w:space="0" w:color="auto"/>
            </w:tcBorders>
            <w:shd w:val="clear" w:color="auto" w:fill="auto"/>
            <w:vAlign w:val="bottom"/>
            <w:hideMark/>
          </w:tcPr>
          <w:p w14:paraId="4BC05999" w14:textId="77777777" w:rsidR="00831547" w:rsidRPr="00831547" w:rsidRDefault="00831547" w:rsidP="00831547">
            <w:pPr>
              <w:ind w:firstLineChars="400" w:firstLine="800"/>
              <w:rPr>
                <w:sz w:val="20"/>
                <w:szCs w:val="20"/>
                <w:lang w:val="en-US"/>
              </w:rPr>
            </w:pPr>
            <w:r w:rsidRPr="00831547">
              <w:rPr>
                <w:sz w:val="20"/>
                <w:szCs w:val="20"/>
              </w:rPr>
              <w:t>+</w:t>
            </w:r>
          </w:p>
        </w:tc>
      </w:tr>
      <w:tr w:rsidR="00D00304" w:rsidRPr="00831547" w14:paraId="19D92C8C" w14:textId="77777777" w:rsidTr="001457F5">
        <w:trPr>
          <w:trHeight w:val="690"/>
        </w:trPr>
        <w:tc>
          <w:tcPr>
            <w:tcW w:w="1194" w:type="dxa"/>
            <w:tcBorders>
              <w:top w:val="nil"/>
              <w:left w:val="single" w:sz="4" w:space="0" w:color="auto"/>
              <w:bottom w:val="single" w:sz="4" w:space="0" w:color="auto"/>
              <w:right w:val="single" w:sz="4" w:space="0" w:color="auto"/>
            </w:tcBorders>
            <w:shd w:val="clear" w:color="auto" w:fill="auto"/>
            <w:vAlign w:val="bottom"/>
          </w:tcPr>
          <w:p w14:paraId="20839035" w14:textId="1E637EC5" w:rsidR="00D00304" w:rsidRPr="00831547" w:rsidRDefault="00D00304" w:rsidP="00831547">
            <w:pPr>
              <w:rPr>
                <w:sz w:val="20"/>
                <w:szCs w:val="20"/>
              </w:rPr>
            </w:pPr>
            <w:r>
              <w:rPr>
                <w:sz w:val="20"/>
                <w:szCs w:val="20"/>
              </w:rPr>
              <w:t>FTA</w:t>
            </w:r>
          </w:p>
        </w:tc>
        <w:tc>
          <w:tcPr>
            <w:tcW w:w="1889" w:type="dxa"/>
            <w:tcBorders>
              <w:top w:val="nil"/>
              <w:left w:val="nil"/>
              <w:bottom w:val="single" w:sz="4" w:space="0" w:color="auto"/>
              <w:right w:val="single" w:sz="4" w:space="0" w:color="auto"/>
            </w:tcBorders>
            <w:shd w:val="clear" w:color="auto" w:fill="auto"/>
            <w:vAlign w:val="bottom"/>
          </w:tcPr>
          <w:p w14:paraId="723FF540" w14:textId="0DCD1D13" w:rsidR="00D00304" w:rsidRPr="00831547" w:rsidRDefault="00294A41" w:rsidP="00831547">
            <w:pPr>
              <w:rPr>
                <w:sz w:val="20"/>
                <w:szCs w:val="20"/>
              </w:rPr>
            </w:pPr>
            <w:r>
              <w:rPr>
                <w:sz w:val="20"/>
                <w:szCs w:val="20"/>
              </w:rPr>
              <w:t>Free Trade Agreement with Turkey, Ukraine, and EFTA</w:t>
            </w:r>
          </w:p>
        </w:tc>
        <w:tc>
          <w:tcPr>
            <w:tcW w:w="1886" w:type="dxa"/>
            <w:tcBorders>
              <w:top w:val="nil"/>
              <w:left w:val="nil"/>
              <w:bottom w:val="single" w:sz="4" w:space="0" w:color="auto"/>
              <w:right w:val="single" w:sz="4" w:space="0" w:color="auto"/>
            </w:tcBorders>
            <w:shd w:val="clear" w:color="auto" w:fill="auto"/>
            <w:vAlign w:val="bottom"/>
          </w:tcPr>
          <w:p w14:paraId="1AB09AB4" w14:textId="298D32EA" w:rsidR="00D00304" w:rsidRPr="00831547" w:rsidRDefault="00294A41" w:rsidP="00831547">
            <w:pPr>
              <w:rPr>
                <w:sz w:val="20"/>
                <w:szCs w:val="20"/>
              </w:rPr>
            </w:pPr>
            <w:r w:rsidRPr="00831547">
              <w:rPr>
                <w:sz w:val="20"/>
                <w:szCs w:val="20"/>
              </w:rPr>
              <w:t>Dummy variable</w:t>
            </w:r>
          </w:p>
        </w:tc>
        <w:tc>
          <w:tcPr>
            <w:tcW w:w="1251" w:type="dxa"/>
            <w:tcBorders>
              <w:top w:val="nil"/>
              <w:left w:val="nil"/>
              <w:bottom w:val="single" w:sz="4" w:space="0" w:color="auto"/>
              <w:right w:val="single" w:sz="4" w:space="0" w:color="auto"/>
            </w:tcBorders>
            <w:shd w:val="clear" w:color="auto" w:fill="auto"/>
            <w:vAlign w:val="bottom"/>
          </w:tcPr>
          <w:p w14:paraId="042BA803" w14:textId="28E71260" w:rsidR="00D00304" w:rsidRPr="00831547" w:rsidRDefault="00294A41" w:rsidP="00831547">
            <w:pPr>
              <w:ind w:firstLineChars="400" w:firstLine="800"/>
              <w:rPr>
                <w:sz w:val="20"/>
                <w:szCs w:val="20"/>
              </w:rPr>
            </w:pPr>
            <w:r>
              <w:rPr>
                <w:sz w:val="20"/>
                <w:szCs w:val="20"/>
              </w:rPr>
              <w:t>+</w:t>
            </w:r>
          </w:p>
        </w:tc>
      </w:tr>
      <w:tr w:rsidR="00831547" w:rsidRPr="00831547" w14:paraId="532CDA82" w14:textId="77777777" w:rsidTr="001457F5">
        <w:trPr>
          <w:trHeight w:val="915"/>
        </w:trPr>
        <w:tc>
          <w:tcPr>
            <w:tcW w:w="1194" w:type="dxa"/>
            <w:tcBorders>
              <w:top w:val="nil"/>
              <w:left w:val="single" w:sz="4" w:space="0" w:color="auto"/>
              <w:bottom w:val="single" w:sz="4" w:space="0" w:color="auto"/>
              <w:right w:val="single" w:sz="4" w:space="0" w:color="auto"/>
            </w:tcBorders>
            <w:shd w:val="clear" w:color="auto" w:fill="auto"/>
            <w:vAlign w:val="bottom"/>
            <w:hideMark/>
          </w:tcPr>
          <w:p w14:paraId="2AA31E6C" w14:textId="77777777" w:rsidR="00831547" w:rsidRPr="00831547" w:rsidRDefault="00831547" w:rsidP="00831547">
            <w:pPr>
              <w:rPr>
                <w:sz w:val="20"/>
                <w:szCs w:val="20"/>
                <w:lang w:val="en-US"/>
              </w:rPr>
            </w:pPr>
            <w:r w:rsidRPr="00831547">
              <w:rPr>
                <w:sz w:val="20"/>
                <w:szCs w:val="20"/>
              </w:rPr>
              <w:lastRenderedPageBreak/>
              <w:t>Language</w:t>
            </w:r>
          </w:p>
        </w:tc>
        <w:tc>
          <w:tcPr>
            <w:tcW w:w="1889" w:type="dxa"/>
            <w:tcBorders>
              <w:top w:val="nil"/>
              <w:left w:val="nil"/>
              <w:bottom w:val="single" w:sz="4" w:space="0" w:color="auto"/>
              <w:right w:val="single" w:sz="4" w:space="0" w:color="auto"/>
            </w:tcBorders>
            <w:shd w:val="clear" w:color="auto" w:fill="auto"/>
            <w:vAlign w:val="bottom"/>
            <w:hideMark/>
          </w:tcPr>
          <w:p w14:paraId="4ED2ED6D" w14:textId="7D4FB89D" w:rsidR="00831547" w:rsidRPr="00831547" w:rsidRDefault="00831547" w:rsidP="00831547">
            <w:pPr>
              <w:rPr>
                <w:sz w:val="20"/>
                <w:szCs w:val="20"/>
                <w:lang w:val="en-US"/>
              </w:rPr>
            </w:pPr>
            <w:r w:rsidRPr="00831547">
              <w:rPr>
                <w:sz w:val="20"/>
                <w:szCs w:val="20"/>
              </w:rPr>
              <w:t xml:space="preserve">Countries that have </w:t>
            </w:r>
            <w:r w:rsidR="00BA3348">
              <w:rPr>
                <w:sz w:val="20"/>
                <w:szCs w:val="20"/>
              </w:rPr>
              <w:t xml:space="preserve">a </w:t>
            </w:r>
            <w:r w:rsidRPr="00831547">
              <w:rPr>
                <w:sz w:val="20"/>
                <w:szCs w:val="20"/>
              </w:rPr>
              <w:t>common language</w:t>
            </w:r>
          </w:p>
        </w:tc>
        <w:tc>
          <w:tcPr>
            <w:tcW w:w="1886" w:type="dxa"/>
            <w:tcBorders>
              <w:top w:val="nil"/>
              <w:left w:val="nil"/>
              <w:bottom w:val="single" w:sz="4" w:space="0" w:color="auto"/>
              <w:right w:val="single" w:sz="4" w:space="0" w:color="auto"/>
            </w:tcBorders>
            <w:shd w:val="clear" w:color="auto" w:fill="auto"/>
            <w:vAlign w:val="bottom"/>
            <w:hideMark/>
          </w:tcPr>
          <w:p w14:paraId="0CEB406C" w14:textId="77777777" w:rsidR="00831547" w:rsidRPr="00831547" w:rsidRDefault="00831547" w:rsidP="00831547">
            <w:pPr>
              <w:rPr>
                <w:sz w:val="20"/>
                <w:szCs w:val="20"/>
                <w:lang w:val="en-US"/>
              </w:rPr>
            </w:pPr>
            <w:r w:rsidRPr="00831547">
              <w:rPr>
                <w:sz w:val="20"/>
                <w:szCs w:val="20"/>
              </w:rPr>
              <w:t>Dummy variable</w:t>
            </w:r>
          </w:p>
        </w:tc>
        <w:tc>
          <w:tcPr>
            <w:tcW w:w="1251" w:type="dxa"/>
            <w:tcBorders>
              <w:top w:val="nil"/>
              <w:left w:val="nil"/>
              <w:bottom w:val="single" w:sz="4" w:space="0" w:color="auto"/>
              <w:right w:val="single" w:sz="4" w:space="0" w:color="auto"/>
            </w:tcBorders>
            <w:shd w:val="clear" w:color="auto" w:fill="auto"/>
            <w:vAlign w:val="bottom"/>
            <w:hideMark/>
          </w:tcPr>
          <w:p w14:paraId="38133033" w14:textId="77777777" w:rsidR="00831547" w:rsidRPr="00831547" w:rsidRDefault="00831547" w:rsidP="00831547">
            <w:pPr>
              <w:ind w:firstLineChars="400" w:firstLine="800"/>
              <w:rPr>
                <w:sz w:val="20"/>
                <w:szCs w:val="20"/>
                <w:lang w:val="en-US"/>
              </w:rPr>
            </w:pPr>
            <w:r w:rsidRPr="00831547">
              <w:rPr>
                <w:sz w:val="20"/>
                <w:szCs w:val="20"/>
              </w:rPr>
              <w:t>+</w:t>
            </w:r>
          </w:p>
        </w:tc>
      </w:tr>
    </w:tbl>
    <w:p w14:paraId="608AA26A" w14:textId="77777777" w:rsidR="002330EB" w:rsidRPr="00461477" w:rsidRDefault="002330EB" w:rsidP="001457F5">
      <w:pPr>
        <w:spacing w:line="360" w:lineRule="auto"/>
        <w:rPr>
          <w:lang w:val="mk-MK"/>
        </w:rPr>
      </w:pPr>
    </w:p>
    <w:sectPr w:rsidR="002330EB" w:rsidRPr="0046147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58B069" w14:textId="77777777" w:rsidR="00A92A2D" w:rsidRDefault="00A92A2D" w:rsidP="001054D9">
      <w:r>
        <w:separator/>
      </w:r>
    </w:p>
  </w:endnote>
  <w:endnote w:type="continuationSeparator" w:id="0">
    <w:p w14:paraId="5BF97B8A" w14:textId="77777777" w:rsidR="00A92A2D" w:rsidRDefault="00A92A2D" w:rsidP="001054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zyj czcionki tekstu azjatycki">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678B2" w14:textId="77777777" w:rsidR="00A92A2D" w:rsidRDefault="00A92A2D" w:rsidP="001054D9">
      <w:r>
        <w:separator/>
      </w:r>
    </w:p>
  </w:footnote>
  <w:footnote w:type="continuationSeparator" w:id="0">
    <w:p w14:paraId="6AAB19ED" w14:textId="77777777" w:rsidR="00A92A2D" w:rsidRDefault="00A92A2D" w:rsidP="001054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654465"/>
    <w:multiLevelType w:val="hybridMultilevel"/>
    <w:tmpl w:val="0DE4256C"/>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 w15:restartNumberingAfterBreak="0">
    <w:nsid w:val="6AF17669"/>
    <w:multiLevelType w:val="hybridMultilevel"/>
    <w:tmpl w:val="E88A87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F5B18B8"/>
    <w:multiLevelType w:val="hybridMultilevel"/>
    <w:tmpl w:val="6FF6A3D2"/>
    <w:lvl w:ilvl="0" w:tplc="1F1497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59818836">
    <w:abstractNumId w:val="1"/>
  </w:num>
  <w:num w:numId="2" w16cid:durableId="1183932002">
    <w:abstractNumId w:val="2"/>
  </w:num>
  <w:num w:numId="3" w16cid:durableId="19512058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41EA"/>
    <w:rsid w:val="0000605A"/>
    <w:rsid w:val="0001167A"/>
    <w:rsid w:val="00015AF9"/>
    <w:rsid w:val="000172B1"/>
    <w:rsid w:val="00037E05"/>
    <w:rsid w:val="00043625"/>
    <w:rsid w:val="000575A3"/>
    <w:rsid w:val="00066023"/>
    <w:rsid w:val="000708BC"/>
    <w:rsid w:val="000853A2"/>
    <w:rsid w:val="00090395"/>
    <w:rsid w:val="000A69B1"/>
    <w:rsid w:val="000B15B7"/>
    <w:rsid w:val="000B378B"/>
    <w:rsid w:val="000E436B"/>
    <w:rsid w:val="00103A53"/>
    <w:rsid w:val="001054D9"/>
    <w:rsid w:val="00114E2D"/>
    <w:rsid w:val="00121358"/>
    <w:rsid w:val="001229E6"/>
    <w:rsid w:val="00130801"/>
    <w:rsid w:val="00140512"/>
    <w:rsid w:val="00142209"/>
    <w:rsid w:val="001457F5"/>
    <w:rsid w:val="00150570"/>
    <w:rsid w:val="0015519C"/>
    <w:rsid w:val="00156318"/>
    <w:rsid w:val="00163FBA"/>
    <w:rsid w:val="00165AA5"/>
    <w:rsid w:val="001673AB"/>
    <w:rsid w:val="00183F21"/>
    <w:rsid w:val="001917F0"/>
    <w:rsid w:val="001A30C8"/>
    <w:rsid w:val="001B1FB3"/>
    <w:rsid w:val="001B6B40"/>
    <w:rsid w:val="001C5A7A"/>
    <w:rsid w:val="001D4E2D"/>
    <w:rsid w:val="001D6AB1"/>
    <w:rsid w:val="001D707B"/>
    <w:rsid w:val="0021401A"/>
    <w:rsid w:val="002161D9"/>
    <w:rsid w:val="00216271"/>
    <w:rsid w:val="002330EB"/>
    <w:rsid w:val="00240ABF"/>
    <w:rsid w:val="00247479"/>
    <w:rsid w:val="0025533B"/>
    <w:rsid w:val="00257B63"/>
    <w:rsid w:val="00263401"/>
    <w:rsid w:val="002773F6"/>
    <w:rsid w:val="00285A5C"/>
    <w:rsid w:val="00286469"/>
    <w:rsid w:val="00294A41"/>
    <w:rsid w:val="00297B75"/>
    <w:rsid w:val="002B01DB"/>
    <w:rsid w:val="002B4C9F"/>
    <w:rsid w:val="002C4472"/>
    <w:rsid w:val="002C647C"/>
    <w:rsid w:val="002D5A8E"/>
    <w:rsid w:val="002E6293"/>
    <w:rsid w:val="00300D0B"/>
    <w:rsid w:val="00302AA2"/>
    <w:rsid w:val="00306409"/>
    <w:rsid w:val="00315840"/>
    <w:rsid w:val="00340530"/>
    <w:rsid w:val="00340C24"/>
    <w:rsid w:val="0034651E"/>
    <w:rsid w:val="00352E42"/>
    <w:rsid w:val="003563F7"/>
    <w:rsid w:val="00380E9D"/>
    <w:rsid w:val="0038234C"/>
    <w:rsid w:val="003A5C8A"/>
    <w:rsid w:val="003A6B24"/>
    <w:rsid w:val="003B161E"/>
    <w:rsid w:val="003D0C92"/>
    <w:rsid w:val="003D395F"/>
    <w:rsid w:val="003E1CD7"/>
    <w:rsid w:val="003E1E14"/>
    <w:rsid w:val="003F7556"/>
    <w:rsid w:val="0041308A"/>
    <w:rsid w:val="00415C62"/>
    <w:rsid w:val="004404C1"/>
    <w:rsid w:val="00446074"/>
    <w:rsid w:val="00454917"/>
    <w:rsid w:val="00461477"/>
    <w:rsid w:val="004702F7"/>
    <w:rsid w:val="00472FAB"/>
    <w:rsid w:val="00493DF3"/>
    <w:rsid w:val="00495580"/>
    <w:rsid w:val="004A40B3"/>
    <w:rsid w:val="004B4BF7"/>
    <w:rsid w:val="004C1BE8"/>
    <w:rsid w:val="004C2349"/>
    <w:rsid w:val="004E29FA"/>
    <w:rsid w:val="004F306A"/>
    <w:rsid w:val="00500726"/>
    <w:rsid w:val="00510723"/>
    <w:rsid w:val="00520220"/>
    <w:rsid w:val="00525E92"/>
    <w:rsid w:val="0054342E"/>
    <w:rsid w:val="00546987"/>
    <w:rsid w:val="00556571"/>
    <w:rsid w:val="00590039"/>
    <w:rsid w:val="005A78CB"/>
    <w:rsid w:val="005B5A32"/>
    <w:rsid w:val="005E2F74"/>
    <w:rsid w:val="00631349"/>
    <w:rsid w:val="00640189"/>
    <w:rsid w:val="00651990"/>
    <w:rsid w:val="00670DD0"/>
    <w:rsid w:val="00674DCD"/>
    <w:rsid w:val="00677065"/>
    <w:rsid w:val="006C2F55"/>
    <w:rsid w:val="006E0DF9"/>
    <w:rsid w:val="006E2F24"/>
    <w:rsid w:val="006F1E55"/>
    <w:rsid w:val="007125E8"/>
    <w:rsid w:val="00717106"/>
    <w:rsid w:val="00721AD8"/>
    <w:rsid w:val="00721B70"/>
    <w:rsid w:val="00723DD2"/>
    <w:rsid w:val="007467A6"/>
    <w:rsid w:val="00764B5C"/>
    <w:rsid w:val="0077145B"/>
    <w:rsid w:val="007A5544"/>
    <w:rsid w:val="007D6E85"/>
    <w:rsid w:val="007F3C8D"/>
    <w:rsid w:val="007F65D4"/>
    <w:rsid w:val="008226E6"/>
    <w:rsid w:val="00823777"/>
    <w:rsid w:val="008262FF"/>
    <w:rsid w:val="00831547"/>
    <w:rsid w:val="00835DE5"/>
    <w:rsid w:val="0084667B"/>
    <w:rsid w:val="008541EA"/>
    <w:rsid w:val="008834E3"/>
    <w:rsid w:val="008A7213"/>
    <w:rsid w:val="008A7F3E"/>
    <w:rsid w:val="008B5C95"/>
    <w:rsid w:val="008C131E"/>
    <w:rsid w:val="008C6AF5"/>
    <w:rsid w:val="008E2F21"/>
    <w:rsid w:val="00900ADF"/>
    <w:rsid w:val="0091024F"/>
    <w:rsid w:val="009123FE"/>
    <w:rsid w:val="00920D64"/>
    <w:rsid w:val="00930A1B"/>
    <w:rsid w:val="00946006"/>
    <w:rsid w:val="009602CF"/>
    <w:rsid w:val="0097001D"/>
    <w:rsid w:val="00991D46"/>
    <w:rsid w:val="00994FC1"/>
    <w:rsid w:val="009B0A12"/>
    <w:rsid w:val="009D027F"/>
    <w:rsid w:val="009D7624"/>
    <w:rsid w:val="009E19CC"/>
    <w:rsid w:val="009E638F"/>
    <w:rsid w:val="009F180D"/>
    <w:rsid w:val="009F417E"/>
    <w:rsid w:val="009F7B9E"/>
    <w:rsid w:val="00A043A4"/>
    <w:rsid w:val="00A07B3F"/>
    <w:rsid w:val="00A11D71"/>
    <w:rsid w:val="00A5072C"/>
    <w:rsid w:val="00A535B2"/>
    <w:rsid w:val="00A716A0"/>
    <w:rsid w:val="00A76FA3"/>
    <w:rsid w:val="00A84647"/>
    <w:rsid w:val="00A92A2D"/>
    <w:rsid w:val="00A96242"/>
    <w:rsid w:val="00AA185A"/>
    <w:rsid w:val="00AA3FD9"/>
    <w:rsid w:val="00AC66D8"/>
    <w:rsid w:val="00AD2223"/>
    <w:rsid w:val="00AE23D1"/>
    <w:rsid w:val="00B01914"/>
    <w:rsid w:val="00B0466F"/>
    <w:rsid w:val="00B15E44"/>
    <w:rsid w:val="00B24689"/>
    <w:rsid w:val="00B25903"/>
    <w:rsid w:val="00B272B9"/>
    <w:rsid w:val="00B403D2"/>
    <w:rsid w:val="00B6005B"/>
    <w:rsid w:val="00BA3348"/>
    <w:rsid w:val="00BB0D1F"/>
    <w:rsid w:val="00BB4D0D"/>
    <w:rsid w:val="00BC2C37"/>
    <w:rsid w:val="00BD3663"/>
    <w:rsid w:val="00BD4406"/>
    <w:rsid w:val="00BD688A"/>
    <w:rsid w:val="00BF4F97"/>
    <w:rsid w:val="00C074BF"/>
    <w:rsid w:val="00C125C2"/>
    <w:rsid w:val="00C25395"/>
    <w:rsid w:val="00C5772A"/>
    <w:rsid w:val="00C60FEC"/>
    <w:rsid w:val="00C811EF"/>
    <w:rsid w:val="00C843FD"/>
    <w:rsid w:val="00C861E4"/>
    <w:rsid w:val="00C867DA"/>
    <w:rsid w:val="00C9004B"/>
    <w:rsid w:val="00C92C25"/>
    <w:rsid w:val="00C96245"/>
    <w:rsid w:val="00CB547D"/>
    <w:rsid w:val="00CC1B6A"/>
    <w:rsid w:val="00D00304"/>
    <w:rsid w:val="00D006D3"/>
    <w:rsid w:val="00D21FAD"/>
    <w:rsid w:val="00D33EF1"/>
    <w:rsid w:val="00D4661A"/>
    <w:rsid w:val="00D47864"/>
    <w:rsid w:val="00D514E2"/>
    <w:rsid w:val="00D564F9"/>
    <w:rsid w:val="00D62EFB"/>
    <w:rsid w:val="00D73116"/>
    <w:rsid w:val="00D75F0A"/>
    <w:rsid w:val="00DB4415"/>
    <w:rsid w:val="00DD3175"/>
    <w:rsid w:val="00DF02AD"/>
    <w:rsid w:val="00E0166D"/>
    <w:rsid w:val="00E02FE7"/>
    <w:rsid w:val="00E1164D"/>
    <w:rsid w:val="00E11C30"/>
    <w:rsid w:val="00E23F12"/>
    <w:rsid w:val="00E33975"/>
    <w:rsid w:val="00E36335"/>
    <w:rsid w:val="00E37FCB"/>
    <w:rsid w:val="00E46B2F"/>
    <w:rsid w:val="00E55B8F"/>
    <w:rsid w:val="00E636BB"/>
    <w:rsid w:val="00E66CE5"/>
    <w:rsid w:val="00E81EDE"/>
    <w:rsid w:val="00E90F3B"/>
    <w:rsid w:val="00EA6F85"/>
    <w:rsid w:val="00EB2013"/>
    <w:rsid w:val="00EB7946"/>
    <w:rsid w:val="00EE41C3"/>
    <w:rsid w:val="00EE5966"/>
    <w:rsid w:val="00EF450E"/>
    <w:rsid w:val="00EF48C9"/>
    <w:rsid w:val="00EF7A03"/>
    <w:rsid w:val="00F01E92"/>
    <w:rsid w:val="00F16EA7"/>
    <w:rsid w:val="00F26A73"/>
    <w:rsid w:val="00F520FA"/>
    <w:rsid w:val="00F65818"/>
    <w:rsid w:val="00FA71A4"/>
    <w:rsid w:val="00FA7A2D"/>
    <w:rsid w:val="00FD2AB9"/>
    <w:rsid w:val="00FD6A5A"/>
    <w:rsid w:val="00FE334B"/>
    <w:rsid w:val="00FE7C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2FB87"/>
  <w15:chartTrackingRefBased/>
  <w15:docId w15:val="{E0CD50EA-E9F5-40B2-B67C-EFCF7C036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uthors/Abstract/Key words/JEL"/>
    <w:qFormat/>
    <w:rsid w:val="001054D9"/>
    <w:pPr>
      <w:spacing w:after="0" w:line="240" w:lineRule="auto"/>
      <w:jc w:val="both"/>
    </w:pPr>
    <w:rPr>
      <w:rFonts w:ascii="Times New Roman" w:eastAsia="Calibri" w:hAnsi="Times New Roman" w:cs="Times New Roman"/>
      <w:sz w:val="24"/>
      <w:lang w:val="pl-PL"/>
    </w:rPr>
  </w:style>
  <w:style w:type="paragraph" w:styleId="Heading1">
    <w:name w:val="heading 1"/>
    <w:basedOn w:val="Normal"/>
    <w:next w:val="Normal"/>
    <w:link w:val="Heading1Char"/>
    <w:uiPriority w:val="9"/>
    <w:qFormat/>
    <w:rsid w:val="001054D9"/>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aliases w:val="Tekst przypisu Char,single space Char,FOOTNOTES Char,fn Char,Podrozdział Char,Fußnote Char,Footnote Char,Podrozdzia3 Char,przypis Char,footnote text Char,Schriftart: 9 pt Char,Schriftart: 10 pt Char,Schriftart: 8 pt Char"/>
    <w:basedOn w:val="DefaultParagraphFont"/>
    <w:link w:val="FootnoteText"/>
    <w:semiHidden/>
    <w:locked/>
    <w:rsid w:val="001054D9"/>
    <w:rPr>
      <w:rFonts w:ascii="(Uzyj czcionki tekstu azjatycki" w:hAnsi="(Uzyj czcionki tekstu azjatycki"/>
    </w:rPr>
  </w:style>
  <w:style w:type="paragraph" w:styleId="FootnoteText">
    <w:name w:val="footnote text"/>
    <w:aliases w:val="Tekst przypisu,single space,FOOTNOTES,fn,Podrozdział,Fußnote,Footnote,Podrozdzia3,przypis,footnote text,Schriftart: 9 pt,Schriftart: 10 pt,Schriftart: 8 pt,WB-Fußnotentext,Footnotes,Footnote ak,Text poznámky pod čiarou Char Char"/>
    <w:basedOn w:val="Normal"/>
    <w:link w:val="FootnoteTextChar"/>
    <w:semiHidden/>
    <w:unhideWhenUsed/>
    <w:rsid w:val="001054D9"/>
    <w:rPr>
      <w:rFonts w:ascii="(Uzyj czcionki tekstu azjatycki" w:eastAsiaTheme="minorHAnsi" w:hAnsi="(Uzyj czcionki tekstu azjatycki" w:cstheme="minorBidi"/>
      <w:sz w:val="22"/>
      <w:lang w:val="en-US"/>
    </w:rPr>
  </w:style>
  <w:style w:type="character" w:customStyle="1" w:styleId="FootnoteTextChar1">
    <w:name w:val="Footnote Text Char1"/>
    <w:basedOn w:val="DefaultParagraphFont"/>
    <w:uiPriority w:val="99"/>
    <w:semiHidden/>
    <w:rsid w:val="001054D9"/>
    <w:rPr>
      <w:rFonts w:ascii="Times New Roman" w:eastAsia="Calibri" w:hAnsi="Times New Roman" w:cs="Times New Roman"/>
      <w:sz w:val="20"/>
      <w:szCs w:val="20"/>
      <w:lang w:val="pl-PL"/>
    </w:rPr>
  </w:style>
  <w:style w:type="character" w:customStyle="1" w:styleId="Title1Char">
    <w:name w:val="Title 1 Char"/>
    <w:basedOn w:val="DefaultParagraphFont"/>
    <w:link w:val="Title1"/>
    <w:locked/>
    <w:rsid w:val="0054342E"/>
    <w:rPr>
      <w:rFonts w:ascii="Times New Roman" w:eastAsiaTheme="majorEastAsia" w:hAnsi="Times New Roman" w:cs="Times New Roman"/>
      <w:b/>
      <w:bCs/>
      <w:sz w:val="32"/>
      <w:szCs w:val="32"/>
    </w:rPr>
  </w:style>
  <w:style w:type="paragraph" w:customStyle="1" w:styleId="Title1">
    <w:name w:val="Title 1"/>
    <w:basedOn w:val="Heading1"/>
    <w:next w:val="Normal"/>
    <w:link w:val="Title1Char"/>
    <w:autoRedefine/>
    <w:qFormat/>
    <w:rsid w:val="0054342E"/>
    <w:pPr>
      <w:spacing w:before="0" w:line="360" w:lineRule="auto"/>
      <w:jc w:val="center"/>
    </w:pPr>
    <w:rPr>
      <w:rFonts w:ascii="Times New Roman" w:hAnsi="Times New Roman" w:cs="Times New Roman"/>
      <w:b/>
      <w:bCs/>
      <w:color w:val="auto"/>
      <w:lang w:val="en-US"/>
    </w:rPr>
  </w:style>
  <w:style w:type="character" w:styleId="FootnoteReference">
    <w:name w:val="footnote reference"/>
    <w:aliases w:val="BVI fnr,Footnote Reference Number,Odwołanie przypisu,Footnote symbol,SUPERS"/>
    <w:basedOn w:val="DefaultParagraphFont"/>
    <w:semiHidden/>
    <w:unhideWhenUsed/>
    <w:rsid w:val="001054D9"/>
    <w:rPr>
      <w:vertAlign w:val="superscript"/>
    </w:rPr>
  </w:style>
  <w:style w:type="character" w:customStyle="1" w:styleId="Heading1Char">
    <w:name w:val="Heading 1 Char"/>
    <w:basedOn w:val="DefaultParagraphFont"/>
    <w:link w:val="Heading1"/>
    <w:uiPriority w:val="9"/>
    <w:rsid w:val="001054D9"/>
    <w:rPr>
      <w:rFonts w:asciiTheme="majorHAnsi" w:eastAsiaTheme="majorEastAsia" w:hAnsiTheme="majorHAnsi" w:cstheme="majorBidi"/>
      <w:color w:val="2F5496" w:themeColor="accent1" w:themeShade="BF"/>
      <w:sz w:val="32"/>
      <w:szCs w:val="32"/>
      <w:lang w:val="pl-PL"/>
    </w:rPr>
  </w:style>
  <w:style w:type="character" w:styleId="Hyperlink">
    <w:name w:val="Hyperlink"/>
    <w:uiPriority w:val="99"/>
    <w:rsid w:val="00831547"/>
    <w:rPr>
      <w:color w:val="0000FF"/>
      <w:u w:val="single"/>
    </w:rPr>
  </w:style>
  <w:style w:type="paragraph" w:styleId="ListParagraph">
    <w:name w:val="List Paragraph"/>
    <w:basedOn w:val="Normal"/>
    <w:uiPriority w:val="34"/>
    <w:qFormat/>
    <w:rsid w:val="00831547"/>
    <w:pPr>
      <w:spacing w:after="200" w:line="276" w:lineRule="auto"/>
      <w:ind w:left="720"/>
      <w:contextualSpacing/>
      <w:jc w:val="left"/>
    </w:pPr>
    <w:rPr>
      <w:szCs w:val="24"/>
      <w:lang w:val="en-US"/>
    </w:rPr>
  </w:style>
  <w:style w:type="paragraph" w:styleId="NoSpacing">
    <w:name w:val="No Spacing"/>
    <w:uiPriority w:val="1"/>
    <w:qFormat/>
    <w:rsid w:val="00E0166D"/>
    <w:pPr>
      <w:spacing w:after="0" w:line="240" w:lineRule="auto"/>
    </w:pPr>
    <w:rPr>
      <w:rFonts w:ascii="Times New Roman" w:eastAsia="Calibri" w:hAnsi="Times New Roman" w:cs="Times New Roman"/>
      <w:sz w:val="24"/>
      <w:szCs w:val="24"/>
    </w:rPr>
  </w:style>
  <w:style w:type="table" w:styleId="TableGrid">
    <w:name w:val="Table Grid"/>
    <w:basedOn w:val="TableNormal"/>
    <w:uiPriority w:val="39"/>
    <w:rsid w:val="00A535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263401"/>
    <w:pPr>
      <w:ind w:left="1170" w:hanging="1170"/>
      <w:jc w:val="left"/>
    </w:pPr>
    <w:rPr>
      <w:rFonts w:eastAsia="Times New Roman"/>
      <w:b/>
      <w:sz w:val="20"/>
      <w:szCs w:val="20"/>
      <w:lang w:val="en-US"/>
    </w:rPr>
  </w:style>
  <w:style w:type="character" w:customStyle="1" w:styleId="BodyTextIndentChar">
    <w:name w:val="Body Text Indent Char"/>
    <w:basedOn w:val="DefaultParagraphFont"/>
    <w:link w:val="BodyTextIndent"/>
    <w:rsid w:val="00263401"/>
    <w:rPr>
      <w:rFonts w:ascii="Times New Roman" w:eastAsia="Times New Roman" w:hAnsi="Times New Roman" w:cs="Times New Roman"/>
      <w:b/>
      <w:sz w:val="20"/>
      <w:szCs w:val="20"/>
    </w:rPr>
  </w:style>
  <w:style w:type="paragraph" w:styleId="Revision">
    <w:name w:val="Revision"/>
    <w:hidden/>
    <w:uiPriority w:val="99"/>
    <w:semiHidden/>
    <w:rsid w:val="0054342E"/>
    <w:pPr>
      <w:spacing w:after="0" w:line="240" w:lineRule="auto"/>
    </w:pPr>
    <w:rPr>
      <w:rFonts w:ascii="Times New Roman" w:eastAsia="Calibri" w:hAnsi="Times New Roman" w:cs="Times New Roman"/>
      <w:sz w:val="24"/>
      <w:lang w:val="pl-PL"/>
    </w:rPr>
  </w:style>
  <w:style w:type="character" w:styleId="UnresolvedMention">
    <w:name w:val="Unresolved Mention"/>
    <w:basedOn w:val="DefaultParagraphFont"/>
    <w:uiPriority w:val="99"/>
    <w:semiHidden/>
    <w:unhideWhenUsed/>
    <w:rsid w:val="00B272B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00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aterina%20TTrpchevska\Desktop\katerina\TRUDOVI%20ZA%20KONFERENCII\KONFERENCIJA_TENERIFE\Tabeli.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aterina%20TTrpchevska\Desktop\katerina\TRUDOVI%20ZA%20KONFERENCII\KONFERENCIJA_TENERIFE\Tabeli.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t>
            </a:r>
            <a:r>
              <a:rPr lang="en-GB" baseline="0"/>
              <a:t> of total e</a:t>
            </a:r>
            <a:r>
              <a:rPr lang="en-GB"/>
              <a:t>xport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Export!$C$18</c:f>
              <c:strCache>
                <c:ptCount val="1"/>
                <c:pt idx="0">
                  <c:v>CEFTA-2006</c:v>
                </c:pt>
              </c:strCache>
            </c:strRef>
          </c:tx>
          <c:spPr>
            <a:solidFill>
              <a:schemeClr val="accent1"/>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Export!$D$18:$I$18</c:f>
              <c:numCache>
                <c:formatCode>General</c:formatCode>
                <c:ptCount val="6"/>
                <c:pt idx="0">
                  <c:v>17.788872065285116</c:v>
                </c:pt>
                <c:pt idx="1">
                  <c:v>16.03245665023676</c:v>
                </c:pt>
                <c:pt idx="2">
                  <c:v>11.021541589591399</c:v>
                </c:pt>
                <c:pt idx="3">
                  <c:v>45.29788720682167</c:v>
                </c:pt>
                <c:pt idx="4">
                  <c:v>44.324623525644903</c:v>
                </c:pt>
                <c:pt idx="5">
                  <c:v>15.979950345316791</c:v>
                </c:pt>
              </c:numCache>
            </c:numRef>
          </c:val>
          <c:extLst>
            <c:ext xmlns:c16="http://schemas.microsoft.com/office/drawing/2014/chart" uri="{C3380CC4-5D6E-409C-BE32-E72D297353CC}">
              <c16:uniqueId val="{00000000-64C4-4C91-9F8D-95231BC7486F}"/>
            </c:ext>
          </c:extLst>
        </c:ser>
        <c:ser>
          <c:idx val="1"/>
          <c:order val="1"/>
          <c:tx>
            <c:strRef>
              <c:f>Export!$C$19</c:f>
              <c:strCache>
                <c:ptCount val="1"/>
                <c:pt idx="0">
                  <c:v>EU</c:v>
                </c:pt>
              </c:strCache>
            </c:strRef>
          </c:tx>
          <c:spPr>
            <a:solidFill>
              <a:schemeClr val="accent2"/>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Export!$D$19:$I$19</c:f>
              <c:numCache>
                <c:formatCode>General</c:formatCode>
                <c:ptCount val="6"/>
                <c:pt idx="0">
                  <c:v>74.79509040103693</c:v>
                </c:pt>
                <c:pt idx="1">
                  <c:v>72.402009203749685</c:v>
                </c:pt>
                <c:pt idx="2">
                  <c:v>77.598068689536618</c:v>
                </c:pt>
                <c:pt idx="3">
                  <c:v>37.953163289952194</c:v>
                </c:pt>
                <c:pt idx="4">
                  <c:v>34.371727411365946</c:v>
                </c:pt>
                <c:pt idx="5">
                  <c:v>64.902514963567413</c:v>
                </c:pt>
              </c:numCache>
            </c:numRef>
          </c:val>
          <c:extLst>
            <c:ext xmlns:c16="http://schemas.microsoft.com/office/drawing/2014/chart" uri="{C3380CC4-5D6E-409C-BE32-E72D297353CC}">
              <c16:uniqueId val="{00000001-64C4-4C91-9F8D-95231BC7486F}"/>
            </c:ext>
          </c:extLst>
        </c:ser>
        <c:ser>
          <c:idx val="2"/>
          <c:order val="2"/>
          <c:tx>
            <c:strRef>
              <c:f>Export!$C$20</c:f>
              <c:strCache>
                <c:ptCount val="1"/>
                <c:pt idx="0">
                  <c:v>EFTA</c:v>
                </c:pt>
              </c:strCache>
            </c:strRef>
          </c:tx>
          <c:spPr>
            <a:solidFill>
              <a:schemeClr val="accent3"/>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Export!$D$20:$I$20</c:f>
              <c:numCache>
                <c:formatCode>General</c:formatCode>
                <c:ptCount val="6"/>
                <c:pt idx="0">
                  <c:v>0.27687343332791969</c:v>
                </c:pt>
                <c:pt idx="1">
                  <c:v>2.7695980738701218</c:v>
                </c:pt>
                <c:pt idx="2">
                  <c:v>0.71635467004334041</c:v>
                </c:pt>
                <c:pt idx="3">
                  <c:v>2.1771822293965259</c:v>
                </c:pt>
                <c:pt idx="4">
                  <c:v>8.266550528154724</c:v>
                </c:pt>
                <c:pt idx="5">
                  <c:v>1.0668037643254005</c:v>
                </c:pt>
              </c:numCache>
            </c:numRef>
          </c:val>
          <c:extLst>
            <c:ext xmlns:c16="http://schemas.microsoft.com/office/drawing/2014/chart" uri="{C3380CC4-5D6E-409C-BE32-E72D297353CC}">
              <c16:uniqueId val="{00000002-64C4-4C91-9F8D-95231BC7486F}"/>
            </c:ext>
          </c:extLst>
        </c:ser>
        <c:ser>
          <c:idx val="3"/>
          <c:order val="3"/>
          <c:tx>
            <c:strRef>
              <c:f>Export!$C$21</c:f>
              <c:strCache>
                <c:ptCount val="1"/>
                <c:pt idx="0">
                  <c:v>USA</c:v>
                </c:pt>
              </c:strCache>
            </c:strRef>
          </c:tx>
          <c:spPr>
            <a:solidFill>
              <a:schemeClr val="accent4"/>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Export!$D$21:$I$21</c:f>
              <c:numCache>
                <c:formatCode>General</c:formatCode>
                <c:ptCount val="6"/>
                <c:pt idx="0">
                  <c:v>1.1946124436997985</c:v>
                </c:pt>
                <c:pt idx="1">
                  <c:v>0.64581575814313974</c:v>
                </c:pt>
                <c:pt idx="2">
                  <c:v>0.7499080058005817</c:v>
                </c:pt>
                <c:pt idx="3">
                  <c:v>0.60469178273708535</c:v>
                </c:pt>
                <c:pt idx="4">
                  <c:v>5.0611734303111513</c:v>
                </c:pt>
                <c:pt idx="5">
                  <c:v>1.8981820606167026</c:v>
                </c:pt>
              </c:numCache>
            </c:numRef>
          </c:val>
          <c:extLst>
            <c:ext xmlns:c16="http://schemas.microsoft.com/office/drawing/2014/chart" uri="{C3380CC4-5D6E-409C-BE32-E72D297353CC}">
              <c16:uniqueId val="{00000003-64C4-4C91-9F8D-95231BC7486F}"/>
            </c:ext>
          </c:extLst>
        </c:ser>
        <c:ser>
          <c:idx val="4"/>
          <c:order val="4"/>
          <c:tx>
            <c:strRef>
              <c:f>Export!$C$22</c:f>
              <c:strCache>
                <c:ptCount val="1"/>
                <c:pt idx="0">
                  <c:v>Turkey</c:v>
                </c:pt>
              </c:strCache>
            </c:strRef>
          </c:tx>
          <c:spPr>
            <a:solidFill>
              <a:schemeClr val="accent5"/>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Export!$D$22:$I$22</c:f>
              <c:numCache>
                <c:formatCode>General</c:formatCode>
                <c:ptCount val="6"/>
                <c:pt idx="0">
                  <c:v>1.1313598508357456</c:v>
                </c:pt>
                <c:pt idx="1">
                  <c:v>3.0002697160526886</c:v>
                </c:pt>
                <c:pt idx="2">
                  <c:v>1.4724169871063988</c:v>
                </c:pt>
                <c:pt idx="3">
                  <c:v>3.7440699911363997</c:v>
                </c:pt>
                <c:pt idx="4">
                  <c:v>2.3381968375035389</c:v>
                </c:pt>
                <c:pt idx="5">
                  <c:v>1.8637612785744389</c:v>
                </c:pt>
              </c:numCache>
            </c:numRef>
          </c:val>
          <c:extLst>
            <c:ext xmlns:c16="http://schemas.microsoft.com/office/drawing/2014/chart" uri="{C3380CC4-5D6E-409C-BE32-E72D297353CC}">
              <c16:uniqueId val="{00000004-64C4-4C91-9F8D-95231BC7486F}"/>
            </c:ext>
          </c:extLst>
        </c:ser>
        <c:ser>
          <c:idx val="5"/>
          <c:order val="5"/>
          <c:tx>
            <c:strRef>
              <c:f>Export!$C$23</c:f>
              <c:strCache>
                <c:ptCount val="1"/>
                <c:pt idx="0">
                  <c:v>Russia</c:v>
                </c:pt>
              </c:strCache>
            </c:strRef>
          </c:tx>
          <c:spPr>
            <a:solidFill>
              <a:schemeClr val="accent6"/>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Export!$D$23:$I$23</c:f>
              <c:numCache>
                <c:formatCode>General</c:formatCode>
                <c:ptCount val="6"/>
                <c:pt idx="0">
                  <c:v>8.4933882136645333E-3</c:v>
                </c:pt>
                <c:pt idx="1">
                  <c:v>1.0561404446653126</c:v>
                </c:pt>
                <c:pt idx="2">
                  <c:v>0.91039850764342423</c:v>
                </c:pt>
                <c:pt idx="3">
                  <c:v>0.3908565390942596</c:v>
                </c:pt>
                <c:pt idx="4">
                  <c:v>0.120002</c:v>
                </c:pt>
                <c:pt idx="5">
                  <c:v>4.6736473268181502</c:v>
                </c:pt>
              </c:numCache>
            </c:numRef>
          </c:val>
          <c:extLst>
            <c:ext xmlns:c16="http://schemas.microsoft.com/office/drawing/2014/chart" uri="{C3380CC4-5D6E-409C-BE32-E72D297353CC}">
              <c16:uniqueId val="{00000005-64C4-4C91-9F8D-95231BC7486F}"/>
            </c:ext>
          </c:extLst>
        </c:ser>
        <c:ser>
          <c:idx val="6"/>
          <c:order val="6"/>
          <c:tx>
            <c:strRef>
              <c:f>Export!$C$24</c:f>
              <c:strCache>
                <c:ptCount val="1"/>
                <c:pt idx="0">
                  <c:v>China</c:v>
                </c:pt>
              </c:strCache>
            </c:strRef>
          </c:tx>
          <c:spPr>
            <a:solidFill>
              <a:schemeClr val="accent1">
                <a:lumMod val="60000"/>
              </a:schemeClr>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Export!$D$24:$I$24</c:f>
              <c:numCache>
                <c:formatCode>General</c:formatCode>
                <c:ptCount val="6"/>
                <c:pt idx="0">
                  <c:v>1.8354008931330199</c:v>
                </c:pt>
                <c:pt idx="1">
                  <c:v>0.24777189492443627</c:v>
                </c:pt>
                <c:pt idx="2">
                  <c:v>2.4676515365416525</c:v>
                </c:pt>
                <c:pt idx="3">
                  <c:v>0.120259</c:v>
                </c:pt>
                <c:pt idx="4">
                  <c:v>0.12056</c:v>
                </c:pt>
                <c:pt idx="5">
                  <c:v>1.9220764909073735</c:v>
                </c:pt>
              </c:numCache>
            </c:numRef>
          </c:val>
          <c:extLst>
            <c:ext xmlns:c16="http://schemas.microsoft.com/office/drawing/2014/chart" uri="{C3380CC4-5D6E-409C-BE32-E72D297353CC}">
              <c16:uniqueId val="{00000006-64C4-4C91-9F8D-95231BC7486F}"/>
            </c:ext>
          </c:extLst>
        </c:ser>
        <c:ser>
          <c:idx val="7"/>
          <c:order val="7"/>
          <c:tx>
            <c:strRef>
              <c:f>Export!$C$25</c:f>
              <c:strCache>
                <c:ptCount val="1"/>
                <c:pt idx="0">
                  <c:v>United Kingdom</c:v>
                </c:pt>
              </c:strCache>
            </c:strRef>
          </c:tx>
          <c:spPr>
            <a:solidFill>
              <a:schemeClr val="accent2">
                <a:lumMod val="60000"/>
              </a:schemeClr>
            </a:solidFill>
            <a:ln>
              <a:noFill/>
            </a:ln>
            <a:effectLst/>
          </c:spPr>
          <c:invertIfNegative val="0"/>
          <c:cat>
            <c:strRef>
              <c:f>Export!$D$17:$I$17</c:f>
              <c:strCache>
                <c:ptCount val="6"/>
                <c:pt idx="0">
                  <c:v>Albania</c:v>
                </c:pt>
                <c:pt idx="1">
                  <c:v>BIH</c:v>
                </c:pt>
                <c:pt idx="2">
                  <c:v>Macedonia</c:v>
                </c:pt>
                <c:pt idx="3">
                  <c:v>Montenegro</c:v>
                </c:pt>
                <c:pt idx="4">
                  <c:v>Kosovo</c:v>
                </c:pt>
                <c:pt idx="5">
                  <c:v>Serbia</c:v>
                </c:pt>
              </c:strCache>
            </c:strRef>
          </c:cat>
          <c:val>
            <c:numRef>
              <c:f>Export!$D$25:$I$25</c:f>
              <c:numCache>
                <c:formatCode>General</c:formatCode>
                <c:ptCount val="6"/>
                <c:pt idx="0">
                  <c:v>0.27854921934852533</c:v>
                </c:pt>
                <c:pt idx="1">
                  <c:v>1.0516014192221645</c:v>
                </c:pt>
                <c:pt idx="2">
                  <c:v>2.4487668779832448</c:v>
                </c:pt>
                <c:pt idx="3">
                  <c:v>0.92445195706989458</c:v>
                </c:pt>
                <c:pt idx="4">
                  <c:v>3.0761866389020969</c:v>
                </c:pt>
                <c:pt idx="5">
                  <c:v>1.7127064855376513</c:v>
                </c:pt>
              </c:numCache>
            </c:numRef>
          </c:val>
          <c:extLst>
            <c:ext xmlns:c16="http://schemas.microsoft.com/office/drawing/2014/chart" uri="{C3380CC4-5D6E-409C-BE32-E72D297353CC}">
              <c16:uniqueId val="{00000007-64C4-4C91-9F8D-95231BC7486F}"/>
            </c:ext>
          </c:extLst>
        </c:ser>
        <c:dLbls>
          <c:showLegendKey val="0"/>
          <c:showVal val="0"/>
          <c:showCatName val="0"/>
          <c:showSerName val="0"/>
          <c:showPercent val="0"/>
          <c:showBubbleSize val="0"/>
        </c:dLbls>
        <c:gapWidth val="219"/>
        <c:overlap val="-27"/>
        <c:axId val="1316903616"/>
        <c:axId val="1316900288"/>
      </c:barChart>
      <c:catAx>
        <c:axId val="1316903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6900288"/>
        <c:crosses val="autoZero"/>
        <c:auto val="1"/>
        <c:lblAlgn val="ctr"/>
        <c:lblOffset val="100"/>
        <c:noMultiLvlLbl val="0"/>
      </c:catAx>
      <c:valAx>
        <c:axId val="131690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16903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t>
            </a:r>
            <a:r>
              <a:rPr lang="en-GB" baseline="0"/>
              <a:t> of total i</a:t>
            </a:r>
            <a:r>
              <a:rPr lang="en-GB"/>
              <a:t>mport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Import!$D$5</c:f>
              <c:strCache>
                <c:ptCount val="1"/>
                <c:pt idx="0">
                  <c:v>CEFTA-2006</c:v>
                </c:pt>
              </c:strCache>
            </c:strRef>
          </c:tx>
          <c:spPr>
            <a:solidFill>
              <a:schemeClr val="accent1"/>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Import!$E$5:$J$5</c:f>
              <c:numCache>
                <c:formatCode>General</c:formatCode>
                <c:ptCount val="6"/>
                <c:pt idx="0">
                  <c:v>7.5219217752356755</c:v>
                </c:pt>
                <c:pt idx="1">
                  <c:v>12.699590972475036</c:v>
                </c:pt>
                <c:pt idx="2">
                  <c:v>9.6563183111913773</c:v>
                </c:pt>
                <c:pt idx="3">
                  <c:v>29.363965110824207</c:v>
                </c:pt>
                <c:pt idx="4">
                  <c:v>18.747856282330584</c:v>
                </c:pt>
                <c:pt idx="5">
                  <c:v>2.070825183490379</c:v>
                </c:pt>
              </c:numCache>
            </c:numRef>
          </c:val>
          <c:extLst>
            <c:ext xmlns:c16="http://schemas.microsoft.com/office/drawing/2014/chart" uri="{C3380CC4-5D6E-409C-BE32-E72D297353CC}">
              <c16:uniqueId val="{00000000-77B2-4D61-BBE3-FFF53EBE3D9A}"/>
            </c:ext>
          </c:extLst>
        </c:ser>
        <c:ser>
          <c:idx val="1"/>
          <c:order val="1"/>
          <c:tx>
            <c:strRef>
              <c:f>Import!$D$6</c:f>
              <c:strCache>
                <c:ptCount val="1"/>
                <c:pt idx="0">
                  <c:v>EU</c:v>
                </c:pt>
              </c:strCache>
            </c:strRef>
          </c:tx>
          <c:spPr>
            <a:solidFill>
              <a:schemeClr val="accent2"/>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Import!$E$6:$J$6</c:f>
              <c:numCache>
                <c:formatCode>General</c:formatCode>
                <c:ptCount val="6"/>
                <c:pt idx="0">
                  <c:v>57.827583789152548</c:v>
                </c:pt>
                <c:pt idx="1">
                  <c:v>60.722442740259794</c:v>
                </c:pt>
                <c:pt idx="2">
                  <c:v>46.179887025926568</c:v>
                </c:pt>
                <c:pt idx="3">
                  <c:v>44.524595694803118</c:v>
                </c:pt>
                <c:pt idx="4">
                  <c:v>45.764756096186012</c:v>
                </c:pt>
                <c:pt idx="5">
                  <c:v>39.769981132531321</c:v>
                </c:pt>
              </c:numCache>
            </c:numRef>
          </c:val>
          <c:extLst>
            <c:ext xmlns:c16="http://schemas.microsoft.com/office/drawing/2014/chart" uri="{C3380CC4-5D6E-409C-BE32-E72D297353CC}">
              <c16:uniqueId val="{00000001-77B2-4D61-BBE3-FFF53EBE3D9A}"/>
            </c:ext>
          </c:extLst>
        </c:ser>
        <c:ser>
          <c:idx val="2"/>
          <c:order val="2"/>
          <c:tx>
            <c:strRef>
              <c:f>Import!$D$7</c:f>
              <c:strCache>
                <c:ptCount val="1"/>
                <c:pt idx="0">
                  <c:v>EFTA</c:v>
                </c:pt>
              </c:strCache>
            </c:strRef>
          </c:tx>
          <c:spPr>
            <a:solidFill>
              <a:schemeClr val="accent3"/>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Import!$E$7:$J$7</c:f>
              <c:numCache>
                <c:formatCode>General</c:formatCode>
                <c:ptCount val="6"/>
                <c:pt idx="0">
                  <c:v>1.8462071416276653</c:v>
                </c:pt>
                <c:pt idx="1">
                  <c:v>0.79699240488167089</c:v>
                </c:pt>
                <c:pt idx="2">
                  <c:v>1.175479395540838</c:v>
                </c:pt>
                <c:pt idx="3">
                  <c:v>1.9800507181731299</c:v>
                </c:pt>
                <c:pt idx="4">
                  <c:v>0.78511615776492416</c:v>
                </c:pt>
                <c:pt idx="5">
                  <c:v>1.2543913002194618</c:v>
                </c:pt>
              </c:numCache>
            </c:numRef>
          </c:val>
          <c:extLst>
            <c:ext xmlns:c16="http://schemas.microsoft.com/office/drawing/2014/chart" uri="{C3380CC4-5D6E-409C-BE32-E72D297353CC}">
              <c16:uniqueId val="{00000002-77B2-4D61-BBE3-FFF53EBE3D9A}"/>
            </c:ext>
          </c:extLst>
        </c:ser>
        <c:ser>
          <c:idx val="3"/>
          <c:order val="3"/>
          <c:tx>
            <c:strRef>
              <c:f>Import!$D$8</c:f>
              <c:strCache>
                <c:ptCount val="1"/>
                <c:pt idx="0">
                  <c:v>USA</c:v>
                </c:pt>
              </c:strCache>
            </c:strRef>
          </c:tx>
          <c:spPr>
            <a:solidFill>
              <a:schemeClr val="accent4"/>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Import!$E$8:$J$8</c:f>
              <c:numCache>
                <c:formatCode>General</c:formatCode>
                <c:ptCount val="6"/>
                <c:pt idx="0">
                  <c:v>1.560086445525116</c:v>
                </c:pt>
                <c:pt idx="1">
                  <c:v>2.377605362929621</c:v>
                </c:pt>
                <c:pt idx="2">
                  <c:v>2.7123727990888966</c:v>
                </c:pt>
                <c:pt idx="3">
                  <c:v>1.6364180874676943</c:v>
                </c:pt>
                <c:pt idx="4">
                  <c:v>1.8008677797560442</c:v>
                </c:pt>
                <c:pt idx="5">
                  <c:v>1.0931138552116497</c:v>
                </c:pt>
              </c:numCache>
            </c:numRef>
          </c:val>
          <c:extLst>
            <c:ext xmlns:c16="http://schemas.microsoft.com/office/drawing/2014/chart" uri="{C3380CC4-5D6E-409C-BE32-E72D297353CC}">
              <c16:uniqueId val="{00000003-77B2-4D61-BBE3-FFF53EBE3D9A}"/>
            </c:ext>
          </c:extLst>
        </c:ser>
        <c:ser>
          <c:idx val="4"/>
          <c:order val="4"/>
          <c:tx>
            <c:strRef>
              <c:f>Import!$D$9</c:f>
              <c:strCache>
                <c:ptCount val="1"/>
                <c:pt idx="0">
                  <c:v>Turkey</c:v>
                </c:pt>
              </c:strCache>
            </c:strRef>
          </c:tx>
          <c:spPr>
            <a:solidFill>
              <a:schemeClr val="accent5"/>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Import!$E$9:$J$9</c:f>
              <c:numCache>
                <c:formatCode>General</c:formatCode>
                <c:ptCount val="6"/>
                <c:pt idx="0">
                  <c:v>9.6191302927589941</c:v>
                </c:pt>
                <c:pt idx="1">
                  <c:v>5.3169369751117062</c:v>
                </c:pt>
                <c:pt idx="2">
                  <c:v>5.1067015365334631</c:v>
                </c:pt>
                <c:pt idx="3">
                  <c:v>5.1947626144634977</c:v>
                </c:pt>
                <c:pt idx="4">
                  <c:v>12.42419698929114</c:v>
                </c:pt>
                <c:pt idx="5">
                  <c:v>2.3579119581605976</c:v>
                </c:pt>
              </c:numCache>
            </c:numRef>
          </c:val>
          <c:extLst>
            <c:ext xmlns:c16="http://schemas.microsoft.com/office/drawing/2014/chart" uri="{C3380CC4-5D6E-409C-BE32-E72D297353CC}">
              <c16:uniqueId val="{00000004-77B2-4D61-BBE3-FFF53EBE3D9A}"/>
            </c:ext>
          </c:extLst>
        </c:ser>
        <c:ser>
          <c:idx val="5"/>
          <c:order val="5"/>
          <c:tx>
            <c:strRef>
              <c:f>Import!$D$10</c:f>
              <c:strCache>
                <c:ptCount val="1"/>
                <c:pt idx="0">
                  <c:v>Russia</c:v>
                </c:pt>
              </c:strCache>
            </c:strRef>
          </c:tx>
          <c:spPr>
            <a:solidFill>
              <a:schemeClr val="accent6"/>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Import!$E$10:$J$10</c:f>
              <c:numCache>
                <c:formatCode>General</c:formatCode>
                <c:ptCount val="6"/>
                <c:pt idx="0">
                  <c:v>2.2437027161404646</c:v>
                </c:pt>
                <c:pt idx="1">
                  <c:v>2.1206303312067001</c:v>
                </c:pt>
                <c:pt idx="2">
                  <c:v>1.6913072964402329</c:v>
                </c:pt>
                <c:pt idx="3">
                  <c:v>0.43478992672153721</c:v>
                </c:pt>
                <c:pt idx="4">
                  <c:v>1.4051876669854766</c:v>
                </c:pt>
                <c:pt idx="5">
                  <c:v>4.4941543200123677</c:v>
                </c:pt>
              </c:numCache>
            </c:numRef>
          </c:val>
          <c:extLst>
            <c:ext xmlns:c16="http://schemas.microsoft.com/office/drawing/2014/chart" uri="{C3380CC4-5D6E-409C-BE32-E72D297353CC}">
              <c16:uniqueId val="{00000005-77B2-4D61-BBE3-FFF53EBE3D9A}"/>
            </c:ext>
          </c:extLst>
        </c:ser>
        <c:ser>
          <c:idx val="6"/>
          <c:order val="6"/>
          <c:tx>
            <c:strRef>
              <c:f>Import!$D$11</c:f>
              <c:strCache>
                <c:ptCount val="1"/>
                <c:pt idx="0">
                  <c:v>China</c:v>
                </c:pt>
              </c:strCache>
            </c:strRef>
          </c:tx>
          <c:spPr>
            <a:solidFill>
              <a:schemeClr val="accent1">
                <a:lumMod val="60000"/>
              </a:schemeClr>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Import!$E$11:$J$11</c:f>
              <c:numCache>
                <c:formatCode>General</c:formatCode>
                <c:ptCount val="6"/>
                <c:pt idx="0">
                  <c:v>8.9705031512462075</c:v>
                </c:pt>
                <c:pt idx="1">
                  <c:v>8.0256170800606519</c:v>
                </c:pt>
                <c:pt idx="2">
                  <c:v>6.8780344430713525</c:v>
                </c:pt>
                <c:pt idx="3">
                  <c:v>10.478516973726308</c:v>
                </c:pt>
                <c:pt idx="4">
                  <c:v>9.8480116381109326</c:v>
                </c:pt>
                <c:pt idx="5">
                  <c:v>6.7979712518143014</c:v>
                </c:pt>
              </c:numCache>
            </c:numRef>
          </c:val>
          <c:extLst>
            <c:ext xmlns:c16="http://schemas.microsoft.com/office/drawing/2014/chart" uri="{C3380CC4-5D6E-409C-BE32-E72D297353CC}">
              <c16:uniqueId val="{00000006-77B2-4D61-BBE3-FFF53EBE3D9A}"/>
            </c:ext>
          </c:extLst>
        </c:ser>
        <c:ser>
          <c:idx val="7"/>
          <c:order val="7"/>
          <c:tx>
            <c:strRef>
              <c:f>Import!$D$12</c:f>
              <c:strCache>
                <c:ptCount val="1"/>
                <c:pt idx="0">
                  <c:v>United Kingdom</c:v>
                </c:pt>
              </c:strCache>
            </c:strRef>
          </c:tx>
          <c:spPr>
            <a:solidFill>
              <a:schemeClr val="accent2">
                <a:lumMod val="60000"/>
              </a:schemeClr>
            </a:solidFill>
            <a:ln>
              <a:noFill/>
            </a:ln>
            <a:effectLst/>
          </c:spPr>
          <c:invertIfNegative val="0"/>
          <c:cat>
            <c:strRef>
              <c:f>Import!$E$4:$J$4</c:f>
              <c:strCache>
                <c:ptCount val="6"/>
                <c:pt idx="0">
                  <c:v>Albania</c:v>
                </c:pt>
                <c:pt idx="1">
                  <c:v>BIH</c:v>
                </c:pt>
                <c:pt idx="2">
                  <c:v>Macedonia</c:v>
                </c:pt>
                <c:pt idx="3">
                  <c:v>Montenegro</c:v>
                </c:pt>
                <c:pt idx="4">
                  <c:v>Kosovo</c:v>
                </c:pt>
                <c:pt idx="5">
                  <c:v>Serbia</c:v>
                </c:pt>
              </c:strCache>
            </c:strRef>
          </c:cat>
          <c:val>
            <c:numRef>
              <c:f>Import!$E$12:$J$12</c:f>
              <c:numCache>
                <c:formatCode>General</c:formatCode>
                <c:ptCount val="6"/>
                <c:pt idx="0">
                  <c:v>0.85016307064274887</c:v>
                </c:pt>
                <c:pt idx="1">
                  <c:v>0.78485340035151641</c:v>
                </c:pt>
                <c:pt idx="2">
                  <c:v>15.594365024241419</c:v>
                </c:pt>
                <c:pt idx="3">
                  <c:v>0.9362399426168474</c:v>
                </c:pt>
                <c:pt idx="4">
                  <c:v>0.84187254715864768</c:v>
                </c:pt>
                <c:pt idx="5">
                  <c:v>1.1887718614722165</c:v>
                </c:pt>
              </c:numCache>
            </c:numRef>
          </c:val>
          <c:extLst>
            <c:ext xmlns:c16="http://schemas.microsoft.com/office/drawing/2014/chart" uri="{C3380CC4-5D6E-409C-BE32-E72D297353CC}">
              <c16:uniqueId val="{00000007-77B2-4D61-BBE3-FFF53EBE3D9A}"/>
            </c:ext>
          </c:extLst>
        </c:ser>
        <c:dLbls>
          <c:showLegendKey val="0"/>
          <c:showVal val="0"/>
          <c:showCatName val="0"/>
          <c:showSerName val="0"/>
          <c:showPercent val="0"/>
          <c:showBubbleSize val="0"/>
        </c:dLbls>
        <c:gapWidth val="219"/>
        <c:overlap val="-27"/>
        <c:axId val="2075607983"/>
        <c:axId val="2075602159"/>
      </c:barChart>
      <c:catAx>
        <c:axId val="2075607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5602159"/>
        <c:crosses val="autoZero"/>
        <c:auto val="1"/>
        <c:lblAlgn val="ctr"/>
        <c:lblOffset val="100"/>
        <c:noMultiLvlLbl val="0"/>
      </c:catAx>
      <c:valAx>
        <c:axId val="20756021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5607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8A8CE-2D68-41F4-B0D6-8C8B98517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4977</Words>
  <Characters>28374</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 Tosevska</dc:creator>
  <cp:keywords/>
  <dc:description/>
  <cp:lastModifiedBy>Katerina Tosevska</cp:lastModifiedBy>
  <cp:revision>2</cp:revision>
  <dcterms:created xsi:type="dcterms:W3CDTF">2022-06-08T11:16:00Z</dcterms:created>
  <dcterms:modified xsi:type="dcterms:W3CDTF">2022-06-08T11:16:00Z</dcterms:modified>
</cp:coreProperties>
</file>