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BE91B" w14:textId="77777777" w:rsidR="00250F58" w:rsidRDefault="00250F58" w:rsidP="007377ED">
      <w:pPr>
        <w:autoSpaceDE w:val="0"/>
        <w:autoSpaceDN w:val="0"/>
        <w:adjustRightInd w:val="0"/>
        <w:jc w:val="center"/>
        <w:rPr>
          <w:b/>
          <w:bCs/>
        </w:rPr>
      </w:pPr>
    </w:p>
    <w:p w14:paraId="2F7A9091" w14:textId="77777777" w:rsidR="007377ED" w:rsidRPr="00886336" w:rsidRDefault="006276E4" w:rsidP="007377ED">
      <w:pPr>
        <w:autoSpaceDE w:val="0"/>
        <w:autoSpaceDN w:val="0"/>
        <w:adjustRightInd w:val="0"/>
        <w:jc w:val="center"/>
        <w:rPr>
          <w:b/>
          <w:bCs/>
          <w:sz w:val="28"/>
          <w:szCs w:val="28"/>
        </w:rPr>
      </w:pPr>
      <w:r>
        <w:rPr>
          <w:b/>
          <w:bCs/>
          <w:sz w:val="28"/>
          <w:szCs w:val="28"/>
        </w:rPr>
        <w:t>ASSESING THE IMPORTANCE OF DIGIT</w:t>
      </w:r>
      <w:r w:rsidR="00101FA1" w:rsidRPr="00886336">
        <w:rPr>
          <w:b/>
          <w:bCs/>
          <w:sz w:val="28"/>
          <w:szCs w:val="28"/>
        </w:rPr>
        <w:t>AL AND SUSTAINABLE</w:t>
      </w:r>
      <w:r w:rsidR="007148C6" w:rsidRPr="00886336">
        <w:rPr>
          <w:b/>
          <w:bCs/>
          <w:sz w:val="28"/>
          <w:szCs w:val="28"/>
        </w:rPr>
        <w:t xml:space="preserve"> TRADE FACILITATION </w:t>
      </w:r>
      <w:r>
        <w:rPr>
          <w:b/>
          <w:bCs/>
          <w:sz w:val="28"/>
          <w:szCs w:val="28"/>
        </w:rPr>
        <w:t xml:space="preserve">MEASURES FOR </w:t>
      </w:r>
      <w:r w:rsidR="007148C6" w:rsidRPr="00886336">
        <w:rPr>
          <w:b/>
          <w:bCs/>
          <w:sz w:val="28"/>
          <w:szCs w:val="28"/>
        </w:rPr>
        <w:t>WESTERN BALKANS COUNTRIES</w:t>
      </w:r>
      <w:r>
        <w:rPr>
          <w:b/>
          <w:bCs/>
          <w:sz w:val="28"/>
          <w:szCs w:val="28"/>
        </w:rPr>
        <w:t xml:space="preserve"> TRADE</w:t>
      </w:r>
    </w:p>
    <w:p w14:paraId="0C08E9C3" w14:textId="77777777" w:rsidR="007377ED" w:rsidRDefault="007377ED" w:rsidP="007377ED">
      <w:pPr>
        <w:autoSpaceDE w:val="0"/>
        <w:autoSpaceDN w:val="0"/>
        <w:adjustRightInd w:val="0"/>
        <w:jc w:val="center"/>
        <w:rPr>
          <w:b/>
          <w:bCs/>
        </w:rPr>
      </w:pPr>
    </w:p>
    <w:p w14:paraId="4CFCA492" w14:textId="77777777" w:rsidR="007377ED" w:rsidRPr="004C282B" w:rsidRDefault="007377ED" w:rsidP="007377ED">
      <w:pPr>
        <w:jc w:val="center"/>
        <w:rPr>
          <w:lang w:val="pl-PL"/>
        </w:rPr>
      </w:pPr>
      <w:r w:rsidRPr="004C282B">
        <w:rPr>
          <w:b/>
          <w:bCs/>
          <w:lang w:val="pl-PL"/>
        </w:rPr>
        <w:t>Katerina Toshevska-Trpchevska, Ph.D</w:t>
      </w:r>
      <w:r w:rsidRPr="004C282B">
        <w:rPr>
          <w:lang w:val="pl-PL"/>
        </w:rPr>
        <w:t xml:space="preserve">. </w:t>
      </w:r>
      <w:r w:rsidRPr="002A42F2">
        <w:rPr>
          <w:rStyle w:val="FootnoteReference"/>
        </w:rPr>
        <w:footnoteReference w:id="1"/>
      </w:r>
    </w:p>
    <w:p w14:paraId="134260DD" w14:textId="77777777" w:rsidR="007377ED" w:rsidRDefault="007377ED" w:rsidP="007377ED">
      <w:pPr>
        <w:jc w:val="center"/>
      </w:pPr>
      <w:bookmarkStart w:id="0" w:name="_Hlk115097429"/>
      <w:r w:rsidRPr="002A42F2">
        <w:t>Department of International Trade</w:t>
      </w:r>
      <w:r>
        <w:t xml:space="preserve">, </w:t>
      </w:r>
      <w:r w:rsidRPr="002A42F2">
        <w:t>Faculty of Economics – Skopje</w:t>
      </w:r>
      <w:r>
        <w:t>,</w:t>
      </w:r>
      <w:r w:rsidRPr="002A42F2">
        <w:t xml:space="preserve"> </w:t>
      </w:r>
    </w:p>
    <w:p w14:paraId="748AC05E" w14:textId="77777777" w:rsidR="007377ED" w:rsidRDefault="007377ED" w:rsidP="007377ED">
      <w:pPr>
        <w:jc w:val="center"/>
      </w:pPr>
      <w:r w:rsidRPr="002A42F2">
        <w:t>Ss. Cyril and Methodius University in Skopje</w:t>
      </w:r>
      <w:r w:rsidR="007148C6">
        <w:t>, Macedonia</w:t>
      </w:r>
    </w:p>
    <w:p w14:paraId="0A02DE4C" w14:textId="77777777" w:rsidR="007148C6" w:rsidRDefault="007148C6" w:rsidP="007377ED">
      <w:pPr>
        <w:jc w:val="center"/>
      </w:pPr>
    </w:p>
    <w:p w14:paraId="2B16BEBC" w14:textId="77777777" w:rsidR="007148C6" w:rsidRDefault="009619CE" w:rsidP="007377ED">
      <w:pPr>
        <w:jc w:val="center"/>
        <w:rPr>
          <w:b/>
          <w:bCs/>
        </w:rPr>
      </w:pPr>
      <w:r>
        <w:rPr>
          <w:b/>
          <w:bCs/>
        </w:rPr>
        <w:t>Elena Makrevska Disoska</w:t>
      </w:r>
    </w:p>
    <w:p w14:paraId="22A003D2" w14:textId="77777777" w:rsidR="009619CE" w:rsidRDefault="009619CE" w:rsidP="009619CE">
      <w:pPr>
        <w:jc w:val="center"/>
      </w:pPr>
      <w:r w:rsidRPr="002A42F2">
        <w:t>Department of International Trade</w:t>
      </w:r>
      <w:r>
        <w:t xml:space="preserve">, </w:t>
      </w:r>
      <w:r w:rsidRPr="002A42F2">
        <w:t>Faculty of Economics – Skopje</w:t>
      </w:r>
      <w:r>
        <w:t>,</w:t>
      </w:r>
      <w:r w:rsidRPr="002A42F2">
        <w:t xml:space="preserve"> </w:t>
      </w:r>
    </w:p>
    <w:p w14:paraId="6FBF5ABD" w14:textId="77777777" w:rsidR="009619CE" w:rsidRDefault="009619CE" w:rsidP="009619CE">
      <w:pPr>
        <w:jc w:val="center"/>
      </w:pPr>
      <w:r w:rsidRPr="002A42F2">
        <w:t>Ss. Cyril and Methodius University in Skopje</w:t>
      </w:r>
      <w:r>
        <w:t>, Macedonia</w:t>
      </w:r>
    </w:p>
    <w:p w14:paraId="438B09ED" w14:textId="77777777" w:rsidR="007148C6" w:rsidRDefault="007148C6" w:rsidP="007377ED">
      <w:pPr>
        <w:jc w:val="center"/>
        <w:rPr>
          <w:color w:val="242424"/>
          <w:shd w:val="clear" w:color="auto" w:fill="FFFFFF"/>
        </w:rPr>
      </w:pPr>
    </w:p>
    <w:p w14:paraId="4808AA0E" w14:textId="77777777" w:rsidR="007148C6" w:rsidRPr="007148C6" w:rsidRDefault="007148C6" w:rsidP="007377ED">
      <w:pPr>
        <w:jc w:val="center"/>
        <w:rPr>
          <w:b/>
          <w:bCs/>
          <w:color w:val="242424"/>
          <w:shd w:val="clear" w:color="auto" w:fill="FFFFFF"/>
        </w:rPr>
      </w:pPr>
      <w:r w:rsidRPr="007148C6">
        <w:rPr>
          <w:b/>
          <w:bCs/>
          <w:color w:val="242424"/>
          <w:shd w:val="clear" w:color="auto" w:fill="FFFFFF"/>
        </w:rPr>
        <w:t>Viktor Stojkoski</w:t>
      </w:r>
      <w:r>
        <w:rPr>
          <w:b/>
          <w:bCs/>
          <w:color w:val="242424"/>
          <w:shd w:val="clear" w:color="auto" w:fill="FFFFFF"/>
        </w:rPr>
        <w:t>, Ph.D.</w:t>
      </w:r>
    </w:p>
    <w:p w14:paraId="0F70B694" w14:textId="77777777" w:rsidR="007148C6" w:rsidRDefault="007148C6" w:rsidP="007148C6">
      <w:pPr>
        <w:jc w:val="center"/>
      </w:pPr>
      <w:r>
        <w:t xml:space="preserve">Department of Mathematics and Statistics, </w:t>
      </w:r>
      <w:r w:rsidRPr="002A42F2">
        <w:t>Faculty of Economics – Skopje</w:t>
      </w:r>
      <w:r>
        <w:t>,</w:t>
      </w:r>
      <w:r w:rsidRPr="002A42F2">
        <w:t xml:space="preserve"> </w:t>
      </w:r>
    </w:p>
    <w:p w14:paraId="7218F6EC" w14:textId="77777777" w:rsidR="007148C6" w:rsidRDefault="007148C6" w:rsidP="007148C6">
      <w:pPr>
        <w:jc w:val="center"/>
      </w:pPr>
      <w:r w:rsidRPr="002A42F2">
        <w:t>Ss. Cyril and Methodius University in Skopje</w:t>
      </w:r>
      <w:r>
        <w:t>, Macedonia</w:t>
      </w:r>
    </w:p>
    <w:p w14:paraId="42C5AD8D" w14:textId="77777777" w:rsidR="007148C6" w:rsidRDefault="007148C6" w:rsidP="007377ED">
      <w:pPr>
        <w:jc w:val="center"/>
      </w:pPr>
    </w:p>
    <w:p w14:paraId="349FD0C4" w14:textId="77777777" w:rsidR="00C84B26" w:rsidRPr="007148C6" w:rsidRDefault="00C84B26" w:rsidP="00C84B26">
      <w:pPr>
        <w:jc w:val="center"/>
        <w:rPr>
          <w:b/>
          <w:bCs/>
          <w:color w:val="242424"/>
          <w:shd w:val="clear" w:color="auto" w:fill="FFFFFF"/>
        </w:rPr>
      </w:pPr>
      <w:r>
        <w:rPr>
          <w:b/>
          <w:bCs/>
          <w:color w:val="242424"/>
          <w:shd w:val="clear" w:color="auto" w:fill="FFFFFF"/>
        </w:rPr>
        <w:t>Predrag Bjelić, Ph.D.</w:t>
      </w:r>
    </w:p>
    <w:p w14:paraId="7218C12C" w14:textId="77777777" w:rsidR="00C84B26" w:rsidRDefault="00C84B26" w:rsidP="00C84B26">
      <w:pPr>
        <w:jc w:val="center"/>
      </w:pPr>
      <w:r>
        <w:t xml:space="preserve">Department of International Economic Relations, </w:t>
      </w:r>
      <w:r w:rsidRPr="002A42F2">
        <w:t>Faculty of Economics</w:t>
      </w:r>
      <w:r>
        <w:t xml:space="preserve"> and Business,</w:t>
      </w:r>
      <w:r w:rsidRPr="002A42F2">
        <w:t xml:space="preserve"> </w:t>
      </w:r>
    </w:p>
    <w:p w14:paraId="3AB7AA3F" w14:textId="77777777" w:rsidR="00C84B26" w:rsidRDefault="00C84B26" w:rsidP="00C84B26">
      <w:pPr>
        <w:jc w:val="center"/>
      </w:pPr>
      <w:r w:rsidRPr="002A42F2">
        <w:t xml:space="preserve">University </w:t>
      </w:r>
      <w:r>
        <w:t>of Belgrade, Serbia</w:t>
      </w:r>
    </w:p>
    <w:p w14:paraId="330B1711" w14:textId="77777777" w:rsidR="00C84B26" w:rsidRPr="007148C6" w:rsidRDefault="00C84B26" w:rsidP="007377ED">
      <w:pPr>
        <w:jc w:val="center"/>
      </w:pPr>
    </w:p>
    <w:bookmarkEnd w:id="0"/>
    <w:p w14:paraId="4B80BB65" w14:textId="77777777" w:rsidR="007377ED" w:rsidRDefault="007377ED" w:rsidP="007377ED">
      <w:pPr>
        <w:jc w:val="center"/>
      </w:pPr>
    </w:p>
    <w:p w14:paraId="24A1F1D4" w14:textId="77777777" w:rsidR="007377ED" w:rsidRPr="007377ED" w:rsidRDefault="007377ED" w:rsidP="007377ED">
      <w:pPr>
        <w:rPr>
          <w:b/>
          <w:bCs/>
        </w:rPr>
      </w:pPr>
      <w:r w:rsidRPr="007377ED">
        <w:rPr>
          <w:b/>
          <w:bCs/>
        </w:rPr>
        <w:t>Abstract</w:t>
      </w:r>
    </w:p>
    <w:p w14:paraId="73C70736" w14:textId="77777777" w:rsidR="00594313" w:rsidRPr="00594313" w:rsidRDefault="00594313" w:rsidP="00594313">
      <w:pPr>
        <w:jc w:val="both"/>
      </w:pPr>
      <w:r w:rsidRPr="00594313">
        <w:t>The COVID-19 pandemic and the subsequent disruptions in international economic relations highlighted the need to incorporate climate-smart considerations into the reconfiguration of the global trade order. International organizations have emphasized that this period presents a unique opportunity to integrate climate-smart trade and investment provisions aimed at promoting sustainable development. In this context, international trade has been recognized as a key instrument in addressing climate change, enabling economies to strengthen their capacity for both climate change mitigation and adaptation to its adverse effects.</w:t>
      </w:r>
    </w:p>
    <w:p w14:paraId="356CA179" w14:textId="77777777" w:rsidR="00594313" w:rsidRPr="00594313" w:rsidRDefault="00594313" w:rsidP="00594313">
      <w:pPr>
        <w:autoSpaceDE w:val="0"/>
        <w:autoSpaceDN w:val="0"/>
        <w:adjustRightInd w:val="0"/>
        <w:jc w:val="both"/>
      </w:pPr>
      <w:r w:rsidRPr="00594313">
        <w:t xml:space="preserve">This paper examines the digital and sustainable dimensions of trade facilitation measures implemented in the Western Balkan countries. In order to assess the significance of trade facilitation measures, as well as their digital and sustainability-related components, the study applies a standard gravity model using data from the United Nations Global Survey on Digital and Sustainable Trade Facilitation. </w:t>
      </w:r>
      <w:r>
        <w:t xml:space="preserve">This paper is a continuation of our previous work on digital and sustainable trade </w:t>
      </w:r>
      <w:r w:rsidR="0004250C">
        <w:t>facilitation,</w:t>
      </w:r>
      <w:r>
        <w:t xml:space="preserve"> </w:t>
      </w:r>
      <w:r w:rsidR="0004250C">
        <w:t xml:space="preserve">and </w:t>
      </w:r>
      <w:r>
        <w:t>we try to continue and update our analysis, and in that way, we can test the consistency of the importance of the trade facilitation measures and their relative importance.</w:t>
      </w:r>
      <w:r>
        <w:rPr>
          <w:lang w:val="mk-MK"/>
        </w:rPr>
        <w:t xml:space="preserve"> </w:t>
      </w:r>
      <w:r w:rsidRPr="00594313">
        <w:t>The findings indicate that trade facilitation measures play a significant role in enhancing and expanding trade among the Western Balkan countries. In particular, measures aimed at increasing transparency in trade procedures and reducing trade formalities are identified as the most influential factors in stimulating bilateral trade within the region. By contrast, measures related to cross-border paperless trade exhibit a comparatively lower level of significance.</w:t>
      </w:r>
    </w:p>
    <w:p w14:paraId="237B665E" w14:textId="77777777" w:rsidR="001D3D5E" w:rsidRPr="00594313" w:rsidRDefault="001D3D5E" w:rsidP="007377ED">
      <w:pPr>
        <w:jc w:val="both"/>
      </w:pPr>
    </w:p>
    <w:p w14:paraId="5012DB98" w14:textId="77777777" w:rsidR="001D3D5E" w:rsidRDefault="001D3D5E" w:rsidP="001D3D5E">
      <w:pPr>
        <w:jc w:val="both"/>
      </w:pPr>
      <w:r w:rsidRPr="00D96391">
        <w:rPr>
          <w:b/>
          <w:bCs/>
        </w:rPr>
        <w:t>Keywords:</w:t>
      </w:r>
      <w:r w:rsidRPr="00D96391">
        <w:t xml:space="preserve"> </w:t>
      </w:r>
      <w:r w:rsidR="00981F54">
        <w:t>T</w:t>
      </w:r>
      <w:r w:rsidR="006C134D">
        <w:t xml:space="preserve">rade </w:t>
      </w:r>
      <w:r w:rsidR="00981F54">
        <w:t>F</w:t>
      </w:r>
      <w:r w:rsidR="006C134D">
        <w:t xml:space="preserve">acilitation, </w:t>
      </w:r>
      <w:r w:rsidR="00981F54">
        <w:t>D</w:t>
      </w:r>
      <w:r w:rsidR="00F14187">
        <w:t xml:space="preserve">igital and </w:t>
      </w:r>
      <w:r w:rsidR="00981F54">
        <w:t>S</w:t>
      </w:r>
      <w:r w:rsidR="00F14187">
        <w:t xml:space="preserve">ustainable </w:t>
      </w:r>
      <w:r w:rsidR="00981F54">
        <w:t>T</w:t>
      </w:r>
      <w:r w:rsidR="00F14187">
        <w:t xml:space="preserve">rade, </w:t>
      </w:r>
      <w:r w:rsidR="00981F54">
        <w:t>G</w:t>
      </w:r>
      <w:r w:rsidR="00101FA1">
        <w:t xml:space="preserve">ravity </w:t>
      </w:r>
      <w:r w:rsidR="00981F54">
        <w:t>M</w:t>
      </w:r>
      <w:r w:rsidR="00101FA1">
        <w:t>odel,</w:t>
      </w:r>
      <w:r w:rsidR="006C134D" w:rsidRPr="006C134D">
        <w:t xml:space="preserve"> </w:t>
      </w:r>
      <w:r w:rsidR="006C134D">
        <w:t xml:space="preserve">UN Global </w:t>
      </w:r>
      <w:r w:rsidR="000A77A0">
        <w:t>Survey, Western</w:t>
      </w:r>
      <w:r w:rsidR="009133C1">
        <w:t xml:space="preserve"> Balkans </w:t>
      </w:r>
      <w:r w:rsidR="00981F54">
        <w:t>C</w:t>
      </w:r>
      <w:r w:rsidR="009133C1">
        <w:t>ountries</w:t>
      </w:r>
      <w:r w:rsidRPr="00D96391">
        <w:t>.</w:t>
      </w:r>
    </w:p>
    <w:p w14:paraId="7E7F3FF0" w14:textId="77777777" w:rsidR="001D3D5E" w:rsidRPr="00D96391" w:rsidRDefault="001D3D5E" w:rsidP="001D3D5E">
      <w:pPr>
        <w:jc w:val="both"/>
      </w:pPr>
    </w:p>
    <w:p w14:paraId="72C4E5B4" w14:textId="77777777" w:rsidR="001D3D5E" w:rsidRDefault="001D3D5E" w:rsidP="001D3D5E">
      <w:pPr>
        <w:jc w:val="both"/>
      </w:pPr>
      <w:r w:rsidRPr="00D96391">
        <w:rPr>
          <w:b/>
          <w:bCs/>
        </w:rPr>
        <w:t xml:space="preserve">JEL Classification: </w:t>
      </w:r>
      <w:r w:rsidRPr="00D96391">
        <w:t>F10; F14; C23</w:t>
      </w:r>
      <w:r w:rsidR="00C31C9D">
        <w:t>.</w:t>
      </w:r>
    </w:p>
    <w:p w14:paraId="17018428" w14:textId="258A8EF5" w:rsidR="00B5124B" w:rsidRPr="00B5124B" w:rsidRDefault="00D06464" w:rsidP="00B5124B">
      <w:pPr>
        <w:jc w:val="both"/>
        <w:rPr>
          <w:lang w:val="mk-MK"/>
        </w:rPr>
      </w:pPr>
      <w:r>
        <w:rPr>
          <w:noProof/>
        </w:rPr>
        <w:lastRenderedPageBreak/>
        <w:drawing>
          <wp:anchor distT="0" distB="0" distL="114300" distR="114300" simplePos="0" relativeHeight="251658240" behindDoc="0" locked="0" layoutInCell="1" allowOverlap="1" wp14:anchorId="55E33120" wp14:editId="76A964E7">
            <wp:simplePos x="0" y="0"/>
            <wp:positionH relativeFrom="margin">
              <wp:align>right</wp:align>
            </wp:positionH>
            <wp:positionV relativeFrom="paragraph">
              <wp:posOffset>883920</wp:posOffset>
            </wp:positionV>
            <wp:extent cx="1493520" cy="373380"/>
            <wp:effectExtent l="0" t="0" r="0" b="7620"/>
            <wp:wrapThrough wrapText="bothSides">
              <wp:wrapPolygon edited="0">
                <wp:start x="0" y="0"/>
                <wp:lineTo x="0" y="20939"/>
                <wp:lineTo x="21214" y="20939"/>
                <wp:lineTo x="21214" y="0"/>
                <wp:lineTo x="0" y="0"/>
              </wp:wrapPolygon>
            </wp:wrapThrough>
            <wp:docPr id="842669930" name="Picture 2"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69930" name="Picture 2" descr="A close-up of a sign&#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93520" cy="373380"/>
                    </a:xfrm>
                    <a:prstGeom prst="rect">
                      <a:avLst/>
                    </a:prstGeom>
                  </pic:spPr>
                </pic:pic>
              </a:graphicData>
            </a:graphic>
            <wp14:sizeRelH relativeFrom="page">
              <wp14:pctWidth>0</wp14:pctWidth>
            </wp14:sizeRelH>
            <wp14:sizeRelV relativeFrom="page">
              <wp14:pctHeight>0</wp14:pctHeight>
            </wp14:sizeRelV>
          </wp:anchor>
        </w:drawing>
      </w:r>
      <w:r w:rsidR="00B5124B" w:rsidRPr="00B5124B">
        <w:rPr>
          <w:b/>
          <w:bCs/>
        </w:rPr>
        <w:t xml:space="preserve">Acknowledgement: </w:t>
      </w:r>
      <w:r w:rsidR="00B5124B" w:rsidRPr="00255E9F">
        <w:t xml:space="preserve">Co-funded by the European Union (EU) under the Erasmus+ Jean Monnet Chair project “Strengthening </w:t>
      </w:r>
      <w:r w:rsidR="00B5124B">
        <w:t>the K</w:t>
      </w:r>
      <w:r w:rsidR="00B5124B" w:rsidRPr="00255E9F">
        <w:t>nowledge o</w:t>
      </w:r>
      <w:r w:rsidR="00B5124B">
        <w:t>f</w:t>
      </w:r>
      <w:r w:rsidR="00B5124B" w:rsidRPr="00255E9F">
        <w:t xml:space="preserve"> the EU Internal Market – </w:t>
      </w:r>
      <w:r w:rsidR="00B5124B">
        <w:t>Widening</w:t>
      </w:r>
      <w:r w:rsidR="00B5124B" w:rsidRPr="00255E9F">
        <w:t xml:space="preserve"> the Perspectives of Candidate Countries” for the period 2024–2027</w:t>
      </w:r>
      <w:r w:rsidR="00262202">
        <w:t xml:space="preserve"> (</w:t>
      </w:r>
      <w:r w:rsidR="00262202" w:rsidRPr="00262202">
        <w:rPr>
          <w:lang w:val="en-GB"/>
        </w:rPr>
        <w:t>Project number: 101175268</w:t>
      </w:r>
      <w:r w:rsidR="00262202">
        <w:rPr>
          <w:lang w:val="en-GB"/>
        </w:rPr>
        <w:t>).</w:t>
      </w:r>
      <w:r w:rsidR="00B5124B">
        <w:rPr>
          <w:lang w:val="en-GB"/>
        </w:rPr>
        <w:t xml:space="preserve"> </w:t>
      </w:r>
      <w:r w:rsidR="00B5124B">
        <w:t>Co-f</w:t>
      </w:r>
      <w:r w:rsidR="00B5124B" w:rsidRPr="003F778E">
        <w:t>unded by the European Union. Views and opinions expressed are however those of the author(s) only and do not necessarily reflect those of the European Union or the European Education and Culture</w:t>
      </w:r>
      <w:r w:rsidR="00B5124B">
        <w:t xml:space="preserve"> </w:t>
      </w:r>
      <w:r w:rsidR="00B5124B" w:rsidRPr="003F778E">
        <w:t>Executive Agency (EACEA). Neither the European Union nor EACEA can be held responsible for them.</w:t>
      </w:r>
      <w:r w:rsidR="00B5124B" w:rsidRPr="00B5124B">
        <w:rPr>
          <w:noProof/>
        </w:rPr>
        <w:t xml:space="preserve"> </w:t>
      </w:r>
    </w:p>
    <w:p w14:paraId="4CF430C2" w14:textId="12B1AD9A" w:rsidR="00B5124B" w:rsidRPr="00D96391" w:rsidRDefault="00B5124B" w:rsidP="001D3D5E">
      <w:pPr>
        <w:jc w:val="both"/>
      </w:pPr>
    </w:p>
    <w:p w14:paraId="37CA0EB2" w14:textId="479F21EB" w:rsidR="00B44CF8" w:rsidRDefault="00B44CF8" w:rsidP="007377ED">
      <w:pPr>
        <w:jc w:val="both"/>
        <w:rPr>
          <w:b/>
        </w:rPr>
      </w:pPr>
    </w:p>
    <w:p w14:paraId="5DA2A1D2" w14:textId="77777777" w:rsidR="00D84035" w:rsidRDefault="00D84035" w:rsidP="007377ED">
      <w:pPr>
        <w:jc w:val="both"/>
        <w:rPr>
          <w:b/>
        </w:rPr>
      </w:pPr>
    </w:p>
    <w:p w14:paraId="4326E95A" w14:textId="77777777" w:rsidR="009619CE" w:rsidRPr="00A42D85" w:rsidRDefault="009619CE" w:rsidP="009619CE">
      <w:pPr>
        <w:jc w:val="both"/>
        <w:rPr>
          <w:b/>
          <w:bCs/>
        </w:rPr>
      </w:pPr>
      <w:r w:rsidRPr="00A42D85">
        <w:rPr>
          <w:b/>
          <w:bCs/>
        </w:rPr>
        <w:t>Introduction</w:t>
      </w:r>
    </w:p>
    <w:p w14:paraId="46D30965" w14:textId="77777777" w:rsidR="009619CE" w:rsidRPr="00A42D85" w:rsidRDefault="009619CE" w:rsidP="009619CE">
      <w:pPr>
        <w:jc w:val="both"/>
        <w:rPr>
          <w:b/>
          <w:bCs/>
        </w:rPr>
      </w:pPr>
    </w:p>
    <w:p w14:paraId="291C5085" w14:textId="50D07E4F" w:rsidR="009619CE" w:rsidRDefault="009619CE" w:rsidP="009619CE">
      <w:pPr>
        <w:jc w:val="both"/>
      </w:pPr>
      <w:r w:rsidRPr="00A42D85">
        <w:t>In an increasingly interconnected global economy, trade digitalization and paperless trade systems have emerged as pivotal instruments for enhancing supply chain resilience and reducing trade costs. Persistent non-tariff barriers (NTBs) continue to impose greater costs on trade than tariffs, underscoring the urgency of comprehensive trade facilitation measures. Digitalization offers a dual advantage: lowering transaction costs while mitigating environmental impacts. For instance, full digitalization of trade procedures could significantly reduce trade costs and cut CO</w:t>
      </w:r>
      <w:r w:rsidR="00031F0A">
        <w:t>2</w:t>
      </w:r>
      <w:r w:rsidRPr="00A42D85">
        <w:t xml:space="preserve"> emissions, demonstrating the transformative potential of technology-driven solutions</w:t>
      </w:r>
      <w:r>
        <w:t xml:space="preserve"> (Duval and Simon, 2021</w:t>
      </w:r>
      <w:r w:rsidRPr="005B339E">
        <w:t>)</w:t>
      </w:r>
      <w:r>
        <w:t xml:space="preserve">. </w:t>
      </w:r>
    </w:p>
    <w:p w14:paraId="3E49B637" w14:textId="77777777" w:rsidR="003F24DD" w:rsidRPr="00A42D85" w:rsidRDefault="003F24DD" w:rsidP="009619CE">
      <w:pPr>
        <w:jc w:val="both"/>
      </w:pPr>
    </w:p>
    <w:p w14:paraId="2CE022CA" w14:textId="77777777" w:rsidR="009619CE" w:rsidRDefault="009619CE" w:rsidP="009619CE">
      <w:pPr>
        <w:jc w:val="both"/>
      </w:pPr>
      <w:r w:rsidRPr="00A42D85">
        <w:t xml:space="preserve">Effective trade facilitation requires a holistic approach encompassing improved transport infrastructure, streamlined regulations, simplified documentation, and transparent electronic data exchange. Paperless and cross-border paperless trade systems are particularly critical for developing countries and small and medium-sized enterprises (SMEs), which face disproportionately high trade costs. Global initiatives such as the WTO Trade Facilitation Agreement, complemented by regional frameworks like the UN Framework Agreement on Cross-border Paperless Trade, </w:t>
      </w:r>
      <w:r w:rsidR="00587E71">
        <w:t xml:space="preserve">and CEFTA Additional Protocol No.5 on Trade Facilitation </w:t>
      </w:r>
      <w:r w:rsidRPr="00A42D85">
        <w:t>provide a foundation for advancing these objectives.</w:t>
      </w:r>
    </w:p>
    <w:p w14:paraId="2DA36BD0" w14:textId="77777777" w:rsidR="003F24DD" w:rsidRPr="00A42D85" w:rsidRDefault="003F24DD" w:rsidP="009619CE">
      <w:pPr>
        <w:jc w:val="both"/>
      </w:pPr>
    </w:p>
    <w:p w14:paraId="716BC887" w14:textId="77777777" w:rsidR="009619CE" w:rsidRDefault="009619CE" w:rsidP="009619CE">
      <w:pPr>
        <w:jc w:val="both"/>
      </w:pPr>
      <w:r w:rsidRPr="002D3463">
        <w:t>This paper examines the impact of digital and sustainable trade facilitation on mutual trade flows among Western Balkan countries,</w:t>
      </w:r>
      <w:r w:rsidRPr="00A42D85">
        <w:t xml:space="preserve"> drawing on evidence from the UN Global Survey on Digital and Sustainable Trade Facilitation. The empirical analysis is theoretically grounded in ongoing reforms aimed at strengthening regional integration within the Western Balkans. Western Balkans’ Growth Plan, adopted on 8 November 2023, introduces a model of “integration before accession”</w:t>
      </w:r>
      <w:r>
        <w:t xml:space="preserve"> (European Commission, 2023). </w:t>
      </w:r>
      <w:r w:rsidRPr="00A42D85">
        <w:t xml:space="preserve">This approach grants Western Balkan economies access to selected benefits of the EU Internal Market and increased EU funding prior to full membership, contingent on reform progress. Central to this strategy is the Common Regional Market (CRM), designed to overcome structural constraints of fragmented national markets by fostering deeper economic integration among Western Balkan countries aligned with EU standards. </w:t>
      </w:r>
    </w:p>
    <w:p w14:paraId="4EF8C533" w14:textId="77777777" w:rsidR="003F24DD" w:rsidRPr="00A42D85" w:rsidRDefault="003F24DD" w:rsidP="009619CE">
      <w:pPr>
        <w:jc w:val="both"/>
      </w:pPr>
    </w:p>
    <w:p w14:paraId="38B20D92" w14:textId="77777777" w:rsidR="009619CE" w:rsidRDefault="009619CE" w:rsidP="009619CE">
      <w:pPr>
        <w:jc w:val="both"/>
      </w:pPr>
      <w:r w:rsidRPr="00A42D85">
        <w:t xml:space="preserve">The CRM is supported by existing bilateral and regional frameworks, most notably the </w:t>
      </w:r>
      <w:r w:rsidRPr="001A64DE">
        <w:t xml:space="preserve">Stabilization and Association Agreements (SAAs) and </w:t>
      </w:r>
      <w:r>
        <w:t xml:space="preserve">regional integration </w:t>
      </w:r>
      <w:r w:rsidRPr="001A64DE">
        <w:t>CEFTA</w:t>
      </w:r>
      <w:r>
        <w:t>-2006</w:t>
      </w:r>
      <w:r w:rsidRPr="001A64DE">
        <w:t>,</w:t>
      </w:r>
      <w:r w:rsidRPr="00A42D85">
        <w:t xml:space="preserve"> as well as sectoral initiatives such as the </w:t>
      </w:r>
      <w:r w:rsidRPr="001A64DE">
        <w:t>Energy and Transport Communities</w:t>
      </w:r>
      <w:r w:rsidRPr="00A42D85">
        <w:t xml:space="preserve">. Together, these mechanisms promote regulatory harmonization, reduce barriers to cross-border economic activity, and create a practical testing ground for EU rules. Recent developments under CEFTA-2006, including digital trade facilitation and e-commerce standardization, highlight the region’s commitment to reducing NTBs and aligning with EU norms. </w:t>
      </w:r>
    </w:p>
    <w:p w14:paraId="21BF5DED" w14:textId="77777777" w:rsidR="003F24DD" w:rsidRDefault="003F24DD" w:rsidP="009619CE">
      <w:pPr>
        <w:jc w:val="both"/>
      </w:pPr>
    </w:p>
    <w:p w14:paraId="4583164D" w14:textId="7F5724C9" w:rsidR="009619CE" w:rsidRDefault="009619CE" w:rsidP="009619CE">
      <w:pPr>
        <w:autoSpaceDE w:val="0"/>
        <w:autoSpaceDN w:val="0"/>
        <w:adjustRightInd w:val="0"/>
        <w:jc w:val="both"/>
      </w:pPr>
      <w:r>
        <w:lastRenderedPageBreak/>
        <w:t xml:space="preserve">This paper is a continuation of our previous work on digital and sustainable trade facilitation within the Western Balkan countries’ region. In 2024 Toshevska-Trpchevska et al. </w:t>
      </w:r>
      <w:r w:rsidR="004943BE">
        <w:t xml:space="preserve">We </w:t>
      </w:r>
      <w:r>
        <w:t xml:space="preserve">analyzed the importance of digital and sustainable trade facilitation measures for improving Western Balkan countries’ mutual trade. </w:t>
      </w:r>
      <w:r w:rsidR="00117DE9">
        <w:t xml:space="preserve">With this paper we try to continue and update our analysis, and in that </w:t>
      </w:r>
      <w:r w:rsidR="00884F3E">
        <w:t>way,</w:t>
      </w:r>
      <w:r w:rsidR="00117DE9">
        <w:t xml:space="preserve"> we can test the consistency of the importance of the trade facilitation measures and their relative importance. </w:t>
      </w:r>
    </w:p>
    <w:p w14:paraId="50FB7392" w14:textId="77777777" w:rsidR="003F24DD" w:rsidRDefault="003F24DD" w:rsidP="009619CE">
      <w:pPr>
        <w:autoSpaceDE w:val="0"/>
        <w:autoSpaceDN w:val="0"/>
        <w:adjustRightInd w:val="0"/>
        <w:jc w:val="both"/>
      </w:pPr>
    </w:p>
    <w:p w14:paraId="598D7B95" w14:textId="77777777" w:rsidR="009619CE" w:rsidRDefault="00884F3E" w:rsidP="009619CE">
      <w:pPr>
        <w:jc w:val="both"/>
      </w:pPr>
      <w:r w:rsidRPr="00884F3E">
        <w:t>The paper is organized as follows. Following the introduction, the second section presents a review of the relevant literature, highlighting the importance of trade facilitation measures in fostering trade integration and enhancing bilateral trade. The third section describes the empirical model and the data employed in the analysis. The fourth section reports the research findings and provides a brief discussion of their implications. The final section concludes and offers recommendations for future trade policymakers in the countries concerned.</w:t>
      </w:r>
    </w:p>
    <w:p w14:paraId="23CAF147" w14:textId="77777777" w:rsidR="00884F3E" w:rsidRPr="00A42D85" w:rsidRDefault="00884F3E" w:rsidP="009619CE">
      <w:pPr>
        <w:jc w:val="both"/>
        <w:rPr>
          <w:b/>
          <w:bCs/>
        </w:rPr>
      </w:pPr>
    </w:p>
    <w:p w14:paraId="3B96E4B8" w14:textId="77777777" w:rsidR="009619CE" w:rsidRPr="00A42D85" w:rsidRDefault="009619CE" w:rsidP="009619CE">
      <w:pPr>
        <w:jc w:val="both"/>
        <w:rPr>
          <w:b/>
          <w:bCs/>
        </w:rPr>
      </w:pPr>
      <w:r w:rsidRPr="00A42D85">
        <w:rPr>
          <w:b/>
          <w:bCs/>
        </w:rPr>
        <w:t>Literature review</w:t>
      </w:r>
    </w:p>
    <w:p w14:paraId="26D13BF7" w14:textId="77777777" w:rsidR="003F24DD" w:rsidRDefault="003F24DD" w:rsidP="009619CE">
      <w:pPr>
        <w:jc w:val="both"/>
      </w:pPr>
    </w:p>
    <w:p w14:paraId="43F63365" w14:textId="77777777" w:rsidR="003F24DD" w:rsidRDefault="009619CE" w:rsidP="009619CE">
      <w:pPr>
        <w:jc w:val="both"/>
      </w:pPr>
      <w:r w:rsidRPr="00A42D85">
        <w:t xml:space="preserve">The literature confirms that digital and sustainable trade facilitation correlate with lower costs, improved efficiency, and stronger bilateral trade. Digital tools, particularly when integrated with sustainability initiatives, appear </w:t>
      </w:r>
      <w:r>
        <w:t>crucial</w:t>
      </w:r>
      <w:r w:rsidRPr="00A42D85">
        <w:t xml:space="preserve">. </w:t>
      </w:r>
    </w:p>
    <w:p w14:paraId="571E7A2A" w14:textId="77777777" w:rsidR="00031F0A" w:rsidRDefault="00031F0A" w:rsidP="009619CE">
      <w:pPr>
        <w:jc w:val="both"/>
      </w:pPr>
    </w:p>
    <w:p w14:paraId="47417A3E" w14:textId="77777777" w:rsidR="00031F0A" w:rsidRDefault="009619CE" w:rsidP="00F107B7">
      <w:pPr>
        <w:jc w:val="both"/>
      </w:pPr>
      <w:r w:rsidRPr="00A42D85">
        <w:t>The UN Global Survey on Digital and Sustainable Trade Facilitation (2025) highlights widespread adoption of electronic and related systems, with a global average implementation rate of about 71 %. It also finds that full digital facilitation could reduce average trade costs by approximately 11 %, notably exceeding the estimated 5 % reduction achievable through compliance with only WTO TFA-aligned measures. Digital systems facilitate real-time monitoring of environmental compliance, enabling "digital green corridors" and contributing to both trade efficiency and sustainability goals. Countries achieving higher scores in both digital and sustainable facilitation tend to exhibit stronger trade performance (ESCAP</w:t>
      </w:r>
      <w:r>
        <w:t xml:space="preserve">, </w:t>
      </w:r>
      <w:r w:rsidRPr="00A42D85">
        <w:t xml:space="preserve">2025). </w:t>
      </w:r>
      <w:r w:rsidR="00682D3F" w:rsidRPr="00A42D85">
        <w:t>Research focusing on ASEAN countries demonstrates that improvements in transparency, reduction of formalities, and cross-border paperless trade significantly boost bilateral trade volumes, validated through gravity model analysis spanning 2017–2021 (Lei, Toshevska</w:t>
      </w:r>
      <w:r w:rsidR="00682D3F" w:rsidRPr="00A42D85">
        <w:noBreakHyphen/>
        <w:t xml:space="preserve">Trpchevska </w:t>
      </w:r>
      <w:r w:rsidR="00682D3F">
        <w:t>and</w:t>
      </w:r>
      <w:r w:rsidR="00682D3F" w:rsidRPr="00A42D85">
        <w:t xml:space="preserve"> Stojkoski, 2025). </w:t>
      </w:r>
      <w:r w:rsidR="00A3590C" w:rsidRPr="00EA5799">
        <w:t>South-East and East Asia recorded the highest rates among developing regions throughout the reporting period, followed by South and East Europe, the Caucasus, and Central Asia. However, the interregional gap narrowed substantially, decreasing from 14.41 percentage points in 2015 to 2.13 percentage points in 2025.</w:t>
      </w:r>
      <w:r w:rsidR="00352728" w:rsidRPr="00EA5799">
        <w:t xml:space="preserve"> </w:t>
      </w:r>
      <w:r w:rsidR="00031F0A">
        <w:t>Previous UN Global Surveys on Digital and Sustainable Trade facilitation have created a database of data with a large global sample.</w:t>
      </w:r>
    </w:p>
    <w:p w14:paraId="35FB8653" w14:textId="77777777" w:rsidR="00031F0A" w:rsidRDefault="00031F0A" w:rsidP="00F107B7">
      <w:pPr>
        <w:jc w:val="both"/>
      </w:pPr>
    </w:p>
    <w:p w14:paraId="0D5CE3EA" w14:textId="77777777" w:rsidR="00026014" w:rsidRPr="000A7625" w:rsidRDefault="00031F0A" w:rsidP="00026014">
      <w:pPr>
        <w:jc w:val="both"/>
      </w:pPr>
      <w:r w:rsidRPr="00D84035">
        <w:t xml:space="preserve">Many studies have incorporated this data from UN in their analysis. </w:t>
      </w:r>
      <w:r w:rsidR="00D84035" w:rsidRPr="00D84035">
        <w:t xml:space="preserve">Masood and Martínez-Zarzoso in their 2024 paper </w:t>
      </w:r>
      <w:r w:rsidR="00D84035" w:rsidRPr="000A7625">
        <w:rPr>
          <w:color w:val="1F1F1F"/>
        </w:rPr>
        <w:t>evaluate</w:t>
      </w:r>
      <w:r w:rsidR="00D84035">
        <w:rPr>
          <w:color w:val="1F1F1F"/>
        </w:rPr>
        <w:t>d</w:t>
      </w:r>
      <w:r w:rsidR="00D84035" w:rsidRPr="000A7625">
        <w:rPr>
          <w:color w:val="1F1F1F"/>
        </w:rPr>
        <w:t xml:space="preserve"> the effect</w:t>
      </w:r>
      <w:r w:rsidR="00D84035">
        <w:rPr>
          <w:color w:val="1F1F1F"/>
        </w:rPr>
        <w:t>s</w:t>
      </w:r>
      <w:r w:rsidR="00D84035" w:rsidRPr="000A7625">
        <w:rPr>
          <w:color w:val="1F1F1F"/>
        </w:rPr>
        <w:t xml:space="preserve"> of trade facilitation measures on bilateral exports. The</w:t>
      </w:r>
      <w:r w:rsidR="00D84035">
        <w:rPr>
          <w:color w:val="1F1F1F"/>
        </w:rPr>
        <w:t>y</w:t>
      </w:r>
      <w:r w:rsidR="00D84035" w:rsidRPr="000A7625">
        <w:rPr>
          <w:color w:val="1F1F1F"/>
        </w:rPr>
        <w:t xml:space="preserve"> estimat</w:t>
      </w:r>
      <w:r w:rsidR="00D84035">
        <w:rPr>
          <w:color w:val="1F1F1F"/>
        </w:rPr>
        <w:t>ed</w:t>
      </w:r>
      <w:r w:rsidR="00D84035" w:rsidRPr="000A7625">
        <w:rPr>
          <w:color w:val="1F1F1F"/>
        </w:rPr>
        <w:t xml:space="preserve"> a structural gravity model that include</w:t>
      </w:r>
      <w:r w:rsidR="00D84035">
        <w:rPr>
          <w:color w:val="1F1F1F"/>
        </w:rPr>
        <w:t>d</w:t>
      </w:r>
      <w:r w:rsidR="00D84035" w:rsidRPr="000A7625">
        <w:rPr>
          <w:color w:val="1F1F1F"/>
        </w:rPr>
        <w:t xml:space="preserve"> domestic sales in addition to international trade, which allows identification of country-specific trade facilitation effects, while fully accounting for multilateral resistances to trade and for globalization effects.</w:t>
      </w:r>
      <w:r w:rsidR="00D84035">
        <w:rPr>
          <w:color w:val="1F1F1F"/>
        </w:rPr>
        <w:t xml:space="preserve"> Their sample included OECD and non-OECD countries, and from Western Balkan region Albania, Serbia and Moldova were included.</w:t>
      </w:r>
      <w:r w:rsidR="00D84035" w:rsidRPr="000A7625">
        <w:rPr>
          <w:color w:val="1F1F1F"/>
        </w:rPr>
        <w:t xml:space="preserve"> The findings show a positive effect of trade facilitation measures on bilateral trade.</w:t>
      </w:r>
      <w:r w:rsidR="00D84035">
        <w:rPr>
          <w:color w:val="1F1F1F"/>
        </w:rPr>
        <w:t xml:space="preserve"> In the study by Baker and Le (</w:t>
      </w:r>
      <w:r w:rsidR="00C84B26">
        <w:rPr>
          <w:color w:val="1F1F1F"/>
        </w:rPr>
        <w:t xml:space="preserve">2023) </w:t>
      </w:r>
      <w:r w:rsidR="00C84B26" w:rsidRPr="00B202D7">
        <w:t xml:space="preserve">examines the role of digital trade policy in promoting sustainable development with special attention to Developing Countries (DCs) and Least Developed Countries (LDCs). The study identifies policy measures that could help unleash the benefits of digital trade across different sectors with respect to sustainable development, </w:t>
      </w:r>
      <w:r w:rsidR="00C84B26">
        <w:t>especially</w:t>
      </w:r>
      <w:r w:rsidR="00C84B26" w:rsidRPr="00B202D7">
        <w:t xml:space="preserve"> digital trade facilitation measures that may be taken to reduce the environmental impact of trade procedures.</w:t>
      </w:r>
      <w:r w:rsidR="00026014" w:rsidRPr="00026014">
        <w:rPr>
          <w:sz w:val="22"/>
          <w:szCs w:val="22"/>
        </w:rPr>
        <w:t xml:space="preserve"> </w:t>
      </w:r>
      <w:r w:rsidR="00026014" w:rsidRPr="000A7625">
        <w:t xml:space="preserve">Duval, Utoktham and Kravchenko in a paper from 2018 have investigated implementation of digital trade facilitation on trade costs focusing on a Asia-Pacific region. Their analysis using trade costs model estimation shows that </w:t>
      </w:r>
      <w:r w:rsidR="00026014" w:rsidRPr="000A7625">
        <w:rPr>
          <w:color w:val="333333"/>
          <w:shd w:val="clear" w:color="auto" w:fill="FFFFFF"/>
        </w:rPr>
        <w:t>full implementation of both binding and non-binding measures in the WTO TFA is associated with an average 15% trade cost reduction in Asia-Pacific but if also paperless and cross-border trade facilitation measures (digital trade facilitation) is applied that decrease trade costs can be more than 26%.</w:t>
      </w:r>
      <w:r w:rsidR="00026014" w:rsidRPr="000A7625">
        <w:t xml:space="preserve"> </w:t>
      </w:r>
    </w:p>
    <w:p w14:paraId="3FA03F9B" w14:textId="77777777" w:rsidR="00031F0A" w:rsidRPr="000A7625" w:rsidRDefault="00031F0A" w:rsidP="00F107B7">
      <w:pPr>
        <w:jc w:val="both"/>
      </w:pPr>
    </w:p>
    <w:p w14:paraId="01B4EE9C" w14:textId="0C22716D" w:rsidR="004D3814" w:rsidRPr="00B976F0" w:rsidRDefault="00352728" w:rsidP="004D3814">
      <w:pPr>
        <w:jc w:val="both"/>
      </w:pPr>
      <w:r w:rsidRPr="00EA5799">
        <w:t>Regarding the progress of the Western Balkans, t</w:t>
      </w:r>
      <w:r w:rsidR="00DC3531" w:rsidRPr="00EA5799">
        <w:t>he average implementation rate of trade facilitation measures increased from 76.85% in 2025 from 71</w:t>
      </w:r>
      <w:r w:rsidR="00851AFC" w:rsidRPr="00EA5799">
        <w:t>.</w:t>
      </w:r>
      <w:r w:rsidR="00DC3531" w:rsidRPr="00EA5799">
        <w:t>34 in 2023</w:t>
      </w:r>
      <w:r w:rsidR="00851AFC" w:rsidRPr="00EA5799">
        <w:t xml:space="preserve"> </w:t>
      </w:r>
      <w:r w:rsidR="00DC3531" w:rsidRPr="00EA5799">
        <w:t>(UN Global Survey on digital and sustainable trade facilitation, 2026).</w:t>
      </w:r>
      <w:r w:rsidR="00DC3531" w:rsidRPr="00126066">
        <w:t xml:space="preserve"> </w:t>
      </w:r>
      <w:r w:rsidR="00610546" w:rsidRPr="00A42D85">
        <w:t>The OECD (2025) report on the implementation of the Trade Facilitation Agreement (TFA) for the period 2022–2024 highlights that, several Western Balkan economies</w:t>
      </w:r>
      <w:r w:rsidR="00610546">
        <w:t xml:space="preserve">, </w:t>
      </w:r>
      <w:r w:rsidR="00610546" w:rsidRPr="00A42D85">
        <w:t>namely Serbia, Montenegro, Bosnia and Herzegovina, and North Macedonia</w:t>
      </w:r>
      <w:r w:rsidR="00610546">
        <w:t xml:space="preserve"> </w:t>
      </w:r>
      <w:r w:rsidR="00610546" w:rsidRPr="00A42D85">
        <w:t>emerged as leading reformers in 2024. This progress underscores the increasing importance of digital and sustainable trade facilitation reforms in improving regional integration and enhancing mutual trade performance.</w:t>
      </w:r>
      <w:r w:rsidR="00F107B7">
        <w:t xml:space="preserve"> </w:t>
      </w:r>
      <w:r w:rsidR="00F107B7" w:rsidRPr="00EA5799">
        <w:t>The study</w:t>
      </w:r>
      <w:r w:rsidR="00031F0A">
        <w:t xml:space="preserve"> by</w:t>
      </w:r>
      <w:r w:rsidR="00F107B7" w:rsidRPr="00EA5799">
        <w:t xml:space="preserve"> Popović Petrović and Dragutinović Mitrović</w:t>
      </w:r>
      <w:r w:rsidR="00026014">
        <w:t xml:space="preserve"> from</w:t>
      </w:r>
      <w:r w:rsidR="00F107B7" w:rsidRPr="00EA5799">
        <w:t xml:space="preserve"> 2024 has also shown that among CEFTA-2006 countries Serbia and North Macedonia realized very dynamic progress in overall implementation TF level (General, Digital and Sustainable TF measures) compared to other signatories.</w:t>
      </w:r>
      <w:r w:rsidR="00F107B7">
        <w:t xml:space="preserve"> </w:t>
      </w:r>
      <w:r w:rsidR="004943BE">
        <w:t>In 2024 Toshevska-Trpchevska et al. paper analyzed the importance of digital and sustainable trade facilitation measures on Western Balkan countries’ intraregional trade. The results have shown that these measures are highly statistically significant and especially measures connected to transparency and formalities are mostly important and significant for increasing countries’ mutual trade.</w:t>
      </w:r>
      <w:r w:rsidR="004D3814">
        <w:t xml:space="preserve"> </w:t>
      </w:r>
      <w:r w:rsidR="004D3814" w:rsidRPr="00B976F0">
        <w:t xml:space="preserve">In a 2023 analysis in a paper by Makrevska Disoska et.al, using gravity model on OECD Trade Facilitation Indicators on a sample of 10 Southeastern European Countries, it was determined that the </w:t>
      </w:r>
      <w:r w:rsidR="000A7625" w:rsidRPr="00B976F0">
        <w:t>improvement</w:t>
      </w:r>
      <w:r w:rsidR="004D3814" w:rsidRPr="00B976F0">
        <w:t xml:space="preserve"> in automation, which means applying automated solutions in trade, like electronic exchange of data, automated border and risk management procedures and electronic payments, for 1%, could lead to an increase of trade by 0.16%.</w:t>
      </w:r>
    </w:p>
    <w:p w14:paraId="15328D39" w14:textId="77777777" w:rsidR="00F107B7" w:rsidRDefault="00F107B7" w:rsidP="00F107B7">
      <w:pPr>
        <w:jc w:val="both"/>
      </w:pPr>
    </w:p>
    <w:p w14:paraId="44221F3B" w14:textId="20660D4F" w:rsidR="00AB1723" w:rsidRDefault="009619CE" w:rsidP="0084515E">
      <w:pPr>
        <w:jc w:val="both"/>
      </w:pPr>
      <w:r w:rsidRPr="00A42D85">
        <w:t xml:space="preserve">Regional integration of Western Balkan countries under CEFTA-2006 has been underpinned with existing agreements on trade facilitation, including Green Lanes to streamline border procedures, mutual </w:t>
      </w:r>
      <w:r w:rsidRPr="00587E71">
        <w:t>recognition of sanitary and phytosanitary (SPS) standards, and technical barriers to trade (TBT). As of October 2024, new agreements under CEFTA-2006 aim to expand digital trade facilitation, harmonize e-commerce standards, and enhance dispute resolution mechanisms.</w:t>
      </w:r>
      <w:r w:rsidR="00B30B43" w:rsidRPr="00587E71">
        <w:t xml:space="preserve"> </w:t>
      </w:r>
      <w:r w:rsidR="00587E71" w:rsidRPr="00587E71">
        <w:t xml:space="preserve">CEFTA-2006 started work on Trade facilitation with the addoption of </w:t>
      </w:r>
      <w:r w:rsidR="00587E71" w:rsidRPr="000A7625">
        <w:rPr>
          <w:color w:val="202124"/>
          <w:shd w:val="clear" w:color="auto" w:fill="FFFFFF"/>
        </w:rPr>
        <w:t>Additional Protocol 5 to the Agreement on 27 April 2017.</w:t>
      </w:r>
      <w:r w:rsidR="00587E71">
        <w:rPr>
          <w:color w:val="202124"/>
          <w:shd w:val="clear" w:color="auto" w:fill="FFFFFF"/>
        </w:rPr>
        <w:t xml:space="preserve"> </w:t>
      </w:r>
      <w:r w:rsidR="0084515E" w:rsidRPr="00587E71">
        <w:t>In WB contexts, where customs and regulatory modernization has been uneven and characterized by fragmented implementation of digital customs procedures and regulatory reforms, enhancing digital trade facilitation is likely to substantially improve the efficiency, transparency, and predictability of bilateral and regional exchanges among WB peers and with the EU</w:t>
      </w:r>
      <w:r w:rsidR="0084515E" w:rsidRPr="00EA5799">
        <w:t>.</w:t>
      </w:r>
      <w:r w:rsidR="0084515E" w:rsidRPr="007E2F97">
        <w:t xml:space="preserve"> </w:t>
      </w:r>
      <w:r w:rsidR="00003403">
        <w:t>Es</w:t>
      </w:r>
      <w:r w:rsidR="004943BE">
        <w:t>pecially in trade between Western Balkans and the EU, as it</w:t>
      </w:r>
      <w:r w:rsidR="00003403">
        <w:t>s</w:t>
      </w:r>
      <w:r w:rsidR="004943BE">
        <w:t xml:space="preserve"> prime trade partner, the </w:t>
      </w:r>
      <w:r w:rsidR="000A7625">
        <w:t>digitalization</w:t>
      </w:r>
      <w:r w:rsidR="004943BE">
        <w:t xml:space="preserve"> of border procedures will be key facilitating factor in en</w:t>
      </w:r>
      <w:r w:rsidR="00003403">
        <w:t>h</w:t>
      </w:r>
      <w:r w:rsidR="004943BE">
        <w:t>ancing trade</w:t>
      </w:r>
      <w:r w:rsidR="00474448">
        <w:t>,</w:t>
      </w:r>
      <w:r w:rsidR="004943BE">
        <w:t xml:space="preserve"> as stated in paper by Barata et.al from 2026.</w:t>
      </w:r>
    </w:p>
    <w:p w14:paraId="6C14EEF3" w14:textId="77777777" w:rsidR="00EC1E4B" w:rsidRDefault="00EC1E4B" w:rsidP="0084515E">
      <w:pPr>
        <w:jc w:val="both"/>
      </w:pPr>
    </w:p>
    <w:p w14:paraId="7A1FDC48" w14:textId="77777777" w:rsidR="00B47A04" w:rsidRDefault="009619CE" w:rsidP="00943651">
      <w:pPr>
        <w:jc w:val="both"/>
      </w:pPr>
      <w:r w:rsidRPr="00A42D85">
        <w:t xml:space="preserve">Transport Community, established in 2017, integrates WB transport networks with the EU, focusing on infrastructure improvements, regulatory harmonization, and sustainable transport. These efforts, often </w:t>
      </w:r>
      <w:r>
        <w:t>align</w:t>
      </w:r>
      <w:r w:rsidRPr="00A42D85">
        <w:t xml:space="preserve"> with EU-funded projects, support regional connectivity and economic growth. Energy Community, active since 2005, extends the EU’s energy market to the WB. Its objectives include market integration, energy security, and environmental sustainability. Aligning energy policies with EU standards facilitates investments in renewables and efficiency, bolstering sustainable development and readiness for EU membership.</w:t>
      </w:r>
      <w:r w:rsidR="00943651">
        <w:t xml:space="preserve"> </w:t>
      </w:r>
      <w:r w:rsidR="00B47A04" w:rsidRPr="00EA5799">
        <w:t>Sustainable trade facilitation that channels FDI into regional linkages can foster backward spillovers</w:t>
      </w:r>
      <w:r w:rsidR="00254C3B" w:rsidRPr="00EA5799">
        <w:t xml:space="preserve">, </w:t>
      </w:r>
      <w:r w:rsidR="00B47A04" w:rsidRPr="00EA5799">
        <w:t>where local SMEs integrate into regional value chains</w:t>
      </w:r>
      <w:r w:rsidR="00943651" w:rsidRPr="00EA5799">
        <w:t xml:space="preserve">, </w:t>
      </w:r>
      <w:r w:rsidR="00B47A04" w:rsidRPr="00EA5799">
        <w:t>thereby boosting WB mutual trade through more diversified and export-oriented production, supported by sustainable policy environments (</w:t>
      </w:r>
      <w:r w:rsidR="007E2F97" w:rsidRPr="00EA5799">
        <w:t>Estrin and Uvalić, 2022).</w:t>
      </w:r>
      <w:r w:rsidR="007E2F97" w:rsidRPr="00EE3FB3">
        <w:t xml:space="preserve"> </w:t>
      </w:r>
    </w:p>
    <w:p w14:paraId="3352A7AC" w14:textId="77777777" w:rsidR="006F2882" w:rsidRPr="00EE3FB3" w:rsidRDefault="006F2882" w:rsidP="00943651">
      <w:pPr>
        <w:jc w:val="both"/>
      </w:pPr>
    </w:p>
    <w:p w14:paraId="04F75285" w14:textId="77777777" w:rsidR="009619CE" w:rsidRPr="00A42D85" w:rsidRDefault="009619CE" w:rsidP="00135137">
      <w:pPr>
        <w:jc w:val="both"/>
      </w:pPr>
      <w:r w:rsidRPr="00A42D85">
        <w:t xml:space="preserve">While trade integration has advanced with ambition of further liberalization, gaps remain in reducing non-tariff barriers and harmonizing standards. The CRM’s efforts to simplify customs procedures and align technical regulations with EU norms are supported by </w:t>
      </w:r>
      <w:r w:rsidRPr="00247CFD">
        <w:t>EU’s Growth Plan for the Western Balkans.</w:t>
      </w:r>
      <w:r w:rsidRPr="00A42D85">
        <w:t xml:space="preserve"> CRM’s Regional Trade Facilitation </w:t>
      </w:r>
      <w:r w:rsidR="00117DE9" w:rsidRPr="00A42D85">
        <w:t>Framework</w:t>
      </w:r>
      <w:r w:rsidRPr="00A42D85">
        <w:t xml:space="preserve"> focuses on harmonizing trade procedures, mutual recognition of conformity assessments</w:t>
      </w:r>
      <w:r>
        <w:t>.</w:t>
      </w:r>
      <w:r w:rsidRPr="00A42D85">
        <w:t xml:space="preserve"> </w:t>
      </w:r>
      <w:r>
        <w:t>D</w:t>
      </w:r>
      <w:r w:rsidRPr="00A42D85">
        <w:t xml:space="preserve">igitalization of trade </w:t>
      </w:r>
      <w:r w:rsidR="00951FF5">
        <w:t xml:space="preserve">offering </w:t>
      </w:r>
      <w:r w:rsidRPr="00A42D85">
        <w:t>paperless trade through CEFTA SEED is included in the Common Regional Market Action Plan 2025-2028</w:t>
      </w:r>
      <w:r w:rsidR="008A7B6E">
        <w:t xml:space="preserve"> or </w:t>
      </w:r>
      <w:r w:rsidRPr="00A42D85">
        <w:t xml:space="preserve">CRM 2.0 (Regional Cooperation Council, 2024). However, due to persisting challenges, these efforts need accelerated implementation across the region. </w:t>
      </w:r>
      <w:r w:rsidRPr="003F2FA9">
        <w:t xml:space="preserve">As a value-adding novelty beyond the CRM’s existing measures, which primarily focus on general industrial goods and horizontal regulatory compliance, the scope of mutual recognition agreements could be expanded to include conformity assessment and certification in high-value and strategic sectors, notably pharmaceuticals and information technology. These sectors play a critical role in economic growth, innovation, and deeper integration into the EU Single Market. </w:t>
      </w:r>
    </w:p>
    <w:p w14:paraId="1F257469" w14:textId="77777777" w:rsidR="00BA7CF5" w:rsidRPr="001926F2" w:rsidRDefault="00BA7CF5" w:rsidP="007377ED">
      <w:pPr>
        <w:autoSpaceDE w:val="0"/>
        <w:autoSpaceDN w:val="0"/>
        <w:adjustRightInd w:val="0"/>
        <w:jc w:val="both"/>
        <w:rPr>
          <w:b/>
          <w:bCs/>
          <w:color w:val="FF0000"/>
        </w:rPr>
      </w:pPr>
    </w:p>
    <w:p w14:paraId="7AEFAD8B" w14:textId="77777777" w:rsidR="002600E9" w:rsidRPr="00F102E9" w:rsidRDefault="002600E9" w:rsidP="002600E9">
      <w:pPr>
        <w:autoSpaceDE w:val="0"/>
        <w:autoSpaceDN w:val="0"/>
        <w:adjustRightInd w:val="0"/>
        <w:jc w:val="both"/>
        <w:rPr>
          <w:b/>
          <w:color w:val="000000" w:themeColor="text1"/>
        </w:rPr>
      </w:pPr>
      <w:r w:rsidRPr="00F102E9">
        <w:rPr>
          <w:b/>
          <w:bCs/>
          <w:color w:val="000000" w:themeColor="text1"/>
        </w:rPr>
        <w:t>The Empirical</w:t>
      </w:r>
      <w:r w:rsidRPr="00F102E9">
        <w:rPr>
          <w:b/>
          <w:color w:val="000000" w:themeColor="text1"/>
        </w:rPr>
        <w:t xml:space="preserve"> Model and Data</w:t>
      </w:r>
    </w:p>
    <w:p w14:paraId="57E19FB0" w14:textId="77777777" w:rsidR="002600E9" w:rsidRPr="00F102E9" w:rsidRDefault="002600E9" w:rsidP="002600E9">
      <w:pPr>
        <w:autoSpaceDE w:val="0"/>
        <w:autoSpaceDN w:val="0"/>
        <w:adjustRightInd w:val="0"/>
        <w:jc w:val="both"/>
        <w:rPr>
          <w:b/>
          <w:color w:val="000000" w:themeColor="text1"/>
        </w:rPr>
      </w:pPr>
    </w:p>
    <w:p w14:paraId="05B7F5E3" w14:textId="77777777" w:rsidR="007F6FFA" w:rsidRPr="00F102E9" w:rsidRDefault="002600E9" w:rsidP="007F6FFA">
      <w:pPr>
        <w:autoSpaceDE w:val="0"/>
        <w:autoSpaceDN w:val="0"/>
        <w:adjustRightInd w:val="0"/>
        <w:jc w:val="both"/>
        <w:rPr>
          <w:color w:val="000000" w:themeColor="text1"/>
        </w:rPr>
      </w:pPr>
      <w:r w:rsidRPr="00F102E9">
        <w:rPr>
          <w:bCs/>
          <w:color w:val="000000" w:themeColor="text1"/>
        </w:rPr>
        <w:t xml:space="preserve">      </w:t>
      </w:r>
      <w:r w:rsidRPr="00F102E9">
        <w:rPr>
          <w:bCs/>
          <w:color w:val="000000" w:themeColor="text1"/>
        </w:rPr>
        <w:tab/>
      </w:r>
      <w:r w:rsidR="007F6FFA" w:rsidRPr="00F102E9">
        <w:rPr>
          <w:color w:val="000000" w:themeColor="text1"/>
        </w:rPr>
        <w:t xml:space="preserve">To assess the relationship between trade facilitation and bilateral trade in the Western Balkans, we use a gravity model framework applied to bilateral trade data for Albania, Bosnia and Herzegovina, North Macedonia, Montenegro, and Serbia. Kosovo, another member of the Western Balkans, is excluded because comparable data are not available for the full set of variables used in the analysis. The dataset covers the years 2017, 2019, 2021, and 2023, which correspond to the years for which the UN Global Survey on Digital and Sustainable Trade Facilitation reports data for all countries in the sample. Bilateral trade is observed for each pair of countries across the 21 HS sections, yielding a total of </w:t>
      </w:r>
      <w:r w:rsidR="003D5CC3" w:rsidRPr="00F102E9">
        <w:rPr>
          <w:color w:val="000000" w:themeColor="text1"/>
        </w:rPr>
        <w:t>1,512</w:t>
      </w:r>
      <w:r w:rsidR="007F6FFA" w:rsidRPr="00F102E9">
        <w:rPr>
          <w:color w:val="000000" w:themeColor="text1"/>
        </w:rPr>
        <w:t xml:space="preserve"> observations.</w:t>
      </w:r>
    </w:p>
    <w:p w14:paraId="7D60BBDC" w14:textId="77777777" w:rsidR="007F6FFA" w:rsidRPr="00F102E9" w:rsidRDefault="007F6FFA" w:rsidP="007F6FFA">
      <w:pPr>
        <w:autoSpaceDE w:val="0"/>
        <w:autoSpaceDN w:val="0"/>
        <w:adjustRightInd w:val="0"/>
        <w:jc w:val="both"/>
        <w:rPr>
          <w:color w:val="000000" w:themeColor="text1"/>
        </w:rPr>
      </w:pPr>
    </w:p>
    <w:p w14:paraId="0313E22F" w14:textId="77777777" w:rsidR="002600E9" w:rsidRPr="00F102E9" w:rsidRDefault="007F6FFA" w:rsidP="002600E9">
      <w:pPr>
        <w:autoSpaceDE w:val="0"/>
        <w:autoSpaceDN w:val="0"/>
        <w:adjustRightInd w:val="0"/>
        <w:ind w:firstLine="720"/>
        <w:jc w:val="both"/>
        <w:rPr>
          <w:color w:val="000000" w:themeColor="text1"/>
        </w:rPr>
      </w:pPr>
      <w:r w:rsidRPr="00F102E9">
        <w:rPr>
          <w:color w:val="000000" w:themeColor="text1"/>
        </w:rPr>
        <w:t>The empirical analysis is based on the standard gravity model of trade, originally developed by Linder (1961) and Linnemann (1966) and now widely used in the international trade literature (Deardorff, 1995; Anderson and van Wincoop, 2003). The model is estimated as a panel using ordinary least squares, with period effects. The specification is given by:</w:t>
      </w:r>
    </w:p>
    <w:p w14:paraId="2CD8D0E9" w14:textId="77777777" w:rsidR="007F6FFA" w:rsidRPr="00F102E9" w:rsidRDefault="007F6FFA" w:rsidP="002600E9">
      <w:pPr>
        <w:autoSpaceDE w:val="0"/>
        <w:autoSpaceDN w:val="0"/>
        <w:adjustRightInd w:val="0"/>
        <w:ind w:firstLine="720"/>
        <w:jc w:val="both"/>
        <w:rPr>
          <w:color w:val="000000" w:themeColor="text1"/>
        </w:rPr>
      </w:pPr>
    </w:p>
    <w:p w14:paraId="14D33817" w14:textId="77777777" w:rsidR="002600E9" w:rsidRPr="00F102E9" w:rsidRDefault="002600E9" w:rsidP="002600E9">
      <w:pPr>
        <w:autoSpaceDE w:val="0"/>
        <w:autoSpaceDN w:val="0"/>
        <w:adjustRightInd w:val="0"/>
        <w:ind w:left="993" w:hanging="993"/>
        <w:contextualSpacing/>
        <w:jc w:val="both"/>
        <w:rPr>
          <w:rFonts w:eastAsiaTheme="minorEastAsia"/>
          <w:color w:val="000000" w:themeColor="text1"/>
        </w:rPr>
      </w:pPr>
      <m:oMath>
        <m:r>
          <w:rPr>
            <w:rFonts w:ascii="Cambria Math" w:hAnsi="Cambria Math"/>
            <w:color w:val="000000" w:themeColor="text1"/>
          </w:rPr>
          <m:t>ln</m:t>
        </m:r>
        <m:sSub>
          <m:sSubPr>
            <m:ctrlPr>
              <w:rPr>
                <w:rFonts w:ascii="Cambria Math" w:hAnsi="Cambria Math"/>
                <w:i/>
                <w:color w:val="000000" w:themeColor="text1"/>
              </w:rPr>
            </m:ctrlPr>
          </m:sSubPr>
          <m:e>
            <m:r>
              <w:rPr>
                <w:rFonts w:ascii="Cambria Math" w:hAnsi="Cambria Math"/>
                <w:color w:val="000000" w:themeColor="text1"/>
              </w:rPr>
              <m:t>EXPij</m:t>
            </m:r>
          </m:e>
          <m:sub>
            <m:r>
              <w:rPr>
                <w:rFonts w:ascii="Cambria Math" w:hAnsi="Cambria Math"/>
                <w:color w:val="000000" w:themeColor="text1"/>
              </w:rPr>
              <m:t>ijp,t</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β</m:t>
            </m:r>
          </m:e>
          <m:sub>
            <m:r>
              <w:rPr>
                <w:rFonts w:ascii="Cambria Math" w:hAnsi="Cambria Math"/>
                <w:color w:val="000000" w:themeColor="text1"/>
              </w:rPr>
              <m:t>0</m:t>
            </m:r>
          </m:sub>
        </m:sSub>
        <m:r>
          <w:rPr>
            <w:rFonts w:ascii="Cambria Math" w:hAnsi="Cambria Math"/>
            <w:color w:val="000000" w:themeColor="text1"/>
          </w:rPr>
          <m:t>+</m:t>
        </m:r>
        <m:sSub>
          <m:sSubPr>
            <m:ctrlPr>
              <w:rPr>
                <w:rFonts w:ascii="Cambria Math" w:hAnsi="Cambria Math"/>
                <w:i/>
                <w:color w:val="000000" w:themeColor="text1"/>
              </w:rPr>
            </m:ctrlPr>
          </m:sSub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β</m:t>
                </m:r>
              </m:e>
              <m:sub>
                <m:r>
                  <w:rPr>
                    <w:rFonts w:ascii="Cambria Math" w:eastAsiaTheme="minorEastAsia" w:hAnsi="Cambria Math"/>
                    <w:color w:val="000000" w:themeColor="text1"/>
                  </w:rPr>
                  <m:t>1</m:t>
                </m:r>
              </m:sub>
            </m:sSub>
            <m:r>
              <w:rPr>
                <w:rFonts w:ascii="Cambria Math" w:eastAsiaTheme="minorEastAsia" w:hAnsi="Cambria Math"/>
                <w:color w:val="000000" w:themeColor="text1"/>
              </w:rPr>
              <m:t>ln</m:t>
            </m:r>
            <m:sSub>
              <m:sSubPr>
                <m:ctrlPr>
                  <w:rPr>
                    <w:rFonts w:ascii="Cambria Math" w:eastAsiaTheme="minorEastAsia" w:hAnsi="Cambria Math"/>
                    <w:i/>
                    <w:color w:val="000000" w:themeColor="text1"/>
                  </w:rPr>
                </m:ctrlPr>
              </m:sSubPr>
              <m:e>
                <m:r>
                  <w:rPr>
                    <w:rFonts w:ascii="Cambria Math" w:eastAsia="Cambria Math" w:hAnsi="Cambria Math"/>
                    <w:color w:val="000000" w:themeColor="text1"/>
                  </w:rPr>
                  <m:t>DISTANCE</m:t>
                </m:r>
                <m:ctrlPr>
                  <w:rPr>
                    <w:rFonts w:ascii="Cambria Math" w:eastAsia="Cambria Math" w:hAnsi="Cambria Math"/>
                    <w:i/>
                    <w:color w:val="000000" w:themeColor="text1"/>
                  </w:rPr>
                </m:ctrlPr>
              </m:e>
              <m:sub>
                <m:r>
                  <w:rPr>
                    <w:rFonts w:ascii="Cambria Math" w:eastAsiaTheme="minorEastAsia" w:hAnsi="Cambria Math"/>
                    <w:color w:val="000000" w:themeColor="text1"/>
                  </w:rPr>
                  <m:t>ij</m:t>
                </m:r>
              </m:sub>
            </m:sSub>
            <m:r>
              <w:rPr>
                <w:rFonts w:ascii="Cambria Math" w:hAnsi="Cambria Math"/>
                <w:color w:val="000000" w:themeColor="text1"/>
              </w:rPr>
              <m:t>+ β</m:t>
            </m:r>
            <m:ctrlPr>
              <w:rPr>
                <w:rFonts w:ascii="Cambria Math" w:eastAsiaTheme="minorEastAsia" w:hAnsi="Cambria Math"/>
                <w:i/>
                <w:color w:val="000000" w:themeColor="text1"/>
              </w:rPr>
            </m:ctrlPr>
          </m:e>
          <m:sub>
            <m:r>
              <w:rPr>
                <w:rFonts w:ascii="Cambria Math" w:hAnsi="Cambria Math"/>
                <w:color w:val="000000" w:themeColor="text1"/>
              </w:rPr>
              <m:t>2</m:t>
            </m:r>
          </m:sub>
        </m:sSub>
        <m:r>
          <w:rPr>
            <w:rFonts w:ascii="Cambria Math" w:eastAsiaTheme="minorEastAsia" w:hAnsi="Cambria Math"/>
            <w:color w:val="000000" w:themeColor="text1"/>
          </w:rPr>
          <m:t>ln</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GDP</m:t>
            </m:r>
            <m:ctrlPr>
              <w:rPr>
                <w:rFonts w:ascii="Cambria Math" w:eastAsia="Cambria Math" w:hAnsi="Cambria Math"/>
                <w:i/>
                <w:color w:val="000000" w:themeColor="text1"/>
              </w:rPr>
            </m:ctrlPr>
          </m:e>
          <m:sub>
            <m:r>
              <w:rPr>
                <w:rFonts w:ascii="Cambria Math" w:eastAsiaTheme="minorEastAsia" w:hAnsi="Cambria Math"/>
                <w:color w:val="000000" w:themeColor="text1"/>
              </w:rPr>
              <m:t>i,t</m:t>
            </m:r>
          </m:sub>
        </m:sSub>
        <m:r>
          <w:rPr>
            <w:rFonts w:ascii="Cambria Math" w:eastAsiaTheme="minorEastAsia"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β</m:t>
            </m:r>
            <m:ctrlPr>
              <w:rPr>
                <w:rFonts w:ascii="Cambria Math" w:eastAsiaTheme="minorEastAsia" w:hAnsi="Cambria Math"/>
                <w:i/>
                <w:color w:val="000000" w:themeColor="text1"/>
              </w:rPr>
            </m:ctrlPr>
          </m:e>
          <m:sub>
            <m:r>
              <w:rPr>
                <w:rFonts w:ascii="Cambria Math" w:hAnsi="Cambria Math"/>
                <w:color w:val="000000" w:themeColor="text1"/>
              </w:rPr>
              <m:t>3</m:t>
            </m:r>
          </m:sub>
        </m:sSub>
        <m:r>
          <w:rPr>
            <w:rFonts w:ascii="Cambria Math" w:eastAsiaTheme="minorEastAsia" w:hAnsi="Cambria Math"/>
            <w:color w:val="000000" w:themeColor="text1"/>
          </w:rPr>
          <m:t>ln</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GDP</m:t>
            </m:r>
            <m:ctrlPr>
              <w:rPr>
                <w:rFonts w:ascii="Cambria Math" w:eastAsia="Cambria Math" w:hAnsi="Cambria Math"/>
                <w:i/>
                <w:color w:val="000000" w:themeColor="text1"/>
              </w:rPr>
            </m:ctrlPr>
          </m:e>
          <m:sub>
            <m:r>
              <w:rPr>
                <w:rFonts w:ascii="Cambria Math" w:eastAsiaTheme="minorEastAsia" w:hAnsi="Cambria Math"/>
                <w:color w:val="000000" w:themeColor="text1"/>
              </w:rPr>
              <m:t>j,t</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β</m:t>
            </m:r>
          </m:e>
          <m:sub>
            <m:r>
              <w:rPr>
                <w:rFonts w:ascii="Cambria Math" w:eastAsiaTheme="minorEastAsia" w:hAnsi="Cambria Math"/>
                <w:color w:val="000000" w:themeColor="text1"/>
              </w:rPr>
              <m:t>4</m:t>
            </m:r>
          </m:sub>
        </m:sSub>
        <m:r>
          <w:rPr>
            <w:rFonts w:ascii="Cambria Math" w:eastAsiaTheme="minorEastAsia" w:hAnsi="Cambria Math"/>
            <w:color w:val="000000" w:themeColor="text1"/>
          </w:rPr>
          <m:t>ln</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BORD</m:t>
            </m:r>
            <m:ctrlPr>
              <w:rPr>
                <w:rFonts w:ascii="Cambria Math" w:eastAsia="Cambria Math" w:hAnsi="Cambria Math"/>
                <w:i/>
                <w:color w:val="000000" w:themeColor="text1"/>
              </w:rPr>
            </m:ctrlPr>
          </m:e>
          <m:sub>
            <m:r>
              <w:rPr>
                <w:rFonts w:ascii="Cambria Math" w:eastAsiaTheme="minorEastAsia" w:hAnsi="Cambria Math"/>
                <w:color w:val="000000" w:themeColor="text1"/>
              </w:rPr>
              <m:t>ij</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β</m:t>
            </m:r>
          </m:e>
          <m:sub>
            <m:r>
              <w:rPr>
                <w:rFonts w:ascii="Cambria Math" w:eastAsiaTheme="minorEastAsia" w:hAnsi="Cambria Math"/>
                <w:color w:val="000000" w:themeColor="text1"/>
              </w:rPr>
              <m:t>5</m:t>
            </m:r>
          </m:sub>
        </m:sSub>
        <m:sSub>
          <m:sSubPr>
            <m:ctrlPr>
              <w:rPr>
                <w:rFonts w:ascii="Cambria Math" w:eastAsiaTheme="minorEastAsia" w:hAnsi="Cambria Math"/>
                <w:i/>
                <w:color w:val="000000" w:themeColor="text1"/>
              </w:rPr>
            </m:ctrlPr>
          </m:sSubPr>
          <m:e>
            <m:r>
              <w:rPr>
                <w:rFonts w:ascii="Cambria Math" w:eastAsia="Cambria Math" w:hAnsi="Cambria Math"/>
                <w:color w:val="000000" w:themeColor="text1"/>
              </w:rPr>
              <m:t>L</m:t>
            </m:r>
            <m:r>
              <w:rPr>
                <w:rFonts w:ascii="Cambria Math" w:eastAsiaTheme="minorEastAsia" w:hAnsi="Cambria Math"/>
                <w:color w:val="000000" w:themeColor="text1"/>
              </w:rPr>
              <m:t>ANG</m:t>
            </m:r>
            <m:ctrlPr>
              <w:rPr>
                <w:rFonts w:ascii="Cambria Math" w:eastAsia="Cambria Math" w:hAnsi="Cambria Math"/>
                <w:i/>
                <w:color w:val="000000" w:themeColor="text1"/>
              </w:rPr>
            </m:ctrlPr>
          </m:e>
          <m:sub>
            <m:r>
              <w:rPr>
                <w:rFonts w:ascii="Cambria Math" w:eastAsiaTheme="minorEastAsia" w:hAnsi="Cambria Math"/>
                <w:color w:val="000000" w:themeColor="text1"/>
              </w:rPr>
              <m:t>ij</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β</m:t>
            </m:r>
          </m:e>
          <m:sub>
            <m:r>
              <w:rPr>
                <w:rFonts w:ascii="Cambria Math" w:eastAsiaTheme="minorEastAsia" w:hAnsi="Cambria Math"/>
                <w:color w:val="000000" w:themeColor="text1"/>
              </w:rPr>
              <m:t>6</m:t>
            </m:r>
          </m:sub>
        </m:sSub>
        <m:sSub>
          <m:sSubPr>
            <m:ctrlPr>
              <w:rPr>
                <w:rFonts w:ascii="Cambria Math" w:eastAsiaTheme="minorEastAsia" w:hAnsi="Cambria Math"/>
                <w:i/>
                <w:color w:val="000000" w:themeColor="text1"/>
              </w:rPr>
            </m:ctrlPr>
          </m:sSubPr>
          <m:e>
            <m:r>
              <w:rPr>
                <w:rFonts w:ascii="Cambria Math" w:eastAsia="Cambria Math" w:hAnsi="Cambria Math"/>
                <w:color w:val="000000" w:themeColor="text1"/>
              </w:rPr>
              <m:t>SMCTRY</m:t>
            </m:r>
            <m:ctrlPr>
              <w:rPr>
                <w:rFonts w:ascii="Cambria Math" w:eastAsia="Cambria Math" w:hAnsi="Cambria Math"/>
                <w:i/>
                <w:color w:val="000000" w:themeColor="text1"/>
              </w:rPr>
            </m:ctrlPr>
          </m:e>
          <m:sub>
            <m:r>
              <w:rPr>
                <w:rFonts w:ascii="Cambria Math" w:eastAsiaTheme="minorEastAsia" w:hAnsi="Cambria Math"/>
                <w:color w:val="000000" w:themeColor="text1"/>
              </w:rPr>
              <m:t>ij</m:t>
            </m:r>
          </m:sub>
        </m:sSub>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β</m:t>
            </m:r>
          </m:e>
          <m:sub>
            <m:r>
              <w:rPr>
                <w:rFonts w:ascii="Cambria Math" w:eastAsiaTheme="minorEastAsia" w:hAnsi="Cambria Math"/>
                <w:color w:val="000000" w:themeColor="text1"/>
              </w:rPr>
              <m:t>7</m:t>
            </m:r>
          </m:sub>
        </m:sSub>
        <m:d>
          <m:dPr>
            <m:ctrlPr>
              <w:rPr>
                <w:rFonts w:ascii="Cambria Math" w:eastAsiaTheme="minorEastAsia" w:hAnsi="Cambria Math"/>
                <w:i/>
                <w:color w:val="000000" w:themeColor="text1"/>
              </w:rPr>
            </m:ctrlPr>
          </m:dPr>
          <m:e>
            <m:r>
              <w:rPr>
                <w:rFonts w:ascii="Cambria Math" w:eastAsiaTheme="minorEastAsia" w:hAnsi="Cambria Math"/>
                <w:color w:val="000000" w:themeColor="text1"/>
              </w:rPr>
              <m:t>TF</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X</m:t>
                </m:r>
              </m:e>
              <m:sub>
                <m:r>
                  <w:rPr>
                    <w:rFonts w:ascii="Cambria Math" w:eastAsiaTheme="minorEastAsia" w:hAnsi="Cambria Math"/>
                    <w:color w:val="000000" w:themeColor="text1"/>
                  </w:rPr>
                  <m:t>Xij</m:t>
                </m:r>
              </m:sub>
            </m:sSub>
            <m:r>
              <w:rPr>
                <w:rFonts w:ascii="Cambria Math" w:eastAsiaTheme="minorEastAsia" w:hAnsi="Cambria Math"/>
                <w:color w:val="000000" w:themeColor="text1"/>
              </w:rPr>
              <m:t>*</m:t>
            </m:r>
          </m:e>
        </m:d>
        <m:r>
          <w:rPr>
            <w:rFonts w:ascii="Cambria Math" w:eastAsiaTheme="minorEastAsia" w:hAnsi="Cambria Math"/>
            <w:color w:val="000000" w:themeColor="text1"/>
          </w:rPr>
          <m:t>+</m:t>
        </m:r>
        <m:sSub>
          <m:sSubPr>
            <m:ctrlPr>
              <w:rPr>
                <w:rFonts w:ascii="Cambria Math" w:eastAsiaTheme="minorEastAsia" w:hAnsi="Cambria Math"/>
                <w:i/>
                <w:color w:val="000000" w:themeColor="text1"/>
              </w:rPr>
            </m:ctrlPr>
          </m:sSubPr>
          <m:e>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μ</m:t>
                </m:r>
              </m:e>
              <m:sub>
                <m:r>
                  <w:rPr>
                    <w:rFonts w:ascii="Cambria Math" w:eastAsiaTheme="minorEastAsia" w:hAnsi="Cambria Math"/>
                    <w:color w:val="000000" w:themeColor="text1"/>
                  </w:rPr>
                  <m:t>t</m:t>
                </m:r>
              </m:sub>
            </m:sSub>
            <m:r>
              <w:rPr>
                <w:rFonts w:ascii="Cambria Math" w:eastAsiaTheme="minorEastAsia" w:hAnsi="Cambria Math"/>
                <w:color w:val="000000" w:themeColor="text1"/>
              </w:rPr>
              <m:t>+ε</m:t>
            </m:r>
          </m:e>
          <m:sub>
            <m:r>
              <w:rPr>
                <w:rFonts w:ascii="Cambria Math" w:eastAsiaTheme="minorEastAsia" w:hAnsi="Cambria Math"/>
                <w:color w:val="000000" w:themeColor="text1"/>
              </w:rPr>
              <m:t>ij,t</m:t>
            </m:r>
          </m:sub>
        </m:sSub>
      </m:oMath>
      <w:r w:rsidRPr="00F102E9">
        <w:rPr>
          <w:rFonts w:eastAsiaTheme="minorEastAsia"/>
          <w:color w:val="000000" w:themeColor="text1"/>
        </w:rPr>
        <w:t xml:space="preserve">                             (1)</w:t>
      </w:r>
    </w:p>
    <w:p w14:paraId="061B92BD" w14:textId="77777777" w:rsidR="002600E9" w:rsidRPr="00F102E9" w:rsidRDefault="002600E9" w:rsidP="002600E9">
      <w:pPr>
        <w:autoSpaceDE w:val="0"/>
        <w:autoSpaceDN w:val="0"/>
        <w:adjustRightInd w:val="0"/>
        <w:ind w:firstLine="720"/>
        <w:contextualSpacing/>
        <w:jc w:val="both"/>
        <w:rPr>
          <w:color w:val="000000" w:themeColor="text1"/>
        </w:rPr>
      </w:pPr>
    </w:p>
    <w:p w14:paraId="6AD921F7" w14:textId="77777777" w:rsidR="007F6FFA" w:rsidRPr="00F102E9" w:rsidRDefault="007F6FFA" w:rsidP="002600E9">
      <w:pPr>
        <w:autoSpaceDE w:val="0"/>
        <w:autoSpaceDN w:val="0"/>
        <w:adjustRightInd w:val="0"/>
        <w:ind w:firstLine="720"/>
        <w:contextualSpacing/>
        <w:jc w:val="both"/>
        <w:rPr>
          <w:color w:val="000000" w:themeColor="text1"/>
        </w:rPr>
      </w:pPr>
      <w:r w:rsidRPr="00F102E9">
        <w:rPr>
          <w:color w:val="000000" w:themeColor="text1"/>
        </w:rPr>
        <w:t xml:space="preserve">The dependent variable, </w:t>
      </w:r>
      <m:oMath>
        <m:r>
          <w:rPr>
            <w:rFonts w:ascii="Cambria Math" w:hAnsi="Cambria Math"/>
            <w:color w:val="000000" w:themeColor="text1"/>
          </w:rPr>
          <m:t>ln</m:t>
        </m:r>
        <m:sSub>
          <m:sSubPr>
            <m:ctrlPr>
              <w:rPr>
                <w:rFonts w:ascii="Cambria Math" w:hAnsi="Cambria Math"/>
                <w:i/>
                <w:color w:val="000000" w:themeColor="text1"/>
              </w:rPr>
            </m:ctrlPr>
          </m:sSubPr>
          <m:e>
            <m:r>
              <w:rPr>
                <w:rFonts w:ascii="Cambria Math" w:hAnsi="Cambria Math"/>
                <w:color w:val="000000" w:themeColor="text1"/>
              </w:rPr>
              <m:t>EXPij</m:t>
            </m:r>
          </m:e>
          <m:sub>
            <m:r>
              <w:rPr>
                <w:rFonts w:ascii="Cambria Math" w:hAnsi="Cambria Math"/>
                <w:color w:val="000000" w:themeColor="text1"/>
              </w:rPr>
              <m:t>ijp,t</m:t>
            </m:r>
          </m:sub>
        </m:sSub>
      </m:oMath>
      <w:r w:rsidRPr="00F102E9">
        <w:rPr>
          <w:color w:val="000000" w:themeColor="text1"/>
        </w:rPr>
        <w:t xml:space="preserve">, denotes the logarithm of exports from country </w:t>
      </w:r>
      <m:oMath>
        <m:r>
          <w:rPr>
            <w:rFonts w:ascii="Cambria Math" w:hAnsi="Cambria Math"/>
            <w:color w:val="000000" w:themeColor="text1"/>
          </w:rPr>
          <m:t>i</m:t>
        </m:r>
      </m:oMath>
      <w:r w:rsidRPr="00F102E9">
        <w:rPr>
          <w:color w:val="000000" w:themeColor="text1"/>
        </w:rPr>
        <w:t xml:space="preserve"> to country </w:t>
      </w:r>
      <m:oMath>
        <m:r>
          <w:rPr>
            <w:rFonts w:ascii="Cambria Math" w:hAnsi="Cambria Math"/>
            <w:color w:val="000000" w:themeColor="text1"/>
          </w:rPr>
          <m:t>j</m:t>
        </m:r>
      </m:oMath>
      <w:r w:rsidRPr="00F102E9">
        <w:rPr>
          <w:color w:val="000000" w:themeColor="text1"/>
        </w:rPr>
        <w:t xml:space="preserve"> in HS section </w:t>
      </w:r>
      <m:oMath>
        <m:r>
          <w:rPr>
            <w:rFonts w:ascii="Cambria Math" w:hAnsi="Cambria Math"/>
            <w:color w:val="000000" w:themeColor="text1"/>
          </w:rPr>
          <m:t>p</m:t>
        </m:r>
      </m:oMath>
      <w:r w:rsidRPr="00F102E9">
        <w:rPr>
          <w:color w:val="000000" w:themeColor="text1"/>
        </w:rPr>
        <w:t xml:space="preserve"> and year </w:t>
      </w:r>
      <m:oMath>
        <m:r>
          <w:rPr>
            <w:rFonts w:ascii="Cambria Math" w:hAnsi="Cambria Math"/>
            <w:color w:val="000000" w:themeColor="text1"/>
          </w:rPr>
          <m:t>t</m:t>
        </m:r>
      </m:oMath>
      <w:r w:rsidRPr="00F102E9">
        <w:rPr>
          <w:color w:val="000000" w:themeColor="text1"/>
        </w:rPr>
        <w:t>, measured in current U.S. dollars. Export data are taken from the Observatory of Economic Complexity (oec.world). The explanatory variables include standard gravity controls. Bilateral distance (</w:t>
      </w:r>
      <m:oMath>
        <m:r>
          <w:rPr>
            <w:rFonts w:ascii="Cambria Math" w:eastAsiaTheme="minorEastAsia" w:hAnsi="Cambria Math"/>
            <w:color w:val="000000" w:themeColor="text1"/>
          </w:rPr>
          <m:t>ln</m:t>
        </m:r>
        <m:sSub>
          <m:sSubPr>
            <m:ctrlPr>
              <w:rPr>
                <w:rFonts w:ascii="Cambria Math" w:eastAsiaTheme="minorEastAsia" w:hAnsi="Cambria Math"/>
                <w:i/>
                <w:color w:val="000000" w:themeColor="text1"/>
              </w:rPr>
            </m:ctrlPr>
          </m:sSubPr>
          <m:e>
            <m:r>
              <w:rPr>
                <w:rFonts w:ascii="Cambria Math" w:eastAsia="Cambria Math" w:hAnsi="Cambria Math"/>
                <w:color w:val="000000" w:themeColor="text1"/>
              </w:rPr>
              <m:t>DISTANCE</m:t>
            </m:r>
            <m:ctrlPr>
              <w:rPr>
                <w:rFonts w:ascii="Cambria Math" w:eastAsia="Cambria Math" w:hAnsi="Cambria Math"/>
                <w:i/>
                <w:color w:val="000000" w:themeColor="text1"/>
              </w:rPr>
            </m:ctrlPr>
          </m:e>
          <m:sub>
            <m:r>
              <w:rPr>
                <w:rFonts w:ascii="Cambria Math" w:eastAsiaTheme="minorEastAsia" w:hAnsi="Cambria Math"/>
                <w:color w:val="000000" w:themeColor="text1"/>
              </w:rPr>
              <m:t>ij</m:t>
            </m:r>
          </m:sub>
        </m:sSub>
      </m:oMath>
      <w:r w:rsidRPr="00F102E9">
        <w:rPr>
          <w:color w:val="000000" w:themeColor="text1"/>
        </w:rPr>
        <w:t>), measured as the geographical distance between the largest cities in countries i and j, is taken from the CEPII gravity dataset. Economic size is captured by the GDP of the exporter (</w:t>
      </w:r>
      <m:oMath>
        <m:r>
          <w:rPr>
            <w:rFonts w:ascii="Cambria Math" w:eastAsiaTheme="minorEastAsia" w:hAnsi="Cambria Math"/>
            <w:color w:val="000000" w:themeColor="text1"/>
          </w:rPr>
          <m:t>ln</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GDP</m:t>
            </m:r>
            <m:ctrlPr>
              <w:rPr>
                <w:rFonts w:ascii="Cambria Math" w:eastAsia="Cambria Math" w:hAnsi="Cambria Math"/>
                <w:i/>
                <w:color w:val="000000" w:themeColor="text1"/>
              </w:rPr>
            </m:ctrlPr>
          </m:e>
          <m:sub>
            <m:r>
              <w:rPr>
                <w:rFonts w:ascii="Cambria Math" w:eastAsiaTheme="minorEastAsia" w:hAnsi="Cambria Math"/>
                <w:color w:val="000000" w:themeColor="text1"/>
              </w:rPr>
              <m:t>i,t</m:t>
            </m:r>
          </m:sub>
        </m:sSub>
        <m:r>
          <w:rPr>
            <w:rFonts w:ascii="Cambria Math" w:eastAsiaTheme="minorEastAsia" w:hAnsi="Cambria Math"/>
            <w:color w:val="000000" w:themeColor="text1"/>
          </w:rPr>
          <m:t xml:space="preserve">) </m:t>
        </m:r>
      </m:oMath>
      <w:r w:rsidRPr="00F102E9">
        <w:rPr>
          <w:color w:val="000000" w:themeColor="text1"/>
        </w:rPr>
        <w:t>and importer (</w:t>
      </w:r>
      <m:oMath>
        <m:r>
          <w:rPr>
            <w:rFonts w:ascii="Cambria Math" w:eastAsiaTheme="minorEastAsia" w:hAnsi="Cambria Math"/>
            <w:color w:val="000000" w:themeColor="text1"/>
          </w:rPr>
          <m:t>ln</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GDP</m:t>
            </m:r>
            <m:ctrlPr>
              <w:rPr>
                <w:rFonts w:ascii="Cambria Math" w:eastAsia="Cambria Math" w:hAnsi="Cambria Math"/>
                <w:i/>
                <w:color w:val="000000" w:themeColor="text1"/>
              </w:rPr>
            </m:ctrlPr>
          </m:e>
          <m:sub>
            <m:r>
              <w:rPr>
                <w:rFonts w:ascii="Cambria Math" w:eastAsiaTheme="minorEastAsia" w:hAnsi="Cambria Math"/>
                <w:color w:val="000000" w:themeColor="text1"/>
              </w:rPr>
              <m:t>j,t</m:t>
            </m:r>
          </m:sub>
        </m:sSub>
        <m:r>
          <w:rPr>
            <w:rFonts w:ascii="Cambria Math" w:eastAsiaTheme="minorEastAsia" w:hAnsi="Cambria Math"/>
            <w:color w:val="000000" w:themeColor="text1"/>
          </w:rPr>
          <m:t>)</m:t>
        </m:r>
      </m:oMath>
      <w:r w:rsidRPr="00F102E9">
        <w:rPr>
          <w:color w:val="000000" w:themeColor="text1"/>
        </w:rPr>
        <w:t>, measured in PPP-adjusted constant 2017 international dollars using World Development Indicators data. The model also includes three binary variables indicating whether the two countries share a common border (</w:t>
      </w:r>
      <m:oMath>
        <m:r>
          <w:rPr>
            <w:rFonts w:ascii="Cambria Math" w:eastAsiaTheme="minorEastAsia" w:hAnsi="Cambria Math"/>
            <w:color w:val="000000" w:themeColor="text1"/>
          </w:rPr>
          <m:t>ln</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BORD</m:t>
            </m:r>
            <m:ctrlPr>
              <w:rPr>
                <w:rFonts w:ascii="Cambria Math" w:eastAsia="Cambria Math" w:hAnsi="Cambria Math"/>
                <w:i/>
                <w:color w:val="000000" w:themeColor="text1"/>
              </w:rPr>
            </m:ctrlPr>
          </m:e>
          <m:sub>
            <m:r>
              <w:rPr>
                <w:rFonts w:ascii="Cambria Math" w:eastAsiaTheme="minorEastAsia" w:hAnsi="Cambria Math"/>
                <w:color w:val="000000" w:themeColor="text1"/>
              </w:rPr>
              <m:t>ij</m:t>
            </m:r>
          </m:sub>
        </m:sSub>
        <m:r>
          <w:rPr>
            <w:rFonts w:ascii="Cambria Math" w:eastAsiaTheme="minorEastAsia" w:hAnsi="Cambria Math"/>
            <w:color w:val="000000" w:themeColor="text1"/>
          </w:rPr>
          <m:t>)</m:t>
        </m:r>
      </m:oMath>
      <w:r w:rsidRPr="00F102E9">
        <w:rPr>
          <w:color w:val="000000" w:themeColor="text1"/>
        </w:rPr>
        <w:t>, a common official language (</w:t>
      </w:r>
      <m:oMath>
        <m:sSub>
          <m:sSubPr>
            <m:ctrlPr>
              <w:rPr>
                <w:rFonts w:ascii="Cambria Math" w:eastAsiaTheme="minorEastAsia" w:hAnsi="Cambria Math"/>
                <w:i/>
                <w:color w:val="000000" w:themeColor="text1"/>
              </w:rPr>
            </m:ctrlPr>
          </m:sSubPr>
          <m:e>
            <m:r>
              <w:rPr>
                <w:rFonts w:ascii="Cambria Math" w:eastAsia="Cambria Math" w:hAnsi="Cambria Math"/>
                <w:color w:val="000000" w:themeColor="text1"/>
              </w:rPr>
              <m:t>L</m:t>
            </m:r>
            <m:r>
              <w:rPr>
                <w:rFonts w:ascii="Cambria Math" w:eastAsiaTheme="minorEastAsia" w:hAnsi="Cambria Math"/>
                <w:color w:val="000000" w:themeColor="text1"/>
              </w:rPr>
              <m:t>ANG</m:t>
            </m:r>
            <m:ctrlPr>
              <w:rPr>
                <w:rFonts w:ascii="Cambria Math" w:eastAsia="Cambria Math" w:hAnsi="Cambria Math"/>
                <w:i/>
                <w:color w:val="000000" w:themeColor="text1"/>
              </w:rPr>
            </m:ctrlPr>
          </m:e>
          <m:sub>
            <m:r>
              <w:rPr>
                <w:rFonts w:ascii="Cambria Math" w:eastAsiaTheme="minorEastAsia" w:hAnsi="Cambria Math"/>
                <w:color w:val="000000" w:themeColor="text1"/>
              </w:rPr>
              <m:t>ij</m:t>
            </m:r>
          </m:sub>
        </m:sSub>
        <m:r>
          <w:rPr>
            <w:rFonts w:ascii="Cambria Math" w:eastAsiaTheme="minorEastAsia" w:hAnsi="Cambria Math"/>
            <w:color w:val="000000" w:themeColor="text1"/>
          </w:rPr>
          <m:t>)</m:t>
        </m:r>
      </m:oMath>
      <w:r w:rsidRPr="00F102E9">
        <w:rPr>
          <w:color w:val="000000" w:themeColor="text1"/>
        </w:rPr>
        <w:t>, or a historical common state (</w:t>
      </w:r>
      <m:oMath>
        <m:sSub>
          <m:sSubPr>
            <m:ctrlPr>
              <w:rPr>
                <w:rFonts w:ascii="Cambria Math" w:eastAsiaTheme="minorEastAsia" w:hAnsi="Cambria Math"/>
                <w:i/>
                <w:color w:val="000000" w:themeColor="text1"/>
              </w:rPr>
            </m:ctrlPr>
          </m:sSubPr>
          <m:e>
            <m:r>
              <w:rPr>
                <w:rFonts w:ascii="Cambria Math" w:eastAsia="Cambria Math" w:hAnsi="Cambria Math"/>
                <w:color w:val="000000" w:themeColor="text1"/>
              </w:rPr>
              <m:t>SMCTRY</m:t>
            </m:r>
            <m:ctrlPr>
              <w:rPr>
                <w:rFonts w:ascii="Cambria Math" w:eastAsia="Cambria Math" w:hAnsi="Cambria Math"/>
                <w:i/>
                <w:color w:val="000000" w:themeColor="text1"/>
              </w:rPr>
            </m:ctrlPr>
          </m:e>
          <m:sub>
            <m:r>
              <w:rPr>
                <w:rFonts w:ascii="Cambria Math" w:eastAsiaTheme="minorEastAsia" w:hAnsi="Cambria Math"/>
                <w:color w:val="000000" w:themeColor="text1"/>
              </w:rPr>
              <m:t>ij</m:t>
            </m:r>
          </m:sub>
        </m:sSub>
        <m:r>
          <w:rPr>
            <w:rFonts w:ascii="Cambria Math" w:eastAsiaTheme="minorEastAsia" w:hAnsi="Cambria Math"/>
            <w:color w:val="000000" w:themeColor="text1"/>
          </w:rPr>
          <m:t>)</m:t>
        </m:r>
      </m:oMath>
      <w:r w:rsidRPr="00F102E9">
        <w:rPr>
          <w:color w:val="000000" w:themeColor="text1"/>
        </w:rPr>
        <w:t>.</w:t>
      </w:r>
    </w:p>
    <w:p w14:paraId="26F9019C" w14:textId="77777777" w:rsidR="007F6FFA" w:rsidRPr="00F102E9" w:rsidRDefault="007F6FFA" w:rsidP="002600E9">
      <w:pPr>
        <w:autoSpaceDE w:val="0"/>
        <w:autoSpaceDN w:val="0"/>
        <w:adjustRightInd w:val="0"/>
        <w:ind w:firstLine="720"/>
        <w:contextualSpacing/>
        <w:jc w:val="both"/>
        <w:rPr>
          <w:color w:val="000000" w:themeColor="text1"/>
        </w:rPr>
      </w:pPr>
      <w:r w:rsidRPr="00F102E9">
        <w:rPr>
          <w:color w:val="000000" w:themeColor="text1"/>
        </w:rPr>
        <w:t>To evaluate the role of trade facilitation (</w:t>
      </w:r>
      <m:oMath>
        <m:r>
          <w:rPr>
            <w:rFonts w:ascii="Cambria Math" w:eastAsiaTheme="minorEastAsia" w:hAnsi="Cambria Math"/>
            <w:color w:val="000000" w:themeColor="text1"/>
          </w:rPr>
          <m:t>TF</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X</m:t>
            </m:r>
          </m:e>
          <m:sub>
            <m:r>
              <w:rPr>
                <w:rFonts w:ascii="Cambria Math" w:eastAsiaTheme="minorEastAsia" w:hAnsi="Cambria Math"/>
                <w:color w:val="000000" w:themeColor="text1"/>
              </w:rPr>
              <m:t>Xij</m:t>
            </m:r>
          </m:sub>
        </m:sSub>
      </m:oMath>
      <w:r w:rsidRPr="00F102E9">
        <w:rPr>
          <w:color w:val="000000" w:themeColor="text1"/>
        </w:rPr>
        <w:t xml:space="preserve">), we estimate separate regressions for the overall trade facilitation score and for each of the five groups of measures reported in the UN Global Survey on Digital and Sustainable Trade Facilitation: transparency, formalities, institutional arrangements and cooperation, paperless trade, and cross-border paperless trade. Estimating these measures separately helps reduce multicollinearity and allows for more stable coefficient estimates, given the high correlation among them. In each regression, the relevant trade facilitation indicator enters through </w:t>
      </w:r>
      <m:oMath>
        <m:r>
          <w:rPr>
            <w:rFonts w:ascii="Cambria Math" w:eastAsiaTheme="minorEastAsia" w:hAnsi="Cambria Math"/>
            <w:color w:val="000000" w:themeColor="text1"/>
          </w:rPr>
          <m:t>TF</m:t>
        </m:r>
        <m:sSub>
          <m:sSubPr>
            <m:ctrlPr>
              <w:rPr>
                <w:rFonts w:ascii="Cambria Math" w:eastAsiaTheme="minorEastAsia" w:hAnsi="Cambria Math"/>
                <w:i/>
                <w:color w:val="000000" w:themeColor="text1"/>
              </w:rPr>
            </m:ctrlPr>
          </m:sSubPr>
          <m:e>
            <m:r>
              <w:rPr>
                <w:rFonts w:ascii="Cambria Math" w:eastAsiaTheme="minorEastAsia" w:hAnsi="Cambria Math"/>
                <w:color w:val="000000" w:themeColor="text1"/>
              </w:rPr>
              <m:t>X</m:t>
            </m:r>
          </m:e>
          <m:sub>
            <m:r>
              <w:rPr>
                <w:rFonts w:ascii="Cambria Math" w:eastAsiaTheme="minorEastAsia" w:hAnsi="Cambria Math"/>
                <w:color w:val="000000" w:themeColor="text1"/>
              </w:rPr>
              <m:t>Xij</m:t>
            </m:r>
          </m:sub>
        </m:sSub>
        <m:r>
          <w:rPr>
            <w:rFonts w:ascii="Cambria Math" w:eastAsiaTheme="minorEastAsia" w:hAnsi="Cambria Math"/>
            <w:color w:val="000000" w:themeColor="text1"/>
          </w:rPr>
          <m:t>*</m:t>
        </m:r>
      </m:oMath>
      <w:r w:rsidRPr="00F102E9">
        <w:rPr>
          <w:color w:val="000000" w:themeColor="text1"/>
        </w:rPr>
        <w:t>, defined as the logarithm of the product of the exporter’s and importer’s scores for a given measure:</w:t>
      </w:r>
    </w:p>
    <w:p w14:paraId="39BF8155" w14:textId="77777777" w:rsidR="007F6FFA" w:rsidRPr="00F102E9" w:rsidRDefault="007F6FFA" w:rsidP="002600E9">
      <w:pPr>
        <w:autoSpaceDE w:val="0"/>
        <w:autoSpaceDN w:val="0"/>
        <w:adjustRightInd w:val="0"/>
        <w:ind w:firstLine="720"/>
        <w:contextualSpacing/>
        <w:jc w:val="both"/>
        <w:rPr>
          <w:color w:val="000000" w:themeColor="text1"/>
        </w:rPr>
      </w:pPr>
    </w:p>
    <w:p w14:paraId="02D1748C" w14:textId="77777777" w:rsidR="00EF4E91" w:rsidRPr="00F102E9" w:rsidRDefault="00EF4E91" w:rsidP="00EF4E91">
      <w:pPr>
        <w:autoSpaceDE w:val="0"/>
        <w:autoSpaceDN w:val="0"/>
        <w:adjustRightInd w:val="0"/>
        <w:ind w:firstLine="720"/>
        <w:contextualSpacing/>
        <w:jc w:val="both"/>
        <w:rPr>
          <w:color w:val="000000" w:themeColor="text1"/>
        </w:rPr>
      </w:pPr>
    </w:p>
    <w:p w14:paraId="3870CA18" w14:textId="77777777" w:rsidR="00EF4E91" w:rsidRPr="00F102E9" w:rsidRDefault="00EF4E91" w:rsidP="00EF4E91">
      <w:pPr>
        <w:autoSpaceDE w:val="0"/>
        <w:autoSpaceDN w:val="0"/>
        <w:adjustRightInd w:val="0"/>
        <w:contextualSpacing/>
        <w:jc w:val="both"/>
        <w:rPr>
          <w:rFonts w:eastAsiaTheme="minorHAnsi"/>
          <w:color w:val="000000" w:themeColor="text1"/>
        </w:rPr>
      </w:pPr>
      <m:oMathPara>
        <m:oMath>
          <m:r>
            <w:rPr>
              <w:rFonts w:ascii="Cambria Math" w:eastAsiaTheme="minorHAnsi" w:hAnsi="Cambria Math"/>
              <w:color w:val="000000" w:themeColor="text1"/>
            </w:rPr>
            <m:t>TFX* =TF</m:t>
          </m:r>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X</m:t>
              </m:r>
            </m:e>
            <m:sub>
              <m:r>
                <w:rPr>
                  <w:rFonts w:ascii="Cambria Math" w:eastAsiaTheme="minorHAnsi" w:hAnsi="Cambria Math"/>
                  <w:color w:val="000000" w:themeColor="text1"/>
                </w:rPr>
                <m:t>Xj</m:t>
              </m:r>
            </m:sub>
          </m:sSub>
          <m:r>
            <w:rPr>
              <w:rFonts w:ascii="Cambria Math" w:eastAsiaTheme="minorHAnsi" w:hAnsi="Cambria Math"/>
              <w:color w:val="000000" w:themeColor="text1"/>
            </w:rPr>
            <m:t>*TF</m:t>
          </m:r>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X</m:t>
              </m:r>
            </m:e>
            <m:sub>
              <m:r>
                <w:rPr>
                  <w:rFonts w:ascii="Cambria Math" w:eastAsiaTheme="minorHAnsi" w:hAnsi="Cambria Math"/>
                  <w:color w:val="000000" w:themeColor="text1"/>
                </w:rPr>
                <m:t>Xi</m:t>
              </m:r>
            </m:sub>
          </m:sSub>
        </m:oMath>
      </m:oMathPara>
    </w:p>
    <w:p w14:paraId="5A05CD24" w14:textId="77777777" w:rsidR="00EF4E91" w:rsidRPr="00F102E9" w:rsidRDefault="00EF4E91" w:rsidP="00EF4E91">
      <w:pPr>
        <w:autoSpaceDE w:val="0"/>
        <w:autoSpaceDN w:val="0"/>
        <w:adjustRightInd w:val="0"/>
        <w:ind w:firstLine="720"/>
        <w:contextualSpacing/>
        <w:jc w:val="both"/>
        <w:rPr>
          <w:color w:val="000000" w:themeColor="text1"/>
        </w:rPr>
      </w:pPr>
    </w:p>
    <w:p w14:paraId="2B9BC76E" w14:textId="77777777" w:rsidR="004D0089" w:rsidRDefault="002600E9" w:rsidP="003855A4">
      <w:pPr>
        <w:pStyle w:val="NormalWeb"/>
        <w:tabs>
          <w:tab w:val="left" w:pos="3024"/>
        </w:tabs>
        <w:spacing w:before="0" w:beforeAutospacing="0" w:after="0" w:afterAutospacing="0"/>
        <w:jc w:val="both"/>
        <w:rPr>
          <w:color w:val="000000" w:themeColor="text1"/>
          <w:lang w:val="en-US" w:eastAsia="en-US"/>
        </w:rPr>
      </w:pPr>
      <w:r w:rsidRPr="00F102E9">
        <w:rPr>
          <w:color w:val="000000" w:themeColor="text1"/>
          <w:lang w:val="en-US" w:eastAsia="en-US"/>
        </w:rPr>
        <w:t xml:space="preserve">       </w:t>
      </w:r>
      <w:r w:rsidR="003855A4" w:rsidRPr="00F102E9">
        <w:rPr>
          <w:color w:val="000000" w:themeColor="text1"/>
          <w:lang w:val="en-US" w:eastAsia="en-US"/>
        </w:rPr>
        <w:t>The trade facilitation indicators are obtained from the UN Global Survey on Digital and Sustainable Trade Facilitation and are available for the sample countries in 2017, 2019, 2021, and 2023. This specification captures the joint role of trade facilitation conditions in both trading partners and allows us to examine how improvements on either side of the bilateral relationship are associated with trade flows.</w:t>
      </w:r>
    </w:p>
    <w:p w14:paraId="123E8947" w14:textId="77777777" w:rsidR="00EC7BA1" w:rsidRDefault="00EC7BA1" w:rsidP="003855A4">
      <w:pPr>
        <w:pStyle w:val="NormalWeb"/>
        <w:tabs>
          <w:tab w:val="left" w:pos="3024"/>
        </w:tabs>
        <w:spacing w:before="0" w:beforeAutospacing="0" w:after="0" w:afterAutospacing="0"/>
        <w:jc w:val="both"/>
        <w:rPr>
          <w:color w:val="000000" w:themeColor="text1"/>
          <w:lang w:val="en-US" w:eastAsia="en-US"/>
        </w:rPr>
      </w:pPr>
    </w:p>
    <w:p w14:paraId="042512C2" w14:textId="77777777" w:rsidR="00EC7BA1" w:rsidRPr="00F102E9" w:rsidRDefault="00EC7BA1" w:rsidP="003855A4">
      <w:pPr>
        <w:pStyle w:val="NormalWeb"/>
        <w:tabs>
          <w:tab w:val="left" w:pos="3024"/>
        </w:tabs>
        <w:spacing w:before="0" w:beforeAutospacing="0" w:after="0" w:afterAutospacing="0"/>
        <w:jc w:val="both"/>
        <w:rPr>
          <w:color w:val="000000" w:themeColor="text1"/>
        </w:rPr>
      </w:pPr>
    </w:p>
    <w:p w14:paraId="1D4D452A" w14:textId="77777777" w:rsidR="00263E3E" w:rsidRPr="00445A96" w:rsidRDefault="008766B8" w:rsidP="008766B8">
      <w:pPr>
        <w:pStyle w:val="NormalWeb"/>
        <w:spacing w:before="0" w:beforeAutospacing="0" w:after="0" w:afterAutospacing="0"/>
        <w:jc w:val="both"/>
        <w:rPr>
          <w:b/>
          <w:bCs/>
        </w:rPr>
      </w:pPr>
      <w:r w:rsidRPr="00445A96">
        <w:rPr>
          <w:b/>
          <w:bCs/>
        </w:rPr>
        <w:t>Results</w:t>
      </w:r>
    </w:p>
    <w:p w14:paraId="386327F0" w14:textId="77777777" w:rsidR="00430C7B" w:rsidRPr="001926F2" w:rsidRDefault="00430C7B" w:rsidP="008766B8">
      <w:pPr>
        <w:pStyle w:val="NormalWeb"/>
        <w:spacing w:before="0" w:beforeAutospacing="0" w:after="0" w:afterAutospacing="0"/>
        <w:jc w:val="both"/>
        <w:rPr>
          <w:b/>
          <w:bCs/>
          <w:color w:val="FF0000"/>
        </w:rPr>
      </w:pPr>
    </w:p>
    <w:p w14:paraId="4EFFE732" w14:textId="77777777" w:rsidR="001E43B0" w:rsidRPr="001E43B0" w:rsidRDefault="001E43B0" w:rsidP="001E43B0">
      <w:pPr>
        <w:pStyle w:val="NormalWeb"/>
        <w:spacing w:before="0" w:beforeAutospacing="0" w:after="0" w:afterAutospacing="0"/>
        <w:ind w:firstLine="720"/>
        <w:jc w:val="both"/>
      </w:pPr>
      <w:r w:rsidRPr="001E43B0">
        <w:t>Table 1 reports the results of the seven estimated regressions. The first specification serves as a baseline model and does not include any trade facilitation variables. The second regression incorporates indicators capturing the overall level of trade facilitation and paperless trade measures implemented by the countries. The remaining five regressions assess separately the effects of specific groups of trade facilitation measures: transparency, formalities, institutional arrangements and cooperation, paperless trade, and cross-border paperless trade.</w:t>
      </w:r>
    </w:p>
    <w:p w14:paraId="4A554E2B" w14:textId="77777777" w:rsidR="001E43B0" w:rsidRPr="001E43B0" w:rsidRDefault="001E43B0" w:rsidP="001E43B0">
      <w:pPr>
        <w:pStyle w:val="NormalWeb"/>
        <w:spacing w:before="0" w:beforeAutospacing="0" w:after="0" w:afterAutospacing="0"/>
        <w:ind w:firstLine="720"/>
        <w:jc w:val="both"/>
      </w:pPr>
      <w:r w:rsidRPr="001E43B0">
        <w:t>Across all seven specifications, the consistency of the estimated coefficients for the core gravity variables—GDP of the home country, GDP of the trading partner, distance, common language, common border, and previous political union—confirms the robustness of the model.</w:t>
      </w:r>
    </w:p>
    <w:p w14:paraId="45A49BC4" w14:textId="77777777" w:rsidR="001E43B0" w:rsidRPr="001E43B0" w:rsidRDefault="001E43B0" w:rsidP="001E43B0">
      <w:pPr>
        <w:pStyle w:val="NormalWeb"/>
        <w:spacing w:before="0" w:beforeAutospacing="0" w:after="0" w:afterAutospacing="0"/>
        <w:ind w:firstLine="720"/>
        <w:jc w:val="both"/>
      </w:pPr>
      <w:r w:rsidRPr="001E43B0">
        <w:t>The coefficient on distance is negative and statistically significant, indicating that greater geographical distance reduces bilateral trade flows. This finding is consistent with the standard predictions of the gravity model and reflects one of its central theoretical assumptions.</w:t>
      </w:r>
    </w:p>
    <w:p w14:paraId="56F8875E" w14:textId="77777777" w:rsidR="001E43B0" w:rsidRPr="001E43B0" w:rsidRDefault="001E43B0" w:rsidP="001E43B0">
      <w:pPr>
        <w:pStyle w:val="NormalWeb"/>
        <w:spacing w:before="0" w:beforeAutospacing="0" w:after="0" w:afterAutospacing="0"/>
        <w:ind w:firstLine="720"/>
        <w:jc w:val="both"/>
      </w:pPr>
      <w:r w:rsidRPr="001E43B0">
        <w:t>The coefficients for GDP of the home country and GDP of the trading partner are positive and highly statistically significant. This suggests that higher economic output in either country is associated with increased bilateral trade, confirming that economic size positively influences trade flows.</w:t>
      </w:r>
    </w:p>
    <w:p w14:paraId="176E00D6" w14:textId="77777777" w:rsidR="000B2BC9" w:rsidRPr="001E43B0" w:rsidRDefault="000B2BC9" w:rsidP="008766B8">
      <w:pPr>
        <w:pStyle w:val="NormalWeb"/>
        <w:spacing w:before="0" w:beforeAutospacing="0" w:after="0" w:afterAutospacing="0"/>
        <w:jc w:val="both"/>
      </w:pPr>
    </w:p>
    <w:p w14:paraId="7222C37E" w14:textId="77777777" w:rsidR="00DC33A1" w:rsidRPr="00AB1E29" w:rsidRDefault="00DC33A1" w:rsidP="00DC33A1">
      <w:pPr>
        <w:rPr>
          <w:sz w:val="20"/>
          <w:szCs w:val="20"/>
        </w:rPr>
      </w:pPr>
      <w:r w:rsidRPr="00AB1E29">
        <w:rPr>
          <w:sz w:val="20"/>
          <w:szCs w:val="20"/>
        </w:rPr>
        <w:t>Table 1. Results of UN Trade Facilitation and Paperless Trade data on WB countries trade, 202</w:t>
      </w:r>
      <w:r w:rsidR="00884F3E">
        <w:rPr>
          <w:sz w:val="20"/>
          <w:szCs w:val="20"/>
        </w:rPr>
        <w:t>3</w:t>
      </w:r>
    </w:p>
    <w:tbl>
      <w:tblPr>
        <w:tblW w:w="4891" w:type="pct"/>
        <w:tblInd w:w="-5" w:type="dxa"/>
        <w:tblLayout w:type="fixed"/>
        <w:tblLook w:val="04A0" w:firstRow="1" w:lastRow="0" w:firstColumn="1" w:lastColumn="0" w:noHBand="0" w:noVBand="1"/>
      </w:tblPr>
      <w:tblGrid>
        <w:gridCol w:w="1805"/>
        <w:gridCol w:w="990"/>
        <w:gridCol w:w="989"/>
        <w:gridCol w:w="1090"/>
        <w:gridCol w:w="981"/>
        <w:gridCol w:w="991"/>
        <w:gridCol w:w="989"/>
        <w:gridCol w:w="984"/>
      </w:tblGrid>
      <w:tr w:rsidR="00AB1E29" w:rsidRPr="00AB1E29" w14:paraId="0CB6B4D3" w14:textId="77777777" w:rsidTr="00AB1E29">
        <w:trPr>
          <w:trHeight w:val="242"/>
        </w:trPr>
        <w:tc>
          <w:tcPr>
            <w:tcW w:w="10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AB2A9FE" w14:textId="77777777" w:rsidR="00DC33A1" w:rsidRPr="00AB1E29" w:rsidRDefault="00DC33A1">
            <w:pPr>
              <w:rPr>
                <w:color w:val="000000"/>
                <w:sz w:val="20"/>
                <w:szCs w:val="20"/>
                <w:lang w:eastAsia="en-GB"/>
              </w:rPr>
            </w:pPr>
            <w:r w:rsidRPr="00AB1E29">
              <w:rPr>
                <w:color w:val="000000"/>
                <w:sz w:val="20"/>
                <w:szCs w:val="20"/>
                <w:lang w:eastAsia="en-GB"/>
              </w:rPr>
              <w:t> </w:t>
            </w:r>
          </w:p>
        </w:tc>
        <w:tc>
          <w:tcPr>
            <w:tcW w:w="561" w:type="pct"/>
            <w:tcBorders>
              <w:top w:val="single" w:sz="4" w:space="0" w:color="auto"/>
              <w:left w:val="nil"/>
              <w:bottom w:val="single" w:sz="4" w:space="0" w:color="auto"/>
              <w:right w:val="single" w:sz="4" w:space="0" w:color="auto"/>
            </w:tcBorders>
            <w:shd w:val="clear" w:color="000000" w:fill="FFFFFF"/>
            <w:noWrap/>
            <w:vAlign w:val="bottom"/>
            <w:hideMark/>
          </w:tcPr>
          <w:p w14:paraId="73303A6E" w14:textId="77777777" w:rsidR="00DC33A1" w:rsidRPr="00AB1E29" w:rsidRDefault="00DC33A1">
            <w:pPr>
              <w:rPr>
                <w:color w:val="000000"/>
                <w:sz w:val="20"/>
                <w:szCs w:val="20"/>
                <w:lang w:eastAsia="en-GB"/>
              </w:rPr>
            </w:pPr>
            <w:r w:rsidRPr="00AB1E29">
              <w:rPr>
                <w:color w:val="000000"/>
                <w:sz w:val="20"/>
                <w:szCs w:val="20"/>
                <w:lang w:eastAsia="en-GB"/>
              </w:rPr>
              <w:t>Model 1</w:t>
            </w:r>
          </w:p>
        </w:tc>
        <w:tc>
          <w:tcPr>
            <w:tcW w:w="561" w:type="pct"/>
            <w:tcBorders>
              <w:top w:val="single" w:sz="4" w:space="0" w:color="auto"/>
              <w:left w:val="nil"/>
              <w:bottom w:val="single" w:sz="4" w:space="0" w:color="auto"/>
              <w:right w:val="single" w:sz="4" w:space="0" w:color="auto"/>
            </w:tcBorders>
            <w:shd w:val="clear" w:color="000000" w:fill="FFFFFF"/>
            <w:noWrap/>
            <w:vAlign w:val="bottom"/>
            <w:hideMark/>
          </w:tcPr>
          <w:p w14:paraId="1C3E80E7" w14:textId="77777777" w:rsidR="00DC33A1" w:rsidRPr="00AB1E29" w:rsidRDefault="00DC33A1">
            <w:pPr>
              <w:rPr>
                <w:color w:val="000000"/>
                <w:sz w:val="20"/>
                <w:szCs w:val="20"/>
                <w:lang w:eastAsia="en-GB"/>
              </w:rPr>
            </w:pPr>
            <w:r w:rsidRPr="00AB1E29">
              <w:rPr>
                <w:color w:val="000000"/>
                <w:sz w:val="20"/>
                <w:szCs w:val="20"/>
                <w:lang w:eastAsia="en-GB"/>
              </w:rPr>
              <w:t>Model 2</w:t>
            </w:r>
          </w:p>
        </w:tc>
        <w:tc>
          <w:tcPr>
            <w:tcW w:w="618" w:type="pct"/>
            <w:tcBorders>
              <w:top w:val="single" w:sz="4" w:space="0" w:color="auto"/>
              <w:left w:val="nil"/>
              <w:bottom w:val="single" w:sz="4" w:space="0" w:color="auto"/>
              <w:right w:val="single" w:sz="4" w:space="0" w:color="auto"/>
            </w:tcBorders>
            <w:shd w:val="clear" w:color="000000" w:fill="FFFFFF"/>
            <w:noWrap/>
            <w:vAlign w:val="bottom"/>
            <w:hideMark/>
          </w:tcPr>
          <w:p w14:paraId="24E3E9F9" w14:textId="77777777" w:rsidR="00DC33A1" w:rsidRPr="00AB1E29" w:rsidRDefault="00DC33A1">
            <w:pPr>
              <w:rPr>
                <w:color w:val="000000"/>
                <w:sz w:val="20"/>
                <w:szCs w:val="20"/>
                <w:lang w:eastAsia="en-GB"/>
              </w:rPr>
            </w:pPr>
            <w:r w:rsidRPr="00AB1E29">
              <w:rPr>
                <w:color w:val="000000"/>
                <w:sz w:val="20"/>
                <w:szCs w:val="20"/>
                <w:lang w:eastAsia="en-GB"/>
              </w:rPr>
              <w:t>Model 3</w:t>
            </w:r>
          </w:p>
        </w:tc>
        <w:tc>
          <w:tcPr>
            <w:tcW w:w="556" w:type="pct"/>
            <w:tcBorders>
              <w:top w:val="single" w:sz="4" w:space="0" w:color="auto"/>
              <w:left w:val="nil"/>
              <w:bottom w:val="single" w:sz="4" w:space="0" w:color="auto"/>
              <w:right w:val="single" w:sz="4" w:space="0" w:color="auto"/>
            </w:tcBorders>
            <w:shd w:val="clear" w:color="000000" w:fill="FFFFFF"/>
            <w:noWrap/>
            <w:vAlign w:val="bottom"/>
            <w:hideMark/>
          </w:tcPr>
          <w:p w14:paraId="5693B6F1" w14:textId="77777777" w:rsidR="00DC33A1" w:rsidRPr="00AB1E29" w:rsidRDefault="00DC33A1">
            <w:pPr>
              <w:rPr>
                <w:color w:val="000000"/>
                <w:sz w:val="20"/>
                <w:szCs w:val="20"/>
                <w:lang w:eastAsia="en-GB"/>
              </w:rPr>
            </w:pPr>
            <w:r w:rsidRPr="00AB1E29">
              <w:rPr>
                <w:color w:val="000000"/>
                <w:sz w:val="20"/>
                <w:szCs w:val="20"/>
                <w:lang w:eastAsia="en-GB"/>
              </w:rPr>
              <w:t>Model 4</w:t>
            </w:r>
          </w:p>
        </w:tc>
        <w:tc>
          <w:tcPr>
            <w:tcW w:w="562" w:type="pct"/>
            <w:tcBorders>
              <w:top w:val="single" w:sz="4" w:space="0" w:color="auto"/>
              <w:left w:val="nil"/>
              <w:bottom w:val="single" w:sz="4" w:space="0" w:color="auto"/>
              <w:right w:val="single" w:sz="4" w:space="0" w:color="auto"/>
            </w:tcBorders>
            <w:shd w:val="clear" w:color="000000" w:fill="FFFFFF"/>
            <w:noWrap/>
            <w:vAlign w:val="bottom"/>
            <w:hideMark/>
          </w:tcPr>
          <w:p w14:paraId="7BDE324F" w14:textId="77777777" w:rsidR="00DC33A1" w:rsidRPr="00AB1E29" w:rsidRDefault="00DC33A1">
            <w:pPr>
              <w:rPr>
                <w:color w:val="000000"/>
                <w:sz w:val="20"/>
                <w:szCs w:val="20"/>
                <w:lang w:eastAsia="en-GB"/>
              </w:rPr>
            </w:pPr>
            <w:r w:rsidRPr="00AB1E29">
              <w:rPr>
                <w:color w:val="000000"/>
                <w:sz w:val="20"/>
                <w:szCs w:val="20"/>
                <w:lang w:eastAsia="en-GB"/>
              </w:rPr>
              <w:t>Model 5</w:t>
            </w:r>
          </w:p>
        </w:tc>
        <w:tc>
          <w:tcPr>
            <w:tcW w:w="561" w:type="pct"/>
            <w:tcBorders>
              <w:top w:val="single" w:sz="4" w:space="0" w:color="auto"/>
              <w:left w:val="nil"/>
              <w:bottom w:val="single" w:sz="4" w:space="0" w:color="auto"/>
              <w:right w:val="single" w:sz="4" w:space="0" w:color="auto"/>
            </w:tcBorders>
            <w:shd w:val="clear" w:color="000000" w:fill="FFFFFF"/>
            <w:noWrap/>
            <w:vAlign w:val="bottom"/>
            <w:hideMark/>
          </w:tcPr>
          <w:p w14:paraId="163CFD15" w14:textId="77777777" w:rsidR="00DC33A1" w:rsidRPr="00AB1E29" w:rsidRDefault="00DC33A1">
            <w:pPr>
              <w:rPr>
                <w:color w:val="000000"/>
                <w:sz w:val="20"/>
                <w:szCs w:val="20"/>
                <w:lang w:eastAsia="en-GB"/>
              </w:rPr>
            </w:pPr>
            <w:r w:rsidRPr="00AB1E29">
              <w:rPr>
                <w:color w:val="000000"/>
                <w:sz w:val="20"/>
                <w:szCs w:val="20"/>
                <w:lang w:eastAsia="en-GB"/>
              </w:rPr>
              <w:t>Model 6</w:t>
            </w:r>
          </w:p>
        </w:tc>
        <w:tc>
          <w:tcPr>
            <w:tcW w:w="558" w:type="pct"/>
            <w:tcBorders>
              <w:top w:val="single" w:sz="4" w:space="0" w:color="auto"/>
              <w:left w:val="nil"/>
              <w:bottom w:val="single" w:sz="4" w:space="0" w:color="auto"/>
              <w:right w:val="single" w:sz="4" w:space="0" w:color="auto"/>
            </w:tcBorders>
            <w:shd w:val="clear" w:color="000000" w:fill="FFFFFF"/>
            <w:noWrap/>
            <w:vAlign w:val="bottom"/>
            <w:hideMark/>
          </w:tcPr>
          <w:p w14:paraId="3CC5D630" w14:textId="77777777" w:rsidR="00DC33A1" w:rsidRPr="00AB1E29" w:rsidRDefault="00DC33A1">
            <w:pPr>
              <w:rPr>
                <w:color w:val="000000"/>
                <w:sz w:val="20"/>
                <w:szCs w:val="20"/>
                <w:lang w:eastAsia="en-GB"/>
              </w:rPr>
            </w:pPr>
            <w:r w:rsidRPr="00AB1E29">
              <w:rPr>
                <w:color w:val="000000"/>
                <w:sz w:val="20"/>
                <w:szCs w:val="20"/>
                <w:lang w:eastAsia="en-GB"/>
              </w:rPr>
              <w:t>Model 7</w:t>
            </w:r>
          </w:p>
        </w:tc>
      </w:tr>
      <w:tr w:rsidR="00DC33A1" w:rsidRPr="00AB1E29" w14:paraId="095B70A7" w14:textId="77777777" w:rsidTr="00AB1E29">
        <w:trPr>
          <w:trHeight w:val="242"/>
        </w:trPr>
        <w:tc>
          <w:tcPr>
            <w:tcW w:w="1023"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5843BDC5" w14:textId="77777777" w:rsidR="00DC33A1" w:rsidRPr="00AB1E29" w:rsidRDefault="00DC33A1" w:rsidP="00DC33A1">
            <w:pPr>
              <w:rPr>
                <w:color w:val="000000"/>
                <w:sz w:val="20"/>
                <w:szCs w:val="20"/>
                <w:lang w:eastAsia="en-GB"/>
              </w:rPr>
            </w:pPr>
            <w:r w:rsidRPr="00AB1E29">
              <w:rPr>
                <w:color w:val="000000"/>
                <w:sz w:val="20"/>
                <w:szCs w:val="20"/>
                <w:lang w:eastAsia="en-GB"/>
              </w:rPr>
              <w:t>No of observations</w:t>
            </w:r>
          </w:p>
        </w:tc>
        <w:tc>
          <w:tcPr>
            <w:tcW w:w="561" w:type="pct"/>
            <w:tcBorders>
              <w:top w:val="single" w:sz="4" w:space="0" w:color="auto"/>
              <w:left w:val="nil"/>
              <w:bottom w:val="single" w:sz="4" w:space="0" w:color="auto"/>
              <w:right w:val="single" w:sz="4" w:space="0" w:color="auto"/>
            </w:tcBorders>
            <w:shd w:val="clear" w:color="000000" w:fill="FFFFFF"/>
            <w:noWrap/>
            <w:vAlign w:val="center"/>
          </w:tcPr>
          <w:p w14:paraId="39D41478" w14:textId="77777777" w:rsidR="00DC33A1" w:rsidRPr="00AB1E29" w:rsidRDefault="00DC33A1" w:rsidP="00DC33A1">
            <w:pPr>
              <w:jc w:val="right"/>
              <w:rPr>
                <w:color w:val="000000"/>
                <w:sz w:val="20"/>
                <w:szCs w:val="20"/>
                <w:highlight w:val="yellow"/>
                <w:lang w:eastAsia="en-GB"/>
              </w:rPr>
            </w:pPr>
            <w:r w:rsidRPr="00AB1E29">
              <w:rPr>
                <w:sz w:val="20"/>
                <w:szCs w:val="20"/>
              </w:rPr>
              <w:t>1,</w:t>
            </w:r>
            <w:r w:rsidR="00884F3E">
              <w:rPr>
                <w:sz w:val="20"/>
                <w:szCs w:val="20"/>
              </w:rPr>
              <w:t>512</w:t>
            </w:r>
          </w:p>
        </w:tc>
        <w:tc>
          <w:tcPr>
            <w:tcW w:w="561" w:type="pct"/>
            <w:tcBorders>
              <w:top w:val="single" w:sz="4" w:space="0" w:color="auto"/>
              <w:left w:val="nil"/>
              <w:bottom w:val="single" w:sz="4" w:space="0" w:color="auto"/>
              <w:right w:val="single" w:sz="4" w:space="0" w:color="auto"/>
            </w:tcBorders>
            <w:shd w:val="clear" w:color="000000" w:fill="FFFFFF"/>
            <w:noWrap/>
            <w:vAlign w:val="center"/>
          </w:tcPr>
          <w:p w14:paraId="18221AA2" w14:textId="77777777" w:rsidR="00DC33A1" w:rsidRPr="00AB1E29" w:rsidRDefault="00884F3E" w:rsidP="00DC33A1">
            <w:pPr>
              <w:jc w:val="right"/>
              <w:rPr>
                <w:color w:val="000000"/>
                <w:sz w:val="20"/>
                <w:szCs w:val="20"/>
                <w:lang w:eastAsia="en-GB"/>
              </w:rPr>
            </w:pPr>
            <w:r w:rsidRPr="00AB1E29">
              <w:rPr>
                <w:sz w:val="20"/>
                <w:szCs w:val="20"/>
              </w:rPr>
              <w:t>1,</w:t>
            </w:r>
            <w:r>
              <w:rPr>
                <w:sz w:val="20"/>
                <w:szCs w:val="20"/>
              </w:rPr>
              <w:t>512</w:t>
            </w:r>
          </w:p>
        </w:tc>
        <w:tc>
          <w:tcPr>
            <w:tcW w:w="618" w:type="pct"/>
            <w:tcBorders>
              <w:top w:val="single" w:sz="4" w:space="0" w:color="auto"/>
              <w:left w:val="nil"/>
              <w:bottom w:val="single" w:sz="4" w:space="0" w:color="auto"/>
              <w:right w:val="single" w:sz="4" w:space="0" w:color="auto"/>
            </w:tcBorders>
            <w:shd w:val="clear" w:color="000000" w:fill="FFFFFF"/>
            <w:noWrap/>
            <w:vAlign w:val="center"/>
          </w:tcPr>
          <w:p w14:paraId="6F6486ED" w14:textId="77777777" w:rsidR="00DC33A1" w:rsidRPr="00AB1E29" w:rsidRDefault="00884F3E" w:rsidP="00DC33A1">
            <w:pPr>
              <w:jc w:val="right"/>
              <w:rPr>
                <w:color w:val="000000"/>
                <w:sz w:val="20"/>
                <w:szCs w:val="20"/>
                <w:lang w:eastAsia="en-GB"/>
              </w:rPr>
            </w:pPr>
            <w:r w:rsidRPr="00AB1E29">
              <w:rPr>
                <w:sz w:val="20"/>
                <w:szCs w:val="20"/>
              </w:rPr>
              <w:t>1,</w:t>
            </w:r>
            <w:r>
              <w:rPr>
                <w:sz w:val="20"/>
                <w:szCs w:val="20"/>
              </w:rPr>
              <w:t>512</w:t>
            </w:r>
          </w:p>
        </w:tc>
        <w:tc>
          <w:tcPr>
            <w:tcW w:w="556" w:type="pct"/>
            <w:tcBorders>
              <w:top w:val="single" w:sz="4" w:space="0" w:color="auto"/>
              <w:left w:val="nil"/>
              <w:bottom w:val="single" w:sz="4" w:space="0" w:color="auto"/>
              <w:right w:val="single" w:sz="4" w:space="0" w:color="auto"/>
            </w:tcBorders>
            <w:shd w:val="clear" w:color="000000" w:fill="FFFFFF"/>
            <w:noWrap/>
            <w:vAlign w:val="center"/>
          </w:tcPr>
          <w:p w14:paraId="7E991646" w14:textId="77777777" w:rsidR="00DC33A1" w:rsidRPr="00AB1E29" w:rsidRDefault="00884F3E" w:rsidP="00DC33A1">
            <w:pPr>
              <w:jc w:val="right"/>
              <w:rPr>
                <w:color w:val="000000"/>
                <w:sz w:val="20"/>
                <w:szCs w:val="20"/>
                <w:lang w:eastAsia="en-GB"/>
              </w:rPr>
            </w:pPr>
            <w:r w:rsidRPr="00AB1E29">
              <w:rPr>
                <w:sz w:val="20"/>
                <w:szCs w:val="20"/>
              </w:rPr>
              <w:t>1,</w:t>
            </w:r>
            <w:r>
              <w:rPr>
                <w:sz w:val="20"/>
                <w:szCs w:val="20"/>
              </w:rPr>
              <w:t>512</w:t>
            </w:r>
          </w:p>
        </w:tc>
        <w:tc>
          <w:tcPr>
            <w:tcW w:w="562" w:type="pct"/>
            <w:tcBorders>
              <w:top w:val="single" w:sz="4" w:space="0" w:color="auto"/>
              <w:left w:val="nil"/>
              <w:bottom w:val="single" w:sz="4" w:space="0" w:color="auto"/>
              <w:right w:val="single" w:sz="4" w:space="0" w:color="auto"/>
            </w:tcBorders>
            <w:shd w:val="clear" w:color="000000" w:fill="FFFFFF"/>
            <w:noWrap/>
            <w:vAlign w:val="center"/>
          </w:tcPr>
          <w:p w14:paraId="51F87616" w14:textId="77777777" w:rsidR="00DC33A1" w:rsidRPr="00AB1E29" w:rsidRDefault="00884F3E" w:rsidP="00DC33A1">
            <w:pPr>
              <w:jc w:val="right"/>
              <w:rPr>
                <w:color w:val="000000"/>
                <w:sz w:val="20"/>
                <w:szCs w:val="20"/>
                <w:lang w:eastAsia="en-GB"/>
              </w:rPr>
            </w:pPr>
            <w:r w:rsidRPr="00AB1E29">
              <w:rPr>
                <w:sz w:val="20"/>
                <w:szCs w:val="20"/>
              </w:rPr>
              <w:t>1,</w:t>
            </w:r>
            <w:r>
              <w:rPr>
                <w:sz w:val="20"/>
                <w:szCs w:val="20"/>
              </w:rPr>
              <w:t>512</w:t>
            </w:r>
          </w:p>
        </w:tc>
        <w:tc>
          <w:tcPr>
            <w:tcW w:w="561" w:type="pct"/>
            <w:tcBorders>
              <w:top w:val="single" w:sz="4" w:space="0" w:color="auto"/>
              <w:left w:val="nil"/>
              <w:bottom w:val="single" w:sz="4" w:space="0" w:color="auto"/>
              <w:right w:val="single" w:sz="4" w:space="0" w:color="auto"/>
            </w:tcBorders>
            <w:shd w:val="clear" w:color="000000" w:fill="FFFFFF"/>
            <w:noWrap/>
            <w:vAlign w:val="center"/>
          </w:tcPr>
          <w:p w14:paraId="43D7112B" w14:textId="77777777" w:rsidR="00DC33A1" w:rsidRPr="00AB1E29" w:rsidRDefault="00884F3E" w:rsidP="00DC33A1">
            <w:pPr>
              <w:jc w:val="right"/>
              <w:rPr>
                <w:color w:val="000000"/>
                <w:sz w:val="20"/>
                <w:szCs w:val="20"/>
                <w:lang w:eastAsia="en-GB"/>
              </w:rPr>
            </w:pPr>
            <w:r w:rsidRPr="00AB1E29">
              <w:rPr>
                <w:sz w:val="20"/>
                <w:szCs w:val="20"/>
              </w:rPr>
              <w:t>1,</w:t>
            </w:r>
            <w:r>
              <w:rPr>
                <w:sz w:val="20"/>
                <w:szCs w:val="20"/>
              </w:rPr>
              <w:t>512</w:t>
            </w:r>
          </w:p>
        </w:tc>
        <w:tc>
          <w:tcPr>
            <w:tcW w:w="558" w:type="pct"/>
            <w:tcBorders>
              <w:top w:val="single" w:sz="4" w:space="0" w:color="auto"/>
              <w:left w:val="nil"/>
              <w:bottom w:val="single" w:sz="4" w:space="0" w:color="auto"/>
              <w:right w:val="single" w:sz="4" w:space="0" w:color="auto"/>
            </w:tcBorders>
            <w:shd w:val="clear" w:color="000000" w:fill="FFFFFF"/>
            <w:noWrap/>
            <w:vAlign w:val="center"/>
          </w:tcPr>
          <w:p w14:paraId="2CBA7D08" w14:textId="77777777" w:rsidR="00DC33A1" w:rsidRPr="00AB1E29" w:rsidRDefault="00884F3E" w:rsidP="00DC33A1">
            <w:pPr>
              <w:jc w:val="right"/>
              <w:rPr>
                <w:color w:val="000000"/>
                <w:sz w:val="20"/>
                <w:szCs w:val="20"/>
                <w:lang w:eastAsia="en-GB"/>
              </w:rPr>
            </w:pPr>
            <w:r w:rsidRPr="00AB1E29">
              <w:rPr>
                <w:sz w:val="20"/>
                <w:szCs w:val="20"/>
              </w:rPr>
              <w:t>1,</w:t>
            </w:r>
            <w:r>
              <w:rPr>
                <w:sz w:val="20"/>
                <w:szCs w:val="20"/>
              </w:rPr>
              <w:t>512</w:t>
            </w:r>
          </w:p>
        </w:tc>
      </w:tr>
      <w:tr w:rsidR="00AB1E29" w:rsidRPr="00AB1E29" w14:paraId="5B095480" w14:textId="77777777" w:rsidTr="00AB1E29">
        <w:trPr>
          <w:trHeight w:val="242"/>
        </w:trPr>
        <w:tc>
          <w:tcPr>
            <w:tcW w:w="1023" w:type="pct"/>
            <w:tcBorders>
              <w:top w:val="single" w:sz="4" w:space="0" w:color="auto"/>
              <w:left w:val="single" w:sz="4" w:space="0" w:color="auto"/>
              <w:bottom w:val="single" w:sz="4" w:space="0" w:color="auto"/>
              <w:right w:val="single" w:sz="4" w:space="0" w:color="auto"/>
            </w:tcBorders>
            <w:shd w:val="clear" w:color="000000" w:fill="FFFFFF"/>
            <w:noWrap/>
            <w:vAlign w:val="bottom"/>
          </w:tcPr>
          <w:p w14:paraId="13FD7ADB" w14:textId="77777777" w:rsidR="00DC33A1" w:rsidRPr="00AB1E29" w:rsidRDefault="00DC33A1">
            <w:pPr>
              <w:rPr>
                <w:color w:val="000000"/>
                <w:sz w:val="20"/>
                <w:szCs w:val="20"/>
                <w:lang w:eastAsia="en-GB"/>
              </w:rPr>
            </w:pPr>
          </w:p>
        </w:tc>
        <w:tc>
          <w:tcPr>
            <w:tcW w:w="561" w:type="pct"/>
            <w:tcBorders>
              <w:top w:val="single" w:sz="4" w:space="0" w:color="auto"/>
              <w:left w:val="nil"/>
              <w:bottom w:val="single" w:sz="4" w:space="0" w:color="auto"/>
              <w:right w:val="single" w:sz="4" w:space="0" w:color="auto"/>
            </w:tcBorders>
            <w:shd w:val="clear" w:color="000000" w:fill="FFFFFF"/>
            <w:noWrap/>
            <w:vAlign w:val="bottom"/>
          </w:tcPr>
          <w:p w14:paraId="7E5EE245" w14:textId="77777777" w:rsidR="00DC33A1" w:rsidRPr="00AB1E29" w:rsidRDefault="00DC33A1">
            <w:pPr>
              <w:rPr>
                <w:color w:val="000000"/>
                <w:sz w:val="20"/>
                <w:szCs w:val="20"/>
                <w:highlight w:val="yellow"/>
                <w:lang w:eastAsia="en-GB"/>
              </w:rPr>
            </w:pPr>
          </w:p>
        </w:tc>
        <w:tc>
          <w:tcPr>
            <w:tcW w:w="561" w:type="pct"/>
            <w:tcBorders>
              <w:top w:val="single" w:sz="4" w:space="0" w:color="auto"/>
              <w:left w:val="nil"/>
              <w:bottom w:val="single" w:sz="4" w:space="0" w:color="auto"/>
              <w:right w:val="single" w:sz="4" w:space="0" w:color="auto"/>
            </w:tcBorders>
            <w:shd w:val="clear" w:color="000000" w:fill="FFFFFF"/>
            <w:noWrap/>
            <w:vAlign w:val="bottom"/>
          </w:tcPr>
          <w:p w14:paraId="191B728C" w14:textId="77777777" w:rsidR="00DC33A1" w:rsidRPr="00AB1E29" w:rsidRDefault="00DC33A1">
            <w:pPr>
              <w:rPr>
                <w:color w:val="000000"/>
                <w:sz w:val="20"/>
                <w:szCs w:val="20"/>
                <w:lang w:eastAsia="en-GB"/>
              </w:rPr>
            </w:pPr>
          </w:p>
        </w:tc>
        <w:tc>
          <w:tcPr>
            <w:tcW w:w="618" w:type="pct"/>
            <w:tcBorders>
              <w:top w:val="single" w:sz="4" w:space="0" w:color="auto"/>
              <w:left w:val="nil"/>
              <w:bottom w:val="single" w:sz="4" w:space="0" w:color="auto"/>
              <w:right w:val="single" w:sz="4" w:space="0" w:color="auto"/>
            </w:tcBorders>
            <w:shd w:val="clear" w:color="000000" w:fill="FFFFFF"/>
            <w:noWrap/>
            <w:vAlign w:val="bottom"/>
          </w:tcPr>
          <w:p w14:paraId="4D06138A" w14:textId="77777777" w:rsidR="00DC33A1" w:rsidRPr="00AB1E29" w:rsidRDefault="00DC33A1">
            <w:pPr>
              <w:rPr>
                <w:color w:val="000000"/>
                <w:sz w:val="20"/>
                <w:szCs w:val="20"/>
                <w:lang w:eastAsia="en-GB"/>
              </w:rPr>
            </w:pPr>
          </w:p>
        </w:tc>
        <w:tc>
          <w:tcPr>
            <w:tcW w:w="556" w:type="pct"/>
            <w:tcBorders>
              <w:top w:val="single" w:sz="4" w:space="0" w:color="auto"/>
              <w:left w:val="nil"/>
              <w:bottom w:val="single" w:sz="4" w:space="0" w:color="auto"/>
              <w:right w:val="single" w:sz="4" w:space="0" w:color="auto"/>
            </w:tcBorders>
            <w:shd w:val="clear" w:color="000000" w:fill="FFFFFF"/>
            <w:noWrap/>
            <w:vAlign w:val="bottom"/>
          </w:tcPr>
          <w:p w14:paraId="7D287530" w14:textId="77777777" w:rsidR="00DC33A1" w:rsidRPr="00AB1E29" w:rsidRDefault="00DC33A1">
            <w:pPr>
              <w:rPr>
                <w:color w:val="000000"/>
                <w:sz w:val="20"/>
                <w:szCs w:val="20"/>
                <w:lang w:eastAsia="en-GB"/>
              </w:rPr>
            </w:pPr>
          </w:p>
        </w:tc>
        <w:tc>
          <w:tcPr>
            <w:tcW w:w="562" w:type="pct"/>
            <w:tcBorders>
              <w:top w:val="single" w:sz="4" w:space="0" w:color="auto"/>
              <w:left w:val="nil"/>
              <w:bottom w:val="single" w:sz="4" w:space="0" w:color="auto"/>
              <w:right w:val="single" w:sz="4" w:space="0" w:color="auto"/>
            </w:tcBorders>
            <w:shd w:val="clear" w:color="000000" w:fill="FFFFFF"/>
            <w:noWrap/>
            <w:vAlign w:val="bottom"/>
          </w:tcPr>
          <w:p w14:paraId="1424AD66" w14:textId="77777777" w:rsidR="00DC33A1" w:rsidRPr="00AB1E29" w:rsidRDefault="00DC33A1">
            <w:pPr>
              <w:rPr>
                <w:color w:val="000000"/>
                <w:sz w:val="20"/>
                <w:szCs w:val="20"/>
                <w:lang w:eastAsia="en-GB"/>
              </w:rPr>
            </w:pPr>
          </w:p>
        </w:tc>
        <w:tc>
          <w:tcPr>
            <w:tcW w:w="561" w:type="pct"/>
            <w:tcBorders>
              <w:top w:val="single" w:sz="4" w:space="0" w:color="auto"/>
              <w:left w:val="nil"/>
              <w:bottom w:val="single" w:sz="4" w:space="0" w:color="auto"/>
              <w:right w:val="single" w:sz="4" w:space="0" w:color="auto"/>
            </w:tcBorders>
            <w:shd w:val="clear" w:color="000000" w:fill="FFFFFF"/>
            <w:noWrap/>
            <w:vAlign w:val="bottom"/>
          </w:tcPr>
          <w:p w14:paraId="5E1CD860" w14:textId="77777777" w:rsidR="00DC33A1" w:rsidRPr="00AB1E29" w:rsidRDefault="00DC33A1">
            <w:pPr>
              <w:rPr>
                <w:color w:val="000000"/>
                <w:sz w:val="20"/>
                <w:szCs w:val="20"/>
                <w:lang w:eastAsia="en-GB"/>
              </w:rPr>
            </w:pPr>
          </w:p>
        </w:tc>
        <w:tc>
          <w:tcPr>
            <w:tcW w:w="558" w:type="pct"/>
            <w:tcBorders>
              <w:top w:val="single" w:sz="4" w:space="0" w:color="auto"/>
              <w:left w:val="nil"/>
              <w:bottom w:val="single" w:sz="4" w:space="0" w:color="auto"/>
              <w:right w:val="single" w:sz="4" w:space="0" w:color="auto"/>
            </w:tcBorders>
            <w:shd w:val="clear" w:color="000000" w:fill="FFFFFF"/>
            <w:noWrap/>
            <w:vAlign w:val="bottom"/>
          </w:tcPr>
          <w:p w14:paraId="13A5CF2B" w14:textId="77777777" w:rsidR="00DC33A1" w:rsidRPr="00AB1E29" w:rsidRDefault="00DC33A1">
            <w:pPr>
              <w:rPr>
                <w:color w:val="000000"/>
                <w:sz w:val="20"/>
                <w:szCs w:val="20"/>
                <w:lang w:eastAsia="en-GB"/>
              </w:rPr>
            </w:pPr>
          </w:p>
        </w:tc>
      </w:tr>
      <w:tr w:rsidR="00884F3E" w:rsidRPr="00AB1E29" w14:paraId="6199DA10" w14:textId="77777777" w:rsidTr="00AB1E29">
        <w:trPr>
          <w:trHeight w:val="242"/>
        </w:trPr>
        <w:tc>
          <w:tcPr>
            <w:tcW w:w="1023" w:type="pct"/>
            <w:tcBorders>
              <w:top w:val="nil"/>
              <w:left w:val="single" w:sz="4" w:space="0" w:color="auto"/>
              <w:bottom w:val="single" w:sz="4" w:space="0" w:color="auto"/>
              <w:right w:val="single" w:sz="4" w:space="0" w:color="auto"/>
            </w:tcBorders>
            <w:shd w:val="clear" w:color="000000" w:fill="FFFFFF"/>
            <w:noWrap/>
            <w:vAlign w:val="bottom"/>
            <w:hideMark/>
          </w:tcPr>
          <w:p w14:paraId="0FFB8EF7" w14:textId="77777777" w:rsidR="00884F3E" w:rsidRPr="00AB1E29" w:rsidRDefault="00884F3E" w:rsidP="00884F3E">
            <w:pPr>
              <w:rPr>
                <w:color w:val="000000"/>
                <w:sz w:val="20"/>
                <w:szCs w:val="20"/>
                <w:lang w:eastAsia="en-GB"/>
              </w:rPr>
            </w:pPr>
            <w:r w:rsidRPr="00AB1E29">
              <w:rPr>
                <w:color w:val="000000"/>
                <w:sz w:val="20"/>
                <w:szCs w:val="20"/>
                <w:lang w:eastAsia="en-GB"/>
              </w:rPr>
              <w:t>C</w:t>
            </w:r>
          </w:p>
        </w:tc>
        <w:tc>
          <w:tcPr>
            <w:tcW w:w="561" w:type="pct"/>
            <w:tcBorders>
              <w:top w:val="nil"/>
              <w:left w:val="nil"/>
              <w:bottom w:val="single" w:sz="4" w:space="0" w:color="auto"/>
              <w:right w:val="single" w:sz="4" w:space="0" w:color="auto"/>
            </w:tcBorders>
            <w:shd w:val="clear" w:color="000000" w:fill="FFFFFF"/>
            <w:noWrap/>
            <w:vAlign w:val="center"/>
            <w:hideMark/>
          </w:tcPr>
          <w:p w14:paraId="40A852C0" w14:textId="77777777" w:rsidR="00884F3E" w:rsidRPr="00884F3E" w:rsidRDefault="00884F3E" w:rsidP="00884F3E">
            <w:pPr>
              <w:jc w:val="right"/>
              <w:rPr>
                <w:color w:val="000000"/>
                <w:sz w:val="18"/>
                <w:szCs w:val="18"/>
                <w:lang w:eastAsia="en-GB"/>
              </w:rPr>
            </w:pPr>
            <w:r w:rsidRPr="00884F3E">
              <w:rPr>
                <w:sz w:val="18"/>
                <w:szCs w:val="18"/>
              </w:rPr>
              <w:t>273.652</w:t>
            </w:r>
            <w:r w:rsidRPr="00884F3E">
              <w:rPr>
                <w:sz w:val="18"/>
                <w:szCs w:val="18"/>
                <w:vertAlign w:val="superscript"/>
              </w:rPr>
              <w:t>**</w:t>
            </w:r>
          </w:p>
        </w:tc>
        <w:tc>
          <w:tcPr>
            <w:tcW w:w="561" w:type="pct"/>
            <w:tcBorders>
              <w:top w:val="nil"/>
              <w:left w:val="nil"/>
              <w:bottom w:val="single" w:sz="4" w:space="0" w:color="auto"/>
              <w:right w:val="single" w:sz="4" w:space="0" w:color="auto"/>
            </w:tcBorders>
            <w:shd w:val="clear" w:color="000000" w:fill="FFFFFF"/>
            <w:noWrap/>
            <w:vAlign w:val="center"/>
            <w:hideMark/>
          </w:tcPr>
          <w:p w14:paraId="147B725C" w14:textId="77777777" w:rsidR="00884F3E" w:rsidRPr="00884F3E" w:rsidRDefault="00884F3E" w:rsidP="00884F3E">
            <w:pPr>
              <w:jc w:val="right"/>
              <w:rPr>
                <w:color w:val="000000"/>
                <w:sz w:val="18"/>
                <w:szCs w:val="18"/>
                <w:lang w:eastAsia="en-GB"/>
              </w:rPr>
            </w:pPr>
            <w:r w:rsidRPr="00884F3E">
              <w:rPr>
                <w:sz w:val="18"/>
                <w:szCs w:val="18"/>
              </w:rPr>
              <w:t>811.975</w:t>
            </w:r>
            <w:r w:rsidRPr="00884F3E">
              <w:rPr>
                <w:sz w:val="18"/>
                <w:szCs w:val="18"/>
                <w:vertAlign w:val="superscript"/>
              </w:rPr>
              <w:t>***</w:t>
            </w:r>
          </w:p>
        </w:tc>
        <w:tc>
          <w:tcPr>
            <w:tcW w:w="618" w:type="pct"/>
            <w:tcBorders>
              <w:top w:val="nil"/>
              <w:left w:val="nil"/>
              <w:bottom w:val="single" w:sz="4" w:space="0" w:color="auto"/>
              <w:right w:val="single" w:sz="4" w:space="0" w:color="auto"/>
            </w:tcBorders>
            <w:shd w:val="clear" w:color="000000" w:fill="FFFFFF"/>
            <w:noWrap/>
            <w:vAlign w:val="center"/>
            <w:hideMark/>
          </w:tcPr>
          <w:p w14:paraId="5EDEE865" w14:textId="77777777" w:rsidR="00884F3E" w:rsidRPr="00884F3E" w:rsidRDefault="00884F3E" w:rsidP="00884F3E">
            <w:pPr>
              <w:jc w:val="right"/>
              <w:rPr>
                <w:color w:val="000000"/>
                <w:sz w:val="18"/>
                <w:szCs w:val="18"/>
                <w:lang w:eastAsia="en-GB"/>
              </w:rPr>
            </w:pPr>
            <w:r w:rsidRPr="00884F3E">
              <w:rPr>
                <w:sz w:val="18"/>
                <w:szCs w:val="18"/>
              </w:rPr>
              <w:t>558.448</w:t>
            </w:r>
            <w:r w:rsidRPr="00884F3E">
              <w:rPr>
                <w:sz w:val="18"/>
                <w:szCs w:val="18"/>
                <w:vertAlign w:val="superscript"/>
              </w:rPr>
              <w:t>***</w:t>
            </w:r>
          </w:p>
        </w:tc>
        <w:tc>
          <w:tcPr>
            <w:tcW w:w="556" w:type="pct"/>
            <w:tcBorders>
              <w:top w:val="nil"/>
              <w:left w:val="nil"/>
              <w:bottom w:val="single" w:sz="4" w:space="0" w:color="auto"/>
              <w:right w:val="single" w:sz="4" w:space="0" w:color="auto"/>
            </w:tcBorders>
            <w:shd w:val="clear" w:color="000000" w:fill="FFFFFF"/>
            <w:noWrap/>
            <w:vAlign w:val="center"/>
            <w:hideMark/>
          </w:tcPr>
          <w:p w14:paraId="288654A4" w14:textId="77777777" w:rsidR="00884F3E" w:rsidRPr="00884F3E" w:rsidRDefault="00884F3E" w:rsidP="00884F3E">
            <w:pPr>
              <w:jc w:val="right"/>
              <w:rPr>
                <w:color w:val="000000"/>
                <w:sz w:val="18"/>
                <w:szCs w:val="18"/>
                <w:lang w:eastAsia="en-GB"/>
              </w:rPr>
            </w:pPr>
            <w:r w:rsidRPr="00884F3E">
              <w:rPr>
                <w:sz w:val="18"/>
                <w:szCs w:val="18"/>
              </w:rPr>
              <w:t>738.385</w:t>
            </w:r>
            <w:r w:rsidRPr="00884F3E">
              <w:rPr>
                <w:sz w:val="18"/>
                <w:szCs w:val="18"/>
                <w:vertAlign w:val="superscript"/>
              </w:rPr>
              <w:t>***</w:t>
            </w:r>
          </w:p>
        </w:tc>
        <w:tc>
          <w:tcPr>
            <w:tcW w:w="562" w:type="pct"/>
            <w:tcBorders>
              <w:top w:val="nil"/>
              <w:left w:val="nil"/>
              <w:bottom w:val="single" w:sz="4" w:space="0" w:color="auto"/>
              <w:right w:val="single" w:sz="4" w:space="0" w:color="auto"/>
            </w:tcBorders>
            <w:shd w:val="clear" w:color="000000" w:fill="FFFFFF"/>
            <w:noWrap/>
            <w:vAlign w:val="center"/>
            <w:hideMark/>
          </w:tcPr>
          <w:p w14:paraId="4469EB46" w14:textId="77777777" w:rsidR="00884F3E" w:rsidRPr="00884F3E" w:rsidRDefault="00884F3E" w:rsidP="00884F3E">
            <w:pPr>
              <w:jc w:val="right"/>
              <w:rPr>
                <w:color w:val="000000"/>
                <w:sz w:val="18"/>
                <w:szCs w:val="18"/>
                <w:lang w:eastAsia="en-GB"/>
              </w:rPr>
            </w:pPr>
            <w:r w:rsidRPr="00884F3E">
              <w:rPr>
                <w:sz w:val="18"/>
                <w:szCs w:val="18"/>
              </w:rPr>
              <w:t>-48.718</w:t>
            </w:r>
          </w:p>
        </w:tc>
        <w:tc>
          <w:tcPr>
            <w:tcW w:w="561" w:type="pct"/>
            <w:tcBorders>
              <w:top w:val="nil"/>
              <w:left w:val="nil"/>
              <w:bottom w:val="single" w:sz="4" w:space="0" w:color="auto"/>
              <w:right w:val="single" w:sz="4" w:space="0" w:color="auto"/>
            </w:tcBorders>
            <w:shd w:val="clear" w:color="000000" w:fill="FFFFFF"/>
            <w:noWrap/>
            <w:vAlign w:val="center"/>
            <w:hideMark/>
          </w:tcPr>
          <w:p w14:paraId="2E73B226" w14:textId="77777777" w:rsidR="00884F3E" w:rsidRPr="00884F3E" w:rsidRDefault="00884F3E" w:rsidP="00884F3E">
            <w:pPr>
              <w:jc w:val="right"/>
              <w:rPr>
                <w:color w:val="000000"/>
                <w:sz w:val="18"/>
                <w:szCs w:val="18"/>
                <w:lang w:eastAsia="en-GB"/>
              </w:rPr>
            </w:pPr>
            <w:r w:rsidRPr="00884F3E">
              <w:rPr>
                <w:sz w:val="18"/>
                <w:szCs w:val="18"/>
              </w:rPr>
              <w:t>660.596</w:t>
            </w:r>
            <w:r w:rsidRPr="00884F3E">
              <w:rPr>
                <w:sz w:val="18"/>
                <w:szCs w:val="18"/>
                <w:vertAlign w:val="superscript"/>
              </w:rPr>
              <w:t>***</w:t>
            </w:r>
          </w:p>
        </w:tc>
        <w:tc>
          <w:tcPr>
            <w:tcW w:w="558" w:type="pct"/>
            <w:tcBorders>
              <w:top w:val="nil"/>
              <w:left w:val="nil"/>
              <w:bottom w:val="single" w:sz="4" w:space="0" w:color="auto"/>
              <w:right w:val="single" w:sz="4" w:space="0" w:color="auto"/>
            </w:tcBorders>
            <w:shd w:val="clear" w:color="000000" w:fill="FFFFFF"/>
            <w:noWrap/>
            <w:vAlign w:val="center"/>
            <w:hideMark/>
          </w:tcPr>
          <w:p w14:paraId="27862DDA" w14:textId="77777777" w:rsidR="00884F3E" w:rsidRPr="00884F3E" w:rsidRDefault="00884F3E" w:rsidP="00884F3E">
            <w:pPr>
              <w:jc w:val="right"/>
              <w:rPr>
                <w:color w:val="000000"/>
                <w:sz w:val="18"/>
                <w:szCs w:val="18"/>
                <w:lang w:eastAsia="en-GB"/>
              </w:rPr>
            </w:pPr>
            <w:r w:rsidRPr="00884F3E">
              <w:rPr>
                <w:sz w:val="18"/>
                <w:szCs w:val="18"/>
              </w:rPr>
              <w:t>443.857</w:t>
            </w:r>
            <w:r w:rsidRPr="00884F3E">
              <w:rPr>
                <w:sz w:val="18"/>
                <w:szCs w:val="18"/>
                <w:vertAlign w:val="superscript"/>
              </w:rPr>
              <w:t>**</w:t>
            </w:r>
          </w:p>
        </w:tc>
      </w:tr>
      <w:tr w:rsidR="00884F3E" w:rsidRPr="002578D3" w14:paraId="49497BF7" w14:textId="77777777" w:rsidTr="00AB1E29">
        <w:trPr>
          <w:trHeight w:val="242"/>
        </w:trPr>
        <w:tc>
          <w:tcPr>
            <w:tcW w:w="1023" w:type="pct"/>
            <w:tcBorders>
              <w:top w:val="nil"/>
              <w:left w:val="single" w:sz="4" w:space="0" w:color="auto"/>
              <w:bottom w:val="single" w:sz="4" w:space="0" w:color="auto"/>
              <w:right w:val="single" w:sz="4" w:space="0" w:color="auto"/>
            </w:tcBorders>
            <w:shd w:val="clear" w:color="000000" w:fill="FFFFFF"/>
            <w:noWrap/>
            <w:vAlign w:val="center"/>
          </w:tcPr>
          <w:p w14:paraId="664F77CB" w14:textId="77777777" w:rsidR="00884F3E" w:rsidRPr="003F48DB" w:rsidRDefault="00884F3E" w:rsidP="00884F3E">
            <w:pPr>
              <w:rPr>
                <w:color w:val="000000"/>
                <w:sz w:val="18"/>
                <w:szCs w:val="18"/>
                <w:lang w:eastAsia="en-GB"/>
              </w:rPr>
            </w:pPr>
            <w:r w:rsidRPr="00181884">
              <w:rPr>
                <w:sz w:val="20"/>
                <w:szCs w:val="20"/>
              </w:rPr>
              <w:t>log(dist)</w:t>
            </w:r>
          </w:p>
        </w:tc>
        <w:tc>
          <w:tcPr>
            <w:tcW w:w="561" w:type="pct"/>
            <w:tcBorders>
              <w:top w:val="nil"/>
              <w:left w:val="nil"/>
              <w:bottom w:val="single" w:sz="4" w:space="0" w:color="auto"/>
              <w:right w:val="single" w:sz="4" w:space="0" w:color="auto"/>
            </w:tcBorders>
            <w:shd w:val="clear" w:color="000000" w:fill="FFFFFF"/>
            <w:noWrap/>
            <w:vAlign w:val="center"/>
          </w:tcPr>
          <w:p w14:paraId="11B39ABD" w14:textId="77777777" w:rsidR="00884F3E" w:rsidRPr="00884F3E" w:rsidRDefault="00884F3E" w:rsidP="00884F3E">
            <w:pPr>
              <w:jc w:val="right"/>
              <w:rPr>
                <w:color w:val="000000"/>
                <w:sz w:val="20"/>
                <w:szCs w:val="20"/>
                <w:lang w:eastAsia="en-GB"/>
              </w:rPr>
            </w:pPr>
            <w:r w:rsidRPr="00884F3E">
              <w:rPr>
                <w:sz w:val="20"/>
                <w:szCs w:val="20"/>
              </w:rPr>
              <w:t>-2.603</w:t>
            </w:r>
            <w:r w:rsidRPr="00884F3E">
              <w:rPr>
                <w:sz w:val="20"/>
                <w:szCs w:val="20"/>
                <w:vertAlign w:val="superscript"/>
              </w:rPr>
              <w:t>***</w:t>
            </w:r>
          </w:p>
        </w:tc>
        <w:tc>
          <w:tcPr>
            <w:tcW w:w="561" w:type="pct"/>
            <w:tcBorders>
              <w:top w:val="nil"/>
              <w:left w:val="nil"/>
              <w:bottom w:val="single" w:sz="4" w:space="0" w:color="auto"/>
              <w:right w:val="single" w:sz="4" w:space="0" w:color="auto"/>
            </w:tcBorders>
            <w:shd w:val="clear" w:color="000000" w:fill="FFFFFF"/>
            <w:noWrap/>
            <w:vAlign w:val="center"/>
          </w:tcPr>
          <w:p w14:paraId="3243FF08" w14:textId="77777777" w:rsidR="00884F3E" w:rsidRPr="00884F3E" w:rsidRDefault="00884F3E" w:rsidP="00884F3E">
            <w:pPr>
              <w:jc w:val="right"/>
              <w:rPr>
                <w:color w:val="000000"/>
                <w:sz w:val="20"/>
                <w:szCs w:val="20"/>
                <w:lang w:eastAsia="en-GB"/>
              </w:rPr>
            </w:pPr>
            <w:r w:rsidRPr="00884F3E">
              <w:rPr>
                <w:sz w:val="20"/>
                <w:szCs w:val="20"/>
              </w:rPr>
              <w:t>-1.669</w:t>
            </w:r>
            <w:r w:rsidRPr="00884F3E">
              <w:rPr>
                <w:sz w:val="20"/>
                <w:szCs w:val="20"/>
                <w:vertAlign w:val="superscript"/>
              </w:rPr>
              <w:t>***</w:t>
            </w:r>
          </w:p>
        </w:tc>
        <w:tc>
          <w:tcPr>
            <w:tcW w:w="618" w:type="pct"/>
            <w:tcBorders>
              <w:top w:val="nil"/>
              <w:left w:val="nil"/>
              <w:bottom w:val="single" w:sz="4" w:space="0" w:color="auto"/>
              <w:right w:val="single" w:sz="4" w:space="0" w:color="auto"/>
            </w:tcBorders>
            <w:shd w:val="clear" w:color="000000" w:fill="FFFFFF"/>
            <w:noWrap/>
            <w:vAlign w:val="center"/>
          </w:tcPr>
          <w:p w14:paraId="759B9C7C" w14:textId="77777777" w:rsidR="00884F3E" w:rsidRPr="00884F3E" w:rsidRDefault="00884F3E" w:rsidP="00884F3E">
            <w:pPr>
              <w:jc w:val="right"/>
              <w:rPr>
                <w:color w:val="000000"/>
                <w:sz w:val="20"/>
                <w:szCs w:val="20"/>
                <w:lang w:eastAsia="en-GB"/>
              </w:rPr>
            </w:pPr>
            <w:r w:rsidRPr="00884F3E">
              <w:rPr>
                <w:sz w:val="20"/>
                <w:szCs w:val="20"/>
              </w:rPr>
              <w:t>-2.061</w:t>
            </w:r>
            <w:r w:rsidRPr="00884F3E">
              <w:rPr>
                <w:sz w:val="20"/>
                <w:szCs w:val="20"/>
                <w:vertAlign w:val="superscript"/>
              </w:rPr>
              <w:t>***</w:t>
            </w:r>
          </w:p>
        </w:tc>
        <w:tc>
          <w:tcPr>
            <w:tcW w:w="556" w:type="pct"/>
            <w:tcBorders>
              <w:top w:val="nil"/>
              <w:left w:val="nil"/>
              <w:bottom w:val="single" w:sz="4" w:space="0" w:color="auto"/>
              <w:right w:val="single" w:sz="4" w:space="0" w:color="auto"/>
            </w:tcBorders>
            <w:shd w:val="clear" w:color="000000" w:fill="FFFFFF"/>
            <w:noWrap/>
            <w:vAlign w:val="center"/>
          </w:tcPr>
          <w:p w14:paraId="6DCF454B" w14:textId="77777777" w:rsidR="00884F3E" w:rsidRPr="00884F3E" w:rsidRDefault="00884F3E" w:rsidP="00884F3E">
            <w:pPr>
              <w:jc w:val="right"/>
              <w:rPr>
                <w:color w:val="000000"/>
                <w:sz w:val="20"/>
                <w:szCs w:val="20"/>
                <w:lang w:eastAsia="en-GB"/>
              </w:rPr>
            </w:pPr>
            <w:r w:rsidRPr="00884F3E">
              <w:rPr>
                <w:sz w:val="20"/>
                <w:szCs w:val="20"/>
              </w:rPr>
              <w:t>-1.289</w:t>
            </w:r>
            <w:r w:rsidRPr="00884F3E">
              <w:rPr>
                <w:sz w:val="20"/>
                <w:szCs w:val="20"/>
                <w:vertAlign w:val="superscript"/>
              </w:rPr>
              <w:t>***</w:t>
            </w:r>
          </w:p>
        </w:tc>
        <w:tc>
          <w:tcPr>
            <w:tcW w:w="562" w:type="pct"/>
            <w:tcBorders>
              <w:top w:val="nil"/>
              <w:left w:val="nil"/>
              <w:bottom w:val="single" w:sz="4" w:space="0" w:color="auto"/>
              <w:right w:val="single" w:sz="4" w:space="0" w:color="auto"/>
            </w:tcBorders>
            <w:shd w:val="clear" w:color="000000" w:fill="FFFFFF"/>
            <w:noWrap/>
            <w:vAlign w:val="center"/>
          </w:tcPr>
          <w:p w14:paraId="43A23F03" w14:textId="77777777" w:rsidR="00884F3E" w:rsidRPr="00884F3E" w:rsidRDefault="00884F3E" w:rsidP="00884F3E">
            <w:pPr>
              <w:jc w:val="right"/>
              <w:rPr>
                <w:color w:val="000000"/>
                <w:sz w:val="20"/>
                <w:szCs w:val="20"/>
                <w:lang w:eastAsia="en-GB"/>
              </w:rPr>
            </w:pPr>
            <w:r w:rsidRPr="00884F3E">
              <w:rPr>
                <w:sz w:val="20"/>
                <w:szCs w:val="20"/>
              </w:rPr>
              <w:t>-2.751</w:t>
            </w:r>
            <w:r w:rsidRPr="00884F3E">
              <w:rPr>
                <w:sz w:val="20"/>
                <w:szCs w:val="20"/>
                <w:vertAlign w:val="superscript"/>
              </w:rPr>
              <w:t>***</w:t>
            </w:r>
          </w:p>
        </w:tc>
        <w:tc>
          <w:tcPr>
            <w:tcW w:w="561" w:type="pct"/>
            <w:tcBorders>
              <w:top w:val="nil"/>
              <w:left w:val="nil"/>
              <w:bottom w:val="single" w:sz="4" w:space="0" w:color="auto"/>
              <w:right w:val="single" w:sz="4" w:space="0" w:color="auto"/>
            </w:tcBorders>
            <w:shd w:val="clear" w:color="000000" w:fill="FFFFFF"/>
            <w:noWrap/>
            <w:vAlign w:val="center"/>
          </w:tcPr>
          <w:p w14:paraId="42583E2A" w14:textId="77777777" w:rsidR="00884F3E" w:rsidRPr="00884F3E" w:rsidRDefault="00884F3E" w:rsidP="00884F3E">
            <w:pPr>
              <w:jc w:val="right"/>
              <w:rPr>
                <w:color w:val="000000"/>
                <w:sz w:val="20"/>
                <w:szCs w:val="20"/>
                <w:lang w:eastAsia="en-GB"/>
              </w:rPr>
            </w:pPr>
            <w:r w:rsidRPr="00884F3E">
              <w:rPr>
                <w:sz w:val="20"/>
                <w:szCs w:val="20"/>
              </w:rPr>
              <w:t>-1.877</w:t>
            </w:r>
            <w:r w:rsidRPr="00884F3E">
              <w:rPr>
                <w:sz w:val="20"/>
                <w:szCs w:val="20"/>
                <w:vertAlign w:val="superscript"/>
              </w:rPr>
              <w:t>***</w:t>
            </w:r>
          </w:p>
        </w:tc>
        <w:tc>
          <w:tcPr>
            <w:tcW w:w="558" w:type="pct"/>
            <w:tcBorders>
              <w:top w:val="nil"/>
              <w:left w:val="nil"/>
              <w:bottom w:val="single" w:sz="4" w:space="0" w:color="auto"/>
              <w:right w:val="single" w:sz="4" w:space="0" w:color="auto"/>
            </w:tcBorders>
            <w:shd w:val="clear" w:color="000000" w:fill="FFFFFF"/>
            <w:noWrap/>
            <w:vAlign w:val="center"/>
          </w:tcPr>
          <w:p w14:paraId="4E55B68F" w14:textId="77777777" w:rsidR="00884F3E" w:rsidRPr="00884F3E" w:rsidRDefault="00884F3E" w:rsidP="00884F3E">
            <w:pPr>
              <w:jc w:val="right"/>
              <w:rPr>
                <w:color w:val="000000"/>
                <w:sz w:val="20"/>
                <w:szCs w:val="20"/>
                <w:lang w:eastAsia="en-GB"/>
              </w:rPr>
            </w:pPr>
            <w:r w:rsidRPr="00884F3E">
              <w:rPr>
                <w:sz w:val="20"/>
                <w:szCs w:val="20"/>
              </w:rPr>
              <w:t>-2.433</w:t>
            </w:r>
            <w:r w:rsidRPr="00884F3E">
              <w:rPr>
                <w:sz w:val="20"/>
                <w:szCs w:val="20"/>
                <w:vertAlign w:val="superscript"/>
              </w:rPr>
              <w:t>***</w:t>
            </w:r>
          </w:p>
        </w:tc>
      </w:tr>
      <w:tr w:rsidR="00884F3E" w:rsidRPr="002578D3" w14:paraId="32B76508" w14:textId="77777777" w:rsidTr="00AB1E29">
        <w:trPr>
          <w:trHeight w:val="242"/>
        </w:trPr>
        <w:tc>
          <w:tcPr>
            <w:tcW w:w="1023" w:type="pct"/>
            <w:tcBorders>
              <w:top w:val="nil"/>
              <w:left w:val="single" w:sz="4" w:space="0" w:color="auto"/>
              <w:bottom w:val="single" w:sz="4" w:space="0" w:color="auto"/>
              <w:right w:val="single" w:sz="4" w:space="0" w:color="auto"/>
            </w:tcBorders>
            <w:shd w:val="clear" w:color="000000" w:fill="FFFFFF"/>
            <w:noWrap/>
            <w:vAlign w:val="center"/>
          </w:tcPr>
          <w:p w14:paraId="2325A1C7" w14:textId="77777777" w:rsidR="00884F3E" w:rsidRPr="003F48DB" w:rsidRDefault="00884F3E" w:rsidP="00884F3E">
            <w:pPr>
              <w:rPr>
                <w:color w:val="000000"/>
                <w:sz w:val="18"/>
                <w:szCs w:val="18"/>
                <w:lang w:eastAsia="en-GB"/>
              </w:rPr>
            </w:pPr>
            <w:r w:rsidRPr="00181884">
              <w:rPr>
                <w:sz w:val="20"/>
                <w:szCs w:val="20"/>
              </w:rPr>
              <w:t>log(gdp_iso_o)</w:t>
            </w:r>
          </w:p>
        </w:tc>
        <w:tc>
          <w:tcPr>
            <w:tcW w:w="561" w:type="pct"/>
            <w:tcBorders>
              <w:top w:val="nil"/>
              <w:left w:val="nil"/>
              <w:bottom w:val="single" w:sz="4" w:space="0" w:color="auto"/>
              <w:right w:val="single" w:sz="4" w:space="0" w:color="auto"/>
            </w:tcBorders>
            <w:shd w:val="clear" w:color="000000" w:fill="FFFFFF"/>
            <w:noWrap/>
            <w:vAlign w:val="center"/>
          </w:tcPr>
          <w:p w14:paraId="75BC0A1C" w14:textId="77777777" w:rsidR="00884F3E" w:rsidRPr="00884F3E" w:rsidRDefault="00884F3E" w:rsidP="00884F3E">
            <w:pPr>
              <w:jc w:val="right"/>
              <w:rPr>
                <w:color w:val="000000"/>
                <w:sz w:val="18"/>
                <w:szCs w:val="18"/>
                <w:lang w:eastAsia="en-GB"/>
              </w:rPr>
            </w:pPr>
            <w:r w:rsidRPr="00884F3E">
              <w:rPr>
                <w:sz w:val="18"/>
                <w:szCs w:val="18"/>
              </w:rPr>
              <w:t>2.358</w:t>
            </w:r>
            <w:r w:rsidRPr="00884F3E">
              <w:rPr>
                <w:sz w:val="18"/>
                <w:szCs w:val="18"/>
                <w:vertAlign w:val="superscript"/>
              </w:rPr>
              <w:t>***</w:t>
            </w:r>
          </w:p>
        </w:tc>
        <w:tc>
          <w:tcPr>
            <w:tcW w:w="561" w:type="pct"/>
            <w:tcBorders>
              <w:top w:val="nil"/>
              <w:left w:val="nil"/>
              <w:bottom w:val="single" w:sz="4" w:space="0" w:color="auto"/>
              <w:right w:val="single" w:sz="4" w:space="0" w:color="auto"/>
            </w:tcBorders>
            <w:shd w:val="clear" w:color="000000" w:fill="FFFFFF"/>
            <w:noWrap/>
            <w:vAlign w:val="center"/>
          </w:tcPr>
          <w:p w14:paraId="49DCC490" w14:textId="77777777" w:rsidR="00884F3E" w:rsidRPr="00884F3E" w:rsidRDefault="00884F3E" w:rsidP="00884F3E">
            <w:pPr>
              <w:jc w:val="right"/>
              <w:rPr>
                <w:color w:val="000000"/>
                <w:sz w:val="18"/>
                <w:szCs w:val="18"/>
                <w:lang w:eastAsia="en-GB"/>
              </w:rPr>
            </w:pPr>
            <w:r w:rsidRPr="00884F3E">
              <w:rPr>
                <w:sz w:val="18"/>
                <w:szCs w:val="18"/>
              </w:rPr>
              <w:t>2.378</w:t>
            </w:r>
            <w:r w:rsidRPr="00884F3E">
              <w:rPr>
                <w:sz w:val="18"/>
                <w:szCs w:val="18"/>
                <w:vertAlign w:val="superscript"/>
              </w:rPr>
              <w:t>***</w:t>
            </w:r>
          </w:p>
        </w:tc>
        <w:tc>
          <w:tcPr>
            <w:tcW w:w="618" w:type="pct"/>
            <w:tcBorders>
              <w:top w:val="nil"/>
              <w:left w:val="nil"/>
              <w:bottom w:val="single" w:sz="4" w:space="0" w:color="auto"/>
              <w:right w:val="single" w:sz="4" w:space="0" w:color="auto"/>
            </w:tcBorders>
            <w:shd w:val="clear" w:color="000000" w:fill="FFFFFF"/>
            <w:noWrap/>
            <w:vAlign w:val="center"/>
          </w:tcPr>
          <w:p w14:paraId="356DB3D6" w14:textId="77777777" w:rsidR="00884F3E" w:rsidRPr="00884F3E" w:rsidRDefault="00884F3E" w:rsidP="00884F3E">
            <w:pPr>
              <w:jc w:val="right"/>
              <w:rPr>
                <w:color w:val="000000"/>
                <w:sz w:val="18"/>
                <w:szCs w:val="18"/>
                <w:lang w:eastAsia="en-GB"/>
              </w:rPr>
            </w:pPr>
            <w:r w:rsidRPr="00884F3E">
              <w:rPr>
                <w:sz w:val="18"/>
                <w:szCs w:val="18"/>
              </w:rPr>
              <w:t>2.464</w:t>
            </w:r>
            <w:r w:rsidRPr="00884F3E">
              <w:rPr>
                <w:sz w:val="18"/>
                <w:szCs w:val="18"/>
                <w:vertAlign w:val="superscript"/>
              </w:rPr>
              <w:t>***</w:t>
            </w:r>
          </w:p>
        </w:tc>
        <w:tc>
          <w:tcPr>
            <w:tcW w:w="556" w:type="pct"/>
            <w:tcBorders>
              <w:top w:val="nil"/>
              <w:left w:val="nil"/>
              <w:bottom w:val="single" w:sz="4" w:space="0" w:color="auto"/>
              <w:right w:val="single" w:sz="4" w:space="0" w:color="auto"/>
            </w:tcBorders>
            <w:shd w:val="clear" w:color="000000" w:fill="FFFFFF"/>
            <w:noWrap/>
            <w:vAlign w:val="center"/>
          </w:tcPr>
          <w:p w14:paraId="4C98E552" w14:textId="77777777" w:rsidR="00884F3E" w:rsidRPr="00884F3E" w:rsidRDefault="00884F3E" w:rsidP="00884F3E">
            <w:pPr>
              <w:jc w:val="right"/>
              <w:rPr>
                <w:color w:val="000000"/>
                <w:sz w:val="18"/>
                <w:szCs w:val="18"/>
                <w:lang w:eastAsia="en-GB"/>
              </w:rPr>
            </w:pPr>
            <w:r w:rsidRPr="00884F3E">
              <w:rPr>
                <w:sz w:val="18"/>
                <w:szCs w:val="18"/>
              </w:rPr>
              <w:t>2.334</w:t>
            </w:r>
            <w:r w:rsidRPr="00884F3E">
              <w:rPr>
                <w:sz w:val="18"/>
                <w:szCs w:val="18"/>
                <w:vertAlign w:val="superscript"/>
              </w:rPr>
              <w:t>***</w:t>
            </w:r>
          </w:p>
        </w:tc>
        <w:tc>
          <w:tcPr>
            <w:tcW w:w="562" w:type="pct"/>
            <w:tcBorders>
              <w:top w:val="nil"/>
              <w:left w:val="nil"/>
              <w:bottom w:val="single" w:sz="4" w:space="0" w:color="auto"/>
              <w:right w:val="single" w:sz="4" w:space="0" w:color="auto"/>
            </w:tcBorders>
            <w:shd w:val="clear" w:color="000000" w:fill="FFFFFF"/>
            <w:noWrap/>
            <w:vAlign w:val="center"/>
          </w:tcPr>
          <w:p w14:paraId="20A246B2" w14:textId="77777777" w:rsidR="00884F3E" w:rsidRPr="00884F3E" w:rsidRDefault="00884F3E" w:rsidP="00884F3E">
            <w:pPr>
              <w:jc w:val="right"/>
              <w:rPr>
                <w:color w:val="000000"/>
                <w:sz w:val="18"/>
                <w:szCs w:val="18"/>
                <w:lang w:eastAsia="en-GB"/>
              </w:rPr>
            </w:pPr>
            <w:r w:rsidRPr="00884F3E">
              <w:rPr>
                <w:sz w:val="18"/>
                <w:szCs w:val="18"/>
              </w:rPr>
              <w:t>2.353</w:t>
            </w:r>
            <w:r w:rsidRPr="00884F3E">
              <w:rPr>
                <w:sz w:val="18"/>
                <w:szCs w:val="18"/>
                <w:vertAlign w:val="superscript"/>
              </w:rPr>
              <w:t>***</w:t>
            </w:r>
          </w:p>
        </w:tc>
        <w:tc>
          <w:tcPr>
            <w:tcW w:w="561" w:type="pct"/>
            <w:tcBorders>
              <w:top w:val="nil"/>
              <w:left w:val="nil"/>
              <w:bottom w:val="single" w:sz="4" w:space="0" w:color="auto"/>
              <w:right w:val="single" w:sz="4" w:space="0" w:color="auto"/>
            </w:tcBorders>
            <w:shd w:val="clear" w:color="000000" w:fill="FFFFFF"/>
            <w:noWrap/>
            <w:vAlign w:val="center"/>
          </w:tcPr>
          <w:p w14:paraId="0C7ECE38" w14:textId="77777777" w:rsidR="00884F3E" w:rsidRPr="00884F3E" w:rsidRDefault="00884F3E" w:rsidP="00884F3E">
            <w:pPr>
              <w:jc w:val="right"/>
              <w:rPr>
                <w:color w:val="000000"/>
                <w:sz w:val="18"/>
                <w:szCs w:val="18"/>
                <w:lang w:eastAsia="en-GB"/>
              </w:rPr>
            </w:pPr>
            <w:r w:rsidRPr="00884F3E">
              <w:rPr>
                <w:sz w:val="18"/>
                <w:szCs w:val="18"/>
              </w:rPr>
              <w:t>2.395</w:t>
            </w:r>
            <w:r w:rsidRPr="00884F3E">
              <w:rPr>
                <w:sz w:val="18"/>
                <w:szCs w:val="18"/>
                <w:vertAlign w:val="superscript"/>
              </w:rPr>
              <w:t>***</w:t>
            </w:r>
          </w:p>
        </w:tc>
        <w:tc>
          <w:tcPr>
            <w:tcW w:w="558" w:type="pct"/>
            <w:tcBorders>
              <w:top w:val="nil"/>
              <w:left w:val="nil"/>
              <w:bottom w:val="single" w:sz="4" w:space="0" w:color="auto"/>
              <w:right w:val="single" w:sz="4" w:space="0" w:color="auto"/>
            </w:tcBorders>
            <w:shd w:val="clear" w:color="000000" w:fill="FFFFFF"/>
            <w:noWrap/>
            <w:vAlign w:val="center"/>
          </w:tcPr>
          <w:p w14:paraId="77B9EC9E" w14:textId="77777777" w:rsidR="00884F3E" w:rsidRPr="00884F3E" w:rsidRDefault="00884F3E" w:rsidP="00884F3E">
            <w:pPr>
              <w:jc w:val="right"/>
              <w:rPr>
                <w:color w:val="000000"/>
                <w:sz w:val="18"/>
                <w:szCs w:val="18"/>
                <w:lang w:eastAsia="en-GB"/>
              </w:rPr>
            </w:pPr>
            <w:r w:rsidRPr="00884F3E">
              <w:rPr>
                <w:sz w:val="18"/>
                <w:szCs w:val="18"/>
              </w:rPr>
              <w:t>2.343</w:t>
            </w:r>
            <w:r w:rsidRPr="00884F3E">
              <w:rPr>
                <w:sz w:val="18"/>
                <w:szCs w:val="18"/>
                <w:vertAlign w:val="superscript"/>
              </w:rPr>
              <w:t>***</w:t>
            </w:r>
          </w:p>
        </w:tc>
      </w:tr>
      <w:tr w:rsidR="00884F3E" w:rsidRPr="002578D3" w14:paraId="04DB4757" w14:textId="77777777" w:rsidTr="00AB1E29">
        <w:trPr>
          <w:trHeight w:val="242"/>
        </w:trPr>
        <w:tc>
          <w:tcPr>
            <w:tcW w:w="1023" w:type="pct"/>
            <w:tcBorders>
              <w:top w:val="nil"/>
              <w:left w:val="single" w:sz="4" w:space="0" w:color="auto"/>
              <w:bottom w:val="single" w:sz="4" w:space="0" w:color="auto"/>
              <w:right w:val="single" w:sz="4" w:space="0" w:color="auto"/>
            </w:tcBorders>
            <w:shd w:val="clear" w:color="000000" w:fill="FFFFFF"/>
            <w:noWrap/>
            <w:vAlign w:val="center"/>
          </w:tcPr>
          <w:p w14:paraId="40ABB2A8" w14:textId="77777777" w:rsidR="00884F3E" w:rsidRPr="003F48DB" w:rsidRDefault="00884F3E" w:rsidP="00884F3E">
            <w:pPr>
              <w:rPr>
                <w:color w:val="000000"/>
                <w:sz w:val="18"/>
                <w:szCs w:val="18"/>
                <w:lang w:eastAsia="en-GB"/>
              </w:rPr>
            </w:pPr>
            <w:r w:rsidRPr="00181884">
              <w:rPr>
                <w:sz w:val="20"/>
                <w:szCs w:val="20"/>
              </w:rPr>
              <w:t>log(gdp_iso_d)</w:t>
            </w:r>
          </w:p>
        </w:tc>
        <w:tc>
          <w:tcPr>
            <w:tcW w:w="561" w:type="pct"/>
            <w:tcBorders>
              <w:top w:val="nil"/>
              <w:left w:val="nil"/>
              <w:bottom w:val="single" w:sz="4" w:space="0" w:color="auto"/>
              <w:right w:val="single" w:sz="4" w:space="0" w:color="auto"/>
            </w:tcBorders>
            <w:shd w:val="clear" w:color="000000" w:fill="FFFFFF"/>
            <w:noWrap/>
            <w:vAlign w:val="center"/>
          </w:tcPr>
          <w:p w14:paraId="15F1AD34" w14:textId="77777777" w:rsidR="00884F3E" w:rsidRPr="00884F3E" w:rsidRDefault="00884F3E" w:rsidP="00884F3E">
            <w:pPr>
              <w:jc w:val="right"/>
              <w:rPr>
                <w:color w:val="000000"/>
                <w:sz w:val="20"/>
                <w:szCs w:val="20"/>
                <w:lang w:eastAsia="en-GB"/>
              </w:rPr>
            </w:pPr>
            <w:r w:rsidRPr="00884F3E">
              <w:rPr>
                <w:sz w:val="20"/>
                <w:szCs w:val="20"/>
              </w:rPr>
              <w:t>1.160</w:t>
            </w:r>
            <w:r w:rsidRPr="00884F3E">
              <w:rPr>
                <w:sz w:val="20"/>
                <w:szCs w:val="20"/>
                <w:vertAlign w:val="superscript"/>
              </w:rPr>
              <w:t>***</w:t>
            </w:r>
          </w:p>
        </w:tc>
        <w:tc>
          <w:tcPr>
            <w:tcW w:w="561" w:type="pct"/>
            <w:tcBorders>
              <w:top w:val="nil"/>
              <w:left w:val="nil"/>
              <w:bottom w:val="single" w:sz="4" w:space="0" w:color="auto"/>
              <w:right w:val="single" w:sz="4" w:space="0" w:color="auto"/>
            </w:tcBorders>
            <w:shd w:val="clear" w:color="000000" w:fill="FFFFFF"/>
            <w:noWrap/>
            <w:vAlign w:val="center"/>
          </w:tcPr>
          <w:p w14:paraId="738E5305" w14:textId="77777777" w:rsidR="00884F3E" w:rsidRPr="00884F3E" w:rsidRDefault="00884F3E" w:rsidP="00884F3E">
            <w:pPr>
              <w:jc w:val="right"/>
              <w:rPr>
                <w:color w:val="000000"/>
                <w:sz w:val="20"/>
                <w:szCs w:val="20"/>
                <w:lang w:eastAsia="en-GB"/>
              </w:rPr>
            </w:pPr>
            <w:r w:rsidRPr="00884F3E">
              <w:rPr>
                <w:sz w:val="20"/>
                <w:szCs w:val="20"/>
              </w:rPr>
              <w:t>1.180</w:t>
            </w:r>
            <w:r w:rsidRPr="00884F3E">
              <w:rPr>
                <w:sz w:val="20"/>
                <w:szCs w:val="20"/>
                <w:vertAlign w:val="superscript"/>
              </w:rPr>
              <w:t>***</w:t>
            </w:r>
          </w:p>
        </w:tc>
        <w:tc>
          <w:tcPr>
            <w:tcW w:w="618" w:type="pct"/>
            <w:tcBorders>
              <w:top w:val="nil"/>
              <w:left w:val="nil"/>
              <w:bottom w:val="single" w:sz="4" w:space="0" w:color="auto"/>
              <w:right w:val="single" w:sz="4" w:space="0" w:color="auto"/>
            </w:tcBorders>
            <w:shd w:val="clear" w:color="000000" w:fill="FFFFFF"/>
            <w:noWrap/>
            <w:vAlign w:val="center"/>
          </w:tcPr>
          <w:p w14:paraId="3613CA52" w14:textId="77777777" w:rsidR="00884F3E" w:rsidRPr="00884F3E" w:rsidRDefault="00884F3E" w:rsidP="00884F3E">
            <w:pPr>
              <w:jc w:val="right"/>
              <w:rPr>
                <w:color w:val="000000"/>
                <w:sz w:val="20"/>
                <w:szCs w:val="20"/>
                <w:lang w:eastAsia="en-GB"/>
              </w:rPr>
            </w:pPr>
            <w:r w:rsidRPr="00884F3E">
              <w:rPr>
                <w:sz w:val="20"/>
                <w:szCs w:val="20"/>
              </w:rPr>
              <w:t>1.265</w:t>
            </w:r>
            <w:r w:rsidRPr="00884F3E">
              <w:rPr>
                <w:sz w:val="20"/>
                <w:szCs w:val="20"/>
                <w:vertAlign w:val="superscript"/>
              </w:rPr>
              <w:t>***</w:t>
            </w:r>
          </w:p>
        </w:tc>
        <w:tc>
          <w:tcPr>
            <w:tcW w:w="556" w:type="pct"/>
            <w:tcBorders>
              <w:top w:val="nil"/>
              <w:left w:val="nil"/>
              <w:bottom w:val="single" w:sz="4" w:space="0" w:color="auto"/>
              <w:right w:val="single" w:sz="4" w:space="0" w:color="auto"/>
            </w:tcBorders>
            <w:shd w:val="clear" w:color="000000" w:fill="FFFFFF"/>
            <w:noWrap/>
            <w:vAlign w:val="center"/>
          </w:tcPr>
          <w:p w14:paraId="30458E05" w14:textId="77777777" w:rsidR="00884F3E" w:rsidRPr="00884F3E" w:rsidRDefault="00884F3E" w:rsidP="00884F3E">
            <w:pPr>
              <w:jc w:val="right"/>
              <w:rPr>
                <w:color w:val="000000"/>
                <w:sz w:val="20"/>
                <w:szCs w:val="20"/>
                <w:lang w:eastAsia="en-GB"/>
              </w:rPr>
            </w:pPr>
            <w:r w:rsidRPr="00884F3E">
              <w:rPr>
                <w:sz w:val="20"/>
                <w:szCs w:val="20"/>
              </w:rPr>
              <w:t>1.136</w:t>
            </w:r>
            <w:r w:rsidRPr="00884F3E">
              <w:rPr>
                <w:sz w:val="20"/>
                <w:szCs w:val="20"/>
                <w:vertAlign w:val="superscript"/>
              </w:rPr>
              <w:t>***</w:t>
            </w:r>
          </w:p>
        </w:tc>
        <w:tc>
          <w:tcPr>
            <w:tcW w:w="562" w:type="pct"/>
            <w:tcBorders>
              <w:top w:val="nil"/>
              <w:left w:val="nil"/>
              <w:bottom w:val="single" w:sz="4" w:space="0" w:color="auto"/>
              <w:right w:val="single" w:sz="4" w:space="0" w:color="auto"/>
            </w:tcBorders>
            <w:shd w:val="clear" w:color="000000" w:fill="FFFFFF"/>
            <w:noWrap/>
            <w:vAlign w:val="center"/>
          </w:tcPr>
          <w:p w14:paraId="776634AC" w14:textId="77777777" w:rsidR="00884F3E" w:rsidRPr="00884F3E" w:rsidRDefault="00884F3E" w:rsidP="00884F3E">
            <w:pPr>
              <w:jc w:val="right"/>
              <w:rPr>
                <w:color w:val="000000"/>
                <w:sz w:val="20"/>
                <w:szCs w:val="20"/>
                <w:lang w:eastAsia="en-GB"/>
              </w:rPr>
            </w:pPr>
            <w:r w:rsidRPr="00884F3E">
              <w:rPr>
                <w:sz w:val="20"/>
                <w:szCs w:val="20"/>
              </w:rPr>
              <w:t>1.155</w:t>
            </w:r>
            <w:r w:rsidRPr="00884F3E">
              <w:rPr>
                <w:sz w:val="20"/>
                <w:szCs w:val="20"/>
                <w:vertAlign w:val="superscript"/>
              </w:rPr>
              <w:t>***</w:t>
            </w:r>
          </w:p>
        </w:tc>
        <w:tc>
          <w:tcPr>
            <w:tcW w:w="561" w:type="pct"/>
            <w:tcBorders>
              <w:top w:val="nil"/>
              <w:left w:val="nil"/>
              <w:bottom w:val="single" w:sz="4" w:space="0" w:color="auto"/>
              <w:right w:val="single" w:sz="4" w:space="0" w:color="auto"/>
            </w:tcBorders>
            <w:shd w:val="clear" w:color="000000" w:fill="FFFFFF"/>
            <w:noWrap/>
            <w:vAlign w:val="center"/>
          </w:tcPr>
          <w:p w14:paraId="26FFA90A" w14:textId="77777777" w:rsidR="00884F3E" w:rsidRPr="00884F3E" w:rsidRDefault="00884F3E" w:rsidP="00884F3E">
            <w:pPr>
              <w:jc w:val="right"/>
              <w:rPr>
                <w:color w:val="000000"/>
                <w:sz w:val="20"/>
                <w:szCs w:val="20"/>
                <w:lang w:eastAsia="en-GB"/>
              </w:rPr>
            </w:pPr>
            <w:r w:rsidRPr="00884F3E">
              <w:rPr>
                <w:sz w:val="20"/>
                <w:szCs w:val="20"/>
              </w:rPr>
              <w:t>1.196</w:t>
            </w:r>
            <w:r w:rsidRPr="00884F3E">
              <w:rPr>
                <w:sz w:val="20"/>
                <w:szCs w:val="20"/>
                <w:vertAlign w:val="superscript"/>
              </w:rPr>
              <w:t>***</w:t>
            </w:r>
          </w:p>
        </w:tc>
        <w:tc>
          <w:tcPr>
            <w:tcW w:w="558" w:type="pct"/>
            <w:tcBorders>
              <w:top w:val="nil"/>
              <w:left w:val="nil"/>
              <w:bottom w:val="single" w:sz="4" w:space="0" w:color="auto"/>
              <w:right w:val="single" w:sz="4" w:space="0" w:color="auto"/>
            </w:tcBorders>
            <w:shd w:val="clear" w:color="000000" w:fill="FFFFFF"/>
            <w:noWrap/>
            <w:vAlign w:val="center"/>
          </w:tcPr>
          <w:p w14:paraId="3904B688" w14:textId="77777777" w:rsidR="00884F3E" w:rsidRPr="00884F3E" w:rsidRDefault="00884F3E" w:rsidP="00884F3E">
            <w:pPr>
              <w:jc w:val="right"/>
              <w:rPr>
                <w:color w:val="000000"/>
                <w:sz w:val="20"/>
                <w:szCs w:val="20"/>
                <w:lang w:eastAsia="en-GB"/>
              </w:rPr>
            </w:pPr>
            <w:r w:rsidRPr="00884F3E">
              <w:rPr>
                <w:sz w:val="20"/>
                <w:szCs w:val="20"/>
              </w:rPr>
              <w:t>1.145</w:t>
            </w:r>
            <w:r w:rsidRPr="00884F3E">
              <w:rPr>
                <w:sz w:val="20"/>
                <w:szCs w:val="20"/>
                <w:vertAlign w:val="superscript"/>
              </w:rPr>
              <w:t>***</w:t>
            </w:r>
          </w:p>
        </w:tc>
      </w:tr>
      <w:tr w:rsidR="002E7527" w:rsidRPr="002578D3" w14:paraId="5A872E07" w14:textId="77777777">
        <w:trPr>
          <w:trHeight w:val="242"/>
        </w:trPr>
        <w:tc>
          <w:tcPr>
            <w:tcW w:w="1023" w:type="pct"/>
            <w:tcBorders>
              <w:top w:val="nil"/>
              <w:left w:val="single" w:sz="4" w:space="0" w:color="auto"/>
              <w:bottom w:val="single" w:sz="4" w:space="0" w:color="auto"/>
              <w:right w:val="single" w:sz="4" w:space="0" w:color="auto"/>
            </w:tcBorders>
            <w:shd w:val="clear" w:color="000000" w:fill="FFFFFF"/>
            <w:noWrap/>
            <w:vAlign w:val="center"/>
          </w:tcPr>
          <w:p w14:paraId="6B4C9677" w14:textId="77777777" w:rsidR="002E7527" w:rsidRPr="000146EB" w:rsidRDefault="002E7527" w:rsidP="002E7527">
            <w:pPr>
              <w:rPr>
                <w:color w:val="000000"/>
                <w:sz w:val="20"/>
                <w:szCs w:val="20"/>
                <w:lang w:eastAsia="en-GB"/>
              </w:rPr>
            </w:pPr>
            <w:r w:rsidRPr="000146EB">
              <w:rPr>
                <w:color w:val="000000"/>
                <w:sz w:val="20"/>
                <w:szCs w:val="20"/>
                <w:lang w:eastAsia="en-GB"/>
              </w:rPr>
              <w:t>border</w:t>
            </w:r>
          </w:p>
        </w:tc>
        <w:tc>
          <w:tcPr>
            <w:tcW w:w="561" w:type="pct"/>
            <w:tcBorders>
              <w:top w:val="nil"/>
              <w:left w:val="nil"/>
              <w:bottom w:val="single" w:sz="4" w:space="0" w:color="auto"/>
              <w:right w:val="single" w:sz="4" w:space="0" w:color="auto"/>
            </w:tcBorders>
            <w:shd w:val="clear" w:color="000000" w:fill="FFFFFF"/>
            <w:noWrap/>
            <w:vAlign w:val="center"/>
          </w:tcPr>
          <w:p w14:paraId="74354678" w14:textId="77777777" w:rsidR="002E7527" w:rsidRPr="002E7527" w:rsidRDefault="002E7527" w:rsidP="002E7527">
            <w:pPr>
              <w:jc w:val="right"/>
              <w:rPr>
                <w:color w:val="EE0000"/>
                <w:sz w:val="20"/>
                <w:szCs w:val="20"/>
                <w:lang w:eastAsia="en-GB"/>
              </w:rPr>
            </w:pPr>
            <w:r w:rsidRPr="002E7527">
              <w:rPr>
                <w:sz w:val="20"/>
                <w:szCs w:val="20"/>
              </w:rPr>
              <w:t>0.351</w:t>
            </w:r>
          </w:p>
        </w:tc>
        <w:tc>
          <w:tcPr>
            <w:tcW w:w="561" w:type="pct"/>
            <w:tcBorders>
              <w:top w:val="nil"/>
              <w:left w:val="nil"/>
              <w:bottom w:val="single" w:sz="4" w:space="0" w:color="auto"/>
              <w:right w:val="single" w:sz="4" w:space="0" w:color="auto"/>
            </w:tcBorders>
            <w:shd w:val="clear" w:color="000000" w:fill="FFFFFF"/>
            <w:noWrap/>
            <w:vAlign w:val="center"/>
          </w:tcPr>
          <w:p w14:paraId="3ADD5185" w14:textId="77777777" w:rsidR="002E7527" w:rsidRPr="002E7527" w:rsidRDefault="002E7527" w:rsidP="002E7527">
            <w:pPr>
              <w:jc w:val="right"/>
              <w:rPr>
                <w:color w:val="EE0000"/>
                <w:sz w:val="20"/>
                <w:szCs w:val="20"/>
                <w:lang w:eastAsia="en-GB"/>
              </w:rPr>
            </w:pPr>
            <w:r w:rsidRPr="002E7527">
              <w:rPr>
                <w:sz w:val="20"/>
                <w:szCs w:val="20"/>
              </w:rPr>
              <w:t>-0.391</w:t>
            </w:r>
          </w:p>
        </w:tc>
        <w:tc>
          <w:tcPr>
            <w:tcW w:w="618" w:type="pct"/>
            <w:tcBorders>
              <w:top w:val="nil"/>
              <w:left w:val="nil"/>
              <w:bottom w:val="single" w:sz="4" w:space="0" w:color="auto"/>
              <w:right w:val="single" w:sz="4" w:space="0" w:color="auto"/>
            </w:tcBorders>
            <w:shd w:val="clear" w:color="000000" w:fill="FFFFFF"/>
            <w:noWrap/>
            <w:vAlign w:val="center"/>
          </w:tcPr>
          <w:p w14:paraId="578D32C2" w14:textId="77777777" w:rsidR="002E7527" w:rsidRPr="002E7527" w:rsidRDefault="002E7527" w:rsidP="002E7527">
            <w:pPr>
              <w:jc w:val="right"/>
              <w:rPr>
                <w:color w:val="EE0000"/>
                <w:sz w:val="20"/>
                <w:szCs w:val="20"/>
                <w:lang w:eastAsia="en-GB"/>
              </w:rPr>
            </w:pPr>
            <w:r w:rsidRPr="002E7527">
              <w:rPr>
                <w:sz w:val="20"/>
                <w:szCs w:val="20"/>
              </w:rPr>
              <w:t>0.080</w:t>
            </w:r>
          </w:p>
        </w:tc>
        <w:tc>
          <w:tcPr>
            <w:tcW w:w="556" w:type="pct"/>
            <w:tcBorders>
              <w:top w:val="nil"/>
              <w:left w:val="nil"/>
              <w:bottom w:val="single" w:sz="4" w:space="0" w:color="auto"/>
              <w:right w:val="single" w:sz="4" w:space="0" w:color="auto"/>
            </w:tcBorders>
            <w:shd w:val="clear" w:color="000000" w:fill="FFFFFF"/>
            <w:noWrap/>
            <w:vAlign w:val="center"/>
          </w:tcPr>
          <w:p w14:paraId="5EE11557" w14:textId="77777777" w:rsidR="002E7527" w:rsidRPr="002E7527" w:rsidRDefault="002E7527" w:rsidP="002E7527">
            <w:pPr>
              <w:jc w:val="right"/>
              <w:rPr>
                <w:color w:val="EE0000"/>
                <w:sz w:val="20"/>
                <w:szCs w:val="20"/>
                <w:lang w:eastAsia="en-GB"/>
              </w:rPr>
            </w:pPr>
            <w:r w:rsidRPr="002E7527">
              <w:rPr>
                <w:sz w:val="20"/>
                <w:szCs w:val="20"/>
              </w:rPr>
              <w:t>-0.715</w:t>
            </w:r>
            <w:r w:rsidRPr="002E7527">
              <w:rPr>
                <w:sz w:val="20"/>
                <w:szCs w:val="20"/>
                <w:vertAlign w:val="superscript"/>
              </w:rPr>
              <w:t>*</w:t>
            </w:r>
          </w:p>
        </w:tc>
        <w:tc>
          <w:tcPr>
            <w:tcW w:w="562" w:type="pct"/>
            <w:tcBorders>
              <w:top w:val="nil"/>
              <w:left w:val="nil"/>
              <w:bottom w:val="single" w:sz="4" w:space="0" w:color="auto"/>
              <w:right w:val="single" w:sz="4" w:space="0" w:color="auto"/>
            </w:tcBorders>
            <w:shd w:val="clear" w:color="000000" w:fill="FFFFFF"/>
            <w:noWrap/>
            <w:vAlign w:val="center"/>
          </w:tcPr>
          <w:p w14:paraId="7BFC94C7" w14:textId="77777777" w:rsidR="002E7527" w:rsidRPr="002E7527" w:rsidRDefault="002E7527" w:rsidP="002E7527">
            <w:pPr>
              <w:jc w:val="right"/>
              <w:rPr>
                <w:color w:val="EE0000"/>
                <w:sz w:val="20"/>
                <w:szCs w:val="20"/>
                <w:lang w:eastAsia="en-GB"/>
              </w:rPr>
            </w:pPr>
            <w:r w:rsidRPr="002E7527">
              <w:rPr>
                <w:sz w:val="20"/>
                <w:szCs w:val="20"/>
              </w:rPr>
              <w:t>0.276</w:t>
            </w:r>
          </w:p>
        </w:tc>
        <w:tc>
          <w:tcPr>
            <w:tcW w:w="561" w:type="pct"/>
            <w:tcBorders>
              <w:top w:val="nil"/>
              <w:left w:val="nil"/>
              <w:bottom w:val="single" w:sz="4" w:space="0" w:color="auto"/>
              <w:right w:val="single" w:sz="4" w:space="0" w:color="auto"/>
            </w:tcBorders>
            <w:shd w:val="clear" w:color="000000" w:fill="FFFFFF"/>
            <w:noWrap/>
            <w:vAlign w:val="center"/>
          </w:tcPr>
          <w:p w14:paraId="23E47EE5" w14:textId="77777777" w:rsidR="002E7527" w:rsidRPr="002E7527" w:rsidRDefault="002E7527" w:rsidP="002E7527">
            <w:pPr>
              <w:jc w:val="right"/>
              <w:rPr>
                <w:color w:val="EE0000"/>
                <w:sz w:val="20"/>
                <w:szCs w:val="20"/>
                <w:lang w:eastAsia="en-GB"/>
              </w:rPr>
            </w:pPr>
            <w:r w:rsidRPr="002E7527">
              <w:rPr>
                <w:sz w:val="20"/>
                <w:szCs w:val="20"/>
              </w:rPr>
              <w:t>-0.460</w:t>
            </w:r>
          </w:p>
        </w:tc>
        <w:tc>
          <w:tcPr>
            <w:tcW w:w="558" w:type="pct"/>
            <w:tcBorders>
              <w:top w:val="nil"/>
              <w:left w:val="nil"/>
              <w:bottom w:val="single" w:sz="4" w:space="0" w:color="auto"/>
              <w:right w:val="single" w:sz="4" w:space="0" w:color="auto"/>
            </w:tcBorders>
            <w:shd w:val="clear" w:color="000000" w:fill="FFFFFF"/>
            <w:noWrap/>
            <w:vAlign w:val="center"/>
          </w:tcPr>
          <w:p w14:paraId="0FE4E08D" w14:textId="77777777" w:rsidR="002E7527" w:rsidRPr="002E7527" w:rsidRDefault="002E7527" w:rsidP="002E7527">
            <w:pPr>
              <w:jc w:val="right"/>
              <w:rPr>
                <w:color w:val="EE0000"/>
                <w:sz w:val="20"/>
                <w:szCs w:val="20"/>
                <w:lang w:eastAsia="en-GB"/>
              </w:rPr>
            </w:pPr>
            <w:r w:rsidRPr="002E7527">
              <w:rPr>
                <w:sz w:val="20"/>
                <w:szCs w:val="20"/>
              </w:rPr>
              <w:t>0.253</w:t>
            </w:r>
          </w:p>
        </w:tc>
      </w:tr>
      <w:tr w:rsidR="002E7527" w:rsidRPr="002578D3" w14:paraId="56F441EA" w14:textId="77777777">
        <w:trPr>
          <w:trHeight w:val="242"/>
        </w:trPr>
        <w:tc>
          <w:tcPr>
            <w:tcW w:w="1023" w:type="pct"/>
            <w:tcBorders>
              <w:top w:val="nil"/>
              <w:left w:val="single" w:sz="4" w:space="0" w:color="auto"/>
              <w:bottom w:val="single" w:sz="4" w:space="0" w:color="auto"/>
              <w:right w:val="single" w:sz="4" w:space="0" w:color="auto"/>
            </w:tcBorders>
            <w:shd w:val="clear" w:color="000000" w:fill="FFFFFF"/>
            <w:noWrap/>
            <w:vAlign w:val="center"/>
          </w:tcPr>
          <w:p w14:paraId="0EFDB436" w14:textId="77777777" w:rsidR="002E7527" w:rsidRPr="000146EB" w:rsidRDefault="002E7527" w:rsidP="002E7527">
            <w:pPr>
              <w:rPr>
                <w:color w:val="000000"/>
                <w:sz w:val="20"/>
                <w:szCs w:val="20"/>
                <w:lang w:eastAsia="en-GB"/>
              </w:rPr>
            </w:pPr>
            <w:r>
              <w:rPr>
                <w:color w:val="000000"/>
                <w:sz w:val="20"/>
                <w:szCs w:val="20"/>
                <w:lang w:eastAsia="en-GB"/>
              </w:rPr>
              <w:t>language</w:t>
            </w:r>
          </w:p>
        </w:tc>
        <w:tc>
          <w:tcPr>
            <w:tcW w:w="561" w:type="pct"/>
            <w:tcBorders>
              <w:top w:val="nil"/>
              <w:left w:val="nil"/>
              <w:bottom w:val="single" w:sz="4" w:space="0" w:color="auto"/>
              <w:right w:val="single" w:sz="4" w:space="0" w:color="auto"/>
            </w:tcBorders>
            <w:shd w:val="clear" w:color="000000" w:fill="FFFFFF"/>
            <w:noWrap/>
            <w:vAlign w:val="center"/>
          </w:tcPr>
          <w:p w14:paraId="35F74426" w14:textId="77777777" w:rsidR="002E7527" w:rsidRPr="002E7527" w:rsidRDefault="002E7527" w:rsidP="002E7527">
            <w:pPr>
              <w:jc w:val="right"/>
              <w:rPr>
                <w:color w:val="FF0000"/>
                <w:sz w:val="20"/>
                <w:szCs w:val="20"/>
                <w:lang w:eastAsia="en-GB"/>
              </w:rPr>
            </w:pPr>
            <w:r w:rsidRPr="002E7527">
              <w:rPr>
                <w:sz w:val="20"/>
                <w:szCs w:val="20"/>
              </w:rPr>
              <w:t>-0.464</w:t>
            </w:r>
          </w:p>
        </w:tc>
        <w:tc>
          <w:tcPr>
            <w:tcW w:w="561" w:type="pct"/>
            <w:tcBorders>
              <w:top w:val="nil"/>
              <w:left w:val="nil"/>
              <w:bottom w:val="single" w:sz="4" w:space="0" w:color="auto"/>
              <w:right w:val="single" w:sz="4" w:space="0" w:color="auto"/>
            </w:tcBorders>
            <w:shd w:val="clear" w:color="000000" w:fill="FFFFFF"/>
            <w:noWrap/>
            <w:vAlign w:val="center"/>
          </w:tcPr>
          <w:p w14:paraId="69FE390C" w14:textId="77777777" w:rsidR="002E7527" w:rsidRPr="002E7527" w:rsidRDefault="002E7527" w:rsidP="002E7527">
            <w:pPr>
              <w:jc w:val="right"/>
              <w:rPr>
                <w:color w:val="000000"/>
                <w:sz w:val="20"/>
                <w:szCs w:val="20"/>
                <w:lang w:eastAsia="en-GB"/>
              </w:rPr>
            </w:pPr>
            <w:r w:rsidRPr="002E7527">
              <w:rPr>
                <w:sz w:val="20"/>
                <w:szCs w:val="20"/>
              </w:rPr>
              <w:t>1.291</w:t>
            </w:r>
            <w:r w:rsidRPr="002E7527">
              <w:rPr>
                <w:sz w:val="20"/>
                <w:szCs w:val="20"/>
                <w:vertAlign w:val="superscript"/>
              </w:rPr>
              <w:t>*</w:t>
            </w:r>
          </w:p>
        </w:tc>
        <w:tc>
          <w:tcPr>
            <w:tcW w:w="618" w:type="pct"/>
            <w:tcBorders>
              <w:top w:val="nil"/>
              <w:left w:val="nil"/>
              <w:bottom w:val="single" w:sz="4" w:space="0" w:color="auto"/>
              <w:right w:val="single" w:sz="4" w:space="0" w:color="auto"/>
            </w:tcBorders>
            <w:shd w:val="clear" w:color="000000" w:fill="FFFFFF"/>
            <w:noWrap/>
            <w:vAlign w:val="center"/>
          </w:tcPr>
          <w:p w14:paraId="58DF79FE" w14:textId="77777777" w:rsidR="002E7527" w:rsidRPr="002E7527" w:rsidRDefault="002E7527" w:rsidP="002E7527">
            <w:pPr>
              <w:jc w:val="right"/>
              <w:rPr>
                <w:color w:val="000000"/>
                <w:sz w:val="20"/>
                <w:szCs w:val="20"/>
                <w:lang w:eastAsia="en-GB"/>
              </w:rPr>
            </w:pPr>
            <w:r w:rsidRPr="002E7527">
              <w:rPr>
                <w:sz w:val="20"/>
                <w:szCs w:val="20"/>
              </w:rPr>
              <w:t>0.355</w:t>
            </w:r>
          </w:p>
        </w:tc>
        <w:tc>
          <w:tcPr>
            <w:tcW w:w="556" w:type="pct"/>
            <w:tcBorders>
              <w:top w:val="nil"/>
              <w:left w:val="nil"/>
              <w:bottom w:val="single" w:sz="4" w:space="0" w:color="auto"/>
              <w:right w:val="single" w:sz="4" w:space="0" w:color="auto"/>
            </w:tcBorders>
            <w:shd w:val="clear" w:color="000000" w:fill="FFFFFF"/>
            <w:noWrap/>
            <w:vAlign w:val="center"/>
          </w:tcPr>
          <w:p w14:paraId="1057F00D" w14:textId="77777777" w:rsidR="002E7527" w:rsidRPr="002E7527" w:rsidRDefault="002E7527" w:rsidP="002E7527">
            <w:pPr>
              <w:jc w:val="right"/>
              <w:rPr>
                <w:color w:val="000000"/>
                <w:sz w:val="20"/>
                <w:szCs w:val="20"/>
                <w:lang w:eastAsia="en-GB"/>
              </w:rPr>
            </w:pPr>
            <w:r w:rsidRPr="002E7527">
              <w:rPr>
                <w:sz w:val="20"/>
                <w:szCs w:val="20"/>
              </w:rPr>
              <w:t>1.992</w:t>
            </w:r>
            <w:r w:rsidRPr="002E7527">
              <w:rPr>
                <w:sz w:val="20"/>
                <w:szCs w:val="20"/>
                <w:vertAlign w:val="superscript"/>
              </w:rPr>
              <w:t>**</w:t>
            </w:r>
          </w:p>
        </w:tc>
        <w:tc>
          <w:tcPr>
            <w:tcW w:w="562" w:type="pct"/>
            <w:tcBorders>
              <w:top w:val="nil"/>
              <w:left w:val="nil"/>
              <w:bottom w:val="single" w:sz="4" w:space="0" w:color="auto"/>
              <w:right w:val="single" w:sz="4" w:space="0" w:color="auto"/>
            </w:tcBorders>
            <w:shd w:val="clear" w:color="000000" w:fill="FFFFFF"/>
            <w:noWrap/>
            <w:vAlign w:val="center"/>
          </w:tcPr>
          <w:p w14:paraId="18A0CFFB" w14:textId="77777777" w:rsidR="002E7527" w:rsidRPr="002E7527" w:rsidRDefault="002E7527" w:rsidP="002E7527">
            <w:pPr>
              <w:jc w:val="right"/>
              <w:rPr>
                <w:color w:val="000000"/>
                <w:sz w:val="20"/>
                <w:szCs w:val="20"/>
                <w:lang w:eastAsia="en-GB"/>
              </w:rPr>
            </w:pPr>
            <w:r w:rsidRPr="002E7527">
              <w:rPr>
                <w:sz w:val="20"/>
                <w:szCs w:val="20"/>
              </w:rPr>
              <w:t>-0.639</w:t>
            </w:r>
          </w:p>
        </w:tc>
        <w:tc>
          <w:tcPr>
            <w:tcW w:w="561" w:type="pct"/>
            <w:tcBorders>
              <w:top w:val="nil"/>
              <w:left w:val="nil"/>
              <w:bottom w:val="single" w:sz="4" w:space="0" w:color="auto"/>
              <w:right w:val="single" w:sz="4" w:space="0" w:color="auto"/>
            </w:tcBorders>
            <w:shd w:val="clear" w:color="000000" w:fill="FFFFFF"/>
            <w:noWrap/>
            <w:vAlign w:val="center"/>
          </w:tcPr>
          <w:p w14:paraId="6C579EEE" w14:textId="77777777" w:rsidR="002E7527" w:rsidRPr="002E7527" w:rsidRDefault="002E7527" w:rsidP="002E7527">
            <w:pPr>
              <w:jc w:val="right"/>
              <w:rPr>
                <w:color w:val="000000"/>
                <w:sz w:val="20"/>
                <w:szCs w:val="20"/>
                <w:lang w:eastAsia="en-GB"/>
              </w:rPr>
            </w:pPr>
            <w:r w:rsidRPr="002E7527">
              <w:rPr>
                <w:sz w:val="20"/>
                <w:szCs w:val="20"/>
              </w:rPr>
              <w:t>1.140</w:t>
            </w:r>
          </w:p>
        </w:tc>
        <w:tc>
          <w:tcPr>
            <w:tcW w:w="558" w:type="pct"/>
            <w:tcBorders>
              <w:top w:val="nil"/>
              <w:left w:val="nil"/>
              <w:bottom w:val="single" w:sz="4" w:space="0" w:color="auto"/>
              <w:right w:val="single" w:sz="4" w:space="0" w:color="auto"/>
            </w:tcBorders>
            <w:shd w:val="clear" w:color="000000" w:fill="FFFFFF"/>
            <w:noWrap/>
            <w:vAlign w:val="center"/>
          </w:tcPr>
          <w:p w14:paraId="78790CFD" w14:textId="77777777" w:rsidR="002E7527" w:rsidRPr="002E7527" w:rsidRDefault="002E7527" w:rsidP="002E7527">
            <w:pPr>
              <w:jc w:val="right"/>
              <w:rPr>
                <w:color w:val="000000"/>
                <w:sz w:val="20"/>
                <w:szCs w:val="20"/>
                <w:lang w:eastAsia="en-GB"/>
              </w:rPr>
            </w:pPr>
            <w:r w:rsidRPr="002E7527">
              <w:rPr>
                <w:sz w:val="20"/>
                <w:szCs w:val="20"/>
              </w:rPr>
              <w:t>-0.185</w:t>
            </w:r>
          </w:p>
        </w:tc>
      </w:tr>
      <w:tr w:rsidR="002E7527" w:rsidRPr="002578D3" w14:paraId="2645DF54" w14:textId="77777777">
        <w:trPr>
          <w:trHeight w:val="242"/>
        </w:trPr>
        <w:tc>
          <w:tcPr>
            <w:tcW w:w="1023" w:type="pct"/>
            <w:tcBorders>
              <w:top w:val="nil"/>
              <w:left w:val="single" w:sz="4" w:space="0" w:color="auto"/>
              <w:bottom w:val="single" w:sz="4" w:space="0" w:color="auto"/>
              <w:right w:val="single" w:sz="4" w:space="0" w:color="auto"/>
            </w:tcBorders>
            <w:shd w:val="clear" w:color="000000" w:fill="FFFFFF"/>
            <w:noWrap/>
            <w:vAlign w:val="center"/>
          </w:tcPr>
          <w:p w14:paraId="73919F85" w14:textId="77777777" w:rsidR="002E7527" w:rsidRPr="003F48DB" w:rsidRDefault="002E7527" w:rsidP="002E7527">
            <w:pPr>
              <w:rPr>
                <w:color w:val="000000"/>
                <w:sz w:val="18"/>
                <w:szCs w:val="18"/>
                <w:lang w:eastAsia="en-GB"/>
              </w:rPr>
            </w:pPr>
            <w:r w:rsidRPr="00181884">
              <w:rPr>
                <w:sz w:val="20"/>
                <w:szCs w:val="20"/>
              </w:rPr>
              <w:t>S</w:t>
            </w:r>
            <w:r>
              <w:rPr>
                <w:sz w:val="20"/>
                <w:szCs w:val="20"/>
              </w:rPr>
              <w:t>ame country</w:t>
            </w:r>
          </w:p>
        </w:tc>
        <w:tc>
          <w:tcPr>
            <w:tcW w:w="561" w:type="pct"/>
            <w:tcBorders>
              <w:top w:val="nil"/>
              <w:left w:val="nil"/>
              <w:bottom w:val="single" w:sz="4" w:space="0" w:color="auto"/>
              <w:right w:val="single" w:sz="4" w:space="0" w:color="auto"/>
            </w:tcBorders>
            <w:shd w:val="clear" w:color="000000" w:fill="FFFFFF"/>
            <w:noWrap/>
            <w:vAlign w:val="center"/>
          </w:tcPr>
          <w:p w14:paraId="34A1B8A3" w14:textId="77777777" w:rsidR="002E7527" w:rsidRPr="002E7527" w:rsidRDefault="002E7527" w:rsidP="002E7527">
            <w:pPr>
              <w:jc w:val="right"/>
              <w:rPr>
                <w:sz w:val="20"/>
                <w:szCs w:val="20"/>
                <w:lang w:eastAsia="en-GB"/>
              </w:rPr>
            </w:pPr>
            <w:r w:rsidRPr="002E7527">
              <w:rPr>
                <w:sz w:val="20"/>
                <w:szCs w:val="20"/>
              </w:rPr>
              <w:t>1.594</w:t>
            </w:r>
            <w:r w:rsidRPr="002E7527">
              <w:rPr>
                <w:sz w:val="20"/>
                <w:szCs w:val="20"/>
                <w:vertAlign w:val="superscript"/>
              </w:rPr>
              <w:t>***</w:t>
            </w:r>
          </w:p>
        </w:tc>
        <w:tc>
          <w:tcPr>
            <w:tcW w:w="561" w:type="pct"/>
            <w:tcBorders>
              <w:top w:val="nil"/>
              <w:left w:val="nil"/>
              <w:bottom w:val="single" w:sz="4" w:space="0" w:color="auto"/>
              <w:right w:val="single" w:sz="4" w:space="0" w:color="auto"/>
            </w:tcBorders>
            <w:shd w:val="clear" w:color="000000" w:fill="FFFFFF"/>
            <w:noWrap/>
            <w:vAlign w:val="center"/>
          </w:tcPr>
          <w:p w14:paraId="3B3520DA" w14:textId="77777777" w:rsidR="002E7527" w:rsidRPr="002E7527" w:rsidRDefault="002E7527" w:rsidP="002E7527">
            <w:pPr>
              <w:jc w:val="right"/>
              <w:rPr>
                <w:color w:val="000000"/>
                <w:sz w:val="20"/>
                <w:szCs w:val="20"/>
                <w:lang w:eastAsia="en-GB"/>
              </w:rPr>
            </w:pPr>
            <w:r w:rsidRPr="002E7527">
              <w:rPr>
                <w:sz w:val="20"/>
                <w:szCs w:val="20"/>
              </w:rPr>
              <w:t>0.649</w:t>
            </w:r>
          </w:p>
        </w:tc>
        <w:tc>
          <w:tcPr>
            <w:tcW w:w="618" w:type="pct"/>
            <w:tcBorders>
              <w:top w:val="nil"/>
              <w:left w:val="nil"/>
              <w:bottom w:val="single" w:sz="4" w:space="0" w:color="auto"/>
              <w:right w:val="single" w:sz="4" w:space="0" w:color="auto"/>
            </w:tcBorders>
            <w:shd w:val="clear" w:color="000000" w:fill="FFFFFF"/>
            <w:noWrap/>
            <w:vAlign w:val="center"/>
          </w:tcPr>
          <w:p w14:paraId="003A2AA8" w14:textId="77777777" w:rsidR="002E7527" w:rsidRPr="002E7527" w:rsidRDefault="002E7527" w:rsidP="002E7527">
            <w:pPr>
              <w:jc w:val="right"/>
              <w:rPr>
                <w:color w:val="000000"/>
                <w:sz w:val="20"/>
                <w:szCs w:val="20"/>
                <w:lang w:eastAsia="en-GB"/>
              </w:rPr>
            </w:pPr>
            <w:r w:rsidRPr="002E7527">
              <w:rPr>
                <w:sz w:val="20"/>
                <w:szCs w:val="20"/>
              </w:rPr>
              <w:t>1.055</w:t>
            </w:r>
            <w:r w:rsidRPr="002E7527">
              <w:rPr>
                <w:sz w:val="20"/>
                <w:szCs w:val="20"/>
                <w:vertAlign w:val="superscript"/>
              </w:rPr>
              <w:t>***</w:t>
            </w:r>
          </w:p>
        </w:tc>
        <w:tc>
          <w:tcPr>
            <w:tcW w:w="556" w:type="pct"/>
            <w:tcBorders>
              <w:top w:val="nil"/>
              <w:left w:val="nil"/>
              <w:bottom w:val="single" w:sz="4" w:space="0" w:color="auto"/>
              <w:right w:val="single" w:sz="4" w:space="0" w:color="auto"/>
            </w:tcBorders>
            <w:shd w:val="clear" w:color="000000" w:fill="FFFFFF"/>
            <w:noWrap/>
            <w:vAlign w:val="center"/>
          </w:tcPr>
          <w:p w14:paraId="5283323E" w14:textId="77777777" w:rsidR="002E7527" w:rsidRPr="002E7527" w:rsidRDefault="002E7527" w:rsidP="002E7527">
            <w:pPr>
              <w:jc w:val="right"/>
              <w:rPr>
                <w:color w:val="000000"/>
                <w:sz w:val="20"/>
                <w:szCs w:val="20"/>
                <w:lang w:eastAsia="en-GB"/>
              </w:rPr>
            </w:pPr>
            <w:r w:rsidRPr="002E7527">
              <w:rPr>
                <w:sz w:val="20"/>
                <w:szCs w:val="20"/>
              </w:rPr>
              <w:t>0.390</w:t>
            </w:r>
          </w:p>
        </w:tc>
        <w:tc>
          <w:tcPr>
            <w:tcW w:w="562" w:type="pct"/>
            <w:tcBorders>
              <w:top w:val="nil"/>
              <w:left w:val="nil"/>
              <w:bottom w:val="single" w:sz="4" w:space="0" w:color="auto"/>
              <w:right w:val="single" w:sz="4" w:space="0" w:color="auto"/>
            </w:tcBorders>
            <w:shd w:val="clear" w:color="000000" w:fill="FFFFFF"/>
            <w:noWrap/>
            <w:vAlign w:val="center"/>
          </w:tcPr>
          <w:p w14:paraId="0E2B4BBF" w14:textId="77777777" w:rsidR="002E7527" w:rsidRPr="002E7527" w:rsidRDefault="002E7527" w:rsidP="002E7527">
            <w:pPr>
              <w:jc w:val="right"/>
              <w:rPr>
                <w:color w:val="000000"/>
                <w:sz w:val="20"/>
                <w:szCs w:val="20"/>
                <w:lang w:eastAsia="en-GB"/>
              </w:rPr>
            </w:pPr>
            <w:r w:rsidRPr="002E7527">
              <w:rPr>
                <w:sz w:val="20"/>
                <w:szCs w:val="20"/>
              </w:rPr>
              <w:t>2.087</w:t>
            </w:r>
            <w:r w:rsidRPr="002E7527">
              <w:rPr>
                <w:sz w:val="20"/>
                <w:szCs w:val="20"/>
                <w:vertAlign w:val="superscript"/>
              </w:rPr>
              <w:t>***</w:t>
            </w:r>
          </w:p>
        </w:tc>
        <w:tc>
          <w:tcPr>
            <w:tcW w:w="561" w:type="pct"/>
            <w:tcBorders>
              <w:top w:val="nil"/>
              <w:left w:val="nil"/>
              <w:bottom w:val="single" w:sz="4" w:space="0" w:color="auto"/>
              <w:right w:val="single" w:sz="4" w:space="0" w:color="auto"/>
            </w:tcBorders>
            <w:shd w:val="clear" w:color="000000" w:fill="FFFFFF"/>
            <w:noWrap/>
            <w:vAlign w:val="center"/>
          </w:tcPr>
          <w:p w14:paraId="2E058A5F" w14:textId="77777777" w:rsidR="002E7527" w:rsidRPr="002E7527" w:rsidRDefault="002E7527" w:rsidP="002E7527">
            <w:pPr>
              <w:jc w:val="right"/>
              <w:rPr>
                <w:color w:val="000000"/>
                <w:sz w:val="20"/>
                <w:szCs w:val="20"/>
                <w:lang w:eastAsia="en-GB"/>
              </w:rPr>
            </w:pPr>
            <w:r w:rsidRPr="002E7527">
              <w:rPr>
                <w:sz w:val="20"/>
                <w:szCs w:val="20"/>
              </w:rPr>
              <w:t>1.054</w:t>
            </w:r>
            <w:r w:rsidRPr="002E7527">
              <w:rPr>
                <w:sz w:val="20"/>
                <w:szCs w:val="20"/>
                <w:vertAlign w:val="superscript"/>
              </w:rPr>
              <w:t>***</w:t>
            </w:r>
          </w:p>
        </w:tc>
        <w:tc>
          <w:tcPr>
            <w:tcW w:w="558" w:type="pct"/>
            <w:tcBorders>
              <w:top w:val="nil"/>
              <w:left w:val="nil"/>
              <w:bottom w:val="single" w:sz="4" w:space="0" w:color="auto"/>
              <w:right w:val="single" w:sz="4" w:space="0" w:color="auto"/>
            </w:tcBorders>
            <w:shd w:val="clear" w:color="000000" w:fill="FFFFFF"/>
            <w:noWrap/>
            <w:vAlign w:val="center"/>
          </w:tcPr>
          <w:p w14:paraId="259A29E4" w14:textId="77777777" w:rsidR="002E7527" w:rsidRPr="002E7527" w:rsidRDefault="002E7527" w:rsidP="002E7527">
            <w:pPr>
              <w:jc w:val="right"/>
              <w:rPr>
                <w:color w:val="000000"/>
                <w:sz w:val="20"/>
                <w:szCs w:val="20"/>
                <w:lang w:eastAsia="en-GB"/>
              </w:rPr>
            </w:pPr>
            <w:r w:rsidRPr="002E7527">
              <w:rPr>
                <w:sz w:val="20"/>
                <w:szCs w:val="20"/>
              </w:rPr>
              <w:t>1.362</w:t>
            </w:r>
            <w:r w:rsidRPr="002E7527">
              <w:rPr>
                <w:sz w:val="20"/>
                <w:szCs w:val="20"/>
                <w:vertAlign w:val="superscript"/>
              </w:rPr>
              <w:t>***</w:t>
            </w:r>
          </w:p>
        </w:tc>
      </w:tr>
      <w:tr w:rsidR="00AB1E29" w:rsidRPr="002578D3" w14:paraId="523104D6" w14:textId="77777777">
        <w:trPr>
          <w:trHeight w:val="242"/>
        </w:trPr>
        <w:tc>
          <w:tcPr>
            <w:tcW w:w="1023" w:type="pct"/>
            <w:tcBorders>
              <w:top w:val="nil"/>
              <w:left w:val="single" w:sz="4" w:space="0" w:color="auto"/>
              <w:bottom w:val="single" w:sz="4" w:space="0" w:color="auto"/>
              <w:right w:val="single" w:sz="4" w:space="0" w:color="auto"/>
            </w:tcBorders>
            <w:shd w:val="clear" w:color="000000" w:fill="FFFFFF"/>
            <w:noWrap/>
            <w:vAlign w:val="center"/>
          </w:tcPr>
          <w:p w14:paraId="619568A3" w14:textId="77777777" w:rsidR="00AB1E29" w:rsidRPr="003F48DB" w:rsidRDefault="00AB1E29" w:rsidP="00AB1E29">
            <w:pPr>
              <w:rPr>
                <w:color w:val="000000"/>
                <w:sz w:val="18"/>
                <w:szCs w:val="18"/>
                <w:lang w:eastAsia="en-GB"/>
              </w:rPr>
            </w:pPr>
            <w:r w:rsidRPr="00181884">
              <w:rPr>
                <w:sz w:val="20"/>
                <w:szCs w:val="20"/>
              </w:rPr>
              <w:t>log(TFScore)</w:t>
            </w:r>
          </w:p>
        </w:tc>
        <w:tc>
          <w:tcPr>
            <w:tcW w:w="561" w:type="pct"/>
            <w:tcBorders>
              <w:top w:val="nil"/>
              <w:left w:val="nil"/>
              <w:bottom w:val="single" w:sz="4" w:space="0" w:color="auto"/>
              <w:right w:val="single" w:sz="4" w:space="0" w:color="auto"/>
            </w:tcBorders>
            <w:shd w:val="clear" w:color="000000" w:fill="FFFFFF"/>
            <w:noWrap/>
            <w:vAlign w:val="center"/>
          </w:tcPr>
          <w:p w14:paraId="3BDC2E3A" w14:textId="77777777" w:rsidR="00AB1E29" w:rsidRPr="003F48DB" w:rsidRDefault="00AB1E29" w:rsidP="00AB1E29">
            <w:pPr>
              <w:jc w:val="right"/>
              <w:rPr>
                <w:color w:val="000000"/>
                <w:sz w:val="18"/>
                <w:szCs w:val="18"/>
                <w:lang w:eastAsia="en-GB"/>
              </w:rPr>
            </w:pPr>
          </w:p>
        </w:tc>
        <w:tc>
          <w:tcPr>
            <w:tcW w:w="561" w:type="pct"/>
            <w:tcBorders>
              <w:top w:val="nil"/>
              <w:left w:val="nil"/>
              <w:bottom w:val="single" w:sz="4" w:space="0" w:color="auto"/>
              <w:right w:val="single" w:sz="4" w:space="0" w:color="auto"/>
            </w:tcBorders>
            <w:shd w:val="clear" w:color="000000" w:fill="FFFFFF"/>
            <w:noWrap/>
            <w:vAlign w:val="center"/>
          </w:tcPr>
          <w:p w14:paraId="08E627F6" w14:textId="77777777" w:rsidR="00AB1E29" w:rsidRPr="002E7527" w:rsidRDefault="002E7527" w:rsidP="00AB1E29">
            <w:pPr>
              <w:rPr>
                <w:b/>
                <w:bCs/>
                <w:sz w:val="20"/>
                <w:szCs w:val="20"/>
                <w:lang w:eastAsia="en-GB"/>
              </w:rPr>
            </w:pPr>
            <w:r w:rsidRPr="002E7527">
              <w:rPr>
                <w:b/>
                <w:bCs/>
                <w:sz w:val="20"/>
                <w:szCs w:val="20"/>
              </w:rPr>
              <w:t>8.225</w:t>
            </w:r>
            <w:r w:rsidRPr="002E7527">
              <w:rPr>
                <w:b/>
                <w:bCs/>
                <w:sz w:val="20"/>
                <w:szCs w:val="20"/>
                <w:vertAlign w:val="superscript"/>
              </w:rPr>
              <w:t>***</w:t>
            </w:r>
          </w:p>
        </w:tc>
        <w:tc>
          <w:tcPr>
            <w:tcW w:w="618" w:type="pct"/>
            <w:tcBorders>
              <w:top w:val="nil"/>
              <w:left w:val="nil"/>
              <w:bottom w:val="single" w:sz="4" w:space="0" w:color="auto"/>
              <w:right w:val="single" w:sz="4" w:space="0" w:color="auto"/>
            </w:tcBorders>
            <w:shd w:val="clear" w:color="000000" w:fill="FFFFFF"/>
            <w:noWrap/>
            <w:vAlign w:val="bottom"/>
          </w:tcPr>
          <w:p w14:paraId="0097C763" w14:textId="77777777" w:rsidR="00AB1E29" w:rsidRPr="004C4FB3" w:rsidRDefault="00AB1E29" w:rsidP="00AB1E29">
            <w:pPr>
              <w:rPr>
                <w:b/>
                <w:bCs/>
                <w:sz w:val="18"/>
                <w:szCs w:val="18"/>
                <w:lang w:eastAsia="en-GB"/>
              </w:rPr>
            </w:pPr>
          </w:p>
        </w:tc>
        <w:tc>
          <w:tcPr>
            <w:tcW w:w="556" w:type="pct"/>
            <w:tcBorders>
              <w:top w:val="nil"/>
              <w:left w:val="nil"/>
              <w:bottom w:val="single" w:sz="4" w:space="0" w:color="auto"/>
              <w:right w:val="single" w:sz="4" w:space="0" w:color="auto"/>
            </w:tcBorders>
            <w:shd w:val="clear" w:color="000000" w:fill="FFFFFF"/>
            <w:noWrap/>
            <w:vAlign w:val="bottom"/>
          </w:tcPr>
          <w:p w14:paraId="59C8CB39" w14:textId="77777777" w:rsidR="00AB1E29" w:rsidRPr="004C4FB3" w:rsidRDefault="00AB1E29" w:rsidP="00AB1E29">
            <w:pPr>
              <w:rPr>
                <w:b/>
                <w:bCs/>
                <w:sz w:val="18"/>
                <w:szCs w:val="18"/>
                <w:lang w:eastAsia="en-GB"/>
              </w:rPr>
            </w:pPr>
          </w:p>
        </w:tc>
        <w:tc>
          <w:tcPr>
            <w:tcW w:w="562" w:type="pct"/>
            <w:tcBorders>
              <w:top w:val="nil"/>
              <w:left w:val="nil"/>
              <w:bottom w:val="single" w:sz="4" w:space="0" w:color="auto"/>
              <w:right w:val="single" w:sz="4" w:space="0" w:color="auto"/>
            </w:tcBorders>
            <w:shd w:val="clear" w:color="000000" w:fill="FFFFFF"/>
            <w:noWrap/>
            <w:vAlign w:val="bottom"/>
          </w:tcPr>
          <w:p w14:paraId="072934A2" w14:textId="77777777" w:rsidR="00AB1E29" w:rsidRPr="004C4FB3" w:rsidRDefault="00AB1E29" w:rsidP="00AB1E29">
            <w:pPr>
              <w:rPr>
                <w:b/>
                <w:bCs/>
                <w:sz w:val="18"/>
                <w:szCs w:val="18"/>
                <w:lang w:eastAsia="en-GB"/>
              </w:rPr>
            </w:pPr>
          </w:p>
        </w:tc>
        <w:tc>
          <w:tcPr>
            <w:tcW w:w="561" w:type="pct"/>
            <w:tcBorders>
              <w:top w:val="nil"/>
              <w:left w:val="nil"/>
              <w:bottom w:val="single" w:sz="4" w:space="0" w:color="auto"/>
              <w:right w:val="single" w:sz="4" w:space="0" w:color="auto"/>
            </w:tcBorders>
            <w:shd w:val="clear" w:color="000000" w:fill="FFFFFF"/>
            <w:noWrap/>
            <w:vAlign w:val="bottom"/>
          </w:tcPr>
          <w:p w14:paraId="52D4F182" w14:textId="77777777" w:rsidR="00AB1E29" w:rsidRPr="003F48DB" w:rsidRDefault="00AB1E29" w:rsidP="00AB1E29">
            <w:pPr>
              <w:rPr>
                <w:color w:val="000000"/>
                <w:sz w:val="18"/>
                <w:szCs w:val="18"/>
                <w:lang w:eastAsia="en-GB"/>
              </w:rPr>
            </w:pPr>
          </w:p>
        </w:tc>
        <w:tc>
          <w:tcPr>
            <w:tcW w:w="558" w:type="pct"/>
            <w:tcBorders>
              <w:top w:val="nil"/>
              <w:left w:val="nil"/>
              <w:bottom w:val="single" w:sz="4" w:space="0" w:color="auto"/>
              <w:right w:val="single" w:sz="4" w:space="0" w:color="auto"/>
            </w:tcBorders>
            <w:shd w:val="clear" w:color="000000" w:fill="FFFFFF"/>
            <w:noWrap/>
            <w:vAlign w:val="bottom"/>
          </w:tcPr>
          <w:p w14:paraId="4E41ED14" w14:textId="77777777" w:rsidR="00AB1E29" w:rsidRPr="003F48DB" w:rsidRDefault="00AB1E29" w:rsidP="00AB1E29">
            <w:pPr>
              <w:rPr>
                <w:color w:val="000000"/>
                <w:sz w:val="18"/>
                <w:szCs w:val="18"/>
                <w:lang w:eastAsia="en-GB"/>
              </w:rPr>
            </w:pPr>
          </w:p>
        </w:tc>
      </w:tr>
      <w:tr w:rsidR="00AB1E29" w:rsidRPr="002578D3" w14:paraId="62D90274" w14:textId="77777777">
        <w:trPr>
          <w:trHeight w:val="242"/>
        </w:trPr>
        <w:tc>
          <w:tcPr>
            <w:tcW w:w="1023" w:type="pct"/>
            <w:tcBorders>
              <w:top w:val="nil"/>
              <w:left w:val="single" w:sz="4" w:space="0" w:color="auto"/>
              <w:bottom w:val="single" w:sz="4" w:space="0" w:color="auto"/>
              <w:right w:val="single" w:sz="4" w:space="0" w:color="auto"/>
            </w:tcBorders>
            <w:shd w:val="clear" w:color="000000" w:fill="FFFFFF"/>
            <w:noWrap/>
            <w:vAlign w:val="center"/>
          </w:tcPr>
          <w:p w14:paraId="3D936726" w14:textId="77777777" w:rsidR="00AB1E29" w:rsidRPr="003F48DB" w:rsidRDefault="00AB1E29" w:rsidP="00AB1E29">
            <w:pPr>
              <w:rPr>
                <w:color w:val="000000"/>
                <w:sz w:val="18"/>
                <w:szCs w:val="18"/>
                <w:lang w:eastAsia="en-GB"/>
              </w:rPr>
            </w:pPr>
            <w:r w:rsidRPr="00181884">
              <w:rPr>
                <w:sz w:val="20"/>
                <w:szCs w:val="20"/>
              </w:rPr>
              <w:t>log(Transparency)</w:t>
            </w:r>
          </w:p>
        </w:tc>
        <w:tc>
          <w:tcPr>
            <w:tcW w:w="561" w:type="pct"/>
            <w:tcBorders>
              <w:top w:val="nil"/>
              <w:left w:val="nil"/>
              <w:bottom w:val="single" w:sz="4" w:space="0" w:color="auto"/>
              <w:right w:val="single" w:sz="4" w:space="0" w:color="auto"/>
            </w:tcBorders>
            <w:shd w:val="clear" w:color="000000" w:fill="FFFFFF"/>
            <w:noWrap/>
            <w:vAlign w:val="center"/>
          </w:tcPr>
          <w:p w14:paraId="5AE8FBBD" w14:textId="77777777" w:rsidR="00AB1E29" w:rsidRPr="003F48DB" w:rsidRDefault="00AB1E29" w:rsidP="00AB1E29">
            <w:pPr>
              <w:rPr>
                <w:color w:val="000000"/>
                <w:sz w:val="18"/>
                <w:szCs w:val="18"/>
                <w:highlight w:val="yellow"/>
                <w:lang w:eastAsia="en-GB"/>
              </w:rPr>
            </w:pPr>
          </w:p>
        </w:tc>
        <w:tc>
          <w:tcPr>
            <w:tcW w:w="561" w:type="pct"/>
            <w:tcBorders>
              <w:top w:val="nil"/>
              <w:left w:val="nil"/>
              <w:bottom w:val="single" w:sz="4" w:space="0" w:color="auto"/>
              <w:right w:val="single" w:sz="4" w:space="0" w:color="auto"/>
            </w:tcBorders>
            <w:shd w:val="clear" w:color="000000" w:fill="FFFFFF"/>
            <w:noWrap/>
            <w:vAlign w:val="center"/>
          </w:tcPr>
          <w:p w14:paraId="370E60D2" w14:textId="77777777" w:rsidR="00AB1E29" w:rsidRPr="004C4FB3" w:rsidRDefault="00AB1E29" w:rsidP="00AB1E29">
            <w:pPr>
              <w:jc w:val="right"/>
              <w:rPr>
                <w:b/>
                <w:bCs/>
                <w:sz w:val="18"/>
                <w:szCs w:val="18"/>
                <w:lang w:eastAsia="en-GB"/>
              </w:rPr>
            </w:pPr>
          </w:p>
        </w:tc>
        <w:tc>
          <w:tcPr>
            <w:tcW w:w="618" w:type="pct"/>
            <w:tcBorders>
              <w:top w:val="nil"/>
              <w:left w:val="nil"/>
              <w:bottom w:val="single" w:sz="4" w:space="0" w:color="auto"/>
              <w:right w:val="single" w:sz="4" w:space="0" w:color="auto"/>
            </w:tcBorders>
            <w:shd w:val="clear" w:color="000000" w:fill="FFFFFF"/>
            <w:noWrap/>
            <w:vAlign w:val="center"/>
          </w:tcPr>
          <w:p w14:paraId="3DA525FD" w14:textId="77777777" w:rsidR="00AB1E29" w:rsidRPr="002E7527" w:rsidRDefault="002E7527" w:rsidP="00AB1E29">
            <w:pPr>
              <w:rPr>
                <w:b/>
                <w:bCs/>
                <w:sz w:val="20"/>
                <w:szCs w:val="20"/>
                <w:lang w:eastAsia="en-GB"/>
              </w:rPr>
            </w:pPr>
            <w:r w:rsidRPr="002E7527">
              <w:rPr>
                <w:b/>
                <w:bCs/>
                <w:sz w:val="20"/>
                <w:szCs w:val="20"/>
              </w:rPr>
              <w:t>6.611</w:t>
            </w:r>
            <w:r w:rsidRPr="002E7527">
              <w:rPr>
                <w:b/>
                <w:bCs/>
                <w:sz w:val="20"/>
                <w:szCs w:val="20"/>
                <w:vertAlign w:val="superscript"/>
              </w:rPr>
              <w:t>***</w:t>
            </w:r>
          </w:p>
        </w:tc>
        <w:tc>
          <w:tcPr>
            <w:tcW w:w="556" w:type="pct"/>
            <w:tcBorders>
              <w:top w:val="nil"/>
              <w:left w:val="nil"/>
              <w:bottom w:val="single" w:sz="4" w:space="0" w:color="auto"/>
              <w:right w:val="single" w:sz="4" w:space="0" w:color="auto"/>
            </w:tcBorders>
            <w:shd w:val="clear" w:color="000000" w:fill="FFFFFF"/>
            <w:noWrap/>
            <w:vAlign w:val="bottom"/>
          </w:tcPr>
          <w:p w14:paraId="03AF429D" w14:textId="77777777" w:rsidR="00AB1E29" w:rsidRPr="004C4FB3" w:rsidRDefault="00AB1E29" w:rsidP="00AB1E29">
            <w:pPr>
              <w:rPr>
                <w:b/>
                <w:bCs/>
                <w:sz w:val="18"/>
                <w:szCs w:val="18"/>
                <w:lang w:eastAsia="en-GB"/>
              </w:rPr>
            </w:pPr>
          </w:p>
        </w:tc>
        <w:tc>
          <w:tcPr>
            <w:tcW w:w="562" w:type="pct"/>
            <w:tcBorders>
              <w:top w:val="nil"/>
              <w:left w:val="nil"/>
              <w:bottom w:val="single" w:sz="4" w:space="0" w:color="auto"/>
              <w:right w:val="single" w:sz="4" w:space="0" w:color="auto"/>
            </w:tcBorders>
            <w:shd w:val="clear" w:color="000000" w:fill="FFFFFF"/>
            <w:noWrap/>
            <w:vAlign w:val="bottom"/>
          </w:tcPr>
          <w:p w14:paraId="759B437E" w14:textId="77777777" w:rsidR="00AB1E29" w:rsidRPr="004C4FB3" w:rsidRDefault="00AB1E29" w:rsidP="00AB1E29">
            <w:pPr>
              <w:rPr>
                <w:b/>
                <w:bCs/>
                <w:sz w:val="18"/>
                <w:szCs w:val="18"/>
                <w:lang w:eastAsia="en-GB"/>
              </w:rPr>
            </w:pPr>
          </w:p>
        </w:tc>
        <w:tc>
          <w:tcPr>
            <w:tcW w:w="561" w:type="pct"/>
            <w:tcBorders>
              <w:top w:val="nil"/>
              <w:left w:val="nil"/>
              <w:bottom w:val="single" w:sz="4" w:space="0" w:color="auto"/>
              <w:right w:val="single" w:sz="4" w:space="0" w:color="auto"/>
            </w:tcBorders>
            <w:shd w:val="clear" w:color="000000" w:fill="FFFFFF"/>
            <w:noWrap/>
            <w:vAlign w:val="bottom"/>
          </w:tcPr>
          <w:p w14:paraId="60793D65" w14:textId="77777777" w:rsidR="00AB1E29" w:rsidRPr="003F48DB" w:rsidRDefault="00AB1E29" w:rsidP="00AB1E29">
            <w:pPr>
              <w:rPr>
                <w:color w:val="000000"/>
                <w:sz w:val="18"/>
                <w:szCs w:val="18"/>
                <w:lang w:eastAsia="en-GB"/>
              </w:rPr>
            </w:pPr>
          </w:p>
        </w:tc>
        <w:tc>
          <w:tcPr>
            <w:tcW w:w="558" w:type="pct"/>
            <w:tcBorders>
              <w:top w:val="nil"/>
              <w:left w:val="nil"/>
              <w:bottom w:val="single" w:sz="4" w:space="0" w:color="auto"/>
              <w:right w:val="single" w:sz="4" w:space="0" w:color="auto"/>
            </w:tcBorders>
            <w:shd w:val="clear" w:color="000000" w:fill="FFFFFF"/>
            <w:noWrap/>
            <w:vAlign w:val="bottom"/>
          </w:tcPr>
          <w:p w14:paraId="26353904" w14:textId="77777777" w:rsidR="00AB1E29" w:rsidRPr="003F48DB" w:rsidRDefault="00AB1E29" w:rsidP="00AB1E29">
            <w:pPr>
              <w:rPr>
                <w:color w:val="000000"/>
                <w:sz w:val="18"/>
                <w:szCs w:val="18"/>
                <w:lang w:eastAsia="en-GB"/>
              </w:rPr>
            </w:pPr>
          </w:p>
        </w:tc>
      </w:tr>
      <w:tr w:rsidR="00AB1E29" w:rsidRPr="002578D3" w14:paraId="4BF62D37" w14:textId="77777777">
        <w:trPr>
          <w:trHeight w:val="242"/>
        </w:trPr>
        <w:tc>
          <w:tcPr>
            <w:tcW w:w="1023" w:type="pct"/>
            <w:tcBorders>
              <w:top w:val="nil"/>
              <w:left w:val="single" w:sz="4" w:space="0" w:color="auto"/>
              <w:bottom w:val="single" w:sz="4" w:space="0" w:color="auto"/>
              <w:right w:val="single" w:sz="4" w:space="0" w:color="auto"/>
            </w:tcBorders>
            <w:shd w:val="clear" w:color="000000" w:fill="FFFFFF"/>
            <w:noWrap/>
            <w:vAlign w:val="center"/>
          </w:tcPr>
          <w:p w14:paraId="3A3FF83A" w14:textId="77777777" w:rsidR="00AB1E29" w:rsidRPr="003F48DB" w:rsidRDefault="00AB1E29" w:rsidP="00AB1E29">
            <w:pPr>
              <w:rPr>
                <w:color w:val="000000"/>
                <w:sz w:val="18"/>
                <w:szCs w:val="18"/>
                <w:lang w:eastAsia="en-GB"/>
              </w:rPr>
            </w:pPr>
            <w:r w:rsidRPr="00181884">
              <w:rPr>
                <w:sz w:val="20"/>
                <w:szCs w:val="20"/>
              </w:rPr>
              <w:t>log(Formalities)</w:t>
            </w:r>
          </w:p>
        </w:tc>
        <w:tc>
          <w:tcPr>
            <w:tcW w:w="561" w:type="pct"/>
            <w:tcBorders>
              <w:top w:val="nil"/>
              <w:left w:val="nil"/>
              <w:bottom w:val="single" w:sz="4" w:space="0" w:color="auto"/>
              <w:right w:val="single" w:sz="4" w:space="0" w:color="auto"/>
            </w:tcBorders>
            <w:shd w:val="clear" w:color="000000" w:fill="FFFFFF"/>
            <w:noWrap/>
            <w:vAlign w:val="center"/>
          </w:tcPr>
          <w:p w14:paraId="4322ABFA" w14:textId="77777777" w:rsidR="00AB1E29" w:rsidRPr="003F48DB" w:rsidRDefault="00AB1E29" w:rsidP="00AB1E29">
            <w:pPr>
              <w:rPr>
                <w:color w:val="000000"/>
                <w:sz w:val="18"/>
                <w:szCs w:val="18"/>
                <w:highlight w:val="yellow"/>
                <w:lang w:eastAsia="en-GB"/>
              </w:rPr>
            </w:pPr>
          </w:p>
        </w:tc>
        <w:tc>
          <w:tcPr>
            <w:tcW w:w="561" w:type="pct"/>
            <w:tcBorders>
              <w:top w:val="nil"/>
              <w:left w:val="nil"/>
              <w:bottom w:val="single" w:sz="4" w:space="0" w:color="auto"/>
              <w:right w:val="single" w:sz="4" w:space="0" w:color="auto"/>
            </w:tcBorders>
            <w:shd w:val="clear" w:color="000000" w:fill="FFFFFF"/>
            <w:noWrap/>
            <w:vAlign w:val="center"/>
          </w:tcPr>
          <w:p w14:paraId="242C66AC" w14:textId="77777777" w:rsidR="00AB1E29" w:rsidRPr="004C4FB3" w:rsidRDefault="00AB1E29" w:rsidP="00AB1E29">
            <w:pPr>
              <w:rPr>
                <w:b/>
                <w:bCs/>
                <w:sz w:val="18"/>
                <w:szCs w:val="18"/>
                <w:lang w:eastAsia="en-GB"/>
              </w:rPr>
            </w:pPr>
          </w:p>
        </w:tc>
        <w:tc>
          <w:tcPr>
            <w:tcW w:w="618" w:type="pct"/>
            <w:tcBorders>
              <w:top w:val="nil"/>
              <w:left w:val="nil"/>
              <w:bottom w:val="single" w:sz="4" w:space="0" w:color="auto"/>
              <w:right w:val="single" w:sz="4" w:space="0" w:color="auto"/>
            </w:tcBorders>
            <w:shd w:val="clear" w:color="000000" w:fill="FFFFFF"/>
            <w:noWrap/>
            <w:vAlign w:val="center"/>
          </w:tcPr>
          <w:p w14:paraId="566B8796" w14:textId="77777777" w:rsidR="00AB1E29" w:rsidRPr="004C4FB3" w:rsidRDefault="00AB1E29" w:rsidP="00AB1E29">
            <w:pPr>
              <w:jc w:val="right"/>
              <w:rPr>
                <w:b/>
                <w:bCs/>
                <w:sz w:val="18"/>
                <w:szCs w:val="18"/>
                <w:lang w:eastAsia="en-GB"/>
              </w:rPr>
            </w:pPr>
          </w:p>
        </w:tc>
        <w:tc>
          <w:tcPr>
            <w:tcW w:w="556" w:type="pct"/>
            <w:tcBorders>
              <w:top w:val="nil"/>
              <w:left w:val="nil"/>
              <w:bottom w:val="single" w:sz="4" w:space="0" w:color="auto"/>
              <w:right w:val="single" w:sz="4" w:space="0" w:color="auto"/>
            </w:tcBorders>
            <w:shd w:val="clear" w:color="000000" w:fill="FFFFFF"/>
            <w:noWrap/>
            <w:vAlign w:val="center"/>
          </w:tcPr>
          <w:p w14:paraId="763D5AAF" w14:textId="77777777" w:rsidR="00AB1E29" w:rsidRPr="002E7527" w:rsidRDefault="002E7527" w:rsidP="00AB1E29">
            <w:pPr>
              <w:rPr>
                <w:b/>
                <w:bCs/>
                <w:sz w:val="20"/>
                <w:szCs w:val="20"/>
                <w:lang w:eastAsia="en-GB"/>
              </w:rPr>
            </w:pPr>
            <w:r w:rsidRPr="002E7527">
              <w:rPr>
                <w:b/>
                <w:bCs/>
                <w:sz w:val="20"/>
                <w:szCs w:val="20"/>
              </w:rPr>
              <w:t>6.940</w:t>
            </w:r>
            <w:r w:rsidRPr="002E7527">
              <w:rPr>
                <w:b/>
                <w:bCs/>
                <w:sz w:val="20"/>
                <w:szCs w:val="20"/>
                <w:vertAlign w:val="superscript"/>
              </w:rPr>
              <w:t>***</w:t>
            </w:r>
          </w:p>
        </w:tc>
        <w:tc>
          <w:tcPr>
            <w:tcW w:w="562" w:type="pct"/>
            <w:tcBorders>
              <w:top w:val="nil"/>
              <w:left w:val="nil"/>
              <w:bottom w:val="single" w:sz="4" w:space="0" w:color="auto"/>
              <w:right w:val="single" w:sz="4" w:space="0" w:color="auto"/>
            </w:tcBorders>
            <w:shd w:val="clear" w:color="000000" w:fill="FFFFFF"/>
            <w:noWrap/>
            <w:vAlign w:val="bottom"/>
          </w:tcPr>
          <w:p w14:paraId="2ACCD992" w14:textId="77777777" w:rsidR="00AB1E29" w:rsidRPr="004C4FB3" w:rsidRDefault="00AB1E29" w:rsidP="00AB1E29">
            <w:pPr>
              <w:rPr>
                <w:b/>
                <w:bCs/>
                <w:sz w:val="18"/>
                <w:szCs w:val="18"/>
                <w:lang w:eastAsia="en-GB"/>
              </w:rPr>
            </w:pPr>
          </w:p>
        </w:tc>
        <w:tc>
          <w:tcPr>
            <w:tcW w:w="561" w:type="pct"/>
            <w:tcBorders>
              <w:top w:val="nil"/>
              <w:left w:val="nil"/>
              <w:bottom w:val="single" w:sz="4" w:space="0" w:color="auto"/>
              <w:right w:val="single" w:sz="4" w:space="0" w:color="auto"/>
            </w:tcBorders>
            <w:shd w:val="clear" w:color="000000" w:fill="FFFFFF"/>
            <w:noWrap/>
            <w:vAlign w:val="bottom"/>
          </w:tcPr>
          <w:p w14:paraId="0FC38265" w14:textId="77777777" w:rsidR="00AB1E29" w:rsidRPr="003F48DB" w:rsidRDefault="00AB1E29" w:rsidP="00AB1E29">
            <w:pPr>
              <w:rPr>
                <w:color w:val="000000"/>
                <w:sz w:val="18"/>
                <w:szCs w:val="18"/>
                <w:lang w:eastAsia="en-GB"/>
              </w:rPr>
            </w:pPr>
          </w:p>
        </w:tc>
        <w:tc>
          <w:tcPr>
            <w:tcW w:w="558" w:type="pct"/>
            <w:tcBorders>
              <w:top w:val="nil"/>
              <w:left w:val="nil"/>
              <w:bottom w:val="single" w:sz="4" w:space="0" w:color="auto"/>
              <w:right w:val="single" w:sz="4" w:space="0" w:color="auto"/>
            </w:tcBorders>
            <w:shd w:val="clear" w:color="000000" w:fill="FFFFFF"/>
            <w:noWrap/>
            <w:vAlign w:val="bottom"/>
          </w:tcPr>
          <w:p w14:paraId="5A6E13B0" w14:textId="77777777" w:rsidR="00AB1E29" w:rsidRPr="003F48DB" w:rsidRDefault="00AB1E29" w:rsidP="00AB1E29">
            <w:pPr>
              <w:rPr>
                <w:color w:val="000000"/>
                <w:sz w:val="18"/>
                <w:szCs w:val="18"/>
                <w:lang w:eastAsia="en-GB"/>
              </w:rPr>
            </w:pPr>
          </w:p>
        </w:tc>
      </w:tr>
      <w:tr w:rsidR="002E7527" w:rsidRPr="002578D3" w14:paraId="761BD493" w14:textId="77777777">
        <w:trPr>
          <w:trHeight w:val="242"/>
        </w:trPr>
        <w:tc>
          <w:tcPr>
            <w:tcW w:w="1023" w:type="pct"/>
            <w:tcBorders>
              <w:top w:val="nil"/>
              <w:left w:val="single" w:sz="4" w:space="0" w:color="auto"/>
              <w:bottom w:val="single" w:sz="4" w:space="0" w:color="auto"/>
              <w:right w:val="single" w:sz="4" w:space="0" w:color="auto"/>
            </w:tcBorders>
            <w:shd w:val="clear" w:color="000000" w:fill="FFFFFF"/>
            <w:noWrap/>
            <w:vAlign w:val="center"/>
          </w:tcPr>
          <w:p w14:paraId="3E316E7F" w14:textId="77777777" w:rsidR="002E7527" w:rsidRPr="003F48DB" w:rsidRDefault="002E7527" w:rsidP="002E7527">
            <w:pPr>
              <w:rPr>
                <w:color w:val="000000"/>
                <w:sz w:val="18"/>
                <w:szCs w:val="18"/>
                <w:lang w:eastAsia="en-GB"/>
              </w:rPr>
            </w:pPr>
            <w:r w:rsidRPr="00181884">
              <w:rPr>
                <w:sz w:val="20"/>
                <w:szCs w:val="20"/>
              </w:rPr>
              <w:t>log(InstArrangements)</w:t>
            </w:r>
          </w:p>
        </w:tc>
        <w:tc>
          <w:tcPr>
            <w:tcW w:w="561" w:type="pct"/>
            <w:tcBorders>
              <w:top w:val="nil"/>
              <w:left w:val="nil"/>
              <w:bottom w:val="single" w:sz="4" w:space="0" w:color="auto"/>
              <w:right w:val="single" w:sz="4" w:space="0" w:color="auto"/>
            </w:tcBorders>
            <w:shd w:val="clear" w:color="000000" w:fill="FFFFFF"/>
            <w:noWrap/>
            <w:vAlign w:val="center"/>
          </w:tcPr>
          <w:p w14:paraId="0968DDF9" w14:textId="77777777" w:rsidR="002E7527" w:rsidRPr="003F48DB" w:rsidRDefault="002E7527" w:rsidP="002E7527">
            <w:pPr>
              <w:rPr>
                <w:color w:val="000000"/>
                <w:sz w:val="18"/>
                <w:szCs w:val="18"/>
                <w:highlight w:val="yellow"/>
                <w:lang w:eastAsia="en-GB"/>
              </w:rPr>
            </w:pPr>
          </w:p>
        </w:tc>
        <w:tc>
          <w:tcPr>
            <w:tcW w:w="561" w:type="pct"/>
            <w:tcBorders>
              <w:top w:val="nil"/>
              <w:left w:val="nil"/>
              <w:bottom w:val="single" w:sz="4" w:space="0" w:color="auto"/>
              <w:right w:val="single" w:sz="4" w:space="0" w:color="auto"/>
            </w:tcBorders>
            <w:shd w:val="clear" w:color="000000" w:fill="FFFFFF"/>
            <w:noWrap/>
            <w:vAlign w:val="center"/>
          </w:tcPr>
          <w:p w14:paraId="17185926" w14:textId="77777777" w:rsidR="002E7527" w:rsidRPr="004C4FB3" w:rsidRDefault="002E7527" w:rsidP="002E7527">
            <w:pPr>
              <w:rPr>
                <w:b/>
                <w:bCs/>
                <w:sz w:val="18"/>
                <w:szCs w:val="18"/>
                <w:lang w:eastAsia="en-GB"/>
              </w:rPr>
            </w:pPr>
          </w:p>
        </w:tc>
        <w:tc>
          <w:tcPr>
            <w:tcW w:w="618" w:type="pct"/>
            <w:tcBorders>
              <w:top w:val="nil"/>
              <w:left w:val="nil"/>
              <w:bottom w:val="single" w:sz="4" w:space="0" w:color="auto"/>
              <w:right w:val="single" w:sz="4" w:space="0" w:color="auto"/>
            </w:tcBorders>
            <w:shd w:val="clear" w:color="000000" w:fill="FFFFFF"/>
            <w:noWrap/>
            <w:vAlign w:val="center"/>
          </w:tcPr>
          <w:p w14:paraId="1C20C96B" w14:textId="77777777" w:rsidR="002E7527" w:rsidRPr="004C4FB3" w:rsidRDefault="002E7527" w:rsidP="002E7527">
            <w:pPr>
              <w:rPr>
                <w:b/>
                <w:bCs/>
                <w:sz w:val="18"/>
                <w:szCs w:val="18"/>
                <w:lang w:eastAsia="en-GB"/>
              </w:rPr>
            </w:pPr>
          </w:p>
        </w:tc>
        <w:tc>
          <w:tcPr>
            <w:tcW w:w="556" w:type="pct"/>
            <w:tcBorders>
              <w:top w:val="nil"/>
              <w:left w:val="nil"/>
              <w:bottom w:val="single" w:sz="4" w:space="0" w:color="auto"/>
              <w:right w:val="single" w:sz="4" w:space="0" w:color="auto"/>
            </w:tcBorders>
            <w:shd w:val="clear" w:color="000000" w:fill="FFFFFF"/>
            <w:noWrap/>
            <w:vAlign w:val="center"/>
          </w:tcPr>
          <w:p w14:paraId="30DBD3B5" w14:textId="77777777" w:rsidR="002E7527" w:rsidRPr="004C4FB3" w:rsidRDefault="002E7527" w:rsidP="002E7527">
            <w:pPr>
              <w:jc w:val="right"/>
              <w:rPr>
                <w:b/>
                <w:bCs/>
                <w:sz w:val="18"/>
                <w:szCs w:val="18"/>
                <w:lang w:eastAsia="en-GB"/>
              </w:rPr>
            </w:pPr>
          </w:p>
        </w:tc>
        <w:tc>
          <w:tcPr>
            <w:tcW w:w="562" w:type="pct"/>
            <w:tcBorders>
              <w:top w:val="nil"/>
              <w:left w:val="nil"/>
              <w:bottom w:val="single" w:sz="4" w:space="0" w:color="auto"/>
              <w:right w:val="single" w:sz="4" w:space="0" w:color="auto"/>
            </w:tcBorders>
            <w:shd w:val="clear" w:color="000000" w:fill="FFFFFF"/>
            <w:noWrap/>
            <w:vAlign w:val="center"/>
          </w:tcPr>
          <w:p w14:paraId="7C558551" w14:textId="77777777" w:rsidR="002E7527" w:rsidRPr="002E7527" w:rsidRDefault="002E7527" w:rsidP="002E7527">
            <w:pPr>
              <w:rPr>
                <w:b/>
                <w:bCs/>
                <w:sz w:val="20"/>
                <w:szCs w:val="20"/>
                <w:lang w:eastAsia="en-GB"/>
              </w:rPr>
            </w:pPr>
            <w:r w:rsidRPr="002E7527">
              <w:rPr>
                <w:b/>
                <w:bCs/>
                <w:sz w:val="20"/>
                <w:szCs w:val="20"/>
              </w:rPr>
              <w:t>-4.116</w:t>
            </w:r>
            <w:r w:rsidRPr="002E7527">
              <w:rPr>
                <w:b/>
                <w:bCs/>
                <w:sz w:val="20"/>
                <w:szCs w:val="20"/>
                <w:vertAlign w:val="superscript"/>
              </w:rPr>
              <w:t>**</w:t>
            </w:r>
          </w:p>
        </w:tc>
        <w:tc>
          <w:tcPr>
            <w:tcW w:w="561" w:type="pct"/>
            <w:tcBorders>
              <w:top w:val="nil"/>
              <w:left w:val="nil"/>
              <w:bottom w:val="single" w:sz="4" w:space="0" w:color="auto"/>
              <w:right w:val="single" w:sz="4" w:space="0" w:color="auto"/>
            </w:tcBorders>
            <w:shd w:val="clear" w:color="000000" w:fill="FFFFFF"/>
            <w:noWrap/>
            <w:vAlign w:val="bottom"/>
          </w:tcPr>
          <w:p w14:paraId="77E867F6" w14:textId="77777777" w:rsidR="002E7527" w:rsidRPr="003F48DB" w:rsidRDefault="002E7527" w:rsidP="002E7527">
            <w:pPr>
              <w:rPr>
                <w:color w:val="000000"/>
                <w:sz w:val="18"/>
                <w:szCs w:val="18"/>
                <w:lang w:eastAsia="en-GB"/>
              </w:rPr>
            </w:pPr>
          </w:p>
        </w:tc>
        <w:tc>
          <w:tcPr>
            <w:tcW w:w="558" w:type="pct"/>
            <w:tcBorders>
              <w:top w:val="nil"/>
              <w:left w:val="nil"/>
              <w:bottom w:val="single" w:sz="4" w:space="0" w:color="auto"/>
              <w:right w:val="single" w:sz="4" w:space="0" w:color="auto"/>
            </w:tcBorders>
            <w:shd w:val="clear" w:color="000000" w:fill="FFFFFF"/>
            <w:noWrap/>
            <w:vAlign w:val="bottom"/>
          </w:tcPr>
          <w:p w14:paraId="29E94C2B" w14:textId="77777777" w:rsidR="002E7527" w:rsidRPr="003F48DB" w:rsidRDefault="002E7527" w:rsidP="002E7527">
            <w:pPr>
              <w:rPr>
                <w:color w:val="000000"/>
                <w:sz w:val="18"/>
                <w:szCs w:val="18"/>
                <w:lang w:eastAsia="en-GB"/>
              </w:rPr>
            </w:pPr>
          </w:p>
        </w:tc>
      </w:tr>
      <w:tr w:rsidR="002E7527" w:rsidRPr="002578D3" w14:paraId="7E1C6A81" w14:textId="77777777">
        <w:trPr>
          <w:trHeight w:val="242"/>
        </w:trPr>
        <w:tc>
          <w:tcPr>
            <w:tcW w:w="1023" w:type="pct"/>
            <w:tcBorders>
              <w:top w:val="nil"/>
              <w:left w:val="single" w:sz="4" w:space="0" w:color="auto"/>
              <w:bottom w:val="single" w:sz="4" w:space="0" w:color="auto"/>
              <w:right w:val="single" w:sz="4" w:space="0" w:color="auto"/>
            </w:tcBorders>
            <w:shd w:val="clear" w:color="000000" w:fill="FFFFFF"/>
            <w:noWrap/>
            <w:vAlign w:val="center"/>
          </w:tcPr>
          <w:p w14:paraId="24B70C22" w14:textId="77777777" w:rsidR="002E7527" w:rsidRPr="003F48DB" w:rsidRDefault="002E7527" w:rsidP="002E7527">
            <w:pPr>
              <w:rPr>
                <w:color w:val="000000"/>
                <w:sz w:val="18"/>
                <w:szCs w:val="18"/>
                <w:lang w:eastAsia="en-GB"/>
              </w:rPr>
            </w:pPr>
            <w:r w:rsidRPr="00181884">
              <w:rPr>
                <w:sz w:val="20"/>
                <w:szCs w:val="20"/>
              </w:rPr>
              <w:t>log(PaperlessTrade)</w:t>
            </w:r>
          </w:p>
        </w:tc>
        <w:tc>
          <w:tcPr>
            <w:tcW w:w="561" w:type="pct"/>
            <w:tcBorders>
              <w:top w:val="nil"/>
              <w:left w:val="nil"/>
              <w:bottom w:val="single" w:sz="4" w:space="0" w:color="auto"/>
              <w:right w:val="single" w:sz="4" w:space="0" w:color="auto"/>
            </w:tcBorders>
            <w:shd w:val="clear" w:color="000000" w:fill="FFFFFF"/>
            <w:noWrap/>
            <w:vAlign w:val="center"/>
          </w:tcPr>
          <w:p w14:paraId="1D592A3A" w14:textId="77777777" w:rsidR="002E7527" w:rsidRPr="003F48DB" w:rsidRDefault="002E7527" w:rsidP="002E7527">
            <w:pPr>
              <w:rPr>
                <w:color w:val="000000"/>
                <w:sz w:val="18"/>
                <w:szCs w:val="18"/>
                <w:highlight w:val="yellow"/>
                <w:lang w:eastAsia="en-GB"/>
              </w:rPr>
            </w:pPr>
          </w:p>
        </w:tc>
        <w:tc>
          <w:tcPr>
            <w:tcW w:w="561" w:type="pct"/>
            <w:tcBorders>
              <w:top w:val="nil"/>
              <w:left w:val="nil"/>
              <w:bottom w:val="single" w:sz="4" w:space="0" w:color="auto"/>
              <w:right w:val="single" w:sz="4" w:space="0" w:color="auto"/>
            </w:tcBorders>
            <w:shd w:val="clear" w:color="000000" w:fill="FFFFFF"/>
            <w:noWrap/>
            <w:vAlign w:val="center"/>
          </w:tcPr>
          <w:p w14:paraId="00B5BD8E" w14:textId="77777777" w:rsidR="002E7527" w:rsidRPr="003F48DB" w:rsidRDefault="002E7527" w:rsidP="002E7527">
            <w:pPr>
              <w:rPr>
                <w:color w:val="000000"/>
                <w:sz w:val="18"/>
                <w:szCs w:val="18"/>
                <w:lang w:eastAsia="en-GB"/>
              </w:rPr>
            </w:pPr>
          </w:p>
        </w:tc>
        <w:tc>
          <w:tcPr>
            <w:tcW w:w="618" w:type="pct"/>
            <w:tcBorders>
              <w:top w:val="nil"/>
              <w:left w:val="nil"/>
              <w:bottom w:val="single" w:sz="4" w:space="0" w:color="auto"/>
              <w:right w:val="single" w:sz="4" w:space="0" w:color="auto"/>
            </w:tcBorders>
            <w:shd w:val="clear" w:color="000000" w:fill="FFFFFF"/>
            <w:noWrap/>
            <w:vAlign w:val="center"/>
          </w:tcPr>
          <w:p w14:paraId="573592D4" w14:textId="77777777" w:rsidR="002E7527" w:rsidRPr="003F48DB" w:rsidRDefault="002E7527" w:rsidP="002E7527">
            <w:pPr>
              <w:rPr>
                <w:color w:val="000000"/>
                <w:sz w:val="18"/>
                <w:szCs w:val="18"/>
                <w:lang w:eastAsia="en-GB"/>
              </w:rPr>
            </w:pPr>
          </w:p>
        </w:tc>
        <w:tc>
          <w:tcPr>
            <w:tcW w:w="556" w:type="pct"/>
            <w:tcBorders>
              <w:top w:val="nil"/>
              <w:left w:val="nil"/>
              <w:bottom w:val="single" w:sz="4" w:space="0" w:color="auto"/>
              <w:right w:val="single" w:sz="4" w:space="0" w:color="auto"/>
            </w:tcBorders>
            <w:shd w:val="clear" w:color="000000" w:fill="FFFFFF"/>
            <w:noWrap/>
            <w:vAlign w:val="center"/>
          </w:tcPr>
          <w:p w14:paraId="3D4EA93B" w14:textId="77777777" w:rsidR="002E7527" w:rsidRPr="003F48DB" w:rsidRDefault="002E7527" w:rsidP="002E7527">
            <w:pPr>
              <w:rPr>
                <w:color w:val="000000"/>
                <w:sz w:val="18"/>
                <w:szCs w:val="18"/>
                <w:lang w:eastAsia="en-GB"/>
              </w:rPr>
            </w:pPr>
          </w:p>
        </w:tc>
        <w:tc>
          <w:tcPr>
            <w:tcW w:w="562" w:type="pct"/>
            <w:tcBorders>
              <w:top w:val="nil"/>
              <w:left w:val="nil"/>
              <w:bottom w:val="single" w:sz="4" w:space="0" w:color="auto"/>
              <w:right w:val="single" w:sz="4" w:space="0" w:color="auto"/>
            </w:tcBorders>
            <w:shd w:val="clear" w:color="000000" w:fill="FFFFFF"/>
            <w:noWrap/>
            <w:vAlign w:val="center"/>
          </w:tcPr>
          <w:p w14:paraId="0DBF160D" w14:textId="77777777" w:rsidR="002E7527" w:rsidRPr="00A5433C" w:rsidRDefault="002E7527" w:rsidP="002E7527">
            <w:pPr>
              <w:jc w:val="right"/>
              <w:rPr>
                <w:b/>
                <w:bCs/>
                <w:color w:val="000000"/>
                <w:sz w:val="18"/>
                <w:szCs w:val="18"/>
                <w:lang w:eastAsia="en-GB"/>
              </w:rPr>
            </w:pPr>
          </w:p>
        </w:tc>
        <w:tc>
          <w:tcPr>
            <w:tcW w:w="561" w:type="pct"/>
            <w:tcBorders>
              <w:top w:val="nil"/>
              <w:left w:val="nil"/>
              <w:bottom w:val="single" w:sz="4" w:space="0" w:color="auto"/>
              <w:right w:val="single" w:sz="4" w:space="0" w:color="auto"/>
            </w:tcBorders>
            <w:shd w:val="clear" w:color="000000" w:fill="FFFFFF"/>
            <w:noWrap/>
            <w:vAlign w:val="center"/>
          </w:tcPr>
          <w:p w14:paraId="76BDAD7D" w14:textId="77777777" w:rsidR="002E7527" w:rsidRPr="002E7527" w:rsidRDefault="002E7527" w:rsidP="002E7527">
            <w:pPr>
              <w:rPr>
                <w:b/>
                <w:bCs/>
                <w:color w:val="000000"/>
                <w:sz w:val="20"/>
                <w:szCs w:val="20"/>
                <w:lang w:eastAsia="en-GB"/>
              </w:rPr>
            </w:pPr>
            <w:r w:rsidRPr="002E7527">
              <w:rPr>
                <w:b/>
                <w:bCs/>
                <w:sz w:val="20"/>
                <w:szCs w:val="20"/>
              </w:rPr>
              <w:t>6.058</w:t>
            </w:r>
            <w:r w:rsidRPr="002E7527">
              <w:rPr>
                <w:b/>
                <w:bCs/>
                <w:sz w:val="20"/>
                <w:szCs w:val="20"/>
                <w:vertAlign w:val="superscript"/>
              </w:rPr>
              <w:t>*</w:t>
            </w:r>
          </w:p>
        </w:tc>
        <w:tc>
          <w:tcPr>
            <w:tcW w:w="558" w:type="pct"/>
            <w:tcBorders>
              <w:top w:val="nil"/>
              <w:left w:val="nil"/>
              <w:bottom w:val="single" w:sz="4" w:space="0" w:color="auto"/>
              <w:right w:val="single" w:sz="4" w:space="0" w:color="auto"/>
            </w:tcBorders>
            <w:shd w:val="clear" w:color="000000" w:fill="FFFFFF"/>
            <w:noWrap/>
            <w:vAlign w:val="bottom"/>
          </w:tcPr>
          <w:p w14:paraId="65B57A29" w14:textId="77777777" w:rsidR="002E7527" w:rsidRPr="00A5433C" w:rsidRDefault="002E7527" w:rsidP="002E7527">
            <w:pPr>
              <w:rPr>
                <w:b/>
                <w:bCs/>
                <w:color w:val="000000"/>
                <w:sz w:val="18"/>
                <w:szCs w:val="18"/>
                <w:lang w:eastAsia="en-GB"/>
              </w:rPr>
            </w:pPr>
          </w:p>
        </w:tc>
      </w:tr>
      <w:tr w:rsidR="002E7527" w:rsidRPr="002578D3" w14:paraId="386F7DDC" w14:textId="77777777">
        <w:trPr>
          <w:trHeight w:val="242"/>
        </w:trPr>
        <w:tc>
          <w:tcPr>
            <w:tcW w:w="1023" w:type="pct"/>
            <w:tcBorders>
              <w:top w:val="nil"/>
              <w:left w:val="single" w:sz="4" w:space="0" w:color="auto"/>
              <w:bottom w:val="single" w:sz="4" w:space="0" w:color="auto"/>
              <w:right w:val="single" w:sz="4" w:space="0" w:color="auto"/>
            </w:tcBorders>
            <w:shd w:val="clear" w:color="000000" w:fill="FFFFFF"/>
            <w:noWrap/>
            <w:vAlign w:val="center"/>
          </w:tcPr>
          <w:p w14:paraId="232EE17C" w14:textId="77777777" w:rsidR="002E7527" w:rsidRPr="003F48DB" w:rsidRDefault="002E7527" w:rsidP="002E7527">
            <w:pPr>
              <w:rPr>
                <w:color w:val="000000"/>
                <w:sz w:val="18"/>
                <w:szCs w:val="18"/>
                <w:lang w:eastAsia="en-GB"/>
              </w:rPr>
            </w:pPr>
            <w:r w:rsidRPr="00181884">
              <w:rPr>
                <w:sz w:val="20"/>
                <w:szCs w:val="20"/>
              </w:rPr>
              <w:t>log(CrossborderPaperless)</w:t>
            </w:r>
          </w:p>
        </w:tc>
        <w:tc>
          <w:tcPr>
            <w:tcW w:w="561" w:type="pct"/>
            <w:tcBorders>
              <w:top w:val="nil"/>
              <w:left w:val="nil"/>
              <w:bottom w:val="single" w:sz="4" w:space="0" w:color="auto"/>
              <w:right w:val="single" w:sz="4" w:space="0" w:color="auto"/>
            </w:tcBorders>
            <w:shd w:val="clear" w:color="000000" w:fill="FFFFFF"/>
            <w:noWrap/>
            <w:vAlign w:val="center"/>
          </w:tcPr>
          <w:p w14:paraId="588D0705" w14:textId="77777777" w:rsidR="002E7527" w:rsidRPr="003F48DB" w:rsidRDefault="002E7527" w:rsidP="002E7527">
            <w:pPr>
              <w:rPr>
                <w:color w:val="000000"/>
                <w:sz w:val="18"/>
                <w:szCs w:val="18"/>
                <w:highlight w:val="yellow"/>
                <w:lang w:eastAsia="en-GB"/>
              </w:rPr>
            </w:pPr>
          </w:p>
        </w:tc>
        <w:tc>
          <w:tcPr>
            <w:tcW w:w="561" w:type="pct"/>
            <w:tcBorders>
              <w:top w:val="nil"/>
              <w:left w:val="nil"/>
              <w:bottom w:val="single" w:sz="4" w:space="0" w:color="auto"/>
              <w:right w:val="single" w:sz="4" w:space="0" w:color="auto"/>
            </w:tcBorders>
            <w:shd w:val="clear" w:color="000000" w:fill="FFFFFF"/>
            <w:noWrap/>
            <w:vAlign w:val="center"/>
          </w:tcPr>
          <w:p w14:paraId="355334C4" w14:textId="77777777" w:rsidR="002E7527" w:rsidRPr="003F48DB" w:rsidRDefault="002E7527" w:rsidP="002E7527">
            <w:pPr>
              <w:rPr>
                <w:color w:val="000000"/>
                <w:sz w:val="18"/>
                <w:szCs w:val="18"/>
                <w:lang w:eastAsia="en-GB"/>
              </w:rPr>
            </w:pPr>
          </w:p>
        </w:tc>
        <w:tc>
          <w:tcPr>
            <w:tcW w:w="618" w:type="pct"/>
            <w:tcBorders>
              <w:top w:val="nil"/>
              <w:left w:val="nil"/>
              <w:bottom w:val="single" w:sz="4" w:space="0" w:color="auto"/>
              <w:right w:val="single" w:sz="4" w:space="0" w:color="auto"/>
            </w:tcBorders>
            <w:shd w:val="clear" w:color="000000" w:fill="FFFFFF"/>
            <w:noWrap/>
            <w:vAlign w:val="center"/>
          </w:tcPr>
          <w:p w14:paraId="541C16E6" w14:textId="77777777" w:rsidR="002E7527" w:rsidRPr="003F48DB" w:rsidRDefault="002E7527" w:rsidP="002E7527">
            <w:pPr>
              <w:rPr>
                <w:color w:val="000000"/>
                <w:sz w:val="18"/>
                <w:szCs w:val="18"/>
                <w:lang w:eastAsia="en-GB"/>
              </w:rPr>
            </w:pPr>
          </w:p>
        </w:tc>
        <w:tc>
          <w:tcPr>
            <w:tcW w:w="556" w:type="pct"/>
            <w:tcBorders>
              <w:top w:val="nil"/>
              <w:left w:val="nil"/>
              <w:bottom w:val="single" w:sz="4" w:space="0" w:color="auto"/>
              <w:right w:val="single" w:sz="4" w:space="0" w:color="auto"/>
            </w:tcBorders>
            <w:shd w:val="clear" w:color="000000" w:fill="FFFFFF"/>
            <w:noWrap/>
            <w:vAlign w:val="center"/>
          </w:tcPr>
          <w:p w14:paraId="54A74B46" w14:textId="77777777" w:rsidR="002E7527" w:rsidRPr="003F48DB" w:rsidRDefault="002E7527" w:rsidP="002E7527">
            <w:pPr>
              <w:rPr>
                <w:color w:val="000000"/>
                <w:sz w:val="18"/>
                <w:szCs w:val="18"/>
                <w:lang w:eastAsia="en-GB"/>
              </w:rPr>
            </w:pPr>
          </w:p>
        </w:tc>
        <w:tc>
          <w:tcPr>
            <w:tcW w:w="562" w:type="pct"/>
            <w:tcBorders>
              <w:top w:val="nil"/>
              <w:left w:val="nil"/>
              <w:bottom w:val="single" w:sz="4" w:space="0" w:color="auto"/>
              <w:right w:val="single" w:sz="4" w:space="0" w:color="auto"/>
            </w:tcBorders>
            <w:shd w:val="clear" w:color="000000" w:fill="FFFFFF"/>
            <w:noWrap/>
            <w:vAlign w:val="center"/>
          </w:tcPr>
          <w:p w14:paraId="30FF8E7A" w14:textId="77777777" w:rsidR="002E7527" w:rsidRPr="00A5433C" w:rsidRDefault="002E7527" w:rsidP="002E7527">
            <w:pPr>
              <w:rPr>
                <w:b/>
                <w:bCs/>
                <w:color w:val="000000"/>
                <w:sz w:val="18"/>
                <w:szCs w:val="18"/>
                <w:lang w:eastAsia="en-GB"/>
              </w:rPr>
            </w:pPr>
          </w:p>
        </w:tc>
        <w:tc>
          <w:tcPr>
            <w:tcW w:w="561" w:type="pct"/>
            <w:tcBorders>
              <w:top w:val="nil"/>
              <w:left w:val="nil"/>
              <w:bottom w:val="single" w:sz="4" w:space="0" w:color="auto"/>
              <w:right w:val="single" w:sz="4" w:space="0" w:color="auto"/>
            </w:tcBorders>
            <w:shd w:val="clear" w:color="000000" w:fill="FFFFFF"/>
            <w:noWrap/>
            <w:vAlign w:val="center"/>
          </w:tcPr>
          <w:p w14:paraId="5709B430" w14:textId="77777777" w:rsidR="002E7527" w:rsidRPr="00A5433C" w:rsidRDefault="002E7527" w:rsidP="002E7527">
            <w:pPr>
              <w:jc w:val="right"/>
              <w:rPr>
                <w:b/>
                <w:bCs/>
                <w:color w:val="000000"/>
                <w:sz w:val="18"/>
                <w:szCs w:val="18"/>
                <w:lang w:eastAsia="en-GB"/>
              </w:rPr>
            </w:pPr>
          </w:p>
        </w:tc>
        <w:tc>
          <w:tcPr>
            <w:tcW w:w="558" w:type="pct"/>
            <w:tcBorders>
              <w:top w:val="nil"/>
              <w:left w:val="nil"/>
              <w:bottom w:val="single" w:sz="4" w:space="0" w:color="auto"/>
              <w:right w:val="single" w:sz="4" w:space="0" w:color="auto"/>
            </w:tcBorders>
            <w:shd w:val="clear" w:color="000000" w:fill="FFFFFF"/>
            <w:noWrap/>
            <w:vAlign w:val="center"/>
          </w:tcPr>
          <w:p w14:paraId="2A52756C" w14:textId="77777777" w:rsidR="002E7527" w:rsidRPr="002E7527" w:rsidRDefault="002E7527" w:rsidP="002E7527">
            <w:pPr>
              <w:rPr>
                <w:b/>
                <w:bCs/>
                <w:color w:val="000000"/>
                <w:sz w:val="20"/>
                <w:szCs w:val="20"/>
                <w:lang w:eastAsia="en-GB"/>
              </w:rPr>
            </w:pPr>
            <w:r w:rsidRPr="002E7527">
              <w:rPr>
                <w:sz w:val="20"/>
                <w:szCs w:val="20"/>
              </w:rPr>
              <w:t>2.845</w:t>
            </w:r>
          </w:p>
        </w:tc>
      </w:tr>
      <w:tr w:rsidR="002E7527" w:rsidRPr="002578D3" w14:paraId="5CFA26AA" w14:textId="77777777" w:rsidTr="00AB1E29">
        <w:trPr>
          <w:trHeight w:val="95"/>
        </w:trPr>
        <w:tc>
          <w:tcPr>
            <w:tcW w:w="1023" w:type="pct"/>
            <w:tcBorders>
              <w:top w:val="nil"/>
              <w:left w:val="single" w:sz="4" w:space="0" w:color="auto"/>
              <w:bottom w:val="single" w:sz="4" w:space="0" w:color="auto"/>
              <w:right w:val="single" w:sz="4" w:space="0" w:color="auto"/>
            </w:tcBorders>
            <w:shd w:val="clear" w:color="000000" w:fill="FFFFFF"/>
            <w:noWrap/>
            <w:vAlign w:val="bottom"/>
          </w:tcPr>
          <w:p w14:paraId="283C41A8" w14:textId="77777777" w:rsidR="002E7527" w:rsidRPr="003F48DB" w:rsidRDefault="002E7527" w:rsidP="002E7527">
            <w:pPr>
              <w:rPr>
                <w:color w:val="000000"/>
                <w:sz w:val="18"/>
                <w:szCs w:val="18"/>
                <w:lang w:eastAsia="en-GB"/>
              </w:rPr>
            </w:pPr>
          </w:p>
        </w:tc>
        <w:tc>
          <w:tcPr>
            <w:tcW w:w="561" w:type="pct"/>
            <w:tcBorders>
              <w:top w:val="nil"/>
              <w:left w:val="nil"/>
              <w:bottom w:val="single" w:sz="4" w:space="0" w:color="auto"/>
              <w:right w:val="single" w:sz="4" w:space="0" w:color="auto"/>
            </w:tcBorders>
            <w:shd w:val="clear" w:color="000000" w:fill="FFFFFF"/>
            <w:noWrap/>
            <w:vAlign w:val="bottom"/>
          </w:tcPr>
          <w:p w14:paraId="2AAF909E" w14:textId="77777777" w:rsidR="002E7527" w:rsidRPr="003F48DB" w:rsidRDefault="002E7527" w:rsidP="002E7527">
            <w:pPr>
              <w:rPr>
                <w:color w:val="000000"/>
                <w:sz w:val="18"/>
                <w:szCs w:val="18"/>
                <w:highlight w:val="yellow"/>
                <w:lang w:eastAsia="en-GB"/>
              </w:rPr>
            </w:pPr>
          </w:p>
        </w:tc>
        <w:tc>
          <w:tcPr>
            <w:tcW w:w="561" w:type="pct"/>
            <w:tcBorders>
              <w:top w:val="nil"/>
              <w:left w:val="nil"/>
              <w:bottom w:val="single" w:sz="4" w:space="0" w:color="auto"/>
              <w:right w:val="single" w:sz="4" w:space="0" w:color="auto"/>
            </w:tcBorders>
            <w:shd w:val="clear" w:color="000000" w:fill="FFFFFF"/>
            <w:noWrap/>
            <w:vAlign w:val="bottom"/>
          </w:tcPr>
          <w:p w14:paraId="2C4BB4EC" w14:textId="77777777" w:rsidR="002E7527" w:rsidRPr="003F48DB" w:rsidRDefault="002E7527" w:rsidP="002E7527">
            <w:pPr>
              <w:rPr>
                <w:color w:val="000000"/>
                <w:sz w:val="18"/>
                <w:szCs w:val="18"/>
                <w:lang w:eastAsia="en-GB"/>
              </w:rPr>
            </w:pPr>
          </w:p>
        </w:tc>
        <w:tc>
          <w:tcPr>
            <w:tcW w:w="618" w:type="pct"/>
            <w:tcBorders>
              <w:top w:val="nil"/>
              <w:left w:val="nil"/>
              <w:bottom w:val="single" w:sz="4" w:space="0" w:color="auto"/>
              <w:right w:val="single" w:sz="4" w:space="0" w:color="auto"/>
            </w:tcBorders>
            <w:shd w:val="clear" w:color="000000" w:fill="FFFFFF"/>
            <w:noWrap/>
            <w:vAlign w:val="bottom"/>
          </w:tcPr>
          <w:p w14:paraId="6F688C10" w14:textId="77777777" w:rsidR="002E7527" w:rsidRPr="003F48DB" w:rsidRDefault="002E7527" w:rsidP="002E7527">
            <w:pPr>
              <w:rPr>
                <w:color w:val="000000"/>
                <w:sz w:val="18"/>
                <w:szCs w:val="18"/>
                <w:lang w:eastAsia="en-GB"/>
              </w:rPr>
            </w:pPr>
          </w:p>
        </w:tc>
        <w:tc>
          <w:tcPr>
            <w:tcW w:w="556" w:type="pct"/>
            <w:tcBorders>
              <w:top w:val="nil"/>
              <w:left w:val="nil"/>
              <w:bottom w:val="single" w:sz="4" w:space="0" w:color="auto"/>
              <w:right w:val="single" w:sz="4" w:space="0" w:color="auto"/>
            </w:tcBorders>
            <w:shd w:val="clear" w:color="000000" w:fill="FFFFFF"/>
            <w:noWrap/>
            <w:vAlign w:val="bottom"/>
          </w:tcPr>
          <w:p w14:paraId="18D222D9" w14:textId="77777777" w:rsidR="002E7527" w:rsidRPr="003F48DB" w:rsidRDefault="002E7527" w:rsidP="002E7527">
            <w:pPr>
              <w:rPr>
                <w:color w:val="000000"/>
                <w:sz w:val="18"/>
                <w:szCs w:val="18"/>
                <w:lang w:eastAsia="en-GB"/>
              </w:rPr>
            </w:pPr>
          </w:p>
        </w:tc>
        <w:tc>
          <w:tcPr>
            <w:tcW w:w="562" w:type="pct"/>
            <w:tcBorders>
              <w:top w:val="nil"/>
              <w:left w:val="nil"/>
              <w:bottom w:val="single" w:sz="4" w:space="0" w:color="auto"/>
              <w:right w:val="single" w:sz="4" w:space="0" w:color="auto"/>
            </w:tcBorders>
            <w:shd w:val="clear" w:color="000000" w:fill="FFFFFF"/>
            <w:noWrap/>
            <w:vAlign w:val="bottom"/>
          </w:tcPr>
          <w:p w14:paraId="508F9B00" w14:textId="77777777" w:rsidR="002E7527" w:rsidRPr="003F48DB" w:rsidRDefault="002E7527" w:rsidP="002E7527">
            <w:pPr>
              <w:rPr>
                <w:color w:val="000000"/>
                <w:sz w:val="18"/>
                <w:szCs w:val="18"/>
                <w:lang w:eastAsia="en-GB"/>
              </w:rPr>
            </w:pPr>
          </w:p>
        </w:tc>
        <w:tc>
          <w:tcPr>
            <w:tcW w:w="561" w:type="pct"/>
            <w:tcBorders>
              <w:top w:val="nil"/>
              <w:left w:val="nil"/>
              <w:bottom w:val="single" w:sz="4" w:space="0" w:color="auto"/>
              <w:right w:val="single" w:sz="4" w:space="0" w:color="auto"/>
            </w:tcBorders>
            <w:shd w:val="clear" w:color="000000" w:fill="FFFFFF"/>
            <w:noWrap/>
            <w:vAlign w:val="bottom"/>
          </w:tcPr>
          <w:p w14:paraId="303A235F" w14:textId="77777777" w:rsidR="002E7527" w:rsidRPr="003F48DB" w:rsidRDefault="002E7527" w:rsidP="002E7527">
            <w:pPr>
              <w:rPr>
                <w:color w:val="000000"/>
                <w:sz w:val="18"/>
                <w:szCs w:val="18"/>
                <w:lang w:eastAsia="en-GB"/>
              </w:rPr>
            </w:pPr>
          </w:p>
        </w:tc>
        <w:tc>
          <w:tcPr>
            <w:tcW w:w="558" w:type="pct"/>
            <w:tcBorders>
              <w:top w:val="nil"/>
              <w:left w:val="nil"/>
              <w:bottom w:val="single" w:sz="4" w:space="0" w:color="auto"/>
              <w:right w:val="single" w:sz="4" w:space="0" w:color="auto"/>
            </w:tcBorders>
            <w:shd w:val="clear" w:color="000000" w:fill="FFFFFF"/>
            <w:noWrap/>
            <w:vAlign w:val="bottom"/>
          </w:tcPr>
          <w:p w14:paraId="416BBB38" w14:textId="77777777" w:rsidR="002E7527" w:rsidRPr="003F48DB" w:rsidRDefault="002E7527" w:rsidP="002E7527">
            <w:pPr>
              <w:rPr>
                <w:color w:val="000000"/>
                <w:sz w:val="18"/>
                <w:szCs w:val="18"/>
                <w:lang w:eastAsia="en-GB"/>
              </w:rPr>
            </w:pPr>
          </w:p>
        </w:tc>
      </w:tr>
      <w:tr w:rsidR="002E7527" w:rsidRPr="002578D3" w14:paraId="3AACCF44" w14:textId="77777777">
        <w:trPr>
          <w:trHeight w:val="242"/>
        </w:trPr>
        <w:tc>
          <w:tcPr>
            <w:tcW w:w="102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3AA2100" w14:textId="77777777" w:rsidR="002E7527" w:rsidRPr="003F48DB" w:rsidRDefault="002E7527" w:rsidP="002E7527">
            <w:pPr>
              <w:rPr>
                <w:color w:val="000000"/>
                <w:sz w:val="18"/>
                <w:szCs w:val="18"/>
                <w:lang w:eastAsia="en-GB"/>
              </w:rPr>
            </w:pPr>
            <w:r w:rsidRPr="00181884">
              <w:rPr>
                <w:sz w:val="20"/>
                <w:szCs w:val="20"/>
              </w:rPr>
              <w:t>R</w:t>
            </w:r>
            <w:r w:rsidRPr="00181884">
              <w:rPr>
                <w:sz w:val="20"/>
                <w:szCs w:val="20"/>
                <w:vertAlign w:val="superscript"/>
              </w:rPr>
              <w:t>2</w:t>
            </w:r>
          </w:p>
        </w:tc>
        <w:tc>
          <w:tcPr>
            <w:tcW w:w="56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0C0BD4A" w14:textId="77777777" w:rsidR="002E7527" w:rsidRPr="002E7527" w:rsidRDefault="002E7527" w:rsidP="002E7527">
            <w:pPr>
              <w:rPr>
                <w:color w:val="000000"/>
                <w:sz w:val="20"/>
                <w:szCs w:val="20"/>
                <w:lang w:eastAsia="en-GB"/>
              </w:rPr>
            </w:pPr>
            <w:r w:rsidRPr="002E7527">
              <w:rPr>
                <w:sz w:val="20"/>
                <w:szCs w:val="20"/>
              </w:rPr>
              <w:t>0.190</w:t>
            </w:r>
          </w:p>
        </w:tc>
        <w:tc>
          <w:tcPr>
            <w:tcW w:w="56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D2A93E0" w14:textId="77777777" w:rsidR="002E7527" w:rsidRPr="002E7527" w:rsidRDefault="002E7527" w:rsidP="002E7527">
            <w:pPr>
              <w:rPr>
                <w:color w:val="000000"/>
                <w:sz w:val="20"/>
                <w:szCs w:val="20"/>
                <w:lang w:eastAsia="en-GB"/>
              </w:rPr>
            </w:pPr>
            <w:r w:rsidRPr="002E7527">
              <w:rPr>
                <w:sz w:val="20"/>
                <w:szCs w:val="20"/>
              </w:rPr>
              <w:t>0.194</w:t>
            </w:r>
          </w:p>
        </w:tc>
        <w:tc>
          <w:tcPr>
            <w:tcW w:w="618"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577E9F8" w14:textId="77777777" w:rsidR="002E7527" w:rsidRPr="002E7527" w:rsidRDefault="002E7527" w:rsidP="002E7527">
            <w:pPr>
              <w:rPr>
                <w:color w:val="000000"/>
                <w:sz w:val="20"/>
                <w:szCs w:val="20"/>
                <w:lang w:eastAsia="en-GB"/>
              </w:rPr>
            </w:pPr>
            <w:r w:rsidRPr="002E7527">
              <w:rPr>
                <w:sz w:val="20"/>
                <w:szCs w:val="20"/>
              </w:rPr>
              <w:t>0.195</w:t>
            </w:r>
          </w:p>
        </w:tc>
        <w:tc>
          <w:tcPr>
            <w:tcW w:w="556"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45790A8" w14:textId="77777777" w:rsidR="002E7527" w:rsidRPr="002E7527" w:rsidRDefault="002E7527" w:rsidP="002E7527">
            <w:pPr>
              <w:rPr>
                <w:color w:val="000000"/>
                <w:sz w:val="20"/>
                <w:szCs w:val="20"/>
                <w:lang w:eastAsia="en-GB"/>
              </w:rPr>
            </w:pPr>
            <w:r w:rsidRPr="002E7527">
              <w:rPr>
                <w:sz w:val="20"/>
                <w:szCs w:val="20"/>
              </w:rPr>
              <w:t>0.197</w:t>
            </w:r>
          </w:p>
        </w:tc>
        <w:tc>
          <w:tcPr>
            <w:tcW w:w="56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E555466" w14:textId="77777777" w:rsidR="002E7527" w:rsidRPr="002E7527" w:rsidRDefault="002E7527" w:rsidP="002E7527">
            <w:pPr>
              <w:rPr>
                <w:color w:val="000000"/>
                <w:sz w:val="20"/>
                <w:szCs w:val="20"/>
                <w:lang w:eastAsia="en-GB"/>
              </w:rPr>
            </w:pPr>
            <w:r w:rsidRPr="002E7527">
              <w:rPr>
                <w:sz w:val="20"/>
                <w:szCs w:val="20"/>
              </w:rPr>
              <w:t>0.192</w:t>
            </w:r>
          </w:p>
        </w:tc>
        <w:tc>
          <w:tcPr>
            <w:tcW w:w="56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A939EF3" w14:textId="77777777" w:rsidR="002E7527" w:rsidRPr="002E7527" w:rsidRDefault="002E7527" w:rsidP="002E7527">
            <w:pPr>
              <w:rPr>
                <w:color w:val="000000"/>
                <w:sz w:val="20"/>
                <w:szCs w:val="20"/>
                <w:lang w:eastAsia="en-GB"/>
              </w:rPr>
            </w:pPr>
            <w:r w:rsidRPr="002E7527">
              <w:rPr>
                <w:sz w:val="20"/>
                <w:szCs w:val="20"/>
              </w:rPr>
              <w:t>0.192</w:t>
            </w:r>
          </w:p>
        </w:tc>
        <w:tc>
          <w:tcPr>
            <w:tcW w:w="558"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C45BE93" w14:textId="77777777" w:rsidR="002E7527" w:rsidRPr="002E7527" w:rsidRDefault="002E7527" w:rsidP="002E7527">
            <w:pPr>
              <w:rPr>
                <w:color w:val="000000"/>
                <w:sz w:val="20"/>
                <w:szCs w:val="20"/>
                <w:lang w:eastAsia="en-GB"/>
              </w:rPr>
            </w:pPr>
            <w:r w:rsidRPr="002E7527">
              <w:rPr>
                <w:sz w:val="20"/>
                <w:szCs w:val="20"/>
              </w:rPr>
              <w:t>0.191</w:t>
            </w:r>
          </w:p>
        </w:tc>
      </w:tr>
      <w:tr w:rsidR="002E7527" w:rsidRPr="002578D3" w14:paraId="5DE34D2F" w14:textId="77777777">
        <w:trPr>
          <w:trHeight w:val="242"/>
        </w:trPr>
        <w:tc>
          <w:tcPr>
            <w:tcW w:w="102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2983095" w14:textId="77777777" w:rsidR="002E7527" w:rsidRPr="003F48DB" w:rsidRDefault="002E7527" w:rsidP="002E7527">
            <w:pPr>
              <w:rPr>
                <w:color w:val="000000"/>
                <w:sz w:val="18"/>
                <w:szCs w:val="18"/>
                <w:lang w:eastAsia="en-GB"/>
              </w:rPr>
            </w:pPr>
            <w:r w:rsidRPr="00181884">
              <w:rPr>
                <w:sz w:val="20"/>
                <w:szCs w:val="20"/>
              </w:rPr>
              <w:t>Adjusted R</w:t>
            </w:r>
            <w:r w:rsidRPr="00181884">
              <w:rPr>
                <w:sz w:val="20"/>
                <w:szCs w:val="20"/>
                <w:vertAlign w:val="superscript"/>
              </w:rPr>
              <w:t>2</w:t>
            </w:r>
          </w:p>
        </w:tc>
        <w:tc>
          <w:tcPr>
            <w:tcW w:w="561" w:type="pct"/>
            <w:tcBorders>
              <w:top w:val="single" w:sz="4" w:space="0" w:color="auto"/>
              <w:left w:val="nil"/>
              <w:bottom w:val="single" w:sz="4" w:space="0" w:color="auto"/>
              <w:right w:val="single" w:sz="4" w:space="0" w:color="auto"/>
            </w:tcBorders>
            <w:shd w:val="clear" w:color="000000" w:fill="FFFFFF"/>
            <w:noWrap/>
            <w:vAlign w:val="center"/>
          </w:tcPr>
          <w:p w14:paraId="738C858A" w14:textId="77777777" w:rsidR="002E7527" w:rsidRPr="002E7527" w:rsidRDefault="002E7527" w:rsidP="002E7527">
            <w:pPr>
              <w:rPr>
                <w:color w:val="000000"/>
                <w:sz w:val="20"/>
                <w:szCs w:val="20"/>
                <w:lang w:eastAsia="en-GB"/>
              </w:rPr>
            </w:pPr>
            <w:r w:rsidRPr="002E7527">
              <w:rPr>
                <w:sz w:val="20"/>
                <w:szCs w:val="20"/>
              </w:rPr>
              <w:t>0.186</w:t>
            </w:r>
          </w:p>
        </w:tc>
        <w:tc>
          <w:tcPr>
            <w:tcW w:w="561" w:type="pct"/>
            <w:tcBorders>
              <w:top w:val="single" w:sz="4" w:space="0" w:color="auto"/>
              <w:left w:val="nil"/>
              <w:bottom w:val="single" w:sz="4" w:space="0" w:color="auto"/>
              <w:right w:val="single" w:sz="4" w:space="0" w:color="auto"/>
            </w:tcBorders>
            <w:shd w:val="clear" w:color="000000" w:fill="FFFFFF"/>
            <w:noWrap/>
            <w:vAlign w:val="center"/>
          </w:tcPr>
          <w:p w14:paraId="70EBEEEC" w14:textId="77777777" w:rsidR="002E7527" w:rsidRPr="002E7527" w:rsidRDefault="002E7527" w:rsidP="002E7527">
            <w:pPr>
              <w:rPr>
                <w:color w:val="000000"/>
                <w:sz w:val="20"/>
                <w:szCs w:val="20"/>
                <w:lang w:eastAsia="en-GB"/>
              </w:rPr>
            </w:pPr>
            <w:r w:rsidRPr="002E7527">
              <w:rPr>
                <w:sz w:val="20"/>
                <w:szCs w:val="20"/>
              </w:rPr>
              <w:t>0.190</w:t>
            </w:r>
          </w:p>
        </w:tc>
        <w:tc>
          <w:tcPr>
            <w:tcW w:w="618" w:type="pct"/>
            <w:tcBorders>
              <w:top w:val="single" w:sz="4" w:space="0" w:color="auto"/>
              <w:left w:val="nil"/>
              <w:bottom w:val="single" w:sz="4" w:space="0" w:color="auto"/>
              <w:right w:val="single" w:sz="4" w:space="0" w:color="auto"/>
            </w:tcBorders>
            <w:shd w:val="clear" w:color="000000" w:fill="FFFFFF"/>
            <w:noWrap/>
            <w:vAlign w:val="center"/>
          </w:tcPr>
          <w:p w14:paraId="2639D43D" w14:textId="77777777" w:rsidR="002E7527" w:rsidRPr="002E7527" w:rsidRDefault="002E7527" w:rsidP="002E7527">
            <w:pPr>
              <w:rPr>
                <w:color w:val="000000"/>
                <w:sz w:val="20"/>
                <w:szCs w:val="20"/>
                <w:lang w:eastAsia="en-GB"/>
              </w:rPr>
            </w:pPr>
            <w:r w:rsidRPr="002E7527">
              <w:rPr>
                <w:sz w:val="20"/>
                <w:szCs w:val="20"/>
              </w:rPr>
              <w:t>0.190</w:t>
            </w:r>
          </w:p>
        </w:tc>
        <w:tc>
          <w:tcPr>
            <w:tcW w:w="556" w:type="pct"/>
            <w:tcBorders>
              <w:top w:val="single" w:sz="4" w:space="0" w:color="auto"/>
              <w:left w:val="nil"/>
              <w:bottom w:val="single" w:sz="4" w:space="0" w:color="auto"/>
              <w:right w:val="single" w:sz="4" w:space="0" w:color="auto"/>
            </w:tcBorders>
            <w:shd w:val="clear" w:color="000000" w:fill="FFFFFF"/>
            <w:noWrap/>
            <w:vAlign w:val="center"/>
          </w:tcPr>
          <w:p w14:paraId="138FEF6C" w14:textId="77777777" w:rsidR="002E7527" w:rsidRPr="002E7527" w:rsidRDefault="002E7527" w:rsidP="002E7527">
            <w:pPr>
              <w:rPr>
                <w:color w:val="000000"/>
                <w:sz w:val="20"/>
                <w:szCs w:val="20"/>
                <w:lang w:eastAsia="en-GB"/>
              </w:rPr>
            </w:pPr>
            <w:r w:rsidRPr="002E7527">
              <w:rPr>
                <w:sz w:val="20"/>
                <w:szCs w:val="20"/>
              </w:rPr>
              <w:t>0.193</w:t>
            </w:r>
          </w:p>
        </w:tc>
        <w:tc>
          <w:tcPr>
            <w:tcW w:w="562" w:type="pct"/>
            <w:tcBorders>
              <w:top w:val="single" w:sz="4" w:space="0" w:color="auto"/>
              <w:left w:val="nil"/>
              <w:bottom w:val="single" w:sz="4" w:space="0" w:color="auto"/>
              <w:right w:val="single" w:sz="4" w:space="0" w:color="auto"/>
            </w:tcBorders>
            <w:shd w:val="clear" w:color="000000" w:fill="FFFFFF"/>
            <w:noWrap/>
            <w:vAlign w:val="center"/>
          </w:tcPr>
          <w:p w14:paraId="13E0ABBF" w14:textId="77777777" w:rsidR="002E7527" w:rsidRPr="002E7527" w:rsidRDefault="002E7527" w:rsidP="002E7527">
            <w:pPr>
              <w:rPr>
                <w:color w:val="000000"/>
                <w:sz w:val="20"/>
                <w:szCs w:val="20"/>
                <w:lang w:eastAsia="en-GB"/>
              </w:rPr>
            </w:pPr>
            <w:r w:rsidRPr="002E7527">
              <w:rPr>
                <w:sz w:val="20"/>
                <w:szCs w:val="20"/>
              </w:rPr>
              <w:t>0.188</w:t>
            </w:r>
          </w:p>
        </w:tc>
        <w:tc>
          <w:tcPr>
            <w:tcW w:w="561" w:type="pct"/>
            <w:tcBorders>
              <w:top w:val="single" w:sz="4" w:space="0" w:color="auto"/>
              <w:left w:val="nil"/>
              <w:bottom w:val="single" w:sz="4" w:space="0" w:color="auto"/>
              <w:right w:val="single" w:sz="4" w:space="0" w:color="auto"/>
            </w:tcBorders>
            <w:shd w:val="clear" w:color="000000" w:fill="FFFFFF"/>
            <w:noWrap/>
            <w:vAlign w:val="center"/>
          </w:tcPr>
          <w:p w14:paraId="2D2989FE" w14:textId="77777777" w:rsidR="002E7527" w:rsidRPr="002E7527" w:rsidRDefault="002E7527" w:rsidP="002E7527">
            <w:pPr>
              <w:rPr>
                <w:color w:val="000000"/>
                <w:sz w:val="20"/>
                <w:szCs w:val="20"/>
                <w:lang w:eastAsia="en-GB"/>
              </w:rPr>
            </w:pPr>
            <w:r w:rsidRPr="002E7527">
              <w:rPr>
                <w:sz w:val="20"/>
                <w:szCs w:val="20"/>
              </w:rPr>
              <w:t>0.188</w:t>
            </w:r>
          </w:p>
        </w:tc>
        <w:tc>
          <w:tcPr>
            <w:tcW w:w="558" w:type="pct"/>
            <w:tcBorders>
              <w:top w:val="single" w:sz="4" w:space="0" w:color="auto"/>
              <w:left w:val="nil"/>
              <w:bottom w:val="single" w:sz="4" w:space="0" w:color="auto"/>
              <w:right w:val="single" w:sz="4" w:space="0" w:color="auto"/>
            </w:tcBorders>
            <w:shd w:val="clear" w:color="000000" w:fill="FFFFFF"/>
            <w:noWrap/>
            <w:vAlign w:val="center"/>
          </w:tcPr>
          <w:p w14:paraId="2D9F9351" w14:textId="77777777" w:rsidR="002E7527" w:rsidRPr="002E7527" w:rsidRDefault="002E7527" w:rsidP="002E7527">
            <w:pPr>
              <w:rPr>
                <w:color w:val="000000"/>
                <w:sz w:val="20"/>
                <w:szCs w:val="20"/>
                <w:lang w:eastAsia="en-GB"/>
              </w:rPr>
            </w:pPr>
            <w:r w:rsidRPr="002E7527">
              <w:rPr>
                <w:sz w:val="20"/>
                <w:szCs w:val="20"/>
              </w:rPr>
              <w:t>0.186</w:t>
            </w:r>
          </w:p>
        </w:tc>
      </w:tr>
      <w:tr w:rsidR="002E7527" w:rsidRPr="002578D3" w14:paraId="063D679C" w14:textId="77777777">
        <w:trPr>
          <w:trHeight w:val="242"/>
        </w:trPr>
        <w:tc>
          <w:tcPr>
            <w:tcW w:w="102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414FE34" w14:textId="77777777" w:rsidR="002E7527" w:rsidRPr="00181884" w:rsidRDefault="002E7527" w:rsidP="002E7527">
            <w:pPr>
              <w:rPr>
                <w:sz w:val="20"/>
                <w:szCs w:val="20"/>
              </w:rPr>
            </w:pPr>
            <w:r w:rsidRPr="00181884">
              <w:rPr>
                <w:sz w:val="20"/>
                <w:szCs w:val="20"/>
              </w:rPr>
              <w:t>Residual Std. Error</w:t>
            </w:r>
          </w:p>
        </w:tc>
        <w:tc>
          <w:tcPr>
            <w:tcW w:w="561" w:type="pct"/>
            <w:tcBorders>
              <w:top w:val="single" w:sz="4" w:space="0" w:color="auto"/>
              <w:left w:val="nil"/>
              <w:bottom w:val="single" w:sz="4" w:space="0" w:color="auto"/>
              <w:right w:val="single" w:sz="4" w:space="0" w:color="auto"/>
            </w:tcBorders>
            <w:shd w:val="clear" w:color="000000" w:fill="FFFFFF"/>
            <w:noWrap/>
            <w:vAlign w:val="center"/>
          </w:tcPr>
          <w:p w14:paraId="646913F0" w14:textId="77777777" w:rsidR="002E7527" w:rsidRPr="002E7527" w:rsidRDefault="002E7527" w:rsidP="002E7527">
            <w:pPr>
              <w:rPr>
                <w:sz w:val="20"/>
                <w:szCs w:val="20"/>
              </w:rPr>
            </w:pPr>
            <w:r w:rsidRPr="002E7527">
              <w:rPr>
                <w:sz w:val="20"/>
                <w:szCs w:val="20"/>
              </w:rPr>
              <w:t>4.446 (df = 1504)</w:t>
            </w:r>
          </w:p>
        </w:tc>
        <w:tc>
          <w:tcPr>
            <w:tcW w:w="561" w:type="pct"/>
            <w:tcBorders>
              <w:top w:val="single" w:sz="4" w:space="0" w:color="auto"/>
              <w:left w:val="nil"/>
              <w:bottom w:val="single" w:sz="4" w:space="0" w:color="auto"/>
              <w:right w:val="single" w:sz="4" w:space="0" w:color="auto"/>
            </w:tcBorders>
            <w:shd w:val="clear" w:color="000000" w:fill="FFFFFF"/>
            <w:noWrap/>
            <w:vAlign w:val="center"/>
          </w:tcPr>
          <w:p w14:paraId="2E2ED28D" w14:textId="77777777" w:rsidR="002E7527" w:rsidRPr="002E7527" w:rsidRDefault="002E7527" w:rsidP="002E7527">
            <w:pPr>
              <w:rPr>
                <w:sz w:val="20"/>
                <w:szCs w:val="20"/>
              </w:rPr>
            </w:pPr>
            <w:r w:rsidRPr="002E7527">
              <w:rPr>
                <w:sz w:val="20"/>
                <w:szCs w:val="20"/>
              </w:rPr>
              <w:t>4.436 (df = 1503)</w:t>
            </w:r>
          </w:p>
        </w:tc>
        <w:tc>
          <w:tcPr>
            <w:tcW w:w="618" w:type="pct"/>
            <w:tcBorders>
              <w:top w:val="single" w:sz="4" w:space="0" w:color="auto"/>
              <w:left w:val="nil"/>
              <w:bottom w:val="single" w:sz="4" w:space="0" w:color="auto"/>
              <w:right w:val="single" w:sz="4" w:space="0" w:color="auto"/>
            </w:tcBorders>
            <w:shd w:val="clear" w:color="000000" w:fill="FFFFFF"/>
            <w:noWrap/>
            <w:vAlign w:val="center"/>
          </w:tcPr>
          <w:p w14:paraId="5550486F" w14:textId="77777777" w:rsidR="002E7527" w:rsidRPr="002E7527" w:rsidRDefault="002E7527" w:rsidP="002E7527">
            <w:pPr>
              <w:rPr>
                <w:sz w:val="20"/>
                <w:szCs w:val="20"/>
              </w:rPr>
            </w:pPr>
            <w:r w:rsidRPr="002E7527">
              <w:rPr>
                <w:sz w:val="20"/>
                <w:szCs w:val="20"/>
              </w:rPr>
              <w:t>4.434 (df = 1503)</w:t>
            </w:r>
          </w:p>
        </w:tc>
        <w:tc>
          <w:tcPr>
            <w:tcW w:w="556" w:type="pct"/>
            <w:tcBorders>
              <w:top w:val="single" w:sz="4" w:space="0" w:color="auto"/>
              <w:left w:val="nil"/>
              <w:bottom w:val="single" w:sz="4" w:space="0" w:color="auto"/>
              <w:right w:val="single" w:sz="4" w:space="0" w:color="auto"/>
            </w:tcBorders>
            <w:shd w:val="clear" w:color="000000" w:fill="FFFFFF"/>
            <w:noWrap/>
            <w:vAlign w:val="center"/>
          </w:tcPr>
          <w:p w14:paraId="03F7A2AB" w14:textId="77777777" w:rsidR="002E7527" w:rsidRPr="002E7527" w:rsidRDefault="002E7527" w:rsidP="002E7527">
            <w:pPr>
              <w:rPr>
                <w:sz w:val="20"/>
                <w:szCs w:val="20"/>
              </w:rPr>
            </w:pPr>
            <w:r w:rsidRPr="002E7527">
              <w:rPr>
                <w:sz w:val="20"/>
                <w:szCs w:val="20"/>
              </w:rPr>
              <w:t>4.427 (df = 1503)</w:t>
            </w:r>
          </w:p>
        </w:tc>
        <w:tc>
          <w:tcPr>
            <w:tcW w:w="562" w:type="pct"/>
            <w:tcBorders>
              <w:top w:val="single" w:sz="4" w:space="0" w:color="auto"/>
              <w:left w:val="nil"/>
              <w:bottom w:val="single" w:sz="4" w:space="0" w:color="auto"/>
              <w:right w:val="single" w:sz="4" w:space="0" w:color="auto"/>
            </w:tcBorders>
            <w:shd w:val="clear" w:color="000000" w:fill="FFFFFF"/>
            <w:noWrap/>
            <w:vAlign w:val="center"/>
          </w:tcPr>
          <w:p w14:paraId="4E283384" w14:textId="77777777" w:rsidR="002E7527" w:rsidRPr="002E7527" w:rsidRDefault="002E7527" w:rsidP="002E7527">
            <w:pPr>
              <w:rPr>
                <w:sz w:val="20"/>
                <w:szCs w:val="20"/>
              </w:rPr>
            </w:pPr>
            <w:r w:rsidRPr="002E7527">
              <w:rPr>
                <w:sz w:val="20"/>
                <w:szCs w:val="20"/>
              </w:rPr>
              <w:t>4.440 (df = 1503)</w:t>
            </w:r>
          </w:p>
        </w:tc>
        <w:tc>
          <w:tcPr>
            <w:tcW w:w="561" w:type="pct"/>
            <w:tcBorders>
              <w:top w:val="single" w:sz="4" w:space="0" w:color="auto"/>
              <w:left w:val="nil"/>
              <w:bottom w:val="single" w:sz="4" w:space="0" w:color="auto"/>
              <w:right w:val="single" w:sz="4" w:space="0" w:color="auto"/>
            </w:tcBorders>
            <w:shd w:val="clear" w:color="000000" w:fill="FFFFFF"/>
            <w:noWrap/>
            <w:vAlign w:val="center"/>
          </w:tcPr>
          <w:p w14:paraId="774D2E09" w14:textId="77777777" w:rsidR="002E7527" w:rsidRPr="002E7527" w:rsidRDefault="002E7527" w:rsidP="002E7527">
            <w:pPr>
              <w:rPr>
                <w:sz w:val="20"/>
                <w:szCs w:val="20"/>
              </w:rPr>
            </w:pPr>
            <w:r w:rsidRPr="002E7527">
              <w:rPr>
                <w:sz w:val="20"/>
                <w:szCs w:val="20"/>
              </w:rPr>
              <w:t>4.441 (df = 1503)</w:t>
            </w:r>
          </w:p>
        </w:tc>
        <w:tc>
          <w:tcPr>
            <w:tcW w:w="558" w:type="pct"/>
            <w:tcBorders>
              <w:top w:val="single" w:sz="4" w:space="0" w:color="auto"/>
              <w:left w:val="nil"/>
              <w:bottom w:val="single" w:sz="4" w:space="0" w:color="auto"/>
              <w:right w:val="single" w:sz="4" w:space="0" w:color="auto"/>
            </w:tcBorders>
            <w:shd w:val="clear" w:color="000000" w:fill="FFFFFF"/>
            <w:noWrap/>
            <w:vAlign w:val="center"/>
          </w:tcPr>
          <w:p w14:paraId="66EBFC5D" w14:textId="77777777" w:rsidR="002E7527" w:rsidRPr="002E7527" w:rsidRDefault="002E7527" w:rsidP="002E7527">
            <w:pPr>
              <w:rPr>
                <w:sz w:val="20"/>
                <w:szCs w:val="20"/>
              </w:rPr>
            </w:pPr>
            <w:r w:rsidRPr="002E7527">
              <w:rPr>
                <w:sz w:val="20"/>
                <w:szCs w:val="20"/>
              </w:rPr>
              <w:t>4.445 (df = 1503)</w:t>
            </w:r>
          </w:p>
        </w:tc>
      </w:tr>
    </w:tbl>
    <w:p w14:paraId="7CBC8DC1" w14:textId="77777777" w:rsidR="00DC33A1" w:rsidRDefault="00DC33A1" w:rsidP="00DC33A1">
      <w:pPr>
        <w:rPr>
          <w:sz w:val="20"/>
          <w:szCs w:val="20"/>
        </w:rPr>
      </w:pPr>
      <w:r w:rsidRPr="00105513">
        <w:rPr>
          <w:sz w:val="20"/>
          <w:szCs w:val="20"/>
        </w:rPr>
        <w:t>Author’s calculations</w:t>
      </w:r>
    </w:p>
    <w:tbl>
      <w:tblPr>
        <w:tblW w:w="4590" w:type="dxa"/>
        <w:tblCellSpacing w:w="15" w:type="dxa"/>
        <w:tblCellMar>
          <w:top w:w="15" w:type="dxa"/>
          <w:left w:w="15" w:type="dxa"/>
          <w:bottom w:w="15" w:type="dxa"/>
          <w:right w:w="15" w:type="dxa"/>
        </w:tblCellMar>
        <w:tblLook w:val="04A0" w:firstRow="1" w:lastRow="0" w:firstColumn="1" w:lastColumn="0" w:noHBand="0" w:noVBand="1"/>
      </w:tblPr>
      <w:tblGrid>
        <w:gridCol w:w="1720"/>
        <w:gridCol w:w="2870"/>
      </w:tblGrid>
      <w:tr w:rsidR="004C4FB3" w:rsidRPr="00181884" w14:paraId="20A75EC1" w14:textId="77777777" w:rsidTr="004C4FB3">
        <w:trPr>
          <w:tblCellSpacing w:w="15" w:type="dxa"/>
        </w:trPr>
        <w:tc>
          <w:tcPr>
            <w:tcW w:w="855" w:type="dxa"/>
            <w:vAlign w:val="center"/>
            <w:hideMark/>
          </w:tcPr>
          <w:p w14:paraId="68972D41" w14:textId="77777777" w:rsidR="004C4FB3" w:rsidRPr="00181884" w:rsidRDefault="004C4FB3" w:rsidP="004C4FB3">
            <w:pPr>
              <w:ind w:right="1200"/>
              <w:rPr>
                <w:sz w:val="20"/>
                <w:szCs w:val="20"/>
              </w:rPr>
            </w:pPr>
            <w:r w:rsidRPr="00181884">
              <w:rPr>
                <w:rStyle w:val="Emphasis"/>
                <w:sz w:val="20"/>
                <w:szCs w:val="20"/>
              </w:rPr>
              <w:t>Note:</w:t>
            </w:r>
          </w:p>
        </w:tc>
        <w:tc>
          <w:tcPr>
            <w:tcW w:w="3645" w:type="dxa"/>
            <w:vAlign w:val="center"/>
            <w:hideMark/>
          </w:tcPr>
          <w:p w14:paraId="0AB01878" w14:textId="77777777" w:rsidR="004C4FB3" w:rsidRPr="00181884" w:rsidRDefault="004C4FB3" w:rsidP="004C4FB3">
            <w:pPr>
              <w:rPr>
                <w:sz w:val="20"/>
                <w:szCs w:val="20"/>
              </w:rPr>
            </w:pPr>
            <w:r w:rsidRPr="00181884">
              <w:rPr>
                <w:sz w:val="20"/>
                <w:szCs w:val="20"/>
                <w:vertAlign w:val="superscript"/>
              </w:rPr>
              <w:t>*</w:t>
            </w:r>
            <w:r w:rsidRPr="00181884">
              <w:rPr>
                <w:sz w:val="20"/>
                <w:szCs w:val="20"/>
              </w:rPr>
              <w:t>p</w:t>
            </w:r>
            <w:r w:rsidRPr="00181884">
              <w:rPr>
                <w:sz w:val="20"/>
                <w:szCs w:val="20"/>
                <w:vertAlign w:val="superscript"/>
              </w:rPr>
              <w:t>**</w:t>
            </w:r>
            <w:r w:rsidRPr="00181884">
              <w:rPr>
                <w:sz w:val="20"/>
                <w:szCs w:val="20"/>
              </w:rPr>
              <w:t>p</w:t>
            </w:r>
            <w:r w:rsidRPr="00181884">
              <w:rPr>
                <w:sz w:val="20"/>
                <w:szCs w:val="20"/>
                <w:vertAlign w:val="superscript"/>
              </w:rPr>
              <w:t>***</w:t>
            </w:r>
            <w:r w:rsidRPr="00181884">
              <w:rPr>
                <w:sz w:val="20"/>
                <w:szCs w:val="20"/>
              </w:rPr>
              <w:t>p&lt;0.01</w:t>
            </w:r>
          </w:p>
        </w:tc>
      </w:tr>
    </w:tbl>
    <w:p w14:paraId="4FEADD91" w14:textId="77777777" w:rsidR="004C4FB3" w:rsidRPr="00105513" w:rsidRDefault="004C4FB3" w:rsidP="004C4FB3">
      <w:pPr>
        <w:tabs>
          <w:tab w:val="left" w:pos="1620"/>
          <w:tab w:val="left" w:pos="1890"/>
        </w:tabs>
        <w:rPr>
          <w:sz w:val="20"/>
          <w:szCs w:val="20"/>
        </w:rPr>
      </w:pPr>
    </w:p>
    <w:p w14:paraId="0042DA26" w14:textId="77777777" w:rsidR="001E43B0" w:rsidRPr="001E43B0" w:rsidRDefault="001E43B0" w:rsidP="001E43B0">
      <w:pPr>
        <w:ind w:firstLine="720"/>
        <w:jc w:val="both"/>
      </w:pPr>
      <w:r w:rsidRPr="001E43B0">
        <w:t>The regression results assessing the impact of trade facilitation and paperless trade measures indicate that these variables are statistically significant in five out of six specifications, while only one group of measures appears insignificant in explaining mutual trade among the Western Balkan countries.</w:t>
      </w:r>
    </w:p>
    <w:p w14:paraId="1FB78872" w14:textId="77777777" w:rsidR="001E43B0" w:rsidRPr="001E43B0" w:rsidRDefault="001E43B0" w:rsidP="001E43B0">
      <w:pPr>
        <w:ind w:firstLine="720"/>
        <w:jc w:val="both"/>
      </w:pPr>
      <w:r w:rsidRPr="001E43B0">
        <w:t xml:space="preserve">The model evaluating the overall effect of the UN trade facilitation and paperless trade measures shows a </w:t>
      </w:r>
      <w:r w:rsidR="00B2406F" w:rsidRPr="001E43B0">
        <w:t>highly</w:t>
      </w:r>
      <w:r w:rsidRPr="001E43B0">
        <w:t xml:space="preserve"> significant coefficient, which is also the largest in magnitude. Specifically, a 1% improvement in the comprehensive set of sixty trade facilitation and paperless trade measures is associated with an 8.26% increase in bilateral trade among the Western Balkan countries. This finding strongly underscores the importance of trade facilitation and digital trade measures in enhancing mutual trade and strengthening countries’ positions in international markets. It also confirms our earlier analysis, which estimated that a 1% improvement in the overall set of trade facilitation measures could generate an 8.86% increase in bilateral trade.</w:t>
      </w:r>
    </w:p>
    <w:p w14:paraId="5EFA506F" w14:textId="77777777" w:rsidR="001E43B0" w:rsidRPr="001E43B0" w:rsidRDefault="001E43B0" w:rsidP="001E43B0">
      <w:pPr>
        <w:ind w:firstLine="720"/>
        <w:jc w:val="both"/>
      </w:pPr>
      <w:r w:rsidRPr="001E43B0">
        <w:t>When examining the five individual categories of trade facilitation measures, the results show that transparency and formalities have a positive and statistically significant effect on trade. A 1% improvement in transparency measures is associated with a 6.61% increase in trade, while a 1% improvement in formalities could lead to a 6.94% rise in bilateral trade among the Western Balkan countries.</w:t>
      </w:r>
    </w:p>
    <w:p w14:paraId="43ECA471" w14:textId="77777777" w:rsidR="001E43B0" w:rsidRPr="001E43B0" w:rsidRDefault="001E43B0" w:rsidP="001E43B0">
      <w:pPr>
        <w:ind w:firstLine="720"/>
        <w:jc w:val="both"/>
      </w:pPr>
      <w:r w:rsidRPr="001E43B0">
        <w:t>The findings related to institutional arrangements and cooperation indicate statistical significance; however, the coefficient carries a negative sign. This suggests that improvements in this area are associated with a reduction in intra-regional trade, a result that may reflect structural or implementation-related challenges.</w:t>
      </w:r>
    </w:p>
    <w:p w14:paraId="686D4F07" w14:textId="77777777" w:rsidR="001E43B0" w:rsidRPr="001E43B0" w:rsidRDefault="001E43B0" w:rsidP="001E43B0">
      <w:pPr>
        <w:ind w:firstLine="720"/>
        <w:jc w:val="both"/>
      </w:pPr>
      <w:r w:rsidRPr="001E43B0">
        <w:t>The measures related to cross-border paperless trade do not appear to be statistically significant in explaining trade flows within the region. In contrast, general paperless trade measures are statistically significant at the 10% level, indicating a weaker but still positive relationship. A 1% improvement in paperless trade measures is associated with a 6.06% increase in mutual trade among the Western Balkan countries.</w:t>
      </w:r>
    </w:p>
    <w:p w14:paraId="447DA06D" w14:textId="77777777" w:rsidR="00D71BD6" w:rsidRPr="00D71BD6" w:rsidRDefault="00D71BD6" w:rsidP="00D71BD6">
      <w:pPr>
        <w:ind w:firstLine="720"/>
        <w:jc w:val="both"/>
      </w:pPr>
      <w:r w:rsidRPr="00D71BD6">
        <w:t>In addition to the seven baseline regressions, we further examined the sensitivity of trade facilitation and paperless trade measures across different product categories. For this purpose, we relied on the 22 sections of the Harmonized System (HS) classification and consolidated them into six broader product groups. Group 1 included HS sections 1–4: animal products, vegetable products, animal and vegetable by-products, and foodstuffs.</w:t>
      </w:r>
      <w:r w:rsidRPr="00D71BD6">
        <w:br/>
        <w:t>Group 2 covered sections 5, 13, 14, and 15: mineral products, stone and glass, precious metals, and metals. Group 3 comprised sections 8–12: animal hides, wood products, paper goods, textiles, footwear, and headwear. Group 4 included sections 16–19: machinery, transportation equipment, instruments, and weapons. Group 5 consisted of sections 20–22: miscellaneous manufactured articles, works of art and antiques, and unspecified goods.</w:t>
      </w:r>
      <w:r w:rsidRPr="00D71BD6">
        <w:br/>
        <w:t>Finally, Group 6 covered sections 6 and 7: chemical products, plastics, and rubber.</w:t>
      </w:r>
      <w:r w:rsidR="00FE76C5">
        <w:rPr>
          <w:lang w:val="mk-MK"/>
        </w:rPr>
        <w:t xml:space="preserve"> </w:t>
      </w:r>
      <w:r w:rsidRPr="00D71BD6">
        <w:t>The results from the separate gravity model estimations for each product group are available upon request.</w:t>
      </w:r>
    </w:p>
    <w:p w14:paraId="22804A1E" w14:textId="77777777" w:rsidR="00D71BD6" w:rsidRPr="00D71BD6" w:rsidRDefault="00D71BD6" w:rsidP="00D71BD6">
      <w:pPr>
        <w:ind w:firstLine="720"/>
        <w:jc w:val="both"/>
      </w:pPr>
      <w:r w:rsidRPr="00D71BD6">
        <w:t>For products in Group 1, the findings indicate that the overall trade facilitation and paperless trade measures are statistically significant in promoting trade among the Western Balkan countries. When examining individual categories of measures, transparency and formalities emerge as highly statistically significant determinants for this group.</w:t>
      </w:r>
    </w:p>
    <w:p w14:paraId="2EA8368B" w14:textId="77777777" w:rsidR="00D71BD6" w:rsidRPr="00D71BD6" w:rsidRDefault="00D71BD6" w:rsidP="00D71BD6">
      <w:pPr>
        <w:ind w:firstLine="720"/>
        <w:jc w:val="both"/>
      </w:pPr>
      <w:r w:rsidRPr="00D71BD6">
        <w:t>In contrast, for products classified in Group 2, the analyzed trade facilitation and paperless trade measures do not appear to significantly influence trade flows within the region. A similar lack of statistical significance is observed for products in Group 5.</w:t>
      </w:r>
    </w:p>
    <w:p w14:paraId="06413D94" w14:textId="77777777" w:rsidR="00D71BD6" w:rsidRPr="00D71BD6" w:rsidRDefault="00D71BD6" w:rsidP="00D71BD6">
      <w:pPr>
        <w:ind w:firstLine="720"/>
        <w:jc w:val="both"/>
      </w:pPr>
      <w:r w:rsidRPr="00D71BD6">
        <w:t>The results for Group 3 products follow a pattern similar to that of Group 1, although with smaller coefficient values. Group 4 products display slightly higher statistical significance, maintaining the same structure of results: the overall set of trade facilitation and paperless measures is significant, particularly the measures related to transparency and formalities.</w:t>
      </w:r>
    </w:p>
    <w:p w14:paraId="0FE40A65" w14:textId="77777777" w:rsidR="00D71BD6" w:rsidRPr="00D71BD6" w:rsidRDefault="00D71BD6" w:rsidP="00D71BD6">
      <w:pPr>
        <w:ind w:firstLine="720"/>
        <w:jc w:val="both"/>
      </w:pPr>
      <w:r w:rsidRPr="00D71BD6">
        <w:t>For Group 6 (chemical products, plastics, and rubber), trade facilitation measures show relevance primarily in relation to formalities and cross-border paperless trade, although the level of statistical significance is comparatively lower.</w:t>
      </w:r>
    </w:p>
    <w:p w14:paraId="3A6F7DF0" w14:textId="77777777" w:rsidR="00D71BD6" w:rsidRDefault="00D71BD6" w:rsidP="00D71BD6">
      <w:pPr>
        <w:ind w:firstLine="720"/>
        <w:jc w:val="both"/>
      </w:pPr>
      <w:r w:rsidRPr="00D71BD6">
        <w:t>Overall, the analysis suggests that trade facilitation and paperless trade measures play a meaningful role in boosting trade in animal and vegetable products and food, textiles and footwear, machinery and transportation equipment, as well as chemical and plastic products. Across product groups, the most consistently significant effects are associated with measures aimed at improving formalities, followed by those enhancing transparency.</w:t>
      </w:r>
    </w:p>
    <w:p w14:paraId="623F3155" w14:textId="77777777" w:rsidR="00E22635" w:rsidRPr="00EA5799" w:rsidRDefault="00721C0C" w:rsidP="00E22635">
      <w:pPr>
        <w:ind w:firstLine="720"/>
        <w:jc w:val="both"/>
      </w:pPr>
      <w:r w:rsidRPr="00EA5799">
        <w:t xml:space="preserve">When examined at the country level, </w:t>
      </w:r>
      <w:r w:rsidR="00135137" w:rsidRPr="00EA5799">
        <w:t>Albania has emerged as a regional digital frontrunner, with 95% of public services now exclusively available online via its e</w:t>
      </w:r>
      <w:r w:rsidR="00135137" w:rsidRPr="00EA5799">
        <w:noBreakHyphen/>
        <w:t xml:space="preserve">Albania portal, thanks to comprehensive interoperability infrastructure and AI-enhanced workflows that have improved accessibility, efficiency, and transparency. </w:t>
      </w:r>
      <w:r w:rsidR="00E22635" w:rsidRPr="00EA5799">
        <w:t>In particular, the IT sector one of the fastest-growing segments of international trade, which is both highly lucrative and essential for public health, represents priority candidates for enhanced regulatory cooperation (Djurica, D., 2025).</w:t>
      </w:r>
    </w:p>
    <w:p w14:paraId="2D547F38" w14:textId="77777777" w:rsidR="00135137" w:rsidRPr="00EA5799" w:rsidRDefault="00135137" w:rsidP="00135137">
      <w:pPr>
        <w:ind w:firstLine="720"/>
        <w:jc w:val="both"/>
      </w:pPr>
      <w:r w:rsidRPr="00EA5799">
        <w:t xml:space="preserve">Meanwhile, Serbia maintains its lead in regional trade facilitation, strengthening cross-border efficiency through the SEED+ electronic customs data exchange system and expanding Green Lanes under CEFTA, which have significantly reduced border waiting times and advanced EU-style customs interoperability (CEFTA official portal, 2026). </w:t>
      </w:r>
    </w:p>
    <w:p w14:paraId="1DA14C0E" w14:textId="77777777" w:rsidR="00135137" w:rsidRPr="00D71BD6" w:rsidRDefault="00135137" w:rsidP="00E22635">
      <w:pPr>
        <w:ind w:firstLine="720"/>
        <w:jc w:val="both"/>
      </w:pPr>
      <w:r w:rsidRPr="00EA5799">
        <w:t>Other Western Balkans economies show varied strengths but lag behind on different fronts. North Macedonia has implemented Green Corridors</w:t>
      </w:r>
      <w:r w:rsidR="00E22635" w:rsidRPr="00EA5799">
        <w:t xml:space="preserve">, </w:t>
      </w:r>
      <w:r w:rsidRPr="00EA5799">
        <w:t>including one-stop-go mechanisms at key crossings</w:t>
      </w:r>
      <w:r w:rsidR="00E22635" w:rsidRPr="00EA5799">
        <w:t xml:space="preserve"> </w:t>
      </w:r>
      <w:r w:rsidRPr="00EA5799">
        <w:t xml:space="preserve">and aligned with EU standards for digital and market surveillance systems; yet investment promotion remains underdeveloped, limiting potential economic integration. Kosovo advanced customs infrastructure and efficient trade processing (such as AEO certifications), but its full EU alignment is constrained by administrative hindrances and regulatory mismatch. Montenegro and Bosnia and Herzegovina have actively joined CEFTA and CRM, extended Green Lanes, and adopted EU-aligned e-commerce and professional qualifications frameworks, but further reforms are needed in customs procedures, service liberalization, and harmonization follow-through (Transport Community, 2024). </w:t>
      </w:r>
    </w:p>
    <w:p w14:paraId="4FEF7E37" w14:textId="77777777" w:rsidR="00AA2F1C" w:rsidRPr="002E7527" w:rsidRDefault="003221E8" w:rsidP="00D90633">
      <w:pPr>
        <w:ind w:firstLine="720"/>
        <w:jc w:val="both"/>
        <w:rPr>
          <w:color w:val="EE0000"/>
        </w:rPr>
      </w:pPr>
      <w:r w:rsidRPr="002E7527">
        <w:rPr>
          <w:color w:val="EE0000"/>
        </w:rPr>
        <w:t xml:space="preserve"> </w:t>
      </w:r>
    </w:p>
    <w:p w14:paraId="31C9E89C" w14:textId="77777777" w:rsidR="000F7F49" w:rsidRPr="001926F2" w:rsidRDefault="000F7F49" w:rsidP="007377ED">
      <w:pPr>
        <w:ind w:firstLine="720"/>
        <w:jc w:val="both"/>
        <w:rPr>
          <w:color w:val="FF0000"/>
        </w:rPr>
      </w:pPr>
    </w:p>
    <w:p w14:paraId="29ED8057" w14:textId="77777777" w:rsidR="000D5ACC" w:rsidRPr="008B54A0" w:rsidRDefault="000F7F49" w:rsidP="000F7F49">
      <w:pPr>
        <w:rPr>
          <w:b/>
          <w:bCs/>
        </w:rPr>
      </w:pPr>
      <w:r w:rsidRPr="008B54A0">
        <w:rPr>
          <w:b/>
          <w:bCs/>
        </w:rPr>
        <w:t xml:space="preserve">Conclusion </w:t>
      </w:r>
      <w:r w:rsidR="008B333A" w:rsidRPr="008B54A0">
        <w:rPr>
          <w:b/>
          <w:bCs/>
        </w:rPr>
        <w:t xml:space="preserve"> </w:t>
      </w:r>
    </w:p>
    <w:p w14:paraId="17615104" w14:textId="77777777" w:rsidR="008010F2" w:rsidRPr="001926F2" w:rsidRDefault="008010F2" w:rsidP="007377ED">
      <w:pPr>
        <w:ind w:firstLine="720"/>
        <w:jc w:val="both"/>
        <w:rPr>
          <w:b/>
          <w:bCs/>
          <w:color w:val="FF0000"/>
        </w:rPr>
      </w:pPr>
    </w:p>
    <w:p w14:paraId="0B6DBDE7" w14:textId="15468396" w:rsidR="00700949" w:rsidRPr="00700949" w:rsidRDefault="00700949" w:rsidP="00700949">
      <w:pPr>
        <w:ind w:firstLine="720"/>
        <w:jc w:val="both"/>
      </w:pPr>
      <w:r w:rsidRPr="00700949">
        <w:t xml:space="preserve">Reducing trade costs is widely recognized as a key prerequisite for enabling economies to participate more effectively in regional and global value chains. Lowering trade barriers and associated costs is essential for fully capturing the benefits of trade. Moreover, an expanding body of literature emphasizes the role of trade in promoting economic growth and sustainable development, particularly through </w:t>
      </w:r>
      <w:r w:rsidR="00636707">
        <w:t xml:space="preserve">trade facilitation measures. From global application in the WTO framework to regional application, like CEFTA-2006, Trade facilitation is regarded as a main tool to reduce administrative barriers in foreign trade. Especially important </w:t>
      </w:r>
      <w:r w:rsidR="000A7625">
        <w:t>parts</w:t>
      </w:r>
      <w:r w:rsidR="00636707">
        <w:t xml:space="preserve"> of trade facilitation process are </w:t>
      </w:r>
      <w:r>
        <w:t>digital and sustainable</w:t>
      </w:r>
      <w:r w:rsidRPr="00700949">
        <w:t xml:space="preserve"> trade facilitation measures</w:t>
      </w:r>
      <w:r w:rsidR="00636707">
        <w:t xml:space="preserve">, that </w:t>
      </w:r>
      <w:r w:rsidR="000A7625">
        <w:t>emphasize</w:t>
      </w:r>
      <w:r w:rsidR="00636707">
        <w:t xml:space="preserve"> the use of digital technologies and the </w:t>
      </w:r>
      <w:r w:rsidR="00003403">
        <w:t>sustainable trade</w:t>
      </w:r>
      <w:r w:rsidRPr="00700949">
        <w:t>.</w:t>
      </w:r>
    </w:p>
    <w:p w14:paraId="0C1B0A48" w14:textId="4D32DA3F" w:rsidR="00700949" w:rsidRPr="00700949" w:rsidRDefault="00700949" w:rsidP="00700949">
      <w:pPr>
        <w:ind w:firstLine="720"/>
        <w:jc w:val="both"/>
      </w:pPr>
      <w:r w:rsidRPr="00700949">
        <w:t>This paper evaluate</w:t>
      </w:r>
      <w:r w:rsidR="00636707">
        <w:t>s</w:t>
      </w:r>
      <w:r w:rsidRPr="00700949">
        <w:t xml:space="preserve"> the level and significance of trade facilitation measures that support a climate-safe and sustainable trading environment among the Western Balkan countries. The empirical findings indicate that these measures are highly statistically significant, with the largest estimated coefficient in the model. Specifically, a 1% improvement in the overall set of sixty trade facilitation and paperless trade measures is associated with an 8.26% increase in bilateral trade within the region. This result clearly highlights the critical importance of digital and sustainable trade facilitation measures in strengthening mutual trade and enhancing the international trade position of these countries.</w:t>
      </w:r>
    </w:p>
    <w:p w14:paraId="04662AF3" w14:textId="77777777" w:rsidR="00700949" w:rsidRPr="00700949" w:rsidRDefault="00700949" w:rsidP="00700949">
      <w:pPr>
        <w:ind w:firstLine="720"/>
        <w:jc w:val="both"/>
      </w:pPr>
      <w:r w:rsidRPr="00700949">
        <w:t xml:space="preserve">A more detailed examination reveals that, among all trade facilitation measures included in the UN survey, those related to transparency and formalities are the most significant for boosting intra-regional trade. A 1% improvement in transparency measures is associated with a 6.61% increase in trade, while a 1% improvement in formalities could generate a 6.94% rise in trade among the Western Balkan countries. Improvements in general paperless trade measures show a lower level of statistical significance but remain economically meaningful, as a 1% enhancement could result in a 6.06% increase in mutual trade. This finding is particularly relevant given the strong link between paperless trade and the </w:t>
      </w:r>
      <w:r>
        <w:t>digital and sustainable</w:t>
      </w:r>
      <w:r w:rsidRPr="00700949">
        <w:t xml:space="preserve"> dimension of trade facilitation.</w:t>
      </w:r>
    </w:p>
    <w:p w14:paraId="5E8A67FE" w14:textId="77777777" w:rsidR="00700949" w:rsidRPr="00700949" w:rsidRDefault="00700949" w:rsidP="00700949">
      <w:pPr>
        <w:ind w:firstLine="720"/>
        <w:jc w:val="both"/>
      </w:pPr>
      <w:r w:rsidRPr="00700949">
        <w:t>In contrast, cross-border paperless trade measures do not appear to have a statistically significant effect on trade flows within the region. This outcome may suggest challenges in the implementation or uneven application of such measures across countries, potentially limiting their effectiveness.</w:t>
      </w:r>
    </w:p>
    <w:p w14:paraId="7EC4728E" w14:textId="77777777" w:rsidR="00700949" w:rsidRPr="00700949" w:rsidRDefault="00700949" w:rsidP="00700949">
      <w:pPr>
        <w:ind w:firstLine="720"/>
        <w:jc w:val="both"/>
      </w:pPr>
      <w:r w:rsidRPr="00700949">
        <w:t>The analysis further demonstrates that digital and sustainable trade facilitation measures are especially important for increasing trade in animal and vegetable products and food, textiles and footwear, machinery and transportation equipment, as well as chemical and plastic products.</w:t>
      </w:r>
    </w:p>
    <w:p w14:paraId="516BB862" w14:textId="77777777" w:rsidR="00700949" w:rsidRPr="00700949" w:rsidRDefault="00700949" w:rsidP="00700949">
      <w:pPr>
        <w:ind w:firstLine="720"/>
        <w:jc w:val="both"/>
      </w:pPr>
      <w:r w:rsidRPr="00700949">
        <w:t xml:space="preserve">Overall, the results confirm previous findings that administrative barriers and trade-related costs continue to hinder trade and economic integration among the Western Balkan countries. Addressing these obstacles is crucial for strengthening regional integration. The policy relevance of this research lies in encouraging responsible authorities to incorporate </w:t>
      </w:r>
      <w:r>
        <w:t>digital</w:t>
      </w:r>
      <w:r w:rsidRPr="00700949">
        <w:t xml:space="preserve"> and environmentally sustainable trade facilitation measures into future trade policy frameworks. Priority should be given to enhancing transparency and simplifying trade formalities.</w:t>
      </w:r>
      <w:r w:rsidR="00003403">
        <w:t xml:space="preserve"> </w:t>
      </w:r>
      <w:r w:rsidRPr="00700949">
        <w:t>Future research should focus on country-specific conditions and provide a more detailed assessment of the implementation of paperless trade measures in each economy. Such analysis would contribute to a deeper understanding of the prospects for advancing digital and sustainable trade integration in the region.</w:t>
      </w:r>
    </w:p>
    <w:p w14:paraId="2C8D58C0" w14:textId="77777777" w:rsidR="009E69BA" w:rsidRPr="001926F2" w:rsidRDefault="009E69BA" w:rsidP="007377ED">
      <w:pPr>
        <w:ind w:firstLine="720"/>
        <w:jc w:val="both"/>
        <w:rPr>
          <w:b/>
          <w:bCs/>
          <w:color w:val="FF0000"/>
        </w:rPr>
      </w:pPr>
    </w:p>
    <w:p w14:paraId="45928CB9" w14:textId="77777777" w:rsidR="00593E78" w:rsidRPr="005D7673" w:rsidRDefault="005B37E8" w:rsidP="009E69BA">
      <w:pPr>
        <w:ind w:firstLine="720"/>
        <w:jc w:val="both"/>
        <w:rPr>
          <w:b/>
          <w:bCs/>
        </w:rPr>
      </w:pPr>
      <w:r w:rsidRPr="005D7673">
        <w:rPr>
          <w:b/>
          <w:bCs/>
        </w:rPr>
        <w:t>References</w:t>
      </w:r>
    </w:p>
    <w:p w14:paraId="222D8048" w14:textId="77777777" w:rsidR="00D71BD6" w:rsidRDefault="00D71BD6" w:rsidP="00D71BD6">
      <w:pPr>
        <w:pStyle w:val="ListParagraph"/>
        <w:jc w:val="both"/>
      </w:pPr>
    </w:p>
    <w:p w14:paraId="469F1349" w14:textId="77777777" w:rsidR="00D71BD6" w:rsidRPr="00D71BD6" w:rsidRDefault="00D71BD6" w:rsidP="00D71BD6">
      <w:pPr>
        <w:pStyle w:val="ListParagraph"/>
        <w:numPr>
          <w:ilvl w:val="0"/>
          <w:numId w:val="11"/>
        </w:numPr>
        <w:jc w:val="both"/>
        <w:rPr>
          <w:shd w:val="clear" w:color="auto" w:fill="FFFFFF"/>
        </w:rPr>
      </w:pPr>
      <w:r w:rsidRPr="00D71BD6">
        <w:rPr>
          <w:shd w:val="clear" w:color="auto" w:fill="FFFFFF"/>
        </w:rPr>
        <w:t>Anderson, J. E., &amp; Van Wincoop, E. (2003). Gravity with gravitas: A solution to the border puzzle. American Economic Review, 93(1), 170-192.</w:t>
      </w:r>
    </w:p>
    <w:p w14:paraId="5FB3BC26" w14:textId="77777777" w:rsidR="00C84B26" w:rsidRDefault="00C84B26" w:rsidP="00D71BD6">
      <w:pPr>
        <w:pStyle w:val="ListParagraph"/>
        <w:numPr>
          <w:ilvl w:val="0"/>
          <w:numId w:val="11"/>
        </w:numPr>
        <w:jc w:val="both"/>
      </w:pPr>
      <w:r w:rsidRPr="00B202D7">
        <w:t>Baker, P., Le, L. (2023) Promoting sustainable development through digital trade and digital trade policies. ARTNeT Working Paper Series No. 229. Asia-Pacific Research and Training Network on Trade (ARTNeT), Bangkok, https://hdl.handle.net/20.500.12870/6640 .</w:t>
      </w:r>
    </w:p>
    <w:p w14:paraId="0D45D579" w14:textId="77777777" w:rsidR="00474448" w:rsidRDefault="00474448" w:rsidP="00D71BD6">
      <w:pPr>
        <w:pStyle w:val="ListParagraph"/>
        <w:numPr>
          <w:ilvl w:val="0"/>
          <w:numId w:val="11"/>
        </w:numPr>
        <w:jc w:val="both"/>
      </w:pPr>
      <w:r w:rsidRPr="00B5124B">
        <w:rPr>
          <w:lang w:val="pl-PL"/>
        </w:rPr>
        <w:t xml:space="preserve">Barata Da Rocha, M., Poitiers, N., Vujanović, N.  </w:t>
      </w:r>
      <w:r>
        <w:t>(2026) Challengest to the Integration of  the Western Balkans into European Union Supply Chains. Working Paper 09/2026, Bruegel, https://doi.org/10.64153/GYLY9147https://www.jstor.org/stable/resrep79408.</w:t>
      </w:r>
    </w:p>
    <w:p w14:paraId="4B1B4A5D" w14:textId="77777777" w:rsidR="00D71BD6" w:rsidRPr="0069627C" w:rsidRDefault="00D71BD6" w:rsidP="00D71BD6">
      <w:pPr>
        <w:pStyle w:val="ListParagraph"/>
        <w:numPr>
          <w:ilvl w:val="0"/>
          <w:numId w:val="11"/>
        </w:numPr>
        <w:jc w:val="both"/>
      </w:pPr>
      <w:r w:rsidRPr="00DD32DE">
        <w:t>Beverelli, C., Neumueller, S., The, R. (2015)</w:t>
      </w:r>
      <w:r>
        <w:t>.</w:t>
      </w:r>
      <w:r w:rsidRPr="00DD32DE">
        <w:t xml:space="preserve"> </w:t>
      </w:r>
      <w:r>
        <w:t>“</w:t>
      </w:r>
      <w:r w:rsidRPr="00DD32DE">
        <w:t>Export Diversification Effects of the WTO Trade Facilitation Agreement</w:t>
      </w:r>
      <w:r>
        <w:t>”.</w:t>
      </w:r>
      <w:r w:rsidRPr="00DD32DE">
        <w:t xml:space="preserve"> World Development 76</w:t>
      </w:r>
      <w:r>
        <w:t>, pp.</w:t>
      </w:r>
      <w:r w:rsidRPr="00DD32DE">
        <w:t xml:space="preserve"> 293–310. https://doi.org/10.1016/j.worlddev.2015.07.009.</w:t>
      </w:r>
    </w:p>
    <w:p w14:paraId="7100AF98" w14:textId="77777777" w:rsidR="00D71BD6" w:rsidRPr="00D71BD6" w:rsidRDefault="00D71BD6" w:rsidP="00D71BD6">
      <w:pPr>
        <w:pStyle w:val="ListParagraph"/>
        <w:numPr>
          <w:ilvl w:val="0"/>
          <w:numId w:val="11"/>
        </w:numPr>
        <w:jc w:val="both"/>
        <w:rPr>
          <w:shd w:val="clear" w:color="auto" w:fill="FFFFFF"/>
        </w:rPr>
      </w:pPr>
      <w:r w:rsidRPr="00D71BD6">
        <w:rPr>
          <w:shd w:val="clear" w:color="auto" w:fill="FFFFFF"/>
        </w:rPr>
        <w:t>Bjelić, P. (2018). Trade Facilitation in the Central European Free Trade Agreement (CEFTA): an imperative to boost intra-regional trade, UNCTAD Transport and Trade Facilitation Newsletter N°78 - Second Quarter 2018, Article No. 18, Internet, https://unctad.org/news/trade-facilitation-central-european-free-trade-agreement-cefta-imperative-boost-intra-regional.</w:t>
      </w:r>
    </w:p>
    <w:p w14:paraId="425D43F1" w14:textId="77777777" w:rsidR="00D71BD6" w:rsidRPr="00253A6B" w:rsidRDefault="00D71BD6" w:rsidP="00D71BD6">
      <w:pPr>
        <w:pStyle w:val="ListParagraph"/>
        <w:numPr>
          <w:ilvl w:val="0"/>
          <w:numId w:val="11"/>
        </w:numPr>
        <w:spacing w:after="160" w:line="259" w:lineRule="auto"/>
        <w:jc w:val="both"/>
      </w:pPr>
      <w:r w:rsidRPr="00253A6B">
        <w:t xml:space="preserve">CEFTA. (2026). </w:t>
      </w:r>
      <w:r w:rsidRPr="00D71BD6">
        <w:rPr>
          <w:i/>
          <w:iCs/>
        </w:rPr>
        <w:t>SEED project</w:t>
      </w:r>
      <w:r w:rsidRPr="00253A6B">
        <w:t xml:space="preserve">. </w:t>
      </w:r>
      <w:hyperlink r:id="rId9" w:tgtFrame="_new" w:history="1">
        <w:r w:rsidRPr="00253A6B">
          <w:rPr>
            <w:rStyle w:val="Hyperlink"/>
          </w:rPr>
          <w:t>https://cefta.int/projects/seed/</w:t>
        </w:r>
      </w:hyperlink>
    </w:p>
    <w:p w14:paraId="0F0459C8" w14:textId="77777777" w:rsidR="00D71BD6" w:rsidRDefault="00D71BD6" w:rsidP="00D71BD6">
      <w:pPr>
        <w:pStyle w:val="ListParagraph"/>
        <w:numPr>
          <w:ilvl w:val="0"/>
          <w:numId w:val="11"/>
        </w:numPr>
        <w:jc w:val="both"/>
      </w:pPr>
      <w:r w:rsidRPr="00D71BD6">
        <w:rPr>
          <w:shd w:val="clear" w:color="auto" w:fill="FFFFFF"/>
        </w:rPr>
        <w:t>Deardorff, A. V., Determinants of Bilateral Trade: Does Gravity Work in a Neoclassical World? (1995). NBER Working Paper No. w5377, Available at SSRN: </w:t>
      </w:r>
      <w:hyperlink r:id="rId10" w:tgtFrame="_blank" w:history="1">
        <w:r w:rsidRPr="00D71BD6">
          <w:rPr>
            <w:rStyle w:val="Hyperlink"/>
            <w:color w:val="auto"/>
            <w:shd w:val="clear" w:color="auto" w:fill="FFFFFF"/>
          </w:rPr>
          <w:t>https://ssrn.com/abstract=93748</w:t>
        </w:r>
      </w:hyperlink>
      <w:r w:rsidRPr="00D71BD6">
        <w:rPr>
          <w:rStyle w:val="Hyperlink"/>
          <w:color w:val="auto"/>
          <w:shd w:val="clear" w:color="auto" w:fill="FFFFFF"/>
        </w:rPr>
        <w:t>.</w:t>
      </w:r>
    </w:p>
    <w:p w14:paraId="34F51058" w14:textId="77777777" w:rsidR="00D71BD6" w:rsidRPr="00253A6B" w:rsidRDefault="00D71BD6" w:rsidP="00D71BD6">
      <w:pPr>
        <w:pStyle w:val="ListParagraph"/>
        <w:numPr>
          <w:ilvl w:val="0"/>
          <w:numId w:val="11"/>
        </w:numPr>
        <w:spacing w:after="160" w:line="259" w:lineRule="auto"/>
        <w:jc w:val="both"/>
      </w:pPr>
      <w:r w:rsidRPr="00253A6B">
        <w:t xml:space="preserve">Djurica, D. (2025). </w:t>
      </w:r>
      <w:r w:rsidRPr="00D71BD6">
        <w:rPr>
          <w:i/>
          <w:iCs/>
        </w:rPr>
        <w:t>Analysis for market integration initiatives between the Western Balkans and the European Union, beyond the Growth Plan for the Western Balkans</w:t>
      </w:r>
      <w:r w:rsidRPr="00253A6B">
        <w:t xml:space="preserve">. European Policy Institute–Skopje. </w:t>
      </w:r>
      <w:hyperlink r:id="rId11" w:tgtFrame="_new" w:history="1">
        <w:r w:rsidRPr="00253A6B">
          <w:rPr>
            <w:rStyle w:val="Hyperlink"/>
          </w:rPr>
          <w:t>https://epi.org.mk/post/31056</w:t>
        </w:r>
      </w:hyperlink>
    </w:p>
    <w:p w14:paraId="3880CCC5" w14:textId="77777777" w:rsidR="00D71BD6" w:rsidRPr="00253A6B" w:rsidRDefault="00D71BD6" w:rsidP="00D71BD6">
      <w:pPr>
        <w:pStyle w:val="ListParagraph"/>
        <w:numPr>
          <w:ilvl w:val="0"/>
          <w:numId w:val="11"/>
        </w:numPr>
        <w:spacing w:after="160" w:line="259" w:lineRule="auto"/>
        <w:jc w:val="both"/>
      </w:pPr>
      <w:r w:rsidRPr="00253A6B">
        <w:t xml:space="preserve">Duval, Y., &amp; Hardy, S. (2021). </w:t>
      </w:r>
      <w:r w:rsidRPr="00D71BD6">
        <w:rPr>
          <w:i/>
          <w:iCs/>
        </w:rPr>
        <w:t>A primer on quantifying the environmental benefits of cross-border paperless trade facilitation</w:t>
      </w:r>
      <w:r w:rsidRPr="00253A6B">
        <w:t xml:space="preserve"> (ARTNeT Working Paper Series No. 206). United Nations Economic and Social Commission for Asia and the Pacific.</w:t>
      </w:r>
    </w:p>
    <w:p w14:paraId="403C8260" w14:textId="77777777" w:rsidR="00D71BD6" w:rsidRDefault="00D71BD6" w:rsidP="00D71BD6">
      <w:pPr>
        <w:pStyle w:val="ListParagraph"/>
        <w:numPr>
          <w:ilvl w:val="0"/>
          <w:numId w:val="11"/>
        </w:numPr>
        <w:jc w:val="both"/>
      </w:pPr>
      <w:r w:rsidRPr="00D71BD6">
        <w:rPr>
          <w:lang w:val="de-DE"/>
        </w:rPr>
        <w:t>Duval, Y., Wang, T., Utoktham, C., &amp; Kravchenko, A. (2019). </w:t>
      </w:r>
      <w:r w:rsidRPr="004B7627">
        <w:t>Next-generation trade facilitation for Asian integration: Cross-border paperless trade. </w:t>
      </w:r>
      <w:r w:rsidRPr="00D71BD6">
        <w:rPr>
          <w:i/>
          <w:iCs/>
        </w:rPr>
        <w:t>Journal of Asian Economic Integration</w:t>
      </w:r>
      <w:r w:rsidRPr="004B7627">
        <w:t>, </w:t>
      </w:r>
      <w:r w:rsidRPr="00D71BD6">
        <w:rPr>
          <w:i/>
          <w:iCs/>
        </w:rPr>
        <w:t>1</w:t>
      </w:r>
      <w:r w:rsidRPr="004B7627">
        <w:t>(1), 11-31.</w:t>
      </w:r>
    </w:p>
    <w:p w14:paraId="6C626A6C" w14:textId="77777777" w:rsidR="00026014" w:rsidRPr="001F0DD9" w:rsidRDefault="00026014" w:rsidP="00D71BD6">
      <w:pPr>
        <w:pStyle w:val="ListParagraph"/>
        <w:numPr>
          <w:ilvl w:val="0"/>
          <w:numId w:val="11"/>
        </w:numPr>
        <w:jc w:val="both"/>
      </w:pPr>
      <w:r w:rsidRPr="00026014">
        <w:rPr>
          <w:sz w:val="22"/>
          <w:szCs w:val="22"/>
        </w:rPr>
        <w:t xml:space="preserve">Duval, Y., Utoktham, C., Kravchenko, A. (2018) Impact of implementation of digital trade facilitation on trade costs. ARTNeT Working Paper Series No. 174, Asia-Pacific Research and Training Network on Trade (ARTNeT), Bangkok. </w:t>
      </w:r>
      <w:r w:rsidRPr="00026014">
        <w:rPr>
          <w:bCs/>
          <w:color w:val="000000"/>
          <w:sz w:val="22"/>
          <w:szCs w:val="22"/>
        </w:rPr>
        <w:t>https://hdl.handle.net/10419/177771</w:t>
      </w:r>
    </w:p>
    <w:p w14:paraId="1699B15D" w14:textId="77777777" w:rsidR="00D71BD6" w:rsidRDefault="00D71BD6" w:rsidP="00D71BD6">
      <w:pPr>
        <w:pStyle w:val="ListParagraph"/>
        <w:numPr>
          <w:ilvl w:val="0"/>
          <w:numId w:val="11"/>
        </w:numPr>
        <w:spacing w:after="160" w:line="259" w:lineRule="auto"/>
        <w:jc w:val="both"/>
      </w:pPr>
      <w:r w:rsidRPr="00253A6B">
        <w:t xml:space="preserve">European Commission. (2023, November 8). </w:t>
      </w:r>
      <w:r w:rsidRPr="00D71BD6">
        <w:rPr>
          <w:i/>
          <w:iCs/>
        </w:rPr>
        <w:t>Communication on the new Growth Plan for the Western Balkans</w:t>
      </w:r>
      <w:r w:rsidRPr="00253A6B">
        <w:t xml:space="preserve"> (COM(2023) 691 final). Directorate-General for Neighbourhood and Enlargement Negotiations.</w:t>
      </w:r>
    </w:p>
    <w:p w14:paraId="213607A4" w14:textId="77777777" w:rsidR="007E2F97" w:rsidRPr="00253A6B" w:rsidRDefault="007E2F97" w:rsidP="00D71BD6">
      <w:pPr>
        <w:pStyle w:val="ListParagraph"/>
        <w:numPr>
          <w:ilvl w:val="0"/>
          <w:numId w:val="11"/>
        </w:numPr>
        <w:spacing w:after="160" w:line="259" w:lineRule="auto"/>
        <w:jc w:val="both"/>
      </w:pPr>
      <w:r w:rsidRPr="007E2F97">
        <w:t xml:space="preserve">Estrin, S., &amp; Uvalić, M. (2022). </w:t>
      </w:r>
      <w:r w:rsidRPr="007E2F97">
        <w:rPr>
          <w:i/>
          <w:iCs/>
        </w:rPr>
        <w:t>Foreign Direct Investment and Backward Spillovers in the Western Balkans</w:t>
      </w:r>
      <w:r w:rsidRPr="007E2F97">
        <w:t xml:space="preserve">. </w:t>
      </w:r>
      <w:r w:rsidRPr="007E2F97">
        <w:rPr>
          <w:i/>
          <w:iCs/>
        </w:rPr>
        <w:t>Southeastern Europe, 46</w:t>
      </w:r>
      <w:r w:rsidRPr="007E2F97">
        <w:t>(1).</w:t>
      </w:r>
    </w:p>
    <w:p w14:paraId="30CFE3AA" w14:textId="77777777" w:rsidR="00D71BD6" w:rsidRPr="00F05E23" w:rsidRDefault="00D71BD6" w:rsidP="00D71BD6">
      <w:pPr>
        <w:pStyle w:val="ListParagraph"/>
        <w:numPr>
          <w:ilvl w:val="0"/>
          <w:numId w:val="11"/>
        </w:numPr>
        <w:jc w:val="both"/>
      </w:pPr>
      <w:r w:rsidRPr="00D71BD6">
        <w:rPr>
          <w:shd w:val="clear" w:color="auto" w:fill="FFFFFF"/>
        </w:rPr>
        <w:t>Fernandes, A. M. &amp; Hillberry, R. H. &amp; Berg, C. N. &amp; Hillberry, R. H. (2016). Expediting Trade: Impact Evaluation of an In-House Clearance Program (June 20, 2016). World Bank Policy Research Working Paper No. 7708, Available at SSRN: </w:t>
      </w:r>
      <w:hyperlink r:id="rId12" w:tgtFrame="_blank" w:history="1">
        <w:r w:rsidRPr="00D71BD6">
          <w:rPr>
            <w:rStyle w:val="Hyperlink"/>
            <w:color w:val="auto"/>
            <w:shd w:val="clear" w:color="auto" w:fill="FFFFFF"/>
          </w:rPr>
          <w:t>https://ssrn.com/abstract=2811356</w:t>
        </w:r>
      </w:hyperlink>
      <w:r>
        <w:t>.</w:t>
      </w:r>
    </w:p>
    <w:p w14:paraId="325DB65E" w14:textId="77777777" w:rsidR="00D71BD6" w:rsidRDefault="00D71BD6" w:rsidP="00D71BD6">
      <w:pPr>
        <w:pStyle w:val="ListParagraph"/>
        <w:numPr>
          <w:ilvl w:val="0"/>
          <w:numId w:val="11"/>
        </w:numPr>
        <w:jc w:val="both"/>
      </w:pPr>
      <w:r w:rsidRPr="00D71BD6">
        <w:rPr>
          <w:shd w:val="clear" w:color="auto" w:fill="FFFFFF"/>
        </w:rPr>
        <w:t>Fernandes, A. M. &amp; Hillberry, R. H. &amp; Mendoza Alcantara, A. &amp; Hillberry, R. H. (2015). Trade Effects of Customs Reform: Evidence from Albania (March 10, 2015). World Bank Policy Research Working Paper No. 7210, Available at SSRN: </w:t>
      </w:r>
      <w:hyperlink r:id="rId13" w:tgtFrame="_blank" w:history="1">
        <w:r w:rsidRPr="00D71BD6">
          <w:rPr>
            <w:rStyle w:val="Hyperlink"/>
            <w:color w:val="auto"/>
            <w:shd w:val="clear" w:color="auto" w:fill="FFFFFF"/>
          </w:rPr>
          <w:t>https://ssrn.com/abstract=2576526</w:t>
        </w:r>
      </w:hyperlink>
      <w:r>
        <w:t xml:space="preserve">. </w:t>
      </w:r>
    </w:p>
    <w:p w14:paraId="502A042C" w14:textId="77777777" w:rsidR="00D71BD6" w:rsidRDefault="00D71BD6" w:rsidP="00D71BD6">
      <w:pPr>
        <w:pStyle w:val="ListParagraph"/>
        <w:numPr>
          <w:ilvl w:val="0"/>
          <w:numId w:val="11"/>
        </w:numPr>
        <w:jc w:val="both"/>
      </w:pPr>
      <w:r w:rsidRPr="00DD32DE">
        <w:t>Fontagné, L., Orefice, G., Piermartini, R. (2016)</w:t>
      </w:r>
      <w:r>
        <w:t>.</w:t>
      </w:r>
      <w:r w:rsidRPr="00DD32DE">
        <w:t xml:space="preserve"> </w:t>
      </w:r>
      <w:r>
        <w:t>“</w:t>
      </w:r>
      <w:r w:rsidRPr="00DD32DE">
        <w:t>Making (Small) Firms Happy. The Heterogeneous Effect of Trade Facilitation Measures</w:t>
      </w:r>
      <w:r>
        <w:t xml:space="preserve">”, </w:t>
      </w:r>
      <w:r w:rsidRPr="00D71BD6">
        <w:rPr>
          <w:i/>
          <w:iCs/>
        </w:rPr>
        <w:t xml:space="preserve">Review of International Economics, </w:t>
      </w:r>
      <w:r>
        <w:t>Vo.28, Issue 3.</w:t>
      </w:r>
    </w:p>
    <w:p w14:paraId="76EEE585" w14:textId="77777777" w:rsidR="00D71BD6" w:rsidRPr="007654A7" w:rsidRDefault="00D71BD6" w:rsidP="00D71BD6">
      <w:pPr>
        <w:pStyle w:val="ListParagraph"/>
        <w:numPr>
          <w:ilvl w:val="0"/>
          <w:numId w:val="11"/>
        </w:numPr>
        <w:jc w:val="both"/>
      </w:pPr>
      <w:r w:rsidRPr="00D71BD6">
        <w:rPr>
          <w:shd w:val="clear" w:color="auto" w:fill="FFFFFF"/>
        </w:rPr>
        <w:t>Hillberry, R. H. and Zhang, X. and Hillberry, R. H. (2015). Policy and Performance in Customs: Evaluating the Trade Facilitation Agreement, World Bank Policy Research Working Paper No. 7211, Available at SSRN: </w:t>
      </w:r>
      <w:hyperlink r:id="rId14" w:tgtFrame="_blank" w:history="1">
        <w:r w:rsidRPr="00D71BD6">
          <w:rPr>
            <w:rStyle w:val="Hyperlink"/>
            <w:color w:val="auto"/>
            <w:shd w:val="clear" w:color="auto" w:fill="FFFFFF"/>
          </w:rPr>
          <w:t>https://ssrn.com/abstract=2576527</w:t>
        </w:r>
      </w:hyperlink>
      <w:r w:rsidRPr="00D71BD6">
        <w:rPr>
          <w:rStyle w:val="Hyperlink"/>
          <w:color w:val="auto"/>
          <w:shd w:val="clear" w:color="auto" w:fill="FFFFFF"/>
        </w:rPr>
        <w:t>.</w:t>
      </w:r>
    </w:p>
    <w:p w14:paraId="45E821D7" w14:textId="77777777" w:rsidR="00D71BD6" w:rsidRPr="001F0DD9" w:rsidRDefault="00D71BD6" w:rsidP="00D71BD6">
      <w:pPr>
        <w:pStyle w:val="ListParagraph"/>
        <w:numPr>
          <w:ilvl w:val="0"/>
          <w:numId w:val="11"/>
        </w:numPr>
        <w:jc w:val="both"/>
      </w:pPr>
      <w:r w:rsidRPr="004B7627">
        <w:t>Jones, C. A. M. (2021). Critical Success Factors for Data Governance of Cross-border e-Trade Data Among ASEAN Member States. </w:t>
      </w:r>
      <w:r w:rsidRPr="00D71BD6">
        <w:rPr>
          <w:i/>
          <w:iCs/>
        </w:rPr>
        <w:t>Journal of Asian Economic Integration</w:t>
      </w:r>
      <w:r w:rsidRPr="004B7627">
        <w:t>, </w:t>
      </w:r>
      <w:r w:rsidRPr="00D71BD6">
        <w:rPr>
          <w:i/>
          <w:iCs/>
        </w:rPr>
        <w:t>3</w:t>
      </w:r>
      <w:r w:rsidRPr="004B7627">
        <w:t>(1), 38-60.</w:t>
      </w:r>
    </w:p>
    <w:p w14:paraId="75671F20" w14:textId="77777777" w:rsidR="00D71BD6" w:rsidRPr="00253A6B" w:rsidRDefault="00D71BD6" w:rsidP="00D71BD6">
      <w:pPr>
        <w:pStyle w:val="ListParagraph"/>
        <w:numPr>
          <w:ilvl w:val="0"/>
          <w:numId w:val="11"/>
        </w:numPr>
        <w:spacing w:after="160" w:line="259" w:lineRule="auto"/>
        <w:jc w:val="both"/>
      </w:pPr>
      <w:r w:rsidRPr="004C282B">
        <w:rPr>
          <w:lang w:val="pl-PL"/>
        </w:rPr>
        <w:t xml:space="preserve">Lei, W. C., Toshevska Trpchevska, K., &amp; Stojkoski, V. (2025). </w:t>
      </w:r>
      <w:r w:rsidRPr="00253A6B">
        <w:t xml:space="preserve">Digital and sustainable trade facilitation in ASEAN countries. In E. Lau et al. (Eds.), </w:t>
      </w:r>
      <w:r w:rsidRPr="00D71BD6">
        <w:rPr>
          <w:i/>
          <w:iCs/>
        </w:rPr>
        <w:t>Economics and finance readings</w:t>
      </w:r>
      <w:r w:rsidRPr="00253A6B">
        <w:t xml:space="preserve"> (pp. 53–73). Springer Nature.</w:t>
      </w:r>
    </w:p>
    <w:p w14:paraId="10220FA8" w14:textId="77777777" w:rsidR="00D71BD6" w:rsidRPr="00D71BD6" w:rsidRDefault="00D71BD6" w:rsidP="00D71BD6">
      <w:pPr>
        <w:pStyle w:val="ListParagraph"/>
        <w:numPr>
          <w:ilvl w:val="0"/>
          <w:numId w:val="11"/>
        </w:numPr>
        <w:jc w:val="both"/>
        <w:rPr>
          <w:shd w:val="clear" w:color="auto" w:fill="FFFFFF"/>
        </w:rPr>
      </w:pPr>
      <w:r w:rsidRPr="00D71BD6">
        <w:rPr>
          <w:shd w:val="clear" w:color="auto" w:fill="FFFFFF"/>
        </w:rPr>
        <w:t>Linder, S. B. (1961). An essay on trade and transformation (pp. 82-109). Stockholm: Almqvist &amp; Wiksell.</w:t>
      </w:r>
    </w:p>
    <w:p w14:paraId="05BF4B6B" w14:textId="77777777" w:rsidR="00D71BD6" w:rsidRPr="00D71BD6" w:rsidRDefault="00D71BD6" w:rsidP="00D71BD6">
      <w:pPr>
        <w:pStyle w:val="ListParagraph"/>
        <w:numPr>
          <w:ilvl w:val="0"/>
          <w:numId w:val="11"/>
        </w:numPr>
        <w:jc w:val="both"/>
        <w:rPr>
          <w:shd w:val="clear" w:color="auto" w:fill="FFFFFF"/>
        </w:rPr>
      </w:pPr>
      <w:r w:rsidRPr="00D71BD6">
        <w:rPr>
          <w:shd w:val="clear" w:color="auto" w:fill="FFFFFF"/>
        </w:rPr>
        <w:t>Linnemann, H. (1966). An econometric study of international trade flows (No. 42). Amsterdam, North-Holland.</w:t>
      </w:r>
    </w:p>
    <w:p w14:paraId="16BD01DE" w14:textId="77777777" w:rsidR="00D71BD6" w:rsidRDefault="00D71BD6" w:rsidP="00D71BD6">
      <w:pPr>
        <w:pStyle w:val="ListParagraph"/>
        <w:numPr>
          <w:ilvl w:val="0"/>
          <w:numId w:val="11"/>
        </w:numPr>
        <w:jc w:val="both"/>
        <w:rPr>
          <w:shd w:val="clear" w:color="auto" w:fill="FFFFFF"/>
        </w:rPr>
      </w:pPr>
      <w:r w:rsidRPr="00D71BD6">
        <w:rPr>
          <w:shd w:val="clear" w:color="auto" w:fill="FFFFFF"/>
        </w:rPr>
        <w:t>Marković, I., Popović Petrović, I. and Bjelić, P. (2021). Elimination of Non-Tariff Barriers in Regional Trade Integrations: The CEFTA 2006 Experience, Teme XLV, No.2, April – June 2021, pp. 601-620.</w:t>
      </w:r>
    </w:p>
    <w:p w14:paraId="6BFD6BC0" w14:textId="77777777" w:rsidR="004D3814" w:rsidRPr="004D3814" w:rsidRDefault="004D3814" w:rsidP="00D71BD6">
      <w:pPr>
        <w:pStyle w:val="ListParagraph"/>
        <w:numPr>
          <w:ilvl w:val="0"/>
          <w:numId w:val="11"/>
        </w:numPr>
        <w:jc w:val="both"/>
        <w:rPr>
          <w:shd w:val="clear" w:color="auto" w:fill="FFFFFF"/>
        </w:rPr>
      </w:pPr>
      <w:r w:rsidRPr="00B976F0">
        <w:t>Makrevska Disoska, E., Bjelić, P., Kikerkova, I.,  Toshevska-Trpchevska, K. (2023) How to Increase Trade in Southeast Europe by Applying Trade Facilitation Measures? Proceedings of the 4th International Conference Economic and Business Trends Shaping the Future 2023, https://ebtsf.eccf.ukim.edu.mk/wp-content/uploads/2019/05/EBTSF-23_paper_6615.pdf</w:t>
      </w:r>
    </w:p>
    <w:p w14:paraId="741B973D" w14:textId="77777777" w:rsidR="00D84035" w:rsidRDefault="00D84035" w:rsidP="00D84035">
      <w:pPr>
        <w:pStyle w:val="ListParagraph"/>
        <w:numPr>
          <w:ilvl w:val="0"/>
          <w:numId w:val="11"/>
        </w:numPr>
      </w:pPr>
      <w:r>
        <w:t>Masood, A., Martínez-Zarzoso, I. (2024) Trade effects of trade facilitation revisited. Economics Letters, Vol. 234,  111477, https://doi.org/10.1016/j.econlet.2023.111477.</w:t>
      </w:r>
    </w:p>
    <w:p w14:paraId="6185EDFA" w14:textId="77777777" w:rsidR="00D71BD6" w:rsidRPr="0069627C" w:rsidRDefault="00D71BD6" w:rsidP="00D71BD6">
      <w:pPr>
        <w:pStyle w:val="ListParagraph"/>
        <w:numPr>
          <w:ilvl w:val="0"/>
          <w:numId w:val="11"/>
        </w:numPr>
        <w:jc w:val="both"/>
      </w:pPr>
      <w:r w:rsidRPr="00DD32DE">
        <w:t>Moïsé, E., Sorescu, S. (2013</w:t>
      </w:r>
      <w:r>
        <w:t>).</w:t>
      </w:r>
      <w:r w:rsidRPr="00DD32DE">
        <w:t xml:space="preserve"> </w:t>
      </w:r>
      <w:r>
        <w:t>“</w:t>
      </w:r>
      <w:r w:rsidRPr="00DD32DE">
        <w:t xml:space="preserve">Trade Facilitation Indicators: The Potential Impact of Trade </w:t>
      </w:r>
      <w:r w:rsidRPr="00D71BD6">
        <w:rPr>
          <w:lang w:val="mk-MK"/>
        </w:rPr>
        <w:t>Facilitation</w:t>
      </w:r>
      <w:r w:rsidRPr="00DD32DE">
        <w:t xml:space="preserve"> on Developing Countries’ Trade</w:t>
      </w:r>
      <w:r>
        <w:t>”,</w:t>
      </w:r>
      <w:r w:rsidRPr="00DD32DE">
        <w:t xml:space="preserve"> OECD.</w:t>
      </w:r>
    </w:p>
    <w:p w14:paraId="6A078289" w14:textId="77777777" w:rsidR="00D71BD6" w:rsidRDefault="00D71BD6" w:rsidP="00D71BD6">
      <w:pPr>
        <w:pStyle w:val="ListParagraph"/>
        <w:numPr>
          <w:ilvl w:val="0"/>
          <w:numId w:val="11"/>
        </w:numPr>
        <w:jc w:val="both"/>
        <w:rPr>
          <w:shd w:val="clear" w:color="auto" w:fill="FFFFFF"/>
        </w:rPr>
      </w:pPr>
      <w:r w:rsidRPr="0008208E">
        <w:t>OECD (2021). Competitiveness in Southeast Europe 2021: A Policy Outlook, Competitiveness</w:t>
      </w:r>
      <w:r>
        <w:t>,</w:t>
      </w:r>
      <w:r w:rsidRPr="0008208E">
        <w:t xml:space="preserve"> and Private Sector Development, OECD Publishing, Paris, </w:t>
      </w:r>
      <w:hyperlink r:id="rId15" w:history="1">
        <w:r w:rsidRPr="00D71BD6">
          <w:rPr>
            <w:rStyle w:val="Hyperlink"/>
            <w:color w:val="auto"/>
          </w:rPr>
          <w:t>https://doi.org/10.1787/dcbc2ea9-en</w:t>
        </w:r>
      </w:hyperlink>
      <w:r w:rsidRPr="0008208E">
        <w:t>.</w:t>
      </w:r>
      <w:r w:rsidRPr="00D71BD6">
        <w:rPr>
          <w:shd w:val="clear" w:color="auto" w:fill="FFFFFF"/>
        </w:rPr>
        <w:t xml:space="preserve"> </w:t>
      </w:r>
    </w:p>
    <w:p w14:paraId="3D279F21" w14:textId="77777777" w:rsidR="00101DF4" w:rsidRPr="00D71BD6" w:rsidRDefault="00101DF4" w:rsidP="00D71BD6">
      <w:pPr>
        <w:pStyle w:val="ListParagraph"/>
        <w:numPr>
          <w:ilvl w:val="0"/>
          <w:numId w:val="11"/>
        </w:numPr>
        <w:jc w:val="both"/>
        <w:rPr>
          <w:shd w:val="clear" w:color="auto" w:fill="FFFFFF"/>
        </w:rPr>
      </w:pPr>
      <w:r w:rsidRPr="00101DF4">
        <w:rPr>
          <w:shd w:val="clear" w:color="auto" w:fill="FFFFFF"/>
        </w:rPr>
        <w:t xml:space="preserve">OECD. (2024). </w:t>
      </w:r>
      <w:r w:rsidRPr="00101DF4">
        <w:rPr>
          <w:i/>
          <w:iCs/>
          <w:shd w:val="clear" w:color="auto" w:fill="FFFFFF"/>
        </w:rPr>
        <w:t>Western Balkans Competitiveness Outlook 2024: Montenegro</w:t>
      </w:r>
      <w:r w:rsidRPr="00101DF4">
        <w:rPr>
          <w:shd w:val="clear" w:color="auto" w:fill="FFFFFF"/>
        </w:rPr>
        <w:t xml:space="preserve">. OECD Publishing. </w:t>
      </w:r>
      <w:hyperlink r:id="rId16" w:tgtFrame="_new" w:history="1">
        <w:r w:rsidRPr="00101DF4">
          <w:rPr>
            <w:rStyle w:val="Hyperlink"/>
            <w:shd w:val="clear" w:color="auto" w:fill="FFFFFF"/>
          </w:rPr>
          <w:t>https://doi.org/10.1787/ead1588e-en</w:t>
        </w:r>
      </w:hyperlink>
    </w:p>
    <w:p w14:paraId="34109B44" w14:textId="77777777" w:rsidR="00D71BD6" w:rsidRPr="00253A6B" w:rsidRDefault="00D71BD6" w:rsidP="00D71BD6">
      <w:pPr>
        <w:pStyle w:val="ListParagraph"/>
        <w:numPr>
          <w:ilvl w:val="0"/>
          <w:numId w:val="11"/>
        </w:numPr>
        <w:spacing w:after="160" w:line="259" w:lineRule="auto"/>
        <w:jc w:val="both"/>
      </w:pPr>
      <w:r w:rsidRPr="00253A6B">
        <w:t xml:space="preserve">OECD. (2025). </w:t>
      </w:r>
      <w:r w:rsidRPr="00D71BD6">
        <w:rPr>
          <w:i/>
          <w:iCs/>
        </w:rPr>
        <w:t>OECD trade facilitation indicators: Monitoring policies up to 2025</w:t>
      </w:r>
      <w:r w:rsidRPr="00253A6B">
        <w:t xml:space="preserve">. OECD Publishing. </w:t>
      </w:r>
      <w:hyperlink r:id="rId17" w:tgtFrame="_new" w:history="1">
        <w:r w:rsidRPr="00253A6B">
          <w:rPr>
            <w:rStyle w:val="Hyperlink"/>
          </w:rPr>
          <w:t>https://doi.org/10.1787/fd6f27dc-en</w:t>
        </w:r>
      </w:hyperlink>
    </w:p>
    <w:p w14:paraId="7C215737" w14:textId="77777777" w:rsidR="00D71BD6" w:rsidRDefault="00D71BD6" w:rsidP="00D71BD6">
      <w:pPr>
        <w:pStyle w:val="ListParagraph"/>
        <w:numPr>
          <w:ilvl w:val="0"/>
          <w:numId w:val="11"/>
        </w:numPr>
        <w:jc w:val="both"/>
        <w:rPr>
          <w:u w:val="single"/>
        </w:rPr>
      </w:pPr>
      <w:r w:rsidRPr="0008208E">
        <w:t xml:space="preserve">Persson, M. (2013). “Trade Facilitation and the Extensive Margin. The Journal of International Trade &amp; Economic Development” 22 (5): 658–93 </w:t>
      </w:r>
      <w:hyperlink r:id="rId18" w:history="1">
        <w:r w:rsidRPr="00D71BD6">
          <w:rPr>
            <w:u w:val="single"/>
          </w:rPr>
          <w:t>https://doi.org/10.1080/09638199.2011.587019</w:t>
        </w:r>
      </w:hyperlink>
      <w:r w:rsidRPr="00D71BD6">
        <w:rPr>
          <w:u w:val="single"/>
        </w:rPr>
        <w:t>.</w:t>
      </w:r>
    </w:p>
    <w:p w14:paraId="261BDF2E" w14:textId="77777777" w:rsidR="00C41A9C" w:rsidRPr="00C41A9C" w:rsidRDefault="00C41A9C" w:rsidP="00D71BD6">
      <w:pPr>
        <w:pStyle w:val="ListParagraph"/>
        <w:numPr>
          <w:ilvl w:val="0"/>
          <w:numId w:val="11"/>
        </w:numPr>
        <w:jc w:val="both"/>
      </w:pPr>
      <w:r w:rsidRPr="00C41A9C">
        <w:t xml:space="preserve">Popović Petrović, I., &amp; Dragutinović Mitrović, R. (2024). </w:t>
      </w:r>
      <w:r w:rsidRPr="00C41A9C">
        <w:rPr>
          <w:i/>
          <w:iCs/>
        </w:rPr>
        <w:t>Sustainable trade facilitation: Evidence from small and medium enterprises in Serbia and CEFTA 2006 region</w:t>
      </w:r>
      <w:r w:rsidRPr="00C41A9C">
        <w:t xml:space="preserve"> (Economics of Enterprise, 268–279). Serbian Economic Society. </w:t>
      </w:r>
      <w:hyperlink r:id="rId19" w:tgtFrame="_new" w:history="1">
        <w:r w:rsidRPr="00C41A9C">
          <w:rPr>
            <w:rStyle w:val="Hyperlink"/>
            <w:u w:val="none"/>
          </w:rPr>
          <w:t>https://www.ses.org.rs/uploads/ivana-i-radmila_241007_142250_846.pdf</w:t>
        </w:r>
      </w:hyperlink>
    </w:p>
    <w:p w14:paraId="164DA77A" w14:textId="77777777" w:rsidR="00D71BD6" w:rsidRPr="00253A6B" w:rsidRDefault="00D71BD6" w:rsidP="00D71BD6">
      <w:pPr>
        <w:pStyle w:val="ListParagraph"/>
        <w:numPr>
          <w:ilvl w:val="0"/>
          <w:numId w:val="11"/>
        </w:numPr>
        <w:spacing w:after="160" w:line="259" w:lineRule="auto"/>
        <w:jc w:val="both"/>
      </w:pPr>
      <w:r w:rsidRPr="00253A6B">
        <w:t xml:space="preserve">Regional Cooperation Council. (2024). </w:t>
      </w:r>
      <w:r w:rsidRPr="00D71BD6">
        <w:rPr>
          <w:i/>
          <w:iCs/>
        </w:rPr>
        <w:t>Common regional market action plan 2025–2028</w:t>
      </w:r>
      <w:r w:rsidRPr="00253A6B">
        <w:t xml:space="preserve">. </w:t>
      </w:r>
      <w:hyperlink r:id="rId20" w:tgtFrame="_new" w:history="1">
        <w:r w:rsidRPr="00253A6B">
          <w:rPr>
            <w:rStyle w:val="Hyperlink"/>
          </w:rPr>
          <w:t>https://www.rcc.int/download/docs/Common%20Regional%20Market%20Action%20Plan%202025-2028.pdf</w:t>
        </w:r>
      </w:hyperlink>
    </w:p>
    <w:p w14:paraId="3C1EBCE7" w14:textId="77777777" w:rsidR="00700949" w:rsidRDefault="00D71BD6" w:rsidP="00700949">
      <w:pPr>
        <w:pStyle w:val="ListParagraph"/>
        <w:numPr>
          <w:ilvl w:val="0"/>
          <w:numId w:val="11"/>
        </w:numPr>
        <w:jc w:val="both"/>
      </w:pPr>
      <w:r w:rsidRPr="0008208E">
        <w:t>Tian, M. (2023). Study on the Development Path of Guangdong-Hong Kong-Macao Greater Bay Area and ASEAN Cross-Border E-Commerce Under the RCEP Framework. </w:t>
      </w:r>
      <w:r w:rsidRPr="00D71BD6">
        <w:rPr>
          <w:i/>
          <w:iCs/>
        </w:rPr>
        <w:t>Economics &amp; Management Information</w:t>
      </w:r>
      <w:r w:rsidRPr="004B7627">
        <w:t>, 1-6.</w:t>
      </w:r>
    </w:p>
    <w:p w14:paraId="0241ABA2" w14:textId="77777777" w:rsidR="00700949" w:rsidRDefault="00700949" w:rsidP="00700949">
      <w:pPr>
        <w:pStyle w:val="ListParagraph"/>
        <w:numPr>
          <w:ilvl w:val="0"/>
          <w:numId w:val="11"/>
        </w:numPr>
        <w:jc w:val="both"/>
        <w:rPr>
          <w:shd w:val="clear" w:color="auto" w:fill="FFFFFF"/>
        </w:rPr>
      </w:pPr>
      <w:r w:rsidRPr="004C282B">
        <w:rPr>
          <w:lang w:val="pl-PL"/>
        </w:rPr>
        <w:t xml:space="preserve"> Toshevska-Trpchevska, K., Lei, W. C. (F.), &amp; Stojkoski, V. (2024). </w:t>
      </w:r>
      <w:r w:rsidRPr="00700949">
        <w:t>Digital and Sustainable Trade Facilitation in Western Balkans Countries</w:t>
      </w:r>
      <w:r w:rsidRPr="00700949">
        <w:rPr>
          <w:i/>
          <w:iCs/>
        </w:rPr>
        <w:t>. European Scientific Journal</w:t>
      </w:r>
      <w:r w:rsidRPr="00700949">
        <w:t xml:space="preserve">, ESJ, 20 (13), 46. </w:t>
      </w:r>
      <w:r w:rsidRPr="00700949">
        <w:rPr>
          <w:color w:val="0000FF"/>
        </w:rPr>
        <w:t xml:space="preserve">https://doi.org/10.19044/esj.2024.v20n13p46 </w:t>
      </w:r>
    </w:p>
    <w:p w14:paraId="2C6224CB" w14:textId="77777777" w:rsidR="00D71BD6" w:rsidRPr="00D71BD6" w:rsidRDefault="00D71BD6" w:rsidP="00700949">
      <w:pPr>
        <w:pStyle w:val="ListParagraph"/>
        <w:numPr>
          <w:ilvl w:val="0"/>
          <w:numId w:val="11"/>
        </w:numPr>
        <w:jc w:val="both"/>
        <w:rPr>
          <w:shd w:val="clear" w:color="auto" w:fill="FFFFFF"/>
        </w:rPr>
      </w:pPr>
      <w:r w:rsidRPr="00D71BD6">
        <w:rPr>
          <w:shd w:val="clear" w:color="auto" w:fill="FFFFFF"/>
        </w:rPr>
        <w:t xml:space="preserve">Toshevska-Trpchevska, K., Makrevska Disoska, E., Kikerkova, I. &amp; Tonovska, J. (2022). "Applying trade facilitation measures for increasing regional trade in Southeast Europe", </w:t>
      </w:r>
      <w:r w:rsidRPr="00D71BD6">
        <w:rPr>
          <w:i/>
          <w:iCs/>
        </w:rPr>
        <w:t>21</w:t>
      </w:r>
      <w:r w:rsidRPr="00D71BD6">
        <w:rPr>
          <w:i/>
          <w:iCs/>
          <w:vertAlign w:val="superscript"/>
        </w:rPr>
        <w:t>st</w:t>
      </w:r>
      <w:r w:rsidRPr="00D71BD6">
        <w:rPr>
          <w:i/>
          <w:iCs/>
        </w:rPr>
        <w:t xml:space="preserve"> Scientific Conference dedicated to the 70</w:t>
      </w:r>
      <w:r w:rsidRPr="00D71BD6">
        <w:rPr>
          <w:i/>
          <w:iCs/>
          <w:vertAlign w:val="superscript"/>
        </w:rPr>
        <w:t>th</w:t>
      </w:r>
      <w:r w:rsidRPr="00D71BD6">
        <w:rPr>
          <w:i/>
          <w:iCs/>
        </w:rPr>
        <w:t xml:space="preserve"> anniversary of the International Economic Relations and Business Department “The membership of Bulgaria in the European Union: Fifteen Years Later”</w:t>
      </w:r>
      <w:r w:rsidRPr="00DA500E">
        <w:t>, Vol.1, U</w:t>
      </w:r>
      <w:r>
        <w:t xml:space="preserve">niversity of </w:t>
      </w:r>
      <w:r w:rsidRPr="00DA500E">
        <w:t>N</w:t>
      </w:r>
      <w:r>
        <w:t xml:space="preserve">ational and </w:t>
      </w:r>
      <w:r w:rsidRPr="00DA500E">
        <w:t>W</w:t>
      </w:r>
      <w:r>
        <w:t xml:space="preserve">orld </w:t>
      </w:r>
      <w:r w:rsidRPr="00DA500E">
        <w:t>E</w:t>
      </w:r>
      <w:r>
        <w:t>conomy</w:t>
      </w:r>
      <w:r w:rsidRPr="00DA500E">
        <w:t>, Sofia, Bulgaria, 2023, 53-65.</w:t>
      </w:r>
    </w:p>
    <w:p w14:paraId="4C2A4967" w14:textId="77777777" w:rsidR="00D71BD6" w:rsidRPr="00D71BD6" w:rsidRDefault="00D71BD6" w:rsidP="00D71BD6">
      <w:pPr>
        <w:pStyle w:val="ListParagraph"/>
        <w:numPr>
          <w:ilvl w:val="0"/>
          <w:numId w:val="11"/>
        </w:numPr>
        <w:jc w:val="both"/>
        <w:rPr>
          <w:shd w:val="clear" w:color="auto" w:fill="FFFFFF"/>
        </w:rPr>
      </w:pPr>
      <w:r w:rsidRPr="00D71BD6">
        <w:rPr>
          <w:shd w:val="clear" w:color="auto" w:fill="FFFFFF"/>
        </w:rPr>
        <w:t>Toshevska-Trpevska, K.; Tevdovski, D. (2016). Trade Facilitation Indicators and their Potential Impact on Trade between the Countries of South-Eastern Europe. </w:t>
      </w:r>
      <w:r w:rsidRPr="005D7673">
        <w:t>Sci. Ann. Econ. Bus.</w:t>
      </w:r>
      <w:r w:rsidRPr="00D71BD6">
        <w:rPr>
          <w:shd w:val="clear" w:color="auto" w:fill="FFFFFF"/>
        </w:rPr>
        <w:t> 2016, </w:t>
      </w:r>
      <w:r w:rsidRPr="005D7673">
        <w:t>63</w:t>
      </w:r>
      <w:r w:rsidRPr="00D71BD6">
        <w:rPr>
          <w:shd w:val="clear" w:color="auto" w:fill="FFFFFF"/>
        </w:rPr>
        <w:t xml:space="preserve">, 347–362. </w:t>
      </w:r>
    </w:p>
    <w:p w14:paraId="0D4ED41B" w14:textId="77777777" w:rsidR="00D71BD6" w:rsidRPr="00253A6B" w:rsidRDefault="00D71BD6" w:rsidP="00D71BD6">
      <w:pPr>
        <w:pStyle w:val="ListParagraph"/>
        <w:numPr>
          <w:ilvl w:val="0"/>
          <w:numId w:val="11"/>
        </w:numPr>
        <w:spacing w:after="160" w:line="259" w:lineRule="auto"/>
        <w:jc w:val="both"/>
      </w:pPr>
      <w:r w:rsidRPr="00253A6B">
        <w:t xml:space="preserve">Transport Community. (2024). </w:t>
      </w:r>
      <w:r w:rsidRPr="00D71BD6">
        <w:rPr>
          <w:i/>
          <w:iCs/>
        </w:rPr>
        <w:t>Comprehensive roadmap for enhancing green lanes, improved customs cooperation and modernisation of border/common crossing points</w:t>
      </w:r>
      <w:r w:rsidRPr="00253A6B">
        <w:t xml:space="preserve">. </w:t>
      </w:r>
      <w:hyperlink r:id="rId21" w:tgtFrame="_new" w:history="1">
        <w:r w:rsidRPr="00253A6B">
          <w:rPr>
            <w:rStyle w:val="Hyperlink"/>
          </w:rPr>
          <w:t>https://www.transport-community.org/wp-content/uploads/2024/10/Green_Lanes_Comprehensive_Roadmap.pdf</w:t>
        </w:r>
      </w:hyperlink>
    </w:p>
    <w:p w14:paraId="242BC190" w14:textId="77777777" w:rsidR="00D71BD6" w:rsidRPr="00DA5497" w:rsidRDefault="00D71BD6" w:rsidP="00D71BD6">
      <w:pPr>
        <w:pStyle w:val="ListParagraph"/>
        <w:numPr>
          <w:ilvl w:val="0"/>
          <w:numId w:val="11"/>
        </w:numPr>
        <w:jc w:val="both"/>
        <w:rPr>
          <w:rStyle w:val="Hyperlink"/>
          <w:color w:val="auto"/>
          <w:u w:val="none"/>
        </w:rPr>
      </w:pPr>
      <w:bookmarkStart w:id="1" w:name="_Hlk174704886"/>
      <w:r w:rsidRPr="00D71BD6">
        <w:rPr>
          <w:shd w:val="clear" w:color="auto" w:fill="FFFFFF"/>
        </w:rPr>
        <w:t xml:space="preserve">United Nations (2023). </w:t>
      </w:r>
      <w:r>
        <w:t xml:space="preserve">Digital and Sustainable Trade Facilitation: Global Report 2023. Available at: </w:t>
      </w:r>
      <w:hyperlink r:id="rId22" w:history="1">
        <w:r w:rsidRPr="00C42BA2">
          <w:rPr>
            <w:rStyle w:val="Hyperlink"/>
          </w:rPr>
          <w:t>https://www.untfsurvey.org/</w:t>
        </w:r>
      </w:hyperlink>
      <w:r>
        <w:rPr>
          <w:rStyle w:val="Hyperlink"/>
        </w:rPr>
        <w:t>.</w:t>
      </w:r>
    </w:p>
    <w:p w14:paraId="3DAD7C2B" w14:textId="77777777" w:rsidR="00DA5497" w:rsidRDefault="00DA5497" w:rsidP="00DA5497">
      <w:pPr>
        <w:pStyle w:val="ListParagraph"/>
        <w:numPr>
          <w:ilvl w:val="0"/>
          <w:numId w:val="11"/>
        </w:numPr>
        <w:jc w:val="both"/>
      </w:pPr>
      <w:r w:rsidRPr="00D71BD6">
        <w:rPr>
          <w:shd w:val="clear" w:color="auto" w:fill="FFFFFF"/>
        </w:rPr>
        <w:t>United Nations (202</w:t>
      </w:r>
      <w:r>
        <w:rPr>
          <w:shd w:val="clear" w:color="auto" w:fill="FFFFFF"/>
        </w:rPr>
        <w:t>5</w:t>
      </w:r>
      <w:r w:rsidRPr="00D71BD6">
        <w:rPr>
          <w:shd w:val="clear" w:color="auto" w:fill="FFFFFF"/>
        </w:rPr>
        <w:t xml:space="preserve">). </w:t>
      </w:r>
      <w:r>
        <w:t xml:space="preserve">Digital and Sustainable Trade Facilitation: Global Report 2025. Available at: </w:t>
      </w:r>
      <w:hyperlink r:id="rId23" w:history="1">
        <w:r w:rsidRPr="00C42BA2">
          <w:rPr>
            <w:rStyle w:val="Hyperlink"/>
          </w:rPr>
          <w:t>https://www.untfsurvey.org/</w:t>
        </w:r>
      </w:hyperlink>
      <w:r>
        <w:rPr>
          <w:rStyle w:val="Hyperlink"/>
        </w:rPr>
        <w:t>.</w:t>
      </w:r>
    </w:p>
    <w:bookmarkEnd w:id="1"/>
    <w:p w14:paraId="438142B5" w14:textId="77777777" w:rsidR="00D71BD6" w:rsidRPr="00253A6B" w:rsidRDefault="00D71BD6" w:rsidP="00D71BD6">
      <w:pPr>
        <w:pStyle w:val="ListParagraph"/>
        <w:numPr>
          <w:ilvl w:val="0"/>
          <w:numId w:val="11"/>
        </w:numPr>
        <w:spacing w:after="160" w:line="259" w:lineRule="auto"/>
        <w:jc w:val="both"/>
      </w:pPr>
      <w:r w:rsidRPr="00253A6B">
        <w:t xml:space="preserve">United Nations Economic and Social Commission for Asia and the Pacific. (2025). </w:t>
      </w:r>
      <w:r w:rsidRPr="00D71BD6">
        <w:rPr>
          <w:i/>
          <w:iCs/>
        </w:rPr>
        <w:t>Digital and sustainable trade facilitation: Global report 2025</w:t>
      </w:r>
      <w:r w:rsidRPr="00253A6B">
        <w:t>. United Nations.</w:t>
      </w:r>
    </w:p>
    <w:p w14:paraId="50E8DF5D" w14:textId="77777777" w:rsidR="00D71BD6" w:rsidRPr="00253A6B" w:rsidRDefault="00D71BD6" w:rsidP="00D71BD6">
      <w:pPr>
        <w:pStyle w:val="ListParagraph"/>
        <w:numPr>
          <w:ilvl w:val="0"/>
          <w:numId w:val="11"/>
        </w:numPr>
        <w:spacing w:after="160" w:line="259" w:lineRule="auto"/>
        <w:jc w:val="both"/>
      </w:pPr>
      <w:r w:rsidRPr="00253A6B">
        <w:t xml:space="preserve">United Nations Economic and Social Commission for Asia and the Pacific. (2025). </w:t>
      </w:r>
      <w:r w:rsidRPr="00D71BD6">
        <w:rPr>
          <w:i/>
          <w:iCs/>
        </w:rPr>
        <w:t>UN global survey on digital and sustainable trade facilitation 2025: Key findings (global overview)</w:t>
      </w:r>
      <w:r w:rsidRPr="00253A6B">
        <w:t xml:space="preserve"> [Conference presentation slides]. </w:t>
      </w:r>
      <w:hyperlink r:id="rId24" w:tgtFrame="_new" w:history="1">
        <w:r w:rsidRPr="00253A6B">
          <w:rPr>
            <w:rStyle w:val="Hyperlink"/>
          </w:rPr>
          <w:t>https://www.unescap.org/sites/default/d8files/event-documents/UNTF%20Survey%202025%20Global%20ESCAP.pdf</w:t>
        </w:r>
      </w:hyperlink>
    </w:p>
    <w:p w14:paraId="10CDC2D0" w14:textId="77777777" w:rsidR="00D71BD6" w:rsidRPr="00253A6B" w:rsidRDefault="00D71BD6" w:rsidP="00D71BD6">
      <w:pPr>
        <w:pStyle w:val="ListParagraph"/>
        <w:numPr>
          <w:ilvl w:val="0"/>
          <w:numId w:val="11"/>
        </w:numPr>
        <w:spacing w:after="160" w:line="259" w:lineRule="auto"/>
        <w:jc w:val="both"/>
      </w:pPr>
      <w:r w:rsidRPr="00253A6B">
        <w:t xml:space="preserve">United Nations Economic Commission for Europe. (2024). </w:t>
      </w:r>
      <w:r w:rsidRPr="00D71BD6">
        <w:rPr>
          <w:i/>
          <w:iCs/>
        </w:rPr>
        <w:t>Digital and sustainable trade facilitation: ECE regional report 2024</w:t>
      </w:r>
      <w:r w:rsidRPr="00253A6B">
        <w:t>. United Nations.</w:t>
      </w:r>
    </w:p>
    <w:p w14:paraId="40B758BD" w14:textId="77777777" w:rsidR="00D71BD6" w:rsidRPr="00D71BD6" w:rsidRDefault="00D71BD6" w:rsidP="00D71BD6">
      <w:pPr>
        <w:pStyle w:val="ListParagraph"/>
        <w:numPr>
          <w:ilvl w:val="0"/>
          <w:numId w:val="11"/>
        </w:numPr>
        <w:jc w:val="both"/>
        <w:rPr>
          <w:shd w:val="clear" w:color="auto" w:fill="FFFFFF"/>
        </w:rPr>
      </w:pPr>
      <w:bookmarkStart w:id="2" w:name="_Hlk174704863"/>
      <w:r w:rsidRPr="00D71BD6">
        <w:rPr>
          <w:shd w:val="clear" w:color="auto" w:fill="FFFFFF"/>
        </w:rPr>
        <w:t>United Nations ESCAP. (2023). Digital and sustainable trade facilitation in the Association of Southeast Asian Nations (ASEAN) 2023.</w:t>
      </w:r>
      <w:bookmarkEnd w:id="2"/>
    </w:p>
    <w:p w14:paraId="54D426D2" w14:textId="77777777" w:rsidR="00D71BD6" w:rsidRPr="00A06E92" w:rsidRDefault="00D71BD6" w:rsidP="00D71BD6">
      <w:pPr>
        <w:pStyle w:val="ListParagraph"/>
        <w:numPr>
          <w:ilvl w:val="0"/>
          <w:numId w:val="11"/>
        </w:numPr>
        <w:jc w:val="both"/>
      </w:pPr>
      <w:r w:rsidRPr="00DD32DE">
        <w:t>Volpe Martincus, C., Carballo, J., Graziano, A. (2015)</w:t>
      </w:r>
      <w:r>
        <w:t>.</w:t>
      </w:r>
      <w:r w:rsidRPr="00DD32DE">
        <w:t xml:space="preserve"> </w:t>
      </w:r>
      <w:r>
        <w:t>“</w:t>
      </w:r>
      <w:r w:rsidRPr="00DD32DE">
        <w:t>Customs</w:t>
      </w:r>
      <w:r>
        <w:t>”,</w:t>
      </w:r>
      <w:r w:rsidRPr="00DD32DE">
        <w:t xml:space="preserve"> Journal of International Economics 96 (1): 119–37. </w:t>
      </w:r>
      <w:hyperlink r:id="rId25" w:history="1">
        <w:r w:rsidRPr="00D71BD6">
          <w:rPr>
            <w:color w:val="0563C1" w:themeColor="hyperlink"/>
            <w:u w:val="single"/>
          </w:rPr>
          <w:t>https://doi.org/10.1016/j.jinteco.2015.01.011</w:t>
        </w:r>
      </w:hyperlink>
      <w:r w:rsidRPr="00D71BD6">
        <w:rPr>
          <w:color w:val="0563C1" w:themeColor="hyperlink"/>
          <w:u w:val="single"/>
        </w:rPr>
        <w:t>.</w:t>
      </w:r>
    </w:p>
    <w:p w14:paraId="69E23029" w14:textId="77777777" w:rsidR="00D71BD6" w:rsidRPr="00DA093F" w:rsidRDefault="00D71BD6" w:rsidP="00D71BD6">
      <w:pPr>
        <w:pStyle w:val="ListParagraph"/>
        <w:numPr>
          <w:ilvl w:val="0"/>
          <w:numId w:val="11"/>
        </w:numPr>
        <w:jc w:val="both"/>
      </w:pPr>
      <w:r w:rsidRPr="00DA093F">
        <w:t>Wilson, N</w:t>
      </w:r>
      <w:r>
        <w:t>. (</w:t>
      </w:r>
      <w:r w:rsidRPr="00DA093F">
        <w:t>2010</w:t>
      </w:r>
      <w:r>
        <w:t>).</w:t>
      </w:r>
      <w:r w:rsidRPr="00DA093F">
        <w:t xml:space="preserve"> “Examining the Effect of Certain Customs and Administrative Procedures on Trade” in OECD Trade Policy Studies, </w:t>
      </w:r>
      <w:r w:rsidRPr="00D71BD6">
        <w:rPr>
          <w:i/>
        </w:rPr>
        <w:t xml:space="preserve">Overcoming Border Bottlenecks: The Costs and Benefits of Trade Facilitation, </w:t>
      </w:r>
      <w:r w:rsidRPr="00DA093F">
        <w:t>Paris: OECD Publishing.</w:t>
      </w:r>
    </w:p>
    <w:p w14:paraId="255E87FD" w14:textId="77777777" w:rsidR="00D71BD6" w:rsidRDefault="00D71BD6" w:rsidP="00D71BD6">
      <w:pPr>
        <w:pStyle w:val="ListParagraph"/>
        <w:numPr>
          <w:ilvl w:val="0"/>
          <w:numId w:val="11"/>
        </w:numPr>
        <w:jc w:val="both"/>
      </w:pPr>
      <w:r w:rsidRPr="00A87213">
        <w:t>W</w:t>
      </w:r>
      <w:r>
        <w:t>orld Trade Organization</w:t>
      </w:r>
      <w:r w:rsidRPr="00A87213">
        <w:t xml:space="preserve"> (2015)</w:t>
      </w:r>
      <w:r>
        <w:t>.</w:t>
      </w:r>
      <w:r w:rsidRPr="00A87213">
        <w:t xml:space="preserve"> </w:t>
      </w:r>
      <w:r>
        <w:t>“</w:t>
      </w:r>
      <w:r w:rsidRPr="00A87213">
        <w:t>World Trade Report 2015—Speeding up</w:t>
      </w:r>
      <w:r w:rsidRPr="00DD32DE">
        <w:t xml:space="preserve"> Trade: Benefits and Challenges of Implementing the WTO Trade Facilitation Agreement</w:t>
      </w:r>
      <w:r>
        <w:t xml:space="preserve">”, </w:t>
      </w:r>
      <w:r w:rsidRPr="00DD32DE">
        <w:t>WTO</w:t>
      </w:r>
      <w:r>
        <w:t>, Geneva.</w:t>
      </w:r>
    </w:p>
    <w:p w14:paraId="3693A863" w14:textId="77777777" w:rsidR="00D71BD6" w:rsidRPr="00D71BD6" w:rsidRDefault="00D71BD6" w:rsidP="00D71BD6">
      <w:pPr>
        <w:pStyle w:val="ListParagraph"/>
        <w:numPr>
          <w:ilvl w:val="0"/>
          <w:numId w:val="11"/>
        </w:numPr>
        <w:jc w:val="both"/>
        <w:rPr>
          <w:shd w:val="clear" w:color="auto" w:fill="FFFFFF"/>
        </w:rPr>
      </w:pPr>
      <w:r w:rsidRPr="00D71BD6">
        <w:rPr>
          <w:shd w:val="clear" w:color="auto" w:fill="FFFFFF"/>
        </w:rPr>
        <w:t>World Trade Organization (2015). World Trade Report 2015: Speeding up trade: benefits and challenges of implementing the WTO Trade Facilitation Agreement, Geneva.</w:t>
      </w:r>
    </w:p>
    <w:p w14:paraId="59AFAFA3" w14:textId="77777777" w:rsidR="00D71BD6" w:rsidRPr="00DA5497" w:rsidRDefault="00D71BD6" w:rsidP="00D71BD6">
      <w:pPr>
        <w:pStyle w:val="ListParagraph"/>
        <w:numPr>
          <w:ilvl w:val="0"/>
          <w:numId w:val="11"/>
        </w:numPr>
        <w:jc w:val="both"/>
      </w:pPr>
      <w:r w:rsidRPr="00D71BD6">
        <w:rPr>
          <w:shd w:val="clear" w:color="auto" w:fill="FFFFFF"/>
        </w:rPr>
        <w:t>World Trade Organization (2023). Trade Policy Tools for Climate Action, World Trade Organization, Geneva.</w:t>
      </w:r>
    </w:p>
    <w:p w14:paraId="43F1D99B" w14:textId="77777777" w:rsidR="00DA5497" w:rsidRPr="004B7627" w:rsidRDefault="00DA5497" w:rsidP="00DA5497">
      <w:pPr>
        <w:pStyle w:val="ListParagraph"/>
        <w:jc w:val="both"/>
      </w:pPr>
    </w:p>
    <w:sectPr w:rsidR="00DA5497" w:rsidRPr="004B7627" w:rsidSect="002A79EA">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21F82" w14:textId="77777777" w:rsidR="00134F42" w:rsidRDefault="00134F42" w:rsidP="00517D34">
      <w:r>
        <w:separator/>
      </w:r>
    </w:p>
  </w:endnote>
  <w:endnote w:type="continuationSeparator" w:id="0">
    <w:p w14:paraId="19A9AAA8" w14:textId="77777777" w:rsidR="00134F42" w:rsidRDefault="00134F42" w:rsidP="00517D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753A1" w14:textId="77777777" w:rsidR="00D84035" w:rsidRDefault="00D840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8767649"/>
      <w:docPartObj>
        <w:docPartGallery w:val="Page Numbers (Bottom of Page)"/>
        <w:docPartUnique/>
      </w:docPartObj>
    </w:sdtPr>
    <w:sdtEndPr>
      <w:rPr>
        <w:noProof/>
      </w:rPr>
    </w:sdtEndPr>
    <w:sdtContent>
      <w:p w14:paraId="0E3D71AA" w14:textId="77777777" w:rsidR="00D84035" w:rsidRDefault="004D3814">
        <w:pPr>
          <w:pStyle w:val="Footer"/>
          <w:jc w:val="right"/>
        </w:pPr>
        <w:r>
          <w:fldChar w:fldCharType="begin"/>
        </w:r>
        <w:r>
          <w:instrText xml:space="preserve"> PAGE   \* MERGEFORMAT </w:instrText>
        </w:r>
        <w:r>
          <w:fldChar w:fldCharType="separate"/>
        </w:r>
        <w:r>
          <w:rPr>
            <w:noProof/>
          </w:rPr>
          <w:t>11</w:t>
        </w:r>
        <w:r>
          <w:rPr>
            <w:noProof/>
          </w:rPr>
          <w:fldChar w:fldCharType="end"/>
        </w:r>
      </w:p>
    </w:sdtContent>
  </w:sdt>
  <w:p w14:paraId="663E3151" w14:textId="77777777" w:rsidR="00D84035" w:rsidRDefault="00D840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1A084" w14:textId="77777777" w:rsidR="00D84035" w:rsidRDefault="00D840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6C5F6" w14:textId="77777777" w:rsidR="00134F42" w:rsidRDefault="00134F42" w:rsidP="00517D34">
      <w:r>
        <w:separator/>
      </w:r>
    </w:p>
  </w:footnote>
  <w:footnote w:type="continuationSeparator" w:id="0">
    <w:p w14:paraId="6844DD6B" w14:textId="77777777" w:rsidR="00134F42" w:rsidRDefault="00134F42" w:rsidP="00517D34">
      <w:r>
        <w:continuationSeparator/>
      </w:r>
    </w:p>
  </w:footnote>
  <w:footnote w:id="1">
    <w:p w14:paraId="53FBC537" w14:textId="77777777" w:rsidR="00D84035" w:rsidRPr="002A42F2" w:rsidRDefault="00D84035" w:rsidP="007377ED">
      <w:pPr>
        <w:pStyle w:val="FootnoteText"/>
        <w:jc w:val="both"/>
        <w:rPr>
          <w:i/>
          <w:iCs/>
        </w:rPr>
      </w:pPr>
      <w:r w:rsidRPr="00EB1100">
        <w:rPr>
          <w:rStyle w:val="FootnoteReference"/>
        </w:rPr>
        <w:footnoteRef/>
      </w:r>
      <w:r w:rsidRPr="00EB1100">
        <w:t xml:space="preserve"> Corresponding author, e-mail: </w:t>
      </w:r>
      <w:hyperlink r:id="rId1" w:history="1">
        <w:r w:rsidRPr="00EB1100">
          <w:rPr>
            <w:rStyle w:val="Hyperlink"/>
          </w:rPr>
          <w:t>katerina@eccf.ukim.edu.mk</w:t>
        </w:r>
      </w:hyperlink>
      <w:r w:rsidRPr="00EB110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D7BE6" w14:textId="77777777" w:rsidR="00D84035" w:rsidRDefault="00D840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F48E" w14:textId="77777777" w:rsidR="00D84035" w:rsidRDefault="00D8403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758FE" w14:textId="77777777" w:rsidR="00D84035" w:rsidRDefault="00D840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C4A22"/>
    <w:multiLevelType w:val="multilevel"/>
    <w:tmpl w:val="71D0DAE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4FA016F"/>
    <w:multiLevelType w:val="hybridMultilevel"/>
    <w:tmpl w:val="5D9206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6E7E1A"/>
    <w:multiLevelType w:val="hybridMultilevel"/>
    <w:tmpl w:val="D1B803CE"/>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4D1686"/>
    <w:multiLevelType w:val="multilevel"/>
    <w:tmpl w:val="9EBC0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085ADA"/>
    <w:multiLevelType w:val="hybridMultilevel"/>
    <w:tmpl w:val="4170B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3159B8"/>
    <w:multiLevelType w:val="hybridMultilevel"/>
    <w:tmpl w:val="7EC4BA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B9255B"/>
    <w:multiLevelType w:val="hybridMultilevel"/>
    <w:tmpl w:val="9FB0CF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2254678"/>
    <w:multiLevelType w:val="hybridMultilevel"/>
    <w:tmpl w:val="B1F213D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B8C78CA"/>
    <w:multiLevelType w:val="hybridMultilevel"/>
    <w:tmpl w:val="716A6E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8F023B"/>
    <w:multiLevelType w:val="multilevel"/>
    <w:tmpl w:val="A196A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C36F85"/>
    <w:multiLevelType w:val="multilevel"/>
    <w:tmpl w:val="1366834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6C43249"/>
    <w:multiLevelType w:val="hybridMultilevel"/>
    <w:tmpl w:val="8D84676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3231586">
    <w:abstractNumId w:val="4"/>
  </w:num>
  <w:num w:numId="2" w16cid:durableId="1276905541">
    <w:abstractNumId w:val="0"/>
  </w:num>
  <w:num w:numId="3" w16cid:durableId="843545104">
    <w:abstractNumId w:val="1"/>
  </w:num>
  <w:num w:numId="4" w16cid:durableId="1835677691">
    <w:abstractNumId w:val="7"/>
  </w:num>
  <w:num w:numId="5" w16cid:durableId="1170439901">
    <w:abstractNumId w:val="10"/>
  </w:num>
  <w:num w:numId="6" w16cid:durableId="1775245715">
    <w:abstractNumId w:val="9"/>
  </w:num>
  <w:num w:numId="7" w16cid:durableId="771896180">
    <w:abstractNumId w:val="11"/>
  </w:num>
  <w:num w:numId="8" w16cid:durableId="1670449121">
    <w:abstractNumId w:val="8"/>
  </w:num>
  <w:num w:numId="9" w16cid:durableId="70587403">
    <w:abstractNumId w:val="2"/>
  </w:num>
  <w:num w:numId="10" w16cid:durableId="1707412421">
    <w:abstractNumId w:val="6"/>
  </w:num>
  <w:num w:numId="11" w16cid:durableId="676931222">
    <w:abstractNumId w:val="5"/>
  </w:num>
  <w:num w:numId="12" w16cid:durableId="9313599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47F"/>
    <w:rsid w:val="00003403"/>
    <w:rsid w:val="000146EB"/>
    <w:rsid w:val="0001565A"/>
    <w:rsid w:val="000229B6"/>
    <w:rsid w:val="00026014"/>
    <w:rsid w:val="00031F0A"/>
    <w:rsid w:val="00034094"/>
    <w:rsid w:val="000347B1"/>
    <w:rsid w:val="0004250C"/>
    <w:rsid w:val="00043040"/>
    <w:rsid w:val="000513BF"/>
    <w:rsid w:val="000722F9"/>
    <w:rsid w:val="0008208E"/>
    <w:rsid w:val="00091340"/>
    <w:rsid w:val="000935AF"/>
    <w:rsid w:val="00094E7B"/>
    <w:rsid w:val="000A34AC"/>
    <w:rsid w:val="000A6CF7"/>
    <w:rsid w:val="000A7625"/>
    <w:rsid w:val="000A77A0"/>
    <w:rsid w:val="000B2BC9"/>
    <w:rsid w:val="000B4900"/>
    <w:rsid w:val="000C4B13"/>
    <w:rsid w:val="000D0229"/>
    <w:rsid w:val="000D26C4"/>
    <w:rsid w:val="000D5ACC"/>
    <w:rsid w:val="000D5E3D"/>
    <w:rsid w:val="000D6A13"/>
    <w:rsid w:val="000E1525"/>
    <w:rsid w:val="000F70F5"/>
    <w:rsid w:val="000F77C9"/>
    <w:rsid w:val="000F7F49"/>
    <w:rsid w:val="00101DF4"/>
    <w:rsid w:val="00101FA1"/>
    <w:rsid w:val="00105513"/>
    <w:rsid w:val="00106466"/>
    <w:rsid w:val="00112EA5"/>
    <w:rsid w:val="0011500A"/>
    <w:rsid w:val="00117DE9"/>
    <w:rsid w:val="00123033"/>
    <w:rsid w:val="00123840"/>
    <w:rsid w:val="00134F42"/>
    <w:rsid w:val="00135137"/>
    <w:rsid w:val="001352C5"/>
    <w:rsid w:val="00137E08"/>
    <w:rsid w:val="001420D7"/>
    <w:rsid w:val="001462F6"/>
    <w:rsid w:val="001538E6"/>
    <w:rsid w:val="0017487B"/>
    <w:rsid w:val="00175A74"/>
    <w:rsid w:val="0018123B"/>
    <w:rsid w:val="00185BFD"/>
    <w:rsid w:val="0018648B"/>
    <w:rsid w:val="00187420"/>
    <w:rsid w:val="00187B65"/>
    <w:rsid w:val="001926F2"/>
    <w:rsid w:val="00194AD1"/>
    <w:rsid w:val="001A64B3"/>
    <w:rsid w:val="001D12B2"/>
    <w:rsid w:val="001D3D5E"/>
    <w:rsid w:val="001E43B0"/>
    <w:rsid w:val="001E4F8D"/>
    <w:rsid w:val="001E5C22"/>
    <w:rsid w:val="00211BDB"/>
    <w:rsid w:val="00216D52"/>
    <w:rsid w:val="0022018A"/>
    <w:rsid w:val="0022113F"/>
    <w:rsid w:val="002242BF"/>
    <w:rsid w:val="002305A8"/>
    <w:rsid w:val="002371D1"/>
    <w:rsid w:val="00241922"/>
    <w:rsid w:val="002419A5"/>
    <w:rsid w:val="002472FE"/>
    <w:rsid w:val="0025025E"/>
    <w:rsid w:val="00250F58"/>
    <w:rsid w:val="0025266C"/>
    <w:rsid w:val="00254A0F"/>
    <w:rsid w:val="00254C3B"/>
    <w:rsid w:val="00256604"/>
    <w:rsid w:val="002577FF"/>
    <w:rsid w:val="002600E9"/>
    <w:rsid w:val="00262202"/>
    <w:rsid w:val="0026336A"/>
    <w:rsid w:val="00263E3E"/>
    <w:rsid w:val="00265AF7"/>
    <w:rsid w:val="00267A33"/>
    <w:rsid w:val="002859FD"/>
    <w:rsid w:val="00294051"/>
    <w:rsid w:val="00297342"/>
    <w:rsid w:val="002A5D8C"/>
    <w:rsid w:val="002A79EA"/>
    <w:rsid w:val="002B18F5"/>
    <w:rsid w:val="002B52EE"/>
    <w:rsid w:val="002C4076"/>
    <w:rsid w:val="002C4B77"/>
    <w:rsid w:val="002D0BCB"/>
    <w:rsid w:val="002D0FBF"/>
    <w:rsid w:val="002D3463"/>
    <w:rsid w:val="002E20D0"/>
    <w:rsid w:val="002E2A54"/>
    <w:rsid w:val="002E4EF3"/>
    <w:rsid w:val="002E7527"/>
    <w:rsid w:val="00301C37"/>
    <w:rsid w:val="00310099"/>
    <w:rsid w:val="003126EA"/>
    <w:rsid w:val="00317368"/>
    <w:rsid w:val="0031749F"/>
    <w:rsid w:val="003221E8"/>
    <w:rsid w:val="003265BD"/>
    <w:rsid w:val="0033544B"/>
    <w:rsid w:val="003370D2"/>
    <w:rsid w:val="00337584"/>
    <w:rsid w:val="0034085E"/>
    <w:rsid w:val="003410E2"/>
    <w:rsid w:val="00350FEA"/>
    <w:rsid w:val="00352728"/>
    <w:rsid w:val="0036149E"/>
    <w:rsid w:val="00363B7A"/>
    <w:rsid w:val="003701F8"/>
    <w:rsid w:val="00372B3E"/>
    <w:rsid w:val="0037662B"/>
    <w:rsid w:val="003855A4"/>
    <w:rsid w:val="003871A1"/>
    <w:rsid w:val="003876C2"/>
    <w:rsid w:val="00397693"/>
    <w:rsid w:val="003A1691"/>
    <w:rsid w:val="003C3EB4"/>
    <w:rsid w:val="003D0B9F"/>
    <w:rsid w:val="003D42CA"/>
    <w:rsid w:val="003D5310"/>
    <w:rsid w:val="003D5CC3"/>
    <w:rsid w:val="003E1155"/>
    <w:rsid w:val="003E1E94"/>
    <w:rsid w:val="003E306D"/>
    <w:rsid w:val="003E319F"/>
    <w:rsid w:val="003F0030"/>
    <w:rsid w:val="003F24DD"/>
    <w:rsid w:val="003F611F"/>
    <w:rsid w:val="00401472"/>
    <w:rsid w:val="0041074C"/>
    <w:rsid w:val="00430C7B"/>
    <w:rsid w:val="00437772"/>
    <w:rsid w:val="00445A96"/>
    <w:rsid w:val="004502A7"/>
    <w:rsid w:val="00450FD5"/>
    <w:rsid w:val="00451D59"/>
    <w:rsid w:val="00453F47"/>
    <w:rsid w:val="00455642"/>
    <w:rsid w:val="00473B3E"/>
    <w:rsid w:val="00474448"/>
    <w:rsid w:val="004907C1"/>
    <w:rsid w:val="00493D17"/>
    <w:rsid w:val="004943BE"/>
    <w:rsid w:val="004A43D3"/>
    <w:rsid w:val="004B16A9"/>
    <w:rsid w:val="004C2056"/>
    <w:rsid w:val="004C282B"/>
    <w:rsid w:val="004C2B9B"/>
    <w:rsid w:val="004C4FB3"/>
    <w:rsid w:val="004D0089"/>
    <w:rsid w:val="004D3814"/>
    <w:rsid w:val="004D6DFE"/>
    <w:rsid w:val="004D78F8"/>
    <w:rsid w:val="005047E3"/>
    <w:rsid w:val="00506B27"/>
    <w:rsid w:val="00516EDA"/>
    <w:rsid w:val="00517D34"/>
    <w:rsid w:val="005308BA"/>
    <w:rsid w:val="00534805"/>
    <w:rsid w:val="0054665C"/>
    <w:rsid w:val="00547CE9"/>
    <w:rsid w:val="0055136A"/>
    <w:rsid w:val="00554E8D"/>
    <w:rsid w:val="00560B2C"/>
    <w:rsid w:val="00577E2E"/>
    <w:rsid w:val="00581473"/>
    <w:rsid w:val="005831B3"/>
    <w:rsid w:val="005832A8"/>
    <w:rsid w:val="005846FD"/>
    <w:rsid w:val="00587E71"/>
    <w:rsid w:val="0059105A"/>
    <w:rsid w:val="00593E78"/>
    <w:rsid w:val="00594313"/>
    <w:rsid w:val="00596394"/>
    <w:rsid w:val="005A1B14"/>
    <w:rsid w:val="005B37E8"/>
    <w:rsid w:val="005B5B89"/>
    <w:rsid w:val="005C3D3B"/>
    <w:rsid w:val="005C3FF6"/>
    <w:rsid w:val="005C538F"/>
    <w:rsid w:val="005D44C2"/>
    <w:rsid w:val="005D7648"/>
    <w:rsid w:val="005D7673"/>
    <w:rsid w:val="005E2091"/>
    <w:rsid w:val="005E50BD"/>
    <w:rsid w:val="005E63FA"/>
    <w:rsid w:val="005F3146"/>
    <w:rsid w:val="005F393B"/>
    <w:rsid w:val="00610546"/>
    <w:rsid w:val="006123FD"/>
    <w:rsid w:val="00615ECA"/>
    <w:rsid w:val="00617667"/>
    <w:rsid w:val="006276E4"/>
    <w:rsid w:val="00636707"/>
    <w:rsid w:val="0064345C"/>
    <w:rsid w:val="00644890"/>
    <w:rsid w:val="00654CAF"/>
    <w:rsid w:val="00655F21"/>
    <w:rsid w:val="006727AD"/>
    <w:rsid w:val="00681083"/>
    <w:rsid w:val="00682D3F"/>
    <w:rsid w:val="0069097F"/>
    <w:rsid w:val="00690F0F"/>
    <w:rsid w:val="00691A59"/>
    <w:rsid w:val="00693A89"/>
    <w:rsid w:val="0069627C"/>
    <w:rsid w:val="006A0689"/>
    <w:rsid w:val="006A447F"/>
    <w:rsid w:val="006A7D19"/>
    <w:rsid w:val="006B1D57"/>
    <w:rsid w:val="006B215F"/>
    <w:rsid w:val="006B2CD6"/>
    <w:rsid w:val="006B7BA8"/>
    <w:rsid w:val="006C134D"/>
    <w:rsid w:val="006C23F2"/>
    <w:rsid w:val="006C37F4"/>
    <w:rsid w:val="006F2882"/>
    <w:rsid w:val="006F5203"/>
    <w:rsid w:val="006F721D"/>
    <w:rsid w:val="00700949"/>
    <w:rsid w:val="007114E9"/>
    <w:rsid w:val="007148C6"/>
    <w:rsid w:val="00714E05"/>
    <w:rsid w:val="00715C81"/>
    <w:rsid w:val="007162AE"/>
    <w:rsid w:val="0072121B"/>
    <w:rsid w:val="00721C0C"/>
    <w:rsid w:val="00722DAC"/>
    <w:rsid w:val="00725726"/>
    <w:rsid w:val="00725C0E"/>
    <w:rsid w:val="007309B1"/>
    <w:rsid w:val="007377ED"/>
    <w:rsid w:val="00744D97"/>
    <w:rsid w:val="0074546E"/>
    <w:rsid w:val="007459FD"/>
    <w:rsid w:val="00762ACD"/>
    <w:rsid w:val="00764EFC"/>
    <w:rsid w:val="007654A7"/>
    <w:rsid w:val="00772574"/>
    <w:rsid w:val="0077664A"/>
    <w:rsid w:val="0079045E"/>
    <w:rsid w:val="0079134F"/>
    <w:rsid w:val="00793223"/>
    <w:rsid w:val="007A7BE9"/>
    <w:rsid w:val="007C06BB"/>
    <w:rsid w:val="007C4D2B"/>
    <w:rsid w:val="007D0FC6"/>
    <w:rsid w:val="007D28B9"/>
    <w:rsid w:val="007D42AF"/>
    <w:rsid w:val="007D5FD2"/>
    <w:rsid w:val="007E0623"/>
    <w:rsid w:val="007E0DC9"/>
    <w:rsid w:val="007E2F97"/>
    <w:rsid w:val="007F28F0"/>
    <w:rsid w:val="007F6FFA"/>
    <w:rsid w:val="008010E8"/>
    <w:rsid w:val="008010F2"/>
    <w:rsid w:val="0080151E"/>
    <w:rsid w:val="00801ACF"/>
    <w:rsid w:val="008075FB"/>
    <w:rsid w:val="00811682"/>
    <w:rsid w:val="0081327F"/>
    <w:rsid w:val="00813525"/>
    <w:rsid w:val="00816E38"/>
    <w:rsid w:val="00817182"/>
    <w:rsid w:val="00821770"/>
    <w:rsid w:val="008230B6"/>
    <w:rsid w:val="00823E54"/>
    <w:rsid w:val="0084515E"/>
    <w:rsid w:val="00851AFC"/>
    <w:rsid w:val="008544EC"/>
    <w:rsid w:val="00866E0C"/>
    <w:rsid w:val="00870461"/>
    <w:rsid w:val="00870FB9"/>
    <w:rsid w:val="008766B8"/>
    <w:rsid w:val="00881BF1"/>
    <w:rsid w:val="0088231C"/>
    <w:rsid w:val="00884F3E"/>
    <w:rsid w:val="00885CAC"/>
    <w:rsid w:val="00886336"/>
    <w:rsid w:val="00890954"/>
    <w:rsid w:val="00892955"/>
    <w:rsid w:val="008932BC"/>
    <w:rsid w:val="00897A40"/>
    <w:rsid w:val="008A2408"/>
    <w:rsid w:val="008A266A"/>
    <w:rsid w:val="008A7B6E"/>
    <w:rsid w:val="008B2D9E"/>
    <w:rsid w:val="008B333A"/>
    <w:rsid w:val="008B54A0"/>
    <w:rsid w:val="008C6C62"/>
    <w:rsid w:val="008D2A54"/>
    <w:rsid w:val="008D578D"/>
    <w:rsid w:val="008D716C"/>
    <w:rsid w:val="008E0EE7"/>
    <w:rsid w:val="008E6077"/>
    <w:rsid w:val="008E6FC6"/>
    <w:rsid w:val="008F3F75"/>
    <w:rsid w:val="008F5380"/>
    <w:rsid w:val="008F5DC5"/>
    <w:rsid w:val="008F7DCB"/>
    <w:rsid w:val="00911EE3"/>
    <w:rsid w:val="009133C1"/>
    <w:rsid w:val="00917FD4"/>
    <w:rsid w:val="00932B42"/>
    <w:rsid w:val="00942741"/>
    <w:rsid w:val="00943050"/>
    <w:rsid w:val="00943651"/>
    <w:rsid w:val="00951FF5"/>
    <w:rsid w:val="009619CE"/>
    <w:rsid w:val="00961D40"/>
    <w:rsid w:val="00961F6F"/>
    <w:rsid w:val="00965A71"/>
    <w:rsid w:val="00981F54"/>
    <w:rsid w:val="009937C0"/>
    <w:rsid w:val="009B25DF"/>
    <w:rsid w:val="009B52E1"/>
    <w:rsid w:val="009C4A4C"/>
    <w:rsid w:val="009D5FAB"/>
    <w:rsid w:val="009D7DF0"/>
    <w:rsid w:val="009E3317"/>
    <w:rsid w:val="009E447A"/>
    <w:rsid w:val="009E69BA"/>
    <w:rsid w:val="009F0932"/>
    <w:rsid w:val="009F0F1D"/>
    <w:rsid w:val="009F2682"/>
    <w:rsid w:val="00A05FB5"/>
    <w:rsid w:val="00A06E92"/>
    <w:rsid w:val="00A33194"/>
    <w:rsid w:val="00A3590C"/>
    <w:rsid w:val="00A368B7"/>
    <w:rsid w:val="00A43283"/>
    <w:rsid w:val="00A45851"/>
    <w:rsid w:val="00A6031F"/>
    <w:rsid w:val="00A71208"/>
    <w:rsid w:val="00A729FD"/>
    <w:rsid w:val="00A86774"/>
    <w:rsid w:val="00A87548"/>
    <w:rsid w:val="00A93684"/>
    <w:rsid w:val="00A93D5F"/>
    <w:rsid w:val="00A942C0"/>
    <w:rsid w:val="00A975C7"/>
    <w:rsid w:val="00AA2AE6"/>
    <w:rsid w:val="00AA2F1C"/>
    <w:rsid w:val="00AB1723"/>
    <w:rsid w:val="00AB1E29"/>
    <w:rsid w:val="00AB681E"/>
    <w:rsid w:val="00AD05C1"/>
    <w:rsid w:val="00AD308F"/>
    <w:rsid w:val="00AE7503"/>
    <w:rsid w:val="00B00A20"/>
    <w:rsid w:val="00B02ED1"/>
    <w:rsid w:val="00B0447D"/>
    <w:rsid w:val="00B16413"/>
    <w:rsid w:val="00B178AD"/>
    <w:rsid w:val="00B2406F"/>
    <w:rsid w:val="00B26E2D"/>
    <w:rsid w:val="00B27DB4"/>
    <w:rsid w:val="00B30B43"/>
    <w:rsid w:val="00B3242E"/>
    <w:rsid w:val="00B35F3F"/>
    <w:rsid w:val="00B37262"/>
    <w:rsid w:val="00B372C8"/>
    <w:rsid w:val="00B44CF8"/>
    <w:rsid w:val="00B47A04"/>
    <w:rsid w:val="00B5124B"/>
    <w:rsid w:val="00B54BD7"/>
    <w:rsid w:val="00B6131C"/>
    <w:rsid w:val="00B643C3"/>
    <w:rsid w:val="00B65CA9"/>
    <w:rsid w:val="00B6726A"/>
    <w:rsid w:val="00B67342"/>
    <w:rsid w:val="00B769F4"/>
    <w:rsid w:val="00B77AB4"/>
    <w:rsid w:val="00B81337"/>
    <w:rsid w:val="00B86BD5"/>
    <w:rsid w:val="00BA7CF5"/>
    <w:rsid w:val="00BB2230"/>
    <w:rsid w:val="00BB6515"/>
    <w:rsid w:val="00BB6603"/>
    <w:rsid w:val="00BB75E7"/>
    <w:rsid w:val="00BC3A51"/>
    <w:rsid w:val="00BC6547"/>
    <w:rsid w:val="00BD3FE6"/>
    <w:rsid w:val="00BD575A"/>
    <w:rsid w:val="00BD7718"/>
    <w:rsid w:val="00BE27E6"/>
    <w:rsid w:val="00BE29A7"/>
    <w:rsid w:val="00BE560C"/>
    <w:rsid w:val="00BE72EB"/>
    <w:rsid w:val="00C23E0B"/>
    <w:rsid w:val="00C30212"/>
    <w:rsid w:val="00C31744"/>
    <w:rsid w:val="00C31C9D"/>
    <w:rsid w:val="00C40AD3"/>
    <w:rsid w:val="00C41A9C"/>
    <w:rsid w:val="00C55BD2"/>
    <w:rsid w:val="00C628F4"/>
    <w:rsid w:val="00C67457"/>
    <w:rsid w:val="00C77C72"/>
    <w:rsid w:val="00C83E2D"/>
    <w:rsid w:val="00C84B26"/>
    <w:rsid w:val="00C85205"/>
    <w:rsid w:val="00C87526"/>
    <w:rsid w:val="00CA38D6"/>
    <w:rsid w:val="00CB6072"/>
    <w:rsid w:val="00CC2C0A"/>
    <w:rsid w:val="00CE3FC6"/>
    <w:rsid w:val="00CE417D"/>
    <w:rsid w:val="00CE7261"/>
    <w:rsid w:val="00CF5020"/>
    <w:rsid w:val="00D06464"/>
    <w:rsid w:val="00D06688"/>
    <w:rsid w:val="00D33523"/>
    <w:rsid w:val="00D53CF0"/>
    <w:rsid w:val="00D56907"/>
    <w:rsid w:val="00D70ECA"/>
    <w:rsid w:val="00D71BD6"/>
    <w:rsid w:val="00D82F58"/>
    <w:rsid w:val="00D84035"/>
    <w:rsid w:val="00D90633"/>
    <w:rsid w:val="00D9365B"/>
    <w:rsid w:val="00D95899"/>
    <w:rsid w:val="00DA093F"/>
    <w:rsid w:val="00DA500E"/>
    <w:rsid w:val="00DA5497"/>
    <w:rsid w:val="00DA6629"/>
    <w:rsid w:val="00DB3B19"/>
    <w:rsid w:val="00DC0C01"/>
    <w:rsid w:val="00DC2DAA"/>
    <w:rsid w:val="00DC33A1"/>
    <w:rsid w:val="00DC3531"/>
    <w:rsid w:val="00DC3872"/>
    <w:rsid w:val="00DC47A2"/>
    <w:rsid w:val="00DC4A0D"/>
    <w:rsid w:val="00DC4E2A"/>
    <w:rsid w:val="00DC5F37"/>
    <w:rsid w:val="00DD02FE"/>
    <w:rsid w:val="00E008EC"/>
    <w:rsid w:val="00E00C2F"/>
    <w:rsid w:val="00E01408"/>
    <w:rsid w:val="00E031A5"/>
    <w:rsid w:val="00E1568F"/>
    <w:rsid w:val="00E17D21"/>
    <w:rsid w:val="00E214D7"/>
    <w:rsid w:val="00E22635"/>
    <w:rsid w:val="00E3370C"/>
    <w:rsid w:val="00E36BD4"/>
    <w:rsid w:val="00E51554"/>
    <w:rsid w:val="00E521D8"/>
    <w:rsid w:val="00E523AA"/>
    <w:rsid w:val="00E53636"/>
    <w:rsid w:val="00E55664"/>
    <w:rsid w:val="00E57D97"/>
    <w:rsid w:val="00E6343B"/>
    <w:rsid w:val="00E65087"/>
    <w:rsid w:val="00E66B58"/>
    <w:rsid w:val="00E7115A"/>
    <w:rsid w:val="00E877B1"/>
    <w:rsid w:val="00E90C22"/>
    <w:rsid w:val="00EA5628"/>
    <w:rsid w:val="00EA5799"/>
    <w:rsid w:val="00EB1100"/>
    <w:rsid w:val="00EB2502"/>
    <w:rsid w:val="00EB3C7C"/>
    <w:rsid w:val="00EC1E4B"/>
    <w:rsid w:val="00EC67C9"/>
    <w:rsid w:val="00EC75C1"/>
    <w:rsid w:val="00EC7BA1"/>
    <w:rsid w:val="00EC7D66"/>
    <w:rsid w:val="00ED2306"/>
    <w:rsid w:val="00ED300D"/>
    <w:rsid w:val="00EE2521"/>
    <w:rsid w:val="00EE2658"/>
    <w:rsid w:val="00EE3F46"/>
    <w:rsid w:val="00EE3FB3"/>
    <w:rsid w:val="00EE51E7"/>
    <w:rsid w:val="00EF24AC"/>
    <w:rsid w:val="00EF398C"/>
    <w:rsid w:val="00EF4E91"/>
    <w:rsid w:val="00F025C6"/>
    <w:rsid w:val="00F05E23"/>
    <w:rsid w:val="00F102E9"/>
    <w:rsid w:val="00F107B7"/>
    <w:rsid w:val="00F11B1D"/>
    <w:rsid w:val="00F11CE0"/>
    <w:rsid w:val="00F14187"/>
    <w:rsid w:val="00F154C3"/>
    <w:rsid w:val="00F20140"/>
    <w:rsid w:val="00F208F6"/>
    <w:rsid w:val="00F27FBC"/>
    <w:rsid w:val="00F322A0"/>
    <w:rsid w:val="00F50F3C"/>
    <w:rsid w:val="00F51086"/>
    <w:rsid w:val="00F53B28"/>
    <w:rsid w:val="00F75494"/>
    <w:rsid w:val="00F82686"/>
    <w:rsid w:val="00F8741F"/>
    <w:rsid w:val="00F93D59"/>
    <w:rsid w:val="00F940D9"/>
    <w:rsid w:val="00F94F6D"/>
    <w:rsid w:val="00FA24E2"/>
    <w:rsid w:val="00FA2824"/>
    <w:rsid w:val="00FC1DDE"/>
    <w:rsid w:val="00FC258A"/>
    <w:rsid w:val="00FC3C94"/>
    <w:rsid w:val="00FC7646"/>
    <w:rsid w:val="00FD4E63"/>
    <w:rsid w:val="00FE76C5"/>
    <w:rsid w:val="00FF2D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4D1F2"/>
  <w15:docId w15:val="{6A5D4EA7-FCCD-4ACF-9005-89EE82C9A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7D3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593E7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93E78"/>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BA7CF5"/>
    <w:pPr>
      <w:spacing w:before="100" w:beforeAutospacing="1" w:after="100" w:afterAutospacing="1"/>
      <w:outlineLvl w:val="3"/>
    </w:pPr>
    <w:rPr>
      <w:b/>
      <w:bCs/>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7D34"/>
    <w:pPr>
      <w:ind w:left="720"/>
      <w:contextualSpacing/>
    </w:pPr>
  </w:style>
  <w:style w:type="paragraph" w:styleId="FootnoteText">
    <w:name w:val="footnote text"/>
    <w:aliases w:val="Tekst przypisu,single space,FOOTNOTES,fn,Podrozdział,Fußnote,Footnote,Podrozdzia3,przypis,footnote text,Schriftart: 9 pt,Schriftart: 10 pt,Schriftart: 8 pt,WB-Fußnotentext,Footnotes,Footnote ak,Text poznámky pod čiarou Char Char, Char"/>
    <w:basedOn w:val="Normal"/>
    <w:link w:val="FootnoteTextChar"/>
    <w:semiHidden/>
    <w:rsid w:val="00517D34"/>
    <w:rPr>
      <w:sz w:val="20"/>
      <w:szCs w:val="20"/>
      <w:lang w:val="en-GB" w:eastAsia="en-GB"/>
    </w:rPr>
  </w:style>
  <w:style w:type="character" w:customStyle="1" w:styleId="FootnoteTextChar">
    <w:name w:val="Footnote Text Char"/>
    <w:aliases w:val="Tekst przypisu Char,single space Char,FOOTNOTES Char,fn Char,Podrozdział Char,Fußnote Char,Footnote Char,Podrozdzia3 Char,przypis Char,footnote text Char,Schriftart: 9 pt Char,Schriftart: 10 pt Char,Schriftart: 8 pt Char, Char Char"/>
    <w:basedOn w:val="DefaultParagraphFont"/>
    <w:link w:val="FootnoteText"/>
    <w:semiHidden/>
    <w:rsid w:val="00517D34"/>
    <w:rPr>
      <w:rFonts w:ascii="Times New Roman" w:eastAsia="Times New Roman" w:hAnsi="Times New Roman" w:cs="Times New Roman"/>
      <w:sz w:val="20"/>
      <w:szCs w:val="20"/>
      <w:lang w:eastAsia="en-GB"/>
    </w:rPr>
  </w:style>
  <w:style w:type="character" w:styleId="FootnoteReference">
    <w:name w:val="footnote reference"/>
    <w:aliases w:val="BVI fnr,Footnote Reference Number,Odwołanie przypisu,Footnote symbol,SUPERS"/>
    <w:semiHidden/>
    <w:rsid w:val="00517D34"/>
    <w:rPr>
      <w:vertAlign w:val="superscript"/>
    </w:rPr>
  </w:style>
  <w:style w:type="character" w:customStyle="1" w:styleId="BalloonTextChar">
    <w:name w:val="Balloon Text Char"/>
    <w:basedOn w:val="DefaultParagraphFont"/>
    <w:link w:val="BalloonText"/>
    <w:uiPriority w:val="99"/>
    <w:semiHidden/>
    <w:rsid w:val="00517D34"/>
    <w:rPr>
      <w:rFonts w:ascii="Tahoma" w:hAnsi="Tahoma" w:cs="Tahoma"/>
      <w:sz w:val="16"/>
      <w:szCs w:val="16"/>
    </w:rPr>
  </w:style>
  <w:style w:type="paragraph" w:styleId="BalloonText">
    <w:name w:val="Balloon Text"/>
    <w:basedOn w:val="Normal"/>
    <w:link w:val="BalloonTextChar"/>
    <w:uiPriority w:val="99"/>
    <w:semiHidden/>
    <w:unhideWhenUsed/>
    <w:rsid w:val="00517D34"/>
    <w:rPr>
      <w:rFonts w:ascii="Tahoma" w:eastAsiaTheme="minorHAnsi" w:hAnsi="Tahoma" w:cs="Tahoma"/>
      <w:sz w:val="16"/>
      <w:szCs w:val="16"/>
      <w:lang w:val="en-GB"/>
    </w:rPr>
  </w:style>
  <w:style w:type="character" w:customStyle="1" w:styleId="BalloonTextChar1">
    <w:name w:val="Balloon Text Char1"/>
    <w:basedOn w:val="DefaultParagraphFont"/>
    <w:uiPriority w:val="99"/>
    <w:semiHidden/>
    <w:rsid w:val="00517D34"/>
    <w:rPr>
      <w:rFonts w:ascii="Segoe UI" w:eastAsia="Times New Roman" w:hAnsi="Segoe UI" w:cs="Segoe UI"/>
      <w:sz w:val="18"/>
      <w:szCs w:val="18"/>
      <w:lang w:val="en-US"/>
    </w:rPr>
  </w:style>
  <w:style w:type="character" w:styleId="Hyperlink">
    <w:name w:val="Hyperlink"/>
    <w:basedOn w:val="DefaultParagraphFont"/>
    <w:uiPriority w:val="99"/>
    <w:unhideWhenUsed/>
    <w:rsid w:val="00517D34"/>
    <w:rPr>
      <w:color w:val="0563C1" w:themeColor="hyperlink"/>
      <w:u w:val="single"/>
    </w:rPr>
  </w:style>
  <w:style w:type="paragraph" w:styleId="Header">
    <w:name w:val="header"/>
    <w:basedOn w:val="Normal"/>
    <w:link w:val="HeaderChar"/>
    <w:uiPriority w:val="99"/>
    <w:unhideWhenUsed/>
    <w:rsid w:val="00517D34"/>
    <w:pPr>
      <w:tabs>
        <w:tab w:val="center" w:pos="4680"/>
        <w:tab w:val="right" w:pos="9360"/>
      </w:tabs>
    </w:pPr>
  </w:style>
  <w:style w:type="character" w:customStyle="1" w:styleId="HeaderChar">
    <w:name w:val="Header Char"/>
    <w:basedOn w:val="DefaultParagraphFont"/>
    <w:link w:val="Header"/>
    <w:uiPriority w:val="99"/>
    <w:rsid w:val="00517D3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517D34"/>
    <w:pPr>
      <w:tabs>
        <w:tab w:val="center" w:pos="4680"/>
        <w:tab w:val="right" w:pos="9360"/>
      </w:tabs>
    </w:pPr>
  </w:style>
  <w:style w:type="character" w:customStyle="1" w:styleId="FooterChar">
    <w:name w:val="Footer Char"/>
    <w:basedOn w:val="DefaultParagraphFont"/>
    <w:link w:val="Footer"/>
    <w:uiPriority w:val="99"/>
    <w:rsid w:val="00517D34"/>
    <w:rPr>
      <w:rFonts w:ascii="Times New Roman" w:eastAsia="Times New Roman" w:hAnsi="Times New Roman" w:cs="Times New Roman"/>
      <w:sz w:val="24"/>
      <w:szCs w:val="24"/>
      <w:lang w:val="en-US"/>
    </w:rPr>
  </w:style>
  <w:style w:type="character" w:customStyle="1" w:styleId="allowtextselection">
    <w:name w:val="allowtextselection"/>
    <w:basedOn w:val="DefaultParagraphFont"/>
    <w:rsid w:val="00517D34"/>
  </w:style>
  <w:style w:type="paragraph" w:styleId="EndnoteText">
    <w:name w:val="endnote text"/>
    <w:basedOn w:val="Normal"/>
    <w:link w:val="EndnoteTextChar"/>
    <w:uiPriority w:val="99"/>
    <w:semiHidden/>
    <w:unhideWhenUsed/>
    <w:rsid w:val="00517D34"/>
    <w:rPr>
      <w:sz w:val="20"/>
      <w:szCs w:val="20"/>
    </w:rPr>
  </w:style>
  <w:style w:type="character" w:customStyle="1" w:styleId="EndnoteTextChar">
    <w:name w:val="Endnote Text Char"/>
    <w:basedOn w:val="DefaultParagraphFont"/>
    <w:link w:val="EndnoteText"/>
    <w:uiPriority w:val="99"/>
    <w:semiHidden/>
    <w:rsid w:val="00517D34"/>
    <w:rPr>
      <w:rFonts w:ascii="Times New Roman" w:eastAsia="Times New Roman" w:hAnsi="Times New Roman" w:cs="Times New Roman"/>
      <w:sz w:val="20"/>
      <w:szCs w:val="20"/>
      <w:lang w:val="en-US"/>
    </w:rPr>
  </w:style>
  <w:style w:type="character" w:styleId="EndnoteReference">
    <w:name w:val="endnote reference"/>
    <w:basedOn w:val="DefaultParagraphFont"/>
    <w:uiPriority w:val="99"/>
    <w:semiHidden/>
    <w:unhideWhenUsed/>
    <w:rsid w:val="00517D34"/>
    <w:rPr>
      <w:vertAlign w:val="superscript"/>
    </w:rPr>
  </w:style>
  <w:style w:type="character" w:styleId="PlaceholderText">
    <w:name w:val="Placeholder Text"/>
    <w:basedOn w:val="DefaultParagraphFont"/>
    <w:uiPriority w:val="99"/>
    <w:semiHidden/>
    <w:rsid w:val="00517D34"/>
    <w:rPr>
      <w:color w:val="808080"/>
    </w:rPr>
  </w:style>
  <w:style w:type="paragraph" w:customStyle="1" w:styleId="Default">
    <w:name w:val="Default"/>
    <w:rsid w:val="00517D34"/>
    <w:pPr>
      <w:autoSpaceDE w:val="0"/>
      <w:autoSpaceDN w:val="0"/>
      <w:adjustRightInd w:val="0"/>
      <w:spacing w:after="0" w:line="240" w:lineRule="auto"/>
    </w:pPr>
    <w:rPr>
      <w:rFonts w:ascii="Times New Roman" w:hAnsi="Times New Roman" w:cs="Times New Roman"/>
      <w:color w:val="000000"/>
      <w:sz w:val="24"/>
      <w:szCs w:val="24"/>
      <w:lang w:val="da-DK"/>
    </w:rPr>
  </w:style>
  <w:style w:type="character" w:styleId="FollowedHyperlink">
    <w:name w:val="FollowedHyperlink"/>
    <w:basedOn w:val="DefaultParagraphFont"/>
    <w:uiPriority w:val="99"/>
    <w:semiHidden/>
    <w:unhideWhenUsed/>
    <w:rsid w:val="00517D34"/>
    <w:rPr>
      <w:color w:val="954F72" w:themeColor="followedHyperlink"/>
      <w:u w:val="single"/>
    </w:rPr>
  </w:style>
  <w:style w:type="character" w:styleId="CommentReference">
    <w:name w:val="annotation reference"/>
    <w:basedOn w:val="DefaultParagraphFont"/>
    <w:uiPriority w:val="99"/>
    <w:semiHidden/>
    <w:unhideWhenUsed/>
    <w:rsid w:val="00517D34"/>
    <w:rPr>
      <w:sz w:val="16"/>
      <w:szCs w:val="16"/>
    </w:rPr>
  </w:style>
  <w:style w:type="paragraph" w:styleId="CommentText">
    <w:name w:val="annotation text"/>
    <w:basedOn w:val="Normal"/>
    <w:link w:val="CommentTextChar"/>
    <w:uiPriority w:val="99"/>
    <w:semiHidden/>
    <w:unhideWhenUsed/>
    <w:rsid w:val="00517D34"/>
    <w:rPr>
      <w:sz w:val="20"/>
      <w:szCs w:val="20"/>
    </w:rPr>
  </w:style>
  <w:style w:type="character" w:customStyle="1" w:styleId="CommentTextChar">
    <w:name w:val="Comment Text Char"/>
    <w:basedOn w:val="DefaultParagraphFont"/>
    <w:link w:val="CommentText"/>
    <w:uiPriority w:val="99"/>
    <w:semiHidden/>
    <w:rsid w:val="00517D34"/>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517D34"/>
    <w:rPr>
      <w:b/>
      <w:bCs/>
    </w:rPr>
  </w:style>
  <w:style w:type="character" w:customStyle="1" w:styleId="CommentSubjectChar">
    <w:name w:val="Comment Subject Char"/>
    <w:basedOn w:val="CommentTextChar"/>
    <w:link w:val="CommentSubject"/>
    <w:uiPriority w:val="99"/>
    <w:semiHidden/>
    <w:rsid w:val="00517D34"/>
    <w:rPr>
      <w:rFonts w:ascii="Times New Roman" w:eastAsia="Times New Roman" w:hAnsi="Times New Roman" w:cs="Times New Roman"/>
      <w:b/>
      <w:bCs/>
      <w:sz w:val="20"/>
      <w:szCs w:val="20"/>
      <w:lang w:val="en-US"/>
    </w:rPr>
  </w:style>
  <w:style w:type="character" w:styleId="HTMLCite">
    <w:name w:val="HTML Cite"/>
    <w:basedOn w:val="DefaultParagraphFont"/>
    <w:uiPriority w:val="99"/>
    <w:semiHidden/>
    <w:unhideWhenUsed/>
    <w:rsid w:val="00517D34"/>
    <w:rPr>
      <w:i/>
      <w:iCs/>
    </w:rPr>
  </w:style>
  <w:style w:type="table" w:styleId="TableGrid">
    <w:name w:val="Table Grid"/>
    <w:basedOn w:val="TableNormal"/>
    <w:uiPriority w:val="39"/>
    <w:rsid w:val="00AB68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C4B77"/>
    <w:pPr>
      <w:spacing w:before="100" w:beforeAutospacing="1" w:after="100" w:afterAutospacing="1"/>
    </w:pPr>
    <w:rPr>
      <w:lang w:val="en-GB" w:eastAsia="en-GB"/>
    </w:rPr>
  </w:style>
  <w:style w:type="paragraph" w:styleId="z-TopofForm">
    <w:name w:val="HTML Top of Form"/>
    <w:basedOn w:val="Normal"/>
    <w:next w:val="Normal"/>
    <w:link w:val="z-TopofFormChar"/>
    <w:hidden/>
    <w:uiPriority w:val="99"/>
    <w:semiHidden/>
    <w:unhideWhenUsed/>
    <w:rsid w:val="002C4B77"/>
    <w:pPr>
      <w:pBdr>
        <w:bottom w:val="single" w:sz="6" w:space="1" w:color="auto"/>
      </w:pBdr>
      <w:jc w:val="center"/>
    </w:pPr>
    <w:rPr>
      <w:rFonts w:ascii="Arial"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2C4B77"/>
    <w:rPr>
      <w:rFonts w:ascii="Arial" w:eastAsia="Times New Roman" w:hAnsi="Arial" w:cs="Arial"/>
      <w:vanish/>
      <w:sz w:val="16"/>
      <w:szCs w:val="16"/>
      <w:lang w:eastAsia="en-GB"/>
    </w:rPr>
  </w:style>
  <w:style w:type="character" w:customStyle="1" w:styleId="Heading4Char">
    <w:name w:val="Heading 4 Char"/>
    <w:basedOn w:val="DefaultParagraphFont"/>
    <w:link w:val="Heading4"/>
    <w:uiPriority w:val="9"/>
    <w:rsid w:val="00BA7CF5"/>
    <w:rPr>
      <w:rFonts w:ascii="Times New Roman" w:eastAsia="Times New Roman" w:hAnsi="Times New Roman" w:cs="Times New Roman"/>
      <w:b/>
      <w:bCs/>
      <w:sz w:val="24"/>
      <w:szCs w:val="24"/>
      <w:lang w:eastAsia="en-GB"/>
    </w:rPr>
  </w:style>
  <w:style w:type="character" w:customStyle="1" w:styleId="Heading1Char">
    <w:name w:val="Heading 1 Char"/>
    <w:basedOn w:val="DefaultParagraphFont"/>
    <w:link w:val="Heading1"/>
    <w:uiPriority w:val="9"/>
    <w:rsid w:val="00593E78"/>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593E78"/>
    <w:rPr>
      <w:rFonts w:asciiTheme="majorHAnsi" w:eastAsiaTheme="majorEastAsia" w:hAnsiTheme="majorHAnsi" w:cstheme="majorBidi"/>
      <w:color w:val="1F3763" w:themeColor="accent1" w:themeShade="7F"/>
      <w:sz w:val="24"/>
      <w:szCs w:val="24"/>
      <w:lang w:val="en-US"/>
    </w:rPr>
  </w:style>
  <w:style w:type="character" w:customStyle="1" w:styleId="author">
    <w:name w:val="author"/>
    <w:basedOn w:val="DefaultParagraphFont"/>
    <w:rsid w:val="00593E78"/>
  </w:style>
  <w:style w:type="character" w:customStyle="1" w:styleId="pubyear">
    <w:name w:val="pubyear"/>
    <w:basedOn w:val="DefaultParagraphFont"/>
    <w:rsid w:val="00593E78"/>
  </w:style>
  <w:style w:type="character" w:customStyle="1" w:styleId="articletitle">
    <w:name w:val="articletitle"/>
    <w:basedOn w:val="DefaultParagraphFont"/>
    <w:rsid w:val="00593E78"/>
  </w:style>
  <w:style w:type="character" w:customStyle="1" w:styleId="vol">
    <w:name w:val="vol"/>
    <w:basedOn w:val="DefaultParagraphFont"/>
    <w:rsid w:val="00593E78"/>
  </w:style>
  <w:style w:type="character" w:customStyle="1" w:styleId="citedissue">
    <w:name w:val="citedissue"/>
    <w:basedOn w:val="DefaultParagraphFont"/>
    <w:rsid w:val="00593E78"/>
  </w:style>
  <w:style w:type="character" w:customStyle="1" w:styleId="pagefirst">
    <w:name w:val="pagefirst"/>
    <w:basedOn w:val="DefaultParagraphFont"/>
    <w:rsid w:val="00593E78"/>
  </w:style>
  <w:style w:type="character" w:customStyle="1" w:styleId="pagelast">
    <w:name w:val="pagelast"/>
    <w:basedOn w:val="DefaultParagraphFont"/>
    <w:rsid w:val="00593E78"/>
  </w:style>
  <w:style w:type="character" w:customStyle="1" w:styleId="accordion-tabbedtab-mobile">
    <w:name w:val="accordion-tabbed__tab-mobile"/>
    <w:basedOn w:val="DefaultParagraphFont"/>
    <w:rsid w:val="00593E78"/>
  </w:style>
  <w:style w:type="character" w:customStyle="1" w:styleId="comma-separator">
    <w:name w:val="comma-separator"/>
    <w:basedOn w:val="DefaultParagraphFont"/>
    <w:rsid w:val="00593E78"/>
  </w:style>
  <w:style w:type="character" w:customStyle="1" w:styleId="val">
    <w:name w:val="val"/>
    <w:basedOn w:val="DefaultParagraphFont"/>
    <w:rsid w:val="00593E78"/>
  </w:style>
  <w:style w:type="character" w:customStyle="1" w:styleId="name">
    <w:name w:val="name"/>
    <w:basedOn w:val="DefaultParagraphFont"/>
    <w:rsid w:val="00593E78"/>
  </w:style>
  <w:style w:type="character" w:customStyle="1" w:styleId="surname">
    <w:name w:val="surname"/>
    <w:basedOn w:val="DefaultParagraphFont"/>
    <w:rsid w:val="00593E78"/>
  </w:style>
  <w:style w:type="character" w:customStyle="1" w:styleId="given-names">
    <w:name w:val="given-names"/>
    <w:basedOn w:val="DefaultParagraphFont"/>
    <w:rsid w:val="00593E78"/>
  </w:style>
  <w:style w:type="character" w:customStyle="1" w:styleId="string-name">
    <w:name w:val="string-name"/>
    <w:basedOn w:val="DefaultParagraphFont"/>
    <w:rsid w:val="00593E78"/>
  </w:style>
  <w:style w:type="character" w:customStyle="1" w:styleId="year">
    <w:name w:val="year"/>
    <w:basedOn w:val="DefaultParagraphFont"/>
    <w:rsid w:val="00593E78"/>
  </w:style>
  <w:style w:type="character" w:customStyle="1" w:styleId="html-italic">
    <w:name w:val="html-italic"/>
    <w:basedOn w:val="DefaultParagraphFont"/>
    <w:rsid w:val="00593E78"/>
  </w:style>
  <w:style w:type="character" w:customStyle="1" w:styleId="UnresolvedMention1">
    <w:name w:val="Unresolved Mention1"/>
    <w:basedOn w:val="DefaultParagraphFont"/>
    <w:uiPriority w:val="99"/>
    <w:semiHidden/>
    <w:unhideWhenUsed/>
    <w:rsid w:val="00106466"/>
    <w:rPr>
      <w:color w:val="605E5C"/>
      <w:shd w:val="clear" w:color="auto" w:fill="E1DFDD"/>
    </w:rPr>
  </w:style>
  <w:style w:type="character" w:customStyle="1" w:styleId="UnresolvedMention2">
    <w:name w:val="Unresolved Mention2"/>
    <w:basedOn w:val="DefaultParagraphFont"/>
    <w:uiPriority w:val="99"/>
    <w:semiHidden/>
    <w:unhideWhenUsed/>
    <w:rsid w:val="00DA093F"/>
    <w:rPr>
      <w:color w:val="605E5C"/>
      <w:shd w:val="clear" w:color="auto" w:fill="E1DFDD"/>
    </w:rPr>
  </w:style>
  <w:style w:type="character" w:styleId="Emphasis">
    <w:name w:val="Emphasis"/>
    <w:basedOn w:val="DefaultParagraphFont"/>
    <w:uiPriority w:val="20"/>
    <w:qFormat/>
    <w:rsid w:val="004C4FB3"/>
    <w:rPr>
      <w:i/>
      <w:iCs/>
    </w:rPr>
  </w:style>
  <w:style w:type="character" w:customStyle="1" w:styleId="ms-button-flexcontainer">
    <w:name w:val="ms-button-flexcontainer"/>
    <w:basedOn w:val="DefaultParagraphFont"/>
    <w:rsid w:val="000C4B13"/>
  </w:style>
  <w:style w:type="character" w:styleId="Strong">
    <w:name w:val="Strong"/>
    <w:basedOn w:val="DefaultParagraphFont"/>
    <w:uiPriority w:val="22"/>
    <w:qFormat/>
    <w:rsid w:val="00C31C9D"/>
    <w:rPr>
      <w:b/>
      <w:bCs/>
    </w:rPr>
  </w:style>
  <w:style w:type="paragraph" w:styleId="Revision">
    <w:name w:val="Revision"/>
    <w:hidden/>
    <w:uiPriority w:val="99"/>
    <w:semiHidden/>
    <w:rsid w:val="00870461"/>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330343">
      <w:bodyDiv w:val="1"/>
      <w:marLeft w:val="0"/>
      <w:marRight w:val="0"/>
      <w:marTop w:val="0"/>
      <w:marBottom w:val="0"/>
      <w:divBdr>
        <w:top w:val="none" w:sz="0" w:space="0" w:color="auto"/>
        <w:left w:val="none" w:sz="0" w:space="0" w:color="auto"/>
        <w:bottom w:val="none" w:sz="0" w:space="0" w:color="auto"/>
        <w:right w:val="none" w:sz="0" w:space="0" w:color="auto"/>
      </w:divBdr>
      <w:divsChild>
        <w:div w:id="75563959">
          <w:marLeft w:val="0"/>
          <w:marRight w:val="0"/>
          <w:marTop w:val="0"/>
          <w:marBottom w:val="0"/>
          <w:divBdr>
            <w:top w:val="none" w:sz="0" w:space="0" w:color="auto"/>
            <w:left w:val="none" w:sz="0" w:space="0" w:color="auto"/>
            <w:bottom w:val="none" w:sz="0" w:space="0" w:color="auto"/>
            <w:right w:val="none" w:sz="0" w:space="0" w:color="auto"/>
          </w:divBdr>
          <w:divsChild>
            <w:div w:id="695736722">
              <w:marLeft w:val="0"/>
              <w:marRight w:val="0"/>
              <w:marTop w:val="0"/>
              <w:marBottom w:val="0"/>
              <w:divBdr>
                <w:top w:val="single" w:sz="2" w:space="0" w:color="D9D9E3"/>
                <w:left w:val="single" w:sz="2" w:space="0" w:color="D9D9E3"/>
                <w:bottom w:val="single" w:sz="2" w:space="0" w:color="D9D9E3"/>
                <w:right w:val="single" w:sz="2" w:space="0" w:color="D9D9E3"/>
              </w:divBdr>
              <w:divsChild>
                <w:div w:id="1208177421">
                  <w:marLeft w:val="0"/>
                  <w:marRight w:val="0"/>
                  <w:marTop w:val="0"/>
                  <w:marBottom w:val="0"/>
                  <w:divBdr>
                    <w:top w:val="single" w:sz="2" w:space="0" w:color="D9D9E3"/>
                    <w:left w:val="single" w:sz="2" w:space="0" w:color="D9D9E3"/>
                    <w:bottom w:val="single" w:sz="2" w:space="0" w:color="D9D9E3"/>
                    <w:right w:val="single" w:sz="2" w:space="0" w:color="D9D9E3"/>
                  </w:divBdr>
                  <w:divsChild>
                    <w:div w:id="840975009">
                      <w:marLeft w:val="0"/>
                      <w:marRight w:val="0"/>
                      <w:marTop w:val="0"/>
                      <w:marBottom w:val="0"/>
                      <w:divBdr>
                        <w:top w:val="single" w:sz="2" w:space="0" w:color="D9D9E3"/>
                        <w:left w:val="single" w:sz="2" w:space="0" w:color="D9D9E3"/>
                        <w:bottom w:val="single" w:sz="2" w:space="0" w:color="D9D9E3"/>
                        <w:right w:val="single" w:sz="2" w:space="0" w:color="D9D9E3"/>
                      </w:divBdr>
                      <w:divsChild>
                        <w:div w:id="729574902">
                          <w:marLeft w:val="0"/>
                          <w:marRight w:val="0"/>
                          <w:marTop w:val="0"/>
                          <w:marBottom w:val="0"/>
                          <w:divBdr>
                            <w:top w:val="single" w:sz="2" w:space="0" w:color="D9D9E3"/>
                            <w:left w:val="single" w:sz="2" w:space="0" w:color="D9D9E3"/>
                            <w:bottom w:val="single" w:sz="2" w:space="0" w:color="D9D9E3"/>
                            <w:right w:val="single" w:sz="2" w:space="0" w:color="D9D9E3"/>
                          </w:divBdr>
                          <w:divsChild>
                            <w:div w:id="1439253476">
                              <w:marLeft w:val="0"/>
                              <w:marRight w:val="0"/>
                              <w:marTop w:val="0"/>
                              <w:marBottom w:val="0"/>
                              <w:divBdr>
                                <w:top w:val="single" w:sz="2" w:space="0" w:color="D9D9E3"/>
                                <w:left w:val="single" w:sz="2" w:space="0" w:color="D9D9E3"/>
                                <w:bottom w:val="single" w:sz="2" w:space="0" w:color="D9D9E3"/>
                                <w:right w:val="single" w:sz="2" w:space="0" w:color="D9D9E3"/>
                              </w:divBdr>
                              <w:divsChild>
                                <w:div w:id="53303382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0924470">
          <w:marLeft w:val="0"/>
          <w:marRight w:val="0"/>
          <w:marTop w:val="0"/>
          <w:marBottom w:val="0"/>
          <w:divBdr>
            <w:top w:val="single" w:sz="2" w:space="0" w:color="D9D9E3"/>
            <w:left w:val="single" w:sz="2" w:space="0" w:color="D9D9E3"/>
            <w:bottom w:val="single" w:sz="2" w:space="0" w:color="D9D9E3"/>
            <w:right w:val="single" w:sz="2" w:space="0" w:color="D9D9E3"/>
          </w:divBdr>
          <w:divsChild>
            <w:div w:id="1254824031">
              <w:marLeft w:val="0"/>
              <w:marRight w:val="0"/>
              <w:marTop w:val="0"/>
              <w:marBottom w:val="0"/>
              <w:divBdr>
                <w:top w:val="single" w:sz="2" w:space="0" w:color="D9D9E3"/>
                <w:left w:val="single" w:sz="2" w:space="0" w:color="D9D9E3"/>
                <w:bottom w:val="single" w:sz="2" w:space="0" w:color="D9D9E3"/>
                <w:right w:val="single" w:sz="2" w:space="0" w:color="D9D9E3"/>
              </w:divBdr>
              <w:divsChild>
                <w:div w:id="443308053">
                  <w:marLeft w:val="0"/>
                  <w:marRight w:val="0"/>
                  <w:marTop w:val="0"/>
                  <w:marBottom w:val="0"/>
                  <w:divBdr>
                    <w:top w:val="single" w:sz="2" w:space="0" w:color="D9D9E3"/>
                    <w:left w:val="single" w:sz="2" w:space="0" w:color="D9D9E3"/>
                    <w:bottom w:val="single" w:sz="2" w:space="0" w:color="D9D9E3"/>
                    <w:right w:val="single" w:sz="2" w:space="0" w:color="D9D9E3"/>
                  </w:divBdr>
                  <w:divsChild>
                    <w:div w:id="2073310586">
                      <w:marLeft w:val="0"/>
                      <w:marRight w:val="0"/>
                      <w:marTop w:val="0"/>
                      <w:marBottom w:val="0"/>
                      <w:divBdr>
                        <w:top w:val="single" w:sz="2" w:space="0" w:color="D9D9E3"/>
                        <w:left w:val="single" w:sz="2" w:space="0" w:color="D9D9E3"/>
                        <w:bottom w:val="single" w:sz="2" w:space="0" w:color="D9D9E3"/>
                        <w:right w:val="single" w:sz="2" w:space="0" w:color="D9D9E3"/>
                      </w:divBdr>
                      <w:divsChild>
                        <w:div w:id="65034142">
                          <w:marLeft w:val="0"/>
                          <w:marRight w:val="0"/>
                          <w:marTop w:val="0"/>
                          <w:marBottom w:val="0"/>
                          <w:divBdr>
                            <w:top w:val="single" w:sz="2" w:space="0" w:color="auto"/>
                            <w:left w:val="single" w:sz="2" w:space="0" w:color="auto"/>
                            <w:bottom w:val="single" w:sz="6" w:space="0" w:color="auto"/>
                            <w:right w:val="single" w:sz="2" w:space="0" w:color="auto"/>
                          </w:divBdr>
                          <w:divsChild>
                            <w:div w:id="876548097">
                              <w:marLeft w:val="0"/>
                              <w:marRight w:val="0"/>
                              <w:marTop w:val="100"/>
                              <w:marBottom w:val="100"/>
                              <w:divBdr>
                                <w:top w:val="single" w:sz="2" w:space="0" w:color="D9D9E3"/>
                                <w:left w:val="single" w:sz="2" w:space="0" w:color="D9D9E3"/>
                                <w:bottom w:val="single" w:sz="2" w:space="0" w:color="D9D9E3"/>
                                <w:right w:val="single" w:sz="2" w:space="0" w:color="D9D9E3"/>
                              </w:divBdr>
                              <w:divsChild>
                                <w:div w:id="818615262">
                                  <w:marLeft w:val="0"/>
                                  <w:marRight w:val="0"/>
                                  <w:marTop w:val="0"/>
                                  <w:marBottom w:val="0"/>
                                  <w:divBdr>
                                    <w:top w:val="single" w:sz="2" w:space="0" w:color="D9D9E3"/>
                                    <w:left w:val="single" w:sz="2" w:space="0" w:color="D9D9E3"/>
                                    <w:bottom w:val="single" w:sz="2" w:space="0" w:color="D9D9E3"/>
                                    <w:right w:val="single" w:sz="2" w:space="0" w:color="D9D9E3"/>
                                  </w:divBdr>
                                  <w:divsChild>
                                    <w:div w:id="967707523">
                                      <w:marLeft w:val="0"/>
                                      <w:marRight w:val="0"/>
                                      <w:marTop w:val="0"/>
                                      <w:marBottom w:val="0"/>
                                      <w:divBdr>
                                        <w:top w:val="single" w:sz="2" w:space="0" w:color="D9D9E3"/>
                                        <w:left w:val="single" w:sz="2" w:space="0" w:color="D9D9E3"/>
                                        <w:bottom w:val="single" w:sz="2" w:space="0" w:color="D9D9E3"/>
                                        <w:right w:val="single" w:sz="2" w:space="0" w:color="D9D9E3"/>
                                      </w:divBdr>
                                      <w:divsChild>
                                        <w:div w:id="16590232">
                                          <w:marLeft w:val="0"/>
                                          <w:marRight w:val="0"/>
                                          <w:marTop w:val="0"/>
                                          <w:marBottom w:val="0"/>
                                          <w:divBdr>
                                            <w:top w:val="single" w:sz="2" w:space="0" w:color="D9D9E3"/>
                                            <w:left w:val="single" w:sz="2" w:space="0" w:color="D9D9E3"/>
                                            <w:bottom w:val="single" w:sz="2" w:space="0" w:color="D9D9E3"/>
                                            <w:right w:val="single" w:sz="2" w:space="0" w:color="D9D9E3"/>
                                          </w:divBdr>
                                          <w:divsChild>
                                            <w:div w:id="10984812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214894353">
      <w:bodyDiv w:val="1"/>
      <w:marLeft w:val="0"/>
      <w:marRight w:val="0"/>
      <w:marTop w:val="0"/>
      <w:marBottom w:val="0"/>
      <w:divBdr>
        <w:top w:val="none" w:sz="0" w:space="0" w:color="auto"/>
        <w:left w:val="none" w:sz="0" w:space="0" w:color="auto"/>
        <w:bottom w:val="none" w:sz="0" w:space="0" w:color="auto"/>
        <w:right w:val="none" w:sz="0" w:space="0" w:color="auto"/>
      </w:divBdr>
    </w:div>
    <w:div w:id="339084499">
      <w:bodyDiv w:val="1"/>
      <w:marLeft w:val="0"/>
      <w:marRight w:val="0"/>
      <w:marTop w:val="0"/>
      <w:marBottom w:val="0"/>
      <w:divBdr>
        <w:top w:val="none" w:sz="0" w:space="0" w:color="auto"/>
        <w:left w:val="none" w:sz="0" w:space="0" w:color="auto"/>
        <w:bottom w:val="none" w:sz="0" w:space="0" w:color="auto"/>
        <w:right w:val="none" w:sz="0" w:space="0" w:color="auto"/>
      </w:divBdr>
    </w:div>
    <w:div w:id="876817849">
      <w:bodyDiv w:val="1"/>
      <w:marLeft w:val="0"/>
      <w:marRight w:val="0"/>
      <w:marTop w:val="0"/>
      <w:marBottom w:val="0"/>
      <w:divBdr>
        <w:top w:val="none" w:sz="0" w:space="0" w:color="auto"/>
        <w:left w:val="none" w:sz="0" w:space="0" w:color="auto"/>
        <w:bottom w:val="none" w:sz="0" w:space="0" w:color="auto"/>
        <w:right w:val="none" w:sz="0" w:space="0" w:color="auto"/>
      </w:divBdr>
    </w:div>
    <w:div w:id="992367560">
      <w:bodyDiv w:val="1"/>
      <w:marLeft w:val="0"/>
      <w:marRight w:val="0"/>
      <w:marTop w:val="0"/>
      <w:marBottom w:val="0"/>
      <w:divBdr>
        <w:top w:val="none" w:sz="0" w:space="0" w:color="auto"/>
        <w:left w:val="none" w:sz="0" w:space="0" w:color="auto"/>
        <w:bottom w:val="none" w:sz="0" w:space="0" w:color="auto"/>
        <w:right w:val="none" w:sz="0" w:space="0" w:color="auto"/>
      </w:divBdr>
    </w:div>
    <w:div w:id="1073237746">
      <w:bodyDiv w:val="1"/>
      <w:marLeft w:val="0"/>
      <w:marRight w:val="0"/>
      <w:marTop w:val="0"/>
      <w:marBottom w:val="0"/>
      <w:divBdr>
        <w:top w:val="none" w:sz="0" w:space="0" w:color="auto"/>
        <w:left w:val="none" w:sz="0" w:space="0" w:color="auto"/>
        <w:bottom w:val="none" w:sz="0" w:space="0" w:color="auto"/>
        <w:right w:val="none" w:sz="0" w:space="0" w:color="auto"/>
      </w:divBdr>
      <w:divsChild>
        <w:div w:id="413016484">
          <w:marLeft w:val="780"/>
          <w:marRight w:val="240"/>
          <w:marTop w:val="180"/>
          <w:marBottom w:val="0"/>
          <w:divBdr>
            <w:top w:val="none" w:sz="0" w:space="0" w:color="auto"/>
            <w:left w:val="none" w:sz="0" w:space="0" w:color="auto"/>
            <w:bottom w:val="none" w:sz="0" w:space="0" w:color="auto"/>
            <w:right w:val="none" w:sz="0" w:space="0" w:color="auto"/>
          </w:divBdr>
          <w:divsChild>
            <w:div w:id="1240291285">
              <w:marLeft w:val="0"/>
              <w:marRight w:val="0"/>
              <w:marTop w:val="0"/>
              <w:marBottom w:val="0"/>
              <w:divBdr>
                <w:top w:val="none" w:sz="0" w:space="0" w:color="auto"/>
                <w:left w:val="none" w:sz="0" w:space="0" w:color="auto"/>
                <w:bottom w:val="none" w:sz="0" w:space="0" w:color="auto"/>
                <w:right w:val="none" w:sz="0" w:space="0" w:color="auto"/>
              </w:divBdr>
              <w:divsChild>
                <w:div w:id="1093549449">
                  <w:marLeft w:val="0"/>
                  <w:marRight w:val="0"/>
                  <w:marTop w:val="0"/>
                  <w:marBottom w:val="0"/>
                  <w:divBdr>
                    <w:top w:val="none" w:sz="0" w:space="0" w:color="auto"/>
                    <w:left w:val="none" w:sz="0" w:space="0" w:color="auto"/>
                    <w:bottom w:val="none" w:sz="0" w:space="0" w:color="auto"/>
                    <w:right w:val="none" w:sz="0" w:space="0" w:color="auto"/>
                  </w:divBdr>
                  <w:divsChild>
                    <w:div w:id="1219365477">
                      <w:marLeft w:val="0"/>
                      <w:marRight w:val="0"/>
                      <w:marTop w:val="0"/>
                      <w:marBottom w:val="0"/>
                      <w:divBdr>
                        <w:top w:val="none" w:sz="0" w:space="0" w:color="auto"/>
                        <w:left w:val="none" w:sz="0" w:space="0" w:color="auto"/>
                        <w:bottom w:val="none" w:sz="0" w:space="0" w:color="auto"/>
                        <w:right w:val="none" w:sz="0" w:space="0" w:color="auto"/>
                      </w:divBdr>
                      <w:divsChild>
                        <w:div w:id="103116810">
                          <w:marLeft w:val="0"/>
                          <w:marRight w:val="0"/>
                          <w:marTop w:val="0"/>
                          <w:marBottom w:val="0"/>
                          <w:divBdr>
                            <w:top w:val="none" w:sz="0" w:space="0" w:color="auto"/>
                            <w:left w:val="none" w:sz="0" w:space="0" w:color="auto"/>
                            <w:bottom w:val="none" w:sz="0" w:space="0" w:color="auto"/>
                            <w:right w:val="none" w:sz="0" w:space="0" w:color="auto"/>
                          </w:divBdr>
                          <w:divsChild>
                            <w:div w:id="597834489">
                              <w:marLeft w:val="0"/>
                              <w:marRight w:val="0"/>
                              <w:marTop w:val="0"/>
                              <w:marBottom w:val="0"/>
                              <w:divBdr>
                                <w:top w:val="none" w:sz="0" w:space="0" w:color="auto"/>
                                <w:left w:val="none" w:sz="0" w:space="0" w:color="auto"/>
                                <w:bottom w:val="none" w:sz="0" w:space="0" w:color="auto"/>
                                <w:right w:val="none" w:sz="0" w:space="0" w:color="auto"/>
                              </w:divBdr>
                              <w:divsChild>
                                <w:div w:id="151094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9860561">
          <w:marLeft w:val="780"/>
          <w:marRight w:val="0"/>
          <w:marTop w:val="180"/>
          <w:marBottom w:val="0"/>
          <w:divBdr>
            <w:top w:val="none" w:sz="0" w:space="0" w:color="auto"/>
            <w:left w:val="none" w:sz="0" w:space="0" w:color="auto"/>
            <w:bottom w:val="none" w:sz="0" w:space="0" w:color="auto"/>
            <w:right w:val="none" w:sz="0" w:space="0" w:color="auto"/>
          </w:divBdr>
        </w:div>
      </w:divsChild>
    </w:div>
    <w:div w:id="12442935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srn.com/abstract=2576526" TargetMode="External"/><Relationship Id="rId18" Type="http://schemas.openxmlformats.org/officeDocument/2006/relationships/hyperlink" Target="https://doi.org/10.1080/09638199.2011.587019"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www.transport-community.org/wp-content/uploads/2024/10/Green_Lanes_Comprehensive_Roadmap.pdf" TargetMode="External"/><Relationship Id="rId7" Type="http://schemas.openxmlformats.org/officeDocument/2006/relationships/endnotes" Target="endnotes.xml"/><Relationship Id="rId12" Type="http://schemas.openxmlformats.org/officeDocument/2006/relationships/hyperlink" Target="https://ssrn.com/abstract=2811356" TargetMode="External"/><Relationship Id="rId17" Type="http://schemas.openxmlformats.org/officeDocument/2006/relationships/hyperlink" Target="https://doi.org/10.1787/fd6f27dc-en" TargetMode="External"/><Relationship Id="rId25" Type="http://schemas.openxmlformats.org/officeDocument/2006/relationships/hyperlink" Target="https://doi.org/10.1016/j.jinteco.2015.01.011"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787/ead1588e-en" TargetMode="External"/><Relationship Id="rId20" Type="http://schemas.openxmlformats.org/officeDocument/2006/relationships/hyperlink" Target="https://www.rcc.int/download/docs/Common%20Regional%20Market%20Action%20Plan%202025-2028.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pi.org.mk/post/31056" TargetMode="External"/><Relationship Id="rId24" Type="http://schemas.openxmlformats.org/officeDocument/2006/relationships/hyperlink" Target="https://www.unescap.org/sites/default/d8files/event-documents/UNTF%20Survey%202025%20Global%20ESCAP.pdf"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1787/dcbc2ea9-en" TargetMode="External"/><Relationship Id="rId23" Type="http://schemas.openxmlformats.org/officeDocument/2006/relationships/hyperlink" Target="https://www.untfsurvey.org/" TargetMode="External"/><Relationship Id="rId28" Type="http://schemas.openxmlformats.org/officeDocument/2006/relationships/footer" Target="footer1.xml"/><Relationship Id="rId10" Type="http://schemas.openxmlformats.org/officeDocument/2006/relationships/hyperlink" Target="https://ssrn.com/abstract=93748" TargetMode="External"/><Relationship Id="rId19" Type="http://schemas.openxmlformats.org/officeDocument/2006/relationships/hyperlink" Target="https://www.ses.org.rs/uploads/ivana-i-radmila_241007_142250_846.pdf?utm_source=chatgpt.com"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cefta.int/projects/seed/" TargetMode="External"/><Relationship Id="rId14" Type="http://schemas.openxmlformats.org/officeDocument/2006/relationships/hyperlink" Target="https://ssrn.com/abstract=2576527" TargetMode="External"/><Relationship Id="rId22" Type="http://schemas.openxmlformats.org/officeDocument/2006/relationships/hyperlink" Target="https://www.untfsurvey.org/"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mailto:katerina@eccf.ukim.edu.m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53F6D2-EFD8-47DA-B406-4F23E5D12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6424</Words>
  <Characters>36621</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Elena Makrevska</dc:creator>
  <cp:lastModifiedBy>Elena Makrevska</cp:lastModifiedBy>
  <cp:revision>2</cp:revision>
  <dcterms:created xsi:type="dcterms:W3CDTF">2026-10-20T09:55:00Z</dcterms:created>
  <dcterms:modified xsi:type="dcterms:W3CDTF">2026-10-20T09:55:00Z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916ebd2dda54f35e315a283dabef4c8db72faeca6f4e89de173e5bbdc3976852</vt:lpwstr>
  </property>
</Properties>
</file>