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B03F73" w14:textId="6B439E1F" w:rsidR="00481489" w:rsidRPr="0027064F" w:rsidRDefault="00A06139" w:rsidP="0027064F">
      <w:pPr>
        <w:jc w:val="center"/>
        <w:rPr>
          <w:rFonts w:ascii="Roboto" w:hAnsi="Roboto"/>
          <w:b/>
          <w:color w:val="004494"/>
          <w:sz w:val="32"/>
          <w:szCs w:val="32"/>
        </w:rPr>
      </w:pPr>
      <w:r w:rsidRPr="00A06139">
        <w:rPr>
          <w:rFonts w:ascii="Roboto" w:hAnsi="Roboto"/>
          <w:b/>
          <w:color w:val="004494"/>
          <w:sz w:val="32"/>
          <w:szCs w:val="32"/>
        </w:rPr>
        <w:t>GENDER DIFFERENCES IN GEN Z IN GAMIFIED APP ENGAGEMENT: THE CASE OF THE MOJDDV APP</w:t>
      </w:r>
    </w:p>
    <w:p w14:paraId="267EDA7F" w14:textId="7D100C02" w:rsidR="00481489" w:rsidRPr="00481489" w:rsidRDefault="0027064F" w:rsidP="00481489">
      <w:pPr>
        <w:widowControl w:val="0"/>
        <w:jc w:val="center"/>
        <w:rPr>
          <w:rFonts w:ascii="Roboto" w:hAnsi="Roboto"/>
        </w:rPr>
      </w:pPr>
      <w:r>
        <w:rPr>
          <w:rFonts w:ascii="Roboto" w:hAnsi="Roboto"/>
        </w:rPr>
        <w:t>Saso JOSIMOVSKI</w:t>
      </w:r>
    </w:p>
    <w:p w14:paraId="6B910B0F" w14:textId="7AC8101A" w:rsidR="00481489" w:rsidRPr="00481489" w:rsidRDefault="0046624B" w:rsidP="00481489">
      <w:pPr>
        <w:pStyle w:val="Title"/>
        <w:widowControl w:val="0"/>
        <w:rPr>
          <w:rFonts w:ascii="Roboto" w:hAnsi="Roboto"/>
          <w:b w:val="0"/>
          <w:bCs/>
          <w:i/>
          <w:iCs/>
          <w:sz w:val="24"/>
          <w:u w:val="none"/>
        </w:rPr>
      </w:pPr>
      <w:r>
        <w:rPr>
          <w:rFonts w:ascii="Roboto" w:hAnsi="Roboto"/>
          <w:b w:val="0"/>
          <w:bCs/>
          <w:i/>
          <w:iCs/>
          <w:sz w:val="24"/>
          <w:u w:val="none"/>
        </w:rPr>
        <w:t xml:space="preserve">Faculty of Economics – Skopje, Bul. Goce </w:t>
      </w:r>
      <w:proofErr w:type="spellStart"/>
      <w:r>
        <w:rPr>
          <w:rFonts w:ascii="Roboto" w:hAnsi="Roboto"/>
          <w:b w:val="0"/>
          <w:bCs/>
          <w:i/>
          <w:iCs/>
          <w:sz w:val="24"/>
          <w:u w:val="none"/>
        </w:rPr>
        <w:t>Delcev</w:t>
      </w:r>
      <w:proofErr w:type="spellEnd"/>
      <w:r>
        <w:rPr>
          <w:rFonts w:ascii="Roboto" w:hAnsi="Roboto"/>
          <w:b w:val="0"/>
          <w:bCs/>
          <w:i/>
          <w:iCs/>
          <w:sz w:val="24"/>
          <w:u w:val="none"/>
        </w:rPr>
        <w:t xml:space="preserve"> 9V, Skopje, North Macedonia</w:t>
      </w:r>
      <w:r w:rsidR="00481489" w:rsidRPr="00481489">
        <w:rPr>
          <w:rFonts w:ascii="Roboto" w:hAnsi="Roboto"/>
          <w:b w:val="0"/>
          <w:bCs/>
          <w:i/>
          <w:iCs/>
          <w:sz w:val="24"/>
          <w:u w:val="none"/>
        </w:rPr>
        <w:t xml:space="preserve"> </w:t>
      </w:r>
    </w:p>
    <w:p w14:paraId="36621EE2" w14:textId="4F8CACC6" w:rsidR="00481489" w:rsidRPr="00481489" w:rsidRDefault="0027064F" w:rsidP="00481489">
      <w:pPr>
        <w:widowControl w:val="0"/>
        <w:jc w:val="center"/>
        <w:rPr>
          <w:rFonts w:ascii="Roboto" w:hAnsi="Roboto"/>
        </w:rPr>
      </w:pPr>
      <w:r>
        <w:rPr>
          <w:rFonts w:ascii="Roboto" w:hAnsi="Roboto"/>
        </w:rPr>
        <w:t>saso.josimovski</w:t>
      </w:r>
      <w:r w:rsidR="0046624B">
        <w:rPr>
          <w:rFonts w:ascii="Roboto" w:hAnsi="Roboto"/>
        </w:rPr>
        <w:t>@eccf.ukim.edu.mk</w:t>
      </w:r>
      <w:r w:rsidR="00481489" w:rsidRPr="00481489">
        <w:rPr>
          <w:rFonts w:ascii="Roboto" w:hAnsi="Roboto"/>
        </w:rPr>
        <w:t xml:space="preserve"> </w:t>
      </w:r>
    </w:p>
    <w:p w14:paraId="6D47953F" w14:textId="77777777" w:rsidR="00481489" w:rsidRPr="00481489" w:rsidRDefault="00481489" w:rsidP="00481489">
      <w:pPr>
        <w:widowControl w:val="0"/>
        <w:jc w:val="center"/>
        <w:rPr>
          <w:rFonts w:ascii="Roboto" w:hAnsi="Roboto"/>
        </w:rPr>
      </w:pPr>
    </w:p>
    <w:p w14:paraId="6E358739" w14:textId="3131CD6D" w:rsidR="00481489" w:rsidRPr="00481489" w:rsidRDefault="0027064F" w:rsidP="00481489">
      <w:pPr>
        <w:widowControl w:val="0"/>
        <w:jc w:val="center"/>
        <w:rPr>
          <w:rFonts w:ascii="Roboto" w:hAnsi="Roboto"/>
        </w:rPr>
      </w:pPr>
      <w:r>
        <w:rPr>
          <w:rFonts w:ascii="Roboto" w:hAnsi="Roboto"/>
        </w:rPr>
        <w:t>Lidija PULEVSKA IVANOVSKA</w:t>
      </w:r>
    </w:p>
    <w:p w14:paraId="169180EF" w14:textId="67CCD9B0" w:rsidR="00481489" w:rsidRPr="00481489" w:rsidRDefault="0046624B" w:rsidP="00481489">
      <w:pPr>
        <w:pStyle w:val="Title"/>
        <w:widowControl w:val="0"/>
        <w:rPr>
          <w:rFonts w:ascii="Roboto" w:hAnsi="Roboto"/>
          <w:b w:val="0"/>
          <w:bCs/>
          <w:i/>
          <w:iCs/>
          <w:sz w:val="24"/>
          <w:u w:val="none"/>
        </w:rPr>
      </w:pPr>
      <w:r w:rsidRPr="0046624B">
        <w:rPr>
          <w:rFonts w:ascii="Roboto" w:hAnsi="Roboto"/>
          <w:b w:val="0"/>
          <w:bCs/>
          <w:i/>
          <w:iCs/>
          <w:sz w:val="24"/>
          <w:u w:val="none"/>
        </w:rPr>
        <w:t xml:space="preserve">Faculty of Economics – Skopje, Bul. Goce </w:t>
      </w:r>
      <w:proofErr w:type="spellStart"/>
      <w:r w:rsidRPr="0046624B">
        <w:rPr>
          <w:rFonts w:ascii="Roboto" w:hAnsi="Roboto"/>
          <w:b w:val="0"/>
          <w:bCs/>
          <w:i/>
          <w:iCs/>
          <w:sz w:val="24"/>
          <w:u w:val="none"/>
        </w:rPr>
        <w:t>Delcev</w:t>
      </w:r>
      <w:proofErr w:type="spellEnd"/>
      <w:r w:rsidRPr="0046624B">
        <w:rPr>
          <w:rFonts w:ascii="Roboto" w:hAnsi="Roboto"/>
          <w:b w:val="0"/>
          <w:bCs/>
          <w:i/>
          <w:iCs/>
          <w:sz w:val="24"/>
          <w:u w:val="none"/>
        </w:rPr>
        <w:t xml:space="preserve"> 9V, Skopje, North Macedonia </w:t>
      </w:r>
    </w:p>
    <w:p w14:paraId="670C019A" w14:textId="081AC1B4" w:rsidR="00481489" w:rsidRDefault="0027064F" w:rsidP="00481489">
      <w:pPr>
        <w:widowControl w:val="0"/>
        <w:jc w:val="center"/>
        <w:rPr>
          <w:rFonts w:ascii="Roboto" w:hAnsi="Roboto"/>
        </w:rPr>
      </w:pPr>
      <w:r>
        <w:rPr>
          <w:rFonts w:ascii="Roboto" w:hAnsi="Roboto"/>
        </w:rPr>
        <w:t>lidija.pulevska</w:t>
      </w:r>
      <w:r w:rsidR="0046624B">
        <w:rPr>
          <w:rFonts w:ascii="Roboto" w:hAnsi="Roboto"/>
        </w:rPr>
        <w:t>@eccf.ukim.edu.mk</w:t>
      </w:r>
      <w:r w:rsidR="00481489" w:rsidRPr="00481489">
        <w:rPr>
          <w:rFonts w:ascii="Roboto" w:hAnsi="Roboto"/>
        </w:rPr>
        <w:t xml:space="preserve"> </w:t>
      </w:r>
    </w:p>
    <w:p w14:paraId="776C8478" w14:textId="77777777" w:rsidR="0027064F" w:rsidRDefault="0027064F" w:rsidP="00481489">
      <w:pPr>
        <w:widowControl w:val="0"/>
        <w:jc w:val="center"/>
        <w:rPr>
          <w:rFonts w:ascii="Roboto" w:hAnsi="Roboto"/>
        </w:rPr>
      </w:pPr>
    </w:p>
    <w:p w14:paraId="00093104" w14:textId="50F06E59" w:rsidR="0027064F" w:rsidRPr="00481489" w:rsidRDefault="0027064F" w:rsidP="0027064F">
      <w:pPr>
        <w:widowControl w:val="0"/>
        <w:jc w:val="center"/>
        <w:rPr>
          <w:rFonts w:ascii="Roboto" w:hAnsi="Roboto"/>
        </w:rPr>
      </w:pPr>
      <w:r>
        <w:rPr>
          <w:rFonts w:ascii="Roboto" w:hAnsi="Roboto"/>
        </w:rPr>
        <w:t>Marina MIJOSKA</w:t>
      </w:r>
    </w:p>
    <w:p w14:paraId="7BAA1BE0" w14:textId="77777777" w:rsidR="0027064F" w:rsidRPr="00481489" w:rsidRDefault="0027064F" w:rsidP="0027064F">
      <w:pPr>
        <w:pStyle w:val="Title"/>
        <w:widowControl w:val="0"/>
        <w:rPr>
          <w:rFonts w:ascii="Roboto" w:hAnsi="Roboto"/>
          <w:b w:val="0"/>
          <w:bCs/>
          <w:i/>
          <w:iCs/>
          <w:sz w:val="24"/>
          <w:u w:val="none"/>
        </w:rPr>
      </w:pPr>
      <w:r w:rsidRPr="0046624B">
        <w:rPr>
          <w:rFonts w:ascii="Roboto" w:hAnsi="Roboto"/>
          <w:b w:val="0"/>
          <w:bCs/>
          <w:i/>
          <w:iCs/>
          <w:sz w:val="24"/>
          <w:u w:val="none"/>
        </w:rPr>
        <w:t xml:space="preserve">Faculty of Economics – Skopje, Bul. Goce </w:t>
      </w:r>
      <w:proofErr w:type="spellStart"/>
      <w:r w:rsidRPr="0046624B">
        <w:rPr>
          <w:rFonts w:ascii="Roboto" w:hAnsi="Roboto"/>
          <w:b w:val="0"/>
          <w:bCs/>
          <w:i/>
          <w:iCs/>
          <w:sz w:val="24"/>
          <w:u w:val="none"/>
        </w:rPr>
        <w:t>Delcev</w:t>
      </w:r>
      <w:proofErr w:type="spellEnd"/>
      <w:r w:rsidRPr="0046624B">
        <w:rPr>
          <w:rFonts w:ascii="Roboto" w:hAnsi="Roboto"/>
          <w:b w:val="0"/>
          <w:bCs/>
          <w:i/>
          <w:iCs/>
          <w:sz w:val="24"/>
          <w:u w:val="none"/>
        </w:rPr>
        <w:t xml:space="preserve"> 9V, Skopje, North Macedonia </w:t>
      </w:r>
    </w:p>
    <w:p w14:paraId="47FC4DC6" w14:textId="6F2DE518" w:rsidR="0027064F" w:rsidRPr="00481489" w:rsidRDefault="0027064F" w:rsidP="0027064F">
      <w:pPr>
        <w:widowControl w:val="0"/>
        <w:jc w:val="center"/>
        <w:rPr>
          <w:rFonts w:ascii="Roboto" w:hAnsi="Roboto"/>
        </w:rPr>
      </w:pPr>
      <w:r>
        <w:rPr>
          <w:rFonts w:ascii="Roboto" w:hAnsi="Roboto"/>
        </w:rPr>
        <w:t>marina.mijoska@eccf.ukim.edu.mk</w:t>
      </w:r>
      <w:r w:rsidRPr="00481489">
        <w:rPr>
          <w:rFonts w:ascii="Roboto" w:hAnsi="Roboto"/>
        </w:rPr>
        <w:t xml:space="preserve"> </w:t>
      </w:r>
    </w:p>
    <w:p w14:paraId="698A7722" w14:textId="77777777" w:rsidR="0027064F" w:rsidRPr="00481489" w:rsidRDefault="0027064F" w:rsidP="00481489">
      <w:pPr>
        <w:widowControl w:val="0"/>
        <w:jc w:val="center"/>
        <w:rPr>
          <w:rFonts w:ascii="Roboto" w:hAnsi="Roboto"/>
        </w:rPr>
      </w:pPr>
    </w:p>
    <w:p w14:paraId="619913BB" w14:textId="77777777" w:rsidR="00481489" w:rsidRPr="00481489" w:rsidRDefault="00481489" w:rsidP="00481489">
      <w:pPr>
        <w:widowControl w:val="0"/>
        <w:jc w:val="center"/>
        <w:rPr>
          <w:rFonts w:ascii="Roboto" w:hAnsi="Roboto"/>
        </w:rPr>
      </w:pPr>
    </w:p>
    <w:p w14:paraId="4896DE13" w14:textId="1E93F788" w:rsidR="00481489" w:rsidRPr="00481489" w:rsidRDefault="00481489" w:rsidP="00481489">
      <w:pPr>
        <w:jc w:val="both"/>
        <w:rPr>
          <w:rFonts w:ascii="Roboto" w:hAnsi="Roboto"/>
          <w:b/>
          <w:color w:val="004494"/>
          <w:sz w:val="28"/>
          <w:szCs w:val="22"/>
        </w:rPr>
      </w:pPr>
      <w:r w:rsidRPr="00481489">
        <w:rPr>
          <w:rFonts w:ascii="Roboto" w:hAnsi="Roboto"/>
          <w:b/>
          <w:color w:val="004494"/>
          <w:sz w:val="28"/>
          <w:szCs w:val="22"/>
        </w:rPr>
        <w:t>Abstract</w:t>
      </w:r>
    </w:p>
    <w:p w14:paraId="2EF47A90" w14:textId="77777777" w:rsidR="00FD3C02" w:rsidRDefault="00FD3C02" w:rsidP="00FD3C02">
      <w:pPr>
        <w:jc w:val="both"/>
        <w:rPr>
          <w:rFonts w:ascii="Roboto" w:hAnsi="Roboto"/>
          <w:lang w:val="en-US"/>
        </w:rPr>
      </w:pPr>
      <w:r w:rsidRPr="00FD3C02">
        <w:rPr>
          <w:rFonts w:ascii="Roboto" w:hAnsi="Roboto"/>
          <w:lang w:val="en-US"/>
        </w:rPr>
        <w:t xml:space="preserve">This study examines gender differences in Generation Z’s engagement with the </w:t>
      </w:r>
      <w:proofErr w:type="spellStart"/>
      <w:r w:rsidRPr="00FD3C02">
        <w:rPr>
          <w:rFonts w:ascii="Roboto" w:hAnsi="Roboto"/>
          <w:lang w:val="en-US"/>
        </w:rPr>
        <w:t>MojDDV</w:t>
      </w:r>
      <w:proofErr w:type="spellEnd"/>
      <w:r w:rsidRPr="00FD3C02">
        <w:rPr>
          <w:rFonts w:ascii="Roboto" w:hAnsi="Roboto"/>
          <w:lang w:val="en-US"/>
        </w:rPr>
        <w:t xml:space="preserve"> app, a gamification initiative designed to reduce tax evasion and promote fiscal transparency in North Macedonia. The research aims to explore how gender shapes app usage and the influence of key factors—performance expectancy, effort expectancy, social influence, and facilitating conditions—on behavioral intention to use the app.</w:t>
      </w:r>
    </w:p>
    <w:p w14:paraId="01ACD54C" w14:textId="77777777" w:rsidR="00FD3C02" w:rsidRPr="00FD3C02" w:rsidRDefault="00FD3C02" w:rsidP="00FD3C02">
      <w:pPr>
        <w:jc w:val="both"/>
        <w:rPr>
          <w:rFonts w:ascii="Roboto" w:hAnsi="Roboto"/>
          <w:lang w:val="en-US"/>
        </w:rPr>
      </w:pPr>
    </w:p>
    <w:p w14:paraId="740EA600" w14:textId="77777777" w:rsidR="00FD3C02" w:rsidRDefault="00FD3C02" w:rsidP="00FD3C02">
      <w:pPr>
        <w:jc w:val="both"/>
        <w:rPr>
          <w:rFonts w:ascii="Roboto" w:hAnsi="Roboto"/>
          <w:lang w:val="en-US"/>
        </w:rPr>
      </w:pPr>
      <w:r w:rsidRPr="00FD3C02">
        <w:rPr>
          <w:rFonts w:ascii="Roboto" w:hAnsi="Roboto"/>
          <w:lang w:val="en-US"/>
        </w:rPr>
        <w:t xml:space="preserve">A structured questionnaire was distributed to 120 Generation Z users of the </w:t>
      </w:r>
      <w:proofErr w:type="spellStart"/>
      <w:r w:rsidRPr="00FD3C02">
        <w:rPr>
          <w:rFonts w:ascii="Roboto" w:hAnsi="Roboto"/>
          <w:lang w:val="en-US"/>
        </w:rPr>
        <w:t>MojDDV</w:t>
      </w:r>
      <w:proofErr w:type="spellEnd"/>
      <w:r w:rsidRPr="00FD3C02">
        <w:rPr>
          <w:rFonts w:ascii="Roboto" w:hAnsi="Roboto"/>
          <w:lang w:val="en-US"/>
        </w:rPr>
        <w:t xml:space="preserve"> app, equally representing male and female participants. The data were analyzed using descriptive and inferential statistics, including independent samples t-tests and multiple regression analysis, to identify gender-specific engagement patterns.</w:t>
      </w:r>
    </w:p>
    <w:p w14:paraId="5965AA3A" w14:textId="77777777" w:rsidR="00FD3C02" w:rsidRPr="00FD3C02" w:rsidRDefault="00FD3C02" w:rsidP="00FD3C02">
      <w:pPr>
        <w:jc w:val="both"/>
        <w:rPr>
          <w:rFonts w:ascii="Roboto" w:hAnsi="Roboto"/>
          <w:lang w:val="en-US"/>
        </w:rPr>
      </w:pPr>
    </w:p>
    <w:p w14:paraId="710336F9" w14:textId="77777777" w:rsidR="00FD3C02" w:rsidRDefault="00FD3C02" w:rsidP="00FD3C02">
      <w:pPr>
        <w:jc w:val="both"/>
        <w:rPr>
          <w:rFonts w:ascii="Roboto" w:hAnsi="Roboto"/>
          <w:lang w:val="en-US"/>
        </w:rPr>
      </w:pPr>
      <w:r w:rsidRPr="00FD3C02">
        <w:rPr>
          <w:rFonts w:ascii="Roboto" w:hAnsi="Roboto"/>
          <w:lang w:val="en-US"/>
        </w:rPr>
        <w:t>The findings reveal significant gender differences, with females reporting higher levels of social influence and overall engagement with the app compared to males. Social influence emerged as the most significant predictor of behavioral intention, particularly for female users, while facilitating conditions also played a key role in driving app usage. Conversely, performance expectancy and effort expectancy showed no significant gender differences, though both positively influenced overall app engagement.</w:t>
      </w:r>
    </w:p>
    <w:p w14:paraId="3DAA6C16" w14:textId="77777777" w:rsidR="00FD3C02" w:rsidRPr="00FD3C02" w:rsidRDefault="00FD3C02" w:rsidP="00FD3C02">
      <w:pPr>
        <w:jc w:val="both"/>
        <w:rPr>
          <w:rFonts w:ascii="Roboto" w:hAnsi="Roboto"/>
          <w:lang w:val="en-US"/>
        </w:rPr>
      </w:pPr>
    </w:p>
    <w:p w14:paraId="2360DABB" w14:textId="77777777" w:rsidR="00FD3C02" w:rsidRPr="00FD3C02" w:rsidRDefault="00FD3C02" w:rsidP="00FD3C02">
      <w:pPr>
        <w:jc w:val="both"/>
        <w:rPr>
          <w:rFonts w:ascii="Roboto" w:hAnsi="Roboto"/>
          <w:lang w:val="en-US"/>
        </w:rPr>
      </w:pPr>
      <w:r w:rsidRPr="00FD3C02">
        <w:rPr>
          <w:rFonts w:ascii="Roboto" w:hAnsi="Roboto"/>
          <w:lang w:val="en-US"/>
        </w:rPr>
        <w:t>These results highlight the importance of gender-specific strategies to enhance engagement with government-led gamification initiatives. Leveraging social networks and providing reliable technical support can significantly increase app adoption, particularly among women, fostering broader participation in digital fiscal systems.</w:t>
      </w:r>
    </w:p>
    <w:p w14:paraId="13322D0F" w14:textId="77777777" w:rsidR="004E2305" w:rsidRPr="004E2305" w:rsidRDefault="004E2305" w:rsidP="004E2305">
      <w:pPr>
        <w:jc w:val="both"/>
        <w:rPr>
          <w:rFonts w:ascii="Roboto" w:hAnsi="Roboto"/>
        </w:rPr>
      </w:pPr>
    </w:p>
    <w:p w14:paraId="06F7457C" w14:textId="6FCE607F" w:rsidR="004E2305" w:rsidRPr="004E2305" w:rsidRDefault="004E2305" w:rsidP="004E2305">
      <w:pPr>
        <w:jc w:val="both"/>
        <w:rPr>
          <w:rFonts w:ascii="Roboto" w:hAnsi="Roboto"/>
        </w:rPr>
      </w:pPr>
      <w:r w:rsidRPr="00481489">
        <w:rPr>
          <w:rFonts w:ascii="Roboto" w:hAnsi="Roboto"/>
          <w:b/>
          <w:color w:val="004494"/>
        </w:rPr>
        <w:t>Keywords</w:t>
      </w:r>
      <w:r w:rsidRPr="004E2305">
        <w:rPr>
          <w:rFonts w:ascii="Roboto" w:hAnsi="Roboto"/>
        </w:rPr>
        <w:t>: gender differences, gamification, fiscal transparency, youth engagement, Generation Z</w:t>
      </w:r>
    </w:p>
    <w:p w14:paraId="57315FE4" w14:textId="77777777" w:rsidR="004E2305" w:rsidRPr="004E2305" w:rsidRDefault="004E2305" w:rsidP="004E2305">
      <w:pPr>
        <w:jc w:val="both"/>
        <w:rPr>
          <w:rFonts w:ascii="Roboto" w:hAnsi="Roboto"/>
        </w:rPr>
      </w:pPr>
    </w:p>
    <w:p w14:paraId="668BE41A" w14:textId="5CA6CF8D" w:rsidR="00481489" w:rsidRDefault="004E2305" w:rsidP="004E2305">
      <w:pPr>
        <w:jc w:val="both"/>
        <w:rPr>
          <w:rFonts w:ascii="Roboto" w:hAnsi="Roboto"/>
        </w:rPr>
      </w:pPr>
      <w:r w:rsidRPr="0010436D">
        <w:rPr>
          <w:rFonts w:ascii="Roboto" w:hAnsi="Roboto"/>
          <w:b/>
          <w:color w:val="004494"/>
        </w:rPr>
        <w:t>JEL classification</w:t>
      </w:r>
      <w:r w:rsidRPr="004E2305">
        <w:rPr>
          <w:rFonts w:ascii="Roboto" w:hAnsi="Roboto"/>
        </w:rPr>
        <w:t>: H26, M15, D83, O33, J16</w:t>
      </w:r>
    </w:p>
    <w:p w14:paraId="7019E508" w14:textId="666F0AAD" w:rsidR="00481489" w:rsidRDefault="00481489" w:rsidP="00481489">
      <w:pPr>
        <w:widowControl w:val="0"/>
        <w:jc w:val="both"/>
        <w:rPr>
          <w:rFonts w:ascii="Roboto" w:hAnsi="Roboto"/>
          <w:b/>
          <w:bCs/>
          <w:color w:val="004494"/>
          <w:sz w:val="28"/>
        </w:rPr>
      </w:pPr>
      <w:r w:rsidRPr="00481489">
        <w:rPr>
          <w:rFonts w:ascii="Roboto" w:hAnsi="Roboto"/>
          <w:b/>
          <w:bCs/>
          <w:color w:val="004494"/>
          <w:sz w:val="28"/>
        </w:rPr>
        <w:lastRenderedPageBreak/>
        <w:t xml:space="preserve">Introduction </w:t>
      </w:r>
    </w:p>
    <w:p w14:paraId="1AEAD1BA" w14:textId="77777777" w:rsidR="009E15B2" w:rsidRPr="00481489" w:rsidRDefault="009E15B2" w:rsidP="00481489">
      <w:pPr>
        <w:widowControl w:val="0"/>
        <w:jc w:val="both"/>
        <w:rPr>
          <w:rFonts w:ascii="Roboto" w:hAnsi="Roboto"/>
          <w:b/>
          <w:bCs/>
          <w:color w:val="004494"/>
          <w:sz w:val="28"/>
        </w:rPr>
      </w:pPr>
    </w:p>
    <w:p w14:paraId="665092EE"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The shadow economy, encompassing economic activities that are neither officially reported nor taxed, presents a persistent challenge to governments globally, particularly in developing economies. In North Macedonia, the shadow economy constitutes a significant portion of the national GDP, fueling tax evasion and constraining the government's ability to generate public revenue. According to the International Monetary Fund (IMF), the shadow economy in North Macedonia is estimated to account for approximately 38% of the GDP (IMF, 2021). To combat this issue, the North Macedonian government launched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in 2019 as part of a comprehensive strategy to reduce tax evasion and encourage citizen participation in the formal fiscal system.</w:t>
      </w:r>
    </w:p>
    <w:p w14:paraId="3C2194D2" w14:textId="77777777" w:rsidR="00FD3C02" w:rsidRPr="00FD3C02" w:rsidRDefault="00FD3C02" w:rsidP="00FD3C02">
      <w:pPr>
        <w:widowControl w:val="0"/>
        <w:jc w:val="both"/>
        <w:rPr>
          <w:rFonts w:ascii="Roboto" w:hAnsi="Roboto"/>
          <w:bCs/>
          <w:szCs w:val="24"/>
          <w:lang w:val="en-US"/>
        </w:rPr>
      </w:pPr>
    </w:p>
    <w:p w14:paraId="6F570664"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employs a gamification model, offering financial incentives for users to scan their purchase receipts and receive partial refunds on the value-added tax (VAT) paid. Its primary objective is to enhance tax compliance and fiscal transparency by motivating citizens to request and scan receipts, thereby curtailing opportunities for businesses to avoid VAT reporting. Since its introduction, the app has registered over 500,000 users and has significantly increased VAT reporting rates (Akademik, 2021). By blending financial incentives with engaging digital tools, the app transforms tax compliance into an interactive and rewarding process for users.</w:t>
      </w:r>
    </w:p>
    <w:p w14:paraId="789D1CD1" w14:textId="77777777" w:rsidR="00FD3C02" w:rsidRPr="00FD3C02" w:rsidRDefault="00FD3C02" w:rsidP="00FD3C02">
      <w:pPr>
        <w:widowControl w:val="0"/>
        <w:jc w:val="both"/>
        <w:rPr>
          <w:rFonts w:ascii="Roboto" w:hAnsi="Roboto"/>
          <w:bCs/>
          <w:szCs w:val="24"/>
          <w:lang w:val="en-US"/>
        </w:rPr>
      </w:pPr>
    </w:p>
    <w:p w14:paraId="3E676CBF"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Despite the documented success of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initiative, little research has been conducted on the role of gender differences in app engagement, particularly among Generation Z. As digital natives, members of Generation Z are uniquely equipped to engage with gamified applications. However, studies indicate that gender may influence how users interact with technology, with men and women often responding differently to gamification elements, ease of use, and social influence (Venkatesh et al., 2003; Hamari &amp; Koivisto, 2015). Understanding these gender-based engagement patterns is essential for assessing the app’s broader societal impact and optimizing its potential to drive widespread tax compliance.</w:t>
      </w:r>
    </w:p>
    <w:p w14:paraId="20C3A7BE" w14:textId="77777777" w:rsidR="00FD3C02" w:rsidRPr="00FD3C02" w:rsidRDefault="00FD3C02" w:rsidP="00FD3C02">
      <w:pPr>
        <w:widowControl w:val="0"/>
        <w:jc w:val="both"/>
        <w:rPr>
          <w:rFonts w:ascii="Roboto" w:hAnsi="Roboto"/>
          <w:bCs/>
          <w:szCs w:val="24"/>
          <w:lang w:val="en-US"/>
        </w:rPr>
      </w:pPr>
    </w:p>
    <w:p w14:paraId="462F95E9" w14:textId="0D06DB06" w:rsidR="009E15B2" w:rsidRDefault="00FD3C02" w:rsidP="00FD3C02">
      <w:pPr>
        <w:widowControl w:val="0"/>
        <w:jc w:val="both"/>
        <w:rPr>
          <w:rFonts w:ascii="Roboto" w:hAnsi="Roboto"/>
          <w:bCs/>
          <w:szCs w:val="24"/>
          <w:lang w:val="en-US"/>
        </w:rPr>
      </w:pPr>
      <w:r w:rsidRPr="00FD3C02">
        <w:rPr>
          <w:rFonts w:ascii="Roboto" w:hAnsi="Roboto"/>
          <w:bCs/>
          <w:szCs w:val="24"/>
          <w:lang w:val="en-US"/>
        </w:rPr>
        <w:t xml:space="preserve">This study aims to investigate the gender differences in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engagement among Generation Z users. Specifically, it explores how male and female users differ in their interaction with the app, usage frequency, and the impact of gamification elements on their engagement. By analyzing these patterns, the research seeks to provide actionable insights for public-sector gamification initiatives, offering recommendations to tailor such tools to diverse demographic groups and maximize their effectiveness.</w:t>
      </w:r>
    </w:p>
    <w:p w14:paraId="24BAB13D" w14:textId="77777777" w:rsidR="00FD3C02" w:rsidRDefault="00FD3C02" w:rsidP="00FD3C02">
      <w:pPr>
        <w:widowControl w:val="0"/>
        <w:jc w:val="both"/>
        <w:rPr>
          <w:rFonts w:ascii="Roboto" w:hAnsi="Roboto"/>
          <w:bCs/>
          <w:szCs w:val="24"/>
          <w:lang w:val="en-US"/>
        </w:rPr>
      </w:pPr>
    </w:p>
    <w:p w14:paraId="461089F9" w14:textId="5B367994" w:rsidR="009E15B2" w:rsidRPr="009E15B2" w:rsidRDefault="009E15B2" w:rsidP="009E15B2">
      <w:pPr>
        <w:widowControl w:val="0"/>
        <w:jc w:val="both"/>
        <w:rPr>
          <w:rFonts w:ascii="Roboto" w:hAnsi="Roboto"/>
          <w:bCs/>
          <w:szCs w:val="24"/>
          <w:lang w:val="en-US"/>
        </w:rPr>
      </w:pPr>
      <w:r>
        <w:rPr>
          <w:rFonts w:ascii="Roboto" w:hAnsi="Roboto"/>
          <w:b/>
          <w:i/>
          <w:color w:val="004494"/>
        </w:rPr>
        <w:t>Objectives of the study</w:t>
      </w:r>
    </w:p>
    <w:p w14:paraId="20AD26B7" w14:textId="77777777" w:rsidR="009E15B2" w:rsidRPr="009E15B2" w:rsidRDefault="009E15B2" w:rsidP="009E15B2">
      <w:pPr>
        <w:widowControl w:val="0"/>
        <w:numPr>
          <w:ilvl w:val="0"/>
          <w:numId w:val="1"/>
        </w:numPr>
        <w:jc w:val="both"/>
        <w:rPr>
          <w:rFonts w:ascii="Roboto" w:hAnsi="Roboto"/>
          <w:bCs/>
          <w:szCs w:val="24"/>
          <w:lang w:val="en-US"/>
        </w:rPr>
      </w:pPr>
      <w:r w:rsidRPr="009E15B2">
        <w:rPr>
          <w:rFonts w:ascii="Roboto" w:hAnsi="Roboto"/>
          <w:bCs/>
          <w:szCs w:val="24"/>
          <w:lang w:val="en-US"/>
        </w:rPr>
        <w:t xml:space="preserve">To investigate whether </w:t>
      </w:r>
      <w:r w:rsidRPr="009E15B2">
        <w:rPr>
          <w:rFonts w:ascii="Roboto" w:hAnsi="Roboto"/>
          <w:b/>
          <w:bCs/>
          <w:szCs w:val="24"/>
          <w:lang w:val="en-US"/>
        </w:rPr>
        <w:t>gender</w:t>
      </w:r>
      <w:r w:rsidRPr="009E15B2">
        <w:rPr>
          <w:rFonts w:ascii="Roboto" w:hAnsi="Roboto"/>
          <w:bCs/>
          <w:szCs w:val="24"/>
          <w:lang w:val="en-US"/>
        </w:rPr>
        <w:t xml:space="preserve"> influences the engagement with the </w:t>
      </w:r>
      <w:proofErr w:type="spellStart"/>
      <w:r w:rsidRPr="009E15B2">
        <w:rPr>
          <w:rFonts w:ascii="Roboto" w:hAnsi="Roboto"/>
          <w:bCs/>
          <w:szCs w:val="24"/>
          <w:lang w:val="en-US"/>
        </w:rPr>
        <w:t>MojDDV</w:t>
      </w:r>
      <w:proofErr w:type="spellEnd"/>
      <w:r w:rsidRPr="009E15B2">
        <w:rPr>
          <w:rFonts w:ascii="Roboto" w:hAnsi="Roboto"/>
          <w:bCs/>
          <w:szCs w:val="24"/>
          <w:lang w:val="en-US"/>
        </w:rPr>
        <w:t xml:space="preserve"> app among Generation Z.</w:t>
      </w:r>
    </w:p>
    <w:p w14:paraId="2DB2F081" w14:textId="77777777" w:rsidR="009E15B2" w:rsidRPr="009E15B2" w:rsidRDefault="009E15B2" w:rsidP="009E15B2">
      <w:pPr>
        <w:widowControl w:val="0"/>
        <w:numPr>
          <w:ilvl w:val="0"/>
          <w:numId w:val="1"/>
        </w:numPr>
        <w:jc w:val="both"/>
        <w:rPr>
          <w:rFonts w:ascii="Roboto" w:hAnsi="Roboto"/>
          <w:bCs/>
          <w:szCs w:val="24"/>
          <w:lang w:val="en-US"/>
        </w:rPr>
      </w:pPr>
      <w:r w:rsidRPr="009E15B2">
        <w:rPr>
          <w:rFonts w:ascii="Roboto" w:hAnsi="Roboto"/>
          <w:bCs/>
          <w:szCs w:val="24"/>
          <w:lang w:val="en-US"/>
        </w:rPr>
        <w:t xml:space="preserve">To explore </w:t>
      </w:r>
      <w:r w:rsidRPr="009E15B2">
        <w:rPr>
          <w:rFonts w:ascii="Roboto" w:hAnsi="Roboto"/>
          <w:b/>
          <w:bCs/>
          <w:szCs w:val="24"/>
          <w:lang w:val="en-US"/>
        </w:rPr>
        <w:t>differences in usage patterns</w:t>
      </w:r>
      <w:r w:rsidRPr="009E15B2">
        <w:rPr>
          <w:rFonts w:ascii="Roboto" w:hAnsi="Roboto"/>
          <w:bCs/>
          <w:szCs w:val="24"/>
          <w:lang w:val="en-US"/>
        </w:rPr>
        <w:t xml:space="preserve"> between male and female users.</w:t>
      </w:r>
    </w:p>
    <w:p w14:paraId="44C15D47" w14:textId="77777777" w:rsidR="009E15B2" w:rsidRPr="009E15B2" w:rsidRDefault="009E15B2" w:rsidP="009E15B2">
      <w:pPr>
        <w:widowControl w:val="0"/>
        <w:numPr>
          <w:ilvl w:val="0"/>
          <w:numId w:val="1"/>
        </w:numPr>
        <w:jc w:val="both"/>
        <w:rPr>
          <w:rFonts w:ascii="Roboto" w:hAnsi="Roboto"/>
          <w:bCs/>
          <w:szCs w:val="24"/>
          <w:lang w:val="en-US"/>
        </w:rPr>
      </w:pPr>
      <w:r w:rsidRPr="009E15B2">
        <w:rPr>
          <w:rFonts w:ascii="Roboto" w:hAnsi="Roboto"/>
          <w:bCs/>
          <w:szCs w:val="24"/>
          <w:lang w:val="en-US"/>
        </w:rPr>
        <w:t xml:space="preserve">To analyze how the app’s </w:t>
      </w:r>
      <w:r w:rsidRPr="009E15B2">
        <w:rPr>
          <w:rFonts w:ascii="Roboto" w:hAnsi="Roboto"/>
          <w:b/>
          <w:bCs/>
          <w:szCs w:val="24"/>
          <w:lang w:val="en-US"/>
        </w:rPr>
        <w:t>gamification features</w:t>
      </w:r>
      <w:r w:rsidRPr="009E15B2">
        <w:rPr>
          <w:rFonts w:ascii="Roboto" w:hAnsi="Roboto"/>
          <w:bCs/>
          <w:szCs w:val="24"/>
          <w:lang w:val="en-US"/>
        </w:rPr>
        <w:t xml:space="preserve"> impact male and female users differently.</w:t>
      </w:r>
    </w:p>
    <w:p w14:paraId="49245385" w14:textId="77777777" w:rsidR="009E15B2" w:rsidRDefault="009E15B2" w:rsidP="009E15B2">
      <w:pPr>
        <w:widowControl w:val="0"/>
        <w:numPr>
          <w:ilvl w:val="0"/>
          <w:numId w:val="1"/>
        </w:numPr>
        <w:jc w:val="both"/>
        <w:rPr>
          <w:rFonts w:ascii="Roboto" w:hAnsi="Roboto"/>
          <w:bCs/>
          <w:szCs w:val="24"/>
          <w:lang w:val="en-US"/>
        </w:rPr>
      </w:pPr>
      <w:r w:rsidRPr="009E15B2">
        <w:rPr>
          <w:rFonts w:ascii="Roboto" w:hAnsi="Roboto"/>
          <w:bCs/>
          <w:szCs w:val="24"/>
          <w:lang w:val="en-US"/>
        </w:rPr>
        <w:t xml:space="preserve">To provide recommendations for improving gender-specific engagement in </w:t>
      </w:r>
      <w:r w:rsidRPr="009E15B2">
        <w:rPr>
          <w:rFonts w:ascii="Roboto" w:hAnsi="Roboto"/>
          <w:bCs/>
          <w:szCs w:val="24"/>
          <w:lang w:val="en-US"/>
        </w:rPr>
        <w:lastRenderedPageBreak/>
        <w:t>public sector digital initiatives.</w:t>
      </w:r>
    </w:p>
    <w:p w14:paraId="4BFA962A" w14:textId="77777777" w:rsidR="009E15B2" w:rsidRDefault="009E15B2" w:rsidP="009E15B2">
      <w:pPr>
        <w:widowControl w:val="0"/>
        <w:jc w:val="both"/>
        <w:rPr>
          <w:rFonts w:ascii="Roboto" w:hAnsi="Roboto"/>
          <w:bCs/>
          <w:szCs w:val="24"/>
          <w:lang w:val="en-US"/>
        </w:rPr>
      </w:pPr>
    </w:p>
    <w:p w14:paraId="54312523"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As digital tools increasingly underpin efforts to promote tax compliance and public participation in governance, understanding gender differences in digital engagement has become imperative. Insights derived from this study not only enrich the growing body of literature on gender and technology but also provide valuable guidance for policymakers and app developers in designing inclusive and effective public-sector tools. By addressing the needs and preferences of diverse demographic groups, such tools can achieve greater societal impact. Moreover, this study’s focus on Generation Z offers critical perspectives on the behaviors and preferences of a demographic poised to shape the future of digital governance.</w:t>
      </w:r>
    </w:p>
    <w:p w14:paraId="7C6A849B" w14:textId="77777777" w:rsidR="00FD3C02" w:rsidRPr="00FD3C02" w:rsidRDefault="00FD3C02" w:rsidP="00FD3C02">
      <w:pPr>
        <w:widowControl w:val="0"/>
        <w:jc w:val="both"/>
        <w:rPr>
          <w:rFonts w:ascii="Roboto" w:hAnsi="Roboto"/>
          <w:bCs/>
          <w:szCs w:val="24"/>
          <w:lang w:val="en-US"/>
        </w:rPr>
      </w:pPr>
    </w:p>
    <w:p w14:paraId="1D6E26CC"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The role of gender in technology adoption has been widely documented, with research consistently showing that males and females approach digital platforms differently. These differences are particularly evident in gamification and mobile app engagement. For example, Venkatesh et al. (2003) found that social influence significantly impacts technology adoption among females, whereas performance expectancy holds greater importance for males. Similarly, Hamari and Koivisto (2015) demonstrated that gamified systems appeal to males through competitive and reward-driven features, while females are more motivated by collaborative and community-oriented elements. These distinctions suggest that gender differences likely influence how Generation Z users in North Macedonia engage with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which leverages both gamification incentives and social mechanisms to encourage tax compliance.</w:t>
      </w:r>
    </w:p>
    <w:p w14:paraId="25D31696" w14:textId="77777777" w:rsidR="00FD3C02" w:rsidRPr="00FD3C02" w:rsidRDefault="00FD3C02" w:rsidP="00FD3C02">
      <w:pPr>
        <w:widowControl w:val="0"/>
        <w:jc w:val="both"/>
        <w:rPr>
          <w:rFonts w:ascii="Roboto" w:hAnsi="Roboto"/>
          <w:bCs/>
          <w:szCs w:val="24"/>
          <w:lang w:val="en-US"/>
        </w:rPr>
      </w:pPr>
    </w:p>
    <w:p w14:paraId="00A144E5" w14:textId="2E162DFE" w:rsidR="009E15B2" w:rsidRPr="009E15B2" w:rsidRDefault="00FD3C02" w:rsidP="00FD3C02">
      <w:pPr>
        <w:widowControl w:val="0"/>
        <w:jc w:val="both"/>
        <w:rPr>
          <w:rFonts w:ascii="Roboto" w:hAnsi="Roboto"/>
          <w:bCs/>
          <w:szCs w:val="24"/>
          <w:lang w:val="en-US"/>
        </w:rPr>
      </w:pPr>
      <w:r w:rsidRPr="00FD3C02">
        <w:rPr>
          <w:rFonts w:ascii="Roboto" w:hAnsi="Roboto"/>
          <w:bCs/>
          <w:szCs w:val="24"/>
          <w:lang w:val="en-US"/>
        </w:rPr>
        <w:t xml:space="preserve">This study aims to bridge the knowledge gap surrounding the gender-specific dynamics of government-led gamification initiatives. By analyzing how male and female Generation Z users interact with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the research seeks to uncover actionable insights that can inform the design of digital public services. Understanding these gendered patterns of engagement is essential for developing targeted strategies to maximize user participation, foster inclusivity, and enhance the effectiveness of such initiatives.</w:t>
      </w:r>
    </w:p>
    <w:p w14:paraId="6933386B" w14:textId="77777777" w:rsidR="00481489" w:rsidRDefault="00481489" w:rsidP="00481489">
      <w:pPr>
        <w:jc w:val="both"/>
        <w:rPr>
          <w:rFonts w:ascii="Roboto" w:hAnsi="Roboto"/>
          <w:szCs w:val="24"/>
        </w:rPr>
      </w:pPr>
    </w:p>
    <w:p w14:paraId="059599EE" w14:textId="77777777" w:rsidR="00F54AB4" w:rsidRPr="00481489" w:rsidRDefault="00F54AB4" w:rsidP="00481489">
      <w:pPr>
        <w:jc w:val="both"/>
        <w:rPr>
          <w:rFonts w:ascii="Roboto" w:hAnsi="Roboto"/>
          <w:szCs w:val="24"/>
        </w:rPr>
      </w:pPr>
    </w:p>
    <w:p w14:paraId="4F899482" w14:textId="4DFE6A6D" w:rsidR="009E15B2" w:rsidRDefault="009E15B2" w:rsidP="009E15B2">
      <w:pPr>
        <w:widowControl w:val="0"/>
        <w:jc w:val="both"/>
        <w:rPr>
          <w:rFonts w:ascii="Roboto" w:hAnsi="Roboto"/>
          <w:b/>
          <w:bCs/>
          <w:color w:val="004494"/>
          <w:sz w:val="28"/>
        </w:rPr>
      </w:pPr>
      <w:r>
        <w:rPr>
          <w:rFonts w:ascii="Roboto" w:hAnsi="Roboto"/>
          <w:b/>
          <w:bCs/>
          <w:color w:val="004494"/>
          <w:sz w:val="28"/>
        </w:rPr>
        <w:t>Literature review</w:t>
      </w:r>
    </w:p>
    <w:p w14:paraId="60A61761" w14:textId="77777777" w:rsidR="009E15B2" w:rsidRDefault="009E15B2" w:rsidP="009E15B2">
      <w:pPr>
        <w:widowControl w:val="0"/>
        <w:jc w:val="both"/>
        <w:rPr>
          <w:rFonts w:ascii="Roboto" w:hAnsi="Roboto"/>
          <w:b/>
          <w:bCs/>
          <w:color w:val="004494"/>
          <w:sz w:val="28"/>
        </w:rPr>
      </w:pPr>
    </w:p>
    <w:p w14:paraId="6C132CC6" w14:textId="3C606BB7" w:rsidR="009E15B2" w:rsidRPr="00481489" w:rsidRDefault="009E15B2" w:rsidP="009E15B2">
      <w:pPr>
        <w:widowControl w:val="0"/>
        <w:jc w:val="both"/>
        <w:rPr>
          <w:rFonts w:ascii="Roboto" w:hAnsi="Roboto"/>
          <w:b/>
          <w:bCs/>
          <w:color w:val="004494"/>
          <w:sz w:val="28"/>
        </w:rPr>
      </w:pPr>
      <w:r>
        <w:rPr>
          <w:rFonts w:ascii="Roboto" w:hAnsi="Roboto"/>
          <w:b/>
          <w:i/>
          <w:color w:val="004494"/>
        </w:rPr>
        <w:t>Gamification in Public Sector Initiatives</w:t>
      </w:r>
    </w:p>
    <w:p w14:paraId="38B00C61"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Gamification, defined as the application of game-like elements (e.g., point scoring, competition, rewards) to non-game contexts, has been increasingly adopted by governments and public institutions to encourage citizen engagement and participation. The goal is to create engaging experiences that drive behavior change by leveraging the psychological mechanisms found in games (Hamari, Koivisto, &amp; Sarsa, 2014). Gamification has been effectively applied in a variety of public-sector initiatives, including education, healthcare, and tax compliance. In the context of tax systems, gamification can enhance user engagement by turning otherwise mundane tasks—such as scanning receipts or submitting tax filings—into rewarding activities.</w:t>
      </w:r>
    </w:p>
    <w:p w14:paraId="54D7AAD9" w14:textId="77777777" w:rsidR="00FD3C02" w:rsidRPr="00FD3C02" w:rsidRDefault="00FD3C02" w:rsidP="00FD3C02">
      <w:pPr>
        <w:widowControl w:val="0"/>
        <w:jc w:val="both"/>
        <w:rPr>
          <w:rFonts w:ascii="Roboto" w:hAnsi="Roboto"/>
          <w:bCs/>
          <w:szCs w:val="24"/>
          <w:lang w:val="en-US"/>
        </w:rPr>
      </w:pPr>
    </w:p>
    <w:p w14:paraId="70C216DA" w14:textId="75D0CFF2" w:rsidR="00FD3C02" w:rsidRPr="00FD3C02" w:rsidRDefault="0037667E" w:rsidP="00FD3C02">
      <w:pPr>
        <w:widowControl w:val="0"/>
        <w:jc w:val="both"/>
        <w:rPr>
          <w:rFonts w:ascii="Roboto" w:hAnsi="Roboto"/>
          <w:bCs/>
          <w:szCs w:val="24"/>
          <w:lang w:val="en-US"/>
        </w:rPr>
      </w:pPr>
      <w:proofErr w:type="spellStart"/>
      <w:r>
        <w:rPr>
          <w:rFonts w:ascii="Roboto" w:hAnsi="Roboto"/>
          <w:bCs/>
          <w:szCs w:val="24"/>
          <w:lang w:val="en-US"/>
        </w:rPr>
        <w:lastRenderedPageBreak/>
        <w:t>Buheji</w:t>
      </w:r>
      <w:proofErr w:type="spellEnd"/>
      <w:r>
        <w:rPr>
          <w:rFonts w:ascii="Roboto" w:hAnsi="Roboto"/>
          <w:bCs/>
          <w:szCs w:val="24"/>
          <w:lang w:val="en-US"/>
        </w:rPr>
        <w:t xml:space="preserve"> (2019) notes that the use of gamification in public sector initiatives can yield tangible results even in a short time-frame, emphasizing the potential of the mechanism. Governments have been using gamification for over a decade in various initiatives</w:t>
      </w:r>
      <w:r w:rsidR="00452296">
        <w:rPr>
          <w:rFonts w:ascii="Roboto" w:hAnsi="Roboto"/>
          <w:bCs/>
          <w:szCs w:val="24"/>
          <w:lang w:val="en-US"/>
        </w:rPr>
        <w:t xml:space="preserve">, such as lotteries, feedback initiatives or recruitment (Chin, 2016), while </w:t>
      </w:r>
      <w:proofErr w:type="spellStart"/>
      <w:r w:rsidR="00452296">
        <w:rPr>
          <w:rFonts w:ascii="Roboto" w:hAnsi="Roboto"/>
          <w:bCs/>
          <w:szCs w:val="24"/>
          <w:lang w:val="en-US"/>
        </w:rPr>
        <w:t>Kazhamikiakin</w:t>
      </w:r>
      <w:proofErr w:type="spellEnd"/>
      <w:r w:rsidR="00452296">
        <w:rPr>
          <w:rFonts w:ascii="Roboto" w:hAnsi="Roboto"/>
          <w:bCs/>
          <w:szCs w:val="24"/>
          <w:lang w:val="en-US"/>
        </w:rPr>
        <w:t xml:space="preserve"> et al. (2015) note successful gamification usage for incentivizing sustainable urban mobility. </w:t>
      </w:r>
      <w:r>
        <w:rPr>
          <w:rFonts w:ascii="Roboto" w:hAnsi="Roboto"/>
          <w:bCs/>
          <w:szCs w:val="24"/>
          <w:lang w:val="en-US"/>
        </w:rPr>
        <w:t xml:space="preserve"> </w:t>
      </w:r>
      <w:r w:rsidR="00FD3C02" w:rsidRPr="00FD3C02">
        <w:rPr>
          <w:rFonts w:ascii="Roboto" w:hAnsi="Roboto"/>
          <w:bCs/>
          <w:szCs w:val="24"/>
          <w:lang w:val="en-US"/>
        </w:rPr>
        <w:t xml:space="preserve">The use of gamification in fiscal systems is particularly relevant in combating the shadow economy, a long-standing issue in many countries, including North Macedonia. The </w:t>
      </w:r>
      <w:proofErr w:type="spellStart"/>
      <w:r w:rsidR="00FD3C02" w:rsidRPr="00FD3C02">
        <w:rPr>
          <w:rFonts w:ascii="Roboto" w:hAnsi="Roboto"/>
          <w:bCs/>
          <w:szCs w:val="24"/>
          <w:lang w:val="en-US"/>
        </w:rPr>
        <w:t>MojDDV</w:t>
      </w:r>
      <w:proofErr w:type="spellEnd"/>
      <w:r w:rsidR="00FD3C02" w:rsidRPr="00FD3C02">
        <w:rPr>
          <w:rFonts w:ascii="Roboto" w:hAnsi="Roboto"/>
          <w:bCs/>
          <w:szCs w:val="24"/>
          <w:lang w:val="en-US"/>
        </w:rPr>
        <w:t xml:space="preserve"> app exemplifies this approach by offering citizens a financial incentive to scan their receipts, thereby encouraging VAT compliance. Previous studies have shown that gamified applications can significantly increase motivation and engagement in a variety of sectors, particularly when users are incentivized with tangible rewards. However, the success of such initiatives can vary based on the user’s demographic characteristics, including gender, which plays a significant role in technology adoption and interaction with gamified elements.</w:t>
      </w:r>
    </w:p>
    <w:p w14:paraId="60F3A919" w14:textId="77777777" w:rsidR="00FD3C02" w:rsidRPr="00FD3C02" w:rsidRDefault="00FD3C02" w:rsidP="00FD3C02">
      <w:pPr>
        <w:widowControl w:val="0"/>
        <w:jc w:val="both"/>
        <w:rPr>
          <w:rFonts w:ascii="Roboto" w:hAnsi="Roboto"/>
          <w:bCs/>
          <w:szCs w:val="24"/>
          <w:lang w:val="en-US"/>
        </w:rPr>
      </w:pPr>
    </w:p>
    <w:p w14:paraId="31D81741" w14:textId="400F2FAF" w:rsidR="009E15B2" w:rsidRDefault="00FD3C02" w:rsidP="00FD3C02">
      <w:pPr>
        <w:widowControl w:val="0"/>
        <w:jc w:val="both"/>
        <w:rPr>
          <w:rFonts w:ascii="Roboto" w:hAnsi="Roboto"/>
          <w:bCs/>
          <w:szCs w:val="24"/>
          <w:lang w:val="en-US"/>
        </w:rPr>
      </w:pPr>
      <w:r w:rsidRPr="00FD3C02">
        <w:rPr>
          <w:rFonts w:ascii="Roboto" w:hAnsi="Roboto"/>
          <w:bCs/>
          <w:szCs w:val="24"/>
          <w:lang w:val="en-US"/>
        </w:rPr>
        <w:t xml:space="preserve">Research has also shown that gamification’s effectiveness is influenced by the context of its application. </w:t>
      </w:r>
      <w:r w:rsidR="0037667E">
        <w:rPr>
          <w:rFonts w:ascii="Roboto" w:hAnsi="Roboto"/>
          <w:bCs/>
          <w:szCs w:val="24"/>
          <w:lang w:val="en-US"/>
        </w:rPr>
        <w:t>S</w:t>
      </w:r>
      <w:r w:rsidRPr="00FD3C02">
        <w:rPr>
          <w:rFonts w:ascii="Roboto" w:hAnsi="Roboto"/>
          <w:bCs/>
          <w:szCs w:val="24"/>
          <w:lang w:val="en-US"/>
        </w:rPr>
        <w:t xml:space="preserve">tudies in the healthcare sector, such as by </w:t>
      </w:r>
      <w:proofErr w:type="spellStart"/>
      <w:r w:rsidRPr="00FD3C02">
        <w:rPr>
          <w:rFonts w:ascii="Roboto" w:hAnsi="Roboto"/>
          <w:bCs/>
          <w:szCs w:val="24"/>
          <w:lang w:val="en-US"/>
        </w:rPr>
        <w:t>Sardi</w:t>
      </w:r>
      <w:proofErr w:type="spellEnd"/>
      <w:r w:rsidRPr="00FD3C02">
        <w:rPr>
          <w:rFonts w:ascii="Roboto" w:hAnsi="Roboto"/>
          <w:bCs/>
          <w:szCs w:val="24"/>
          <w:lang w:val="en-US"/>
        </w:rPr>
        <w:t xml:space="preserve"> et al. (2017), reveal that gamification can motivate sustained behavior change, particularly when designed with user-centric principles.</w:t>
      </w:r>
    </w:p>
    <w:p w14:paraId="5A3F5B6C" w14:textId="77777777" w:rsidR="00FD3C02" w:rsidRDefault="00FD3C02" w:rsidP="00FD3C02">
      <w:pPr>
        <w:widowControl w:val="0"/>
        <w:jc w:val="both"/>
        <w:rPr>
          <w:rFonts w:ascii="Roboto" w:hAnsi="Roboto"/>
          <w:bCs/>
          <w:szCs w:val="24"/>
          <w:lang w:val="en-US"/>
        </w:rPr>
      </w:pPr>
    </w:p>
    <w:p w14:paraId="367A7C88" w14:textId="0536A612" w:rsidR="009E15B2" w:rsidRPr="009E15B2" w:rsidRDefault="009E15B2" w:rsidP="009E15B2">
      <w:pPr>
        <w:widowControl w:val="0"/>
        <w:jc w:val="both"/>
        <w:rPr>
          <w:rFonts w:ascii="Roboto" w:hAnsi="Roboto"/>
          <w:bCs/>
          <w:szCs w:val="24"/>
          <w:lang w:val="en-US"/>
        </w:rPr>
      </w:pPr>
      <w:r>
        <w:rPr>
          <w:rFonts w:ascii="Roboto" w:hAnsi="Roboto"/>
          <w:b/>
          <w:i/>
          <w:color w:val="004494"/>
        </w:rPr>
        <w:t>Gender Differences in Technology Adoption and Gamification</w:t>
      </w:r>
    </w:p>
    <w:p w14:paraId="6FC07280" w14:textId="58C118C4" w:rsidR="0037667E" w:rsidRPr="0037667E" w:rsidRDefault="0037667E" w:rsidP="0037667E">
      <w:pPr>
        <w:widowControl w:val="0"/>
        <w:jc w:val="both"/>
        <w:rPr>
          <w:rFonts w:ascii="Roboto" w:hAnsi="Roboto"/>
          <w:bCs/>
          <w:szCs w:val="24"/>
          <w:lang w:val="en-US"/>
        </w:rPr>
      </w:pPr>
      <w:r w:rsidRPr="0037667E">
        <w:rPr>
          <w:rFonts w:ascii="Roboto" w:hAnsi="Roboto"/>
          <w:bCs/>
          <w:szCs w:val="24"/>
          <w:lang w:val="en-US"/>
        </w:rPr>
        <w:t xml:space="preserve">The Unified Theory of Acceptance and Use of Technology (UTAUT) model, developed by Venkatesh et al. (2003), provides a comprehensive framework for understanding technology adoption. </w:t>
      </w:r>
      <w:r w:rsidR="00452296">
        <w:rPr>
          <w:rFonts w:ascii="Roboto" w:hAnsi="Roboto"/>
          <w:bCs/>
          <w:szCs w:val="24"/>
          <w:lang w:val="en-US"/>
        </w:rPr>
        <w:t xml:space="preserve">Li and Glass (2008) note that males might move faster in technology adoption, while Kotze et al., support the theory that there are no significant gender differences in recent years. </w:t>
      </w:r>
      <w:r w:rsidRPr="0037667E">
        <w:rPr>
          <w:rFonts w:ascii="Roboto" w:hAnsi="Roboto"/>
          <w:bCs/>
          <w:szCs w:val="24"/>
          <w:lang w:val="en-US"/>
        </w:rPr>
        <w:t xml:space="preserve">The model identifies key factors such as performance expectancy, effort expectancy, social influence, and facilitating conditions that influence a user’s behavioral intention to use technology. Notably, the UTAUT model also highlights </w:t>
      </w:r>
      <w:proofErr w:type="gramStart"/>
      <w:r w:rsidRPr="0037667E">
        <w:rPr>
          <w:rFonts w:ascii="Roboto" w:hAnsi="Roboto"/>
          <w:bCs/>
          <w:szCs w:val="24"/>
          <w:lang w:val="en-US"/>
        </w:rPr>
        <w:t>that demographic factors</w:t>
      </w:r>
      <w:proofErr w:type="gramEnd"/>
      <w:r w:rsidRPr="0037667E">
        <w:rPr>
          <w:rFonts w:ascii="Roboto" w:hAnsi="Roboto"/>
          <w:bCs/>
          <w:szCs w:val="24"/>
          <w:lang w:val="en-US"/>
        </w:rPr>
        <w:t>, including gender, can moderate the relationships between these constructs and technology adoption</w:t>
      </w:r>
      <w:r w:rsidR="00452296">
        <w:rPr>
          <w:rFonts w:ascii="Roboto" w:hAnsi="Roboto"/>
          <w:bCs/>
          <w:szCs w:val="24"/>
          <w:lang w:val="en-US"/>
        </w:rPr>
        <w:t xml:space="preserve"> (Chen et al., 2024)</w:t>
      </w:r>
      <w:r w:rsidRPr="0037667E">
        <w:rPr>
          <w:rFonts w:ascii="Roboto" w:hAnsi="Roboto"/>
          <w:bCs/>
          <w:szCs w:val="24"/>
          <w:lang w:val="en-US"/>
        </w:rPr>
        <w:t>.</w:t>
      </w:r>
    </w:p>
    <w:p w14:paraId="44F57D5B" w14:textId="77777777" w:rsidR="0037667E" w:rsidRPr="0037667E" w:rsidRDefault="0037667E" w:rsidP="0037667E">
      <w:pPr>
        <w:widowControl w:val="0"/>
        <w:jc w:val="both"/>
        <w:rPr>
          <w:rFonts w:ascii="Roboto" w:hAnsi="Roboto"/>
          <w:bCs/>
          <w:szCs w:val="24"/>
          <w:lang w:val="en-US"/>
        </w:rPr>
      </w:pPr>
    </w:p>
    <w:p w14:paraId="18D6D26B" w14:textId="77777777" w:rsidR="0037667E" w:rsidRPr="0037667E" w:rsidRDefault="0037667E" w:rsidP="0037667E">
      <w:pPr>
        <w:widowControl w:val="0"/>
        <w:jc w:val="both"/>
        <w:rPr>
          <w:rFonts w:ascii="Roboto" w:hAnsi="Roboto"/>
          <w:bCs/>
          <w:szCs w:val="24"/>
          <w:lang w:val="en-US"/>
        </w:rPr>
      </w:pPr>
      <w:r w:rsidRPr="0037667E">
        <w:rPr>
          <w:rFonts w:ascii="Roboto" w:hAnsi="Roboto"/>
          <w:bCs/>
          <w:szCs w:val="24"/>
          <w:lang w:val="en-US"/>
        </w:rPr>
        <w:t>Gender differences in technology adoption are well-documented in the literature. Studies have found that males and females interact with technology in different ways, influenced by factors such as motivation, social context, and perceived ease of use (Venkatesh et al., 2003). For example, males are often driven by performance-related factors, such as the perceived usefulness of a technology, whereas females are more likely to be influenced by social factors, such as peer recommendations or societal expectations (Gefen &amp; Straub, 1997). These differences extend to the use of gamified systems, where males tend to respond more to competitive elements and rewards, while females may be more motivated by collaborative and community-driven aspects (Hamari &amp; Koivisto, 2015).</w:t>
      </w:r>
    </w:p>
    <w:p w14:paraId="04531BDB" w14:textId="77777777" w:rsidR="0037667E" w:rsidRPr="0037667E" w:rsidRDefault="0037667E" w:rsidP="0037667E">
      <w:pPr>
        <w:widowControl w:val="0"/>
        <w:jc w:val="both"/>
        <w:rPr>
          <w:rFonts w:ascii="Roboto" w:hAnsi="Roboto"/>
          <w:bCs/>
          <w:szCs w:val="24"/>
          <w:lang w:val="en-US"/>
        </w:rPr>
      </w:pPr>
    </w:p>
    <w:p w14:paraId="1B09DFED" w14:textId="210BF460" w:rsidR="009E15B2" w:rsidRDefault="0037667E" w:rsidP="0037667E">
      <w:pPr>
        <w:widowControl w:val="0"/>
        <w:jc w:val="both"/>
        <w:rPr>
          <w:rFonts w:ascii="Roboto" w:hAnsi="Roboto"/>
          <w:bCs/>
          <w:szCs w:val="24"/>
          <w:lang w:val="en-US"/>
        </w:rPr>
      </w:pPr>
      <w:r w:rsidRPr="0037667E">
        <w:rPr>
          <w:rFonts w:ascii="Roboto" w:hAnsi="Roboto"/>
          <w:bCs/>
          <w:szCs w:val="24"/>
          <w:lang w:val="en-US"/>
        </w:rPr>
        <w:t xml:space="preserve">Recent research has expanded on these gendered dynamics in gamification. For instance, Koivisto and Hamari (2019) found that women are more likely to engage with gamified systems that emphasize social connectedness and collaboration, while </w:t>
      </w:r>
      <w:r w:rsidRPr="0037667E">
        <w:rPr>
          <w:rFonts w:ascii="Roboto" w:hAnsi="Roboto"/>
          <w:bCs/>
          <w:szCs w:val="24"/>
          <w:lang w:val="en-US"/>
        </w:rPr>
        <w:lastRenderedPageBreak/>
        <w:t xml:space="preserve">men prefer elements that reward individual achievement and competitiveness. Similarly, Turel and </w:t>
      </w:r>
      <w:proofErr w:type="spellStart"/>
      <w:r w:rsidRPr="0037667E">
        <w:rPr>
          <w:rFonts w:ascii="Roboto" w:hAnsi="Roboto"/>
          <w:bCs/>
          <w:szCs w:val="24"/>
          <w:lang w:val="en-US"/>
        </w:rPr>
        <w:t>Qahri</w:t>
      </w:r>
      <w:proofErr w:type="spellEnd"/>
      <w:r w:rsidRPr="0037667E">
        <w:rPr>
          <w:rFonts w:ascii="Roboto" w:hAnsi="Roboto"/>
          <w:bCs/>
          <w:szCs w:val="24"/>
          <w:lang w:val="en-US"/>
        </w:rPr>
        <w:t>-Saremi (2018) observed that males were more likely to be motivated by task-related outcomes in gamified educational tools, whereas females prioritized ease of navigation and interpersonal interactions</w:t>
      </w:r>
      <w:r w:rsidR="009E15B2" w:rsidRPr="009E15B2">
        <w:rPr>
          <w:rFonts w:ascii="Roboto" w:hAnsi="Roboto"/>
          <w:bCs/>
          <w:szCs w:val="24"/>
          <w:lang w:val="en-US"/>
        </w:rPr>
        <w:t>.</w:t>
      </w:r>
    </w:p>
    <w:p w14:paraId="02319B49" w14:textId="77777777" w:rsidR="009E15B2" w:rsidRDefault="009E15B2" w:rsidP="009E15B2">
      <w:pPr>
        <w:widowControl w:val="0"/>
        <w:jc w:val="both"/>
        <w:rPr>
          <w:rFonts w:ascii="Roboto" w:hAnsi="Roboto"/>
          <w:bCs/>
          <w:szCs w:val="24"/>
          <w:lang w:val="en-US"/>
        </w:rPr>
      </w:pPr>
    </w:p>
    <w:p w14:paraId="72DB6C9E" w14:textId="2723BA33" w:rsidR="009E15B2" w:rsidRPr="009E15B2" w:rsidRDefault="009E15B2" w:rsidP="009E15B2">
      <w:pPr>
        <w:widowControl w:val="0"/>
        <w:jc w:val="both"/>
        <w:rPr>
          <w:rFonts w:ascii="Roboto" w:hAnsi="Roboto"/>
          <w:bCs/>
          <w:szCs w:val="24"/>
          <w:lang w:val="en-US"/>
        </w:rPr>
      </w:pPr>
      <w:r>
        <w:rPr>
          <w:rFonts w:ascii="Roboto" w:hAnsi="Roboto"/>
          <w:b/>
          <w:i/>
          <w:color w:val="004494"/>
        </w:rPr>
        <w:t>Gamification and Gender in Fiscal Initiatives</w:t>
      </w:r>
    </w:p>
    <w:p w14:paraId="435E2F30" w14:textId="77777777" w:rsidR="0037667E" w:rsidRPr="0037667E" w:rsidRDefault="0037667E" w:rsidP="0037667E">
      <w:pPr>
        <w:widowControl w:val="0"/>
        <w:jc w:val="both"/>
        <w:rPr>
          <w:rFonts w:ascii="Roboto" w:hAnsi="Roboto"/>
          <w:bCs/>
          <w:szCs w:val="24"/>
          <w:lang w:val="en-US"/>
        </w:rPr>
      </w:pPr>
      <w:r w:rsidRPr="0037667E">
        <w:rPr>
          <w:rFonts w:ascii="Roboto" w:hAnsi="Roboto"/>
          <w:bCs/>
          <w:szCs w:val="24"/>
          <w:lang w:val="en-US"/>
        </w:rPr>
        <w:t>There has been limited research on the role of gender in gamified tax compliance initiatives, particularly in developing economies like North Macedonia. However, studies in related fields provide some insights. Research has shown that men are more likely to engage with competitive elements in gamified systems, such as leaderboards or reward points, which may enhance their motivation to use such platforms (Werbach &amp; Hunter, 2012). Women, on the other hand, often place greater emphasis on the ease of use and social aspects of these systems, preferring platforms that foster a sense of community and support (Bittner &amp; Shipper, 2014).</w:t>
      </w:r>
    </w:p>
    <w:p w14:paraId="0F452CD1" w14:textId="77777777" w:rsidR="0037667E" w:rsidRPr="0037667E" w:rsidRDefault="0037667E" w:rsidP="0037667E">
      <w:pPr>
        <w:widowControl w:val="0"/>
        <w:jc w:val="both"/>
        <w:rPr>
          <w:rFonts w:ascii="Roboto" w:hAnsi="Roboto"/>
          <w:bCs/>
          <w:szCs w:val="24"/>
          <w:lang w:val="en-US"/>
        </w:rPr>
      </w:pPr>
    </w:p>
    <w:p w14:paraId="20688B7F" w14:textId="6BD50260" w:rsidR="009E15B2" w:rsidRDefault="0037667E" w:rsidP="0037667E">
      <w:pPr>
        <w:widowControl w:val="0"/>
        <w:jc w:val="both"/>
        <w:rPr>
          <w:rFonts w:ascii="Roboto" w:hAnsi="Roboto"/>
          <w:bCs/>
          <w:szCs w:val="24"/>
          <w:lang w:val="en-US"/>
        </w:rPr>
      </w:pPr>
      <w:r w:rsidRPr="0037667E">
        <w:rPr>
          <w:rFonts w:ascii="Roboto" w:hAnsi="Roboto"/>
          <w:bCs/>
          <w:szCs w:val="24"/>
          <w:lang w:val="en-US"/>
        </w:rPr>
        <w:t xml:space="preserve">In the context of the </w:t>
      </w:r>
      <w:proofErr w:type="spellStart"/>
      <w:r w:rsidRPr="0037667E">
        <w:rPr>
          <w:rFonts w:ascii="Roboto" w:hAnsi="Roboto"/>
          <w:bCs/>
          <w:szCs w:val="24"/>
          <w:lang w:val="en-US"/>
        </w:rPr>
        <w:t>MojDDV</w:t>
      </w:r>
      <w:proofErr w:type="spellEnd"/>
      <w:r w:rsidRPr="0037667E">
        <w:rPr>
          <w:rFonts w:ascii="Roboto" w:hAnsi="Roboto"/>
          <w:bCs/>
          <w:szCs w:val="24"/>
          <w:lang w:val="en-US"/>
        </w:rPr>
        <w:t xml:space="preserve"> app, these gender differences could manifest in how males and females engage with the app’s various gamification elements. For example, men may be more likely to participate in the app’s reward-based system, while women might be more influenced by social factors, such as peer recommendations or the perceived fairness of the tax system. Understanding these differences is critical for designing public sector initiatives that are inclusive and appeal to a diverse user base.</w:t>
      </w:r>
    </w:p>
    <w:p w14:paraId="4504E7E1" w14:textId="77777777" w:rsidR="0037667E" w:rsidRDefault="0037667E" w:rsidP="0037667E">
      <w:pPr>
        <w:widowControl w:val="0"/>
        <w:jc w:val="both"/>
        <w:rPr>
          <w:rFonts w:ascii="Roboto" w:hAnsi="Roboto"/>
          <w:bCs/>
          <w:szCs w:val="24"/>
          <w:lang w:val="en-US"/>
        </w:rPr>
      </w:pPr>
    </w:p>
    <w:p w14:paraId="747FB169" w14:textId="77777777" w:rsidR="0037667E" w:rsidRPr="0037667E" w:rsidRDefault="0037667E" w:rsidP="0037667E">
      <w:pPr>
        <w:widowControl w:val="0"/>
        <w:jc w:val="both"/>
        <w:rPr>
          <w:rFonts w:ascii="Roboto" w:hAnsi="Roboto"/>
          <w:b/>
          <w:bCs/>
          <w:i/>
          <w:iCs/>
          <w:color w:val="004494"/>
          <w:szCs w:val="24"/>
          <w:lang w:val="en-US"/>
        </w:rPr>
      </w:pPr>
      <w:r w:rsidRPr="0037667E">
        <w:rPr>
          <w:rFonts w:ascii="Roboto" w:hAnsi="Roboto"/>
          <w:b/>
          <w:bCs/>
          <w:i/>
          <w:iCs/>
          <w:color w:val="004494"/>
          <w:szCs w:val="24"/>
          <w:lang w:val="en-US"/>
        </w:rPr>
        <w:t>Generation Z and Digital Engagement</w:t>
      </w:r>
    </w:p>
    <w:p w14:paraId="61C5F03E" w14:textId="4BA89300" w:rsidR="0037667E" w:rsidRDefault="0037667E" w:rsidP="0037667E">
      <w:pPr>
        <w:widowControl w:val="0"/>
        <w:jc w:val="both"/>
        <w:rPr>
          <w:rFonts w:ascii="Roboto" w:hAnsi="Roboto"/>
          <w:bCs/>
          <w:szCs w:val="24"/>
          <w:lang w:val="en-US"/>
        </w:rPr>
      </w:pPr>
      <w:r w:rsidRPr="0037667E">
        <w:rPr>
          <w:rFonts w:ascii="Roboto" w:hAnsi="Roboto"/>
          <w:bCs/>
          <w:szCs w:val="24"/>
          <w:lang w:val="en-US"/>
        </w:rPr>
        <w:t>Generation Z, born between the mid-1990s and early 2010s</w:t>
      </w:r>
      <w:r w:rsidR="005B502B">
        <w:rPr>
          <w:rFonts w:ascii="Roboto" w:hAnsi="Roboto"/>
          <w:bCs/>
          <w:szCs w:val="24"/>
          <w:lang w:val="en-US"/>
        </w:rPr>
        <w:t xml:space="preserve"> (Jayatissa, 2023)</w:t>
      </w:r>
      <w:r w:rsidRPr="0037667E">
        <w:rPr>
          <w:rFonts w:ascii="Roboto" w:hAnsi="Roboto"/>
          <w:bCs/>
          <w:szCs w:val="24"/>
          <w:lang w:val="en-US"/>
        </w:rPr>
        <w:t xml:space="preserve">, is the first generation to have grown up with digital technology as an integral part of everyday life. As digital natives, members of Gen Z are highly familiar with mobile apps, social media platforms, and other digital tools, making them prime candidates for engaging with gamified government initiatives like </w:t>
      </w:r>
      <w:proofErr w:type="spellStart"/>
      <w:r w:rsidRPr="0037667E">
        <w:rPr>
          <w:rFonts w:ascii="Roboto" w:hAnsi="Roboto"/>
          <w:bCs/>
          <w:szCs w:val="24"/>
          <w:lang w:val="en-US"/>
        </w:rPr>
        <w:t>MojDDV</w:t>
      </w:r>
      <w:proofErr w:type="spellEnd"/>
      <w:r w:rsidRPr="0037667E">
        <w:rPr>
          <w:rFonts w:ascii="Roboto" w:hAnsi="Roboto"/>
          <w:bCs/>
          <w:szCs w:val="24"/>
          <w:lang w:val="en-US"/>
        </w:rPr>
        <w:t xml:space="preserve"> (Seemiller &amp; Grace, 2016). However, despite their technological fluency, Gen Z’s engagement with digital platforms can still be influenced by demographic factors such as gender.</w:t>
      </w:r>
    </w:p>
    <w:p w14:paraId="4E879E66" w14:textId="77777777" w:rsidR="0037667E" w:rsidRPr="0037667E" w:rsidRDefault="0037667E" w:rsidP="0037667E">
      <w:pPr>
        <w:widowControl w:val="0"/>
        <w:jc w:val="both"/>
        <w:rPr>
          <w:rFonts w:ascii="Roboto" w:hAnsi="Roboto"/>
          <w:bCs/>
          <w:szCs w:val="24"/>
          <w:lang w:val="en-US"/>
        </w:rPr>
      </w:pPr>
    </w:p>
    <w:p w14:paraId="0E8D5935" w14:textId="58FCB219" w:rsidR="0037667E" w:rsidRDefault="0037667E" w:rsidP="0037667E">
      <w:pPr>
        <w:widowControl w:val="0"/>
        <w:jc w:val="both"/>
        <w:rPr>
          <w:rFonts w:ascii="Roboto" w:hAnsi="Roboto"/>
          <w:bCs/>
          <w:szCs w:val="24"/>
          <w:lang w:val="en-US"/>
        </w:rPr>
      </w:pPr>
      <w:r w:rsidRPr="0037667E">
        <w:rPr>
          <w:rFonts w:ascii="Roboto" w:hAnsi="Roboto"/>
          <w:bCs/>
          <w:szCs w:val="24"/>
          <w:lang w:val="en-US"/>
        </w:rPr>
        <w:t xml:space="preserve">Studies on Gen Z's technology use have shown that while both males and females are highly engaged with digital tools, their reasons for engagement differ. Males are more likely to be motivated by competition, efficiency, and immediate rewards, while females often prioritize ease of use, design aesthetics, and social interaction (Smith, 2017). In the context of the </w:t>
      </w:r>
      <w:proofErr w:type="spellStart"/>
      <w:r w:rsidRPr="0037667E">
        <w:rPr>
          <w:rFonts w:ascii="Roboto" w:hAnsi="Roboto"/>
          <w:bCs/>
          <w:szCs w:val="24"/>
          <w:lang w:val="en-US"/>
        </w:rPr>
        <w:t>MojDDV</w:t>
      </w:r>
      <w:proofErr w:type="spellEnd"/>
      <w:r w:rsidRPr="0037667E">
        <w:rPr>
          <w:rFonts w:ascii="Roboto" w:hAnsi="Roboto"/>
          <w:bCs/>
          <w:szCs w:val="24"/>
          <w:lang w:val="en-US"/>
        </w:rPr>
        <w:t xml:space="preserve"> app, these gender-based preferences could influence how effectively the app engages its users and drives VAT compliance.</w:t>
      </w:r>
    </w:p>
    <w:p w14:paraId="7BBD9E53" w14:textId="77777777" w:rsidR="009E15B2" w:rsidRDefault="009E15B2" w:rsidP="009E15B2">
      <w:pPr>
        <w:widowControl w:val="0"/>
        <w:jc w:val="both"/>
        <w:rPr>
          <w:rFonts w:ascii="Roboto" w:hAnsi="Roboto"/>
          <w:bCs/>
          <w:szCs w:val="24"/>
          <w:lang w:val="en-US"/>
        </w:rPr>
      </w:pPr>
    </w:p>
    <w:p w14:paraId="43569D99" w14:textId="52D9B76C" w:rsidR="009E15B2" w:rsidRPr="009E15B2" w:rsidRDefault="009E15B2" w:rsidP="009E15B2">
      <w:pPr>
        <w:widowControl w:val="0"/>
        <w:jc w:val="both"/>
        <w:rPr>
          <w:rFonts w:ascii="Roboto" w:hAnsi="Roboto"/>
          <w:bCs/>
          <w:szCs w:val="24"/>
          <w:lang w:val="en-US"/>
        </w:rPr>
      </w:pPr>
      <w:r>
        <w:rPr>
          <w:rFonts w:ascii="Roboto" w:hAnsi="Roboto"/>
          <w:b/>
          <w:i/>
          <w:color w:val="004494"/>
        </w:rPr>
        <w:t>Relevance of Gender-Based Research in Public Policy</w:t>
      </w:r>
    </w:p>
    <w:p w14:paraId="729B24F4" w14:textId="77777777" w:rsidR="0037667E" w:rsidRPr="0037667E" w:rsidRDefault="0037667E" w:rsidP="0037667E">
      <w:pPr>
        <w:widowControl w:val="0"/>
        <w:jc w:val="both"/>
        <w:rPr>
          <w:rFonts w:ascii="Roboto" w:hAnsi="Roboto"/>
          <w:bCs/>
          <w:szCs w:val="24"/>
          <w:lang w:val="en-US"/>
        </w:rPr>
      </w:pPr>
      <w:r w:rsidRPr="0037667E">
        <w:rPr>
          <w:rFonts w:ascii="Roboto" w:hAnsi="Roboto"/>
          <w:bCs/>
          <w:szCs w:val="24"/>
          <w:lang w:val="en-US"/>
        </w:rPr>
        <w:t xml:space="preserve">Research into gender differences in technology adoption is particularly relevant for policymakers who aim to design effective and inclusive digital platforms. By understanding how men and women engage differently with gamified public sector initiatives, governments can tailor their strategies to maximize user engagement. This is especially important in initiatives like </w:t>
      </w:r>
      <w:proofErr w:type="spellStart"/>
      <w:r w:rsidRPr="0037667E">
        <w:rPr>
          <w:rFonts w:ascii="Roboto" w:hAnsi="Roboto"/>
          <w:bCs/>
          <w:szCs w:val="24"/>
          <w:lang w:val="en-US"/>
        </w:rPr>
        <w:t>MojDDV</w:t>
      </w:r>
      <w:proofErr w:type="spellEnd"/>
      <w:r w:rsidRPr="0037667E">
        <w:rPr>
          <w:rFonts w:ascii="Roboto" w:hAnsi="Roboto"/>
          <w:bCs/>
          <w:szCs w:val="24"/>
          <w:lang w:val="en-US"/>
        </w:rPr>
        <w:t>, which rely on widespread public participation to achieve their goals of reducing the shadow economy and increasing tax compliance.</w:t>
      </w:r>
    </w:p>
    <w:p w14:paraId="44E5A73E" w14:textId="77777777" w:rsidR="0037667E" w:rsidRPr="0037667E" w:rsidRDefault="0037667E" w:rsidP="0037667E">
      <w:pPr>
        <w:widowControl w:val="0"/>
        <w:jc w:val="both"/>
        <w:rPr>
          <w:rFonts w:ascii="Roboto" w:hAnsi="Roboto"/>
          <w:bCs/>
          <w:szCs w:val="24"/>
          <w:lang w:val="en-US"/>
        </w:rPr>
      </w:pPr>
    </w:p>
    <w:p w14:paraId="0795F1CF" w14:textId="394DC014" w:rsidR="009E15B2" w:rsidRPr="009E15B2" w:rsidRDefault="0037667E" w:rsidP="0037667E">
      <w:pPr>
        <w:widowControl w:val="0"/>
        <w:jc w:val="both"/>
        <w:rPr>
          <w:rFonts w:ascii="Roboto" w:hAnsi="Roboto"/>
          <w:bCs/>
          <w:szCs w:val="24"/>
          <w:lang w:val="en-US"/>
        </w:rPr>
      </w:pPr>
      <w:r w:rsidRPr="0037667E">
        <w:rPr>
          <w:rFonts w:ascii="Roboto" w:hAnsi="Roboto"/>
          <w:bCs/>
          <w:szCs w:val="24"/>
          <w:lang w:val="en-US"/>
        </w:rPr>
        <w:t xml:space="preserve">Studies have suggested that public policy initiatives that do not account for gender differences in technology use may fail to reach certain segments of the population, thereby reducing their overall effectiveness (Cui, 2016). For example, if an app like </w:t>
      </w:r>
      <w:proofErr w:type="spellStart"/>
      <w:r w:rsidRPr="0037667E">
        <w:rPr>
          <w:rFonts w:ascii="Roboto" w:hAnsi="Roboto"/>
          <w:bCs/>
          <w:szCs w:val="24"/>
          <w:lang w:val="en-US"/>
        </w:rPr>
        <w:t>MojDDV</w:t>
      </w:r>
      <w:proofErr w:type="spellEnd"/>
      <w:r w:rsidRPr="0037667E">
        <w:rPr>
          <w:rFonts w:ascii="Roboto" w:hAnsi="Roboto"/>
          <w:bCs/>
          <w:szCs w:val="24"/>
          <w:lang w:val="en-US"/>
        </w:rPr>
        <w:t xml:space="preserve"> primarily appeals to one gender, it may not achieve the desired level of engagement across the entire population, limiting its impact on tax compliance. Therefore, a nuanced understanding of gender-based engagement patterns can help policymakers design more effective interventions.</w:t>
      </w:r>
    </w:p>
    <w:p w14:paraId="15F21F18" w14:textId="77777777" w:rsidR="009E15B2" w:rsidRDefault="009E15B2" w:rsidP="009E15B2">
      <w:pPr>
        <w:widowControl w:val="0"/>
        <w:jc w:val="both"/>
        <w:rPr>
          <w:rFonts w:ascii="Roboto" w:hAnsi="Roboto"/>
          <w:b/>
          <w:bCs/>
          <w:szCs w:val="24"/>
          <w:lang w:val="en-US"/>
        </w:rPr>
      </w:pPr>
    </w:p>
    <w:p w14:paraId="6D5C0DE2" w14:textId="055E83C7" w:rsidR="009E15B2" w:rsidRPr="009E15B2" w:rsidRDefault="009E15B2" w:rsidP="009E15B2">
      <w:pPr>
        <w:widowControl w:val="0"/>
        <w:jc w:val="both"/>
        <w:rPr>
          <w:rFonts w:ascii="Roboto" w:hAnsi="Roboto"/>
          <w:bCs/>
          <w:szCs w:val="24"/>
          <w:lang w:val="en-US"/>
        </w:rPr>
      </w:pPr>
      <w:r w:rsidRPr="009E15B2">
        <w:rPr>
          <w:rFonts w:ascii="Roboto" w:hAnsi="Roboto"/>
          <w:bCs/>
          <w:szCs w:val="24"/>
          <w:lang w:val="en-US"/>
        </w:rPr>
        <w:t xml:space="preserve">Despite the growing body of research on gender differences in technology adoption and gamification, there is a lack of studies that specifically focus on </w:t>
      </w:r>
      <w:r w:rsidRPr="00452296">
        <w:rPr>
          <w:rFonts w:ascii="Roboto" w:hAnsi="Roboto"/>
          <w:szCs w:val="24"/>
          <w:lang w:val="en-US"/>
        </w:rPr>
        <w:t xml:space="preserve">gender differences in government-led gamification initiatives </w:t>
      </w:r>
      <w:r w:rsidRPr="009E15B2">
        <w:rPr>
          <w:rFonts w:ascii="Roboto" w:hAnsi="Roboto"/>
          <w:bCs/>
          <w:szCs w:val="24"/>
          <w:lang w:val="en-US"/>
        </w:rPr>
        <w:t xml:space="preserve">for fiscal compliance. While studies have explored how men and women differ in their engagement with commercial gamified systems, there is limited understanding of how these dynamics play out in public sector contexts, particularly in developing economies like North Macedonia. This paper seeks to fill this gap by analyzing gender differences in Generation Z’s engagement with the </w:t>
      </w:r>
      <w:proofErr w:type="spellStart"/>
      <w:r w:rsidRPr="009E15B2">
        <w:rPr>
          <w:rFonts w:ascii="Roboto" w:hAnsi="Roboto"/>
          <w:bCs/>
          <w:szCs w:val="24"/>
          <w:lang w:val="en-US"/>
        </w:rPr>
        <w:t>MojDDV</w:t>
      </w:r>
      <w:proofErr w:type="spellEnd"/>
      <w:r w:rsidRPr="009E15B2">
        <w:rPr>
          <w:rFonts w:ascii="Roboto" w:hAnsi="Roboto"/>
          <w:bCs/>
          <w:szCs w:val="24"/>
          <w:lang w:val="en-US"/>
        </w:rPr>
        <w:t xml:space="preserve"> app, providing insights that can inform the design of more inclusive and effective public policy tools.</w:t>
      </w:r>
    </w:p>
    <w:p w14:paraId="36A987D7" w14:textId="69E3F216" w:rsidR="009E15B2" w:rsidRDefault="009E15B2" w:rsidP="009E15B2">
      <w:pPr>
        <w:widowControl w:val="0"/>
        <w:jc w:val="both"/>
        <w:rPr>
          <w:rFonts w:ascii="Roboto" w:hAnsi="Roboto"/>
          <w:bCs/>
          <w:szCs w:val="24"/>
          <w:lang w:val="en-US"/>
        </w:rPr>
      </w:pPr>
    </w:p>
    <w:p w14:paraId="26D7DD65" w14:textId="77777777" w:rsidR="00F54AB4" w:rsidRDefault="00F54AB4" w:rsidP="009E15B2">
      <w:pPr>
        <w:widowControl w:val="0"/>
        <w:jc w:val="both"/>
        <w:rPr>
          <w:rFonts w:ascii="Roboto" w:hAnsi="Roboto"/>
          <w:bCs/>
          <w:szCs w:val="24"/>
          <w:lang w:val="en-US"/>
        </w:rPr>
      </w:pPr>
    </w:p>
    <w:p w14:paraId="7F780312" w14:textId="37406DF5" w:rsidR="004B2CA6" w:rsidRDefault="004B2CA6" w:rsidP="004B2CA6">
      <w:pPr>
        <w:widowControl w:val="0"/>
        <w:jc w:val="both"/>
        <w:rPr>
          <w:rFonts w:ascii="Roboto" w:hAnsi="Roboto"/>
          <w:b/>
          <w:bCs/>
          <w:color w:val="004494"/>
          <w:sz w:val="28"/>
        </w:rPr>
      </w:pPr>
      <w:r>
        <w:rPr>
          <w:rFonts w:ascii="Roboto" w:hAnsi="Roboto"/>
          <w:b/>
          <w:bCs/>
          <w:color w:val="004494"/>
          <w:sz w:val="28"/>
        </w:rPr>
        <w:t>Methodology</w:t>
      </w:r>
    </w:p>
    <w:p w14:paraId="1E4B3FAB" w14:textId="77777777" w:rsidR="004B2CA6" w:rsidRDefault="004B2CA6" w:rsidP="009E15B2">
      <w:pPr>
        <w:widowControl w:val="0"/>
        <w:jc w:val="both"/>
        <w:rPr>
          <w:rFonts w:ascii="Roboto" w:hAnsi="Roboto"/>
          <w:bCs/>
          <w:szCs w:val="24"/>
          <w:lang w:val="en-US"/>
        </w:rPr>
      </w:pPr>
    </w:p>
    <w:p w14:paraId="7FA572B0" w14:textId="77777777" w:rsid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This research employs a quantitative approach to examine gender differences in the usage of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among Generation Z users. The study focuses on understanding the role of gender in app engagement by investigating the frequency of use, responses to gamified features, and the influence of social factors.</w:t>
      </w:r>
    </w:p>
    <w:p w14:paraId="22137108" w14:textId="77777777" w:rsidR="00FD3C02" w:rsidRPr="00FD3C02" w:rsidRDefault="00FD3C02" w:rsidP="00FD3C02">
      <w:pPr>
        <w:widowControl w:val="0"/>
        <w:jc w:val="both"/>
        <w:rPr>
          <w:rFonts w:ascii="Roboto" w:hAnsi="Roboto"/>
          <w:bCs/>
          <w:szCs w:val="24"/>
          <w:lang w:val="en-US"/>
        </w:rPr>
      </w:pPr>
    </w:p>
    <w:p w14:paraId="092DBED4" w14:textId="77777777" w:rsidR="00FD3C02" w:rsidRPr="00FD3C02" w:rsidRDefault="00FD3C02" w:rsidP="00FD3C02">
      <w:pPr>
        <w:widowControl w:val="0"/>
        <w:jc w:val="both"/>
        <w:rPr>
          <w:rFonts w:ascii="Roboto" w:hAnsi="Roboto"/>
          <w:b/>
          <w:bCs/>
          <w:i/>
          <w:iCs/>
          <w:color w:val="004494"/>
          <w:szCs w:val="24"/>
          <w:lang w:val="en-US"/>
        </w:rPr>
      </w:pPr>
      <w:r w:rsidRPr="00FD3C02">
        <w:rPr>
          <w:rFonts w:ascii="Roboto" w:hAnsi="Roboto"/>
          <w:b/>
          <w:bCs/>
          <w:i/>
          <w:iCs/>
          <w:color w:val="004494"/>
          <w:szCs w:val="24"/>
          <w:lang w:val="en-US"/>
        </w:rPr>
        <w:t>Research Design</w:t>
      </w:r>
    </w:p>
    <w:p w14:paraId="3AFE8C47"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A structured questionnaire served as the primary data collection instrument. The questionnaire was designed to capture a comprehensive range of variables, including:</w:t>
      </w:r>
    </w:p>
    <w:p w14:paraId="525861A6" w14:textId="77777777" w:rsidR="00FD3C02" w:rsidRPr="00FD3C02" w:rsidRDefault="00FD3C02" w:rsidP="00FD3C02">
      <w:pPr>
        <w:widowControl w:val="0"/>
        <w:numPr>
          <w:ilvl w:val="0"/>
          <w:numId w:val="3"/>
        </w:numPr>
        <w:jc w:val="both"/>
        <w:rPr>
          <w:rFonts w:ascii="Roboto" w:hAnsi="Roboto"/>
          <w:bCs/>
          <w:szCs w:val="24"/>
          <w:lang w:val="en-US"/>
        </w:rPr>
      </w:pPr>
      <w:r w:rsidRPr="00FD3C02">
        <w:rPr>
          <w:rFonts w:ascii="Roboto" w:hAnsi="Roboto"/>
          <w:b/>
          <w:bCs/>
          <w:szCs w:val="24"/>
          <w:lang w:val="en-US"/>
        </w:rPr>
        <w:t>Frequency of app usage</w:t>
      </w:r>
      <w:r w:rsidRPr="00FD3C02">
        <w:rPr>
          <w:rFonts w:ascii="Roboto" w:hAnsi="Roboto"/>
          <w:bCs/>
          <w:szCs w:val="24"/>
          <w:lang w:val="en-US"/>
        </w:rPr>
        <w:t xml:space="preserve">: How often users interacted with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w:t>
      </w:r>
    </w:p>
    <w:p w14:paraId="23A6FFB0" w14:textId="77777777" w:rsidR="00FD3C02" w:rsidRPr="00FD3C02" w:rsidRDefault="00FD3C02" w:rsidP="00FD3C02">
      <w:pPr>
        <w:widowControl w:val="0"/>
        <w:numPr>
          <w:ilvl w:val="0"/>
          <w:numId w:val="3"/>
        </w:numPr>
        <w:jc w:val="both"/>
        <w:rPr>
          <w:rFonts w:ascii="Roboto" w:hAnsi="Roboto"/>
          <w:bCs/>
          <w:szCs w:val="24"/>
          <w:lang w:val="en-US"/>
        </w:rPr>
      </w:pPr>
      <w:r w:rsidRPr="00FD3C02">
        <w:rPr>
          <w:rFonts w:ascii="Roboto" w:hAnsi="Roboto"/>
          <w:b/>
          <w:bCs/>
          <w:szCs w:val="24"/>
          <w:lang w:val="en-US"/>
        </w:rPr>
        <w:t>User satisfaction</w:t>
      </w:r>
      <w:r w:rsidRPr="00FD3C02">
        <w:rPr>
          <w:rFonts w:ascii="Roboto" w:hAnsi="Roboto"/>
          <w:bCs/>
          <w:szCs w:val="24"/>
          <w:lang w:val="en-US"/>
        </w:rPr>
        <w:t>: Overall satisfaction with the app’s features and performance.</w:t>
      </w:r>
    </w:p>
    <w:p w14:paraId="58ABC95E" w14:textId="77777777" w:rsidR="00FD3C02" w:rsidRPr="00FD3C02" w:rsidRDefault="00FD3C02" w:rsidP="00FD3C02">
      <w:pPr>
        <w:widowControl w:val="0"/>
        <w:numPr>
          <w:ilvl w:val="0"/>
          <w:numId w:val="3"/>
        </w:numPr>
        <w:jc w:val="both"/>
        <w:rPr>
          <w:rFonts w:ascii="Roboto" w:hAnsi="Roboto"/>
          <w:bCs/>
          <w:szCs w:val="24"/>
          <w:lang w:val="en-US"/>
        </w:rPr>
      </w:pPr>
      <w:r w:rsidRPr="00FD3C02">
        <w:rPr>
          <w:rFonts w:ascii="Roboto" w:hAnsi="Roboto"/>
          <w:b/>
          <w:bCs/>
          <w:szCs w:val="24"/>
          <w:lang w:val="en-US"/>
        </w:rPr>
        <w:t>Perceived ease of use</w:t>
      </w:r>
      <w:r w:rsidRPr="00FD3C02">
        <w:rPr>
          <w:rFonts w:ascii="Roboto" w:hAnsi="Roboto"/>
          <w:bCs/>
          <w:szCs w:val="24"/>
          <w:lang w:val="en-US"/>
        </w:rPr>
        <w:t>: How intuitive and user-friendly respondents found the app.</w:t>
      </w:r>
    </w:p>
    <w:p w14:paraId="51591176" w14:textId="77777777" w:rsidR="00FD3C02" w:rsidRPr="00FD3C02" w:rsidRDefault="00FD3C02" w:rsidP="00FD3C02">
      <w:pPr>
        <w:widowControl w:val="0"/>
        <w:numPr>
          <w:ilvl w:val="0"/>
          <w:numId w:val="3"/>
        </w:numPr>
        <w:jc w:val="both"/>
        <w:rPr>
          <w:rFonts w:ascii="Roboto" w:hAnsi="Roboto"/>
          <w:bCs/>
          <w:szCs w:val="24"/>
          <w:lang w:val="en-US"/>
        </w:rPr>
      </w:pPr>
      <w:r w:rsidRPr="00FD3C02">
        <w:rPr>
          <w:rFonts w:ascii="Roboto" w:hAnsi="Roboto"/>
          <w:b/>
          <w:bCs/>
          <w:szCs w:val="24"/>
          <w:lang w:val="en-US"/>
        </w:rPr>
        <w:t>Engagement with gamification elements</w:t>
      </w:r>
      <w:r w:rsidRPr="00FD3C02">
        <w:rPr>
          <w:rFonts w:ascii="Roboto" w:hAnsi="Roboto"/>
          <w:bCs/>
          <w:szCs w:val="24"/>
          <w:lang w:val="en-US"/>
        </w:rPr>
        <w:t>: Interaction with specific features such as rewards, leaderboards, and scanning incentives.</w:t>
      </w:r>
    </w:p>
    <w:p w14:paraId="60FFAE70" w14:textId="77777777" w:rsidR="00FD3C02" w:rsidRPr="00FD3C02" w:rsidRDefault="00FD3C02" w:rsidP="00FD3C02">
      <w:pPr>
        <w:widowControl w:val="0"/>
        <w:numPr>
          <w:ilvl w:val="0"/>
          <w:numId w:val="3"/>
        </w:numPr>
        <w:jc w:val="both"/>
        <w:rPr>
          <w:rFonts w:ascii="Roboto" w:hAnsi="Roboto"/>
          <w:bCs/>
          <w:szCs w:val="24"/>
          <w:lang w:val="en-US"/>
        </w:rPr>
      </w:pPr>
      <w:r w:rsidRPr="00FD3C02">
        <w:rPr>
          <w:rFonts w:ascii="Roboto" w:hAnsi="Roboto"/>
          <w:b/>
          <w:bCs/>
          <w:szCs w:val="24"/>
          <w:lang w:val="en-US"/>
        </w:rPr>
        <w:t>Social influence</w:t>
      </w:r>
      <w:r w:rsidRPr="00FD3C02">
        <w:rPr>
          <w:rFonts w:ascii="Roboto" w:hAnsi="Roboto"/>
          <w:bCs/>
          <w:szCs w:val="24"/>
          <w:lang w:val="en-US"/>
        </w:rPr>
        <w:t>: The role of peer and societal factors in influencing app usage.</w:t>
      </w:r>
    </w:p>
    <w:p w14:paraId="4BD3DEF8" w14:textId="77777777" w:rsidR="00FD3C02" w:rsidRDefault="00FD3C02" w:rsidP="00FD3C02">
      <w:pPr>
        <w:widowControl w:val="0"/>
        <w:jc w:val="both"/>
        <w:rPr>
          <w:rFonts w:ascii="Roboto" w:hAnsi="Roboto"/>
          <w:bCs/>
          <w:szCs w:val="24"/>
          <w:lang w:val="en-US"/>
        </w:rPr>
      </w:pPr>
      <w:r w:rsidRPr="00FD3C02">
        <w:rPr>
          <w:rFonts w:ascii="Roboto" w:hAnsi="Roboto"/>
          <w:bCs/>
          <w:szCs w:val="24"/>
          <w:lang w:val="en-US"/>
        </w:rPr>
        <w:t>The questions were primarily closed-ended and measured using a five-point Likert scale (1 = Strongly Disagree to 5 = Strongly Agree) to facilitate quantitative analysis. Demographic information, including age, gender, and education level, was also collected to contextualize the results.</w:t>
      </w:r>
    </w:p>
    <w:p w14:paraId="3DB9406D" w14:textId="77777777" w:rsidR="00FD3C02" w:rsidRPr="00FD3C02" w:rsidRDefault="00FD3C02" w:rsidP="00FD3C02">
      <w:pPr>
        <w:widowControl w:val="0"/>
        <w:jc w:val="both"/>
        <w:rPr>
          <w:rFonts w:ascii="Roboto" w:hAnsi="Roboto"/>
          <w:bCs/>
          <w:szCs w:val="24"/>
          <w:lang w:val="en-US"/>
        </w:rPr>
      </w:pPr>
    </w:p>
    <w:p w14:paraId="1A1DB998" w14:textId="77777777" w:rsidR="00FD3C02" w:rsidRPr="00FD3C02" w:rsidRDefault="00FD3C02" w:rsidP="00FD3C02">
      <w:pPr>
        <w:widowControl w:val="0"/>
        <w:jc w:val="both"/>
        <w:rPr>
          <w:rFonts w:ascii="Roboto" w:hAnsi="Roboto"/>
          <w:b/>
          <w:bCs/>
          <w:i/>
          <w:iCs/>
          <w:color w:val="004494"/>
          <w:szCs w:val="24"/>
          <w:lang w:val="en-US"/>
        </w:rPr>
      </w:pPr>
      <w:r w:rsidRPr="00FD3C02">
        <w:rPr>
          <w:rFonts w:ascii="Roboto" w:hAnsi="Roboto"/>
          <w:b/>
          <w:bCs/>
          <w:i/>
          <w:iCs/>
          <w:color w:val="004494"/>
          <w:szCs w:val="24"/>
          <w:lang w:val="en-US"/>
        </w:rPr>
        <w:t>Sampling and Data Collection</w:t>
      </w:r>
    </w:p>
    <w:p w14:paraId="0165CC79"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The target population for this study comprised Generation Z users (aged 18–24) who were registered users of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To ensure the sample was representative of the target demographic:</w:t>
      </w:r>
    </w:p>
    <w:p w14:paraId="3961DFAD" w14:textId="77777777" w:rsidR="00FD3C02" w:rsidRPr="00FD3C02" w:rsidRDefault="00FD3C02" w:rsidP="00FD3C02">
      <w:pPr>
        <w:widowControl w:val="0"/>
        <w:numPr>
          <w:ilvl w:val="0"/>
          <w:numId w:val="4"/>
        </w:numPr>
        <w:jc w:val="both"/>
        <w:rPr>
          <w:rFonts w:ascii="Roboto" w:hAnsi="Roboto"/>
          <w:bCs/>
          <w:szCs w:val="24"/>
          <w:lang w:val="en-US"/>
        </w:rPr>
      </w:pPr>
      <w:r w:rsidRPr="00FD3C02">
        <w:rPr>
          <w:rFonts w:ascii="Roboto" w:hAnsi="Roboto"/>
          <w:bCs/>
          <w:szCs w:val="24"/>
          <w:lang w:val="en-US"/>
        </w:rPr>
        <w:lastRenderedPageBreak/>
        <w:t xml:space="preserve">Respondents were required to have used the </w:t>
      </w:r>
      <w:proofErr w:type="spellStart"/>
      <w:r w:rsidRPr="00FD3C02">
        <w:rPr>
          <w:rFonts w:ascii="Roboto" w:hAnsi="Roboto"/>
          <w:bCs/>
          <w:szCs w:val="24"/>
          <w:lang w:val="en-US"/>
        </w:rPr>
        <w:t>MojDDV</w:t>
      </w:r>
      <w:proofErr w:type="spellEnd"/>
      <w:r w:rsidRPr="00FD3C02">
        <w:rPr>
          <w:rFonts w:ascii="Roboto" w:hAnsi="Roboto"/>
          <w:bCs/>
          <w:szCs w:val="24"/>
          <w:lang w:val="en-US"/>
        </w:rPr>
        <w:t xml:space="preserve"> app at least once in the past three months.</w:t>
      </w:r>
    </w:p>
    <w:p w14:paraId="7ACEBFA5" w14:textId="77777777" w:rsidR="00FD3C02" w:rsidRPr="00FD3C02" w:rsidRDefault="00FD3C02" w:rsidP="00FD3C02">
      <w:pPr>
        <w:widowControl w:val="0"/>
        <w:numPr>
          <w:ilvl w:val="0"/>
          <w:numId w:val="4"/>
        </w:numPr>
        <w:jc w:val="both"/>
        <w:rPr>
          <w:rFonts w:ascii="Roboto" w:hAnsi="Roboto"/>
          <w:bCs/>
          <w:szCs w:val="24"/>
          <w:lang w:val="en-US"/>
        </w:rPr>
      </w:pPr>
      <w:r w:rsidRPr="00FD3C02">
        <w:rPr>
          <w:rFonts w:ascii="Roboto" w:hAnsi="Roboto"/>
          <w:bCs/>
          <w:szCs w:val="24"/>
          <w:lang w:val="en-US"/>
        </w:rPr>
        <w:t>A total of 120 valid responses were collected, with the gender distribution being 52% female and 48% male.</w:t>
      </w:r>
    </w:p>
    <w:p w14:paraId="689B1367" w14:textId="77777777" w:rsid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The questionnaire was disseminated online through multiple channels, including email, social media platforms, and </w:t>
      </w:r>
      <w:proofErr w:type="spellStart"/>
      <w:r w:rsidRPr="00FD3C02">
        <w:rPr>
          <w:rFonts w:ascii="Roboto" w:hAnsi="Roboto"/>
          <w:bCs/>
          <w:szCs w:val="24"/>
          <w:lang w:val="en-US"/>
        </w:rPr>
        <w:t>MojDDV’s</w:t>
      </w:r>
      <w:proofErr w:type="spellEnd"/>
      <w:r w:rsidRPr="00FD3C02">
        <w:rPr>
          <w:rFonts w:ascii="Roboto" w:hAnsi="Roboto"/>
          <w:bCs/>
          <w:szCs w:val="24"/>
          <w:lang w:val="en-US"/>
        </w:rPr>
        <w:t xml:space="preserve"> official communication channels. Online distribution ensured wide reach and accessibility to the Generation Z population, known for its high digital literacy.</w:t>
      </w:r>
    </w:p>
    <w:p w14:paraId="4256E507" w14:textId="77777777" w:rsidR="00FD3C02" w:rsidRPr="00FD3C02" w:rsidRDefault="00FD3C02" w:rsidP="00FD3C02">
      <w:pPr>
        <w:widowControl w:val="0"/>
        <w:jc w:val="both"/>
        <w:rPr>
          <w:rFonts w:ascii="Roboto" w:hAnsi="Roboto"/>
          <w:bCs/>
          <w:szCs w:val="24"/>
          <w:lang w:val="en-US"/>
        </w:rPr>
      </w:pPr>
    </w:p>
    <w:p w14:paraId="20443701" w14:textId="77777777" w:rsidR="00FD3C02" w:rsidRPr="00FD3C02" w:rsidRDefault="00FD3C02" w:rsidP="00FD3C02">
      <w:pPr>
        <w:widowControl w:val="0"/>
        <w:jc w:val="both"/>
        <w:rPr>
          <w:rFonts w:ascii="Roboto" w:hAnsi="Roboto"/>
          <w:b/>
          <w:bCs/>
          <w:i/>
          <w:iCs/>
          <w:color w:val="004494"/>
          <w:szCs w:val="24"/>
          <w:lang w:val="en-US"/>
        </w:rPr>
      </w:pPr>
      <w:r w:rsidRPr="00FD3C02">
        <w:rPr>
          <w:rFonts w:ascii="Roboto" w:hAnsi="Roboto"/>
          <w:b/>
          <w:bCs/>
          <w:i/>
          <w:iCs/>
          <w:color w:val="004494"/>
          <w:szCs w:val="24"/>
          <w:lang w:val="en-US"/>
        </w:rPr>
        <w:t>Data Analysis</w:t>
      </w:r>
    </w:p>
    <w:p w14:paraId="73FEDA02" w14:textId="77777777" w:rsidR="00FD3C02" w:rsidRPr="00FD3C02" w:rsidRDefault="00FD3C02" w:rsidP="00FD3C02">
      <w:pPr>
        <w:widowControl w:val="0"/>
        <w:jc w:val="both"/>
        <w:rPr>
          <w:rFonts w:ascii="Roboto" w:hAnsi="Roboto"/>
          <w:bCs/>
          <w:szCs w:val="24"/>
          <w:lang w:val="en-US"/>
        </w:rPr>
      </w:pPr>
      <w:r w:rsidRPr="00FD3C02">
        <w:rPr>
          <w:rFonts w:ascii="Roboto" w:hAnsi="Roboto"/>
          <w:bCs/>
          <w:szCs w:val="24"/>
          <w:lang w:val="en-US"/>
        </w:rPr>
        <w:t xml:space="preserve">Data were analyzed using </w:t>
      </w:r>
      <w:r w:rsidRPr="00FD3C02">
        <w:rPr>
          <w:rFonts w:ascii="Roboto" w:hAnsi="Roboto"/>
          <w:b/>
          <w:bCs/>
          <w:szCs w:val="24"/>
          <w:lang w:val="en-US"/>
        </w:rPr>
        <w:t>SPSS (Statistical Package for the Social Sciences)</w:t>
      </w:r>
      <w:r w:rsidRPr="00FD3C02">
        <w:rPr>
          <w:rFonts w:ascii="Roboto" w:hAnsi="Roboto"/>
          <w:bCs/>
          <w:szCs w:val="24"/>
          <w:lang w:val="en-US"/>
        </w:rPr>
        <w:t xml:space="preserve"> software. A variety of statistical techniques were employed to ensure robust analysis:</w:t>
      </w:r>
    </w:p>
    <w:p w14:paraId="12FE64DB" w14:textId="77777777" w:rsidR="00FD3C02" w:rsidRPr="00FD3C02" w:rsidRDefault="00FD3C02" w:rsidP="00FD3C02">
      <w:pPr>
        <w:widowControl w:val="0"/>
        <w:numPr>
          <w:ilvl w:val="0"/>
          <w:numId w:val="5"/>
        </w:numPr>
        <w:jc w:val="both"/>
        <w:rPr>
          <w:rFonts w:ascii="Roboto" w:hAnsi="Roboto"/>
          <w:bCs/>
          <w:szCs w:val="24"/>
          <w:lang w:val="en-US"/>
        </w:rPr>
      </w:pPr>
      <w:r w:rsidRPr="00FD3C02">
        <w:rPr>
          <w:rFonts w:ascii="Roboto" w:hAnsi="Roboto"/>
          <w:b/>
          <w:bCs/>
          <w:szCs w:val="24"/>
          <w:lang w:val="en-US"/>
        </w:rPr>
        <w:t>Descriptive Statistics</w:t>
      </w:r>
      <w:r w:rsidRPr="00FD3C02">
        <w:rPr>
          <w:rFonts w:ascii="Roboto" w:hAnsi="Roboto"/>
          <w:bCs/>
          <w:szCs w:val="24"/>
          <w:lang w:val="en-US"/>
        </w:rPr>
        <w:t>:</w:t>
      </w:r>
    </w:p>
    <w:p w14:paraId="446FEF37"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Cs/>
          <w:szCs w:val="24"/>
          <w:lang w:val="en-US"/>
        </w:rPr>
        <w:t>Calculated means, standard deviations, and frequency distributions to provide an overall picture of app engagement within the sample.</w:t>
      </w:r>
    </w:p>
    <w:p w14:paraId="1538D9AA"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Cs/>
          <w:szCs w:val="24"/>
          <w:lang w:val="en-US"/>
        </w:rPr>
        <w:t>Results were disaggregated by gender to identify trends and patterns specific to male and female users.</w:t>
      </w:r>
    </w:p>
    <w:p w14:paraId="41030994" w14:textId="77777777" w:rsidR="00FD3C02" w:rsidRPr="00FD3C02" w:rsidRDefault="00FD3C02" w:rsidP="00FD3C02">
      <w:pPr>
        <w:widowControl w:val="0"/>
        <w:numPr>
          <w:ilvl w:val="0"/>
          <w:numId w:val="5"/>
        </w:numPr>
        <w:jc w:val="both"/>
        <w:rPr>
          <w:rFonts w:ascii="Roboto" w:hAnsi="Roboto"/>
          <w:bCs/>
          <w:szCs w:val="24"/>
          <w:lang w:val="en-US"/>
        </w:rPr>
      </w:pPr>
      <w:r w:rsidRPr="00FD3C02">
        <w:rPr>
          <w:rFonts w:ascii="Roboto" w:hAnsi="Roboto"/>
          <w:b/>
          <w:bCs/>
          <w:szCs w:val="24"/>
          <w:lang w:val="en-US"/>
        </w:rPr>
        <w:t>Inferential Statistics</w:t>
      </w:r>
      <w:r w:rsidRPr="00FD3C02">
        <w:rPr>
          <w:rFonts w:ascii="Roboto" w:hAnsi="Roboto"/>
          <w:bCs/>
          <w:szCs w:val="24"/>
          <w:lang w:val="en-US"/>
        </w:rPr>
        <w:t>:</w:t>
      </w:r>
    </w:p>
    <w:p w14:paraId="2C933CCC"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
          <w:bCs/>
          <w:szCs w:val="24"/>
          <w:lang w:val="en-US"/>
        </w:rPr>
        <w:t>Independent samples t-tests</w:t>
      </w:r>
      <w:r w:rsidRPr="00FD3C02">
        <w:rPr>
          <w:rFonts w:ascii="Roboto" w:hAnsi="Roboto"/>
          <w:bCs/>
          <w:szCs w:val="24"/>
          <w:lang w:val="en-US"/>
        </w:rPr>
        <w:t>: Conducted to test for statistically significant differences between male and female users concerning frequency of use, satisfaction, perceived ease of use, and interaction with gamified features.</w:t>
      </w:r>
    </w:p>
    <w:p w14:paraId="27902345"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
          <w:bCs/>
          <w:szCs w:val="24"/>
          <w:lang w:val="en-US"/>
        </w:rPr>
        <w:t>Chi-square tests</w:t>
      </w:r>
      <w:r w:rsidRPr="00FD3C02">
        <w:rPr>
          <w:rFonts w:ascii="Roboto" w:hAnsi="Roboto"/>
          <w:bCs/>
          <w:szCs w:val="24"/>
          <w:lang w:val="en-US"/>
        </w:rPr>
        <w:t>: Used to analyze associations between gender and categorical variables, such as participation in the reward system or frequency of scanning receipts.</w:t>
      </w:r>
    </w:p>
    <w:p w14:paraId="5FA5DAA4" w14:textId="77777777" w:rsidR="00FD3C02" w:rsidRPr="00FD3C02" w:rsidRDefault="00FD3C02" w:rsidP="00FD3C02">
      <w:pPr>
        <w:widowControl w:val="0"/>
        <w:numPr>
          <w:ilvl w:val="0"/>
          <w:numId w:val="5"/>
        </w:numPr>
        <w:jc w:val="both"/>
        <w:rPr>
          <w:rFonts w:ascii="Roboto" w:hAnsi="Roboto"/>
          <w:bCs/>
          <w:szCs w:val="24"/>
          <w:lang w:val="en-US"/>
        </w:rPr>
      </w:pPr>
      <w:r w:rsidRPr="00FD3C02">
        <w:rPr>
          <w:rFonts w:ascii="Roboto" w:hAnsi="Roboto"/>
          <w:b/>
          <w:bCs/>
          <w:szCs w:val="24"/>
          <w:lang w:val="en-US"/>
        </w:rPr>
        <w:t>Regression Analysis</w:t>
      </w:r>
      <w:r w:rsidRPr="00FD3C02">
        <w:rPr>
          <w:rFonts w:ascii="Roboto" w:hAnsi="Roboto"/>
          <w:bCs/>
          <w:szCs w:val="24"/>
          <w:lang w:val="en-US"/>
        </w:rPr>
        <w:t>:</w:t>
      </w:r>
    </w:p>
    <w:p w14:paraId="78C1B7D7"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
          <w:bCs/>
          <w:szCs w:val="24"/>
          <w:lang w:val="en-US"/>
        </w:rPr>
        <w:t>Logistic regression</w:t>
      </w:r>
      <w:r w:rsidRPr="00FD3C02">
        <w:rPr>
          <w:rFonts w:ascii="Roboto" w:hAnsi="Roboto"/>
          <w:bCs/>
          <w:szCs w:val="24"/>
          <w:lang w:val="en-US"/>
        </w:rPr>
        <w:t>: Performed to evaluate the influence of gender, perceived ease of use, and social influence on the likelihood of engaging with the app’s gamification features. Gender served as a categorical predictor, with additional predictors including social influence and perceived ease of use.</w:t>
      </w:r>
    </w:p>
    <w:p w14:paraId="3AB6B362"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Cs/>
          <w:szCs w:val="24"/>
          <w:lang w:val="en-US"/>
        </w:rPr>
        <w:t>The model's explanatory power was assessed using R² values, and coefficients were examined to interpret the relative importance of each factor.</w:t>
      </w:r>
    </w:p>
    <w:p w14:paraId="0E0C8F3F" w14:textId="77777777" w:rsidR="00FD3C02" w:rsidRPr="00FD3C02" w:rsidRDefault="00FD3C02" w:rsidP="00FD3C02">
      <w:pPr>
        <w:widowControl w:val="0"/>
        <w:numPr>
          <w:ilvl w:val="0"/>
          <w:numId w:val="5"/>
        </w:numPr>
        <w:jc w:val="both"/>
        <w:rPr>
          <w:rFonts w:ascii="Roboto" w:hAnsi="Roboto"/>
          <w:bCs/>
          <w:szCs w:val="24"/>
          <w:lang w:val="en-US"/>
        </w:rPr>
      </w:pPr>
      <w:r w:rsidRPr="00FD3C02">
        <w:rPr>
          <w:rFonts w:ascii="Roboto" w:hAnsi="Roboto"/>
          <w:b/>
          <w:bCs/>
          <w:szCs w:val="24"/>
          <w:lang w:val="en-US"/>
        </w:rPr>
        <w:t>Reliability Testing</w:t>
      </w:r>
      <w:r w:rsidRPr="00FD3C02">
        <w:rPr>
          <w:rFonts w:ascii="Roboto" w:hAnsi="Roboto"/>
          <w:bCs/>
          <w:szCs w:val="24"/>
          <w:lang w:val="en-US"/>
        </w:rPr>
        <w:t>:</w:t>
      </w:r>
    </w:p>
    <w:p w14:paraId="12E012CB" w14:textId="77777777" w:rsidR="00FD3C02" w:rsidRPr="00FD3C02" w:rsidRDefault="00FD3C02" w:rsidP="00FD3C02">
      <w:pPr>
        <w:widowControl w:val="0"/>
        <w:numPr>
          <w:ilvl w:val="1"/>
          <w:numId w:val="5"/>
        </w:numPr>
        <w:jc w:val="both"/>
        <w:rPr>
          <w:rFonts w:ascii="Roboto" w:hAnsi="Roboto"/>
          <w:bCs/>
          <w:szCs w:val="24"/>
          <w:lang w:val="en-US"/>
        </w:rPr>
      </w:pPr>
      <w:r w:rsidRPr="00FD3C02">
        <w:rPr>
          <w:rFonts w:ascii="Roboto" w:hAnsi="Roboto"/>
          <w:b/>
          <w:bCs/>
          <w:szCs w:val="24"/>
          <w:lang w:val="en-US"/>
        </w:rPr>
        <w:t>Cronbach’s Alpha</w:t>
      </w:r>
      <w:r w:rsidRPr="00FD3C02">
        <w:rPr>
          <w:rFonts w:ascii="Roboto" w:hAnsi="Roboto"/>
          <w:bCs/>
          <w:szCs w:val="24"/>
          <w:lang w:val="en-US"/>
        </w:rPr>
        <w:t>: Used to assess the internal consistency of multi-item scales measuring constructs like perceived ease of use, satisfaction, and social influence. All scales demonstrated acceptable reliability, with alpha values exceeding the standard threshold of 0.7.</w:t>
      </w:r>
    </w:p>
    <w:p w14:paraId="398D3CBB" w14:textId="77777777" w:rsidR="004B2CA6" w:rsidRDefault="004B2CA6" w:rsidP="004B2CA6">
      <w:pPr>
        <w:widowControl w:val="0"/>
        <w:jc w:val="both"/>
        <w:rPr>
          <w:rFonts w:ascii="Roboto" w:hAnsi="Roboto"/>
          <w:bCs/>
          <w:szCs w:val="24"/>
          <w:lang w:val="en-US"/>
        </w:rPr>
      </w:pPr>
    </w:p>
    <w:p w14:paraId="577F7BF2" w14:textId="77777777" w:rsidR="00F54AB4" w:rsidRPr="004B2CA6" w:rsidRDefault="00F54AB4" w:rsidP="004B2CA6">
      <w:pPr>
        <w:widowControl w:val="0"/>
        <w:jc w:val="both"/>
        <w:rPr>
          <w:rFonts w:ascii="Roboto" w:hAnsi="Roboto"/>
          <w:bCs/>
          <w:szCs w:val="24"/>
          <w:lang w:val="en-US"/>
        </w:rPr>
      </w:pPr>
    </w:p>
    <w:p w14:paraId="59A3CB4B" w14:textId="6B5C17B6" w:rsidR="004B2CA6" w:rsidRDefault="004B2CA6" w:rsidP="004B2CA6">
      <w:pPr>
        <w:widowControl w:val="0"/>
        <w:jc w:val="both"/>
        <w:rPr>
          <w:rFonts w:ascii="Roboto" w:hAnsi="Roboto"/>
          <w:b/>
          <w:bCs/>
          <w:color w:val="004494"/>
          <w:sz w:val="28"/>
        </w:rPr>
      </w:pPr>
      <w:r>
        <w:rPr>
          <w:rFonts w:ascii="Roboto" w:hAnsi="Roboto"/>
          <w:b/>
          <w:bCs/>
          <w:color w:val="004494"/>
          <w:sz w:val="28"/>
        </w:rPr>
        <w:t>Results</w:t>
      </w:r>
    </w:p>
    <w:p w14:paraId="7C160438" w14:textId="77777777" w:rsidR="004B2CA6" w:rsidRDefault="004B2CA6" w:rsidP="004B2CA6">
      <w:pPr>
        <w:widowControl w:val="0"/>
        <w:jc w:val="both"/>
        <w:rPr>
          <w:rFonts w:ascii="Roboto" w:hAnsi="Roboto"/>
          <w:b/>
          <w:i/>
          <w:color w:val="004494"/>
        </w:rPr>
      </w:pPr>
    </w:p>
    <w:p w14:paraId="5734908D" w14:textId="1E86C59E" w:rsidR="004B2CA6" w:rsidRPr="009E15B2" w:rsidRDefault="004B2CA6" w:rsidP="004B2CA6">
      <w:pPr>
        <w:widowControl w:val="0"/>
        <w:jc w:val="both"/>
        <w:rPr>
          <w:rFonts w:ascii="Roboto" w:hAnsi="Roboto"/>
          <w:bCs/>
          <w:szCs w:val="24"/>
          <w:lang w:val="en-US"/>
        </w:rPr>
      </w:pPr>
      <w:r>
        <w:rPr>
          <w:rFonts w:ascii="Roboto" w:hAnsi="Roboto"/>
          <w:b/>
          <w:i/>
          <w:color w:val="004494"/>
        </w:rPr>
        <w:t>Descriptive Statistics</w:t>
      </w:r>
    </w:p>
    <w:p w14:paraId="65E11008" w14:textId="77777777" w:rsidR="004B2CA6" w:rsidRP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The first section of the results focuses on the descriptive statistics of the study sample. Of the 120 respondents, 65.4% reported that they had used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indicating a solid level of engagement among the surveyed population. Gender </w:t>
      </w:r>
      <w:r w:rsidRPr="004B2CA6">
        <w:rPr>
          <w:rFonts w:ascii="Roboto" w:hAnsi="Roboto"/>
          <w:bCs/>
          <w:szCs w:val="24"/>
          <w:lang w:val="en-US"/>
        </w:rPr>
        <w:lastRenderedPageBreak/>
        <w:t>distribution was relatively balanced, with 52% of respondents identifying as female and 48% as male. Most of the respondents, 97.5%, were aged between 18-24 years, consistent with the study’s focus on Generation Z.</w:t>
      </w:r>
    </w:p>
    <w:p w14:paraId="0630EAE9" w14:textId="77777777" w:rsid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In terms of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usage, there were noticeable gender differences. Among female respondents, 71.4% reported using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compared to 58.6% of male respondents. This suggests that women in Generation Z may be more engaged with the app than their male counterparts. Further, when asked about scanning receipts, 85% of female users reported scanning all or most receipts, compared to 77% of male users.</w:t>
      </w:r>
    </w:p>
    <w:p w14:paraId="78C13168" w14:textId="77777777" w:rsidR="004B2CA6" w:rsidRDefault="004B2CA6" w:rsidP="004B2CA6">
      <w:pPr>
        <w:widowControl w:val="0"/>
        <w:jc w:val="both"/>
        <w:rPr>
          <w:rFonts w:ascii="Roboto" w:hAnsi="Roboto"/>
          <w:bCs/>
          <w:szCs w:val="24"/>
          <w:lang w:val="en-US"/>
        </w:rPr>
      </w:pPr>
    </w:p>
    <w:p w14:paraId="5944AF46" w14:textId="1FD17714" w:rsidR="004B2CA6" w:rsidRPr="009E15B2" w:rsidRDefault="004B2CA6" w:rsidP="004B2CA6">
      <w:pPr>
        <w:widowControl w:val="0"/>
        <w:jc w:val="both"/>
        <w:rPr>
          <w:rFonts w:ascii="Roboto" w:hAnsi="Roboto"/>
          <w:bCs/>
          <w:szCs w:val="24"/>
          <w:lang w:val="en-US"/>
        </w:rPr>
      </w:pPr>
      <w:r>
        <w:rPr>
          <w:rFonts w:ascii="Roboto" w:hAnsi="Roboto"/>
          <w:b/>
          <w:i/>
          <w:color w:val="004494"/>
        </w:rPr>
        <w:t>Gender Differences in UTAUT Constructs</w:t>
      </w:r>
    </w:p>
    <w:p w14:paraId="1CA80F2D" w14:textId="77777777" w:rsid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To understand the gender differences in perceptions and experiences with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we calculated the mean scores for the UTAUT constructs (Performance Expectancy, Effort Expectancy, Social Influence, and Facilitating Conditions) across both male and female respondents. The table below shows the average scores for each construct by gender.</w:t>
      </w:r>
    </w:p>
    <w:p w14:paraId="0EE02486" w14:textId="77777777" w:rsidR="0027064F" w:rsidRDefault="0027064F" w:rsidP="004B2CA6">
      <w:pPr>
        <w:widowControl w:val="0"/>
        <w:jc w:val="both"/>
        <w:rPr>
          <w:rFonts w:ascii="Roboto" w:hAnsi="Roboto"/>
          <w:bCs/>
          <w:szCs w:val="24"/>
          <w:lang w:val="en-US"/>
        </w:rPr>
      </w:pPr>
    </w:p>
    <w:p w14:paraId="46EFD0AE" w14:textId="3F9C1D4F" w:rsidR="0027064F" w:rsidRPr="0027064F" w:rsidRDefault="0027064F" w:rsidP="0027064F">
      <w:pPr>
        <w:widowControl w:val="0"/>
        <w:jc w:val="center"/>
        <w:rPr>
          <w:rFonts w:ascii="Roboto" w:hAnsi="Roboto"/>
          <w:bCs/>
          <w:i/>
          <w:iCs/>
          <w:szCs w:val="24"/>
          <w:lang w:val="en-US"/>
        </w:rPr>
      </w:pPr>
      <w:r w:rsidRPr="0027064F">
        <w:rPr>
          <w:rFonts w:ascii="Roboto" w:hAnsi="Roboto"/>
          <w:bCs/>
          <w:i/>
          <w:iCs/>
          <w:szCs w:val="24"/>
          <w:lang w:val="en-US"/>
        </w:rPr>
        <w:t xml:space="preserve">Table </w:t>
      </w:r>
      <w:r w:rsidR="00F97D56" w:rsidRPr="0027064F">
        <w:rPr>
          <w:rFonts w:ascii="Roboto" w:hAnsi="Roboto"/>
          <w:bCs/>
          <w:i/>
          <w:iCs/>
          <w:szCs w:val="24"/>
          <w:lang w:val="en-US"/>
        </w:rPr>
        <w:t xml:space="preserve">1: </w:t>
      </w:r>
      <w:r w:rsidRPr="0027064F">
        <w:rPr>
          <w:rFonts w:ascii="Roboto" w:hAnsi="Roboto"/>
          <w:bCs/>
          <w:i/>
          <w:iCs/>
          <w:szCs w:val="24"/>
          <w:lang w:val="en-US"/>
        </w:rPr>
        <w:t xml:space="preserve">Average </w:t>
      </w:r>
      <w:r w:rsidR="00F97D56" w:rsidRPr="0027064F">
        <w:rPr>
          <w:rFonts w:ascii="Roboto" w:hAnsi="Roboto"/>
          <w:bCs/>
          <w:i/>
          <w:iCs/>
          <w:szCs w:val="24"/>
          <w:lang w:val="en-US"/>
        </w:rPr>
        <w:t xml:space="preserve">Scores </w:t>
      </w:r>
      <w:proofErr w:type="gramStart"/>
      <w:r w:rsidR="00F97D56" w:rsidRPr="0027064F">
        <w:rPr>
          <w:rFonts w:ascii="Roboto" w:hAnsi="Roboto"/>
          <w:bCs/>
          <w:i/>
          <w:iCs/>
          <w:szCs w:val="24"/>
          <w:lang w:val="en-US"/>
        </w:rPr>
        <w:t>For</w:t>
      </w:r>
      <w:proofErr w:type="gramEnd"/>
      <w:r w:rsidR="00F97D56" w:rsidRPr="0027064F">
        <w:rPr>
          <w:rFonts w:ascii="Roboto" w:hAnsi="Roboto"/>
          <w:bCs/>
          <w:i/>
          <w:iCs/>
          <w:szCs w:val="24"/>
          <w:lang w:val="en-US"/>
        </w:rPr>
        <w:t xml:space="preserve"> </w:t>
      </w:r>
      <w:r w:rsidRPr="0027064F">
        <w:rPr>
          <w:rFonts w:ascii="Roboto" w:hAnsi="Roboto"/>
          <w:bCs/>
          <w:i/>
          <w:iCs/>
          <w:szCs w:val="24"/>
          <w:lang w:val="en-US"/>
        </w:rPr>
        <w:t>UTAUT Constructs</w:t>
      </w:r>
    </w:p>
    <w:tbl>
      <w:tblPr>
        <w:tblStyle w:val="GridTable1Light-Accent1"/>
        <w:tblW w:w="0" w:type="auto"/>
        <w:tblLook w:val="04A0" w:firstRow="1" w:lastRow="0" w:firstColumn="1" w:lastColumn="0" w:noHBand="0" w:noVBand="1"/>
      </w:tblPr>
      <w:tblGrid>
        <w:gridCol w:w="2124"/>
        <w:gridCol w:w="1178"/>
        <w:gridCol w:w="1393"/>
        <w:gridCol w:w="2108"/>
        <w:gridCol w:w="2257"/>
      </w:tblGrid>
      <w:tr w:rsidR="00D77C46" w:rsidRPr="004B2CA6" w14:paraId="69092813" w14:textId="77777777" w:rsidTr="00D77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65AF9A7"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UTAUT Construct</w:t>
            </w:r>
          </w:p>
        </w:tc>
        <w:tc>
          <w:tcPr>
            <w:tcW w:w="0" w:type="auto"/>
            <w:hideMark/>
          </w:tcPr>
          <w:p w14:paraId="1B286060"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Mean (Male)</w:t>
            </w:r>
          </w:p>
        </w:tc>
        <w:tc>
          <w:tcPr>
            <w:tcW w:w="0" w:type="auto"/>
            <w:hideMark/>
          </w:tcPr>
          <w:p w14:paraId="7705FB25"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Mean (Female)</w:t>
            </w:r>
          </w:p>
        </w:tc>
        <w:tc>
          <w:tcPr>
            <w:tcW w:w="0" w:type="auto"/>
            <w:hideMark/>
          </w:tcPr>
          <w:p w14:paraId="3B80A417"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Standard Deviation (Male)</w:t>
            </w:r>
          </w:p>
        </w:tc>
        <w:tc>
          <w:tcPr>
            <w:tcW w:w="0" w:type="auto"/>
            <w:hideMark/>
          </w:tcPr>
          <w:p w14:paraId="5123E4B1"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Standard Deviation (Female)</w:t>
            </w:r>
          </w:p>
        </w:tc>
      </w:tr>
      <w:tr w:rsidR="00D77C46" w:rsidRPr="004B2CA6" w14:paraId="46BD86E5" w14:textId="77777777" w:rsidTr="00D77C46">
        <w:tc>
          <w:tcPr>
            <w:cnfStyle w:val="001000000000" w:firstRow="0" w:lastRow="0" w:firstColumn="1" w:lastColumn="0" w:oddVBand="0" w:evenVBand="0" w:oddHBand="0" w:evenHBand="0" w:firstRowFirstColumn="0" w:firstRowLastColumn="0" w:lastRowFirstColumn="0" w:lastRowLastColumn="0"/>
            <w:tcW w:w="0" w:type="auto"/>
            <w:hideMark/>
          </w:tcPr>
          <w:p w14:paraId="1F534F93"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Performance Expectancy</w:t>
            </w:r>
          </w:p>
        </w:tc>
        <w:tc>
          <w:tcPr>
            <w:tcW w:w="0" w:type="auto"/>
            <w:hideMark/>
          </w:tcPr>
          <w:p w14:paraId="5A2078BE"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4.10</w:t>
            </w:r>
          </w:p>
        </w:tc>
        <w:tc>
          <w:tcPr>
            <w:tcW w:w="0" w:type="auto"/>
            <w:hideMark/>
          </w:tcPr>
          <w:p w14:paraId="2AC4EFA9"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4.20</w:t>
            </w:r>
          </w:p>
        </w:tc>
        <w:tc>
          <w:tcPr>
            <w:tcW w:w="0" w:type="auto"/>
            <w:hideMark/>
          </w:tcPr>
          <w:p w14:paraId="602AE9AE"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0.85</w:t>
            </w:r>
          </w:p>
        </w:tc>
        <w:tc>
          <w:tcPr>
            <w:tcW w:w="0" w:type="auto"/>
            <w:hideMark/>
          </w:tcPr>
          <w:p w14:paraId="6953966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0.80</w:t>
            </w:r>
          </w:p>
        </w:tc>
      </w:tr>
      <w:tr w:rsidR="00D77C46" w:rsidRPr="004B2CA6" w14:paraId="59C9634F" w14:textId="77777777" w:rsidTr="00D77C46">
        <w:tc>
          <w:tcPr>
            <w:cnfStyle w:val="001000000000" w:firstRow="0" w:lastRow="0" w:firstColumn="1" w:lastColumn="0" w:oddVBand="0" w:evenVBand="0" w:oddHBand="0" w:evenHBand="0" w:firstRowFirstColumn="0" w:firstRowLastColumn="0" w:lastRowFirstColumn="0" w:lastRowLastColumn="0"/>
            <w:tcW w:w="0" w:type="auto"/>
            <w:hideMark/>
          </w:tcPr>
          <w:p w14:paraId="6FECCFBD"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Effort Expectancy</w:t>
            </w:r>
          </w:p>
        </w:tc>
        <w:tc>
          <w:tcPr>
            <w:tcW w:w="0" w:type="auto"/>
            <w:hideMark/>
          </w:tcPr>
          <w:p w14:paraId="6AEA699D"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3.78</w:t>
            </w:r>
          </w:p>
        </w:tc>
        <w:tc>
          <w:tcPr>
            <w:tcW w:w="0" w:type="auto"/>
            <w:hideMark/>
          </w:tcPr>
          <w:p w14:paraId="3DE291DD"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3.88</w:t>
            </w:r>
          </w:p>
        </w:tc>
        <w:tc>
          <w:tcPr>
            <w:tcW w:w="0" w:type="auto"/>
            <w:hideMark/>
          </w:tcPr>
          <w:p w14:paraId="38029F6E"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0.92</w:t>
            </w:r>
          </w:p>
        </w:tc>
        <w:tc>
          <w:tcPr>
            <w:tcW w:w="0" w:type="auto"/>
            <w:hideMark/>
          </w:tcPr>
          <w:p w14:paraId="57AB1820"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0.89</w:t>
            </w:r>
          </w:p>
        </w:tc>
      </w:tr>
      <w:tr w:rsidR="00D77C46" w:rsidRPr="004B2CA6" w14:paraId="6F9364E9" w14:textId="77777777" w:rsidTr="00D77C46">
        <w:tc>
          <w:tcPr>
            <w:cnfStyle w:val="001000000000" w:firstRow="0" w:lastRow="0" w:firstColumn="1" w:lastColumn="0" w:oddVBand="0" w:evenVBand="0" w:oddHBand="0" w:evenHBand="0" w:firstRowFirstColumn="0" w:firstRowLastColumn="0" w:lastRowFirstColumn="0" w:lastRowLastColumn="0"/>
            <w:tcW w:w="0" w:type="auto"/>
            <w:hideMark/>
          </w:tcPr>
          <w:p w14:paraId="1DF3A5D1"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Social Influence</w:t>
            </w:r>
          </w:p>
        </w:tc>
        <w:tc>
          <w:tcPr>
            <w:tcW w:w="0" w:type="auto"/>
            <w:hideMark/>
          </w:tcPr>
          <w:p w14:paraId="272D0DC8"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3.76</w:t>
            </w:r>
          </w:p>
        </w:tc>
        <w:tc>
          <w:tcPr>
            <w:tcW w:w="0" w:type="auto"/>
            <w:hideMark/>
          </w:tcPr>
          <w:p w14:paraId="067676BE"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4.21</w:t>
            </w:r>
          </w:p>
        </w:tc>
        <w:tc>
          <w:tcPr>
            <w:tcW w:w="0" w:type="auto"/>
            <w:hideMark/>
          </w:tcPr>
          <w:p w14:paraId="09B61CA3"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1.02</w:t>
            </w:r>
          </w:p>
        </w:tc>
        <w:tc>
          <w:tcPr>
            <w:tcW w:w="0" w:type="auto"/>
            <w:hideMark/>
          </w:tcPr>
          <w:p w14:paraId="2A7542E0"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1.08</w:t>
            </w:r>
          </w:p>
        </w:tc>
      </w:tr>
      <w:tr w:rsidR="00D77C46" w:rsidRPr="004B2CA6" w14:paraId="5DF648BC" w14:textId="77777777" w:rsidTr="00D77C46">
        <w:tc>
          <w:tcPr>
            <w:cnfStyle w:val="001000000000" w:firstRow="0" w:lastRow="0" w:firstColumn="1" w:lastColumn="0" w:oddVBand="0" w:evenVBand="0" w:oddHBand="0" w:evenHBand="0" w:firstRowFirstColumn="0" w:firstRowLastColumn="0" w:lastRowFirstColumn="0" w:lastRowLastColumn="0"/>
            <w:tcW w:w="0" w:type="auto"/>
            <w:hideMark/>
          </w:tcPr>
          <w:p w14:paraId="0493412C"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Facilitating Conditions</w:t>
            </w:r>
          </w:p>
        </w:tc>
        <w:tc>
          <w:tcPr>
            <w:tcW w:w="0" w:type="auto"/>
            <w:hideMark/>
          </w:tcPr>
          <w:p w14:paraId="2037F8A6"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3.50</w:t>
            </w:r>
          </w:p>
        </w:tc>
        <w:tc>
          <w:tcPr>
            <w:tcW w:w="0" w:type="auto"/>
            <w:hideMark/>
          </w:tcPr>
          <w:p w14:paraId="1E4AAC9B"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3.44</w:t>
            </w:r>
          </w:p>
        </w:tc>
        <w:tc>
          <w:tcPr>
            <w:tcW w:w="0" w:type="auto"/>
            <w:hideMark/>
          </w:tcPr>
          <w:p w14:paraId="31CC87E8"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0.90</w:t>
            </w:r>
          </w:p>
        </w:tc>
        <w:tc>
          <w:tcPr>
            <w:tcW w:w="0" w:type="auto"/>
            <w:hideMark/>
          </w:tcPr>
          <w:p w14:paraId="0E86A1B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0.91</w:t>
            </w:r>
          </w:p>
        </w:tc>
      </w:tr>
    </w:tbl>
    <w:p w14:paraId="405D9634" w14:textId="756200CD" w:rsidR="0027064F" w:rsidRPr="0027064F" w:rsidRDefault="0027064F" w:rsidP="0027064F">
      <w:pPr>
        <w:widowControl w:val="0"/>
        <w:jc w:val="center"/>
        <w:rPr>
          <w:rFonts w:ascii="Roboto" w:hAnsi="Roboto"/>
          <w:bCs/>
          <w:i/>
          <w:iCs/>
          <w:szCs w:val="24"/>
          <w:lang w:val="en-US"/>
        </w:rPr>
      </w:pPr>
      <w:r>
        <w:rPr>
          <w:rFonts w:ascii="Roboto" w:hAnsi="Roboto"/>
          <w:bCs/>
          <w:i/>
          <w:iCs/>
          <w:szCs w:val="24"/>
          <w:lang w:val="en-US"/>
        </w:rPr>
        <w:t>Source: Author’s work</w:t>
      </w:r>
    </w:p>
    <w:p w14:paraId="2F40C1A1" w14:textId="77777777" w:rsidR="0027064F" w:rsidRDefault="0027064F" w:rsidP="004B2CA6">
      <w:pPr>
        <w:widowControl w:val="0"/>
        <w:jc w:val="both"/>
        <w:rPr>
          <w:rFonts w:ascii="Roboto" w:hAnsi="Roboto"/>
          <w:bCs/>
          <w:szCs w:val="24"/>
          <w:lang w:val="en-US"/>
        </w:rPr>
      </w:pPr>
    </w:p>
    <w:p w14:paraId="4C51460A" w14:textId="792583DE" w:rsid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Overall, females had higher average scores across most UTAUT constructs, particularly for </w:t>
      </w:r>
      <w:r w:rsidRPr="004B2CA6">
        <w:rPr>
          <w:rFonts w:ascii="Roboto" w:hAnsi="Roboto"/>
          <w:b/>
          <w:bCs/>
          <w:szCs w:val="24"/>
          <w:lang w:val="en-US"/>
        </w:rPr>
        <w:t>Social Influence</w:t>
      </w:r>
      <w:r w:rsidRPr="004B2CA6">
        <w:rPr>
          <w:rFonts w:ascii="Roboto" w:hAnsi="Roboto"/>
          <w:bCs/>
          <w:szCs w:val="24"/>
          <w:lang w:val="en-US"/>
        </w:rPr>
        <w:t xml:space="preserve">, where the mean score for female respondents was 4.21, compared to 3.76 for males. This suggests that social factors play a more significant role for women in engaging with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Performance Expectancy was also slightly higher for females (4.20) than males (4.10), indicating that women perceive the app as slightly more useful in achieving its goal of enhancing tax compliance. Interestingly, males reported slightly higher scores for Facilitating Conditions, suggesting they may feel more confident in the technical resources and support available for using the app.</w:t>
      </w:r>
    </w:p>
    <w:p w14:paraId="07263B48" w14:textId="77777777" w:rsidR="004B2CA6" w:rsidRDefault="004B2CA6" w:rsidP="004B2CA6">
      <w:pPr>
        <w:widowControl w:val="0"/>
        <w:jc w:val="both"/>
        <w:rPr>
          <w:rFonts w:ascii="Roboto" w:hAnsi="Roboto"/>
          <w:bCs/>
          <w:szCs w:val="24"/>
          <w:lang w:val="en-US"/>
        </w:rPr>
      </w:pPr>
    </w:p>
    <w:p w14:paraId="01518128" w14:textId="6813BEE3" w:rsidR="004B2CA6" w:rsidRPr="009E15B2" w:rsidRDefault="004B2CA6" w:rsidP="004B2CA6">
      <w:pPr>
        <w:widowControl w:val="0"/>
        <w:jc w:val="both"/>
        <w:rPr>
          <w:rFonts w:ascii="Roboto" w:hAnsi="Roboto"/>
          <w:bCs/>
          <w:szCs w:val="24"/>
          <w:lang w:val="en-US"/>
        </w:rPr>
      </w:pPr>
      <w:r>
        <w:rPr>
          <w:rFonts w:ascii="Roboto" w:hAnsi="Roboto"/>
          <w:b/>
          <w:i/>
          <w:color w:val="004494"/>
        </w:rPr>
        <w:t>Inferential Statistics</w:t>
      </w:r>
    </w:p>
    <w:p w14:paraId="357C907A" w14:textId="77777777" w:rsidR="004B2CA6" w:rsidRDefault="004B2CA6" w:rsidP="004B2CA6">
      <w:pPr>
        <w:widowControl w:val="0"/>
        <w:jc w:val="both"/>
        <w:rPr>
          <w:rFonts w:ascii="Roboto" w:hAnsi="Roboto"/>
          <w:bCs/>
          <w:szCs w:val="24"/>
          <w:lang w:val="en-US"/>
        </w:rPr>
      </w:pPr>
      <w:r w:rsidRPr="004B2CA6">
        <w:rPr>
          <w:rFonts w:ascii="Roboto" w:hAnsi="Roboto"/>
          <w:bCs/>
          <w:szCs w:val="24"/>
          <w:lang w:val="en-US"/>
        </w:rPr>
        <w:t>To examine whether these gender differences were statistically significant, independent samples t-tests were conducted for each UTAUT construct. The results of these tests are summarized below.</w:t>
      </w:r>
    </w:p>
    <w:p w14:paraId="007A958B" w14:textId="77777777" w:rsidR="0027064F" w:rsidRDefault="0027064F" w:rsidP="004B2CA6">
      <w:pPr>
        <w:widowControl w:val="0"/>
        <w:jc w:val="both"/>
        <w:rPr>
          <w:rFonts w:ascii="Roboto" w:hAnsi="Roboto"/>
          <w:bCs/>
          <w:szCs w:val="24"/>
          <w:lang w:val="en-US"/>
        </w:rPr>
      </w:pPr>
    </w:p>
    <w:p w14:paraId="54EED12A" w14:textId="3CC2D5A8" w:rsidR="0027064F" w:rsidRPr="0027064F" w:rsidRDefault="0027064F" w:rsidP="0027064F">
      <w:pPr>
        <w:widowControl w:val="0"/>
        <w:jc w:val="center"/>
        <w:rPr>
          <w:rFonts w:ascii="Roboto" w:hAnsi="Roboto"/>
          <w:bCs/>
          <w:i/>
          <w:iCs/>
          <w:szCs w:val="24"/>
          <w:lang w:val="en-US"/>
        </w:rPr>
      </w:pPr>
      <w:r>
        <w:rPr>
          <w:rFonts w:ascii="Roboto" w:hAnsi="Roboto"/>
          <w:bCs/>
          <w:i/>
          <w:iCs/>
          <w:szCs w:val="24"/>
          <w:lang w:val="en-US"/>
        </w:rPr>
        <w:t xml:space="preserve">Table </w:t>
      </w:r>
      <w:r w:rsidR="00F97D56">
        <w:rPr>
          <w:rFonts w:ascii="Roboto" w:hAnsi="Roboto"/>
          <w:bCs/>
          <w:i/>
          <w:iCs/>
          <w:szCs w:val="24"/>
          <w:lang w:val="en-US"/>
        </w:rPr>
        <w:t xml:space="preserve">2: </w:t>
      </w:r>
      <w:r>
        <w:rPr>
          <w:rFonts w:ascii="Roboto" w:hAnsi="Roboto"/>
          <w:bCs/>
          <w:i/>
          <w:iCs/>
          <w:szCs w:val="24"/>
          <w:lang w:val="en-US"/>
        </w:rPr>
        <w:t xml:space="preserve">Independent </w:t>
      </w:r>
      <w:r w:rsidR="00F97D56">
        <w:rPr>
          <w:rFonts w:ascii="Roboto" w:hAnsi="Roboto"/>
          <w:bCs/>
          <w:i/>
          <w:iCs/>
          <w:szCs w:val="24"/>
          <w:lang w:val="en-US"/>
        </w:rPr>
        <w:t>T-Test</w:t>
      </w:r>
    </w:p>
    <w:tbl>
      <w:tblPr>
        <w:tblStyle w:val="GridTable1Light-Accent1"/>
        <w:tblW w:w="9067" w:type="dxa"/>
        <w:tblLook w:val="04A0" w:firstRow="1" w:lastRow="0" w:firstColumn="1" w:lastColumn="0" w:noHBand="0" w:noVBand="1"/>
      </w:tblPr>
      <w:tblGrid>
        <w:gridCol w:w="3681"/>
        <w:gridCol w:w="2126"/>
        <w:gridCol w:w="3260"/>
      </w:tblGrid>
      <w:tr w:rsidR="004B2CA6" w:rsidRPr="004B2CA6" w14:paraId="50476B02" w14:textId="77777777" w:rsidTr="004B2C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1" w:type="dxa"/>
            <w:hideMark/>
          </w:tcPr>
          <w:p w14:paraId="06BF6AF8"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UTAUT Construct</w:t>
            </w:r>
          </w:p>
        </w:tc>
        <w:tc>
          <w:tcPr>
            <w:tcW w:w="2126" w:type="dxa"/>
            <w:hideMark/>
          </w:tcPr>
          <w:p w14:paraId="78776CFB"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t-value</w:t>
            </w:r>
          </w:p>
        </w:tc>
        <w:tc>
          <w:tcPr>
            <w:tcW w:w="3260" w:type="dxa"/>
            <w:hideMark/>
          </w:tcPr>
          <w:p w14:paraId="189CBE90"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p-value</w:t>
            </w:r>
          </w:p>
        </w:tc>
      </w:tr>
      <w:tr w:rsidR="004B2CA6" w:rsidRPr="004B2CA6" w14:paraId="021F30AD" w14:textId="77777777" w:rsidTr="004B2CA6">
        <w:tc>
          <w:tcPr>
            <w:cnfStyle w:val="001000000000" w:firstRow="0" w:lastRow="0" w:firstColumn="1" w:lastColumn="0" w:oddVBand="0" w:evenVBand="0" w:oddHBand="0" w:evenHBand="0" w:firstRowFirstColumn="0" w:firstRowLastColumn="0" w:lastRowFirstColumn="0" w:lastRowLastColumn="0"/>
            <w:tcW w:w="3681" w:type="dxa"/>
            <w:hideMark/>
          </w:tcPr>
          <w:p w14:paraId="5EE11D9E"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Performance Expectancy</w:t>
            </w:r>
          </w:p>
        </w:tc>
        <w:tc>
          <w:tcPr>
            <w:tcW w:w="2126" w:type="dxa"/>
            <w:hideMark/>
          </w:tcPr>
          <w:p w14:paraId="7D3A13D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0.678</w:t>
            </w:r>
          </w:p>
        </w:tc>
        <w:tc>
          <w:tcPr>
            <w:tcW w:w="3260" w:type="dxa"/>
            <w:hideMark/>
          </w:tcPr>
          <w:p w14:paraId="3817BFA0"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0.499</w:t>
            </w:r>
          </w:p>
        </w:tc>
      </w:tr>
      <w:tr w:rsidR="004B2CA6" w:rsidRPr="004B2CA6" w14:paraId="43F92325" w14:textId="77777777" w:rsidTr="004B2CA6">
        <w:tc>
          <w:tcPr>
            <w:cnfStyle w:val="001000000000" w:firstRow="0" w:lastRow="0" w:firstColumn="1" w:lastColumn="0" w:oddVBand="0" w:evenVBand="0" w:oddHBand="0" w:evenHBand="0" w:firstRowFirstColumn="0" w:firstRowLastColumn="0" w:lastRowFirstColumn="0" w:lastRowLastColumn="0"/>
            <w:tcW w:w="3681" w:type="dxa"/>
            <w:hideMark/>
          </w:tcPr>
          <w:p w14:paraId="019AFE45"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Effort Expectancy</w:t>
            </w:r>
          </w:p>
        </w:tc>
        <w:tc>
          <w:tcPr>
            <w:tcW w:w="2126" w:type="dxa"/>
            <w:hideMark/>
          </w:tcPr>
          <w:p w14:paraId="321950FF"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0.679</w:t>
            </w:r>
          </w:p>
        </w:tc>
        <w:tc>
          <w:tcPr>
            <w:tcW w:w="3260" w:type="dxa"/>
            <w:hideMark/>
          </w:tcPr>
          <w:p w14:paraId="10450C64"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0.498</w:t>
            </w:r>
          </w:p>
        </w:tc>
      </w:tr>
      <w:tr w:rsidR="004B2CA6" w:rsidRPr="004B2CA6" w14:paraId="5CB9AE5F" w14:textId="77777777" w:rsidTr="004B2CA6">
        <w:tc>
          <w:tcPr>
            <w:cnfStyle w:val="001000000000" w:firstRow="0" w:lastRow="0" w:firstColumn="1" w:lastColumn="0" w:oddVBand="0" w:evenVBand="0" w:oddHBand="0" w:evenHBand="0" w:firstRowFirstColumn="0" w:firstRowLastColumn="0" w:lastRowFirstColumn="0" w:lastRowLastColumn="0"/>
            <w:tcW w:w="3681" w:type="dxa"/>
            <w:hideMark/>
          </w:tcPr>
          <w:p w14:paraId="47C61739"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Social Influence</w:t>
            </w:r>
          </w:p>
        </w:tc>
        <w:tc>
          <w:tcPr>
            <w:tcW w:w="2126" w:type="dxa"/>
            <w:hideMark/>
          </w:tcPr>
          <w:p w14:paraId="1575C086"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2.153</w:t>
            </w:r>
          </w:p>
        </w:tc>
        <w:tc>
          <w:tcPr>
            <w:tcW w:w="3260" w:type="dxa"/>
            <w:hideMark/>
          </w:tcPr>
          <w:p w14:paraId="61678DD9"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0.034*</w:t>
            </w:r>
          </w:p>
        </w:tc>
      </w:tr>
      <w:tr w:rsidR="004B2CA6" w:rsidRPr="004B2CA6" w14:paraId="43BE3EED" w14:textId="77777777" w:rsidTr="004B2CA6">
        <w:tc>
          <w:tcPr>
            <w:cnfStyle w:val="001000000000" w:firstRow="0" w:lastRow="0" w:firstColumn="1" w:lastColumn="0" w:oddVBand="0" w:evenVBand="0" w:oddHBand="0" w:evenHBand="0" w:firstRowFirstColumn="0" w:firstRowLastColumn="0" w:lastRowFirstColumn="0" w:lastRowLastColumn="0"/>
            <w:tcW w:w="3681" w:type="dxa"/>
            <w:hideMark/>
          </w:tcPr>
          <w:p w14:paraId="5A636BF8"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Facilitating Conditions</w:t>
            </w:r>
          </w:p>
        </w:tc>
        <w:tc>
          <w:tcPr>
            <w:tcW w:w="2126" w:type="dxa"/>
            <w:hideMark/>
          </w:tcPr>
          <w:p w14:paraId="3331F3CB"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0.292</w:t>
            </w:r>
          </w:p>
        </w:tc>
        <w:tc>
          <w:tcPr>
            <w:tcW w:w="3260" w:type="dxa"/>
            <w:hideMark/>
          </w:tcPr>
          <w:p w14:paraId="1E627F66"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0.771</w:t>
            </w:r>
          </w:p>
        </w:tc>
      </w:tr>
    </w:tbl>
    <w:p w14:paraId="76D98B32" w14:textId="1DB9D9FF" w:rsidR="0027064F" w:rsidRDefault="0027064F" w:rsidP="0027064F">
      <w:pPr>
        <w:widowControl w:val="0"/>
        <w:jc w:val="center"/>
        <w:rPr>
          <w:rFonts w:ascii="Roboto" w:hAnsi="Roboto"/>
          <w:bCs/>
          <w:i/>
          <w:iCs/>
          <w:szCs w:val="24"/>
          <w:lang w:val="en-US"/>
        </w:rPr>
      </w:pPr>
      <w:r>
        <w:rPr>
          <w:rFonts w:ascii="Roboto" w:hAnsi="Roboto"/>
          <w:bCs/>
          <w:i/>
          <w:iCs/>
          <w:szCs w:val="24"/>
          <w:lang w:val="en-US"/>
        </w:rPr>
        <w:lastRenderedPageBreak/>
        <w:t>Source: Author’s work</w:t>
      </w:r>
    </w:p>
    <w:p w14:paraId="7D92D424" w14:textId="77777777" w:rsidR="0027064F" w:rsidRPr="0027064F" w:rsidRDefault="0027064F" w:rsidP="0027064F">
      <w:pPr>
        <w:widowControl w:val="0"/>
        <w:jc w:val="center"/>
        <w:rPr>
          <w:rFonts w:ascii="Roboto" w:hAnsi="Roboto"/>
          <w:bCs/>
          <w:i/>
          <w:iCs/>
          <w:szCs w:val="24"/>
          <w:lang w:val="en-US"/>
        </w:rPr>
      </w:pPr>
    </w:p>
    <w:p w14:paraId="7480DFE3" w14:textId="0C320AEB" w:rsid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The results show that the difference in </w:t>
      </w:r>
      <w:r w:rsidRPr="004B2CA6">
        <w:rPr>
          <w:rFonts w:ascii="Roboto" w:hAnsi="Roboto"/>
          <w:b/>
          <w:bCs/>
          <w:szCs w:val="24"/>
          <w:lang w:val="en-US"/>
        </w:rPr>
        <w:t>Social Influence</w:t>
      </w:r>
      <w:r w:rsidRPr="004B2CA6">
        <w:rPr>
          <w:rFonts w:ascii="Roboto" w:hAnsi="Roboto"/>
          <w:bCs/>
          <w:szCs w:val="24"/>
          <w:lang w:val="en-US"/>
        </w:rPr>
        <w:t xml:space="preserve"> between males and females was statistically significant (t = 2.153, p = 0.034), with females reporting significantly higher levels of social influence on their use of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This finding supports the hypothesis that women are more likely to be influenced by their social networks in adopting and using the app. However, the differences in Performance Expectancy, Effort Expectancy, and Facilitating Conditions were not statistically significant, suggesting that these factors do not differ substantially by gender in this sample.</w:t>
      </w:r>
    </w:p>
    <w:p w14:paraId="7F3ABA96" w14:textId="77777777" w:rsidR="004B2CA6" w:rsidRDefault="004B2CA6" w:rsidP="004B2CA6">
      <w:pPr>
        <w:widowControl w:val="0"/>
        <w:jc w:val="both"/>
        <w:rPr>
          <w:rFonts w:ascii="Roboto" w:hAnsi="Roboto"/>
          <w:bCs/>
          <w:szCs w:val="24"/>
          <w:lang w:val="en-US"/>
        </w:rPr>
      </w:pPr>
    </w:p>
    <w:p w14:paraId="68CD4E79" w14:textId="6A13B86B" w:rsidR="004B2CA6" w:rsidRPr="009E15B2" w:rsidRDefault="004B2CA6" w:rsidP="004B2CA6">
      <w:pPr>
        <w:widowControl w:val="0"/>
        <w:jc w:val="both"/>
        <w:rPr>
          <w:rFonts w:ascii="Roboto" w:hAnsi="Roboto"/>
          <w:bCs/>
          <w:szCs w:val="24"/>
          <w:lang w:val="en-US"/>
        </w:rPr>
      </w:pPr>
      <w:r>
        <w:rPr>
          <w:rFonts w:ascii="Roboto" w:hAnsi="Roboto"/>
          <w:b/>
          <w:i/>
          <w:color w:val="004494"/>
        </w:rPr>
        <w:t>Regression Analysis</w:t>
      </w:r>
    </w:p>
    <w:p w14:paraId="74855E36" w14:textId="77777777" w:rsid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To further investigate the role of gender in app engagement, a multiple regression analysis was performed using gender, perceived ease of use (Effort Expectancy), and Social Influence as independent variables, and behavioral intention to use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as the dependent variable. The results of the regression analysis are presented below.</w:t>
      </w:r>
    </w:p>
    <w:p w14:paraId="56B8FF17" w14:textId="77777777" w:rsidR="0027064F" w:rsidRDefault="0027064F" w:rsidP="004B2CA6">
      <w:pPr>
        <w:widowControl w:val="0"/>
        <w:jc w:val="both"/>
        <w:rPr>
          <w:rFonts w:ascii="Roboto" w:hAnsi="Roboto"/>
          <w:bCs/>
          <w:szCs w:val="24"/>
          <w:lang w:val="en-US"/>
        </w:rPr>
      </w:pPr>
    </w:p>
    <w:p w14:paraId="7D3B2100" w14:textId="0BAF1BB5" w:rsidR="0027064F" w:rsidRPr="0027064F" w:rsidRDefault="0027064F" w:rsidP="0027064F">
      <w:pPr>
        <w:widowControl w:val="0"/>
        <w:jc w:val="center"/>
        <w:rPr>
          <w:rFonts w:ascii="Roboto" w:hAnsi="Roboto"/>
          <w:bCs/>
          <w:i/>
          <w:iCs/>
          <w:szCs w:val="24"/>
          <w:lang w:val="en-US"/>
        </w:rPr>
      </w:pPr>
      <w:r>
        <w:rPr>
          <w:rFonts w:ascii="Roboto" w:hAnsi="Roboto"/>
          <w:bCs/>
          <w:i/>
          <w:iCs/>
          <w:szCs w:val="24"/>
          <w:lang w:val="en-US"/>
        </w:rPr>
        <w:t xml:space="preserve">Table </w:t>
      </w:r>
      <w:r w:rsidR="00F97D56">
        <w:rPr>
          <w:rFonts w:ascii="Roboto" w:hAnsi="Roboto"/>
          <w:bCs/>
          <w:i/>
          <w:iCs/>
          <w:szCs w:val="24"/>
          <w:lang w:val="en-US"/>
        </w:rPr>
        <w:t xml:space="preserve">3: </w:t>
      </w:r>
      <w:r>
        <w:rPr>
          <w:rFonts w:ascii="Roboto" w:hAnsi="Roboto"/>
          <w:bCs/>
          <w:i/>
          <w:iCs/>
          <w:szCs w:val="24"/>
          <w:lang w:val="en-US"/>
        </w:rPr>
        <w:t xml:space="preserve">Multiple </w:t>
      </w:r>
      <w:r w:rsidR="00F97D56">
        <w:rPr>
          <w:rFonts w:ascii="Roboto" w:hAnsi="Roboto"/>
          <w:bCs/>
          <w:i/>
          <w:iCs/>
          <w:szCs w:val="24"/>
          <w:lang w:val="en-US"/>
        </w:rPr>
        <w:t>Regression Analysis</w:t>
      </w:r>
    </w:p>
    <w:tbl>
      <w:tblPr>
        <w:tblStyle w:val="GridTable1Light-Accent1"/>
        <w:tblW w:w="9067" w:type="dxa"/>
        <w:tblLook w:val="04A0" w:firstRow="1" w:lastRow="0" w:firstColumn="1" w:lastColumn="0" w:noHBand="0" w:noVBand="1"/>
      </w:tblPr>
      <w:tblGrid>
        <w:gridCol w:w="886"/>
        <w:gridCol w:w="1236"/>
        <w:gridCol w:w="1275"/>
        <w:gridCol w:w="2268"/>
        <w:gridCol w:w="3402"/>
      </w:tblGrid>
      <w:tr w:rsidR="004B2CA6" w:rsidRPr="004B2CA6" w14:paraId="2B88B3E4" w14:textId="77777777" w:rsidTr="002706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7C4457"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Model</w:t>
            </w:r>
          </w:p>
        </w:tc>
        <w:tc>
          <w:tcPr>
            <w:tcW w:w="1236" w:type="dxa"/>
            <w:hideMark/>
          </w:tcPr>
          <w:p w14:paraId="295687DC"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R</w:t>
            </w:r>
          </w:p>
        </w:tc>
        <w:tc>
          <w:tcPr>
            <w:tcW w:w="1275" w:type="dxa"/>
            <w:hideMark/>
          </w:tcPr>
          <w:p w14:paraId="77A6DCFC"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R Square</w:t>
            </w:r>
          </w:p>
        </w:tc>
        <w:tc>
          <w:tcPr>
            <w:tcW w:w="2268" w:type="dxa"/>
            <w:hideMark/>
          </w:tcPr>
          <w:p w14:paraId="5778961F"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Adjusted R Square</w:t>
            </w:r>
          </w:p>
        </w:tc>
        <w:tc>
          <w:tcPr>
            <w:tcW w:w="3402" w:type="dxa"/>
            <w:hideMark/>
          </w:tcPr>
          <w:p w14:paraId="482416BA"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Std. Error of the Estimate</w:t>
            </w:r>
          </w:p>
        </w:tc>
      </w:tr>
      <w:tr w:rsidR="004B2CA6" w:rsidRPr="004B2CA6" w14:paraId="5DEFFA50" w14:textId="77777777" w:rsidTr="0027064F">
        <w:tc>
          <w:tcPr>
            <w:cnfStyle w:val="001000000000" w:firstRow="0" w:lastRow="0" w:firstColumn="1" w:lastColumn="0" w:oddVBand="0" w:evenVBand="0" w:oddHBand="0" w:evenHBand="0" w:firstRowFirstColumn="0" w:firstRowLastColumn="0" w:lastRowFirstColumn="0" w:lastRowLastColumn="0"/>
            <w:tcW w:w="0" w:type="auto"/>
            <w:hideMark/>
          </w:tcPr>
          <w:p w14:paraId="3669EEE5"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1</w:t>
            </w:r>
          </w:p>
        </w:tc>
        <w:tc>
          <w:tcPr>
            <w:tcW w:w="1236" w:type="dxa"/>
            <w:hideMark/>
          </w:tcPr>
          <w:p w14:paraId="18FEA27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0.622</w:t>
            </w:r>
          </w:p>
        </w:tc>
        <w:tc>
          <w:tcPr>
            <w:tcW w:w="1275" w:type="dxa"/>
            <w:hideMark/>
          </w:tcPr>
          <w:p w14:paraId="7BAB1F1E"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0.387</w:t>
            </w:r>
          </w:p>
        </w:tc>
        <w:tc>
          <w:tcPr>
            <w:tcW w:w="2268" w:type="dxa"/>
            <w:hideMark/>
          </w:tcPr>
          <w:p w14:paraId="6ED5C013"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0.368</w:t>
            </w:r>
          </w:p>
        </w:tc>
        <w:tc>
          <w:tcPr>
            <w:tcW w:w="3402" w:type="dxa"/>
            <w:hideMark/>
          </w:tcPr>
          <w:p w14:paraId="1936949D"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0.619</w:t>
            </w:r>
          </w:p>
        </w:tc>
      </w:tr>
    </w:tbl>
    <w:p w14:paraId="15A2616F" w14:textId="77777777" w:rsidR="0027064F" w:rsidRPr="0027064F" w:rsidRDefault="0027064F" w:rsidP="0027064F">
      <w:pPr>
        <w:widowControl w:val="0"/>
        <w:jc w:val="center"/>
        <w:rPr>
          <w:rFonts w:ascii="Roboto" w:hAnsi="Roboto"/>
          <w:bCs/>
          <w:i/>
          <w:iCs/>
          <w:szCs w:val="24"/>
          <w:lang w:val="en-US"/>
        </w:rPr>
      </w:pPr>
      <w:r>
        <w:rPr>
          <w:rFonts w:ascii="Roboto" w:hAnsi="Roboto"/>
          <w:bCs/>
          <w:i/>
          <w:iCs/>
          <w:szCs w:val="24"/>
          <w:lang w:val="en-US"/>
        </w:rPr>
        <w:t>Source: Author’s work</w:t>
      </w:r>
    </w:p>
    <w:p w14:paraId="45562A52" w14:textId="77777777" w:rsidR="0027064F" w:rsidRDefault="0027064F" w:rsidP="004B2CA6">
      <w:pPr>
        <w:widowControl w:val="0"/>
        <w:jc w:val="both"/>
        <w:rPr>
          <w:rFonts w:ascii="Roboto" w:hAnsi="Roboto"/>
          <w:bCs/>
          <w:szCs w:val="24"/>
          <w:lang w:val="en-US"/>
        </w:rPr>
      </w:pPr>
    </w:p>
    <w:p w14:paraId="172A8E16" w14:textId="5C3EB751" w:rsidR="0027064F" w:rsidRDefault="004B2CA6" w:rsidP="0027064F">
      <w:pPr>
        <w:widowControl w:val="0"/>
        <w:jc w:val="both"/>
        <w:rPr>
          <w:rFonts w:ascii="Roboto" w:hAnsi="Roboto"/>
          <w:bCs/>
          <w:szCs w:val="24"/>
          <w:lang w:val="en-US"/>
        </w:rPr>
      </w:pPr>
      <w:r w:rsidRPr="004B2CA6">
        <w:rPr>
          <w:rFonts w:ascii="Roboto" w:hAnsi="Roboto"/>
          <w:bCs/>
          <w:szCs w:val="24"/>
          <w:lang w:val="en-US"/>
        </w:rPr>
        <w:t>The regression model explained 38.7% of the variance in behavioral intention (R² = 0.387), indicating a moderate relationship between the predictors and behavioral intention. Gender and Social Influence emerged as significant predictors of behavioral intention, while Effort Expectancy was not statistically significant.</w:t>
      </w:r>
    </w:p>
    <w:p w14:paraId="38F5E14A" w14:textId="77777777" w:rsidR="0027064F" w:rsidRPr="0027064F" w:rsidRDefault="0027064F" w:rsidP="0027064F">
      <w:pPr>
        <w:widowControl w:val="0"/>
        <w:jc w:val="both"/>
        <w:rPr>
          <w:rFonts w:ascii="Roboto" w:hAnsi="Roboto"/>
          <w:bCs/>
          <w:szCs w:val="24"/>
          <w:lang w:val="en-US"/>
        </w:rPr>
      </w:pPr>
    </w:p>
    <w:p w14:paraId="629DB795" w14:textId="19546575" w:rsidR="0027064F" w:rsidRPr="0027064F" w:rsidRDefault="0027064F" w:rsidP="0027064F">
      <w:pPr>
        <w:widowControl w:val="0"/>
        <w:jc w:val="center"/>
        <w:rPr>
          <w:rFonts w:ascii="Roboto" w:hAnsi="Roboto"/>
          <w:bCs/>
          <w:i/>
          <w:iCs/>
          <w:szCs w:val="24"/>
          <w:lang w:val="en-US"/>
        </w:rPr>
      </w:pPr>
      <w:r>
        <w:rPr>
          <w:rFonts w:ascii="Roboto" w:hAnsi="Roboto"/>
          <w:bCs/>
          <w:i/>
          <w:iCs/>
          <w:szCs w:val="24"/>
          <w:lang w:val="en-US"/>
        </w:rPr>
        <w:t xml:space="preserve">Table </w:t>
      </w:r>
      <w:r w:rsidR="00F97D56">
        <w:rPr>
          <w:rFonts w:ascii="Roboto" w:hAnsi="Roboto"/>
          <w:bCs/>
          <w:i/>
          <w:iCs/>
          <w:szCs w:val="24"/>
          <w:lang w:val="en-US"/>
        </w:rPr>
        <w:t xml:space="preserve">4: </w:t>
      </w:r>
      <w:r>
        <w:rPr>
          <w:rFonts w:ascii="Roboto" w:hAnsi="Roboto"/>
          <w:bCs/>
          <w:i/>
          <w:iCs/>
          <w:szCs w:val="24"/>
          <w:lang w:val="en-US"/>
        </w:rPr>
        <w:t xml:space="preserve">Regression </w:t>
      </w:r>
      <w:r w:rsidR="00F97D56">
        <w:rPr>
          <w:rFonts w:ascii="Roboto" w:hAnsi="Roboto"/>
          <w:bCs/>
          <w:i/>
          <w:iCs/>
          <w:szCs w:val="24"/>
          <w:lang w:val="en-US"/>
        </w:rPr>
        <w:t>Model</w:t>
      </w:r>
    </w:p>
    <w:tbl>
      <w:tblPr>
        <w:tblStyle w:val="GridTable1Light-Accent1"/>
        <w:tblW w:w="0" w:type="auto"/>
        <w:tblLook w:val="04A0" w:firstRow="1" w:lastRow="0" w:firstColumn="1" w:lastColumn="0" w:noHBand="0" w:noVBand="1"/>
      </w:tblPr>
      <w:tblGrid>
        <w:gridCol w:w="1695"/>
        <w:gridCol w:w="2814"/>
        <w:gridCol w:w="2716"/>
        <w:gridCol w:w="927"/>
        <w:gridCol w:w="908"/>
      </w:tblGrid>
      <w:tr w:rsidR="004B2CA6" w:rsidRPr="004B2CA6" w14:paraId="6F3CA788" w14:textId="77777777" w:rsidTr="00F97D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97FEEDB"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Predictor</w:t>
            </w:r>
          </w:p>
        </w:tc>
        <w:tc>
          <w:tcPr>
            <w:tcW w:w="0" w:type="auto"/>
            <w:hideMark/>
          </w:tcPr>
          <w:p w14:paraId="5BFB00CD"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Unstandardized Coefficients (B)</w:t>
            </w:r>
          </w:p>
        </w:tc>
        <w:tc>
          <w:tcPr>
            <w:tcW w:w="2716" w:type="dxa"/>
            <w:hideMark/>
          </w:tcPr>
          <w:p w14:paraId="475AAFFC"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Standardized Coefficients (Beta)</w:t>
            </w:r>
          </w:p>
        </w:tc>
        <w:tc>
          <w:tcPr>
            <w:tcW w:w="927" w:type="dxa"/>
            <w:hideMark/>
          </w:tcPr>
          <w:p w14:paraId="7D1E2585"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t-value</w:t>
            </w:r>
          </w:p>
        </w:tc>
        <w:tc>
          <w:tcPr>
            <w:tcW w:w="0" w:type="auto"/>
            <w:hideMark/>
          </w:tcPr>
          <w:p w14:paraId="08924A65" w14:textId="77777777" w:rsidR="004B2CA6" w:rsidRPr="00F97D56" w:rsidRDefault="004B2CA6" w:rsidP="004B2CA6">
            <w:pPr>
              <w:widowControl w:val="0"/>
              <w:jc w:val="both"/>
              <w:cnfStyle w:val="100000000000" w:firstRow="1" w:lastRow="0" w:firstColumn="0" w:lastColumn="0" w:oddVBand="0" w:evenVBand="0" w:oddHBand="0" w:evenHBand="0" w:firstRowFirstColumn="0" w:firstRowLastColumn="0" w:lastRowFirstColumn="0" w:lastRowLastColumn="0"/>
              <w:rPr>
                <w:rFonts w:ascii="Roboto" w:hAnsi="Roboto"/>
                <w:color w:val="004494"/>
                <w:sz w:val="20"/>
                <w:lang w:val="en-US"/>
              </w:rPr>
            </w:pPr>
            <w:r w:rsidRPr="00F97D56">
              <w:rPr>
                <w:rFonts w:ascii="Roboto" w:hAnsi="Roboto"/>
                <w:color w:val="004494"/>
                <w:sz w:val="20"/>
                <w:lang w:val="en-US"/>
              </w:rPr>
              <w:t>p-value</w:t>
            </w:r>
          </w:p>
        </w:tc>
      </w:tr>
      <w:tr w:rsidR="004B2CA6" w:rsidRPr="004B2CA6" w14:paraId="14BC5229" w14:textId="77777777" w:rsidTr="00F97D56">
        <w:tc>
          <w:tcPr>
            <w:cnfStyle w:val="001000000000" w:firstRow="0" w:lastRow="0" w:firstColumn="1" w:lastColumn="0" w:oddVBand="0" w:evenVBand="0" w:oddHBand="0" w:evenHBand="0" w:firstRowFirstColumn="0" w:firstRowLastColumn="0" w:lastRowFirstColumn="0" w:lastRowLastColumn="0"/>
            <w:tcW w:w="0" w:type="auto"/>
            <w:hideMark/>
          </w:tcPr>
          <w:p w14:paraId="04F3F802"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(Constant)</w:t>
            </w:r>
          </w:p>
        </w:tc>
        <w:tc>
          <w:tcPr>
            <w:tcW w:w="0" w:type="auto"/>
            <w:hideMark/>
          </w:tcPr>
          <w:p w14:paraId="1E7E11E9"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0.891</w:t>
            </w:r>
          </w:p>
        </w:tc>
        <w:tc>
          <w:tcPr>
            <w:tcW w:w="2716" w:type="dxa"/>
            <w:hideMark/>
          </w:tcPr>
          <w:p w14:paraId="6581DF6D"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p>
        </w:tc>
        <w:tc>
          <w:tcPr>
            <w:tcW w:w="927" w:type="dxa"/>
            <w:hideMark/>
          </w:tcPr>
          <w:p w14:paraId="426532E3"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2.476</w:t>
            </w:r>
          </w:p>
        </w:tc>
        <w:tc>
          <w:tcPr>
            <w:tcW w:w="0" w:type="auto"/>
            <w:hideMark/>
          </w:tcPr>
          <w:p w14:paraId="3F5E039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0.015</w:t>
            </w:r>
          </w:p>
        </w:tc>
      </w:tr>
      <w:tr w:rsidR="004B2CA6" w:rsidRPr="004B2CA6" w14:paraId="3D5B5FA6" w14:textId="77777777" w:rsidTr="00F97D56">
        <w:tc>
          <w:tcPr>
            <w:cnfStyle w:val="001000000000" w:firstRow="0" w:lastRow="0" w:firstColumn="1" w:lastColumn="0" w:oddVBand="0" w:evenVBand="0" w:oddHBand="0" w:evenHBand="0" w:firstRowFirstColumn="0" w:firstRowLastColumn="0" w:lastRowFirstColumn="0" w:lastRowLastColumn="0"/>
            <w:tcW w:w="0" w:type="auto"/>
            <w:hideMark/>
          </w:tcPr>
          <w:p w14:paraId="17A89902"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Gender (Female)</w:t>
            </w:r>
          </w:p>
        </w:tc>
        <w:tc>
          <w:tcPr>
            <w:tcW w:w="0" w:type="auto"/>
            <w:hideMark/>
          </w:tcPr>
          <w:p w14:paraId="3A02985A"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0.312</w:t>
            </w:r>
          </w:p>
        </w:tc>
        <w:tc>
          <w:tcPr>
            <w:tcW w:w="2716" w:type="dxa"/>
            <w:hideMark/>
          </w:tcPr>
          <w:p w14:paraId="109B7822"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0.299</w:t>
            </w:r>
          </w:p>
        </w:tc>
        <w:tc>
          <w:tcPr>
            <w:tcW w:w="927" w:type="dxa"/>
            <w:hideMark/>
          </w:tcPr>
          <w:p w14:paraId="375C761C"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2.763</w:t>
            </w:r>
          </w:p>
        </w:tc>
        <w:tc>
          <w:tcPr>
            <w:tcW w:w="0" w:type="auto"/>
            <w:hideMark/>
          </w:tcPr>
          <w:p w14:paraId="712BEE21"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0.007*</w:t>
            </w:r>
          </w:p>
        </w:tc>
      </w:tr>
      <w:tr w:rsidR="004B2CA6" w:rsidRPr="004B2CA6" w14:paraId="1505B655" w14:textId="77777777" w:rsidTr="00F97D56">
        <w:tc>
          <w:tcPr>
            <w:cnfStyle w:val="001000000000" w:firstRow="0" w:lastRow="0" w:firstColumn="1" w:lastColumn="0" w:oddVBand="0" w:evenVBand="0" w:oddHBand="0" w:evenHBand="0" w:firstRowFirstColumn="0" w:firstRowLastColumn="0" w:lastRowFirstColumn="0" w:lastRowLastColumn="0"/>
            <w:tcW w:w="0" w:type="auto"/>
            <w:hideMark/>
          </w:tcPr>
          <w:p w14:paraId="7571404A"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Social Influence</w:t>
            </w:r>
          </w:p>
        </w:tc>
        <w:tc>
          <w:tcPr>
            <w:tcW w:w="0" w:type="auto"/>
            <w:hideMark/>
          </w:tcPr>
          <w:p w14:paraId="14BC40AF"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0.399</w:t>
            </w:r>
          </w:p>
        </w:tc>
        <w:tc>
          <w:tcPr>
            <w:tcW w:w="2716" w:type="dxa"/>
            <w:hideMark/>
          </w:tcPr>
          <w:p w14:paraId="150A3F56"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0.403</w:t>
            </w:r>
          </w:p>
        </w:tc>
        <w:tc>
          <w:tcPr>
            <w:tcW w:w="927" w:type="dxa"/>
            <w:hideMark/>
          </w:tcPr>
          <w:p w14:paraId="452C7DD7"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4.213</w:t>
            </w:r>
          </w:p>
        </w:tc>
        <w:tc>
          <w:tcPr>
            <w:tcW w:w="0" w:type="auto"/>
            <w:hideMark/>
          </w:tcPr>
          <w:p w14:paraId="56E47267"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&lt;0.001*</w:t>
            </w:r>
          </w:p>
        </w:tc>
      </w:tr>
      <w:tr w:rsidR="004B2CA6" w:rsidRPr="004B2CA6" w14:paraId="4AA3F006" w14:textId="77777777" w:rsidTr="00F97D56">
        <w:tc>
          <w:tcPr>
            <w:cnfStyle w:val="001000000000" w:firstRow="0" w:lastRow="0" w:firstColumn="1" w:lastColumn="0" w:oddVBand="0" w:evenVBand="0" w:oddHBand="0" w:evenHBand="0" w:firstRowFirstColumn="0" w:firstRowLastColumn="0" w:lastRowFirstColumn="0" w:lastRowLastColumn="0"/>
            <w:tcW w:w="0" w:type="auto"/>
            <w:hideMark/>
          </w:tcPr>
          <w:p w14:paraId="17309759" w14:textId="77777777" w:rsidR="004B2CA6" w:rsidRPr="00F97D56" w:rsidRDefault="004B2CA6" w:rsidP="004B2CA6">
            <w:pPr>
              <w:widowControl w:val="0"/>
              <w:jc w:val="both"/>
              <w:rPr>
                <w:rFonts w:ascii="Roboto" w:hAnsi="Roboto"/>
                <w:color w:val="004494"/>
                <w:sz w:val="20"/>
                <w:lang w:val="en-US"/>
              </w:rPr>
            </w:pPr>
            <w:r w:rsidRPr="00F97D56">
              <w:rPr>
                <w:rFonts w:ascii="Roboto" w:hAnsi="Roboto"/>
                <w:color w:val="004494"/>
                <w:sz w:val="20"/>
                <w:lang w:val="en-US"/>
              </w:rPr>
              <w:t>Effort Expectancy</w:t>
            </w:r>
          </w:p>
        </w:tc>
        <w:tc>
          <w:tcPr>
            <w:tcW w:w="0" w:type="auto"/>
            <w:hideMark/>
          </w:tcPr>
          <w:p w14:paraId="3E2AFB36"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0.112</w:t>
            </w:r>
          </w:p>
        </w:tc>
        <w:tc>
          <w:tcPr>
            <w:tcW w:w="2716" w:type="dxa"/>
            <w:hideMark/>
          </w:tcPr>
          <w:p w14:paraId="11F4243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0.105</w:t>
            </w:r>
          </w:p>
        </w:tc>
        <w:tc>
          <w:tcPr>
            <w:tcW w:w="927" w:type="dxa"/>
            <w:hideMark/>
          </w:tcPr>
          <w:p w14:paraId="5E1DB3B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1.126</w:t>
            </w:r>
          </w:p>
        </w:tc>
        <w:tc>
          <w:tcPr>
            <w:tcW w:w="0" w:type="auto"/>
            <w:hideMark/>
          </w:tcPr>
          <w:p w14:paraId="34841845" w14:textId="77777777" w:rsidR="004B2CA6" w:rsidRPr="00F97D56" w:rsidRDefault="004B2CA6" w:rsidP="004B2CA6">
            <w:pPr>
              <w:widowControl w:val="0"/>
              <w:jc w:val="both"/>
              <w:cnfStyle w:val="000000000000" w:firstRow="0" w:lastRow="0" w:firstColumn="0" w:lastColumn="0" w:oddVBand="0" w:evenVBand="0" w:oddHBand="0" w:evenHBand="0" w:firstRowFirstColumn="0" w:firstRowLastColumn="0" w:lastRowFirstColumn="0" w:lastRowLastColumn="0"/>
              <w:rPr>
                <w:rFonts w:ascii="Roboto" w:hAnsi="Roboto"/>
                <w:bCs/>
                <w:color w:val="004494"/>
                <w:sz w:val="20"/>
                <w:lang w:val="en-US"/>
              </w:rPr>
            </w:pPr>
            <w:r w:rsidRPr="00F97D56">
              <w:rPr>
                <w:rFonts w:ascii="Roboto" w:hAnsi="Roboto"/>
                <w:bCs/>
                <w:color w:val="004494"/>
                <w:sz w:val="20"/>
                <w:lang w:val="en-US"/>
              </w:rPr>
              <w:t>0.262</w:t>
            </w:r>
          </w:p>
        </w:tc>
      </w:tr>
    </w:tbl>
    <w:p w14:paraId="05A3BEEE" w14:textId="4BD0A0E9" w:rsidR="0027064F" w:rsidRDefault="0027064F" w:rsidP="0027064F">
      <w:pPr>
        <w:widowControl w:val="0"/>
        <w:jc w:val="center"/>
        <w:rPr>
          <w:rFonts w:ascii="Roboto" w:hAnsi="Roboto"/>
          <w:bCs/>
          <w:i/>
          <w:iCs/>
          <w:szCs w:val="24"/>
          <w:lang w:val="en-US"/>
        </w:rPr>
      </w:pPr>
      <w:r>
        <w:rPr>
          <w:rFonts w:ascii="Roboto" w:hAnsi="Roboto"/>
          <w:bCs/>
          <w:i/>
          <w:iCs/>
          <w:szCs w:val="24"/>
          <w:lang w:val="en-US"/>
        </w:rPr>
        <w:t>Source: Author’s work</w:t>
      </w:r>
    </w:p>
    <w:p w14:paraId="4B9F56BC" w14:textId="77777777" w:rsidR="0027064F" w:rsidRPr="0027064F" w:rsidRDefault="0027064F" w:rsidP="0027064F">
      <w:pPr>
        <w:widowControl w:val="0"/>
        <w:jc w:val="center"/>
        <w:rPr>
          <w:rFonts w:ascii="Roboto" w:hAnsi="Roboto"/>
          <w:bCs/>
          <w:i/>
          <w:iCs/>
          <w:szCs w:val="24"/>
          <w:lang w:val="en-US"/>
        </w:rPr>
      </w:pPr>
    </w:p>
    <w:p w14:paraId="0E3BF1AC" w14:textId="1E9CEFAF" w:rsidR="004B2CA6" w:rsidRPr="004B2CA6" w:rsidRDefault="004B2CA6" w:rsidP="004B2CA6">
      <w:pPr>
        <w:widowControl w:val="0"/>
        <w:jc w:val="both"/>
        <w:rPr>
          <w:rFonts w:ascii="Roboto" w:hAnsi="Roboto"/>
          <w:bCs/>
          <w:szCs w:val="24"/>
          <w:lang w:val="en-US"/>
        </w:rPr>
      </w:pPr>
      <w:r w:rsidRPr="004B2CA6">
        <w:rPr>
          <w:rFonts w:ascii="Roboto" w:hAnsi="Roboto"/>
          <w:bCs/>
          <w:szCs w:val="24"/>
          <w:lang w:val="en-US"/>
        </w:rPr>
        <w:t xml:space="preserve">The regression results indicate that </w:t>
      </w:r>
      <w:r w:rsidRPr="004B2CA6">
        <w:rPr>
          <w:rFonts w:ascii="Roboto" w:hAnsi="Roboto"/>
          <w:b/>
          <w:bCs/>
          <w:szCs w:val="24"/>
          <w:lang w:val="en-US"/>
        </w:rPr>
        <w:t>gender</w:t>
      </w:r>
      <w:r w:rsidRPr="004B2CA6">
        <w:rPr>
          <w:rFonts w:ascii="Roboto" w:hAnsi="Roboto"/>
          <w:bCs/>
          <w:szCs w:val="24"/>
          <w:lang w:val="en-US"/>
        </w:rPr>
        <w:t xml:space="preserve"> is a significant predictor of behavioral intention to use the </w:t>
      </w:r>
      <w:proofErr w:type="spellStart"/>
      <w:r w:rsidRPr="004B2CA6">
        <w:rPr>
          <w:rFonts w:ascii="Roboto" w:hAnsi="Roboto"/>
          <w:bCs/>
          <w:szCs w:val="24"/>
          <w:lang w:val="en-US"/>
        </w:rPr>
        <w:t>MojDDV</w:t>
      </w:r>
      <w:proofErr w:type="spellEnd"/>
      <w:r w:rsidRPr="004B2CA6">
        <w:rPr>
          <w:rFonts w:ascii="Roboto" w:hAnsi="Roboto"/>
          <w:bCs/>
          <w:szCs w:val="24"/>
          <w:lang w:val="en-US"/>
        </w:rPr>
        <w:t xml:space="preserve"> app, with females being more likely to report higher engagement (B = 0.312, p = 0.007). </w:t>
      </w:r>
      <w:r w:rsidRPr="004B2CA6">
        <w:rPr>
          <w:rFonts w:ascii="Roboto" w:hAnsi="Roboto"/>
          <w:b/>
          <w:bCs/>
          <w:szCs w:val="24"/>
          <w:lang w:val="en-US"/>
        </w:rPr>
        <w:t>Social Influence</w:t>
      </w:r>
      <w:r w:rsidRPr="004B2CA6">
        <w:rPr>
          <w:rFonts w:ascii="Roboto" w:hAnsi="Roboto"/>
          <w:bCs/>
          <w:szCs w:val="24"/>
          <w:lang w:val="en-US"/>
        </w:rPr>
        <w:t xml:space="preserve"> was also a strong predictor of behavioral intention (B = 0.399, p &lt; 0.001), reinforcing the finding that social factors play a crucial role in app usage. However, </w:t>
      </w:r>
      <w:r w:rsidRPr="004B2CA6">
        <w:rPr>
          <w:rFonts w:ascii="Roboto" w:hAnsi="Roboto"/>
          <w:b/>
          <w:bCs/>
          <w:szCs w:val="24"/>
          <w:lang w:val="en-US"/>
        </w:rPr>
        <w:t>Effort Expectancy</w:t>
      </w:r>
      <w:r w:rsidRPr="004B2CA6">
        <w:rPr>
          <w:rFonts w:ascii="Roboto" w:hAnsi="Roboto"/>
          <w:bCs/>
          <w:szCs w:val="24"/>
          <w:lang w:val="en-US"/>
        </w:rPr>
        <w:t xml:space="preserve"> did not significantly predict behavioral intention (B = 0.112, p = 0.262), suggesting that perceived ease of use was not a major factor in determining whether respondents intended to continue using the app.</w:t>
      </w:r>
    </w:p>
    <w:p w14:paraId="5D3F437E" w14:textId="77777777" w:rsidR="004B2CA6" w:rsidRDefault="004B2CA6" w:rsidP="004B2CA6">
      <w:pPr>
        <w:widowControl w:val="0"/>
        <w:jc w:val="both"/>
        <w:rPr>
          <w:rFonts w:ascii="Roboto" w:hAnsi="Roboto"/>
          <w:b/>
          <w:bCs/>
          <w:color w:val="004494"/>
          <w:sz w:val="28"/>
        </w:rPr>
      </w:pPr>
    </w:p>
    <w:p w14:paraId="3B7D8B97" w14:textId="77777777" w:rsidR="00F97D56" w:rsidRDefault="00F97D56" w:rsidP="004B2CA6">
      <w:pPr>
        <w:widowControl w:val="0"/>
        <w:jc w:val="both"/>
        <w:rPr>
          <w:rFonts w:ascii="Roboto" w:hAnsi="Roboto"/>
          <w:b/>
          <w:bCs/>
          <w:color w:val="004494"/>
          <w:sz w:val="28"/>
        </w:rPr>
      </w:pPr>
    </w:p>
    <w:p w14:paraId="324F362C" w14:textId="77777777" w:rsidR="005B502B" w:rsidRDefault="005B502B" w:rsidP="004B2CA6">
      <w:pPr>
        <w:widowControl w:val="0"/>
        <w:jc w:val="both"/>
        <w:rPr>
          <w:rFonts w:ascii="Roboto" w:hAnsi="Roboto"/>
          <w:b/>
          <w:bCs/>
          <w:color w:val="004494"/>
          <w:sz w:val="28"/>
        </w:rPr>
      </w:pPr>
    </w:p>
    <w:p w14:paraId="07EF0D62" w14:textId="77777777" w:rsidR="005B502B" w:rsidRDefault="005B502B" w:rsidP="005B502B">
      <w:pPr>
        <w:widowControl w:val="0"/>
        <w:jc w:val="both"/>
        <w:rPr>
          <w:rFonts w:ascii="Roboto" w:hAnsi="Roboto"/>
          <w:b/>
          <w:bCs/>
          <w:color w:val="004494"/>
          <w:sz w:val="28"/>
        </w:rPr>
      </w:pPr>
      <w:r>
        <w:rPr>
          <w:rFonts w:ascii="Roboto" w:hAnsi="Roboto"/>
          <w:b/>
          <w:bCs/>
          <w:color w:val="004494"/>
          <w:sz w:val="28"/>
        </w:rPr>
        <w:lastRenderedPageBreak/>
        <w:t>Conclusion</w:t>
      </w:r>
    </w:p>
    <w:p w14:paraId="1757373E" w14:textId="77777777" w:rsidR="005B502B" w:rsidRDefault="005B502B" w:rsidP="004B2CA6">
      <w:pPr>
        <w:widowControl w:val="0"/>
        <w:jc w:val="both"/>
        <w:rPr>
          <w:rFonts w:ascii="Roboto" w:hAnsi="Roboto"/>
          <w:b/>
          <w:bCs/>
          <w:color w:val="004494"/>
          <w:sz w:val="28"/>
        </w:rPr>
      </w:pPr>
    </w:p>
    <w:p w14:paraId="75624BF6" w14:textId="77777777" w:rsidR="005B502B" w:rsidRPr="005B502B" w:rsidRDefault="005B502B" w:rsidP="005B502B">
      <w:pPr>
        <w:widowControl w:val="0"/>
        <w:jc w:val="both"/>
        <w:rPr>
          <w:rFonts w:ascii="Roboto" w:hAnsi="Roboto"/>
        </w:rPr>
      </w:pPr>
      <w:r w:rsidRPr="005B502B">
        <w:rPr>
          <w:rFonts w:ascii="Roboto" w:hAnsi="Roboto"/>
        </w:rPr>
        <w:t xml:space="preserve">The findings of this study offer valuable insights into how gender differences influence engagement with the </w:t>
      </w:r>
      <w:proofErr w:type="spellStart"/>
      <w:r w:rsidRPr="005B502B">
        <w:rPr>
          <w:rFonts w:ascii="Roboto" w:hAnsi="Roboto"/>
        </w:rPr>
        <w:t>MojDDV</w:t>
      </w:r>
      <w:proofErr w:type="spellEnd"/>
      <w:r w:rsidRPr="005B502B">
        <w:rPr>
          <w:rFonts w:ascii="Roboto" w:hAnsi="Roboto"/>
        </w:rPr>
        <w:t xml:space="preserve"> app, a gamification initiative aimed at fostering tax compliance. While the results establish Social Influence as a critical predictor of </w:t>
      </w:r>
      <w:proofErr w:type="spellStart"/>
      <w:r w:rsidRPr="005B502B">
        <w:rPr>
          <w:rFonts w:ascii="Roboto" w:hAnsi="Roboto"/>
        </w:rPr>
        <w:t>behavioral</w:t>
      </w:r>
      <w:proofErr w:type="spellEnd"/>
      <w:r w:rsidRPr="005B502B">
        <w:rPr>
          <w:rFonts w:ascii="Roboto" w:hAnsi="Roboto"/>
        </w:rPr>
        <w:t xml:space="preserve"> intention, especially for females, the implications of these differences extend beyond the statistical outcomes. This discussion section explores the broader context of these findings, shedding light on their significance and potential applications in digital public service design.</w:t>
      </w:r>
    </w:p>
    <w:p w14:paraId="570914C7" w14:textId="77777777" w:rsidR="005B502B" w:rsidRPr="005B502B" w:rsidRDefault="005B502B" w:rsidP="005B502B">
      <w:pPr>
        <w:widowControl w:val="0"/>
        <w:jc w:val="both"/>
        <w:rPr>
          <w:rFonts w:ascii="Roboto" w:hAnsi="Roboto"/>
        </w:rPr>
      </w:pPr>
    </w:p>
    <w:p w14:paraId="126EEC3D" w14:textId="77777777" w:rsidR="005B502B" w:rsidRPr="005B502B" w:rsidRDefault="005B502B" w:rsidP="005B502B">
      <w:pPr>
        <w:widowControl w:val="0"/>
        <w:jc w:val="both"/>
        <w:rPr>
          <w:rFonts w:ascii="Roboto" w:hAnsi="Roboto"/>
        </w:rPr>
      </w:pPr>
      <w:r w:rsidRPr="005B502B">
        <w:rPr>
          <w:rFonts w:ascii="Roboto" w:hAnsi="Roboto"/>
        </w:rPr>
        <w:t xml:space="preserve">The higher levels of engagement and Social Influence among female respondents point to the nuanced role of social validation and peer dynamics in their interaction with gamified platforms. This aligns with existing research that underscores the importance of community-oriented features in driving technology adoption among women (Hamari &amp; Koivisto, 2015). The </w:t>
      </w:r>
      <w:proofErr w:type="spellStart"/>
      <w:r w:rsidRPr="005B502B">
        <w:rPr>
          <w:rFonts w:ascii="Roboto" w:hAnsi="Roboto"/>
        </w:rPr>
        <w:t>MojDDV</w:t>
      </w:r>
      <w:proofErr w:type="spellEnd"/>
      <w:r w:rsidRPr="005B502B">
        <w:rPr>
          <w:rFonts w:ascii="Roboto" w:hAnsi="Roboto"/>
        </w:rPr>
        <w:t xml:space="preserve"> app’s success in leveraging social dynamics, such as peer recommendations and societal norms, suggests that government-led gamification initiatives must incorporate socially engaging elements tailored to women’s preferences. Features like referral systems, community challenges, or leaderboards emphasizing collaboration rather than competition could further amplify this effect.</w:t>
      </w:r>
    </w:p>
    <w:p w14:paraId="4469A0C0" w14:textId="77777777" w:rsidR="005B502B" w:rsidRPr="005B502B" w:rsidRDefault="005B502B" w:rsidP="005B502B">
      <w:pPr>
        <w:widowControl w:val="0"/>
        <w:jc w:val="both"/>
        <w:rPr>
          <w:rFonts w:ascii="Roboto" w:hAnsi="Roboto"/>
        </w:rPr>
      </w:pPr>
    </w:p>
    <w:p w14:paraId="2348AF42" w14:textId="77777777" w:rsidR="005B502B" w:rsidRPr="005B502B" w:rsidRDefault="005B502B" w:rsidP="005B502B">
      <w:pPr>
        <w:widowControl w:val="0"/>
        <w:jc w:val="both"/>
        <w:rPr>
          <w:rFonts w:ascii="Roboto" w:hAnsi="Roboto"/>
        </w:rPr>
      </w:pPr>
      <w:r w:rsidRPr="005B502B">
        <w:rPr>
          <w:rFonts w:ascii="Roboto" w:hAnsi="Roboto"/>
        </w:rPr>
        <w:t xml:space="preserve">Conversely, the study highlights </w:t>
      </w:r>
      <w:proofErr w:type="gramStart"/>
      <w:r w:rsidRPr="005B502B">
        <w:rPr>
          <w:rFonts w:ascii="Roboto" w:hAnsi="Roboto"/>
        </w:rPr>
        <w:t>that men</w:t>
      </w:r>
      <w:proofErr w:type="gramEnd"/>
      <w:r w:rsidRPr="005B502B">
        <w:rPr>
          <w:rFonts w:ascii="Roboto" w:hAnsi="Roboto"/>
        </w:rPr>
        <w:t>, while slightly less influenced by Social Factors, are equally motivated by the app’s gamified design. The absence of significant differences in Performance Expectancy between genders suggests that both men and women recognize the app’s utility in achieving its intended purpose—promoting tax compliance. This insight supports the idea that universal features, such as transparent reward structures and ease of use, remain critical for engaging all demographic groups.</w:t>
      </w:r>
    </w:p>
    <w:p w14:paraId="367831B9" w14:textId="77777777" w:rsidR="005B502B" w:rsidRPr="005B502B" w:rsidRDefault="005B502B" w:rsidP="005B502B">
      <w:pPr>
        <w:widowControl w:val="0"/>
        <w:jc w:val="both"/>
        <w:rPr>
          <w:rFonts w:ascii="Roboto" w:hAnsi="Roboto"/>
        </w:rPr>
      </w:pPr>
    </w:p>
    <w:p w14:paraId="3C184945" w14:textId="77777777" w:rsidR="005B502B" w:rsidRPr="005B502B" w:rsidRDefault="005B502B" w:rsidP="005B502B">
      <w:pPr>
        <w:widowControl w:val="0"/>
        <w:jc w:val="both"/>
        <w:rPr>
          <w:rFonts w:ascii="Roboto" w:hAnsi="Roboto"/>
        </w:rPr>
      </w:pPr>
      <w:r w:rsidRPr="005B502B">
        <w:rPr>
          <w:rFonts w:ascii="Roboto" w:hAnsi="Roboto"/>
        </w:rPr>
        <w:t xml:space="preserve">Interestingly, the non-significant role of Effort Expectancy in predicting </w:t>
      </w:r>
      <w:proofErr w:type="spellStart"/>
      <w:r w:rsidRPr="005B502B">
        <w:rPr>
          <w:rFonts w:ascii="Roboto" w:hAnsi="Roboto"/>
        </w:rPr>
        <w:t>behavioral</w:t>
      </w:r>
      <w:proofErr w:type="spellEnd"/>
      <w:r w:rsidRPr="005B502B">
        <w:rPr>
          <w:rFonts w:ascii="Roboto" w:hAnsi="Roboto"/>
        </w:rPr>
        <w:t xml:space="preserve"> intention contrasts with much of the UTAUT literature, where ease of use is typically a strong determinant of technology adoption (Venkatesh et al., 2003). This finding may reflect the digital fluency of Generation Z, for whom navigating mobile applications and gamified interfaces is intuitive and rarely perceived as a barrier. As a result, public sector applications targeting this demographic might prioritize innovation and functionality over simplicity, assuming a baseline level of technical competence among users.</w:t>
      </w:r>
    </w:p>
    <w:p w14:paraId="0ABFA55A" w14:textId="77777777" w:rsidR="005B502B" w:rsidRPr="005B502B" w:rsidRDefault="005B502B" w:rsidP="005B502B">
      <w:pPr>
        <w:widowControl w:val="0"/>
        <w:jc w:val="both"/>
        <w:rPr>
          <w:rFonts w:ascii="Roboto" w:hAnsi="Roboto"/>
        </w:rPr>
      </w:pPr>
    </w:p>
    <w:p w14:paraId="75371388" w14:textId="77777777" w:rsidR="005B502B" w:rsidRPr="005B502B" w:rsidRDefault="005B502B" w:rsidP="005B502B">
      <w:pPr>
        <w:widowControl w:val="0"/>
        <w:jc w:val="both"/>
        <w:rPr>
          <w:rFonts w:ascii="Roboto" w:hAnsi="Roboto"/>
        </w:rPr>
      </w:pPr>
      <w:r w:rsidRPr="005B502B">
        <w:rPr>
          <w:rFonts w:ascii="Roboto" w:hAnsi="Roboto"/>
        </w:rPr>
        <w:t>The role of Facilitating Conditions, while not strongly gendered, emerges as a key factor in sustaining long-term engagement. Ensuring that users have access to stable technological infrastructure, intuitive interfaces, and responsive customer support can mitigate potential frustrations that deter sustained usage. For women, in particular, the perception of adequate support systems may enhance trust in the platform, aligning with findings that emphasize women’s reliance on dependable technological frameworks (Gefen &amp; Straub, 1997).</w:t>
      </w:r>
    </w:p>
    <w:p w14:paraId="5CF53E31" w14:textId="77777777" w:rsidR="005B502B" w:rsidRPr="005B502B" w:rsidRDefault="005B502B" w:rsidP="005B502B">
      <w:pPr>
        <w:widowControl w:val="0"/>
        <w:jc w:val="both"/>
        <w:rPr>
          <w:rFonts w:ascii="Roboto" w:hAnsi="Roboto"/>
        </w:rPr>
      </w:pPr>
    </w:p>
    <w:p w14:paraId="26F712EE" w14:textId="475FCC52" w:rsidR="005B502B" w:rsidRPr="00D77C46" w:rsidRDefault="005B502B" w:rsidP="005B502B">
      <w:pPr>
        <w:widowControl w:val="0"/>
        <w:jc w:val="both"/>
        <w:rPr>
          <w:rFonts w:ascii="Roboto" w:hAnsi="Roboto"/>
        </w:rPr>
      </w:pPr>
      <w:r w:rsidRPr="005B502B">
        <w:rPr>
          <w:rFonts w:ascii="Roboto" w:hAnsi="Roboto"/>
        </w:rPr>
        <w:t xml:space="preserve">Another critical consideration is the interplay between intrinsic and extrinsic </w:t>
      </w:r>
      <w:r w:rsidRPr="005B502B">
        <w:rPr>
          <w:rFonts w:ascii="Roboto" w:hAnsi="Roboto"/>
        </w:rPr>
        <w:lastRenderedPageBreak/>
        <w:t xml:space="preserve">motivators. While the </w:t>
      </w:r>
      <w:proofErr w:type="spellStart"/>
      <w:r w:rsidRPr="005B502B">
        <w:rPr>
          <w:rFonts w:ascii="Roboto" w:hAnsi="Roboto"/>
        </w:rPr>
        <w:t>MojDDV</w:t>
      </w:r>
      <w:proofErr w:type="spellEnd"/>
      <w:r w:rsidRPr="005B502B">
        <w:rPr>
          <w:rFonts w:ascii="Roboto" w:hAnsi="Roboto"/>
        </w:rPr>
        <w:t xml:space="preserve"> app successfully incentivizes user participation through financial rewards, the lack of significant influence from Performance Expectancy or Effort Expectancy on </w:t>
      </w:r>
      <w:proofErr w:type="spellStart"/>
      <w:r w:rsidRPr="005B502B">
        <w:rPr>
          <w:rFonts w:ascii="Roboto" w:hAnsi="Roboto"/>
        </w:rPr>
        <w:t>behavioral</w:t>
      </w:r>
      <w:proofErr w:type="spellEnd"/>
      <w:r w:rsidRPr="005B502B">
        <w:rPr>
          <w:rFonts w:ascii="Roboto" w:hAnsi="Roboto"/>
        </w:rPr>
        <w:t xml:space="preserve"> intention suggests that intrinsic motivators—such as a sense of civic duty or social responsibility—may not be fully leveraged. Future iterations of the app could benefit from incorporating features that emphasize these intrinsic values, such as educational elements highlighting the societal benefits of tax compliance or narratives that connect individual actions to collective outcomes.</w:t>
      </w:r>
    </w:p>
    <w:p w14:paraId="39DA43D3" w14:textId="77777777" w:rsidR="005B502B" w:rsidRDefault="005B502B" w:rsidP="004B2CA6">
      <w:pPr>
        <w:widowControl w:val="0"/>
        <w:jc w:val="both"/>
        <w:rPr>
          <w:rFonts w:ascii="Roboto" w:hAnsi="Roboto"/>
          <w:b/>
          <w:bCs/>
          <w:color w:val="004494"/>
          <w:sz w:val="28"/>
        </w:rPr>
      </w:pPr>
    </w:p>
    <w:p w14:paraId="3A4E1A50" w14:textId="77AC2E34" w:rsidR="00D77C46" w:rsidRDefault="0027064F" w:rsidP="004B2CA6">
      <w:pPr>
        <w:widowControl w:val="0"/>
        <w:jc w:val="both"/>
        <w:rPr>
          <w:rFonts w:ascii="Roboto" w:hAnsi="Roboto"/>
          <w:b/>
          <w:bCs/>
          <w:color w:val="004494"/>
          <w:sz w:val="28"/>
        </w:rPr>
      </w:pPr>
      <w:r>
        <w:rPr>
          <w:rFonts w:ascii="Roboto" w:hAnsi="Roboto"/>
          <w:b/>
          <w:bCs/>
          <w:color w:val="004494"/>
          <w:sz w:val="28"/>
        </w:rPr>
        <w:t>Conclusion</w:t>
      </w:r>
    </w:p>
    <w:p w14:paraId="1F612BC6" w14:textId="77777777" w:rsidR="00D77C46" w:rsidRDefault="00D77C46" w:rsidP="004B2CA6">
      <w:pPr>
        <w:widowControl w:val="0"/>
        <w:jc w:val="both"/>
        <w:rPr>
          <w:rFonts w:ascii="Roboto" w:hAnsi="Roboto"/>
          <w:b/>
          <w:bCs/>
          <w:color w:val="004494"/>
          <w:sz w:val="28"/>
        </w:rPr>
      </w:pPr>
    </w:p>
    <w:p w14:paraId="6A67E445" w14:textId="77777777" w:rsidR="005B502B" w:rsidRDefault="005B502B" w:rsidP="005B502B">
      <w:pPr>
        <w:widowControl w:val="0"/>
        <w:jc w:val="both"/>
        <w:rPr>
          <w:rFonts w:ascii="Roboto" w:hAnsi="Roboto"/>
          <w:lang w:val="en-US"/>
        </w:rPr>
      </w:pPr>
      <w:r w:rsidRPr="005B502B">
        <w:rPr>
          <w:rFonts w:ascii="Roboto" w:hAnsi="Roboto"/>
          <w:lang w:val="en-US"/>
        </w:rPr>
        <w:t xml:space="preserve">This study examined gender differences in Generation Z’s engagement with the </w:t>
      </w:r>
      <w:proofErr w:type="spellStart"/>
      <w:r w:rsidRPr="005B502B">
        <w:rPr>
          <w:rFonts w:ascii="Roboto" w:hAnsi="Roboto"/>
          <w:lang w:val="en-US"/>
        </w:rPr>
        <w:t>MojDDV</w:t>
      </w:r>
      <w:proofErr w:type="spellEnd"/>
      <w:r w:rsidRPr="005B502B">
        <w:rPr>
          <w:rFonts w:ascii="Roboto" w:hAnsi="Roboto"/>
          <w:lang w:val="en-US"/>
        </w:rPr>
        <w:t xml:space="preserve"> app, a gamification initiative designed to promote tax compliance and reduce the shadow economy in North Macedonia. Using the Unified Theory of Acceptance and Use of Technology (UTAUT) framework, the research focused on how key factors—Performance Expectancy, Effort Expectancy, Social Influence, and Facilitating Conditions—shape behavioral intention to use the app, with a particular emphasis on gender-specific patterns.</w:t>
      </w:r>
    </w:p>
    <w:p w14:paraId="31F7697A" w14:textId="77777777" w:rsidR="005B502B" w:rsidRPr="005B502B" w:rsidRDefault="005B502B" w:rsidP="005B502B">
      <w:pPr>
        <w:widowControl w:val="0"/>
        <w:jc w:val="both"/>
        <w:rPr>
          <w:rFonts w:ascii="Roboto" w:hAnsi="Roboto"/>
          <w:lang w:val="en-US"/>
        </w:rPr>
      </w:pPr>
    </w:p>
    <w:p w14:paraId="2EAD1E15" w14:textId="77777777" w:rsidR="005B502B" w:rsidRPr="005B502B" w:rsidRDefault="005B502B" w:rsidP="005B502B">
      <w:pPr>
        <w:widowControl w:val="0"/>
        <w:jc w:val="both"/>
        <w:rPr>
          <w:rFonts w:ascii="Roboto" w:hAnsi="Roboto"/>
          <w:lang w:val="en-US"/>
        </w:rPr>
      </w:pPr>
      <w:r w:rsidRPr="005B502B">
        <w:rPr>
          <w:rFonts w:ascii="Roboto" w:hAnsi="Roboto"/>
          <w:lang w:val="en-US"/>
        </w:rPr>
        <w:t>The findings highlight several important insights:</w:t>
      </w:r>
    </w:p>
    <w:p w14:paraId="4267DE80" w14:textId="77777777" w:rsidR="005B502B" w:rsidRPr="005B502B" w:rsidRDefault="005B502B" w:rsidP="005B502B">
      <w:pPr>
        <w:widowControl w:val="0"/>
        <w:numPr>
          <w:ilvl w:val="0"/>
          <w:numId w:val="6"/>
        </w:numPr>
        <w:jc w:val="both"/>
        <w:rPr>
          <w:rFonts w:ascii="Roboto" w:hAnsi="Roboto"/>
          <w:lang w:val="en-US"/>
        </w:rPr>
      </w:pPr>
      <w:r w:rsidRPr="005B502B">
        <w:rPr>
          <w:rFonts w:ascii="Roboto" w:hAnsi="Roboto"/>
          <w:b/>
          <w:bCs/>
          <w:lang w:val="en-US"/>
        </w:rPr>
        <w:t>Social Influence as a Key Driver</w:t>
      </w:r>
      <w:r w:rsidRPr="005B502B">
        <w:rPr>
          <w:rFonts w:ascii="Roboto" w:hAnsi="Roboto"/>
          <w:lang w:val="en-US"/>
        </w:rPr>
        <w:t>: Social Influence emerged as the strongest predictor of behavioral intention, particularly for female users. Women in Generation Z showed higher levels of engagement with the app, driven by the impact of peer networks and social validation. This underscores the need for policymakers to prioritize strategies that leverage social connections, such as peer recommendations, referral programs, and community engagement campaigns, to boost app adoption among women.</w:t>
      </w:r>
    </w:p>
    <w:p w14:paraId="25CFAA4B" w14:textId="77777777" w:rsidR="005B502B" w:rsidRPr="005B502B" w:rsidRDefault="005B502B" w:rsidP="005B502B">
      <w:pPr>
        <w:widowControl w:val="0"/>
        <w:numPr>
          <w:ilvl w:val="0"/>
          <w:numId w:val="6"/>
        </w:numPr>
        <w:jc w:val="both"/>
        <w:rPr>
          <w:rFonts w:ascii="Roboto" w:hAnsi="Roboto"/>
          <w:lang w:val="en-US"/>
        </w:rPr>
      </w:pPr>
      <w:r w:rsidRPr="005B502B">
        <w:rPr>
          <w:rFonts w:ascii="Roboto" w:hAnsi="Roboto"/>
          <w:b/>
          <w:bCs/>
          <w:lang w:val="en-US"/>
        </w:rPr>
        <w:t>The Role of Facilitating Conditions</w:t>
      </w:r>
      <w:r w:rsidRPr="005B502B">
        <w:rPr>
          <w:rFonts w:ascii="Roboto" w:hAnsi="Roboto"/>
          <w:lang w:val="en-US"/>
        </w:rPr>
        <w:t>: Facilitating Conditions also played a significant role in app engagement for both genders, emphasizing the importance of reliable technology and user support. Ensuring that users feel confident in the app’s infrastructure and accessibility is critical for sustained engagement across the board.</w:t>
      </w:r>
    </w:p>
    <w:p w14:paraId="2AC4D843" w14:textId="77777777" w:rsidR="005B502B" w:rsidRDefault="005B502B" w:rsidP="005B502B">
      <w:pPr>
        <w:widowControl w:val="0"/>
        <w:numPr>
          <w:ilvl w:val="0"/>
          <w:numId w:val="6"/>
        </w:numPr>
        <w:jc w:val="both"/>
        <w:rPr>
          <w:rFonts w:ascii="Roboto" w:hAnsi="Roboto"/>
          <w:lang w:val="en-US"/>
        </w:rPr>
      </w:pPr>
      <w:r w:rsidRPr="005B502B">
        <w:rPr>
          <w:rFonts w:ascii="Roboto" w:hAnsi="Roboto"/>
          <w:b/>
          <w:bCs/>
          <w:lang w:val="en-US"/>
        </w:rPr>
        <w:t>Limited Gender Differences in Other Constructs</w:t>
      </w:r>
      <w:r w:rsidRPr="005B502B">
        <w:rPr>
          <w:rFonts w:ascii="Roboto" w:hAnsi="Roboto"/>
          <w:lang w:val="en-US"/>
        </w:rPr>
        <w:t>: While Performance Expectancy and Effort Expectancy were positively associated with behavioral intention, they did not exhibit significant gender differences. Both men and women generally found the app useful for promoting tax compliance and easy to use. However, the stronger influence of Social Influence on women suggests that tailored approaches are necessary to fully engage this demographic.</w:t>
      </w:r>
    </w:p>
    <w:p w14:paraId="4F4BC088" w14:textId="77777777" w:rsidR="005B502B" w:rsidRPr="005B502B" w:rsidRDefault="005B502B" w:rsidP="005B502B">
      <w:pPr>
        <w:widowControl w:val="0"/>
        <w:jc w:val="both"/>
        <w:rPr>
          <w:rFonts w:ascii="Roboto" w:hAnsi="Roboto"/>
          <w:lang w:val="en-US"/>
        </w:rPr>
      </w:pPr>
    </w:p>
    <w:p w14:paraId="5CA95416" w14:textId="77777777" w:rsidR="005B502B" w:rsidRDefault="005B502B" w:rsidP="005B502B">
      <w:pPr>
        <w:widowControl w:val="0"/>
        <w:jc w:val="both"/>
        <w:rPr>
          <w:rFonts w:ascii="Roboto" w:hAnsi="Roboto"/>
          <w:lang w:val="en-US"/>
        </w:rPr>
      </w:pPr>
      <w:r w:rsidRPr="005B502B">
        <w:rPr>
          <w:rFonts w:ascii="Roboto" w:hAnsi="Roboto"/>
          <w:lang w:val="en-US"/>
        </w:rPr>
        <w:t>These findings demonstrate that while universal factors like technical reliability are crucial, gender-specific strategies can significantly enhance the effectiveness of gamification initiatives. For women, incorporating social elements into app design and promotional efforts may be particularly impactful, while for men, focusing on performance-related outcomes may align better with their engagement drivers.</w:t>
      </w:r>
    </w:p>
    <w:p w14:paraId="54E7E8C3" w14:textId="77777777" w:rsidR="005B502B" w:rsidRPr="005B502B" w:rsidRDefault="005B502B" w:rsidP="005B502B">
      <w:pPr>
        <w:widowControl w:val="0"/>
        <w:jc w:val="both"/>
        <w:rPr>
          <w:rFonts w:ascii="Roboto" w:hAnsi="Roboto"/>
          <w:lang w:val="en-US"/>
        </w:rPr>
      </w:pPr>
    </w:p>
    <w:p w14:paraId="670BB059" w14:textId="77777777" w:rsidR="005B502B" w:rsidRDefault="005B502B" w:rsidP="005B502B">
      <w:pPr>
        <w:widowControl w:val="0"/>
        <w:jc w:val="both"/>
        <w:rPr>
          <w:rFonts w:ascii="Roboto" w:hAnsi="Roboto"/>
          <w:lang w:val="en-US"/>
        </w:rPr>
      </w:pPr>
      <w:r w:rsidRPr="005B502B">
        <w:rPr>
          <w:rFonts w:ascii="Roboto" w:hAnsi="Roboto"/>
          <w:lang w:val="en-US"/>
        </w:rPr>
        <w:t xml:space="preserve">The implications for policymakers are clear: to maximize the reach and impact of gamification initiatives like the </w:t>
      </w:r>
      <w:proofErr w:type="spellStart"/>
      <w:r w:rsidRPr="005B502B">
        <w:rPr>
          <w:rFonts w:ascii="Roboto" w:hAnsi="Roboto"/>
          <w:lang w:val="en-US"/>
        </w:rPr>
        <w:t>MojDDV</w:t>
      </w:r>
      <w:proofErr w:type="spellEnd"/>
      <w:r w:rsidRPr="005B502B">
        <w:rPr>
          <w:rFonts w:ascii="Roboto" w:hAnsi="Roboto"/>
          <w:lang w:val="en-US"/>
        </w:rPr>
        <w:t xml:space="preserve"> app, strategies must balance universal </w:t>
      </w:r>
      <w:r w:rsidRPr="005B502B">
        <w:rPr>
          <w:rFonts w:ascii="Roboto" w:hAnsi="Roboto"/>
          <w:lang w:val="en-US"/>
        </w:rPr>
        <w:lastRenderedPageBreak/>
        <w:t>technical reliability with gender-tailored engagement mechanisms. Addressing the specific motivators for different demographic groups can help ensure inclusivity and effectiveness.</w:t>
      </w:r>
    </w:p>
    <w:p w14:paraId="3466A99F" w14:textId="77777777" w:rsidR="005B502B" w:rsidRPr="005B502B" w:rsidRDefault="005B502B" w:rsidP="005B502B">
      <w:pPr>
        <w:widowControl w:val="0"/>
        <w:jc w:val="both"/>
        <w:rPr>
          <w:rFonts w:ascii="Roboto" w:hAnsi="Roboto"/>
          <w:lang w:val="en-US"/>
        </w:rPr>
      </w:pPr>
    </w:p>
    <w:p w14:paraId="467936CD" w14:textId="77777777" w:rsidR="005B502B" w:rsidRPr="005B502B" w:rsidRDefault="005B502B" w:rsidP="005B502B">
      <w:pPr>
        <w:widowControl w:val="0"/>
        <w:jc w:val="both"/>
        <w:rPr>
          <w:rFonts w:ascii="Roboto" w:hAnsi="Roboto"/>
          <w:lang w:val="en-US"/>
        </w:rPr>
      </w:pPr>
      <w:r w:rsidRPr="005B502B">
        <w:rPr>
          <w:rFonts w:ascii="Roboto" w:hAnsi="Roboto"/>
          <w:lang w:val="en-US"/>
        </w:rPr>
        <w:t xml:space="preserve">Future research should explore additional variables, such as trust in government, perceived fairness, and cultural attitudes toward taxation, to build a more comprehensive understanding of factors influencing app adoption. Expanding the demographic scope to include other age groups and socioeconomic strata could further clarify whether the observed gender dynamics hold across different populations. Longitudinal studies tracking user behavior over time would also provide valuable insights into the long-term efficacy of gamified public-sector initiatives like </w:t>
      </w:r>
      <w:proofErr w:type="spellStart"/>
      <w:r w:rsidRPr="005B502B">
        <w:rPr>
          <w:rFonts w:ascii="Roboto" w:hAnsi="Roboto"/>
          <w:lang w:val="en-US"/>
        </w:rPr>
        <w:t>MojDDV</w:t>
      </w:r>
      <w:proofErr w:type="spellEnd"/>
      <w:r w:rsidRPr="005B502B">
        <w:rPr>
          <w:rFonts w:ascii="Roboto" w:hAnsi="Roboto"/>
          <w:lang w:val="en-US"/>
        </w:rPr>
        <w:t>.</w:t>
      </w:r>
    </w:p>
    <w:p w14:paraId="46676C0F" w14:textId="77777777" w:rsidR="00C62605" w:rsidRDefault="00C62605" w:rsidP="00D77C46">
      <w:pPr>
        <w:widowControl w:val="0"/>
        <w:jc w:val="both"/>
        <w:rPr>
          <w:rFonts w:ascii="Roboto" w:hAnsi="Roboto"/>
        </w:rPr>
      </w:pPr>
    </w:p>
    <w:p w14:paraId="645C1C7E" w14:textId="77777777" w:rsidR="00C62605" w:rsidRDefault="00C62605" w:rsidP="00D77C46">
      <w:pPr>
        <w:widowControl w:val="0"/>
        <w:jc w:val="both"/>
        <w:rPr>
          <w:rFonts w:ascii="Roboto" w:hAnsi="Roboto"/>
        </w:rPr>
      </w:pPr>
    </w:p>
    <w:p w14:paraId="5D375A86" w14:textId="77777777" w:rsidR="00C62605" w:rsidRDefault="00C62605" w:rsidP="00D77C46">
      <w:pPr>
        <w:widowControl w:val="0"/>
        <w:jc w:val="both"/>
        <w:rPr>
          <w:rFonts w:ascii="Roboto" w:hAnsi="Roboto"/>
        </w:rPr>
      </w:pPr>
    </w:p>
    <w:p w14:paraId="0F66A811" w14:textId="77777777" w:rsidR="00C62605" w:rsidRDefault="00C62605" w:rsidP="00D77C46">
      <w:pPr>
        <w:widowControl w:val="0"/>
        <w:jc w:val="both"/>
        <w:rPr>
          <w:rFonts w:ascii="Roboto" w:hAnsi="Roboto"/>
        </w:rPr>
      </w:pPr>
    </w:p>
    <w:p w14:paraId="6C0397F7" w14:textId="77777777" w:rsidR="005B502B" w:rsidRDefault="005B502B" w:rsidP="00D77C46">
      <w:pPr>
        <w:widowControl w:val="0"/>
        <w:jc w:val="both"/>
        <w:rPr>
          <w:rFonts w:ascii="Roboto" w:hAnsi="Roboto"/>
        </w:rPr>
      </w:pPr>
    </w:p>
    <w:p w14:paraId="0440296C" w14:textId="77777777" w:rsidR="005B502B" w:rsidRDefault="005B502B" w:rsidP="00D77C46">
      <w:pPr>
        <w:widowControl w:val="0"/>
        <w:jc w:val="both"/>
        <w:rPr>
          <w:rFonts w:ascii="Roboto" w:hAnsi="Roboto"/>
        </w:rPr>
      </w:pPr>
    </w:p>
    <w:p w14:paraId="0C7524A9" w14:textId="77777777" w:rsidR="005B502B" w:rsidRDefault="005B502B" w:rsidP="00D77C46">
      <w:pPr>
        <w:widowControl w:val="0"/>
        <w:jc w:val="both"/>
        <w:rPr>
          <w:rFonts w:ascii="Roboto" w:hAnsi="Roboto"/>
        </w:rPr>
      </w:pPr>
    </w:p>
    <w:p w14:paraId="3C335166" w14:textId="77777777" w:rsidR="005B502B" w:rsidRDefault="005B502B" w:rsidP="00D77C46">
      <w:pPr>
        <w:widowControl w:val="0"/>
        <w:jc w:val="both"/>
        <w:rPr>
          <w:rFonts w:ascii="Roboto" w:hAnsi="Roboto"/>
        </w:rPr>
      </w:pPr>
    </w:p>
    <w:p w14:paraId="38F265B3" w14:textId="77777777" w:rsidR="005B502B" w:rsidRDefault="005B502B" w:rsidP="00D77C46">
      <w:pPr>
        <w:widowControl w:val="0"/>
        <w:jc w:val="both"/>
        <w:rPr>
          <w:rFonts w:ascii="Roboto" w:hAnsi="Roboto"/>
        </w:rPr>
      </w:pPr>
    </w:p>
    <w:p w14:paraId="5F7B1C6B" w14:textId="77777777" w:rsidR="005B502B" w:rsidRDefault="005B502B" w:rsidP="00D77C46">
      <w:pPr>
        <w:widowControl w:val="0"/>
        <w:jc w:val="both"/>
        <w:rPr>
          <w:rFonts w:ascii="Roboto" w:hAnsi="Roboto"/>
        </w:rPr>
      </w:pPr>
    </w:p>
    <w:p w14:paraId="7E70034F" w14:textId="77777777" w:rsidR="005B502B" w:rsidRDefault="005B502B" w:rsidP="00D77C46">
      <w:pPr>
        <w:widowControl w:val="0"/>
        <w:jc w:val="both"/>
        <w:rPr>
          <w:rFonts w:ascii="Roboto" w:hAnsi="Roboto"/>
        </w:rPr>
      </w:pPr>
    </w:p>
    <w:p w14:paraId="59C915BA" w14:textId="77777777" w:rsidR="005B502B" w:rsidRDefault="005B502B" w:rsidP="00D77C46">
      <w:pPr>
        <w:widowControl w:val="0"/>
        <w:jc w:val="both"/>
        <w:rPr>
          <w:rFonts w:ascii="Roboto" w:hAnsi="Roboto"/>
        </w:rPr>
      </w:pPr>
    </w:p>
    <w:p w14:paraId="25F93AB4" w14:textId="77777777" w:rsidR="005B502B" w:rsidRDefault="005B502B" w:rsidP="00D77C46">
      <w:pPr>
        <w:widowControl w:val="0"/>
        <w:jc w:val="both"/>
        <w:rPr>
          <w:rFonts w:ascii="Roboto" w:hAnsi="Roboto"/>
        </w:rPr>
      </w:pPr>
    </w:p>
    <w:p w14:paraId="7388F1D8" w14:textId="77777777" w:rsidR="005B502B" w:rsidRDefault="005B502B" w:rsidP="00D77C46">
      <w:pPr>
        <w:widowControl w:val="0"/>
        <w:jc w:val="both"/>
        <w:rPr>
          <w:rFonts w:ascii="Roboto" w:hAnsi="Roboto"/>
        </w:rPr>
      </w:pPr>
    </w:p>
    <w:p w14:paraId="51EEC682" w14:textId="77777777" w:rsidR="005B502B" w:rsidRDefault="005B502B" w:rsidP="00D77C46">
      <w:pPr>
        <w:widowControl w:val="0"/>
        <w:jc w:val="both"/>
        <w:rPr>
          <w:rFonts w:ascii="Roboto" w:hAnsi="Roboto"/>
        </w:rPr>
      </w:pPr>
    </w:p>
    <w:p w14:paraId="1C4CAFBC" w14:textId="77777777" w:rsidR="005B502B" w:rsidRDefault="005B502B" w:rsidP="00D77C46">
      <w:pPr>
        <w:widowControl w:val="0"/>
        <w:jc w:val="both"/>
        <w:rPr>
          <w:rFonts w:ascii="Roboto" w:hAnsi="Roboto"/>
        </w:rPr>
      </w:pPr>
    </w:p>
    <w:p w14:paraId="716EBD20" w14:textId="77777777" w:rsidR="005B502B" w:rsidRDefault="005B502B" w:rsidP="00D77C46">
      <w:pPr>
        <w:widowControl w:val="0"/>
        <w:jc w:val="both"/>
        <w:rPr>
          <w:rFonts w:ascii="Roboto" w:hAnsi="Roboto"/>
        </w:rPr>
      </w:pPr>
    </w:p>
    <w:p w14:paraId="65278A0A" w14:textId="77777777" w:rsidR="005B502B" w:rsidRDefault="005B502B" w:rsidP="00D77C46">
      <w:pPr>
        <w:widowControl w:val="0"/>
        <w:jc w:val="both"/>
        <w:rPr>
          <w:rFonts w:ascii="Roboto" w:hAnsi="Roboto"/>
        </w:rPr>
      </w:pPr>
    </w:p>
    <w:p w14:paraId="26B19D84" w14:textId="77777777" w:rsidR="005B502B" w:rsidRDefault="005B502B" w:rsidP="00D77C46">
      <w:pPr>
        <w:widowControl w:val="0"/>
        <w:jc w:val="both"/>
        <w:rPr>
          <w:rFonts w:ascii="Roboto" w:hAnsi="Roboto"/>
        </w:rPr>
      </w:pPr>
    </w:p>
    <w:p w14:paraId="6E721728" w14:textId="77777777" w:rsidR="005B502B" w:rsidRDefault="005B502B" w:rsidP="00D77C46">
      <w:pPr>
        <w:widowControl w:val="0"/>
        <w:jc w:val="both"/>
        <w:rPr>
          <w:rFonts w:ascii="Roboto" w:hAnsi="Roboto"/>
        </w:rPr>
      </w:pPr>
    </w:p>
    <w:p w14:paraId="5A392252" w14:textId="77777777" w:rsidR="005B502B" w:rsidRDefault="005B502B" w:rsidP="00D77C46">
      <w:pPr>
        <w:widowControl w:val="0"/>
        <w:jc w:val="both"/>
        <w:rPr>
          <w:rFonts w:ascii="Roboto" w:hAnsi="Roboto"/>
        </w:rPr>
      </w:pPr>
    </w:p>
    <w:p w14:paraId="14A7560C" w14:textId="77777777" w:rsidR="005B502B" w:rsidRDefault="005B502B" w:rsidP="00D77C46">
      <w:pPr>
        <w:widowControl w:val="0"/>
        <w:jc w:val="both"/>
        <w:rPr>
          <w:rFonts w:ascii="Roboto" w:hAnsi="Roboto"/>
        </w:rPr>
      </w:pPr>
    </w:p>
    <w:p w14:paraId="031461F1" w14:textId="77777777" w:rsidR="005B502B" w:rsidRDefault="005B502B" w:rsidP="00D77C46">
      <w:pPr>
        <w:widowControl w:val="0"/>
        <w:jc w:val="both"/>
        <w:rPr>
          <w:rFonts w:ascii="Roboto" w:hAnsi="Roboto"/>
        </w:rPr>
      </w:pPr>
    </w:p>
    <w:p w14:paraId="12166114" w14:textId="77777777" w:rsidR="005B502B" w:rsidRDefault="005B502B" w:rsidP="00D77C46">
      <w:pPr>
        <w:widowControl w:val="0"/>
        <w:jc w:val="both"/>
        <w:rPr>
          <w:rFonts w:ascii="Roboto" w:hAnsi="Roboto"/>
        </w:rPr>
      </w:pPr>
    </w:p>
    <w:p w14:paraId="606ED00B" w14:textId="77777777" w:rsidR="005B502B" w:rsidRDefault="005B502B" w:rsidP="00D77C46">
      <w:pPr>
        <w:widowControl w:val="0"/>
        <w:jc w:val="both"/>
        <w:rPr>
          <w:rFonts w:ascii="Roboto" w:hAnsi="Roboto"/>
        </w:rPr>
      </w:pPr>
    </w:p>
    <w:p w14:paraId="4D43D1C2" w14:textId="77777777" w:rsidR="005B502B" w:rsidRDefault="005B502B" w:rsidP="00D77C46">
      <w:pPr>
        <w:widowControl w:val="0"/>
        <w:jc w:val="both"/>
        <w:rPr>
          <w:rFonts w:ascii="Roboto" w:hAnsi="Roboto"/>
        </w:rPr>
      </w:pPr>
    </w:p>
    <w:p w14:paraId="5D9A0214" w14:textId="77777777" w:rsidR="005B502B" w:rsidRDefault="005B502B" w:rsidP="00D77C46">
      <w:pPr>
        <w:widowControl w:val="0"/>
        <w:jc w:val="both"/>
        <w:rPr>
          <w:rFonts w:ascii="Roboto" w:hAnsi="Roboto"/>
        </w:rPr>
      </w:pPr>
    </w:p>
    <w:p w14:paraId="7B512EC0" w14:textId="77777777" w:rsidR="005B502B" w:rsidRDefault="005B502B" w:rsidP="00D77C46">
      <w:pPr>
        <w:widowControl w:val="0"/>
        <w:jc w:val="both"/>
        <w:rPr>
          <w:rFonts w:ascii="Roboto" w:hAnsi="Roboto"/>
        </w:rPr>
      </w:pPr>
    </w:p>
    <w:p w14:paraId="3FFE9502" w14:textId="77777777" w:rsidR="005B502B" w:rsidRDefault="005B502B" w:rsidP="00D77C46">
      <w:pPr>
        <w:widowControl w:val="0"/>
        <w:jc w:val="both"/>
        <w:rPr>
          <w:rFonts w:ascii="Roboto" w:hAnsi="Roboto"/>
        </w:rPr>
      </w:pPr>
    </w:p>
    <w:p w14:paraId="4179CB73" w14:textId="77777777" w:rsidR="005B502B" w:rsidRDefault="005B502B" w:rsidP="00D77C46">
      <w:pPr>
        <w:widowControl w:val="0"/>
        <w:jc w:val="both"/>
        <w:rPr>
          <w:rFonts w:ascii="Roboto" w:hAnsi="Roboto"/>
        </w:rPr>
      </w:pPr>
    </w:p>
    <w:p w14:paraId="354ABC16" w14:textId="77777777" w:rsidR="005B502B" w:rsidRDefault="005B502B" w:rsidP="00D77C46">
      <w:pPr>
        <w:widowControl w:val="0"/>
        <w:jc w:val="both"/>
        <w:rPr>
          <w:rFonts w:ascii="Roboto" w:hAnsi="Roboto"/>
        </w:rPr>
      </w:pPr>
    </w:p>
    <w:p w14:paraId="1F15BDA3" w14:textId="77777777" w:rsidR="005B502B" w:rsidRDefault="005B502B" w:rsidP="00D77C46">
      <w:pPr>
        <w:widowControl w:val="0"/>
        <w:jc w:val="both"/>
        <w:rPr>
          <w:rFonts w:ascii="Roboto" w:hAnsi="Roboto"/>
        </w:rPr>
      </w:pPr>
    </w:p>
    <w:p w14:paraId="75E0F039" w14:textId="77777777" w:rsidR="005B502B" w:rsidRDefault="005B502B" w:rsidP="00D77C46">
      <w:pPr>
        <w:widowControl w:val="0"/>
        <w:jc w:val="both"/>
        <w:rPr>
          <w:rFonts w:ascii="Roboto" w:hAnsi="Roboto"/>
        </w:rPr>
      </w:pPr>
    </w:p>
    <w:p w14:paraId="6D553BB5" w14:textId="77777777" w:rsidR="00C62605" w:rsidRDefault="00C62605" w:rsidP="00D77C46">
      <w:pPr>
        <w:widowControl w:val="0"/>
        <w:jc w:val="both"/>
        <w:rPr>
          <w:rFonts w:ascii="Roboto" w:hAnsi="Roboto"/>
        </w:rPr>
      </w:pPr>
    </w:p>
    <w:p w14:paraId="34D975C6" w14:textId="77777777" w:rsidR="00C62605" w:rsidRPr="00481489" w:rsidRDefault="00C62605" w:rsidP="00D77C46">
      <w:pPr>
        <w:widowControl w:val="0"/>
        <w:jc w:val="both"/>
        <w:rPr>
          <w:rFonts w:ascii="Roboto" w:hAnsi="Roboto"/>
        </w:rPr>
      </w:pPr>
    </w:p>
    <w:p w14:paraId="055D6B51" w14:textId="34760669" w:rsidR="005F1CD7" w:rsidRPr="00D77C46" w:rsidRDefault="00481489" w:rsidP="00D77C46">
      <w:pPr>
        <w:widowControl w:val="0"/>
        <w:jc w:val="both"/>
        <w:rPr>
          <w:rFonts w:ascii="Roboto" w:hAnsi="Roboto"/>
          <w:b/>
          <w:color w:val="004494"/>
          <w:sz w:val="28"/>
        </w:rPr>
      </w:pPr>
      <w:r w:rsidRPr="005F1CD7">
        <w:rPr>
          <w:rFonts w:ascii="Roboto" w:hAnsi="Roboto"/>
          <w:b/>
          <w:color w:val="004494"/>
          <w:sz w:val="28"/>
        </w:rPr>
        <w:lastRenderedPageBreak/>
        <w:t xml:space="preserve">References </w:t>
      </w:r>
    </w:p>
    <w:p w14:paraId="0E2020D8" w14:textId="50B01C32" w:rsidR="00F54AB4" w:rsidRDefault="00F54AB4" w:rsidP="00F54AB4">
      <w:pPr>
        <w:jc w:val="both"/>
        <w:rPr>
          <w:rFonts w:ascii="Roboto" w:hAnsi="Roboto"/>
          <w:sz w:val="20"/>
        </w:rPr>
      </w:pPr>
      <w:r w:rsidRPr="00F54AB4">
        <w:rPr>
          <w:rFonts w:ascii="Roboto" w:hAnsi="Roboto"/>
          <w:sz w:val="20"/>
        </w:rPr>
        <w:t xml:space="preserve">Akademik. (2021). Overview of the </w:t>
      </w:r>
      <w:proofErr w:type="spellStart"/>
      <w:r w:rsidRPr="00F54AB4">
        <w:rPr>
          <w:rFonts w:ascii="Roboto" w:hAnsi="Roboto"/>
          <w:sz w:val="20"/>
        </w:rPr>
        <w:t>MojDDV</w:t>
      </w:r>
      <w:proofErr w:type="spellEnd"/>
      <w:r w:rsidRPr="00F54AB4">
        <w:rPr>
          <w:rFonts w:ascii="Roboto" w:hAnsi="Roboto"/>
          <w:sz w:val="20"/>
        </w:rPr>
        <w:t xml:space="preserve"> app’s impact in North Macedonia.</w:t>
      </w:r>
    </w:p>
    <w:p w14:paraId="5AC9D8C1" w14:textId="0F369970" w:rsidR="00F54AB4" w:rsidRPr="00F54AB4" w:rsidRDefault="00F54AB4" w:rsidP="00F54AB4">
      <w:pPr>
        <w:jc w:val="both"/>
        <w:rPr>
          <w:rFonts w:ascii="Roboto" w:hAnsi="Roboto"/>
          <w:sz w:val="20"/>
        </w:rPr>
      </w:pPr>
      <w:r w:rsidRPr="00F54AB4">
        <w:rPr>
          <w:rFonts w:ascii="Roboto" w:hAnsi="Roboto"/>
          <w:sz w:val="20"/>
        </w:rPr>
        <w:t>Bittner, J. V., &amp; Shipper, M. T. (2014). Motivational effects and age differences of gamification in product advertising. Journal of Consumer Marketing, 31(5), 391–400. https://doi.org/10.1108/JCM-04-2014-0945</w:t>
      </w:r>
    </w:p>
    <w:p w14:paraId="264BA034" w14:textId="3CA9070C" w:rsidR="00F54AB4" w:rsidRPr="00F54AB4" w:rsidRDefault="00F54AB4" w:rsidP="00F54AB4">
      <w:pPr>
        <w:jc w:val="both"/>
        <w:rPr>
          <w:rFonts w:ascii="Roboto" w:hAnsi="Roboto"/>
          <w:sz w:val="20"/>
        </w:rPr>
      </w:pPr>
      <w:r w:rsidRPr="00F54AB4">
        <w:rPr>
          <w:rFonts w:ascii="Roboto" w:hAnsi="Roboto"/>
          <w:sz w:val="20"/>
        </w:rPr>
        <w:t>Cui, D. (2016). Gender and technology in the public sector: An exploratory study. Journal of Public Administration Research and Theory, 26(1), 67–82. https://doi.org/10.1093/jopart/muv034</w:t>
      </w:r>
    </w:p>
    <w:p w14:paraId="45539034" w14:textId="3B803B64" w:rsidR="00F54AB4" w:rsidRPr="00F54AB4" w:rsidRDefault="00F54AB4" w:rsidP="00F54AB4">
      <w:pPr>
        <w:jc w:val="both"/>
        <w:rPr>
          <w:rFonts w:ascii="Roboto" w:hAnsi="Roboto"/>
          <w:sz w:val="20"/>
        </w:rPr>
      </w:pPr>
      <w:r w:rsidRPr="00F54AB4">
        <w:rPr>
          <w:rFonts w:ascii="Roboto" w:hAnsi="Roboto"/>
          <w:sz w:val="20"/>
        </w:rPr>
        <w:t>Gefen, D., &amp; Straub, D. W. (1997). Gender differences in the perception and adoption of e-mail: An extension to the technology acceptance model. MIS Quarterly, 21(4), 389–400. https://doi.org/10.2307/249720</w:t>
      </w:r>
    </w:p>
    <w:p w14:paraId="142881DF" w14:textId="4173319C" w:rsidR="00F54AB4" w:rsidRPr="00F54AB4" w:rsidRDefault="00F54AB4" w:rsidP="00F54AB4">
      <w:pPr>
        <w:jc w:val="both"/>
        <w:rPr>
          <w:rFonts w:ascii="Roboto" w:hAnsi="Roboto"/>
          <w:sz w:val="20"/>
        </w:rPr>
      </w:pPr>
      <w:r w:rsidRPr="00F54AB4">
        <w:rPr>
          <w:rFonts w:ascii="Roboto" w:hAnsi="Roboto"/>
          <w:sz w:val="20"/>
        </w:rPr>
        <w:t>Hamari, J., &amp; Koivisto, J. (2015). Why do people use gamification services? International Journal of Information Management, 35(4), 419–431. https://doi.org/10.1016/j.ijinfomgt.2015.04.006</w:t>
      </w:r>
    </w:p>
    <w:p w14:paraId="50E2739A" w14:textId="7B43160B" w:rsidR="00F54AB4" w:rsidRPr="00F54AB4" w:rsidRDefault="00F54AB4" w:rsidP="00F54AB4">
      <w:pPr>
        <w:jc w:val="both"/>
        <w:rPr>
          <w:rFonts w:ascii="Roboto" w:hAnsi="Roboto"/>
          <w:sz w:val="20"/>
        </w:rPr>
      </w:pPr>
      <w:r w:rsidRPr="00F54AB4">
        <w:rPr>
          <w:rFonts w:ascii="Roboto" w:hAnsi="Roboto"/>
          <w:sz w:val="20"/>
        </w:rPr>
        <w:t>Hamari, J., Koivisto, J., &amp; Sarsa, H. (2014). Does gamification work? A literature review of empirical studies on gamification. Proceedings of the 47th Hawaii International Conference on System Sciences, 3025–3034. https://doi.org/10.1109/HICSS.2014.377</w:t>
      </w:r>
    </w:p>
    <w:p w14:paraId="4C35BC61" w14:textId="57B1A52C" w:rsidR="00F54AB4" w:rsidRDefault="00F54AB4" w:rsidP="00F54AB4">
      <w:pPr>
        <w:jc w:val="both"/>
        <w:rPr>
          <w:rFonts w:ascii="Roboto" w:hAnsi="Roboto"/>
          <w:sz w:val="20"/>
        </w:rPr>
      </w:pPr>
      <w:r w:rsidRPr="00F54AB4">
        <w:rPr>
          <w:rFonts w:ascii="Roboto" w:hAnsi="Roboto"/>
          <w:sz w:val="20"/>
        </w:rPr>
        <w:t>IMF. (2021). How to manage VAT refunds. International Monetary Fund.</w:t>
      </w:r>
    </w:p>
    <w:p w14:paraId="588B98FF" w14:textId="5C1919E7" w:rsidR="0037667E" w:rsidRPr="00F54AB4" w:rsidRDefault="0037667E" w:rsidP="00F54AB4">
      <w:pPr>
        <w:jc w:val="both"/>
        <w:rPr>
          <w:rFonts w:ascii="Roboto" w:hAnsi="Roboto"/>
          <w:sz w:val="20"/>
        </w:rPr>
      </w:pPr>
      <w:proofErr w:type="spellStart"/>
      <w:r w:rsidRPr="0037667E">
        <w:rPr>
          <w:rFonts w:ascii="Roboto" w:hAnsi="Roboto"/>
          <w:sz w:val="20"/>
        </w:rPr>
        <w:t>Sardi</w:t>
      </w:r>
      <w:proofErr w:type="spellEnd"/>
      <w:r w:rsidRPr="0037667E">
        <w:rPr>
          <w:rFonts w:ascii="Roboto" w:hAnsi="Roboto"/>
          <w:sz w:val="20"/>
        </w:rPr>
        <w:t xml:space="preserve">, L., </w:t>
      </w:r>
      <w:proofErr w:type="spellStart"/>
      <w:r w:rsidRPr="0037667E">
        <w:rPr>
          <w:rFonts w:ascii="Roboto" w:hAnsi="Roboto"/>
          <w:sz w:val="20"/>
        </w:rPr>
        <w:t>Idri</w:t>
      </w:r>
      <w:proofErr w:type="spellEnd"/>
      <w:r w:rsidRPr="0037667E">
        <w:rPr>
          <w:rFonts w:ascii="Roboto" w:hAnsi="Roboto"/>
          <w:sz w:val="20"/>
        </w:rPr>
        <w:t>, A., &amp; Fernandez-Aleman, J. L. (2017). A systematic review of gamification in e-Health. Journal of Biomedical Informatics, 71, 31–48. https://doi.org/10.1016/j.jbi.2017.05.011</w:t>
      </w:r>
    </w:p>
    <w:p w14:paraId="4980B1A5" w14:textId="551A6884" w:rsidR="00F54AB4" w:rsidRPr="00F54AB4" w:rsidRDefault="00F54AB4" w:rsidP="00F54AB4">
      <w:pPr>
        <w:jc w:val="both"/>
        <w:rPr>
          <w:rFonts w:ascii="Roboto" w:hAnsi="Roboto"/>
          <w:sz w:val="20"/>
        </w:rPr>
      </w:pPr>
      <w:r w:rsidRPr="00F54AB4">
        <w:rPr>
          <w:rFonts w:ascii="Roboto" w:hAnsi="Roboto"/>
          <w:sz w:val="20"/>
        </w:rPr>
        <w:t>Seemiller, C., &amp; Grace, M. (2016). Generation Z goes to college. John Wiley &amp; Sons.</w:t>
      </w:r>
    </w:p>
    <w:p w14:paraId="5583117F" w14:textId="1F34AC22" w:rsidR="00F54AB4" w:rsidRDefault="00F54AB4" w:rsidP="00F54AB4">
      <w:pPr>
        <w:jc w:val="both"/>
        <w:rPr>
          <w:rFonts w:ascii="Roboto" w:hAnsi="Roboto"/>
          <w:sz w:val="20"/>
        </w:rPr>
      </w:pPr>
      <w:r w:rsidRPr="00F54AB4">
        <w:rPr>
          <w:rFonts w:ascii="Roboto" w:hAnsi="Roboto"/>
          <w:sz w:val="20"/>
        </w:rPr>
        <w:t xml:space="preserve">Smith, A. (2017). Generation Z and the future of technology adoption. Journal of Marketing Research, 54(3), 409–425. </w:t>
      </w:r>
      <w:hyperlink r:id="rId7" w:history="1">
        <w:r w:rsidR="0037667E" w:rsidRPr="00395755">
          <w:rPr>
            <w:rStyle w:val="Hyperlink"/>
            <w:rFonts w:ascii="Roboto" w:hAnsi="Roboto"/>
            <w:sz w:val="20"/>
          </w:rPr>
          <w:t>https://doi.org/10.1509/jmr.15.0430</w:t>
        </w:r>
      </w:hyperlink>
    </w:p>
    <w:p w14:paraId="0718EAAF" w14:textId="0B544C7F" w:rsidR="0037667E" w:rsidRPr="00F54AB4" w:rsidRDefault="0037667E" w:rsidP="00F54AB4">
      <w:pPr>
        <w:jc w:val="both"/>
        <w:rPr>
          <w:rFonts w:ascii="Roboto" w:hAnsi="Roboto"/>
          <w:sz w:val="20"/>
        </w:rPr>
      </w:pPr>
      <w:r w:rsidRPr="0037667E">
        <w:rPr>
          <w:rFonts w:ascii="Roboto" w:hAnsi="Roboto"/>
          <w:sz w:val="20"/>
        </w:rPr>
        <w:t xml:space="preserve">Turel, O., &amp; </w:t>
      </w:r>
      <w:proofErr w:type="spellStart"/>
      <w:r w:rsidRPr="0037667E">
        <w:rPr>
          <w:rFonts w:ascii="Roboto" w:hAnsi="Roboto"/>
          <w:sz w:val="20"/>
        </w:rPr>
        <w:t>Qahri</w:t>
      </w:r>
      <w:proofErr w:type="spellEnd"/>
      <w:r w:rsidRPr="0037667E">
        <w:rPr>
          <w:rFonts w:ascii="Roboto" w:hAnsi="Roboto"/>
          <w:sz w:val="20"/>
        </w:rPr>
        <w:t xml:space="preserve">-Saremi, H. (2018). Explaining unplanned online media </w:t>
      </w:r>
      <w:proofErr w:type="spellStart"/>
      <w:r w:rsidRPr="0037667E">
        <w:rPr>
          <w:rFonts w:ascii="Roboto" w:hAnsi="Roboto"/>
          <w:sz w:val="20"/>
        </w:rPr>
        <w:t>behaviors</w:t>
      </w:r>
      <w:proofErr w:type="spellEnd"/>
      <w:r w:rsidRPr="0037667E">
        <w:rPr>
          <w:rFonts w:ascii="Roboto" w:hAnsi="Roboto"/>
          <w:sz w:val="20"/>
        </w:rPr>
        <w:t xml:space="preserve">: Dual-system theory models of impulsive use and distraction. </w:t>
      </w:r>
      <w:r>
        <w:rPr>
          <w:rFonts w:ascii="Roboto" w:hAnsi="Roboto"/>
          <w:sz w:val="20"/>
        </w:rPr>
        <w:t>New Media &amp; Society, 20 (1): 1-18</w:t>
      </w:r>
    </w:p>
    <w:p w14:paraId="49B90670" w14:textId="39D65B3C" w:rsidR="00F54AB4" w:rsidRPr="00F54AB4" w:rsidRDefault="00F54AB4" w:rsidP="00F54AB4">
      <w:pPr>
        <w:jc w:val="both"/>
        <w:rPr>
          <w:rFonts w:ascii="Roboto" w:hAnsi="Roboto"/>
          <w:sz w:val="20"/>
        </w:rPr>
      </w:pPr>
      <w:r w:rsidRPr="00F54AB4">
        <w:rPr>
          <w:rFonts w:ascii="Roboto" w:hAnsi="Roboto"/>
          <w:sz w:val="20"/>
        </w:rPr>
        <w:t>Venkatesh, V., Morris, M. G., Davis, G. B., &amp; Davis, F. D. (2003). User acceptance of information technology: Toward a unified view. MIS Quarterly, 27(3), 425–478. https://doi.org/10.2307/30036540</w:t>
      </w:r>
    </w:p>
    <w:p w14:paraId="05D9556D" w14:textId="381E2954" w:rsidR="00D77C46" w:rsidRDefault="00F54AB4" w:rsidP="0037667E">
      <w:pPr>
        <w:jc w:val="both"/>
        <w:rPr>
          <w:rFonts w:ascii="Roboto" w:hAnsi="Roboto"/>
          <w:sz w:val="20"/>
        </w:rPr>
      </w:pPr>
      <w:r w:rsidRPr="00F54AB4">
        <w:rPr>
          <w:rFonts w:ascii="Roboto" w:hAnsi="Roboto"/>
          <w:sz w:val="20"/>
        </w:rPr>
        <w:t>Werbach, K., &amp; Hunter, D. (2012). For the win: How game thinking can revolutionize your business. Wharton Digital Press.</w:t>
      </w:r>
    </w:p>
    <w:p w14:paraId="193132EA" w14:textId="11213E7E" w:rsidR="0037667E" w:rsidRDefault="0037667E" w:rsidP="0037667E">
      <w:pPr>
        <w:jc w:val="both"/>
        <w:rPr>
          <w:rFonts w:ascii="Roboto" w:hAnsi="Roboto"/>
          <w:sz w:val="20"/>
        </w:rPr>
      </w:pPr>
      <w:proofErr w:type="spellStart"/>
      <w:r>
        <w:rPr>
          <w:rFonts w:ascii="Roboto" w:hAnsi="Roboto"/>
          <w:sz w:val="20"/>
        </w:rPr>
        <w:t>Buheji</w:t>
      </w:r>
      <w:proofErr w:type="spellEnd"/>
      <w:r>
        <w:rPr>
          <w:rFonts w:ascii="Roboto" w:hAnsi="Roboto"/>
          <w:sz w:val="20"/>
        </w:rPr>
        <w:t xml:space="preserve"> M., (2019), Re-inventing Public Services Using Gamification Approaches, </w:t>
      </w:r>
      <w:r w:rsidRPr="0037667E">
        <w:rPr>
          <w:rFonts w:ascii="Roboto" w:hAnsi="Roboto"/>
          <w:sz w:val="20"/>
        </w:rPr>
        <w:t>International Journal of Economics and Financial Issues 9(6):48-59</w:t>
      </w:r>
      <w:r>
        <w:rPr>
          <w:rFonts w:ascii="Roboto" w:hAnsi="Roboto"/>
          <w:sz w:val="20"/>
        </w:rPr>
        <w:t xml:space="preserve"> </w:t>
      </w:r>
      <w:r w:rsidRPr="0037667E">
        <w:rPr>
          <w:rFonts w:ascii="Roboto" w:hAnsi="Roboto"/>
          <w:sz w:val="20"/>
        </w:rPr>
        <w:t>DOI:10.32479/ijefi.8803</w:t>
      </w:r>
    </w:p>
    <w:p w14:paraId="21BAFA76" w14:textId="594A0294" w:rsidR="0037667E" w:rsidRDefault="00452296" w:rsidP="0037667E">
      <w:pPr>
        <w:jc w:val="both"/>
        <w:rPr>
          <w:rFonts w:ascii="Roboto" w:hAnsi="Roboto"/>
          <w:sz w:val="20"/>
        </w:rPr>
      </w:pPr>
      <w:r w:rsidRPr="00452296">
        <w:rPr>
          <w:rFonts w:ascii="Roboto" w:hAnsi="Roboto"/>
          <w:sz w:val="20"/>
        </w:rPr>
        <w:t>Chin, C. (2016), Four Ways Governments are using Gami</w:t>
      </w:r>
      <w:r w:rsidRPr="00452296">
        <w:rPr>
          <w:rFonts w:ascii="Roboto" w:hAnsi="Roboto" w:hint="eastAsia"/>
          <w:sz w:val="20"/>
        </w:rPr>
        <w:t></w:t>
      </w:r>
      <w:r w:rsidRPr="00452296">
        <w:rPr>
          <w:rFonts w:ascii="Roboto" w:hAnsi="Roboto"/>
          <w:sz w:val="20"/>
        </w:rPr>
        <w:t xml:space="preserve">cation, Best Practices from Across </w:t>
      </w:r>
      <w:proofErr w:type="gramStart"/>
      <w:r w:rsidRPr="00452296">
        <w:rPr>
          <w:rFonts w:ascii="Roboto" w:hAnsi="Roboto"/>
          <w:sz w:val="20"/>
        </w:rPr>
        <w:t>Asia  and</w:t>
      </w:r>
      <w:proofErr w:type="gramEnd"/>
      <w:r w:rsidRPr="00452296">
        <w:rPr>
          <w:rFonts w:ascii="Roboto" w:hAnsi="Roboto"/>
          <w:sz w:val="20"/>
        </w:rPr>
        <w:t xml:space="preserve">  Beyond,  June  Issue,  Government Insider Asia. Available from: https://www.govinsider.asia/security/four-ways-governments-are-using-gami</w:t>
      </w:r>
      <w:r w:rsidRPr="00452296">
        <w:rPr>
          <w:rFonts w:ascii="Roboto" w:hAnsi="Roboto" w:hint="eastAsia"/>
          <w:sz w:val="20"/>
        </w:rPr>
        <w:t></w:t>
      </w:r>
      <w:r w:rsidRPr="00452296">
        <w:rPr>
          <w:rFonts w:ascii="Roboto" w:hAnsi="Roboto"/>
          <w:sz w:val="20"/>
        </w:rPr>
        <w:t>cation. [</w:t>
      </w:r>
      <w:proofErr w:type="gramStart"/>
      <w:r w:rsidRPr="00452296">
        <w:rPr>
          <w:rFonts w:ascii="Roboto" w:hAnsi="Roboto"/>
          <w:sz w:val="20"/>
        </w:rPr>
        <w:t>Last  accessed</w:t>
      </w:r>
      <w:proofErr w:type="gramEnd"/>
      <w:r w:rsidRPr="00452296">
        <w:rPr>
          <w:rFonts w:ascii="Roboto" w:hAnsi="Roboto"/>
          <w:sz w:val="20"/>
        </w:rPr>
        <w:t xml:space="preserve">  on 20</w:t>
      </w:r>
      <w:r>
        <w:rPr>
          <w:rFonts w:ascii="Roboto" w:hAnsi="Roboto"/>
          <w:sz w:val="20"/>
        </w:rPr>
        <w:t>24</w:t>
      </w:r>
      <w:r w:rsidRPr="00452296">
        <w:rPr>
          <w:rFonts w:ascii="Roboto" w:hAnsi="Roboto"/>
          <w:sz w:val="20"/>
        </w:rPr>
        <w:t xml:space="preserve"> </w:t>
      </w:r>
      <w:r>
        <w:rPr>
          <w:rFonts w:ascii="Roboto" w:hAnsi="Roboto"/>
          <w:sz w:val="20"/>
        </w:rPr>
        <w:t>November</w:t>
      </w:r>
      <w:r w:rsidRPr="00452296">
        <w:rPr>
          <w:rFonts w:ascii="Roboto" w:hAnsi="Roboto"/>
          <w:sz w:val="20"/>
        </w:rPr>
        <w:t xml:space="preserve"> </w:t>
      </w:r>
      <w:r>
        <w:rPr>
          <w:rFonts w:ascii="Roboto" w:hAnsi="Roboto"/>
          <w:sz w:val="20"/>
        </w:rPr>
        <w:t>10</w:t>
      </w:r>
      <w:r w:rsidRPr="00452296">
        <w:rPr>
          <w:rFonts w:ascii="Roboto" w:hAnsi="Roboto"/>
          <w:sz w:val="20"/>
        </w:rPr>
        <w:t>]</w:t>
      </w:r>
    </w:p>
    <w:p w14:paraId="632E55C0" w14:textId="1044F559" w:rsidR="00452296" w:rsidRDefault="00452296" w:rsidP="00452296">
      <w:pPr>
        <w:jc w:val="both"/>
        <w:rPr>
          <w:rFonts w:ascii="Roboto" w:hAnsi="Roboto"/>
          <w:sz w:val="20"/>
        </w:rPr>
      </w:pPr>
      <w:proofErr w:type="spellStart"/>
      <w:r>
        <w:rPr>
          <w:rFonts w:ascii="Roboto" w:hAnsi="Roboto"/>
          <w:sz w:val="20"/>
        </w:rPr>
        <w:t>Kazhamiakin</w:t>
      </w:r>
      <w:proofErr w:type="spellEnd"/>
      <w:r>
        <w:rPr>
          <w:rFonts w:ascii="Roboto" w:hAnsi="Roboto"/>
          <w:sz w:val="20"/>
        </w:rPr>
        <w:t xml:space="preserve"> R., Marconi A., Perillo M., </w:t>
      </w:r>
      <w:proofErr w:type="spellStart"/>
      <w:r>
        <w:rPr>
          <w:rFonts w:ascii="Roboto" w:hAnsi="Roboto"/>
          <w:sz w:val="20"/>
        </w:rPr>
        <w:t>Pistore</w:t>
      </w:r>
      <w:proofErr w:type="spellEnd"/>
      <w:r>
        <w:rPr>
          <w:rFonts w:ascii="Roboto" w:hAnsi="Roboto"/>
          <w:sz w:val="20"/>
        </w:rPr>
        <w:t xml:space="preserve"> M., </w:t>
      </w:r>
      <w:proofErr w:type="spellStart"/>
      <w:r>
        <w:rPr>
          <w:rFonts w:ascii="Roboto" w:hAnsi="Roboto"/>
          <w:sz w:val="20"/>
        </w:rPr>
        <w:t>Valetto</w:t>
      </w:r>
      <w:proofErr w:type="spellEnd"/>
      <w:r>
        <w:rPr>
          <w:rFonts w:ascii="Roboto" w:hAnsi="Roboto"/>
          <w:sz w:val="20"/>
        </w:rPr>
        <w:t xml:space="preserve"> G., </w:t>
      </w:r>
      <w:proofErr w:type="spellStart"/>
      <w:r>
        <w:rPr>
          <w:rFonts w:ascii="Roboto" w:hAnsi="Roboto"/>
          <w:sz w:val="20"/>
        </w:rPr>
        <w:t>Piras</w:t>
      </w:r>
      <w:proofErr w:type="spellEnd"/>
      <w:r>
        <w:rPr>
          <w:rFonts w:ascii="Roboto" w:hAnsi="Roboto"/>
          <w:sz w:val="20"/>
        </w:rPr>
        <w:t xml:space="preserve"> L., </w:t>
      </w:r>
      <w:proofErr w:type="spellStart"/>
      <w:r>
        <w:rPr>
          <w:rFonts w:ascii="Roboto" w:hAnsi="Roboto"/>
          <w:sz w:val="20"/>
        </w:rPr>
        <w:t>Avesani</w:t>
      </w:r>
      <w:proofErr w:type="spellEnd"/>
      <w:r>
        <w:rPr>
          <w:rFonts w:ascii="Roboto" w:hAnsi="Roboto"/>
          <w:sz w:val="20"/>
        </w:rPr>
        <w:t xml:space="preserve"> F., Perri N., (2015), </w:t>
      </w:r>
      <w:r w:rsidRPr="00452296">
        <w:rPr>
          <w:rFonts w:ascii="Roboto" w:hAnsi="Roboto"/>
          <w:sz w:val="20"/>
        </w:rPr>
        <w:t>Using gamification to incentivize sustainable</w:t>
      </w:r>
      <w:r>
        <w:rPr>
          <w:rFonts w:ascii="Roboto" w:hAnsi="Roboto"/>
          <w:sz w:val="20"/>
        </w:rPr>
        <w:t xml:space="preserve"> </w:t>
      </w:r>
      <w:r w:rsidRPr="00452296">
        <w:rPr>
          <w:rFonts w:ascii="Roboto" w:hAnsi="Roboto"/>
          <w:sz w:val="20"/>
        </w:rPr>
        <w:t>urban mobility</w:t>
      </w:r>
      <w:r>
        <w:rPr>
          <w:rFonts w:ascii="Roboto" w:hAnsi="Roboto"/>
          <w:sz w:val="20"/>
        </w:rPr>
        <w:t xml:space="preserve">, </w:t>
      </w:r>
      <w:r w:rsidRPr="00452296">
        <w:rPr>
          <w:rFonts w:ascii="Roboto" w:hAnsi="Roboto"/>
          <w:sz w:val="20"/>
        </w:rPr>
        <w:t>Electronics Engineers (IEEE) International smart cities conference 2015 (ISC2-2015), 25-28 October 2015</w:t>
      </w:r>
    </w:p>
    <w:p w14:paraId="3AE9C79E" w14:textId="1DCA5638" w:rsidR="00452296" w:rsidRDefault="00452296" w:rsidP="00452296">
      <w:pPr>
        <w:jc w:val="both"/>
        <w:rPr>
          <w:rFonts w:ascii="Roboto" w:hAnsi="Roboto"/>
          <w:sz w:val="20"/>
        </w:rPr>
      </w:pPr>
      <w:r>
        <w:rPr>
          <w:rFonts w:ascii="Roboto" w:hAnsi="Roboto"/>
          <w:sz w:val="20"/>
        </w:rPr>
        <w:t xml:space="preserve">Li S., Glass R., (2008), </w:t>
      </w:r>
      <w:r w:rsidRPr="00452296">
        <w:rPr>
          <w:rFonts w:ascii="Roboto" w:hAnsi="Roboto"/>
          <w:sz w:val="20"/>
        </w:rPr>
        <w:t>The Influence of Gender on New Technology Adoption and Use–Mobile Commerce</w:t>
      </w:r>
      <w:r>
        <w:rPr>
          <w:rFonts w:ascii="Roboto" w:hAnsi="Roboto"/>
          <w:sz w:val="20"/>
        </w:rPr>
        <w:t xml:space="preserve">, </w:t>
      </w:r>
      <w:r w:rsidRPr="00452296">
        <w:rPr>
          <w:rFonts w:ascii="Roboto" w:hAnsi="Roboto"/>
          <w:sz w:val="20"/>
        </w:rPr>
        <w:t>July 2008Journal of Internet Commerce 7(2):270-289</w:t>
      </w:r>
      <w:r>
        <w:rPr>
          <w:rFonts w:ascii="Roboto" w:hAnsi="Roboto"/>
          <w:sz w:val="20"/>
        </w:rPr>
        <w:t xml:space="preserve"> </w:t>
      </w:r>
      <w:r w:rsidRPr="00452296">
        <w:rPr>
          <w:rFonts w:ascii="Roboto" w:hAnsi="Roboto"/>
          <w:sz w:val="20"/>
        </w:rPr>
        <w:t>DOI:10.1080/15332860802067748</w:t>
      </w:r>
    </w:p>
    <w:p w14:paraId="6B26DE18" w14:textId="77777777" w:rsidR="00452296" w:rsidRPr="00452296" w:rsidRDefault="00452296" w:rsidP="00452296">
      <w:pPr>
        <w:jc w:val="both"/>
        <w:rPr>
          <w:rFonts w:ascii="Roboto" w:hAnsi="Roboto"/>
          <w:sz w:val="20"/>
        </w:rPr>
      </w:pPr>
      <w:r>
        <w:rPr>
          <w:rFonts w:ascii="Roboto" w:hAnsi="Roboto"/>
          <w:sz w:val="20"/>
        </w:rPr>
        <w:t xml:space="preserve">Kotze T., Anderson O., Summerfield K., (2016), </w:t>
      </w:r>
      <w:r w:rsidRPr="00452296">
        <w:rPr>
          <w:rFonts w:ascii="Roboto" w:hAnsi="Roboto"/>
          <w:sz w:val="20"/>
        </w:rPr>
        <w:t>Technophobia: Gender differences in the adoption of high-technology consumer products</w:t>
      </w:r>
      <w:r>
        <w:rPr>
          <w:rFonts w:ascii="Roboto" w:hAnsi="Roboto"/>
          <w:sz w:val="20"/>
        </w:rPr>
        <w:t xml:space="preserve">, </w:t>
      </w:r>
      <w:r w:rsidRPr="00452296">
        <w:rPr>
          <w:rFonts w:ascii="Roboto" w:hAnsi="Roboto"/>
          <w:sz w:val="20"/>
        </w:rPr>
        <w:t>South African Journal of Business Management 47(1):21-28</w:t>
      </w:r>
    </w:p>
    <w:p w14:paraId="5C24A78C" w14:textId="4D2328D1" w:rsidR="00452296" w:rsidRDefault="00452296" w:rsidP="00452296">
      <w:pPr>
        <w:jc w:val="both"/>
        <w:rPr>
          <w:rFonts w:ascii="Roboto" w:hAnsi="Roboto"/>
          <w:sz w:val="20"/>
        </w:rPr>
      </w:pPr>
      <w:r w:rsidRPr="00452296">
        <w:rPr>
          <w:rFonts w:ascii="Roboto" w:hAnsi="Roboto"/>
          <w:sz w:val="20"/>
        </w:rPr>
        <w:t>DOI:10.4102/</w:t>
      </w:r>
      <w:proofErr w:type="gramStart"/>
      <w:r w:rsidRPr="00452296">
        <w:rPr>
          <w:rFonts w:ascii="Roboto" w:hAnsi="Roboto"/>
          <w:sz w:val="20"/>
        </w:rPr>
        <w:t>sajbm.v</w:t>
      </w:r>
      <w:proofErr w:type="gramEnd"/>
      <w:r w:rsidRPr="00452296">
        <w:rPr>
          <w:rFonts w:ascii="Roboto" w:hAnsi="Roboto"/>
          <w:sz w:val="20"/>
        </w:rPr>
        <w:t>47i1.49</w:t>
      </w:r>
    </w:p>
    <w:p w14:paraId="76BBD661" w14:textId="77777777" w:rsidR="00452296" w:rsidRPr="00452296" w:rsidRDefault="00452296" w:rsidP="00452296">
      <w:pPr>
        <w:jc w:val="both"/>
        <w:rPr>
          <w:rFonts w:ascii="Roboto" w:hAnsi="Roboto"/>
          <w:sz w:val="20"/>
        </w:rPr>
      </w:pPr>
      <w:r>
        <w:rPr>
          <w:rFonts w:ascii="Roboto" w:hAnsi="Roboto"/>
          <w:sz w:val="20"/>
        </w:rPr>
        <w:t xml:space="preserve">Chen Y., Khan S., Shiwakoti N., Stasinopoulos P., Kayvan A., </w:t>
      </w:r>
      <w:r w:rsidRPr="00452296">
        <w:rPr>
          <w:rFonts w:ascii="Roboto" w:hAnsi="Roboto"/>
          <w:sz w:val="20"/>
        </w:rPr>
        <w:t>Integrating perceived safety and socio-demographic factors in UTAUT model to explore Australians' intention to use fully automated vehicles</w:t>
      </w:r>
      <w:r>
        <w:rPr>
          <w:rFonts w:ascii="Roboto" w:hAnsi="Roboto"/>
          <w:sz w:val="20"/>
        </w:rPr>
        <w:t xml:space="preserve">, </w:t>
      </w:r>
      <w:r w:rsidRPr="00452296">
        <w:rPr>
          <w:rFonts w:ascii="Roboto" w:hAnsi="Roboto"/>
          <w:sz w:val="20"/>
        </w:rPr>
        <w:t>Research in Transportation Business &amp; Management</w:t>
      </w:r>
    </w:p>
    <w:p w14:paraId="663D0D00" w14:textId="1F1C2ECB" w:rsidR="00452296" w:rsidRDefault="00452296" w:rsidP="00452296">
      <w:pPr>
        <w:jc w:val="both"/>
        <w:rPr>
          <w:rFonts w:ascii="Roboto" w:hAnsi="Roboto"/>
          <w:sz w:val="20"/>
        </w:rPr>
      </w:pPr>
      <w:r w:rsidRPr="00452296">
        <w:rPr>
          <w:rFonts w:ascii="Roboto" w:hAnsi="Roboto"/>
          <w:sz w:val="20"/>
        </w:rPr>
        <w:t>Volume 56, October 2024, 101147</w:t>
      </w:r>
    </w:p>
    <w:p w14:paraId="5DC8629B" w14:textId="26D1BC5C" w:rsidR="005B502B" w:rsidRPr="00F54AB4" w:rsidRDefault="005B502B" w:rsidP="005B502B">
      <w:pPr>
        <w:jc w:val="both"/>
        <w:rPr>
          <w:rFonts w:ascii="Roboto" w:hAnsi="Roboto"/>
          <w:sz w:val="20"/>
        </w:rPr>
      </w:pPr>
      <w:r>
        <w:rPr>
          <w:rFonts w:ascii="Roboto" w:hAnsi="Roboto"/>
          <w:sz w:val="20"/>
        </w:rPr>
        <w:t xml:space="preserve">Jayatissa D., (2023), </w:t>
      </w:r>
      <w:r w:rsidRPr="005B502B">
        <w:rPr>
          <w:rFonts w:ascii="Roboto" w:hAnsi="Roboto"/>
          <w:sz w:val="20"/>
        </w:rPr>
        <w:t>Generation Z – A New Lifeline: A Systematic Literature Review</w:t>
      </w:r>
      <w:r>
        <w:rPr>
          <w:rFonts w:ascii="Roboto" w:hAnsi="Roboto"/>
          <w:sz w:val="20"/>
        </w:rPr>
        <w:t xml:space="preserve">, </w:t>
      </w:r>
      <w:r w:rsidRPr="005B502B">
        <w:rPr>
          <w:rFonts w:ascii="Roboto" w:hAnsi="Roboto"/>
          <w:sz w:val="20"/>
        </w:rPr>
        <w:t>Sri Lanka Journal of Social Sciences and Humanities 3(2):179-186</w:t>
      </w:r>
      <w:r>
        <w:rPr>
          <w:rFonts w:ascii="Roboto" w:hAnsi="Roboto"/>
          <w:sz w:val="20"/>
        </w:rPr>
        <w:t xml:space="preserve"> </w:t>
      </w:r>
      <w:r w:rsidRPr="005B502B">
        <w:rPr>
          <w:rFonts w:ascii="Roboto" w:hAnsi="Roboto"/>
          <w:sz w:val="20"/>
        </w:rPr>
        <w:t>DOI:10.4038/</w:t>
      </w:r>
      <w:proofErr w:type="gramStart"/>
      <w:r w:rsidRPr="005B502B">
        <w:rPr>
          <w:rFonts w:ascii="Roboto" w:hAnsi="Roboto"/>
          <w:sz w:val="20"/>
        </w:rPr>
        <w:t>sljssh.v</w:t>
      </w:r>
      <w:proofErr w:type="gramEnd"/>
      <w:r w:rsidRPr="005B502B">
        <w:rPr>
          <w:rFonts w:ascii="Roboto" w:hAnsi="Roboto"/>
          <w:sz w:val="20"/>
        </w:rPr>
        <w:t>3i2.110</w:t>
      </w:r>
    </w:p>
    <w:sectPr w:rsidR="005B502B" w:rsidRPr="00F54AB4" w:rsidSect="005F1CD7">
      <w:headerReference w:type="default" r:id="rId8"/>
      <w:footerReference w:type="default" r:id="rId9"/>
      <w:pgSz w:w="11906" w:h="16838" w:code="9"/>
      <w:pgMar w:top="1418" w:right="1418" w:bottom="1418" w:left="1418" w:header="709" w:footer="381"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BA0425E" w14:textId="77777777" w:rsidR="00C322A8" w:rsidRDefault="00C322A8">
      <w:r>
        <w:separator/>
      </w:r>
    </w:p>
  </w:endnote>
  <w:endnote w:type="continuationSeparator" w:id="0">
    <w:p w14:paraId="74005533" w14:textId="77777777" w:rsidR="00C322A8" w:rsidRDefault="00C322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Roboto">
    <w:panose1 w:val="00000000000000000000"/>
    <w:charset w:val="CC"/>
    <w:family w:val="auto"/>
    <w:pitch w:val="variable"/>
    <w:sig w:usb0="E00002EF" w:usb1="5000205B" w:usb2="0000002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252"/>
    </w:tblGrid>
    <w:tr w:rsidR="005F1CD7" w:rsidRPr="005F1CD7" w14:paraId="0BBD6AC0" w14:textId="77777777" w:rsidTr="005F1CD7">
      <w:tc>
        <w:tcPr>
          <w:tcW w:w="4820" w:type="dxa"/>
        </w:tcPr>
        <w:p w14:paraId="75B2EBD8" w14:textId="42E1C699" w:rsidR="005F1CD7" w:rsidRPr="005F1CD7" w:rsidRDefault="005F1CD7" w:rsidP="005F1CD7">
          <w:pPr>
            <w:pStyle w:val="Footer"/>
            <w:ind w:left="-108"/>
            <w:rPr>
              <w:rFonts w:ascii="Roboto" w:hAnsi="Roboto"/>
            </w:rPr>
          </w:pPr>
          <w:r>
            <w:rPr>
              <w:rFonts w:ascii="Roboto" w:hAnsi="Roboto"/>
            </w:rPr>
            <w:t>University of Zagreb, Faculty of Economics &amp; Business, Zagreb – Croatia, 2024</w:t>
          </w:r>
        </w:p>
      </w:tc>
      <w:tc>
        <w:tcPr>
          <w:tcW w:w="4252" w:type="dxa"/>
        </w:tcPr>
        <w:p w14:paraId="6C0EB833" w14:textId="76ACBDB8" w:rsidR="005F1CD7" w:rsidRPr="005F1CD7" w:rsidRDefault="005F1CD7" w:rsidP="005F1CD7">
          <w:pPr>
            <w:pStyle w:val="Footer"/>
            <w:ind w:left="-112" w:right="-108"/>
            <w:jc w:val="right"/>
            <w:rPr>
              <w:rFonts w:ascii="Roboto" w:hAnsi="Roboto"/>
            </w:rPr>
          </w:pPr>
          <w:r w:rsidRPr="005F1CD7">
            <w:rPr>
              <w:rFonts w:ascii="Roboto" w:hAnsi="Roboto"/>
            </w:rPr>
            <w:fldChar w:fldCharType="begin"/>
          </w:r>
          <w:r w:rsidRPr="005F1CD7">
            <w:rPr>
              <w:rFonts w:ascii="Roboto" w:hAnsi="Roboto"/>
            </w:rPr>
            <w:instrText>PAGE   \* MERGEFORMAT</w:instrText>
          </w:r>
          <w:r w:rsidRPr="005F1CD7">
            <w:rPr>
              <w:rFonts w:ascii="Roboto" w:hAnsi="Roboto"/>
            </w:rPr>
            <w:fldChar w:fldCharType="separate"/>
          </w:r>
          <w:r>
            <w:rPr>
              <w:rFonts w:ascii="Roboto" w:hAnsi="Roboto"/>
            </w:rPr>
            <w:t>1</w:t>
          </w:r>
          <w:r w:rsidRPr="005F1CD7">
            <w:rPr>
              <w:rFonts w:ascii="Roboto" w:hAnsi="Roboto"/>
            </w:rPr>
            <w:fldChar w:fldCharType="end"/>
          </w:r>
        </w:p>
      </w:tc>
    </w:tr>
  </w:tbl>
  <w:p w14:paraId="093ADE47" w14:textId="77777777" w:rsidR="0010436D" w:rsidRPr="005F1CD7" w:rsidRDefault="0010436D" w:rsidP="005F1CD7">
    <w:pPr>
      <w:pStyle w:val="Footer"/>
      <w:rPr>
        <w:rFonts w:ascii="Roboto" w:hAnsi="Roboto"/>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AD0034" w14:textId="77777777" w:rsidR="00C322A8" w:rsidRDefault="00C322A8">
      <w:r>
        <w:separator/>
      </w:r>
    </w:p>
  </w:footnote>
  <w:footnote w:type="continuationSeparator" w:id="0">
    <w:p w14:paraId="5F1D1CDC" w14:textId="77777777" w:rsidR="00C322A8" w:rsidRDefault="00C322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threeDEngrave" w:sz="24" w:space="0" w:color="004494"/>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10436D" w:rsidRPr="0010436D" w14:paraId="6BBD108E" w14:textId="77777777" w:rsidTr="0010436D">
      <w:tc>
        <w:tcPr>
          <w:tcW w:w="4530" w:type="dxa"/>
        </w:tcPr>
        <w:p w14:paraId="1B92216D" w14:textId="0EB551AE" w:rsidR="0010436D" w:rsidRPr="0010436D" w:rsidRDefault="0010436D" w:rsidP="0010436D">
          <w:pPr>
            <w:pStyle w:val="Header"/>
            <w:tabs>
              <w:tab w:val="clear" w:pos="9072"/>
              <w:tab w:val="right" w:pos="4320"/>
            </w:tabs>
            <w:ind w:left="-108" w:firstLine="0"/>
            <w:rPr>
              <w:rFonts w:ascii="Roboto" w:hAnsi="Roboto"/>
            </w:rPr>
          </w:pPr>
          <w:r w:rsidRPr="0010436D">
            <w:rPr>
              <w:rFonts w:ascii="Roboto" w:hAnsi="Roboto"/>
            </w:rPr>
            <w:t>Proceedings of the International Scientific Jean Monnet Conference</w:t>
          </w:r>
          <w:r>
            <w:rPr>
              <w:rFonts w:ascii="Roboto" w:hAnsi="Roboto"/>
            </w:rPr>
            <w:t xml:space="preserve"> – </w:t>
          </w:r>
          <w:r w:rsidRPr="0010436D">
            <w:rPr>
              <w:rFonts w:ascii="Roboto" w:hAnsi="Roboto"/>
            </w:rPr>
            <w:t>Advancing EU Values through Education and Research</w:t>
          </w:r>
        </w:p>
      </w:tc>
      <w:tc>
        <w:tcPr>
          <w:tcW w:w="4530" w:type="dxa"/>
        </w:tcPr>
        <w:p w14:paraId="60A29EF3" w14:textId="77777777" w:rsidR="0010436D" w:rsidRDefault="0010436D" w:rsidP="0010436D">
          <w:pPr>
            <w:pStyle w:val="Header"/>
            <w:ind w:firstLine="0"/>
            <w:jc w:val="right"/>
            <w:rPr>
              <w:rFonts w:ascii="Roboto" w:hAnsi="Roboto"/>
            </w:rPr>
          </w:pPr>
          <w:r>
            <w:rPr>
              <w:rFonts w:ascii="Roboto" w:hAnsi="Roboto"/>
            </w:rPr>
            <w:t>ISSN xxx</w:t>
          </w:r>
        </w:p>
        <w:p w14:paraId="50190AB8" w14:textId="14AFB07B" w:rsidR="0010436D" w:rsidRPr="0010436D" w:rsidRDefault="0010436D" w:rsidP="0010436D">
          <w:pPr>
            <w:pStyle w:val="Header"/>
            <w:ind w:firstLine="0"/>
            <w:jc w:val="right"/>
            <w:rPr>
              <w:rFonts w:ascii="Roboto" w:hAnsi="Roboto"/>
            </w:rPr>
          </w:pPr>
          <w:r>
            <w:rPr>
              <w:rFonts w:ascii="Roboto" w:hAnsi="Roboto"/>
            </w:rPr>
            <w:t>DOI xxx</w:t>
          </w:r>
        </w:p>
      </w:tc>
    </w:tr>
  </w:tbl>
  <w:p w14:paraId="36D54979" w14:textId="4452123A" w:rsidR="00CA77A1" w:rsidRPr="0010436D" w:rsidRDefault="00CA77A1" w:rsidP="0010436D">
    <w:pPr>
      <w:pStyle w:val="Header"/>
      <w:ind w:firstLine="0"/>
      <w:rPr>
        <w:rFonts w:ascii="Roboto" w:hAnsi="Robo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DA7978"/>
    <w:multiLevelType w:val="multilevel"/>
    <w:tmpl w:val="94BA0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C31EA4"/>
    <w:multiLevelType w:val="multilevel"/>
    <w:tmpl w:val="4EB01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1B6271"/>
    <w:multiLevelType w:val="multilevel"/>
    <w:tmpl w:val="A83EC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C700B5"/>
    <w:multiLevelType w:val="hybridMultilevel"/>
    <w:tmpl w:val="BF36E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37297A"/>
    <w:multiLevelType w:val="multilevel"/>
    <w:tmpl w:val="D2047B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33F0F27"/>
    <w:multiLevelType w:val="multilevel"/>
    <w:tmpl w:val="0114C8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93104811">
    <w:abstractNumId w:val="2"/>
  </w:num>
  <w:num w:numId="2" w16cid:durableId="1663700987">
    <w:abstractNumId w:val="3"/>
  </w:num>
  <w:num w:numId="3" w16cid:durableId="221598331">
    <w:abstractNumId w:val="0"/>
  </w:num>
  <w:num w:numId="4" w16cid:durableId="585266289">
    <w:abstractNumId w:val="1"/>
  </w:num>
  <w:num w:numId="5" w16cid:durableId="906838010">
    <w:abstractNumId w:val="5"/>
  </w:num>
  <w:num w:numId="6" w16cid:durableId="18309746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zK0MDQ1MDM3NLIwtzBT0lEKTi0uzszPAykwrgUA2ht7ySwAAAA="/>
  </w:docVars>
  <w:rsids>
    <w:rsidRoot w:val="00481489"/>
    <w:rsid w:val="0010436D"/>
    <w:rsid w:val="00171FEE"/>
    <w:rsid w:val="002675F3"/>
    <w:rsid w:val="0027064F"/>
    <w:rsid w:val="0037667E"/>
    <w:rsid w:val="003E22FF"/>
    <w:rsid w:val="003F7385"/>
    <w:rsid w:val="00400500"/>
    <w:rsid w:val="00452296"/>
    <w:rsid w:val="0046624B"/>
    <w:rsid w:val="00470066"/>
    <w:rsid w:val="00481489"/>
    <w:rsid w:val="004B2CA6"/>
    <w:rsid w:val="004E2305"/>
    <w:rsid w:val="0050740C"/>
    <w:rsid w:val="00510726"/>
    <w:rsid w:val="00530E1A"/>
    <w:rsid w:val="00551663"/>
    <w:rsid w:val="00576470"/>
    <w:rsid w:val="005B502B"/>
    <w:rsid w:val="005F09B2"/>
    <w:rsid w:val="005F1CD7"/>
    <w:rsid w:val="00615ADE"/>
    <w:rsid w:val="00742EC7"/>
    <w:rsid w:val="007838D6"/>
    <w:rsid w:val="00855013"/>
    <w:rsid w:val="00915FAC"/>
    <w:rsid w:val="00922860"/>
    <w:rsid w:val="009E15B2"/>
    <w:rsid w:val="00A06139"/>
    <w:rsid w:val="00A4295B"/>
    <w:rsid w:val="00AA42A2"/>
    <w:rsid w:val="00AC32A1"/>
    <w:rsid w:val="00B712FB"/>
    <w:rsid w:val="00C14D90"/>
    <w:rsid w:val="00C322A8"/>
    <w:rsid w:val="00C62605"/>
    <w:rsid w:val="00CA77A1"/>
    <w:rsid w:val="00D05F69"/>
    <w:rsid w:val="00D10B68"/>
    <w:rsid w:val="00D77C46"/>
    <w:rsid w:val="00D94625"/>
    <w:rsid w:val="00DD3F12"/>
    <w:rsid w:val="00F3051A"/>
    <w:rsid w:val="00F54AB4"/>
    <w:rsid w:val="00F97D56"/>
    <w:rsid w:val="00FD3C02"/>
    <w:rsid w:val="00FE0CA2"/>
  </w:rsids>
  <m:mathPr>
    <m:mathFont m:val="Cambria Math"/>
    <m:brkBin m:val="before"/>
    <m:brkBinSub m:val="--"/>
    <m:smallFrac m:val="0"/>
    <m:dispDef/>
    <m:lMargin m:val="0"/>
    <m:rMargin m:val="0"/>
    <m:defJc m:val="centerGroup"/>
    <m:wrapIndent m:val="1440"/>
    <m:intLim m:val="subSup"/>
    <m:naryLim m:val="undOvr"/>
  </m:mathPr>
  <w:themeFontLang w:val="hr-H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BDAA85F"/>
  <w15:chartTrackingRefBased/>
  <w15:docId w15:val="{D6F3644A-D9BD-4678-B367-33F9632D0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502B"/>
    <w:pPr>
      <w:spacing w:after="0" w:line="240" w:lineRule="auto"/>
    </w:pPr>
    <w:rPr>
      <w:rFonts w:ascii="Times New Roman" w:eastAsia="Times New Roman" w:hAnsi="Times New Roman" w:cs="Times New Roman"/>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481489"/>
    <w:rPr>
      <w:b/>
      <w:sz w:val="22"/>
    </w:rPr>
  </w:style>
  <w:style w:type="character" w:customStyle="1" w:styleId="BodyText2Char">
    <w:name w:val="Body Text 2 Char"/>
    <w:basedOn w:val="DefaultParagraphFont"/>
    <w:link w:val="BodyText2"/>
    <w:rsid w:val="00481489"/>
    <w:rPr>
      <w:rFonts w:ascii="Times New Roman" w:eastAsia="Times New Roman" w:hAnsi="Times New Roman" w:cs="Times New Roman"/>
      <w:b/>
      <w:szCs w:val="20"/>
    </w:rPr>
  </w:style>
  <w:style w:type="paragraph" w:styleId="BodyText">
    <w:name w:val="Body Text"/>
    <w:basedOn w:val="Normal"/>
    <w:link w:val="BodyTextChar"/>
    <w:rsid w:val="00481489"/>
    <w:pPr>
      <w:jc w:val="both"/>
    </w:pPr>
    <w:rPr>
      <w:sz w:val="20"/>
    </w:rPr>
  </w:style>
  <w:style w:type="character" w:customStyle="1" w:styleId="BodyTextChar">
    <w:name w:val="Body Text Char"/>
    <w:basedOn w:val="DefaultParagraphFont"/>
    <w:link w:val="BodyText"/>
    <w:rsid w:val="00481489"/>
    <w:rPr>
      <w:rFonts w:ascii="Times New Roman" w:eastAsia="Times New Roman" w:hAnsi="Times New Roman" w:cs="Times New Roman"/>
      <w:sz w:val="20"/>
      <w:szCs w:val="20"/>
    </w:rPr>
  </w:style>
  <w:style w:type="paragraph" w:styleId="Header">
    <w:name w:val="header"/>
    <w:basedOn w:val="Normal"/>
    <w:link w:val="HeaderChar"/>
    <w:uiPriority w:val="99"/>
    <w:rsid w:val="00481489"/>
    <w:pPr>
      <w:tabs>
        <w:tab w:val="center" w:pos="4153"/>
        <w:tab w:val="right" w:pos="9072"/>
      </w:tabs>
      <w:ind w:firstLine="567"/>
      <w:jc w:val="both"/>
    </w:pPr>
    <w:rPr>
      <w:sz w:val="18"/>
      <w:lang w:val="en-US"/>
    </w:rPr>
  </w:style>
  <w:style w:type="character" w:customStyle="1" w:styleId="HeaderChar">
    <w:name w:val="Header Char"/>
    <w:basedOn w:val="DefaultParagraphFont"/>
    <w:link w:val="Header"/>
    <w:uiPriority w:val="99"/>
    <w:rsid w:val="00481489"/>
    <w:rPr>
      <w:rFonts w:ascii="Times New Roman" w:eastAsia="Times New Roman" w:hAnsi="Times New Roman" w:cs="Times New Roman"/>
      <w:sz w:val="18"/>
      <w:szCs w:val="20"/>
      <w:lang w:val="en-US"/>
    </w:rPr>
  </w:style>
  <w:style w:type="character" w:styleId="Hyperlink">
    <w:name w:val="Hyperlink"/>
    <w:rsid w:val="00481489"/>
    <w:rPr>
      <w:color w:val="0000FF"/>
      <w:u w:val="single"/>
    </w:rPr>
  </w:style>
  <w:style w:type="paragraph" w:styleId="Title">
    <w:name w:val="Title"/>
    <w:basedOn w:val="Normal"/>
    <w:link w:val="TitleChar"/>
    <w:qFormat/>
    <w:rsid w:val="00481489"/>
    <w:pPr>
      <w:jc w:val="center"/>
    </w:pPr>
    <w:rPr>
      <w:b/>
      <w:sz w:val="32"/>
      <w:szCs w:val="32"/>
      <w:u w:val="single"/>
      <w:lang w:eastAsia="hr-HR"/>
    </w:rPr>
  </w:style>
  <w:style w:type="character" w:customStyle="1" w:styleId="TitleChar">
    <w:name w:val="Title Char"/>
    <w:basedOn w:val="DefaultParagraphFont"/>
    <w:link w:val="Title"/>
    <w:rsid w:val="00481489"/>
    <w:rPr>
      <w:rFonts w:ascii="Times New Roman" w:eastAsia="Times New Roman" w:hAnsi="Times New Roman" w:cs="Times New Roman"/>
      <w:b/>
      <w:sz w:val="32"/>
      <w:szCs w:val="32"/>
      <w:u w:val="single"/>
      <w:lang w:eastAsia="hr-HR"/>
    </w:rPr>
  </w:style>
  <w:style w:type="paragraph" w:styleId="Footer">
    <w:name w:val="footer"/>
    <w:basedOn w:val="Normal"/>
    <w:link w:val="FooterChar"/>
    <w:uiPriority w:val="99"/>
    <w:unhideWhenUsed/>
    <w:rsid w:val="0010436D"/>
    <w:pPr>
      <w:tabs>
        <w:tab w:val="center" w:pos="4536"/>
        <w:tab w:val="right" w:pos="9072"/>
      </w:tabs>
    </w:pPr>
  </w:style>
  <w:style w:type="character" w:customStyle="1" w:styleId="FooterChar">
    <w:name w:val="Footer Char"/>
    <w:basedOn w:val="DefaultParagraphFont"/>
    <w:link w:val="Footer"/>
    <w:uiPriority w:val="99"/>
    <w:rsid w:val="0010436D"/>
    <w:rPr>
      <w:rFonts w:ascii="Times New Roman" w:eastAsia="Times New Roman" w:hAnsi="Times New Roman" w:cs="Times New Roman"/>
      <w:sz w:val="24"/>
      <w:szCs w:val="20"/>
    </w:rPr>
  </w:style>
  <w:style w:type="table" w:styleId="TableGrid">
    <w:name w:val="Table Grid"/>
    <w:basedOn w:val="TableNormal"/>
    <w:uiPriority w:val="39"/>
    <w:rsid w:val="001043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F1CD7"/>
    <w:rPr>
      <w:color w:val="954F72" w:themeColor="followedHyperlink"/>
      <w:u w:val="single"/>
    </w:rPr>
  </w:style>
  <w:style w:type="character" w:styleId="UnresolvedMention">
    <w:name w:val="Unresolved Mention"/>
    <w:basedOn w:val="DefaultParagraphFont"/>
    <w:uiPriority w:val="99"/>
    <w:semiHidden/>
    <w:unhideWhenUsed/>
    <w:rsid w:val="005F1CD7"/>
    <w:rPr>
      <w:color w:val="605E5C"/>
      <w:shd w:val="clear" w:color="auto" w:fill="E1DFDD"/>
    </w:rPr>
  </w:style>
  <w:style w:type="table" w:styleId="GridTable4-Accent1">
    <w:name w:val="Grid Table 4 Accent 1"/>
    <w:basedOn w:val="TableNormal"/>
    <w:uiPriority w:val="49"/>
    <w:rsid w:val="004B2CA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5Dark-Accent1">
    <w:name w:val="Grid Table 5 Dark Accent 1"/>
    <w:basedOn w:val="TableNormal"/>
    <w:uiPriority w:val="50"/>
    <w:rsid w:val="004B2CA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1Light-Accent1">
    <w:name w:val="Grid Table 1 Light Accent 1"/>
    <w:basedOn w:val="TableNormal"/>
    <w:uiPriority w:val="46"/>
    <w:rsid w:val="004B2CA6"/>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D77C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047763">
      <w:bodyDiv w:val="1"/>
      <w:marLeft w:val="0"/>
      <w:marRight w:val="0"/>
      <w:marTop w:val="0"/>
      <w:marBottom w:val="0"/>
      <w:divBdr>
        <w:top w:val="none" w:sz="0" w:space="0" w:color="auto"/>
        <w:left w:val="none" w:sz="0" w:space="0" w:color="auto"/>
        <w:bottom w:val="none" w:sz="0" w:space="0" w:color="auto"/>
        <w:right w:val="none" w:sz="0" w:space="0" w:color="auto"/>
      </w:divBdr>
    </w:div>
    <w:div w:id="326637673">
      <w:bodyDiv w:val="1"/>
      <w:marLeft w:val="0"/>
      <w:marRight w:val="0"/>
      <w:marTop w:val="0"/>
      <w:marBottom w:val="0"/>
      <w:divBdr>
        <w:top w:val="none" w:sz="0" w:space="0" w:color="auto"/>
        <w:left w:val="none" w:sz="0" w:space="0" w:color="auto"/>
        <w:bottom w:val="none" w:sz="0" w:space="0" w:color="auto"/>
        <w:right w:val="none" w:sz="0" w:space="0" w:color="auto"/>
      </w:divBdr>
    </w:div>
    <w:div w:id="649599366">
      <w:bodyDiv w:val="1"/>
      <w:marLeft w:val="0"/>
      <w:marRight w:val="0"/>
      <w:marTop w:val="0"/>
      <w:marBottom w:val="0"/>
      <w:divBdr>
        <w:top w:val="none" w:sz="0" w:space="0" w:color="auto"/>
        <w:left w:val="none" w:sz="0" w:space="0" w:color="auto"/>
        <w:bottom w:val="none" w:sz="0" w:space="0" w:color="auto"/>
        <w:right w:val="none" w:sz="0" w:space="0" w:color="auto"/>
      </w:divBdr>
    </w:div>
    <w:div w:id="830371195">
      <w:bodyDiv w:val="1"/>
      <w:marLeft w:val="0"/>
      <w:marRight w:val="0"/>
      <w:marTop w:val="0"/>
      <w:marBottom w:val="0"/>
      <w:divBdr>
        <w:top w:val="none" w:sz="0" w:space="0" w:color="auto"/>
        <w:left w:val="none" w:sz="0" w:space="0" w:color="auto"/>
        <w:bottom w:val="none" w:sz="0" w:space="0" w:color="auto"/>
        <w:right w:val="none" w:sz="0" w:space="0" w:color="auto"/>
      </w:divBdr>
      <w:divsChild>
        <w:div w:id="1439057356">
          <w:marLeft w:val="0"/>
          <w:marRight w:val="0"/>
          <w:marTop w:val="0"/>
          <w:marBottom w:val="0"/>
          <w:divBdr>
            <w:top w:val="none" w:sz="0" w:space="0" w:color="auto"/>
            <w:left w:val="none" w:sz="0" w:space="0" w:color="auto"/>
            <w:bottom w:val="none" w:sz="0" w:space="0" w:color="auto"/>
            <w:right w:val="none" w:sz="0" w:space="0" w:color="auto"/>
          </w:divBdr>
          <w:divsChild>
            <w:div w:id="1406150838">
              <w:marLeft w:val="0"/>
              <w:marRight w:val="0"/>
              <w:marTop w:val="0"/>
              <w:marBottom w:val="0"/>
              <w:divBdr>
                <w:top w:val="none" w:sz="0" w:space="0" w:color="auto"/>
                <w:left w:val="none" w:sz="0" w:space="0" w:color="auto"/>
                <w:bottom w:val="none" w:sz="0" w:space="0" w:color="auto"/>
                <w:right w:val="none" w:sz="0" w:space="0" w:color="auto"/>
              </w:divBdr>
              <w:divsChild>
                <w:div w:id="1449809378">
                  <w:marLeft w:val="0"/>
                  <w:marRight w:val="0"/>
                  <w:marTop w:val="0"/>
                  <w:marBottom w:val="0"/>
                  <w:divBdr>
                    <w:top w:val="none" w:sz="0" w:space="0" w:color="auto"/>
                    <w:left w:val="none" w:sz="0" w:space="0" w:color="auto"/>
                    <w:bottom w:val="none" w:sz="0" w:space="0" w:color="auto"/>
                    <w:right w:val="none" w:sz="0" w:space="0" w:color="auto"/>
                  </w:divBdr>
                  <w:divsChild>
                    <w:div w:id="307444439">
                      <w:marLeft w:val="0"/>
                      <w:marRight w:val="0"/>
                      <w:marTop w:val="0"/>
                      <w:marBottom w:val="0"/>
                      <w:divBdr>
                        <w:top w:val="none" w:sz="0" w:space="0" w:color="auto"/>
                        <w:left w:val="none" w:sz="0" w:space="0" w:color="auto"/>
                        <w:bottom w:val="none" w:sz="0" w:space="0" w:color="auto"/>
                        <w:right w:val="none" w:sz="0" w:space="0" w:color="auto"/>
                      </w:divBdr>
                      <w:divsChild>
                        <w:div w:id="97793891">
                          <w:marLeft w:val="0"/>
                          <w:marRight w:val="0"/>
                          <w:marTop w:val="0"/>
                          <w:marBottom w:val="0"/>
                          <w:divBdr>
                            <w:top w:val="none" w:sz="0" w:space="0" w:color="auto"/>
                            <w:left w:val="none" w:sz="0" w:space="0" w:color="auto"/>
                            <w:bottom w:val="none" w:sz="0" w:space="0" w:color="auto"/>
                            <w:right w:val="none" w:sz="0" w:space="0" w:color="auto"/>
                          </w:divBdr>
                          <w:divsChild>
                            <w:div w:id="39983222">
                              <w:marLeft w:val="0"/>
                              <w:marRight w:val="0"/>
                              <w:marTop w:val="0"/>
                              <w:marBottom w:val="0"/>
                              <w:divBdr>
                                <w:top w:val="none" w:sz="0" w:space="0" w:color="auto"/>
                                <w:left w:val="none" w:sz="0" w:space="0" w:color="auto"/>
                                <w:bottom w:val="none" w:sz="0" w:space="0" w:color="auto"/>
                                <w:right w:val="none" w:sz="0" w:space="0" w:color="auto"/>
                              </w:divBdr>
                              <w:divsChild>
                                <w:div w:id="481628615">
                                  <w:marLeft w:val="0"/>
                                  <w:marRight w:val="0"/>
                                  <w:marTop w:val="0"/>
                                  <w:marBottom w:val="0"/>
                                  <w:divBdr>
                                    <w:top w:val="none" w:sz="0" w:space="0" w:color="auto"/>
                                    <w:left w:val="none" w:sz="0" w:space="0" w:color="auto"/>
                                    <w:bottom w:val="none" w:sz="0" w:space="0" w:color="auto"/>
                                    <w:right w:val="none" w:sz="0" w:space="0" w:color="auto"/>
                                  </w:divBdr>
                                  <w:divsChild>
                                    <w:div w:id="95297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8603063">
                          <w:marLeft w:val="0"/>
                          <w:marRight w:val="0"/>
                          <w:marTop w:val="0"/>
                          <w:marBottom w:val="0"/>
                          <w:divBdr>
                            <w:top w:val="none" w:sz="0" w:space="0" w:color="auto"/>
                            <w:left w:val="none" w:sz="0" w:space="0" w:color="auto"/>
                            <w:bottom w:val="none" w:sz="0" w:space="0" w:color="auto"/>
                            <w:right w:val="none" w:sz="0" w:space="0" w:color="auto"/>
                          </w:divBdr>
                          <w:divsChild>
                            <w:div w:id="309486623">
                              <w:marLeft w:val="0"/>
                              <w:marRight w:val="0"/>
                              <w:marTop w:val="0"/>
                              <w:marBottom w:val="0"/>
                              <w:divBdr>
                                <w:top w:val="none" w:sz="0" w:space="0" w:color="auto"/>
                                <w:left w:val="none" w:sz="0" w:space="0" w:color="auto"/>
                                <w:bottom w:val="none" w:sz="0" w:space="0" w:color="auto"/>
                                <w:right w:val="none" w:sz="0" w:space="0" w:color="auto"/>
                              </w:divBdr>
                              <w:divsChild>
                                <w:div w:id="1725445261">
                                  <w:marLeft w:val="0"/>
                                  <w:marRight w:val="0"/>
                                  <w:marTop w:val="0"/>
                                  <w:marBottom w:val="0"/>
                                  <w:divBdr>
                                    <w:top w:val="none" w:sz="0" w:space="0" w:color="auto"/>
                                    <w:left w:val="none" w:sz="0" w:space="0" w:color="auto"/>
                                    <w:bottom w:val="none" w:sz="0" w:space="0" w:color="auto"/>
                                    <w:right w:val="none" w:sz="0" w:space="0" w:color="auto"/>
                                  </w:divBdr>
                                  <w:divsChild>
                                    <w:div w:id="1536772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6051797">
          <w:marLeft w:val="0"/>
          <w:marRight w:val="0"/>
          <w:marTop w:val="0"/>
          <w:marBottom w:val="0"/>
          <w:divBdr>
            <w:top w:val="none" w:sz="0" w:space="0" w:color="auto"/>
            <w:left w:val="none" w:sz="0" w:space="0" w:color="auto"/>
            <w:bottom w:val="none" w:sz="0" w:space="0" w:color="auto"/>
            <w:right w:val="none" w:sz="0" w:space="0" w:color="auto"/>
          </w:divBdr>
          <w:divsChild>
            <w:div w:id="1166868695">
              <w:marLeft w:val="0"/>
              <w:marRight w:val="0"/>
              <w:marTop w:val="0"/>
              <w:marBottom w:val="0"/>
              <w:divBdr>
                <w:top w:val="none" w:sz="0" w:space="0" w:color="auto"/>
                <w:left w:val="none" w:sz="0" w:space="0" w:color="auto"/>
                <w:bottom w:val="none" w:sz="0" w:space="0" w:color="auto"/>
                <w:right w:val="none" w:sz="0" w:space="0" w:color="auto"/>
              </w:divBdr>
              <w:divsChild>
                <w:div w:id="858542905">
                  <w:marLeft w:val="0"/>
                  <w:marRight w:val="0"/>
                  <w:marTop w:val="0"/>
                  <w:marBottom w:val="0"/>
                  <w:divBdr>
                    <w:top w:val="none" w:sz="0" w:space="0" w:color="auto"/>
                    <w:left w:val="none" w:sz="0" w:space="0" w:color="auto"/>
                    <w:bottom w:val="none" w:sz="0" w:space="0" w:color="auto"/>
                    <w:right w:val="none" w:sz="0" w:space="0" w:color="auto"/>
                  </w:divBdr>
                  <w:divsChild>
                    <w:div w:id="2050497135">
                      <w:marLeft w:val="0"/>
                      <w:marRight w:val="0"/>
                      <w:marTop w:val="0"/>
                      <w:marBottom w:val="0"/>
                      <w:divBdr>
                        <w:top w:val="none" w:sz="0" w:space="0" w:color="auto"/>
                        <w:left w:val="none" w:sz="0" w:space="0" w:color="auto"/>
                        <w:bottom w:val="none" w:sz="0" w:space="0" w:color="auto"/>
                        <w:right w:val="none" w:sz="0" w:space="0" w:color="auto"/>
                      </w:divBdr>
                      <w:divsChild>
                        <w:div w:id="1455177582">
                          <w:marLeft w:val="0"/>
                          <w:marRight w:val="0"/>
                          <w:marTop w:val="0"/>
                          <w:marBottom w:val="0"/>
                          <w:divBdr>
                            <w:top w:val="none" w:sz="0" w:space="0" w:color="auto"/>
                            <w:left w:val="none" w:sz="0" w:space="0" w:color="auto"/>
                            <w:bottom w:val="none" w:sz="0" w:space="0" w:color="auto"/>
                            <w:right w:val="none" w:sz="0" w:space="0" w:color="auto"/>
                          </w:divBdr>
                          <w:divsChild>
                            <w:div w:id="419839660">
                              <w:marLeft w:val="0"/>
                              <w:marRight w:val="0"/>
                              <w:marTop w:val="0"/>
                              <w:marBottom w:val="0"/>
                              <w:divBdr>
                                <w:top w:val="none" w:sz="0" w:space="0" w:color="auto"/>
                                <w:left w:val="none" w:sz="0" w:space="0" w:color="auto"/>
                                <w:bottom w:val="none" w:sz="0" w:space="0" w:color="auto"/>
                                <w:right w:val="none" w:sz="0" w:space="0" w:color="auto"/>
                              </w:divBdr>
                              <w:divsChild>
                                <w:div w:id="645552618">
                                  <w:marLeft w:val="0"/>
                                  <w:marRight w:val="0"/>
                                  <w:marTop w:val="0"/>
                                  <w:marBottom w:val="0"/>
                                  <w:divBdr>
                                    <w:top w:val="none" w:sz="0" w:space="0" w:color="auto"/>
                                    <w:left w:val="none" w:sz="0" w:space="0" w:color="auto"/>
                                    <w:bottom w:val="none" w:sz="0" w:space="0" w:color="auto"/>
                                    <w:right w:val="none" w:sz="0" w:space="0" w:color="auto"/>
                                  </w:divBdr>
                                  <w:divsChild>
                                    <w:div w:id="1884902457">
                                      <w:marLeft w:val="0"/>
                                      <w:marRight w:val="0"/>
                                      <w:marTop w:val="0"/>
                                      <w:marBottom w:val="0"/>
                                      <w:divBdr>
                                        <w:top w:val="none" w:sz="0" w:space="0" w:color="auto"/>
                                        <w:left w:val="none" w:sz="0" w:space="0" w:color="auto"/>
                                        <w:bottom w:val="none" w:sz="0" w:space="0" w:color="auto"/>
                                        <w:right w:val="none" w:sz="0" w:space="0" w:color="auto"/>
                                      </w:divBdr>
                                      <w:divsChild>
                                        <w:div w:id="93868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0791005">
          <w:marLeft w:val="0"/>
          <w:marRight w:val="0"/>
          <w:marTop w:val="0"/>
          <w:marBottom w:val="0"/>
          <w:divBdr>
            <w:top w:val="none" w:sz="0" w:space="0" w:color="auto"/>
            <w:left w:val="none" w:sz="0" w:space="0" w:color="auto"/>
            <w:bottom w:val="none" w:sz="0" w:space="0" w:color="auto"/>
            <w:right w:val="none" w:sz="0" w:space="0" w:color="auto"/>
          </w:divBdr>
          <w:divsChild>
            <w:div w:id="1981643851">
              <w:marLeft w:val="0"/>
              <w:marRight w:val="0"/>
              <w:marTop w:val="0"/>
              <w:marBottom w:val="0"/>
              <w:divBdr>
                <w:top w:val="none" w:sz="0" w:space="0" w:color="auto"/>
                <w:left w:val="none" w:sz="0" w:space="0" w:color="auto"/>
                <w:bottom w:val="none" w:sz="0" w:space="0" w:color="auto"/>
                <w:right w:val="none" w:sz="0" w:space="0" w:color="auto"/>
              </w:divBdr>
              <w:divsChild>
                <w:div w:id="1745682864">
                  <w:marLeft w:val="0"/>
                  <w:marRight w:val="0"/>
                  <w:marTop w:val="0"/>
                  <w:marBottom w:val="0"/>
                  <w:divBdr>
                    <w:top w:val="none" w:sz="0" w:space="0" w:color="auto"/>
                    <w:left w:val="none" w:sz="0" w:space="0" w:color="auto"/>
                    <w:bottom w:val="none" w:sz="0" w:space="0" w:color="auto"/>
                    <w:right w:val="none" w:sz="0" w:space="0" w:color="auto"/>
                  </w:divBdr>
                  <w:divsChild>
                    <w:div w:id="1968507377">
                      <w:marLeft w:val="0"/>
                      <w:marRight w:val="0"/>
                      <w:marTop w:val="0"/>
                      <w:marBottom w:val="0"/>
                      <w:divBdr>
                        <w:top w:val="none" w:sz="0" w:space="0" w:color="auto"/>
                        <w:left w:val="none" w:sz="0" w:space="0" w:color="auto"/>
                        <w:bottom w:val="none" w:sz="0" w:space="0" w:color="auto"/>
                        <w:right w:val="none" w:sz="0" w:space="0" w:color="auto"/>
                      </w:divBdr>
                      <w:divsChild>
                        <w:div w:id="2088183260">
                          <w:marLeft w:val="0"/>
                          <w:marRight w:val="0"/>
                          <w:marTop w:val="0"/>
                          <w:marBottom w:val="0"/>
                          <w:divBdr>
                            <w:top w:val="none" w:sz="0" w:space="0" w:color="auto"/>
                            <w:left w:val="none" w:sz="0" w:space="0" w:color="auto"/>
                            <w:bottom w:val="none" w:sz="0" w:space="0" w:color="auto"/>
                            <w:right w:val="none" w:sz="0" w:space="0" w:color="auto"/>
                          </w:divBdr>
                          <w:divsChild>
                            <w:div w:id="1587574692">
                              <w:marLeft w:val="0"/>
                              <w:marRight w:val="0"/>
                              <w:marTop w:val="0"/>
                              <w:marBottom w:val="0"/>
                              <w:divBdr>
                                <w:top w:val="none" w:sz="0" w:space="0" w:color="auto"/>
                                <w:left w:val="none" w:sz="0" w:space="0" w:color="auto"/>
                                <w:bottom w:val="none" w:sz="0" w:space="0" w:color="auto"/>
                                <w:right w:val="none" w:sz="0" w:space="0" w:color="auto"/>
                              </w:divBdr>
                              <w:divsChild>
                                <w:div w:id="1177772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422672">
                  <w:marLeft w:val="0"/>
                  <w:marRight w:val="0"/>
                  <w:marTop w:val="0"/>
                  <w:marBottom w:val="0"/>
                  <w:divBdr>
                    <w:top w:val="none" w:sz="0" w:space="0" w:color="auto"/>
                    <w:left w:val="none" w:sz="0" w:space="0" w:color="auto"/>
                    <w:bottom w:val="none" w:sz="0" w:space="0" w:color="auto"/>
                    <w:right w:val="none" w:sz="0" w:space="0" w:color="auto"/>
                  </w:divBdr>
                  <w:divsChild>
                    <w:div w:id="2030835535">
                      <w:marLeft w:val="0"/>
                      <w:marRight w:val="0"/>
                      <w:marTop w:val="0"/>
                      <w:marBottom w:val="0"/>
                      <w:divBdr>
                        <w:top w:val="none" w:sz="0" w:space="0" w:color="auto"/>
                        <w:left w:val="none" w:sz="0" w:space="0" w:color="auto"/>
                        <w:bottom w:val="none" w:sz="0" w:space="0" w:color="auto"/>
                        <w:right w:val="none" w:sz="0" w:space="0" w:color="auto"/>
                      </w:divBdr>
                      <w:divsChild>
                        <w:div w:id="1000305595">
                          <w:marLeft w:val="0"/>
                          <w:marRight w:val="0"/>
                          <w:marTop w:val="0"/>
                          <w:marBottom w:val="0"/>
                          <w:divBdr>
                            <w:top w:val="none" w:sz="0" w:space="0" w:color="auto"/>
                            <w:left w:val="none" w:sz="0" w:space="0" w:color="auto"/>
                            <w:bottom w:val="none" w:sz="0" w:space="0" w:color="auto"/>
                            <w:right w:val="none" w:sz="0" w:space="0" w:color="auto"/>
                          </w:divBdr>
                          <w:divsChild>
                            <w:div w:id="115762028">
                              <w:marLeft w:val="0"/>
                              <w:marRight w:val="0"/>
                              <w:marTop w:val="0"/>
                              <w:marBottom w:val="0"/>
                              <w:divBdr>
                                <w:top w:val="none" w:sz="0" w:space="0" w:color="auto"/>
                                <w:left w:val="none" w:sz="0" w:space="0" w:color="auto"/>
                                <w:bottom w:val="none" w:sz="0" w:space="0" w:color="auto"/>
                                <w:right w:val="none" w:sz="0" w:space="0" w:color="auto"/>
                              </w:divBdr>
                              <w:divsChild>
                                <w:div w:id="1741637624">
                                  <w:marLeft w:val="0"/>
                                  <w:marRight w:val="0"/>
                                  <w:marTop w:val="0"/>
                                  <w:marBottom w:val="0"/>
                                  <w:divBdr>
                                    <w:top w:val="none" w:sz="0" w:space="0" w:color="auto"/>
                                    <w:left w:val="none" w:sz="0" w:space="0" w:color="auto"/>
                                    <w:bottom w:val="none" w:sz="0" w:space="0" w:color="auto"/>
                                    <w:right w:val="none" w:sz="0" w:space="0" w:color="auto"/>
                                  </w:divBdr>
                                  <w:divsChild>
                                    <w:div w:id="1124348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8581560">
      <w:bodyDiv w:val="1"/>
      <w:marLeft w:val="0"/>
      <w:marRight w:val="0"/>
      <w:marTop w:val="0"/>
      <w:marBottom w:val="0"/>
      <w:divBdr>
        <w:top w:val="none" w:sz="0" w:space="0" w:color="auto"/>
        <w:left w:val="none" w:sz="0" w:space="0" w:color="auto"/>
        <w:bottom w:val="none" w:sz="0" w:space="0" w:color="auto"/>
        <w:right w:val="none" w:sz="0" w:space="0" w:color="auto"/>
      </w:divBdr>
    </w:div>
    <w:div w:id="1076975542">
      <w:bodyDiv w:val="1"/>
      <w:marLeft w:val="0"/>
      <w:marRight w:val="0"/>
      <w:marTop w:val="0"/>
      <w:marBottom w:val="0"/>
      <w:divBdr>
        <w:top w:val="none" w:sz="0" w:space="0" w:color="auto"/>
        <w:left w:val="none" w:sz="0" w:space="0" w:color="auto"/>
        <w:bottom w:val="none" w:sz="0" w:space="0" w:color="auto"/>
        <w:right w:val="none" w:sz="0" w:space="0" w:color="auto"/>
      </w:divBdr>
    </w:div>
    <w:div w:id="1231774402">
      <w:bodyDiv w:val="1"/>
      <w:marLeft w:val="0"/>
      <w:marRight w:val="0"/>
      <w:marTop w:val="0"/>
      <w:marBottom w:val="0"/>
      <w:divBdr>
        <w:top w:val="none" w:sz="0" w:space="0" w:color="auto"/>
        <w:left w:val="none" w:sz="0" w:space="0" w:color="auto"/>
        <w:bottom w:val="none" w:sz="0" w:space="0" w:color="auto"/>
        <w:right w:val="none" w:sz="0" w:space="0" w:color="auto"/>
      </w:divBdr>
    </w:div>
    <w:div w:id="1478452229">
      <w:bodyDiv w:val="1"/>
      <w:marLeft w:val="0"/>
      <w:marRight w:val="0"/>
      <w:marTop w:val="0"/>
      <w:marBottom w:val="0"/>
      <w:divBdr>
        <w:top w:val="none" w:sz="0" w:space="0" w:color="auto"/>
        <w:left w:val="none" w:sz="0" w:space="0" w:color="auto"/>
        <w:bottom w:val="none" w:sz="0" w:space="0" w:color="auto"/>
        <w:right w:val="none" w:sz="0" w:space="0" w:color="auto"/>
      </w:divBdr>
    </w:div>
    <w:div w:id="1959674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1509/jmr.15.043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TotalTime>
  <Pages>13</Pages>
  <Words>5249</Words>
  <Characters>29925</Characters>
  <Application>Microsoft Office Word</Application>
  <DocSecurity>0</DocSecurity>
  <Lines>249</Lines>
  <Paragraphs>70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35104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dc:creator>
  <cp:keywords/>
  <dc:description/>
  <cp:lastModifiedBy>Martin Kiselicki</cp:lastModifiedBy>
  <cp:revision>12</cp:revision>
  <dcterms:created xsi:type="dcterms:W3CDTF">2024-10-13T15:39:00Z</dcterms:created>
  <dcterms:modified xsi:type="dcterms:W3CDTF">2024-11-10T18:03:00Z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5c15adc8-9a75-42a2-a189-2d65af29863d</vt:lpwstr>
  </property>
</Properties>
</file>