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EC8080" w14:textId="77777777" w:rsidR="00A30A88" w:rsidRDefault="00000000">
      <w:pPr>
        <w:pStyle w:val="MdHeading1"/>
      </w:pPr>
      <w:r>
        <w:t>AI Readiness in Educational Institutions: A Policy-Aligned Framework for Strategy, Governance, and Responsible Adoption</w:t>
      </w:r>
    </w:p>
    <w:p w14:paraId="540A97D9" w14:textId="1655E39B" w:rsidR="00A30A88" w:rsidRDefault="008B433D">
      <w:pPr>
        <w:pStyle w:val="MdParagraph"/>
      </w:pPr>
      <w:r>
        <w:t>Martin Kiselicki</w:t>
      </w:r>
      <w:r w:rsidR="0072594B">
        <w:t>, PhD</w:t>
      </w:r>
    </w:p>
    <w:p w14:paraId="0543E13C" w14:textId="128EBACD" w:rsidR="008B433D" w:rsidRDefault="008B433D">
      <w:pPr>
        <w:pStyle w:val="MdParagraph"/>
      </w:pPr>
      <w:r>
        <w:t>Dimitar Jovevski</w:t>
      </w:r>
      <w:r w:rsidR="0072594B">
        <w:t>, PhD</w:t>
      </w:r>
    </w:p>
    <w:p w14:paraId="24211A9B" w14:textId="617AF92C" w:rsidR="0072594B" w:rsidRDefault="0072594B">
      <w:pPr>
        <w:pStyle w:val="MdParagraph"/>
      </w:pPr>
      <w:r>
        <w:t>Tea Josimovska, MSc</w:t>
      </w:r>
    </w:p>
    <w:p w14:paraId="35704882" w14:textId="77777777" w:rsidR="00A30A88" w:rsidRDefault="00A30A88">
      <w:pPr>
        <w:pStyle w:val="MdSpace"/>
        <w:spacing w:after="60"/>
      </w:pPr>
    </w:p>
    <w:p w14:paraId="52400D99" w14:textId="77777777" w:rsidR="00A30A88" w:rsidRDefault="00A30A88">
      <w:pPr>
        <w:pStyle w:val="MdSpace"/>
        <w:spacing w:after="60"/>
      </w:pPr>
    </w:p>
    <w:p w14:paraId="7E569207" w14:textId="77777777" w:rsidR="00A30A88" w:rsidRDefault="00000000">
      <w:pPr>
        <w:pStyle w:val="MdHeading2"/>
      </w:pPr>
      <w:r>
        <w:t>Abstract</w:t>
      </w:r>
    </w:p>
    <w:p w14:paraId="5A2D0283" w14:textId="77777777" w:rsidR="00A30A88" w:rsidRDefault="00000000" w:rsidP="00976CD2">
      <w:pPr>
        <w:pStyle w:val="MdParagraph"/>
        <w:jc w:val="both"/>
      </w:pPr>
      <w:r>
        <w:t>This paper presents a policy-aligned framework for assessing and enhancing AI readiness in educational institutions. Drawing on secondary research and existing international standards, it integrates strategic, governance, and ethical dimensions to guide responsible AI adoption across teaching, research, and administration. The framework aligns institutional capabilities with key policy references, including the EU AI Act, OECD AI Principles, and UNESCO's recommendations for education and AI. It identifies core domains such as strategy formulation, governance structures, workforce capability, data management, and ethical compliance, proposing measurable indicators for each. The study offers an actionable roadmap for universities and ministries to evaluate their current maturity, close capability gaps, and ensure trustworthy, transparent, and policy-compliant implementation of artificial intelligence in education.</w:t>
      </w:r>
    </w:p>
    <w:p w14:paraId="0BC6520E" w14:textId="77777777" w:rsidR="00A30A88" w:rsidRDefault="00A30A88">
      <w:pPr>
        <w:pStyle w:val="MdSpace"/>
        <w:spacing w:after="60"/>
      </w:pPr>
    </w:p>
    <w:p w14:paraId="52469D3B" w14:textId="77777777" w:rsidR="00A30A88" w:rsidRDefault="00000000">
      <w:pPr>
        <w:pStyle w:val="MdParagraph"/>
      </w:pPr>
      <w:r>
        <w:rPr>
          <w:rStyle w:val="MdStrong"/>
        </w:rPr>
        <w:t>Keywords:</w:t>
      </w:r>
      <w:r>
        <w:t xml:space="preserve"> AI Readiness, Educational Technology, Higher Education Policy, AI Governance, AI Ethics, EU AI Act, OECD AI Principles</w:t>
      </w:r>
    </w:p>
    <w:p w14:paraId="7A0AB879" w14:textId="77777777" w:rsidR="00A30A88" w:rsidRDefault="00A30A88">
      <w:pPr>
        <w:pStyle w:val="MdSpace"/>
        <w:spacing w:after="60"/>
      </w:pPr>
    </w:p>
    <w:p w14:paraId="15668E9D" w14:textId="77777777" w:rsidR="00A30A88" w:rsidRDefault="00A30A88">
      <w:pPr>
        <w:pStyle w:val="MdSpace"/>
        <w:spacing w:after="60"/>
      </w:pPr>
    </w:p>
    <w:p w14:paraId="10D72FEA" w14:textId="77777777" w:rsidR="00976CD2" w:rsidRDefault="00976CD2">
      <w:pPr>
        <w:pStyle w:val="MdSpace"/>
        <w:spacing w:after="60"/>
      </w:pPr>
    </w:p>
    <w:p w14:paraId="3BFEAD49" w14:textId="77777777" w:rsidR="00976CD2" w:rsidRDefault="00976CD2">
      <w:pPr>
        <w:pStyle w:val="MdSpace"/>
        <w:spacing w:after="60"/>
      </w:pPr>
    </w:p>
    <w:p w14:paraId="2E80D10F" w14:textId="77777777" w:rsidR="00976CD2" w:rsidRDefault="00976CD2">
      <w:pPr>
        <w:pStyle w:val="MdSpace"/>
        <w:spacing w:after="60"/>
      </w:pPr>
    </w:p>
    <w:p w14:paraId="3A78CE05" w14:textId="77777777" w:rsidR="00976CD2" w:rsidRDefault="00976CD2">
      <w:pPr>
        <w:pStyle w:val="MdSpace"/>
        <w:spacing w:after="60"/>
      </w:pPr>
    </w:p>
    <w:p w14:paraId="3E26D86E" w14:textId="77777777" w:rsidR="00976CD2" w:rsidRDefault="00976CD2">
      <w:pPr>
        <w:pStyle w:val="MdSpace"/>
        <w:spacing w:after="60"/>
      </w:pPr>
    </w:p>
    <w:p w14:paraId="6EF65F56" w14:textId="77777777" w:rsidR="00976CD2" w:rsidRDefault="00976CD2">
      <w:pPr>
        <w:pStyle w:val="MdSpace"/>
        <w:spacing w:after="60"/>
      </w:pPr>
    </w:p>
    <w:p w14:paraId="2C611C7A" w14:textId="77777777" w:rsidR="00976CD2" w:rsidRDefault="00976CD2">
      <w:pPr>
        <w:pStyle w:val="MdSpace"/>
        <w:spacing w:after="60"/>
      </w:pPr>
    </w:p>
    <w:p w14:paraId="015C57F4" w14:textId="77777777" w:rsidR="00976CD2" w:rsidRDefault="00976CD2">
      <w:pPr>
        <w:pStyle w:val="MdSpace"/>
        <w:spacing w:after="60"/>
      </w:pPr>
    </w:p>
    <w:p w14:paraId="6F94388E" w14:textId="77777777" w:rsidR="00976CD2" w:rsidRDefault="00976CD2">
      <w:pPr>
        <w:pStyle w:val="MdSpace"/>
        <w:spacing w:after="60"/>
      </w:pPr>
    </w:p>
    <w:p w14:paraId="5DEF3968" w14:textId="77777777" w:rsidR="00976CD2" w:rsidRDefault="00976CD2">
      <w:pPr>
        <w:pStyle w:val="MdSpace"/>
        <w:spacing w:after="60"/>
      </w:pPr>
    </w:p>
    <w:p w14:paraId="1473BB90" w14:textId="77777777" w:rsidR="00976CD2" w:rsidRDefault="00976CD2">
      <w:pPr>
        <w:pStyle w:val="MdSpace"/>
        <w:spacing w:after="60"/>
      </w:pPr>
    </w:p>
    <w:p w14:paraId="1315898C" w14:textId="77777777" w:rsidR="00976CD2" w:rsidRDefault="00976CD2">
      <w:pPr>
        <w:pStyle w:val="MdSpace"/>
        <w:spacing w:after="60"/>
      </w:pPr>
    </w:p>
    <w:p w14:paraId="11ACFF98" w14:textId="77777777" w:rsidR="00976CD2" w:rsidRDefault="00976CD2">
      <w:pPr>
        <w:pStyle w:val="MdSpace"/>
        <w:spacing w:after="60"/>
      </w:pPr>
    </w:p>
    <w:p w14:paraId="17E748B0" w14:textId="77777777" w:rsidR="00976CD2" w:rsidRDefault="00976CD2">
      <w:pPr>
        <w:pStyle w:val="MdSpace"/>
        <w:spacing w:after="60"/>
      </w:pPr>
    </w:p>
    <w:p w14:paraId="04EB2023" w14:textId="77777777" w:rsidR="00976CD2" w:rsidRDefault="00976CD2">
      <w:pPr>
        <w:pStyle w:val="MdSpace"/>
        <w:spacing w:after="60"/>
      </w:pPr>
    </w:p>
    <w:p w14:paraId="6D0C1B9E" w14:textId="77777777" w:rsidR="00976CD2" w:rsidRDefault="00976CD2">
      <w:pPr>
        <w:pStyle w:val="MdSpace"/>
        <w:spacing w:after="60"/>
      </w:pPr>
    </w:p>
    <w:p w14:paraId="1B2DA1EF" w14:textId="77777777" w:rsidR="00976CD2" w:rsidRDefault="00976CD2">
      <w:pPr>
        <w:pStyle w:val="MdSpace"/>
        <w:spacing w:after="60"/>
      </w:pPr>
    </w:p>
    <w:p w14:paraId="597BA50B" w14:textId="77777777" w:rsidR="00976CD2" w:rsidRDefault="00976CD2">
      <w:pPr>
        <w:pStyle w:val="MdSpace"/>
        <w:spacing w:after="60"/>
      </w:pPr>
    </w:p>
    <w:p w14:paraId="3CEB6B02" w14:textId="77777777" w:rsidR="00976CD2" w:rsidRDefault="00976CD2">
      <w:pPr>
        <w:pStyle w:val="MdSpace"/>
        <w:spacing w:after="60"/>
      </w:pPr>
    </w:p>
    <w:p w14:paraId="5A6EDCD4" w14:textId="77777777" w:rsidR="00976CD2" w:rsidRDefault="00976CD2">
      <w:pPr>
        <w:pStyle w:val="MdSpace"/>
        <w:spacing w:after="60"/>
      </w:pPr>
    </w:p>
    <w:p w14:paraId="1A83E03F" w14:textId="77777777" w:rsidR="00976CD2" w:rsidRDefault="00976CD2">
      <w:pPr>
        <w:pStyle w:val="MdSpace"/>
        <w:spacing w:after="60"/>
      </w:pPr>
    </w:p>
    <w:p w14:paraId="0AEFA3DF" w14:textId="77777777" w:rsidR="00976CD2" w:rsidRDefault="00976CD2">
      <w:pPr>
        <w:pStyle w:val="MdSpace"/>
        <w:spacing w:after="60"/>
      </w:pPr>
    </w:p>
    <w:p w14:paraId="740014FD" w14:textId="77777777" w:rsidR="00976CD2" w:rsidRDefault="00976CD2">
      <w:pPr>
        <w:pStyle w:val="MdSpace"/>
        <w:spacing w:after="60"/>
      </w:pPr>
    </w:p>
    <w:p w14:paraId="1AFA5675" w14:textId="77777777" w:rsidR="00976CD2" w:rsidRDefault="00976CD2">
      <w:pPr>
        <w:pStyle w:val="MdSpace"/>
        <w:spacing w:after="60"/>
      </w:pPr>
    </w:p>
    <w:p w14:paraId="1C040378" w14:textId="77777777" w:rsidR="00976CD2" w:rsidRDefault="00976CD2">
      <w:pPr>
        <w:pStyle w:val="MdSpace"/>
        <w:spacing w:after="60"/>
      </w:pPr>
    </w:p>
    <w:p w14:paraId="1A79C9D8" w14:textId="77777777" w:rsidR="00A30A88" w:rsidRDefault="00000000">
      <w:pPr>
        <w:pStyle w:val="MdHeading2"/>
      </w:pPr>
      <w:r>
        <w:lastRenderedPageBreak/>
        <w:t>1. Introduction</w:t>
      </w:r>
    </w:p>
    <w:p w14:paraId="58AC2A76" w14:textId="48CFBF8C" w:rsidR="00A30A88" w:rsidRDefault="00000000" w:rsidP="00976CD2">
      <w:pPr>
        <w:pStyle w:val="MdParagraph"/>
        <w:jc w:val="both"/>
      </w:pPr>
      <w:r>
        <w:t>The rapid integration of Artificial Intelligence (AI) into all sectors of society represents a paradigm shift not seen since the dawn of the internet. For educational institutions, AI is not merely an incremental technological advancement but a transformative force with the potential to redefine teaching, research, and administrative functions (Hevner et al., 2004). From personalized learning platforms that adapt to individual student needs to advanced analytical tools that accelerate scientific discovery, the applications of AI promise to enhance efficiency, broaden access, and improve learning outcomes (Peffers et al., 2007; Holmes et al., 2019). Consequently, universities and ministries of education worldwide are facing immense pressure to adopt AI technologies to maintain a competitive edge and prepare students for an AI-driven future (Zawacki-Richter et al., 2019).</w:t>
      </w:r>
    </w:p>
    <w:p w14:paraId="28FB074B" w14:textId="34EE5626" w:rsidR="00A30A88" w:rsidRDefault="00976CD2" w:rsidP="00976CD2">
      <w:pPr>
        <w:pStyle w:val="MdParagraph"/>
        <w:jc w:val="both"/>
      </w:pPr>
      <w:r>
        <w:t xml:space="preserve">The path to successful AI adoption is fraught with complexity. Many institutions, driven by a sense of urgency, risk falling into a pattern of unstructured, ad-hoc implementation. This approach often leads to fragmented systems, wasted resources, and a failure to realize the full potential of the technology. More critically, unstructured adoption creates significant risks related to ethics, data privacy, and regulatory compliance (Baker &amp; Hawn, 2022). Without a comprehensive guiding framework, institutions may inadvertently deploy biased algorithms, misuse sensitive student data, or fail to meet the stringent requirements of emerging legal frameworks governing AI (Tsai et al., 2020; Williamson &amp; Eynon, 2020). This creates a central tension: the immense promise of AI is counterbalanced by the profound practical and ethical challenges of its implementation. To navigate this complex landscape, responsible AI adoption must be grounded in established international policies and principles. Landmark documents such as the </w:t>
      </w:r>
      <w:r w:rsidRPr="00976CD2">
        <w:rPr>
          <w:rStyle w:val="MdStrong"/>
          <w:b w:val="0"/>
          <w:bCs w:val="0"/>
        </w:rPr>
        <w:t>EU AI Act</w:t>
      </w:r>
      <w:r>
        <w:t xml:space="preserve"> (European Commission, 2021), the </w:t>
      </w:r>
      <w:r w:rsidRPr="00976CD2">
        <w:rPr>
          <w:rStyle w:val="MdStrong"/>
          <w:b w:val="0"/>
          <w:bCs w:val="0"/>
        </w:rPr>
        <w:t>OECD AI Principles</w:t>
      </w:r>
      <w:r>
        <w:t xml:space="preserve"> (OECD, 2019), and </w:t>
      </w:r>
      <w:r w:rsidRPr="00976CD2">
        <w:rPr>
          <w:rStyle w:val="MdStrong"/>
          <w:b w:val="0"/>
          <w:bCs w:val="0"/>
        </w:rPr>
        <w:t>UNESCO's Recommendation on the Ethics of Artificial Intelligence</w:t>
      </w:r>
      <w:r>
        <w:t xml:space="preserve"> (UNESCO, 2021) provide a global consensus on the principles of trustworthy, human-centric AI. These policies emphasize the importance of transparency, fairness, accountability, and privacy—principles that must be embedded into the very fabric of an institution's AI strategy. Aligning institutional practices with these authoritative references is no longer optional but essential for ensuring legal compliance and building stakeholder trust.</w:t>
      </w:r>
    </w:p>
    <w:p w14:paraId="415396FF" w14:textId="77777777" w:rsidR="00A30A88" w:rsidRDefault="00000000" w:rsidP="00976CD2">
      <w:pPr>
        <w:pStyle w:val="MdParagraph"/>
        <w:jc w:val="both"/>
      </w:pPr>
      <w:r>
        <w:t xml:space="preserve">This paper argues that a structured, holistic, and policy-aligned approach is necessary to bridge the gap between the potential of AI and the practical realities of its implementation in education. Therefore, the primary objective of this research is to develop and propose a comprehensive </w:t>
      </w:r>
      <w:r w:rsidRPr="00976CD2">
        <w:rPr>
          <w:rStyle w:val="MdStrong"/>
          <w:b w:val="0"/>
          <w:bCs w:val="0"/>
        </w:rPr>
        <w:t>AI Readiness Framework</w:t>
      </w:r>
      <w:r>
        <w:t xml:space="preserve"> specifically designed for educational institutions. This framework provides a structured methodology for assessing institutional maturity across key domains, identifying capability gaps, and creating a strategic roadmap for responsible AI adoption. By integrating the core tenets of international policy into a practical assessment tool, this paper offers a significant contribution to both academic literature and institutional practice, providing a clear path for educational leaders to navigate the complexities of the AI era with confidence and integrity.</w:t>
      </w:r>
    </w:p>
    <w:p w14:paraId="2B743806" w14:textId="77777777" w:rsidR="00A30A88" w:rsidRDefault="00A30A88" w:rsidP="00976CD2">
      <w:pPr>
        <w:pStyle w:val="MdSpace"/>
        <w:spacing w:after="60"/>
        <w:jc w:val="both"/>
      </w:pPr>
    </w:p>
    <w:p w14:paraId="2495FA0D" w14:textId="77777777" w:rsidR="00A30A88" w:rsidRDefault="00000000">
      <w:pPr>
        <w:pStyle w:val="MdHeading2"/>
      </w:pPr>
      <w:r>
        <w:t>2. Literature and Policy Review</w:t>
      </w:r>
    </w:p>
    <w:p w14:paraId="6E91530E" w14:textId="59BDE48D" w:rsidR="00A30A88" w:rsidRPr="00976CD2" w:rsidRDefault="00000000" w:rsidP="00976CD2">
      <w:pPr>
        <w:pStyle w:val="MdParagraph"/>
        <w:jc w:val="both"/>
      </w:pPr>
      <w:r w:rsidRPr="00976CD2">
        <w:t xml:space="preserve">The concept of "readiness" has long been a subject of study in the context of technology adoption. Foundational models such as the </w:t>
      </w:r>
      <w:r w:rsidRPr="00976CD2">
        <w:rPr>
          <w:rStyle w:val="MdStrong"/>
          <w:b w:val="0"/>
          <w:bCs w:val="0"/>
        </w:rPr>
        <w:t>Technology Readiness Index (TRI)</w:t>
      </w:r>
      <w:r w:rsidRPr="00976CD2">
        <w:t xml:space="preserve"> were developed to measure an individual's propensity to embrace and use new technologies, focusing on psychological factors like optimism and innovativeness (Parasuraman, 2000). While useful, these individual-focused models do not adequately capture the organizational complexities of </w:t>
      </w:r>
      <w:r w:rsidRPr="00976CD2">
        <w:lastRenderedPageBreak/>
        <w:t xml:space="preserve">technology integration. At the institutional level, frameworks like the </w:t>
      </w:r>
      <w:r w:rsidRPr="00976CD2">
        <w:rPr>
          <w:rStyle w:val="MdStrong"/>
          <w:b w:val="0"/>
          <w:bCs w:val="0"/>
        </w:rPr>
        <w:t>Capability Maturity Model (CMM)</w:t>
      </w:r>
      <w:r w:rsidRPr="00976CD2">
        <w:t xml:space="preserve"> offer a more structured approach, providing a five-level evolutionary path for an organization to improve its processes from ad-hoc to fully optimized (Paulk et al., 1993). The CMM's staged approach to process improvement has been widely adapted for various domains, including assessing IT governance and data management maturity (Garbin et al., 2022).</w:t>
      </w:r>
    </w:p>
    <w:p w14:paraId="582C32F4" w14:textId="77777777" w:rsidR="00A30A88" w:rsidRPr="00976CD2" w:rsidRDefault="00000000" w:rsidP="00976CD2">
      <w:pPr>
        <w:pStyle w:val="MdParagraph"/>
        <w:jc w:val="both"/>
      </w:pPr>
      <w:r w:rsidRPr="00976CD2">
        <w:t xml:space="preserve">More recently, researchers have begun to develop readiness models specifically for AI. These models often extend the principles of general technology readiness to address the unique challenges of AI, such as data dependency, algorithmic complexity, and ethical considerations (Davenport &amp; </w:t>
      </w:r>
      <w:proofErr w:type="spellStart"/>
      <w:r w:rsidRPr="00976CD2">
        <w:t>Ronanki</w:t>
      </w:r>
      <w:proofErr w:type="spellEnd"/>
      <w:r w:rsidRPr="00976CD2">
        <w:t xml:space="preserve">, 2018; </w:t>
      </w:r>
      <w:proofErr w:type="spellStart"/>
      <w:r w:rsidRPr="00976CD2">
        <w:t>Ransbotham</w:t>
      </w:r>
      <w:proofErr w:type="spellEnd"/>
      <w:r w:rsidRPr="00976CD2">
        <w:t xml:space="preserve"> et al., 2017). For instance, some frameworks propose dimensions such as strategic alignment, data infrastructure, and workforce skills as critical prerequisites for successful AI adoption (Fountaine et al., 2019; Brynjolfsson &amp; McElheran, 2016). While these frameworks provide valuable insights, they often remain at a high level of abstraction or are designed for a general corporate context, lacking the specific focus on the unique mission and operational environment of educational institutions (Barus &amp; </w:t>
      </w:r>
      <w:proofErr w:type="spellStart"/>
      <w:r w:rsidRPr="00976CD2">
        <w:t>Simarmata</w:t>
      </w:r>
      <w:proofErr w:type="spellEnd"/>
      <w:r w:rsidRPr="00976CD2">
        <w:t>, 2025).</w:t>
      </w:r>
    </w:p>
    <w:p w14:paraId="32AB9694" w14:textId="77777777" w:rsidR="00A30A88" w:rsidRDefault="00A30A88">
      <w:pPr>
        <w:pStyle w:val="MdSpace"/>
        <w:spacing w:after="60"/>
      </w:pPr>
    </w:p>
    <w:p w14:paraId="7BBC80BB" w14:textId="3960A61D" w:rsidR="00A30A88" w:rsidRPr="00976CD2" w:rsidRDefault="00000000">
      <w:pPr>
        <w:pStyle w:val="MdHeading3"/>
        <w:rPr>
          <w:sz w:val="24"/>
          <w:szCs w:val="24"/>
        </w:rPr>
      </w:pPr>
      <w:r w:rsidRPr="00976CD2">
        <w:rPr>
          <w:sz w:val="24"/>
          <w:szCs w:val="24"/>
        </w:rPr>
        <w:t>2.</w:t>
      </w:r>
      <w:r w:rsidR="00976CD2" w:rsidRPr="00976CD2">
        <w:rPr>
          <w:sz w:val="24"/>
          <w:szCs w:val="24"/>
        </w:rPr>
        <w:t>1</w:t>
      </w:r>
      <w:r w:rsidRPr="00976CD2">
        <w:rPr>
          <w:sz w:val="24"/>
          <w:szCs w:val="24"/>
        </w:rPr>
        <w:t>. AI in the Educational Context: Opportunities and Challenges</w:t>
      </w:r>
    </w:p>
    <w:p w14:paraId="6140FFC1" w14:textId="0A7B2BC2" w:rsidR="00A30A88" w:rsidRDefault="00000000" w:rsidP="00976CD2">
      <w:pPr>
        <w:pStyle w:val="MdParagraph"/>
        <w:jc w:val="both"/>
      </w:pPr>
      <w:r>
        <w:t xml:space="preserve">The application of AI in education is rapidly expanding, with research highlighting its potential to transform the sector. AI-powered tools are being developed to support personalized learning paths, provide automated feedback and assessment, and free up educators' time by automating administrative tasks (Peffers et al., 2007; </w:t>
      </w:r>
      <w:proofErr w:type="spellStart"/>
      <w:r>
        <w:t>Luckin</w:t>
      </w:r>
      <w:proofErr w:type="spellEnd"/>
      <w:r>
        <w:t xml:space="preserve"> et al., 2016). Intelligent tutoring systems, for example, can adapt to a student's learning pace, while predictive analytics can help identify at-risk students and enable early interventions (Kulik &amp; Fletcher, 2016; Slade &amp; Prinsloo, 2013).</w:t>
      </w:r>
    </w:p>
    <w:p w14:paraId="15A07252" w14:textId="3EAEEF7C" w:rsidR="00A30A88" w:rsidRDefault="00976CD2" w:rsidP="00976CD2">
      <w:pPr>
        <w:pStyle w:val="MdParagraph"/>
        <w:jc w:val="both"/>
      </w:pPr>
      <w:r>
        <w:t xml:space="preserve">The literature also documents significant challenges and risks. A primary concern is the potential for AI algorithms to perpetuate or even amplify existing biases, leading to inequitable outcomes for students from different socioeconomic or demographic backgrounds (Baker &amp; Hawn, 2022; </w:t>
      </w:r>
      <w:proofErr w:type="spellStart"/>
      <w:r>
        <w:t>Memarian</w:t>
      </w:r>
      <w:proofErr w:type="spellEnd"/>
      <w:r>
        <w:t xml:space="preserve"> &amp; </w:t>
      </w:r>
      <w:proofErr w:type="spellStart"/>
      <w:r>
        <w:t>Doleck</w:t>
      </w:r>
      <w:proofErr w:type="spellEnd"/>
      <w:r>
        <w:t>, 2023). Furthermore, the extensive use of student data required for many AI applications raises profound questions about privacy, consent, and data security (Tsai et al., 2020; Regan &amp; Jesse, 2019). The "black box" nature of some advanced AI models also presents a challenge for transparency and accountability, making it difficult for educators and students to understand or question an algorithm's decisions (Braun &amp; Clarke, 2006). These challenges underscore the need for a strong governance and ethical framework to guide the deployment of AI in education.</w:t>
      </w:r>
    </w:p>
    <w:p w14:paraId="474E7A26" w14:textId="77777777" w:rsidR="00A30A88" w:rsidRDefault="00A30A88" w:rsidP="00976CD2">
      <w:pPr>
        <w:pStyle w:val="MdSpace"/>
        <w:spacing w:after="60"/>
        <w:jc w:val="both"/>
      </w:pPr>
    </w:p>
    <w:p w14:paraId="28B0CCC9" w14:textId="3B84FF18" w:rsidR="00A30A88" w:rsidRPr="00976CD2" w:rsidRDefault="00000000">
      <w:pPr>
        <w:pStyle w:val="MdHeading3"/>
        <w:rPr>
          <w:sz w:val="24"/>
          <w:szCs w:val="24"/>
        </w:rPr>
      </w:pPr>
      <w:r w:rsidRPr="00976CD2">
        <w:rPr>
          <w:sz w:val="24"/>
          <w:szCs w:val="24"/>
        </w:rPr>
        <w:t>2.</w:t>
      </w:r>
      <w:r w:rsidR="00976CD2" w:rsidRPr="00976CD2">
        <w:rPr>
          <w:sz w:val="24"/>
          <w:szCs w:val="24"/>
        </w:rPr>
        <w:t>2</w:t>
      </w:r>
      <w:r w:rsidRPr="00976CD2">
        <w:rPr>
          <w:sz w:val="24"/>
          <w:szCs w:val="24"/>
        </w:rPr>
        <w:t>. Analysis of Key International Policy Documents</w:t>
      </w:r>
    </w:p>
    <w:p w14:paraId="084FF4C0" w14:textId="7E6D3187" w:rsidR="00976CD2" w:rsidRDefault="00000000" w:rsidP="00976CD2">
      <w:pPr>
        <w:pStyle w:val="MdParagraph"/>
        <w:jc w:val="both"/>
      </w:pPr>
      <w:r>
        <w:t>The growing societal impact of AI has prompted the development of international policy frameworks aimed at ensuring its responsible and ethical use. Three of the most influential of these are the EU AI Act, the OECD AI Principles, and the UNESCO Recommendation on the Ethics of AI. A systematic analysis of these documents reveals a set of common principles that form the bedrock of trustworthy AI.</w:t>
      </w:r>
    </w:p>
    <w:p w14:paraId="2DA95B62" w14:textId="3E1208B2" w:rsidR="00A30A88" w:rsidRDefault="00000000" w:rsidP="00976CD2">
      <w:pPr>
        <w:pStyle w:val="MdParagraph"/>
        <w:jc w:val="both"/>
      </w:pPr>
      <w:r>
        <w:rPr>
          <w:rStyle w:val="MdStrong"/>
        </w:rPr>
        <w:t>The EU AI Act:</w:t>
      </w:r>
      <w:r>
        <w:t xml:space="preserve"> As the world's first comprehensive legal framework for AI, the EU AI Act introduces a risk-based approach, categorizing AI systems based on their potential for harm (European Commission, 2021). Many educational AI applications, such as those used for scoring exams or determining access to educational institutions, are likely to be classified as </w:t>
      </w:r>
      <w:r>
        <w:lastRenderedPageBreak/>
        <w:t>"high-risk," subjecting them to stringent requirements regarding data quality, transparency, human oversight, and cybersecurity. The Act mandates robust quality management and risk management systems for high-risk AI, creating clear compliance obligations for educational institutions that develop or deploy such systems.</w:t>
      </w:r>
    </w:p>
    <w:p w14:paraId="4EAADA9B" w14:textId="54E469DB" w:rsidR="00A30A88" w:rsidRDefault="00000000" w:rsidP="00976CD2">
      <w:pPr>
        <w:pStyle w:val="MdParagraph"/>
        <w:jc w:val="both"/>
      </w:pPr>
      <w:r>
        <w:rPr>
          <w:rStyle w:val="MdStrong"/>
        </w:rPr>
        <w:t>The OECD AI Principles:</w:t>
      </w:r>
      <w:r>
        <w:t xml:space="preserve"> The OECD has outlined five complementary principles for the responsible stewardship of trustworthy AI: inclusive growth, sustainable development and well-being; human-centered values and fairness; transparency and explainability; robustness, security and safety; and accountability (OECD, 2019). These principles, while non-binding, have been adopted by numerous countries and provide a high-level policy consensus. For education, they emphasize that AI systems should be designed to augment human capabilities and promote fairness, with clear mechanisms for accountability when things go wrong.</w:t>
      </w:r>
    </w:p>
    <w:p w14:paraId="600068AE" w14:textId="26FE7096" w:rsidR="00A30A88" w:rsidRDefault="00000000" w:rsidP="00976CD2">
      <w:pPr>
        <w:pStyle w:val="MdParagraph"/>
        <w:jc w:val="both"/>
      </w:pPr>
      <w:r>
        <w:rPr>
          <w:rStyle w:val="MdStrong"/>
        </w:rPr>
        <w:t>UNESCO's Recommendation on the Ethics of Artificial Intelligence:</w:t>
      </w:r>
      <w:r>
        <w:t xml:space="preserve"> With a specific focus on education, UNESCO's recommendation calls for AI to be used to advance the goals of inclusion and equity (UNESCO, 2021). It stresses the importance of human oversight of AI systems in education and advocates for the use of AI to enhance learning opportunities for all, particularly vulnerable groups. The recommendation also highlights the need for AI literacy among both educators and students, ensuring they have the skills to critically evaluate and interact with AI technologies.</w:t>
      </w:r>
    </w:p>
    <w:p w14:paraId="0ABCCF47" w14:textId="4D8CA0B7" w:rsidR="00A30A88" w:rsidRPr="00976CD2" w:rsidRDefault="00000000">
      <w:pPr>
        <w:pStyle w:val="MdHeading3"/>
        <w:rPr>
          <w:sz w:val="24"/>
          <w:szCs w:val="24"/>
        </w:rPr>
      </w:pPr>
      <w:r w:rsidRPr="00976CD2">
        <w:rPr>
          <w:sz w:val="24"/>
          <w:szCs w:val="24"/>
        </w:rPr>
        <w:t>2.</w:t>
      </w:r>
      <w:r w:rsidR="00976CD2" w:rsidRPr="00976CD2">
        <w:rPr>
          <w:sz w:val="24"/>
          <w:szCs w:val="24"/>
        </w:rPr>
        <w:t>3</w:t>
      </w:r>
      <w:r w:rsidRPr="00976CD2">
        <w:rPr>
          <w:sz w:val="24"/>
          <w:szCs w:val="24"/>
        </w:rPr>
        <w:t>. Identified Research Gap</w:t>
      </w:r>
    </w:p>
    <w:p w14:paraId="4142CC76" w14:textId="0FBD9C3C" w:rsidR="00A30A88" w:rsidRPr="00976CD2" w:rsidRDefault="00000000" w:rsidP="00976CD2">
      <w:pPr>
        <w:pStyle w:val="MdParagraph"/>
        <w:jc w:val="both"/>
        <w:rPr>
          <w:b/>
          <w:bCs/>
        </w:rPr>
      </w:pPr>
      <w:r>
        <w:t xml:space="preserve">A review of the existing literature and policy landscape reveals a clear and pressing research gap. While general technology readiness models exist, they are not tailored to the specific context of education or the unique challenges of AI. Conversely, emerging AI readiness frameworks are often designed for the corporate sector and lack a specific focus on the pedagogical mission and public service obligations of educational institutions. Most importantly, </w:t>
      </w:r>
      <w:r w:rsidRPr="00976CD2">
        <w:rPr>
          <w:rStyle w:val="MdStrong"/>
          <w:b w:val="0"/>
          <w:bCs w:val="0"/>
        </w:rPr>
        <w:t>no existing framework systematically integrates the principles and requirements of major international AI policies into a comprehensive and actionable assessment tool for the education sector.</w:t>
      </w:r>
      <w:r w:rsidR="00976CD2">
        <w:rPr>
          <w:b/>
          <w:bCs/>
        </w:rPr>
        <w:t xml:space="preserve"> </w:t>
      </w:r>
      <w:r>
        <w:t>Educational leaders are therefore left without a practical tool to guide their AI strategy. They lack a structured way to assess their institution's readiness, identify critical gaps in their capabilities, and ensure that their adoption of AI is aligned with the emerging global consensus on responsible and ethical AI. This paper aims to fill this gap by proposing a policy-aligned AI readiness framework that is both academically grounded and practically relevant, providing a much-needed bridge between high-level principles and on-the-ground implementation.</w:t>
      </w:r>
    </w:p>
    <w:p w14:paraId="3238758F" w14:textId="77777777" w:rsidR="00A30A88" w:rsidRDefault="00000000">
      <w:pPr>
        <w:pStyle w:val="MdHeading2"/>
      </w:pPr>
      <w:r>
        <w:t>3. Methodology</w:t>
      </w:r>
    </w:p>
    <w:p w14:paraId="7493026A" w14:textId="329DAEFD" w:rsidR="00A30A88" w:rsidRDefault="00000000" w:rsidP="00976CD2">
      <w:pPr>
        <w:pStyle w:val="MdParagraph"/>
        <w:jc w:val="both"/>
      </w:pPr>
      <w:r>
        <w:t>This research addresses a critical gap between the rapid advancement of AI and the capacity of educational institutions to adopt it responsibly. The paper's primary contribution is the development of a novel, policy-aligned framework for assessing and guiding AI readiness. To achieve this, the study answers the following research questions (RQs):</w:t>
      </w:r>
    </w:p>
    <w:p w14:paraId="46D09451" w14:textId="77777777" w:rsidR="00A30A88" w:rsidRDefault="00000000" w:rsidP="00976CD2">
      <w:pPr>
        <w:pStyle w:val="MdListItem"/>
        <w:numPr>
          <w:ilvl w:val="0"/>
          <w:numId w:val="2"/>
        </w:numPr>
        <w:jc w:val="both"/>
      </w:pPr>
      <w:r>
        <w:rPr>
          <w:rStyle w:val="MdStrong"/>
        </w:rPr>
        <w:t>RQ1:</w:t>
      </w:r>
      <w:r>
        <w:t xml:space="preserve"> What are the core domains of institutional capability required for responsible AI adoption in education, as identified from existing literature and international policy standards?</w:t>
      </w:r>
    </w:p>
    <w:p w14:paraId="4AD6D259" w14:textId="77777777" w:rsidR="00A30A88" w:rsidRDefault="00000000" w:rsidP="00976CD2">
      <w:pPr>
        <w:pStyle w:val="MdListItem"/>
        <w:numPr>
          <w:ilvl w:val="0"/>
          <w:numId w:val="2"/>
        </w:numPr>
        <w:jc w:val="both"/>
      </w:pPr>
      <w:r>
        <w:rPr>
          <w:rStyle w:val="MdStrong"/>
        </w:rPr>
        <w:t>RQ2:</w:t>
      </w:r>
      <w:r>
        <w:t xml:space="preserve"> How can these domains be structured into a coherent framework with measurable indicators to allow for a consistent assessment of AI readiness maturity?</w:t>
      </w:r>
    </w:p>
    <w:p w14:paraId="6193CE55" w14:textId="359BBC90" w:rsidR="00A30A88" w:rsidRDefault="00000000" w:rsidP="00976CD2">
      <w:pPr>
        <w:pStyle w:val="MdListItem"/>
        <w:numPr>
          <w:ilvl w:val="0"/>
          <w:numId w:val="2"/>
        </w:numPr>
        <w:jc w:val="both"/>
      </w:pPr>
      <w:r>
        <w:rPr>
          <w:rStyle w:val="MdStrong"/>
        </w:rPr>
        <w:lastRenderedPageBreak/>
        <w:t>RQ3:</w:t>
      </w:r>
      <w:r>
        <w:t xml:space="preserve"> How can this framework be explicitly aligned with key international policy documents (EU AI Act, OECD AI Principles, UNESCO Recommendations) to ensure it is not only theoretically sound but also practically relevant for compliance and governance?</w:t>
      </w:r>
    </w:p>
    <w:p w14:paraId="2EA52AF9" w14:textId="03539CB0" w:rsidR="00A30A88" w:rsidRDefault="00000000" w:rsidP="00976CD2">
      <w:pPr>
        <w:pStyle w:val="MdParagraph"/>
        <w:jc w:val="both"/>
      </w:pPr>
      <w:r>
        <w:t xml:space="preserve">To answer these questions, a methodology inspired by </w:t>
      </w:r>
      <w:r w:rsidRPr="00976CD2">
        <w:rPr>
          <w:rStyle w:val="MdStrong"/>
          <w:b w:val="0"/>
          <w:bCs w:val="0"/>
        </w:rPr>
        <w:t>Design Science Research (DSR)</w:t>
      </w:r>
      <w:r>
        <w:t xml:space="preserve"> was adopted (Hevner et al., 2004; Peffers et al., 2007). DSR is exceptionally well-suited for this study as it focuses on creating innovative artifacts</w:t>
      </w:r>
      <w:r w:rsidR="00DC39D9">
        <w:t xml:space="preserve">, </w:t>
      </w:r>
      <w:r>
        <w:t xml:space="preserve">in this case, a conceptual framework—to solve recognized, real-world problems (Hevner et al., 2004). The entire study is based on the analysis of </w:t>
      </w:r>
      <w:r w:rsidRPr="00976CD2">
        <w:rPr>
          <w:rStyle w:val="MdStrong"/>
          <w:b w:val="0"/>
          <w:bCs w:val="0"/>
        </w:rPr>
        <w:t>secondary data</w:t>
      </w:r>
      <w:r w:rsidRPr="00976CD2">
        <w:rPr>
          <w:b/>
          <w:bCs/>
        </w:rPr>
        <w:t>,</w:t>
      </w:r>
      <w:r>
        <w:t xml:space="preserve"> drawing its evidence from a systematic review of existing academic literature and publicly available international policy documents.</w:t>
      </w:r>
      <w:r w:rsidR="00DC39D9">
        <w:t xml:space="preserve"> </w:t>
      </w:r>
      <w:r>
        <w:t>The methodology was executed in three distinct phases, as detailed below.</w:t>
      </w:r>
    </w:p>
    <w:p w14:paraId="116E707F" w14:textId="664EEF1B" w:rsidR="00A30A88" w:rsidRPr="00976CD2" w:rsidRDefault="00000000">
      <w:pPr>
        <w:pStyle w:val="MdHeading3"/>
        <w:rPr>
          <w:sz w:val="24"/>
          <w:szCs w:val="24"/>
        </w:rPr>
      </w:pPr>
      <w:r w:rsidRPr="00976CD2">
        <w:rPr>
          <w:sz w:val="24"/>
          <w:szCs w:val="24"/>
        </w:rPr>
        <w:t>3.1. Phase 1: Systematic Review</w:t>
      </w:r>
    </w:p>
    <w:p w14:paraId="57A24430" w14:textId="69619C12" w:rsidR="00A30A88" w:rsidRDefault="00000000" w:rsidP="00976CD2">
      <w:pPr>
        <w:pStyle w:val="MdParagraph"/>
        <w:jc w:val="both"/>
      </w:pPr>
      <w:r>
        <w:t>The foundational phase of this research involved a systematic review of secondary sources, including both academic literature and key international policy documents. The objective was to synthesize a comprehensive, evidence-based understanding of the domains, challenges, and best practices associated with technology adoption, institutional readiness, and AI governance.</w:t>
      </w:r>
      <w:r w:rsidR="00976CD2">
        <w:t xml:space="preserve"> </w:t>
      </w:r>
      <w:r>
        <w:t xml:space="preserve">The selection of sources was guided by their authority and relevance. Academic sources were identified through scholarly databases (e.g., Scopus, Web of Science) using keywords such as "AI in education," "technology readiness," "capability maturity model," "AI governance," and "AI ethics." The policy analysis was anchored in three globally significant documents: the </w:t>
      </w:r>
      <w:r w:rsidRPr="00976CD2">
        <w:rPr>
          <w:rStyle w:val="MdStrong"/>
          <w:b w:val="0"/>
          <w:bCs w:val="0"/>
        </w:rPr>
        <w:t>EU AI Act</w:t>
      </w:r>
      <w:r>
        <w:t xml:space="preserve"> (European Commission, 2021), the </w:t>
      </w:r>
      <w:r w:rsidRPr="00976CD2">
        <w:rPr>
          <w:rStyle w:val="MdStrong"/>
          <w:b w:val="0"/>
          <w:bCs w:val="0"/>
        </w:rPr>
        <w:t>OECD AI Principles</w:t>
      </w:r>
      <w:r>
        <w:t xml:space="preserve"> (OECD, 2019), and </w:t>
      </w:r>
      <w:r w:rsidRPr="00976CD2">
        <w:rPr>
          <w:rStyle w:val="MdStrong"/>
          <w:b w:val="0"/>
          <w:bCs w:val="0"/>
        </w:rPr>
        <w:t>UNESCO's Recommendation on the Ethics of Artificial Intelligence</w:t>
      </w:r>
      <w:r>
        <w:t xml:space="preserve"> (UNESCO, 2021).</w:t>
      </w:r>
      <w:r w:rsidR="00976CD2">
        <w:t xml:space="preserve"> </w:t>
      </w:r>
      <w:r>
        <w:t>A rigorous thematic analysis was performed on the collected documents (U.S. Department of Education, 2023). This process involved systematically coding and categorizing recurring concepts to identify the essential pillars of AI readiness. This analysis of secondary data provided the empirical grounding for the framework's structure and components.</w:t>
      </w:r>
    </w:p>
    <w:p w14:paraId="071EC13A" w14:textId="77777777" w:rsidR="00A30A88" w:rsidRPr="00976CD2" w:rsidRDefault="00000000">
      <w:pPr>
        <w:pStyle w:val="MdHeading3"/>
        <w:rPr>
          <w:sz w:val="24"/>
          <w:szCs w:val="24"/>
        </w:rPr>
      </w:pPr>
      <w:r w:rsidRPr="00976CD2">
        <w:rPr>
          <w:sz w:val="24"/>
          <w:szCs w:val="24"/>
        </w:rPr>
        <w:t>3.2. Phase 2: Framework Development (Artifact Construction)</w:t>
      </w:r>
    </w:p>
    <w:p w14:paraId="6C4FE7C6" w14:textId="60AD48A3" w:rsidR="00A30A88" w:rsidRDefault="00000000" w:rsidP="00976CD2">
      <w:pPr>
        <w:pStyle w:val="MdParagraph"/>
        <w:jc w:val="both"/>
      </w:pPr>
      <w:r>
        <w:t>This phase centered on constructing the AI Readiness Framework by translating the themes from Phase 1 into a structured, actionable model. The process was iterative and focused on creating a logically coherent and comprehensive artifact.</w:t>
      </w:r>
    </w:p>
    <w:p w14:paraId="3019E868" w14:textId="72C876D8" w:rsidR="00A30A88" w:rsidRDefault="00000000" w:rsidP="00976CD2">
      <w:pPr>
        <w:pStyle w:val="MdParagraph"/>
        <w:jc w:val="both"/>
      </w:pPr>
      <w:r>
        <w:rPr>
          <w:rStyle w:val="MdStrong"/>
        </w:rPr>
        <w:t>Defining Core Domains:</w:t>
      </w:r>
      <w:r>
        <w:t xml:space="preserve"> The thematic clusters were synthesized into five core domains representing the critical dimensions of institutional AI readiness: (1) Strategy and Governance, (2) Data Ecosystem, (3) Technology and Tools, (4) Workforce and Culture, and (5) Ethics and Responsibility.</w:t>
      </w:r>
    </w:p>
    <w:p w14:paraId="29C8BDFA" w14:textId="0F843050" w:rsidR="00A30A88" w:rsidRDefault="00000000" w:rsidP="00976CD2">
      <w:pPr>
        <w:pStyle w:val="MdParagraph"/>
        <w:jc w:val="both"/>
      </w:pPr>
      <w:r>
        <w:rPr>
          <w:rStyle w:val="MdStrong"/>
        </w:rPr>
        <w:t>Developing Sub-Domains and Indicators:</w:t>
      </w:r>
      <w:r>
        <w:t xml:space="preserve"> Each core domain was elaborated into granular sub-domains, for which specific and </w:t>
      </w:r>
      <w:r w:rsidRPr="00976CD2">
        <w:rPr>
          <w:rStyle w:val="MdStrong"/>
          <w:b w:val="0"/>
          <w:bCs w:val="0"/>
        </w:rPr>
        <w:t>measurable indicators</w:t>
      </w:r>
      <w:r>
        <w:t xml:space="preserve"> were formulated. These indicators serve as concrete, observable criteria for assessing institutional maturity.</w:t>
      </w:r>
    </w:p>
    <w:p w14:paraId="152CF7B7" w14:textId="77777777" w:rsidR="00A30A88" w:rsidRPr="00976CD2" w:rsidRDefault="00000000">
      <w:pPr>
        <w:pStyle w:val="MdHeading3"/>
        <w:rPr>
          <w:sz w:val="24"/>
          <w:szCs w:val="24"/>
        </w:rPr>
      </w:pPr>
      <w:r w:rsidRPr="00976CD2">
        <w:rPr>
          <w:sz w:val="24"/>
          <w:szCs w:val="24"/>
        </w:rPr>
        <w:t>3.3. Phase 3: Policy Alignment and Validation</w:t>
      </w:r>
    </w:p>
    <w:p w14:paraId="7927DD6D" w14:textId="77777777" w:rsidR="00A30A88" w:rsidRDefault="00000000" w:rsidP="00976CD2">
      <w:pPr>
        <w:pStyle w:val="MdParagraph"/>
        <w:jc w:val="both"/>
      </w:pPr>
      <w:r>
        <w:t>The framework's primary contribution is its explicit alignment with key international policies, which validates its relevance and enhances its practical utility. This was achieved through a meticulous mapping process.</w:t>
      </w:r>
    </w:p>
    <w:p w14:paraId="09669669" w14:textId="77777777" w:rsidR="00A30A88" w:rsidRDefault="00A30A88" w:rsidP="00976CD2">
      <w:pPr>
        <w:pStyle w:val="MdSpace"/>
        <w:spacing w:after="60"/>
        <w:jc w:val="both"/>
      </w:pPr>
    </w:p>
    <w:p w14:paraId="37CC20F3" w14:textId="7041BF78" w:rsidR="00A30A88" w:rsidRDefault="00000000" w:rsidP="00DC39D9">
      <w:pPr>
        <w:pStyle w:val="MdParagraph"/>
        <w:jc w:val="both"/>
      </w:pPr>
      <w:r>
        <w:rPr>
          <w:rStyle w:val="MdStrong"/>
        </w:rPr>
        <w:lastRenderedPageBreak/>
        <w:t>Mapping Process:</w:t>
      </w:r>
      <w:r>
        <w:t xml:space="preserve"> Each indicator within the framework was systematically mapped to specific articles, principles, or recommendations within the EU AI Act, the OECD AI Principles, and the UNESCO guidelines. This cross-referencing ensures that the framework is not an abstract academic exercise but a practical tool for navigating the complex regulatory landscape.</w:t>
      </w:r>
    </w:p>
    <w:p w14:paraId="2C0E85F0" w14:textId="228CD46A" w:rsidR="00A30A88" w:rsidRDefault="00000000" w:rsidP="00976CD2">
      <w:pPr>
        <w:pStyle w:val="MdParagraph"/>
        <w:jc w:val="both"/>
      </w:pPr>
      <w:r>
        <w:rPr>
          <w:rStyle w:val="MdStrong"/>
        </w:rPr>
        <w:t>Strengthening the Research Contribution:</w:t>
      </w:r>
      <w:r>
        <w:t xml:space="preserve"> The explicit policy alignment represents the core of this paper's contribution. While other technology readiness models exist, this framework is novel in its direct integration of legal and ethical mandates from landmark AI policies into a single, unified tool for the education sector. It moves beyond generic best practices to provide a clear pathway for achieving policy-compliant AI adoption.</w:t>
      </w:r>
    </w:p>
    <w:p w14:paraId="2A158FFE" w14:textId="77777777" w:rsidR="00A30A88" w:rsidRDefault="00000000">
      <w:pPr>
        <w:pStyle w:val="MdHeading2"/>
      </w:pPr>
      <w:r>
        <w:t>4. Results: The Policy-Aligned AI Readiness Framework</w:t>
      </w:r>
    </w:p>
    <w:p w14:paraId="2D460754" w14:textId="5D3E19A5" w:rsidR="00A30A88" w:rsidRDefault="00000000" w:rsidP="00976CD2">
      <w:pPr>
        <w:pStyle w:val="MdParagraph"/>
        <w:jc w:val="both"/>
      </w:pPr>
      <w:r>
        <w:t xml:space="preserve">The primary result of this research is the </w:t>
      </w:r>
      <w:r w:rsidRPr="00976CD2">
        <w:rPr>
          <w:rStyle w:val="MdStrong"/>
          <w:b w:val="0"/>
          <w:bCs w:val="0"/>
        </w:rPr>
        <w:t>Policy-Aligned AI Readiness Framework</w:t>
      </w:r>
      <w:r>
        <w:t>, a structured tool designed to help educational institutions assess their capabilities and guide their strategic planning for AI adoption. This section presents the framework, detailing its hierarchical structure, its core domains, and the specific, measurable indicators that allow for a comprehensive readiness assessment. The framework is designed to be both diagnostic and prescriptive, enabling institutions not only to understand their current state but also to identify a clear path toward responsible and effective AI integration.</w:t>
      </w:r>
    </w:p>
    <w:p w14:paraId="7293DFB4" w14:textId="77777777" w:rsidR="00A30A88" w:rsidRPr="00976CD2" w:rsidRDefault="00000000">
      <w:pPr>
        <w:pStyle w:val="MdHeading3"/>
        <w:rPr>
          <w:sz w:val="24"/>
          <w:szCs w:val="24"/>
        </w:rPr>
      </w:pPr>
      <w:r w:rsidRPr="00976CD2">
        <w:rPr>
          <w:sz w:val="24"/>
          <w:szCs w:val="24"/>
        </w:rPr>
        <w:t>4.1. Overview of the Framework</w:t>
      </w:r>
    </w:p>
    <w:p w14:paraId="68FD74BE" w14:textId="326AABB4" w:rsidR="00A30A88" w:rsidRDefault="00000000" w:rsidP="00976CD2">
      <w:pPr>
        <w:pStyle w:val="MdParagraph"/>
        <w:jc w:val="both"/>
      </w:pPr>
      <w:r>
        <w:t>The framework is organized into a three-tiered hierarchy:</w:t>
      </w:r>
    </w:p>
    <w:p w14:paraId="5E74816D" w14:textId="77777777" w:rsidR="00A30A88" w:rsidRDefault="00000000" w:rsidP="00976CD2">
      <w:pPr>
        <w:pStyle w:val="MdListItem"/>
        <w:numPr>
          <w:ilvl w:val="0"/>
          <w:numId w:val="3"/>
        </w:numPr>
        <w:jc w:val="both"/>
      </w:pPr>
      <w:r>
        <w:rPr>
          <w:rStyle w:val="MdStrong"/>
        </w:rPr>
        <w:t>Core Domains:</w:t>
      </w:r>
      <w:r>
        <w:t xml:space="preserve"> Five high-level domains that represent the fundamental pillars of institutional AI readiness.</w:t>
      </w:r>
    </w:p>
    <w:p w14:paraId="36961BB9" w14:textId="77777777" w:rsidR="00A30A88" w:rsidRDefault="00000000" w:rsidP="00976CD2">
      <w:pPr>
        <w:pStyle w:val="MdListItem"/>
        <w:numPr>
          <w:ilvl w:val="0"/>
          <w:numId w:val="3"/>
        </w:numPr>
        <w:jc w:val="both"/>
      </w:pPr>
      <w:r>
        <w:rPr>
          <w:rStyle w:val="MdStrong"/>
        </w:rPr>
        <w:t>Sub-Domains:</w:t>
      </w:r>
      <w:r>
        <w:t xml:space="preserve"> Each core domain is broken down into three more specific sub-domains that represent distinct areas of capability.</w:t>
      </w:r>
    </w:p>
    <w:p w14:paraId="37B25BFA" w14:textId="77777777" w:rsidR="00A30A88" w:rsidRDefault="00000000" w:rsidP="00976CD2">
      <w:pPr>
        <w:pStyle w:val="MdListItem"/>
        <w:numPr>
          <w:ilvl w:val="0"/>
          <w:numId w:val="3"/>
        </w:numPr>
        <w:jc w:val="both"/>
      </w:pPr>
      <w:r>
        <w:rPr>
          <w:rStyle w:val="MdStrong"/>
        </w:rPr>
        <w:t>Measurable Indicators:</w:t>
      </w:r>
      <w:r>
        <w:t xml:space="preserve"> Each sub-domain is associated with a set of concrete, observable indicators that provide the basis for assessment. These indicators are explicitly mapped to the principles and requirements of the EU AI Act, the OECD AI Principles, and the UNESCO Recommendation on the Ethics of AI.</w:t>
      </w:r>
    </w:p>
    <w:p w14:paraId="507F6282" w14:textId="77777777" w:rsidR="00A30A88" w:rsidRDefault="00A30A88" w:rsidP="00976CD2">
      <w:pPr>
        <w:pStyle w:val="MdSpace"/>
        <w:spacing w:after="60"/>
        <w:jc w:val="both"/>
      </w:pPr>
    </w:p>
    <w:p w14:paraId="41F2E327" w14:textId="77777777" w:rsidR="00A30A88" w:rsidRDefault="00000000" w:rsidP="00976CD2">
      <w:pPr>
        <w:pStyle w:val="MdParagraph"/>
        <w:jc w:val="both"/>
      </w:pPr>
      <w:r>
        <w:t>This hierarchical structure allows for both a high-level strategic overview and a detailed, granular analysis of an institution's readiness. The five core domains of the framework are presented in Table 1.</w:t>
      </w:r>
    </w:p>
    <w:p w14:paraId="1E01256A" w14:textId="77777777" w:rsidR="00A30A88" w:rsidRDefault="00A30A88">
      <w:pPr>
        <w:pStyle w:val="MdSpace"/>
        <w:spacing w:after="60"/>
      </w:pPr>
    </w:p>
    <w:p w14:paraId="2D05099C" w14:textId="77777777" w:rsidR="00A30A88" w:rsidRPr="00976CD2" w:rsidRDefault="00000000" w:rsidP="00976CD2">
      <w:pPr>
        <w:pStyle w:val="MdParagraph"/>
        <w:jc w:val="center"/>
        <w:rPr>
          <w:b/>
          <w:bCs/>
        </w:rPr>
      </w:pPr>
      <w:r>
        <w:rPr>
          <w:rStyle w:val="MdStrong"/>
        </w:rPr>
        <w:t xml:space="preserve">Table 1: </w:t>
      </w:r>
      <w:r w:rsidRPr="00976CD2">
        <w:rPr>
          <w:rStyle w:val="MdStrong"/>
          <w:b w:val="0"/>
          <w:bCs w:val="0"/>
        </w:rPr>
        <w:t>Core Domains of the AI Readiness Framework</w:t>
      </w:r>
    </w:p>
    <w:p w14:paraId="354E5EB1" w14:textId="77777777" w:rsidR="00A30A88" w:rsidRDefault="00A30A88">
      <w:pPr>
        <w:pStyle w:val="MdSpace"/>
        <w:spacing w:after="60"/>
      </w:pPr>
    </w:p>
    <w:tbl>
      <w:tblPr>
        <w:tblStyle w:val="GridTable5Dark-Accent3"/>
        <w:tblW w:w="5000" w:type="pct"/>
        <w:tblLook w:val="04A0" w:firstRow="1" w:lastRow="0" w:firstColumn="1" w:lastColumn="0" w:noHBand="0" w:noVBand="1"/>
      </w:tblPr>
      <w:tblGrid>
        <w:gridCol w:w="1941"/>
        <w:gridCol w:w="7075"/>
      </w:tblGrid>
      <w:tr w:rsidR="00A30A88" w14:paraId="4CBBD859" w14:textId="77777777" w:rsidTr="00976CD2">
        <w:trPr>
          <w:cnfStyle w:val="100000000000" w:firstRow="1" w:lastRow="0" w:firstColumn="0" w:lastColumn="0" w:oddVBand="0" w:evenVBand="0" w:oddHBand="0"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0" w:type="auto"/>
          </w:tcPr>
          <w:p w14:paraId="1A938EE9" w14:textId="77777777" w:rsidR="00A30A88" w:rsidRDefault="00000000">
            <w:pPr>
              <w:pStyle w:val="MdTableHeader"/>
            </w:pPr>
            <w:r>
              <w:t>Domain</w:t>
            </w:r>
          </w:p>
        </w:tc>
        <w:tc>
          <w:tcPr>
            <w:tcW w:w="0" w:type="auto"/>
          </w:tcPr>
          <w:p w14:paraId="29DE359F" w14:textId="77777777" w:rsidR="00A30A88" w:rsidRDefault="00000000">
            <w:pPr>
              <w:pStyle w:val="MdTableHeader"/>
              <w:cnfStyle w:val="100000000000" w:firstRow="1" w:lastRow="0" w:firstColumn="0" w:lastColumn="0" w:oddVBand="0" w:evenVBand="0" w:oddHBand="0" w:evenHBand="0" w:firstRowFirstColumn="0" w:firstRowLastColumn="0" w:lastRowFirstColumn="0" w:lastRowLastColumn="0"/>
            </w:pPr>
            <w:r>
              <w:t>Description</w:t>
            </w:r>
          </w:p>
        </w:tc>
      </w:tr>
      <w:tr w:rsidR="00A30A88" w14:paraId="35A62863" w14:textId="77777777" w:rsidTr="00976CD2">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5D67A207" w14:textId="77777777" w:rsidR="00A30A88" w:rsidRDefault="00000000">
            <w:pPr>
              <w:pStyle w:val="MdTableCell"/>
            </w:pPr>
            <w:r>
              <w:rPr>
                <w:rStyle w:val="MdStrong"/>
              </w:rPr>
              <w:t>1. Strategy and Governance</w:t>
            </w:r>
          </w:p>
        </w:tc>
        <w:tc>
          <w:tcPr>
            <w:tcW w:w="0" w:type="auto"/>
          </w:tcPr>
          <w:p w14:paraId="6BBFBC42"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t>The institutional vision, leadership commitment, and oversight structures required to steer the adoption of AI in a coordinated and responsible manner.</w:t>
            </w:r>
          </w:p>
        </w:tc>
      </w:tr>
      <w:tr w:rsidR="00A30A88" w14:paraId="2D3FF14E" w14:textId="77777777" w:rsidTr="00976CD2">
        <w:trPr>
          <w:trHeight w:val="576"/>
        </w:trPr>
        <w:tc>
          <w:tcPr>
            <w:cnfStyle w:val="001000000000" w:firstRow="0" w:lastRow="0" w:firstColumn="1" w:lastColumn="0" w:oddVBand="0" w:evenVBand="0" w:oddHBand="0" w:evenHBand="0" w:firstRowFirstColumn="0" w:firstRowLastColumn="0" w:lastRowFirstColumn="0" w:lastRowLastColumn="0"/>
            <w:tcW w:w="0" w:type="auto"/>
          </w:tcPr>
          <w:p w14:paraId="426833E8" w14:textId="77777777" w:rsidR="00A30A88" w:rsidRDefault="00000000">
            <w:pPr>
              <w:pStyle w:val="MdTableCell"/>
            </w:pPr>
            <w:r>
              <w:rPr>
                <w:rStyle w:val="MdStrong"/>
              </w:rPr>
              <w:t>2. Data Ecosystem</w:t>
            </w:r>
          </w:p>
        </w:tc>
        <w:tc>
          <w:tcPr>
            <w:tcW w:w="0" w:type="auto"/>
          </w:tcPr>
          <w:p w14:paraId="329C323C"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t>The infrastructure, policies, and capabilities for managing data as a strategic asset to support effective and ethical AI.</w:t>
            </w:r>
          </w:p>
        </w:tc>
      </w:tr>
      <w:tr w:rsidR="00A30A88" w14:paraId="68114F94" w14:textId="77777777" w:rsidTr="00976CD2">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0918F815" w14:textId="77777777" w:rsidR="00A30A88" w:rsidRDefault="00000000">
            <w:pPr>
              <w:pStyle w:val="MdTableCell"/>
            </w:pPr>
            <w:r>
              <w:rPr>
                <w:rStyle w:val="MdStrong"/>
              </w:rPr>
              <w:t>3. Technology and Tools</w:t>
            </w:r>
          </w:p>
        </w:tc>
        <w:tc>
          <w:tcPr>
            <w:tcW w:w="0" w:type="auto"/>
          </w:tcPr>
          <w:p w14:paraId="1DF200B1"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t>The technological infrastructure, platforms, and support systems required to develop, deploy, and manage AI systems securely and efficiently.</w:t>
            </w:r>
          </w:p>
        </w:tc>
      </w:tr>
      <w:tr w:rsidR="00A30A88" w14:paraId="066AFF7F" w14:textId="77777777" w:rsidTr="00976CD2">
        <w:trPr>
          <w:trHeight w:val="576"/>
        </w:trPr>
        <w:tc>
          <w:tcPr>
            <w:cnfStyle w:val="001000000000" w:firstRow="0" w:lastRow="0" w:firstColumn="1" w:lastColumn="0" w:oddVBand="0" w:evenVBand="0" w:oddHBand="0" w:evenHBand="0" w:firstRowFirstColumn="0" w:firstRowLastColumn="0" w:lastRowFirstColumn="0" w:lastRowLastColumn="0"/>
            <w:tcW w:w="0" w:type="auto"/>
          </w:tcPr>
          <w:p w14:paraId="7B26D354" w14:textId="77777777" w:rsidR="00A30A88" w:rsidRDefault="00000000">
            <w:pPr>
              <w:pStyle w:val="MdTableCell"/>
            </w:pPr>
            <w:r>
              <w:rPr>
                <w:rStyle w:val="MdStrong"/>
              </w:rPr>
              <w:lastRenderedPageBreak/>
              <w:t>4. Workforce and Culture</w:t>
            </w:r>
          </w:p>
        </w:tc>
        <w:tc>
          <w:tcPr>
            <w:tcW w:w="0" w:type="auto"/>
          </w:tcPr>
          <w:p w14:paraId="1B86334E"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t>The skills, competencies, and cultural mindset required to foster an AI-ready institution where both staff and students can thrive.</w:t>
            </w:r>
          </w:p>
        </w:tc>
      </w:tr>
      <w:tr w:rsidR="00A30A88" w14:paraId="556CC9A0" w14:textId="77777777" w:rsidTr="00976CD2">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51D85B8A" w14:textId="77777777" w:rsidR="00A30A88" w:rsidRDefault="00000000">
            <w:pPr>
              <w:pStyle w:val="MdTableCell"/>
            </w:pPr>
            <w:r>
              <w:rPr>
                <w:rStyle w:val="MdStrong"/>
              </w:rPr>
              <w:t>5. Ethics and Responsibility</w:t>
            </w:r>
          </w:p>
        </w:tc>
        <w:tc>
          <w:tcPr>
            <w:tcW w:w="0" w:type="auto"/>
          </w:tcPr>
          <w:p w14:paraId="743CA402"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t>The principles, processes, and safeguards necessary to ensure that AI is designed, deployed, and used in a trustworthy, transparent, and ethical manner.</w:t>
            </w:r>
          </w:p>
        </w:tc>
      </w:tr>
    </w:tbl>
    <w:p w14:paraId="497FE45A" w14:textId="77777777" w:rsidR="00A30A88" w:rsidRPr="00976CD2" w:rsidRDefault="00000000">
      <w:pPr>
        <w:pStyle w:val="MdHeading3"/>
        <w:rPr>
          <w:sz w:val="24"/>
          <w:szCs w:val="24"/>
        </w:rPr>
      </w:pPr>
      <w:r w:rsidRPr="00976CD2">
        <w:rPr>
          <w:sz w:val="24"/>
          <w:szCs w:val="24"/>
        </w:rPr>
        <w:t>4.2. Measurable Indicators and Policy Mapping</w:t>
      </w:r>
    </w:p>
    <w:p w14:paraId="1B7C2131" w14:textId="43AE8053" w:rsidR="00A30A88" w:rsidRDefault="00000000" w:rsidP="00976CD2">
      <w:pPr>
        <w:pStyle w:val="MdParagraph"/>
        <w:jc w:val="both"/>
      </w:pPr>
      <w:r>
        <w:t>The practical utility of the framework lies in its detailed indicators and their explicit alignment with international policy. The following tables (Tables 2-6) present the sub-domains and measurable indicators for each of the five core domains, along with their corresponding policy mappings.</w:t>
      </w:r>
    </w:p>
    <w:p w14:paraId="04120F40" w14:textId="77777777" w:rsidR="00A30A88" w:rsidRDefault="00000000" w:rsidP="00976CD2">
      <w:pPr>
        <w:pStyle w:val="MdParagraph"/>
        <w:jc w:val="center"/>
      </w:pPr>
      <w:r>
        <w:rPr>
          <w:rStyle w:val="MdStrong"/>
        </w:rPr>
        <w:t xml:space="preserve">Table 2: </w:t>
      </w:r>
      <w:r w:rsidRPr="00976CD2">
        <w:rPr>
          <w:rStyle w:val="MdStrong"/>
          <w:b w:val="0"/>
          <w:bCs w:val="0"/>
        </w:rPr>
        <w:t>Domain 1 - Strategy and Governance</w:t>
      </w:r>
    </w:p>
    <w:p w14:paraId="43DFB170" w14:textId="77777777" w:rsidR="00A30A88" w:rsidRDefault="00A30A88">
      <w:pPr>
        <w:pStyle w:val="MdSpace"/>
        <w:spacing w:after="60"/>
      </w:pPr>
    </w:p>
    <w:tbl>
      <w:tblPr>
        <w:tblStyle w:val="GridTable5Dark-Accent3"/>
        <w:tblW w:w="5000" w:type="pct"/>
        <w:tblLook w:val="04A0" w:firstRow="1" w:lastRow="0" w:firstColumn="1" w:lastColumn="0" w:noHBand="0" w:noVBand="1"/>
      </w:tblPr>
      <w:tblGrid>
        <w:gridCol w:w="1935"/>
        <w:gridCol w:w="5374"/>
        <w:gridCol w:w="1707"/>
      </w:tblGrid>
      <w:tr w:rsidR="00A30A88" w14:paraId="548CF0E7" w14:textId="77777777" w:rsidTr="00976CD2">
        <w:trPr>
          <w:cnfStyle w:val="100000000000" w:firstRow="1" w:lastRow="0" w:firstColumn="0" w:lastColumn="0" w:oddVBand="0" w:evenVBand="0" w:oddHBand="0"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0" w:type="auto"/>
          </w:tcPr>
          <w:p w14:paraId="77A6EF73" w14:textId="77777777" w:rsidR="00A30A88" w:rsidRDefault="00000000">
            <w:pPr>
              <w:pStyle w:val="MdTableHeader"/>
            </w:pPr>
            <w:r>
              <w:t>Sub-Domain</w:t>
            </w:r>
          </w:p>
        </w:tc>
        <w:tc>
          <w:tcPr>
            <w:tcW w:w="0" w:type="auto"/>
          </w:tcPr>
          <w:p w14:paraId="5A3CFFD8" w14:textId="77777777" w:rsidR="00A30A88" w:rsidRDefault="00000000">
            <w:pPr>
              <w:pStyle w:val="MdTableHeader"/>
              <w:cnfStyle w:val="100000000000" w:firstRow="1" w:lastRow="0" w:firstColumn="0" w:lastColumn="0" w:oddVBand="0" w:evenVBand="0" w:oddHBand="0" w:evenHBand="0" w:firstRowFirstColumn="0" w:firstRowLastColumn="0" w:lastRowFirstColumn="0" w:lastRowLastColumn="0"/>
            </w:pPr>
            <w:r>
              <w:t>Measurable Indicator</w:t>
            </w:r>
          </w:p>
        </w:tc>
        <w:tc>
          <w:tcPr>
            <w:tcW w:w="0" w:type="auto"/>
          </w:tcPr>
          <w:p w14:paraId="712FDF0D" w14:textId="77777777" w:rsidR="00A30A88" w:rsidRDefault="00000000">
            <w:pPr>
              <w:pStyle w:val="MdTableHeader"/>
              <w:cnfStyle w:val="100000000000" w:firstRow="1" w:lastRow="0" w:firstColumn="0" w:lastColumn="0" w:oddVBand="0" w:evenVBand="0" w:oddHBand="0" w:evenHBand="0" w:firstRowFirstColumn="0" w:firstRowLastColumn="0" w:lastRowFirstColumn="0" w:lastRowLastColumn="0"/>
            </w:pPr>
            <w:r>
              <w:t>Policy Alignment</w:t>
            </w:r>
          </w:p>
        </w:tc>
      </w:tr>
      <w:tr w:rsidR="00A30A88" w14:paraId="0E631277" w14:textId="77777777" w:rsidTr="00976CD2">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3E02BF6F" w14:textId="77777777" w:rsidR="00A30A88" w:rsidRDefault="00000000">
            <w:pPr>
              <w:pStyle w:val="MdTableCell"/>
            </w:pPr>
            <w:r>
              <w:rPr>
                <w:rStyle w:val="MdStrong"/>
              </w:rPr>
              <w:t>AI Strategy &amp; Roadmap</w:t>
            </w:r>
          </w:p>
        </w:tc>
        <w:tc>
          <w:tcPr>
            <w:tcW w:w="0" w:type="auto"/>
          </w:tcPr>
          <w:p w14:paraId="0A76E649"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t>A documented institutional AI strategy exists with clear goals, priorities, and a multi-year roadmap.</w:t>
            </w:r>
          </w:p>
        </w:tc>
        <w:tc>
          <w:tcPr>
            <w:tcW w:w="0" w:type="auto"/>
          </w:tcPr>
          <w:p w14:paraId="0E6D33A6"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rPr>
                <w:rStyle w:val="MdStrong"/>
              </w:rPr>
              <w:t>OECD:</w:t>
            </w:r>
            <w:r>
              <w:t xml:space="preserve"> Accountability</w:t>
            </w:r>
          </w:p>
        </w:tc>
      </w:tr>
      <w:tr w:rsidR="00A30A88" w14:paraId="5C464205" w14:textId="77777777" w:rsidTr="00976CD2">
        <w:trPr>
          <w:trHeight w:val="576"/>
        </w:trPr>
        <w:tc>
          <w:tcPr>
            <w:cnfStyle w:val="001000000000" w:firstRow="0" w:lastRow="0" w:firstColumn="1" w:lastColumn="0" w:oddVBand="0" w:evenVBand="0" w:oddHBand="0" w:evenHBand="0" w:firstRowFirstColumn="0" w:firstRowLastColumn="0" w:lastRowFirstColumn="0" w:lastRowLastColumn="0"/>
            <w:tcW w:w="0" w:type="auto"/>
          </w:tcPr>
          <w:p w14:paraId="09C82AB0" w14:textId="77777777" w:rsidR="00A30A88" w:rsidRDefault="00A30A88">
            <w:pPr>
              <w:pStyle w:val="MdTableCell"/>
            </w:pPr>
          </w:p>
        </w:tc>
        <w:tc>
          <w:tcPr>
            <w:tcW w:w="0" w:type="auto"/>
          </w:tcPr>
          <w:p w14:paraId="5F1A520A"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t>The AI strategy is aligned with the institution's overall mission and strategic plan.</w:t>
            </w:r>
          </w:p>
        </w:tc>
        <w:tc>
          <w:tcPr>
            <w:tcW w:w="0" w:type="auto"/>
          </w:tcPr>
          <w:p w14:paraId="0FCA3B01"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rPr>
                <w:rStyle w:val="MdStrong"/>
              </w:rPr>
              <w:t>UNESCO:</w:t>
            </w:r>
            <w:r>
              <w:t xml:space="preserve"> Rec. 25</w:t>
            </w:r>
          </w:p>
        </w:tc>
      </w:tr>
      <w:tr w:rsidR="00A30A88" w14:paraId="1037B8A6" w14:textId="77777777" w:rsidTr="00976CD2">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0E5F9D8D" w14:textId="77777777" w:rsidR="00A30A88" w:rsidRDefault="00000000">
            <w:pPr>
              <w:pStyle w:val="MdTableCell"/>
            </w:pPr>
            <w:r>
              <w:rPr>
                <w:rStyle w:val="MdStrong"/>
              </w:rPr>
              <w:t>Governance &amp; Accountability</w:t>
            </w:r>
          </w:p>
        </w:tc>
        <w:tc>
          <w:tcPr>
            <w:tcW w:w="0" w:type="auto"/>
          </w:tcPr>
          <w:p w14:paraId="052BD4A3"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t>A designated AI governance body or committee exists with a clear mandate and cross-functional representation.</w:t>
            </w:r>
          </w:p>
        </w:tc>
        <w:tc>
          <w:tcPr>
            <w:tcW w:w="0" w:type="auto"/>
          </w:tcPr>
          <w:p w14:paraId="7D891D58" w14:textId="17D253E4"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rPr>
                <w:rStyle w:val="MdStrong"/>
              </w:rPr>
              <w:t>OECD:</w:t>
            </w:r>
            <w:r>
              <w:t xml:space="preserve"> Accountability</w:t>
            </w:r>
            <w:r w:rsidR="00976CD2">
              <w:br/>
            </w:r>
            <w:r>
              <w:rPr>
                <w:rStyle w:val="MdStrong"/>
              </w:rPr>
              <w:t>EU AI Act:</w:t>
            </w:r>
            <w:r>
              <w:t xml:space="preserve"> Art. 29</w:t>
            </w:r>
          </w:p>
        </w:tc>
      </w:tr>
      <w:tr w:rsidR="00A30A88" w14:paraId="766D4C09" w14:textId="77777777" w:rsidTr="00976CD2">
        <w:trPr>
          <w:trHeight w:val="576"/>
        </w:trPr>
        <w:tc>
          <w:tcPr>
            <w:cnfStyle w:val="001000000000" w:firstRow="0" w:lastRow="0" w:firstColumn="1" w:lastColumn="0" w:oddVBand="0" w:evenVBand="0" w:oddHBand="0" w:evenHBand="0" w:firstRowFirstColumn="0" w:firstRowLastColumn="0" w:lastRowFirstColumn="0" w:lastRowLastColumn="0"/>
            <w:tcW w:w="0" w:type="auto"/>
          </w:tcPr>
          <w:p w14:paraId="44B37F90" w14:textId="77777777" w:rsidR="00A30A88" w:rsidRDefault="00A30A88">
            <w:pPr>
              <w:pStyle w:val="MdTableCell"/>
            </w:pPr>
          </w:p>
        </w:tc>
        <w:tc>
          <w:tcPr>
            <w:tcW w:w="0" w:type="auto"/>
          </w:tcPr>
          <w:p w14:paraId="35318730"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t>Documented roles and responsibilities for the oversight of AI systems throughout their lifecycle.</w:t>
            </w:r>
          </w:p>
        </w:tc>
        <w:tc>
          <w:tcPr>
            <w:tcW w:w="0" w:type="auto"/>
          </w:tcPr>
          <w:p w14:paraId="481C080A" w14:textId="2B457700"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rPr>
                <w:rStyle w:val="MdStrong"/>
              </w:rPr>
              <w:t>UNESCO:</w:t>
            </w:r>
            <w:r>
              <w:t xml:space="preserve"> Rec. 18</w:t>
            </w:r>
            <w:r w:rsidR="00976CD2">
              <w:rPr>
                <w:rStyle w:val="MdTag"/>
              </w:rPr>
              <w:br/>
            </w:r>
            <w:r>
              <w:rPr>
                <w:rStyle w:val="MdStrong"/>
              </w:rPr>
              <w:t>EU AI Act:</w:t>
            </w:r>
            <w:r>
              <w:t xml:space="preserve"> Art. 17</w:t>
            </w:r>
          </w:p>
        </w:tc>
      </w:tr>
      <w:tr w:rsidR="00A30A88" w14:paraId="1D5B7A8E" w14:textId="77777777" w:rsidTr="00976CD2">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5A0ADE65" w14:textId="77777777" w:rsidR="00A30A88" w:rsidRDefault="00000000">
            <w:pPr>
              <w:pStyle w:val="MdTableCell"/>
            </w:pPr>
            <w:r>
              <w:rPr>
                <w:rStyle w:val="MdStrong"/>
              </w:rPr>
              <w:t>Policy &amp; Compliance</w:t>
            </w:r>
          </w:p>
        </w:tc>
        <w:tc>
          <w:tcPr>
            <w:tcW w:w="0" w:type="auto"/>
          </w:tcPr>
          <w:p w14:paraId="6E029C89"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t>Internal policies for AI procurement, development, and use have been established.</w:t>
            </w:r>
          </w:p>
        </w:tc>
        <w:tc>
          <w:tcPr>
            <w:tcW w:w="0" w:type="auto"/>
          </w:tcPr>
          <w:p w14:paraId="753C176C"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rPr>
                <w:rStyle w:val="MdStrong"/>
              </w:rPr>
              <w:t>EU AI Act:</w:t>
            </w:r>
            <w:r>
              <w:t xml:space="preserve"> Art. 16</w:t>
            </w:r>
          </w:p>
        </w:tc>
      </w:tr>
      <w:tr w:rsidR="00A30A88" w14:paraId="78DD5A1C" w14:textId="77777777" w:rsidTr="00976CD2">
        <w:trPr>
          <w:trHeight w:val="576"/>
        </w:trPr>
        <w:tc>
          <w:tcPr>
            <w:cnfStyle w:val="001000000000" w:firstRow="0" w:lastRow="0" w:firstColumn="1" w:lastColumn="0" w:oddVBand="0" w:evenVBand="0" w:oddHBand="0" w:evenHBand="0" w:firstRowFirstColumn="0" w:firstRowLastColumn="0" w:lastRowFirstColumn="0" w:lastRowLastColumn="0"/>
            <w:tcW w:w="0" w:type="auto"/>
          </w:tcPr>
          <w:p w14:paraId="597957DA" w14:textId="77777777" w:rsidR="00A30A88" w:rsidRDefault="00A30A88">
            <w:pPr>
              <w:pStyle w:val="MdTableCell"/>
            </w:pPr>
          </w:p>
        </w:tc>
        <w:tc>
          <w:tcPr>
            <w:tcW w:w="0" w:type="auto"/>
          </w:tcPr>
          <w:p w14:paraId="1F2C1DDD"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t>A process is in place to monitor and ensure compliance with relevant legal and regulatory frameworks (e.g., GDPR, EU AI Act).</w:t>
            </w:r>
          </w:p>
        </w:tc>
        <w:tc>
          <w:tcPr>
            <w:tcW w:w="0" w:type="auto"/>
          </w:tcPr>
          <w:p w14:paraId="7A826EB0"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rPr>
                <w:rStyle w:val="MdStrong"/>
              </w:rPr>
              <w:t>EU AI Act:</w:t>
            </w:r>
            <w:r>
              <w:t xml:space="preserve"> Art. 61</w:t>
            </w:r>
          </w:p>
        </w:tc>
      </w:tr>
    </w:tbl>
    <w:p w14:paraId="5ED6CDE5" w14:textId="77777777" w:rsidR="00A30A88" w:rsidRDefault="00000000" w:rsidP="00976CD2">
      <w:pPr>
        <w:pStyle w:val="MdParagraph"/>
        <w:jc w:val="center"/>
      </w:pPr>
      <w:r>
        <w:rPr>
          <w:rStyle w:val="MdStrong"/>
        </w:rPr>
        <w:t xml:space="preserve">Table 3: </w:t>
      </w:r>
      <w:r w:rsidRPr="00976CD2">
        <w:rPr>
          <w:rStyle w:val="MdStrong"/>
          <w:b w:val="0"/>
          <w:bCs w:val="0"/>
        </w:rPr>
        <w:t>Domain 2 - Data Ecosystem</w:t>
      </w:r>
    </w:p>
    <w:p w14:paraId="71A5AF6B" w14:textId="77777777" w:rsidR="00A30A88" w:rsidRDefault="00A30A88">
      <w:pPr>
        <w:pStyle w:val="MdSpace"/>
        <w:spacing w:after="60"/>
      </w:pPr>
    </w:p>
    <w:tbl>
      <w:tblPr>
        <w:tblStyle w:val="GridTable5Dark-Accent3"/>
        <w:tblW w:w="5000" w:type="pct"/>
        <w:tblLook w:val="04A0" w:firstRow="1" w:lastRow="0" w:firstColumn="1" w:lastColumn="0" w:noHBand="0" w:noVBand="1"/>
      </w:tblPr>
      <w:tblGrid>
        <w:gridCol w:w="1839"/>
        <w:gridCol w:w="4874"/>
        <w:gridCol w:w="2303"/>
      </w:tblGrid>
      <w:tr w:rsidR="00A30A88" w14:paraId="1E9E04F9" w14:textId="77777777" w:rsidTr="00976CD2">
        <w:trPr>
          <w:cnfStyle w:val="100000000000" w:firstRow="1" w:lastRow="0" w:firstColumn="0" w:lastColumn="0" w:oddVBand="0" w:evenVBand="0" w:oddHBand="0"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0" w:type="auto"/>
          </w:tcPr>
          <w:p w14:paraId="7C4784EB" w14:textId="77777777" w:rsidR="00A30A88" w:rsidRDefault="00000000">
            <w:pPr>
              <w:pStyle w:val="MdTableHeader"/>
            </w:pPr>
            <w:r>
              <w:t>Sub-Domain</w:t>
            </w:r>
          </w:p>
        </w:tc>
        <w:tc>
          <w:tcPr>
            <w:tcW w:w="0" w:type="auto"/>
          </w:tcPr>
          <w:p w14:paraId="5EC31EAF" w14:textId="77777777" w:rsidR="00A30A88" w:rsidRDefault="00000000">
            <w:pPr>
              <w:pStyle w:val="MdTableHeader"/>
              <w:cnfStyle w:val="100000000000" w:firstRow="1" w:lastRow="0" w:firstColumn="0" w:lastColumn="0" w:oddVBand="0" w:evenVBand="0" w:oddHBand="0" w:evenHBand="0" w:firstRowFirstColumn="0" w:firstRowLastColumn="0" w:lastRowFirstColumn="0" w:lastRowLastColumn="0"/>
            </w:pPr>
            <w:r>
              <w:t>Measurable Indicator</w:t>
            </w:r>
          </w:p>
        </w:tc>
        <w:tc>
          <w:tcPr>
            <w:tcW w:w="0" w:type="auto"/>
          </w:tcPr>
          <w:p w14:paraId="7E7D0E64" w14:textId="77777777" w:rsidR="00A30A88" w:rsidRDefault="00000000">
            <w:pPr>
              <w:pStyle w:val="MdTableHeader"/>
              <w:cnfStyle w:val="100000000000" w:firstRow="1" w:lastRow="0" w:firstColumn="0" w:lastColumn="0" w:oddVBand="0" w:evenVBand="0" w:oddHBand="0" w:evenHBand="0" w:firstRowFirstColumn="0" w:firstRowLastColumn="0" w:lastRowFirstColumn="0" w:lastRowLastColumn="0"/>
            </w:pPr>
            <w:r>
              <w:t>Policy Alignment</w:t>
            </w:r>
          </w:p>
        </w:tc>
      </w:tr>
      <w:tr w:rsidR="00A30A88" w14:paraId="64B68258" w14:textId="77777777" w:rsidTr="00976CD2">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2F3174A3" w14:textId="77777777" w:rsidR="00A30A88" w:rsidRDefault="00000000">
            <w:pPr>
              <w:pStyle w:val="MdTableCell"/>
            </w:pPr>
            <w:r>
              <w:rPr>
                <w:rStyle w:val="MdStrong"/>
              </w:rPr>
              <w:t>Data Infrastructure</w:t>
            </w:r>
          </w:p>
        </w:tc>
        <w:tc>
          <w:tcPr>
            <w:tcW w:w="0" w:type="auto"/>
          </w:tcPr>
          <w:p w14:paraId="17546330"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t>The institution has a modern, scalable data infrastructure capable of supporting AI/ML workloads.</w:t>
            </w:r>
          </w:p>
        </w:tc>
        <w:tc>
          <w:tcPr>
            <w:tcW w:w="0" w:type="auto"/>
          </w:tcPr>
          <w:p w14:paraId="1B6DF757"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rPr>
                <w:rStyle w:val="MdStrong"/>
              </w:rPr>
              <w:t>EU AI Act:</w:t>
            </w:r>
            <w:r>
              <w:t xml:space="preserve"> Art. 10</w:t>
            </w:r>
          </w:p>
        </w:tc>
      </w:tr>
      <w:tr w:rsidR="00A30A88" w14:paraId="54D00C65" w14:textId="77777777" w:rsidTr="00976CD2">
        <w:trPr>
          <w:trHeight w:val="576"/>
        </w:trPr>
        <w:tc>
          <w:tcPr>
            <w:cnfStyle w:val="001000000000" w:firstRow="0" w:lastRow="0" w:firstColumn="1" w:lastColumn="0" w:oddVBand="0" w:evenVBand="0" w:oddHBand="0" w:evenHBand="0" w:firstRowFirstColumn="0" w:firstRowLastColumn="0" w:lastRowFirstColumn="0" w:lastRowLastColumn="0"/>
            <w:tcW w:w="0" w:type="auto"/>
          </w:tcPr>
          <w:p w14:paraId="48B35D95" w14:textId="77777777" w:rsidR="00A30A88" w:rsidRDefault="00A30A88">
            <w:pPr>
              <w:pStyle w:val="MdTableCell"/>
            </w:pPr>
          </w:p>
        </w:tc>
        <w:tc>
          <w:tcPr>
            <w:tcW w:w="0" w:type="auto"/>
          </w:tcPr>
          <w:p w14:paraId="241A0163"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t>Secure environments are available for data storage, processing, and analysis.</w:t>
            </w:r>
          </w:p>
        </w:tc>
        <w:tc>
          <w:tcPr>
            <w:tcW w:w="0" w:type="auto"/>
          </w:tcPr>
          <w:p w14:paraId="14B3E7CB"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rPr>
                <w:rStyle w:val="MdStrong"/>
              </w:rPr>
              <w:t>OECD:</w:t>
            </w:r>
            <w:r>
              <w:t xml:space="preserve"> Robustness, Security and Safety</w:t>
            </w:r>
          </w:p>
        </w:tc>
      </w:tr>
      <w:tr w:rsidR="00A30A88" w14:paraId="0E21FBF0" w14:textId="77777777" w:rsidTr="00976CD2">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4C785AA1" w14:textId="77777777" w:rsidR="00A30A88" w:rsidRDefault="00000000">
            <w:pPr>
              <w:pStyle w:val="MdTableCell"/>
            </w:pPr>
            <w:r>
              <w:rPr>
                <w:rStyle w:val="MdStrong"/>
              </w:rPr>
              <w:t>Data Governance</w:t>
            </w:r>
          </w:p>
        </w:tc>
        <w:tc>
          <w:tcPr>
            <w:tcW w:w="0" w:type="auto"/>
          </w:tcPr>
          <w:p w14:paraId="4039A775"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t>A comprehensive data governance framework is in place, with clear policies for data quality, privacy, and security.</w:t>
            </w:r>
          </w:p>
        </w:tc>
        <w:tc>
          <w:tcPr>
            <w:tcW w:w="0" w:type="auto"/>
          </w:tcPr>
          <w:p w14:paraId="7EDA0C97" w14:textId="39C26AEB"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rPr>
                <w:rStyle w:val="MdStrong"/>
              </w:rPr>
              <w:t>EU AI Act:</w:t>
            </w:r>
            <w:r>
              <w:t xml:space="preserve"> Art. 10</w:t>
            </w:r>
            <w:r w:rsidR="00976CD2">
              <w:br/>
            </w:r>
            <w:r>
              <w:rPr>
                <w:rStyle w:val="MdStrong"/>
              </w:rPr>
              <w:t>UNESCO:</w:t>
            </w:r>
            <w:r>
              <w:t xml:space="preserve"> Rec. 38</w:t>
            </w:r>
          </w:p>
        </w:tc>
      </w:tr>
      <w:tr w:rsidR="00A30A88" w14:paraId="04D8526A" w14:textId="77777777" w:rsidTr="00976CD2">
        <w:trPr>
          <w:trHeight w:val="576"/>
        </w:trPr>
        <w:tc>
          <w:tcPr>
            <w:cnfStyle w:val="001000000000" w:firstRow="0" w:lastRow="0" w:firstColumn="1" w:lastColumn="0" w:oddVBand="0" w:evenVBand="0" w:oddHBand="0" w:evenHBand="0" w:firstRowFirstColumn="0" w:firstRowLastColumn="0" w:lastRowFirstColumn="0" w:lastRowLastColumn="0"/>
            <w:tcW w:w="0" w:type="auto"/>
          </w:tcPr>
          <w:p w14:paraId="48CADC10" w14:textId="77777777" w:rsidR="00A30A88" w:rsidRDefault="00A30A88">
            <w:pPr>
              <w:pStyle w:val="MdTableCell"/>
            </w:pPr>
          </w:p>
        </w:tc>
        <w:tc>
          <w:tcPr>
            <w:tcW w:w="0" w:type="auto"/>
          </w:tcPr>
          <w:p w14:paraId="29691C4B"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t>Clear ownership and stewardship of institutional data assets are defined.</w:t>
            </w:r>
          </w:p>
        </w:tc>
        <w:tc>
          <w:tcPr>
            <w:tcW w:w="0" w:type="auto"/>
          </w:tcPr>
          <w:p w14:paraId="406F31DA"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rPr>
                <w:rStyle w:val="MdStrong"/>
              </w:rPr>
              <w:t>OECD:</w:t>
            </w:r>
            <w:r>
              <w:t xml:space="preserve"> Accountability</w:t>
            </w:r>
          </w:p>
        </w:tc>
      </w:tr>
      <w:tr w:rsidR="00A30A88" w14:paraId="5CBADBA1" w14:textId="77777777" w:rsidTr="00976CD2">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79DE544B" w14:textId="77777777" w:rsidR="00A30A88" w:rsidRDefault="00000000">
            <w:pPr>
              <w:pStyle w:val="MdTableCell"/>
            </w:pPr>
            <w:r>
              <w:rPr>
                <w:rStyle w:val="MdStrong"/>
              </w:rPr>
              <w:t>Data Quality &amp; Accessibility</w:t>
            </w:r>
          </w:p>
        </w:tc>
        <w:tc>
          <w:tcPr>
            <w:tcW w:w="0" w:type="auto"/>
          </w:tcPr>
          <w:p w14:paraId="6154AC64"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t>Processes exist to ensure the quality, accuracy, and integrity of data used for AI systems.</w:t>
            </w:r>
          </w:p>
        </w:tc>
        <w:tc>
          <w:tcPr>
            <w:tcW w:w="0" w:type="auto"/>
          </w:tcPr>
          <w:p w14:paraId="08666EF1"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rPr>
                <w:rStyle w:val="MdStrong"/>
              </w:rPr>
              <w:t>EU AI Act:</w:t>
            </w:r>
            <w:r>
              <w:t xml:space="preserve"> Art. 10</w:t>
            </w:r>
          </w:p>
        </w:tc>
      </w:tr>
      <w:tr w:rsidR="00A30A88" w14:paraId="260BF6E3" w14:textId="77777777" w:rsidTr="00976CD2">
        <w:trPr>
          <w:trHeight w:val="576"/>
        </w:trPr>
        <w:tc>
          <w:tcPr>
            <w:cnfStyle w:val="001000000000" w:firstRow="0" w:lastRow="0" w:firstColumn="1" w:lastColumn="0" w:oddVBand="0" w:evenVBand="0" w:oddHBand="0" w:evenHBand="0" w:firstRowFirstColumn="0" w:firstRowLastColumn="0" w:lastRowFirstColumn="0" w:lastRowLastColumn="0"/>
            <w:tcW w:w="0" w:type="auto"/>
          </w:tcPr>
          <w:p w14:paraId="0788A5A7" w14:textId="77777777" w:rsidR="00A30A88" w:rsidRDefault="00A30A88">
            <w:pPr>
              <w:pStyle w:val="MdTableCell"/>
            </w:pPr>
          </w:p>
        </w:tc>
        <w:tc>
          <w:tcPr>
            <w:tcW w:w="0" w:type="auto"/>
          </w:tcPr>
          <w:p w14:paraId="2047BC4E"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t>Policies and procedures are in place to manage bias in datasets.</w:t>
            </w:r>
          </w:p>
        </w:tc>
        <w:tc>
          <w:tcPr>
            <w:tcW w:w="0" w:type="auto"/>
          </w:tcPr>
          <w:p w14:paraId="7B0FBE7F" w14:textId="31D8D249"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rPr>
                <w:rStyle w:val="MdStrong"/>
              </w:rPr>
              <w:t>UNESCO:</w:t>
            </w:r>
            <w:r>
              <w:t xml:space="preserve"> Rec. 64</w:t>
            </w:r>
            <w:r w:rsidR="00976CD2">
              <w:br/>
            </w:r>
            <w:r>
              <w:rPr>
                <w:rStyle w:val="MdStrong"/>
              </w:rPr>
              <w:t>EU AI Act:</w:t>
            </w:r>
            <w:r>
              <w:t xml:space="preserve"> Art. 10(3)</w:t>
            </w:r>
          </w:p>
        </w:tc>
      </w:tr>
    </w:tbl>
    <w:p w14:paraId="340B39E8" w14:textId="77777777" w:rsidR="00A30A88" w:rsidRDefault="00000000" w:rsidP="00976CD2">
      <w:pPr>
        <w:pStyle w:val="MdParagraph"/>
        <w:jc w:val="center"/>
      </w:pPr>
      <w:r>
        <w:rPr>
          <w:rStyle w:val="MdStrong"/>
        </w:rPr>
        <w:t xml:space="preserve">Table 4: </w:t>
      </w:r>
      <w:r w:rsidRPr="00976CD2">
        <w:rPr>
          <w:rStyle w:val="MdStrong"/>
          <w:b w:val="0"/>
          <w:bCs w:val="0"/>
        </w:rPr>
        <w:t>Domain 3 - Technology and Tools</w:t>
      </w:r>
    </w:p>
    <w:p w14:paraId="2DB95226" w14:textId="77777777" w:rsidR="00A30A88" w:rsidRDefault="00A30A88">
      <w:pPr>
        <w:pStyle w:val="MdSpace"/>
        <w:spacing w:after="60"/>
      </w:pPr>
    </w:p>
    <w:tbl>
      <w:tblPr>
        <w:tblStyle w:val="GridTable5Dark-Accent3"/>
        <w:tblW w:w="5000" w:type="pct"/>
        <w:tblLook w:val="04A0" w:firstRow="1" w:lastRow="0" w:firstColumn="1" w:lastColumn="0" w:noHBand="0" w:noVBand="1"/>
      </w:tblPr>
      <w:tblGrid>
        <w:gridCol w:w="1922"/>
        <w:gridCol w:w="4839"/>
        <w:gridCol w:w="2255"/>
      </w:tblGrid>
      <w:tr w:rsidR="00A30A88" w14:paraId="0A47B437" w14:textId="77777777" w:rsidTr="00976CD2">
        <w:trPr>
          <w:cnfStyle w:val="100000000000" w:firstRow="1" w:lastRow="0" w:firstColumn="0" w:lastColumn="0" w:oddVBand="0" w:evenVBand="0" w:oddHBand="0"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0" w:type="auto"/>
          </w:tcPr>
          <w:p w14:paraId="39913F9E" w14:textId="77777777" w:rsidR="00A30A88" w:rsidRDefault="00000000">
            <w:pPr>
              <w:pStyle w:val="MdTableHeader"/>
            </w:pPr>
            <w:r>
              <w:t>Sub-Domain</w:t>
            </w:r>
          </w:p>
        </w:tc>
        <w:tc>
          <w:tcPr>
            <w:tcW w:w="0" w:type="auto"/>
          </w:tcPr>
          <w:p w14:paraId="144252A3" w14:textId="77777777" w:rsidR="00A30A88" w:rsidRDefault="00000000">
            <w:pPr>
              <w:pStyle w:val="MdTableHeader"/>
              <w:cnfStyle w:val="100000000000" w:firstRow="1" w:lastRow="0" w:firstColumn="0" w:lastColumn="0" w:oddVBand="0" w:evenVBand="0" w:oddHBand="0" w:evenHBand="0" w:firstRowFirstColumn="0" w:firstRowLastColumn="0" w:lastRowFirstColumn="0" w:lastRowLastColumn="0"/>
            </w:pPr>
            <w:r>
              <w:t>Measurable Indicator</w:t>
            </w:r>
          </w:p>
        </w:tc>
        <w:tc>
          <w:tcPr>
            <w:tcW w:w="0" w:type="auto"/>
          </w:tcPr>
          <w:p w14:paraId="4F690092" w14:textId="77777777" w:rsidR="00A30A88" w:rsidRDefault="00000000">
            <w:pPr>
              <w:pStyle w:val="MdTableHeader"/>
              <w:cnfStyle w:val="100000000000" w:firstRow="1" w:lastRow="0" w:firstColumn="0" w:lastColumn="0" w:oddVBand="0" w:evenVBand="0" w:oddHBand="0" w:evenHBand="0" w:firstRowFirstColumn="0" w:firstRowLastColumn="0" w:lastRowFirstColumn="0" w:lastRowLastColumn="0"/>
            </w:pPr>
            <w:r>
              <w:t>Policy Alignment</w:t>
            </w:r>
          </w:p>
        </w:tc>
      </w:tr>
      <w:tr w:rsidR="00A30A88" w14:paraId="77C9878C" w14:textId="77777777" w:rsidTr="00976CD2">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7BD946EB" w14:textId="77777777" w:rsidR="00A30A88" w:rsidRDefault="00000000">
            <w:pPr>
              <w:pStyle w:val="MdTableCell"/>
            </w:pPr>
            <w:r>
              <w:rPr>
                <w:rStyle w:val="MdStrong"/>
              </w:rPr>
              <w:t>AI Platforms &amp; Tools</w:t>
            </w:r>
          </w:p>
        </w:tc>
        <w:tc>
          <w:tcPr>
            <w:tcW w:w="0" w:type="auto"/>
          </w:tcPr>
          <w:p w14:paraId="59829444"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t>Access to appropriate AI development and analytics platforms and tools is provided to researchers, staff, and students.</w:t>
            </w:r>
          </w:p>
        </w:tc>
        <w:tc>
          <w:tcPr>
            <w:tcW w:w="0" w:type="auto"/>
          </w:tcPr>
          <w:p w14:paraId="017EC7F4"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rPr>
                <w:rStyle w:val="MdStrong"/>
              </w:rPr>
              <w:t>UNESCO:</w:t>
            </w:r>
            <w:r>
              <w:t xml:space="preserve"> Rec. 29</w:t>
            </w:r>
          </w:p>
        </w:tc>
      </w:tr>
      <w:tr w:rsidR="00A30A88" w14:paraId="6E645CF9" w14:textId="77777777" w:rsidTr="00976CD2">
        <w:trPr>
          <w:trHeight w:val="576"/>
        </w:trPr>
        <w:tc>
          <w:tcPr>
            <w:cnfStyle w:val="001000000000" w:firstRow="0" w:lastRow="0" w:firstColumn="1" w:lastColumn="0" w:oddVBand="0" w:evenVBand="0" w:oddHBand="0" w:evenHBand="0" w:firstRowFirstColumn="0" w:firstRowLastColumn="0" w:lastRowFirstColumn="0" w:lastRowLastColumn="0"/>
            <w:tcW w:w="0" w:type="auto"/>
          </w:tcPr>
          <w:p w14:paraId="0961F0A3" w14:textId="77777777" w:rsidR="00A30A88" w:rsidRDefault="00A30A88">
            <w:pPr>
              <w:pStyle w:val="MdTableCell"/>
            </w:pPr>
          </w:p>
        </w:tc>
        <w:tc>
          <w:tcPr>
            <w:tcW w:w="0" w:type="auto"/>
          </w:tcPr>
          <w:p w14:paraId="0D595617"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t>A catalog of approved and supported AI tools and services is maintained.</w:t>
            </w:r>
          </w:p>
        </w:tc>
        <w:tc>
          <w:tcPr>
            <w:tcW w:w="0" w:type="auto"/>
          </w:tcPr>
          <w:p w14:paraId="37485EA9"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rPr>
                <w:rStyle w:val="MdStrong"/>
              </w:rPr>
              <w:t>OECD:</w:t>
            </w:r>
            <w:r>
              <w:t xml:space="preserve"> Accountability</w:t>
            </w:r>
          </w:p>
        </w:tc>
      </w:tr>
      <w:tr w:rsidR="00A30A88" w14:paraId="20E6C4A7" w14:textId="77777777" w:rsidTr="00976CD2">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1B4FA5A9" w14:textId="77777777" w:rsidR="00A30A88" w:rsidRDefault="00000000">
            <w:pPr>
              <w:pStyle w:val="MdTableCell"/>
            </w:pPr>
            <w:r>
              <w:rPr>
                <w:rStyle w:val="MdStrong"/>
              </w:rPr>
              <w:t>Integration &amp; Interoperability</w:t>
            </w:r>
          </w:p>
        </w:tc>
        <w:tc>
          <w:tcPr>
            <w:tcW w:w="0" w:type="auto"/>
          </w:tcPr>
          <w:p w14:paraId="5992F8C5"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t>AI systems are designed to integrate with existing institutional systems (e.g., LMS, SIS).</w:t>
            </w:r>
          </w:p>
        </w:tc>
        <w:tc>
          <w:tcPr>
            <w:tcW w:w="0" w:type="auto"/>
          </w:tcPr>
          <w:p w14:paraId="765E7621"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rPr>
                <w:rStyle w:val="MdStrong"/>
              </w:rPr>
              <w:t>EU AI Act:</w:t>
            </w:r>
            <w:r>
              <w:t xml:space="preserve"> Art. 15</w:t>
            </w:r>
          </w:p>
        </w:tc>
      </w:tr>
      <w:tr w:rsidR="00A30A88" w14:paraId="17B2BF15" w14:textId="77777777" w:rsidTr="00976CD2">
        <w:trPr>
          <w:trHeight w:val="576"/>
        </w:trPr>
        <w:tc>
          <w:tcPr>
            <w:cnfStyle w:val="001000000000" w:firstRow="0" w:lastRow="0" w:firstColumn="1" w:lastColumn="0" w:oddVBand="0" w:evenVBand="0" w:oddHBand="0" w:evenHBand="0" w:firstRowFirstColumn="0" w:firstRowLastColumn="0" w:lastRowFirstColumn="0" w:lastRowLastColumn="0"/>
            <w:tcW w:w="0" w:type="auto"/>
          </w:tcPr>
          <w:p w14:paraId="50130D77" w14:textId="77777777" w:rsidR="00A30A88" w:rsidRDefault="00A30A88">
            <w:pPr>
              <w:pStyle w:val="MdTableCell"/>
            </w:pPr>
          </w:p>
        </w:tc>
        <w:tc>
          <w:tcPr>
            <w:tcW w:w="0" w:type="auto"/>
          </w:tcPr>
          <w:p w14:paraId="05F85D0F"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t>The institution follows standards for data and system interoperability.</w:t>
            </w:r>
          </w:p>
        </w:tc>
        <w:tc>
          <w:tcPr>
            <w:tcW w:w="0" w:type="auto"/>
          </w:tcPr>
          <w:p w14:paraId="2416BF39"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rPr>
                <w:rStyle w:val="MdStrong"/>
              </w:rPr>
              <w:t>UNESCO:</w:t>
            </w:r>
            <w:r>
              <w:t xml:space="preserve"> Rec. 30</w:t>
            </w:r>
          </w:p>
        </w:tc>
      </w:tr>
      <w:tr w:rsidR="00A30A88" w14:paraId="52137B4C" w14:textId="77777777" w:rsidTr="00976CD2">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3F594625" w14:textId="77777777" w:rsidR="00A30A88" w:rsidRDefault="00000000">
            <w:pPr>
              <w:pStyle w:val="MdTableCell"/>
            </w:pPr>
            <w:r>
              <w:rPr>
                <w:rStyle w:val="MdStrong"/>
              </w:rPr>
              <w:t>Security &amp; Privacy</w:t>
            </w:r>
          </w:p>
        </w:tc>
        <w:tc>
          <w:tcPr>
            <w:tcW w:w="0" w:type="auto"/>
          </w:tcPr>
          <w:p w14:paraId="5EE4D826"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t>Robust cybersecurity measures are in place to protect AI systems and the data they process.</w:t>
            </w:r>
          </w:p>
        </w:tc>
        <w:tc>
          <w:tcPr>
            <w:tcW w:w="0" w:type="auto"/>
          </w:tcPr>
          <w:p w14:paraId="0C451A6D" w14:textId="2A8FCC6D"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rPr>
                <w:rStyle w:val="MdStrong"/>
              </w:rPr>
              <w:t>EU AI Act:</w:t>
            </w:r>
            <w:r>
              <w:t xml:space="preserve"> Art. 15</w:t>
            </w:r>
            <w:r w:rsidR="00976CD2">
              <w:br/>
            </w:r>
            <w:r>
              <w:rPr>
                <w:rStyle w:val="MdStrong"/>
              </w:rPr>
              <w:t>OECD:</w:t>
            </w:r>
            <w:r>
              <w:t xml:space="preserve"> Robustness, Security and Safety</w:t>
            </w:r>
          </w:p>
        </w:tc>
      </w:tr>
      <w:tr w:rsidR="00A30A88" w14:paraId="4082F451" w14:textId="77777777" w:rsidTr="00976CD2">
        <w:trPr>
          <w:trHeight w:val="576"/>
        </w:trPr>
        <w:tc>
          <w:tcPr>
            <w:cnfStyle w:val="001000000000" w:firstRow="0" w:lastRow="0" w:firstColumn="1" w:lastColumn="0" w:oddVBand="0" w:evenVBand="0" w:oddHBand="0" w:evenHBand="0" w:firstRowFirstColumn="0" w:firstRowLastColumn="0" w:lastRowFirstColumn="0" w:lastRowLastColumn="0"/>
            <w:tcW w:w="0" w:type="auto"/>
          </w:tcPr>
          <w:p w14:paraId="506DF92F" w14:textId="77777777" w:rsidR="00A30A88" w:rsidRDefault="00A30A88">
            <w:pPr>
              <w:pStyle w:val="MdTableCell"/>
            </w:pPr>
          </w:p>
        </w:tc>
        <w:tc>
          <w:tcPr>
            <w:tcW w:w="0" w:type="auto"/>
          </w:tcPr>
          <w:p w14:paraId="25FD7377"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t>Privacy-by-design principles are incorporated into the development and deployment of AI systems.</w:t>
            </w:r>
          </w:p>
        </w:tc>
        <w:tc>
          <w:tcPr>
            <w:tcW w:w="0" w:type="auto"/>
          </w:tcPr>
          <w:p w14:paraId="07436B95"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rPr>
                <w:rStyle w:val="MdStrong"/>
              </w:rPr>
              <w:t>UNESCO:</w:t>
            </w:r>
            <w:r>
              <w:t xml:space="preserve"> Rec. 38</w:t>
            </w:r>
          </w:p>
        </w:tc>
      </w:tr>
    </w:tbl>
    <w:p w14:paraId="7AE3A24F" w14:textId="77777777" w:rsidR="00A30A88" w:rsidRDefault="00000000" w:rsidP="00976CD2">
      <w:pPr>
        <w:pStyle w:val="MdParagraph"/>
        <w:jc w:val="center"/>
      </w:pPr>
      <w:r>
        <w:rPr>
          <w:rStyle w:val="MdStrong"/>
        </w:rPr>
        <w:t xml:space="preserve">Table 5: </w:t>
      </w:r>
      <w:r w:rsidRPr="00976CD2">
        <w:rPr>
          <w:rStyle w:val="MdStrong"/>
          <w:b w:val="0"/>
          <w:bCs w:val="0"/>
        </w:rPr>
        <w:t>Domain 4 - Workforce and Culture</w:t>
      </w:r>
    </w:p>
    <w:p w14:paraId="09D6BD91" w14:textId="77777777" w:rsidR="00A30A88" w:rsidRDefault="00A30A88">
      <w:pPr>
        <w:pStyle w:val="MdSpace"/>
        <w:spacing w:after="60"/>
      </w:pPr>
    </w:p>
    <w:tbl>
      <w:tblPr>
        <w:tblStyle w:val="GridTable5Dark-Accent3"/>
        <w:tblW w:w="5000" w:type="pct"/>
        <w:tblLook w:val="04A0" w:firstRow="1" w:lastRow="0" w:firstColumn="1" w:lastColumn="0" w:noHBand="0" w:noVBand="1"/>
      </w:tblPr>
      <w:tblGrid>
        <w:gridCol w:w="2070"/>
        <w:gridCol w:w="5177"/>
        <w:gridCol w:w="1769"/>
      </w:tblGrid>
      <w:tr w:rsidR="00A30A88" w14:paraId="2255D9A6" w14:textId="77777777" w:rsidTr="00976CD2">
        <w:trPr>
          <w:cnfStyle w:val="100000000000" w:firstRow="1" w:lastRow="0" w:firstColumn="0" w:lastColumn="0" w:oddVBand="0" w:evenVBand="0" w:oddHBand="0"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0" w:type="auto"/>
          </w:tcPr>
          <w:p w14:paraId="0E3329BD" w14:textId="77777777" w:rsidR="00A30A88" w:rsidRDefault="00000000">
            <w:pPr>
              <w:pStyle w:val="MdTableHeader"/>
            </w:pPr>
            <w:r>
              <w:t>Sub-Domain</w:t>
            </w:r>
          </w:p>
        </w:tc>
        <w:tc>
          <w:tcPr>
            <w:tcW w:w="0" w:type="auto"/>
          </w:tcPr>
          <w:p w14:paraId="5BD4E4C4" w14:textId="77777777" w:rsidR="00A30A88" w:rsidRDefault="00000000">
            <w:pPr>
              <w:pStyle w:val="MdTableHeader"/>
              <w:cnfStyle w:val="100000000000" w:firstRow="1" w:lastRow="0" w:firstColumn="0" w:lastColumn="0" w:oddVBand="0" w:evenVBand="0" w:oddHBand="0" w:evenHBand="0" w:firstRowFirstColumn="0" w:firstRowLastColumn="0" w:lastRowFirstColumn="0" w:lastRowLastColumn="0"/>
            </w:pPr>
            <w:r>
              <w:t>Measurable Indicator</w:t>
            </w:r>
          </w:p>
        </w:tc>
        <w:tc>
          <w:tcPr>
            <w:tcW w:w="0" w:type="auto"/>
          </w:tcPr>
          <w:p w14:paraId="11591A62" w14:textId="77777777" w:rsidR="00A30A88" w:rsidRDefault="00000000">
            <w:pPr>
              <w:pStyle w:val="MdTableHeader"/>
              <w:cnfStyle w:val="100000000000" w:firstRow="1" w:lastRow="0" w:firstColumn="0" w:lastColumn="0" w:oddVBand="0" w:evenVBand="0" w:oddHBand="0" w:evenHBand="0" w:firstRowFirstColumn="0" w:firstRowLastColumn="0" w:lastRowFirstColumn="0" w:lastRowLastColumn="0"/>
            </w:pPr>
            <w:r>
              <w:t>Policy Alignment</w:t>
            </w:r>
          </w:p>
        </w:tc>
      </w:tr>
      <w:tr w:rsidR="00A30A88" w14:paraId="51F5A189" w14:textId="77777777" w:rsidTr="00976CD2">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528B8A0C" w14:textId="77777777" w:rsidR="00A30A88" w:rsidRDefault="00000000">
            <w:pPr>
              <w:pStyle w:val="MdTableCell"/>
            </w:pPr>
            <w:r>
              <w:rPr>
                <w:rStyle w:val="MdStrong"/>
              </w:rPr>
              <w:t>AI Literacy &amp; Skills</w:t>
            </w:r>
          </w:p>
        </w:tc>
        <w:tc>
          <w:tcPr>
            <w:tcW w:w="0" w:type="auto"/>
          </w:tcPr>
          <w:p w14:paraId="4E3BD8E8"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t>Professional development and training programs on AI are available for faculty and staff.</w:t>
            </w:r>
          </w:p>
        </w:tc>
        <w:tc>
          <w:tcPr>
            <w:tcW w:w="0" w:type="auto"/>
          </w:tcPr>
          <w:p w14:paraId="68FD215B"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rPr>
                <w:rStyle w:val="MdStrong"/>
              </w:rPr>
              <w:t>UNESCO:</w:t>
            </w:r>
            <w:r>
              <w:t xml:space="preserve"> Rec. 83</w:t>
            </w:r>
          </w:p>
        </w:tc>
      </w:tr>
      <w:tr w:rsidR="00A30A88" w14:paraId="3FE567AC" w14:textId="77777777" w:rsidTr="00976CD2">
        <w:trPr>
          <w:trHeight w:val="576"/>
        </w:trPr>
        <w:tc>
          <w:tcPr>
            <w:cnfStyle w:val="001000000000" w:firstRow="0" w:lastRow="0" w:firstColumn="1" w:lastColumn="0" w:oddVBand="0" w:evenVBand="0" w:oddHBand="0" w:evenHBand="0" w:firstRowFirstColumn="0" w:firstRowLastColumn="0" w:lastRowFirstColumn="0" w:lastRowLastColumn="0"/>
            <w:tcW w:w="0" w:type="auto"/>
          </w:tcPr>
          <w:p w14:paraId="5742D9D0" w14:textId="77777777" w:rsidR="00A30A88" w:rsidRDefault="00A30A88">
            <w:pPr>
              <w:pStyle w:val="MdTableCell"/>
            </w:pPr>
          </w:p>
        </w:tc>
        <w:tc>
          <w:tcPr>
            <w:tcW w:w="0" w:type="auto"/>
          </w:tcPr>
          <w:p w14:paraId="3AAAE09F"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t>AI literacy and critical thinking skills are integrated into the curriculum for students across disciplines.</w:t>
            </w:r>
          </w:p>
        </w:tc>
        <w:tc>
          <w:tcPr>
            <w:tcW w:w="0" w:type="auto"/>
          </w:tcPr>
          <w:p w14:paraId="4878085B"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rPr>
                <w:rStyle w:val="MdStrong"/>
              </w:rPr>
              <w:t>UNESCO:</w:t>
            </w:r>
            <w:r>
              <w:t xml:space="preserve"> Rec. 75</w:t>
            </w:r>
          </w:p>
        </w:tc>
      </w:tr>
      <w:tr w:rsidR="00A30A88" w14:paraId="2B335920" w14:textId="77777777" w:rsidTr="00976CD2">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5EC6F871" w14:textId="77777777" w:rsidR="00A30A88" w:rsidRDefault="00000000">
            <w:pPr>
              <w:pStyle w:val="MdTableCell"/>
            </w:pPr>
            <w:r>
              <w:rPr>
                <w:rStyle w:val="MdStrong"/>
              </w:rPr>
              <w:t>Change Management &amp; Culture</w:t>
            </w:r>
          </w:p>
        </w:tc>
        <w:tc>
          <w:tcPr>
            <w:tcW w:w="0" w:type="auto"/>
          </w:tcPr>
          <w:p w14:paraId="1235E16B"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t>A change management strategy is in place to support the adoption of AI and address cultural resistance.</w:t>
            </w:r>
          </w:p>
        </w:tc>
        <w:tc>
          <w:tcPr>
            <w:tcW w:w="0" w:type="auto"/>
          </w:tcPr>
          <w:p w14:paraId="38157B98"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rPr>
                <w:rStyle w:val="MdStrong"/>
              </w:rPr>
              <w:t>OECD:</w:t>
            </w:r>
            <w:r>
              <w:t xml:space="preserve"> Accountability</w:t>
            </w:r>
          </w:p>
        </w:tc>
      </w:tr>
      <w:tr w:rsidR="00A30A88" w14:paraId="1DDA3F56" w14:textId="77777777" w:rsidTr="00976CD2">
        <w:trPr>
          <w:trHeight w:val="576"/>
        </w:trPr>
        <w:tc>
          <w:tcPr>
            <w:cnfStyle w:val="001000000000" w:firstRow="0" w:lastRow="0" w:firstColumn="1" w:lastColumn="0" w:oddVBand="0" w:evenVBand="0" w:oddHBand="0" w:evenHBand="0" w:firstRowFirstColumn="0" w:firstRowLastColumn="0" w:lastRowFirstColumn="0" w:lastRowLastColumn="0"/>
            <w:tcW w:w="0" w:type="auto"/>
          </w:tcPr>
          <w:p w14:paraId="6BEEF178" w14:textId="77777777" w:rsidR="00A30A88" w:rsidRDefault="00A30A88">
            <w:pPr>
              <w:pStyle w:val="MdTableCell"/>
            </w:pPr>
          </w:p>
        </w:tc>
        <w:tc>
          <w:tcPr>
            <w:tcW w:w="0" w:type="auto"/>
          </w:tcPr>
          <w:p w14:paraId="48B2886C"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t>There is a culture of experimentation and continuous learning related to AI.</w:t>
            </w:r>
          </w:p>
        </w:tc>
        <w:tc>
          <w:tcPr>
            <w:tcW w:w="0" w:type="auto"/>
          </w:tcPr>
          <w:p w14:paraId="04286C95"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rPr>
                <w:rStyle w:val="MdStrong"/>
              </w:rPr>
              <w:t>UNESCO:</w:t>
            </w:r>
            <w:r>
              <w:t xml:space="preserve"> Rec. 25</w:t>
            </w:r>
          </w:p>
        </w:tc>
      </w:tr>
      <w:tr w:rsidR="00A30A88" w14:paraId="1FC8E936" w14:textId="77777777" w:rsidTr="00976CD2">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58BC8A5A" w14:textId="77777777" w:rsidR="00A30A88" w:rsidRDefault="00000000">
            <w:pPr>
              <w:pStyle w:val="MdTableCell"/>
            </w:pPr>
            <w:r>
              <w:rPr>
                <w:rStyle w:val="MdStrong"/>
              </w:rPr>
              <w:t>Talent &amp; Role Development</w:t>
            </w:r>
          </w:p>
        </w:tc>
        <w:tc>
          <w:tcPr>
            <w:tcW w:w="0" w:type="auto"/>
          </w:tcPr>
          <w:p w14:paraId="54147CCE"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t>The institution has a strategy to attract, develop, and retain talent with AI-related skills.</w:t>
            </w:r>
          </w:p>
        </w:tc>
        <w:tc>
          <w:tcPr>
            <w:tcW w:w="0" w:type="auto"/>
          </w:tcPr>
          <w:p w14:paraId="3104CA12"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rPr>
                <w:rStyle w:val="MdStrong"/>
              </w:rPr>
              <w:t>UNESCO:</w:t>
            </w:r>
            <w:r>
              <w:t xml:space="preserve"> Rec. 29</w:t>
            </w:r>
          </w:p>
        </w:tc>
      </w:tr>
      <w:tr w:rsidR="00A30A88" w14:paraId="368DE66E" w14:textId="77777777" w:rsidTr="00976CD2">
        <w:trPr>
          <w:trHeight w:val="576"/>
        </w:trPr>
        <w:tc>
          <w:tcPr>
            <w:cnfStyle w:val="001000000000" w:firstRow="0" w:lastRow="0" w:firstColumn="1" w:lastColumn="0" w:oddVBand="0" w:evenVBand="0" w:oddHBand="0" w:evenHBand="0" w:firstRowFirstColumn="0" w:firstRowLastColumn="0" w:lastRowFirstColumn="0" w:lastRowLastColumn="0"/>
            <w:tcW w:w="0" w:type="auto"/>
          </w:tcPr>
          <w:p w14:paraId="79A779D5" w14:textId="77777777" w:rsidR="00A30A88" w:rsidRDefault="00A30A88">
            <w:pPr>
              <w:pStyle w:val="MdTableCell"/>
            </w:pPr>
          </w:p>
        </w:tc>
        <w:tc>
          <w:tcPr>
            <w:tcW w:w="0" w:type="auto"/>
          </w:tcPr>
          <w:p w14:paraId="28F9C994"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t>New roles and career pathways related to AI are being defined and supported.</w:t>
            </w:r>
          </w:p>
        </w:tc>
        <w:tc>
          <w:tcPr>
            <w:tcW w:w="0" w:type="auto"/>
          </w:tcPr>
          <w:p w14:paraId="11B70D82"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rPr>
                <w:rStyle w:val="MdStrong"/>
              </w:rPr>
              <w:t>OECD:</w:t>
            </w:r>
            <w:r>
              <w:t xml:space="preserve"> Accountability</w:t>
            </w:r>
          </w:p>
        </w:tc>
      </w:tr>
    </w:tbl>
    <w:p w14:paraId="7CCDD842" w14:textId="77777777" w:rsidR="00A30A88" w:rsidRDefault="00000000" w:rsidP="00976CD2">
      <w:pPr>
        <w:pStyle w:val="MdParagraph"/>
        <w:jc w:val="center"/>
      </w:pPr>
      <w:r>
        <w:rPr>
          <w:rStyle w:val="MdStrong"/>
        </w:rPr>
        <w:t xml:space="preserve">Table 6: </w:t>
      </w:r>
      <w:r w:rsidRPr="00976CD2">
        <w:rPr>
          <w:rStyle w:val="MdStrong"/>
          <w:b w:val="0"/>
          <w:bCs w:val="0"/>
        </w:rPr>
        <w:t>Domain 5 - Ethics and Responsibility</w:t>
      </w:r>
    </w:p>
    <w:p w14:paraId="7FEE550F" w14:textId="77777777" w:rsidR="00A30A88" w:rsidRDefault="00A30A88">
      <w:pPr>
        <w:pStyle w:val="MdSpace"/>
        <w:spacing w:after="60"/>
      </w:pPr>
    </w:p>
    <w:tbl>
      <w:tblPr>
        <w:tblStyle w:val="GridTable5Dark-Accent3"/>
        <w:tblW w:w="5000" w:type="pct"/>
        <w:tblLook w:val="04A0" w:firstRow="1" w:lastRow="0" w:firstColumn="1" w:lastColumn="0" w:noHBand="0" w:noVBand="1"/>
      </w:tblPr>
      <w:tblGrid>
        <w:gridCol w:w="1889"/>
        <w:gridCol w:w="4945"/>
        <w:gridCol w:w="2182"/>
      </w:tblGrid>
      <w:tr w:rsidR="00A30A88" w14:paraId="5E5D6FF6" w14:textId="77777777" w:rsidTr="00976CD2">
        <w:trPr>
          <w:cnfStyle w:val="100000000000" w:firstRow="1" w:lastRow="0" w:firstColumn="0" w:lastColumn="0" w:oddVBand="0" w:evenVBand="0" w:oddHBand="0"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0" w:type="auto"/>
          </w:tcPr>
          <w:p w14:paraId="75420EAA" w14:textId="77777777" w:rsidR="00A30A88" w:rsidRDefault="00000000">
            <w:pPr>
              <w:pStyle w:val="MdTableHeader"/>
            </w:pPr>
            <w:r>
              <w:t>Sub-Domain</w:t>
            </w:r>
          </w:p>
        </w:tc>
        <w:tc>
          <w:tcPr>
            <w:tcW w:w="0" w:type="auto"/>
          </w:tcPr>
          <w:p w14:paraId="02399775" w14:textId="77777777" w:rsidR="00A30A88" w:rsidRDefault="00000000">
            <w:pPr>
              <w:pStyle w:val="MdTableHeader"/>
              <w:cnfStyle w:val="100000000000" w:firstRow="1" w:lastRow="0" w:firstColumn="0" w:lastColumn="0" w:oddVBand="0" w:evenVBand="0" w:oddHBand="0" w:evenHBand="0" w:firstRowFirstColumn="0" w:firstRowLastColumn="0" w:lastRowFirstColumn="0" w:lastRowLastColumn="0"/>
            </w:pPr>
            <w:r>
              <w:t>Measurable Indicator</w:t>
            </w:r>
          </w:p>
        </w:tc>
        <w:tc>
          <w:tcPr>
            <w:tcW w:w="0" w:type="auto"/>
          </w:tcPr>
          <w:p w14:paraId="7674152E" w14:textId="77777777" w:rsidR="00A30A88" w:rsidRDefault="00000000">
            <w:pPr>
              <w:pStyle w:val="MdTableHeader"/>
              <w:cnfStyle w:val="100000000000" w:firstRow="1" w:lastRow="0" w:firstColumn="0" w:lastColumn="0" w:oddVBand="0" w:evenVBand="0" w:oddHBand="0" w:evenHBand="0" w:firstRowFirstColumn="0" w:firstRowLastColumn="0" w:lastRowFirstColumn="0" w:lastRowLastColumn="0"/>
            </w:pPr>
            <w:r>
              <w:t>Policy Alignment</w:t>
            </w:r>
          </w:p>
        </w:tc>
      </w:tr>
      <w:tr w:rsidR="00A30A88" w14:paraId="4F89C813" w14:textId="77777777" w:rsidTr="00976CD2">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419D10A6" w14:textId="77777777" w:rsidR="00A30A88" w:rsidRDefault="00000000">
            <w:pPr>
              <w:pStyle w:val="MdTableCell"/>
            </w:pPr>
            <w:r>
              <w:rPr>
                <w:rStyle w:val="MdStrong"/>
              </w:rPr>
              <w:t>Ethical Principles &amp; Guidelines</w:t>
            </w:r>
          </w:p>
        </w:tc>
        <w:tc>
          <w:tcPr>
            <w:tcW w:w="0" w:type="auto"/>
          </w:tcPr>
          <w:p w14:paraId="419499CE"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t>The institution has formally adopted a set of ethical principles for the use of AI.</w:t>
            </w:r>
          </w:p>
        </w:tc>
        <w:tc>
          <w:tcPr>
            <w:tcW w:w="0" w:type="auto"/>
          </w:tcPr>
          <w:p w14:paraId="7CDD4415"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rPr>
                <w:rStyle w:val="MdStrong"/>
              </w:rPr>
              <w:t>UNESCO:</w:t>
            </w:r>
            <w:r>
              <w:t xml:space="preserve"> Rec. 12</w:t>
            </w:r>
          </w:p>
        </w:tc>
      </w:tr>
      <w:tr w:rsidR="00A30A88" w14:paraId="075AD64B" w14:textId="77777777" w:rsidTr="00976CD2">
        <w:trPr>
          <w:trHeight w:val="576"/>
        </w:trPr>
        <w:tc>
          <w:tcPr>
            <w:cnfStyle w:val="001000000000" w:firstRow="0" w:lastRow="0" w:firstColumn="1" w:lastColumn="0" w:oddVBand="0" w:evenVBand="0" w:oddHBand="0" w:evenHBand="0" w:firstRowFirstColumn="0" w:firstRowLastColumn="0" w:lastRowFirstColumn="0" w:lastRowLastColumn="0"/>
            <w:tcW w:w="0" w:type="auto"/>
          </w:tcPr>
          <w:p w14:paraId="73CD50D9" w14:textId="77777777" w:rsidR="00A30A88" w:rsidRDefault="00A30A88">
            <w:pPr>
              <w:pStyle w:val="MdTableCell"/>
            </w:pPr>
          </w:p>
        </w:tc>
        <w:tc>
          <w:tcPr>
            <w:tcW w:w="0" w:type="auto"/>
          </w:tcPr>
          <w:p w14:paraId="26A38DC5"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t>An ethics review process or board is in place for high-risk AI projects.</w:t>
            </w:r>
          </w:p>
        </w:tc>
        <w:tc>
          <w:tcPr>
            <w:tcW w:w="0" w:type="auto"/>
          </w:tcPr>
          <w:p w14:paraId="6B8278A2"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rPr>
                <w:rStyle w:val="MdStrong"/>
              </w:rPr>
              <w:t>EU AI Act:</w:t>
            </w:r>
            <w:r>
              <w:t xml:space="preserve"> Art. 69</w:t>
            </w:r>
          </w:p>
        </w:tc>
      </w:tr>
      <w:tr w:rsidR="00A30A88" w14:paraId="69193D6F" w14:textId="77777777" w:rsidTr="00976CD2">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42DB9D0A" w14:textId="77777777" w:rsidR="00A30A88" w:rsidRDefault="00000000">
            <w:pPr>
              <w:pStyle w:val="MdTableCell"/>
            </w:pPr>
            <w:r>
              <w:rPr>
                <w:rStyle w:val="MdStrong"/>
              </w:rPr>
              <w:lastRenderedPageBreak/>
              <w:t>Risk Management</w:t>
            </w:r>
          </w:p>
        </w:tc>
        <w:tc>
          <w:tcPr>
            <w:tcW w:w="0" w:type="auto"/>
          </w:tcPr>
          <w:p w14:paraId="7E245F65"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t>A systematic process exists for identifying, assessing, and mitigating the risks of AI systems (e.g., bias, fairness, safety).</w:t>
            </w:r>
          </w:p>
        </w:tc>
        <w:tc>
          <w:tcPr>
            <w:tcW w:w="0" w:type="auto"/>
          </w:tcPr>
          <w:p w14:paraId="546CB2EE"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rPr>
                <w:rStyle w:val="MdStrong"/>
              </w:rPr>
              <w:t>EU AI Act:</w:t>
            </w:r>
            <w:r>
              <w:t xml:space="preserve"> Art. 9</w:t>
            </w:r>
          </w:p>
        </w:tc>
      </w:tr>
      <w:tr w:rsidR="00A30A88" w14:paraId="728E0719" w14:textId="77777777" w:rsidTr="00976CD2">
        <w:trPr>
          <w:trHeight w:val="576"/>
        </w:trPr>
        <w:tc>
          <w:tcPr>
            <w:cnfStyle w:val="001000000000" w:firstRow="0" w:lastRow="0" w:firstColumn="1" w:lastColumn="0" w:oddVBand="0" w:evenVBand="0" w:oddHBand="0" w:evenHBand="0" w:firstRowFirstColumn="0" w:firstRowLastColumn="0" w:lastRowFirstColumn="0" w:lastRowLastColumn="0"/>
            <w:tcW w:w="0" w:type="auto"/>
          </w:tcPr>
          <w:p w14:paraId="0856B786" w14:textId="77777777" w:rsidR="00A30A88" w:rsidRDefault="00A30A88">
            <w:pPr>
              <w:pStyle w:val="MdTableCell"/>
            </w:pPr>
          </w:p>
        </w:tc>
        <w:tc>
          <w:tcPr>
            <w:tcW w:w="0" w:type="auto"/>
          </w:tcPr>
          <w:p w14:paraId="01CB4E40"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t>An impact assessment framework is used to evaluate the potential societal and ethical consequences of AI systems.</w:t>
            </w:r>
          </w:p>
        </w:tc>
        <w:tc>
          <w:tcPr>
            <w:tcW w:w="0" w:type="auto"/>
          </w:tcPr>
          <w:p w14:paraId="6F85940F"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rPr>
                <w:rStyle w:val="MdStrong"/>
              </w:rPr>
              <w:t>UNESCO:</w:t>
            </w:r>
            <w:r>
              <w:t xml:space="preserve"> Rec. 20</w:t>
            </w:r>
          </w:p>
        </w:tc>
      </w:tr>
      <w:tr w:rsidR="00A30A88" w14:paraId="4DCEC64D" w14:textId="77777777" w:rsidTr="00976CD2">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4DB34065" w14:textId="77777777" w:rsidR="00A30A88" w:rsidRDefault="00000000">
            <w:pPr>
              <w:pStyle w:val="MdTableCell"/>
            </w:pPr>
            <w:r>
              <w:rPr>
                <w:rStyle w:val="MdStrong"/>
              </w:rPr>
              <w:t>Transparency &amp; Explainability</w:t>
            </w:r>
          </w:p>
        </w:tc>
        <w:tc>
          <w:tcPr>
            <w:tcW w:w="0" w:type="auto"/>
          </w:tcPr>
          <w:p w14:paraId="70BA3556" w14:textId="77777777"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t>Policies are in place to ensure transparency in the use of AI systems, including notifying users when they are interacting with an AI.</w:t>
            </w:r>
          </w:p>
        </w:tc>
        <w:tc>
          <w:tcPr>
            <w:tcW w:w="0" w:type="auto"/>
          </w:tcPr>
          <w:p w14:paraId="329D0B7F" w14:textId="6E608F2F" w:rsidR="00A30A88" w:rsidRDefault="00000000">
            <w:pPr>
              <w:pStyle w:val="MdTableCell"/>
              <w:cnfStyle w:val="000000100000" w:firstRow="0" w:lastRow="0" w:firstColumn="0" w:lastColumn="0" w:oddVBand="0" w:evenVBand="0" w:oddHBand="1" w:evenHBand="0" w:firstRowFirstColumn="0" w:firstRowLastColumn="0" w:lastRowFirstColumn="0" w:lastRowLastColumn="0"/>
            </w:pPr>
            <w:r>
              <w:rPr>
                <w:rStyle w:val="MdStrong"/>
              </w:rPr>
              <w:t>EU AI Act:</w:t>
            </w:r>
            <w:r>
              <w:t xml:space="preserve"> Art. 52</w:t>
            </w:r>
            <w:r w:rsidR="00976CD2">
              <w:br/>
            </w:r>
            <w:r>
              <w:rPr>
                <w:rStyle w:val="MdStrong"/>
              </w:rPr>
              <w:t>OECD:</w:t>
            </w:r>
            <w:r>
              <w:t xml:space="preserve"> Transparency and Explainability</w:t>
            </w:r>
          </w:p>
        </w:tc>
      </w:tr>
      <w:tr w:rsidR="00A30A88" w14:paraId="37531170" w14:textId="77777777" w:rsidTr="00976CD2">
        <w:trPr>
          <w:trHeight w:val="576"/>
        </w:trPr>
        <w:tc>
          <w:tcPr>
            <w:cnfStyle w:val="001000000000" w:firstRow="0" w:lastRow="0" w:firstColumn="1" w:lastColumn="0" w:oddVBand="0" w:evenVBand="0" w:oddHBand="0" w:evenHBand="0" w:firstRowFirstColumn="0" w:firstRowLastColumn="0" w:lastRowFirstColumn="0" w:lastRowLastColumn="0"/>
            <w:tcW w:w="0" w:type="auto"/>
          </w:tcPr>
          <w:p w14:paraId="109A5689" w14:textId="77777777" w:rsidR="00A30A88" w:rsidRDefault="00A30A88">
            <w:pPr>
              <w:pStyle w:val="MdTableCell"/>
            </w:pPr>
          </w:p>
        </w:tc>
        <w:tc>
          <w:tcPr>
            <w:tcW w:w="0" w:type="auto"/>
          </w:tcPr>
          <w:p w14:paraId="0BF68217" w14:textId="77777777"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t>For high-risk systems, mechanisms are in place to ensure a degree of explainability of their decisions.</w:t>
            </w:r>
          </w:p>
        </w:tc>
        <w:tc>
          <w:tcPr>
            <w:tcW w:w="0" w:type="auto"/>
          </w:tcPr>
          <w:p w14:paraId="0AE9684D" w14:textId="07E75633" w:rsidR="00A30A88" w:rsidRDefault="00000000">
            <w:pPr>
              <w:pStyle w:val="MdTableCell"/>
              <w:cnfStyle w:val="000000000000" w:firstRow="0" w:lastRow="0" w:firstColumn="0" w:lastColumn="0" w:oddVBand="0" w:evenVBand="0" w:oddHBand="0" w:evenHBand="0" w:firstRowFirstColumn="0" w:firstRowLastColumn="0" w:lastRowFirstColumn="0" w:lastRowLastColumn="0"/>
            </w:pPr>
            <w:r>
              <w:rPr>
                <w:rStyle w:val="MdStrong"/>
              </w:rPr>
              <w:t>EU AI Act:</w:t>
            </w:r>
            <w:r>
              <w:t xml:space="preserve"> Art. 13</w:t>
            </w:r>
            <w:r w:rsidR="00976CD2">
              <w:br/>
            </w:r>
            <w:r>
              <w:rPr>
                <w:rStyle w:val="MdStrong"/>
              </w:rPr>
              <w:t>UNESCO:</w:t>
            </w:r>
            <w:r>
              <w:t xml:space="preserve"> Rec. 19</w:t>
            </w:r>
          </w:p>
        </w:tc>
      </w:tr>
    </w:tbl>
    <w:p w14:paraId="4CD8E9AC" w14:textId="77777777" w:rsidR="00A30A88" w:rsidRDefault="00A30A88">
      <w:pPr>
        <w:pStyle w:val="MdSpace"/>
        <w:spacing w:after="60"/>
      </w:pPr>
    </w:p>
    <w:p w14:paraId="38894F4A" w14:textId="77777777" w:rsidR="00A30A88" w:rsidRDefault="00000000">
      <w:pPr>
        <w:pStyle w:val="MdHeading2"/>
      </w:pPr>
      <w:r>
        <w:t>5. Discussion</w:t>
      </w:r>
    </w:p>
    <w:p w14:paraId="51E4D966" w14:textId="50E2A97C" w:rsidR="00A30A88" w:rsidRDefault="00000000" w:rsidP="00976CD2">
      <w:pPr>
        <w:pStyle w:val="MdParagraph"/>
        <w:jc w:val="both"/>
      </w:pPr>
      <w:r>
        <w:t>The primary utility of the framework is as a diagnostic and strategic planning tool. By using the domains, sub-domains, and indicators, an educational institution can conduct a comprehensive self-assessment of its current AI readiness. This process would involve gathering evidence for each indicator, allowing the institution to identify both its strengths and, more importantly, its critical capability gaps. For example, an institution might find it has a strong technology infrastructure but lacks a formal AI governance body or sufficient AI literacy programs for its faculty. This granular insight enables leaders to move beyond vague aspirations and make targeted, evidence-based decisions about where to invest resources and prioritize efforts.</w:t>
      </w:r>
    </w:p>
    <w:p w14:paraId="4D3C50FD" w14:textId="781F6656" w:rsidR="00A30A88" w:rsidRDefault="00000000" w:rsidP="00976CD2">
      <w:pPr>
        <w:pStyle w:val="MdParagraph"/>
        <w:jc w:val="both"/>
      </w:pPr>
      <w:r>
        <w:t>The framework's alignment with international policy is a key feature that transforms it from a simple maturity model into a strategic tool for risk management and compliance. As regulations like the EU AI Act come into force, institutions will face legal obligations regarding the AI systems they develop and deploy. By proactively assessing their capabilities against the policy-aligned indicators in the framework, institutions can identify and remediate compliance gaps before they become legal liabilities. This proactive stance is crucial for building trust with students, faculty, and the public, demonstrating a commitment to responsible innovation.</w:t>
      </w:r>
    </w:p>
    <w:p w14:paraId="1DFBC8BD" w14:textId="77777777" w:rsidR="00A30A88" w:rsidRPr="00976CD2" w:rsidRDefault="00000000">
      <w:pPr>
        <w:pStyle w:val="MdHeading3"/>
        <w:rPr>
          <w:sz w:val="24"/>
          <w:szCs w:val="24"/>
        </w:rPr>
      </w:pPr>
      <w:r w:rsidRPr="00976CD2">
        <w:rPr>
          <w:sz w:val="24"/>
          <w:szCs w:val="24"/>
        </w:rPr>
        <w:t>5.2. Implications for Policy and Practice</w:t>
      </w:r>
    </w:p>
    <w:p w14:paraId="35B3C0B3" w14:textId="67A5E873" w:rsidR="00A30A88" w:rsidRDefault="00000000" w:rsidP="00976CD2">
      <w:pPr>
        <w:pStyle w:val="MdParagraph"/>
        <w:jc w:val="both"/>
      </w:pPr>
      <w:r>
        <w:t>The framework has significant implications for a wide range of stakeholders:</w:t>
      </w:r>
    </w:p>
    <w:p w14:paraId="76C2C334" w14:textId="62D383AE" w:rsidR="00A30A88" w:rsidRDefault="00000000" w:rsidP="00976CD2">
      <w:pPr>
        <w:pStyle w:val="MdParagraph"/>
        <w:jc w:val="both"/>
      </w:pPr>
      <w:r>
        <w:rPr>
          <w:rStyle w:val="MdStrong"/>
        </w:rPr>
        <w:t>Institutional Leaders (Presidents, Provosts, CIOs):</w:t>
      </w:r>
      <w:r>
        <w:t xml:space="preserve"> For leaders, the framework provides a holistic, institution-wide perspective on AI readiness. It can be used to facilitate strategic conversations at the board level, secure budget allocations for critical initiatives, and communicate a clear vision for AI adoption across the institution.</w:t>
      </w:r>
    </w:p>
    <w:p w14:paraId="0B4C5F5E" w14:textId="676F865F" w:rsidR="00A30A88" w:rsidRDefault="00000000" w:rsidP="00976CD2">
      <w:pPr>
        <w:pStyle w:val="MdParagraph"/>
        <w:jc w:val="both"/>
      </w:pPr>
      <w:r>
        <w:rPr>
          <w:rStyle w:val="MdStrong"/>
        </w:rPr>
        <w:t>IT and Data Professionals:</w:t>
      </w:r>
      <w:r>
        <w:t xml:space="preserve"> The framework provides a clear mandate for developing robust data governance, security, and infrastructure. It helps to justify investments in modern data platforms and cybersecurity measures that are essential for supporting trustworthy AI.</w:t>
      </w:r>
    </w:p>
    <w:p w14:paraId="12C365CA" w14:textId="3C82D463" w:rsidR="00A30A88" w:rsidRDefault="00000000" w:rsidP="00976CD2">
      <w:pPr>
        <w:pStyle w:val="MdParagraph"/>
        <w:jc w:val="both"/>
      </w:pPr>
      <w:r>
        <w:rPr>
          <w:rStyle w:val="MdStrong"/>
        </w:rPr>
        <w:t>Faculty and Academic Staff:</w:t>
      </w:r>
      <w:r>
        <w:t xml:space="preserve"> The framework highlights the critical importance of workforce development and AI literacy. It can be used to advocate for professional development programs that equip educators with the skills to use AI effectively and critically in their teaching and research.</w:t>
      </w:r>
    </w:p>
    <w:p w14:paraId="3111200E" w14:textId="42020A0B" w:rsidR="00A30A88" w:rsidRDefault="00000000" w:rsidP="00976CD2">
      <w:pPr>
        <w:pStyle w:val="MdParagraph"/>
        <w:jc w:val="both"/>
      </w:pPr>
      <w:r>
        <w:rPr>
          <w:rStyle w:val="MdStrong"/>
        </w:rPr>
        <w:t>Policymakers and Accreditation Bodies:</w:t>
      </w:r>
      <w:r>
        <w:t xml:space="preserve"> The framework can serve as a reference model for developing national or regional policies for AI in education. Accreditation bodies could also </w:t>
      </w:r>
      <w:r>
        <w:lastRenderedPageBreak/>
        <w:t>adapt the framework to incorporate AI readiness as a component of their institutional evaluation criteria.</w:t>
      </w:r>
    </w:p>
    <w:p w14:paraId="41F3C84E" w14:textId="77777777" w:rsidR="00A30A88" w:rsidRDefault="00000000">
      <w:pPr>
        <w:pStyle w:val="MdHeading2"/>
      </w:pPr>
      <w:r>
        <w:t>6. Conclusion</w:t>
      </w:r>
    </w:p>
    <w:p w14:paraId="25C9EE19" w14:textId="479BBBF7" w:rsidR="00A30A88" w:rsidRDefault="00000000" w:rsidP="00976CD2">
      <w:pPr>
        <w:pStyle w:val="MdParagraph"/>
        <w:jc w:val="both"/>
      </w:pPr>
      <w:r>
        <w:t>This paper has sought to address a critical challenge facing educational institutions today: how to adopt Artificial Intelligence in a manner that is strategic, responsible, and aligned with emerging global norms. The unstructured, ad-hoc adoption of AI exposes institutions to significant risks, including ethical breaches, regulatory non-compliance, and a failure to realize the technology's full potential. In response, this study has developed and presented a comprehensive, Policy-Aligned AI Readiness Framework.</w:t>
      </w:r>
      <w:r w:rsidR="00976CD2">
        <w:t xml:space="preserve"> </w:t>
      </w:r>
      <w:r>
        <w:t>The primary contribution of this research is the framework itself</w:t>
      </w:r>
      <w:r w:rsidR="00190F0F">
        <w:t xml:space="preserve">, </w:t>
      </w:r>
      <w:r>
        <w:t>a novel, multi-dimensional tool that integrates the strategic, technical, and ethical dimensions of AI readiness. By systematically synthesizing existing literature and mapping its indicators to the core principles of the EU AI Act, the OECD AI Principles, and the UNESCO Recommendation on the Ethics of AI, the framework provides a unique and practical contribution. It offers educational leaders a clear, actionable roadmap to assess their current capabilities, identify and prioritize areas for improvement, and ensure that their journey into the age of AI is both ambitious and anchored in a strong foundation of responsibility.</w:t>
      </w:r>
      <w:r w:rsidR="00190F0F">
        <w:t xml:space="preserve"> </w:t>
      </w:r>
      <w:r>
        <w:t>The transformative potential of AI in education is undeniable, but it is not inevitable. Realizing this potential requires more than just technological investment; it requires vision, leadership, and a deep commitment to ethical principles. The journey to becoming an AI-ready institution is a marathon, not a sprint. It demands a holistic approach that builds capacity across the institution, from data infrastructure and governance to workforce skills and ethical oversight. By embracing a structured and policy-aligned approach, educational institutions can not only mitigate the risks of AI but also harness its power to create a more effective, equitable, and human-centered future for learning.</w:t>
      </w:r>
    </w:p>
    <w:p w14:paraId="4E461BA5" w14:textId="22068CFA" w:rsidR="00976CD2" w:rsidRPr="00976CD2" w:rsidRDefault="00976CD2" w:rsidP="00976CD2">
      <w:pPr>
        <w:pStyle w:val="MdHeading3"/>
        <w:jc w:val="both"/>
        <w:rPr>
          <w:sz w:val="24"/>
          <w:szCs w:val="24"/>
        </w:rPr>
      </w:pPr>
      <w:r>
        <w:rPr>
          <w:sz w:val="24"/>
          <w:szCs w:val="24"/>
        </w:rPr>
        <w:t>6</w:t>
      </w:r>
      <w:r w:rsidRPr="00976CD2">
        <w:rPr>
          <w:sz w:val="24"/>
          <w:szCs w:val="24"/>
        </w:rPr>
        <w:t>.</w:t>
      </w:r>
      <w:r>
        <w:rPr>
          <w:sz w:val="24"/>
          <w:szCs w:val="24"/>
        </w:rPr>
        <w:t>1</w:t>
      </w:r>
      <w:r w:rsidRPr="00976CD2">
        <w:rPr>
          <w:sz w:val="24"/>
          <w:szCs w:val="24"/>
        </w:rPr>
        <w:t>. Limitations and Future Research</w:t>
      </w:r>
    </w:p>
    <w:p w14:paraId="6AB9A081" w14:textId="705B1BCC" w:rsidR="00976CD2" w:rsidRDefault="00976CD2" w:rsidP="00976CD2">
      <w:pPr>
        <w:pStyle w:val="MdParagraph"/>
        <w:jc w:val="both"/>
      </w:pPr>
      <w:r>
        <w:t>Despite its robust design, this study has several limitations that open avenues for future research. First, the framework presented here is a conceptual artifact developed through a synthesis of literature and policy. It has not yet been empirically validated in a real-world institutional setting. Future research should focus on applying the framework in one or more case study institutions to test its usability, refine its indicators, and gather empirical data on its effectiveness as an assessment tool.</w:t>
      </w:r>
    </w:p>
    <w:p w14:paraId="74E4118A" w14:textId="72465E29" w:rsidR="00976CD2" w:rsidRDefault="00976CD2" w:rsidP="00976CD2">
      <w:pPr>
        <w:pStyle w:val="MdParagraph"/>
        <w:jc w:val="both"/>
      </w:pPr>
      <w:r>
        <w:t>Second, the framework is qualitative in nature. While this allows for a rich, context-sensitive assessment, it does not provide a simple quantitative score of AI readiness. Future work could build upon this framework to develop a quantitative maturity model, perhaps using a Likert scale for each indicator, which would allow for easier benchmarking and tracking of progress over time.</w:t>
      </w:r>
    </w:p>
    <w:p w14:paraId="345D7B35" w14:textId="3C86CE98" w:rsidR="00A30A88" w:rsidRDefault="00976CD2" w:rsidP="00190F0F">
      <w:pPr>
        <w:pStyle w:val="MdParagraph"/>
        <w:jc w:val="both"/>
      </w:pPr>
      <w:r>
        <w:t>Finally, the field of AI and its regulation is evolving rapidly. The framework will need to be updated periodically to reflect changes in technology, policy, and best practices. Future research should consider how the framework can be maintained as a "living document" that remains relevant in this dynamic environment.</w:t>
      </w:r>
    </w:p>
    <w:p w14:paraId="014C6DA9" w14:textId="77777777" w:rsidR="00A30A88" w:rsidRDefault="00000000">
      <w:pPr>
        <w:pStyle w:val="MdHeading2"/>
      </w:pPr>
      <w:r>
        <w:lastRenderedPageBreak/>
        <w:t>References</w:t>
      </w:r>
    </w:p>
    <w:p w14:paraId="76B85489" w14:textId="77777777" w:rsidR="00976CD2" w:rsidRDefault="00976CD2">
      <w:pPr>
        <w:pStyle w:val="MdParagraph"/>
      </w:pPr>
      <w:r>
        <w:t xml:space="preserve">Baker, R. S., &amp; Hawn, A. (2022). Algorithmic Bias in Education. </w:t>
      </w:r>
      <w:r>
        <w:rPr>
          <w:rStyle w:val="MdEm"/>
        </w:rPr>
        <w:t>International Journal of Artificial Intelligence in Education</w:t>
      </w:r>
      <w:r>
        <w:t>, 32(4), 1052–1092.</w:t>
      </w:r>
    </w:p>
    <w:p w14:paraId="188FF3B3" w14:textId="77777777" w:rsidR="00976CD2" w:rsidRDefault="00976CD2">
      <w:pPr>
        <w:pStyle w:val="MdParagraph"/>
      </w:pPr>
      <w:r>
        <w:t xml:space="preserve">Barus, O. P., &amp; </w:t>
      </w:r>
      <w:proofErr w:type="spellStart"/>
      <w:r>
        <w:t>Simarmata</w:t>
      </w:r>
      <w:proofErr w:type="spellEnd"/>
      <w:r>
        <w:t xml:space="preserve">, J. (2025). Shaping generative AI governance in higher education. </w:t>
      </w:r>
      <w:r>
        <w:rPr>
          <w:rStyle w:val="MdEm"/>
        </w:rPr>
        <w:t>Computers and Education: Artificial Intelligence</w:t>
      </w:r>
      <w:r>
        <w:t>, 6, 100184.</w:t>
      </w:r>
    </w:p>
    <w:p w14:paraId="6584CB1A" w14:textId="77777777" w:rsidR="00976CD2" w:rsidRDefault="00976CD2">
      <w:pPr>
        <w:pStyle w:val="MdParagraph"/>
      </w:pPr>
      <w:r>
        <w:t xml:space="preserve">Braun, V., &amp; Clarke, V. (2006). Using thematic analysis in psychology. </w:t>
      </w:r>
      <w:r>
        <w:rPr>
          <w:rStyle w:val="MdEm"/>
        </w:rPr>
        <w:t>Qualitative Research in Psychology</w:t>
      </w:r>
      <w:r>
        <w:t>, 3(2), 77–101.</w:t>
      </w:r>
    </w:p>
    <w:p w14:paraId="3270A3AD" w14:textId="77777777" w:rsidR="00976CD2" w:rsidRDefault="00976CD2">
      <w:pPr>
        <w:pStyle w:val="MdParagraph"/>
      </w:pPr>
      <w:r>
        <w:t xml:space="preserve">Brynjolfsson, E., &amp; McElheran, K. (2016). The rapid adoption of data-driven decision-making. </w:t>
      </w:r>
      <w:r>
        <w:rPr>
          <w:rStyle w:val="MdEm"/>
        </w:rPr>
        <w:t>American Economic Review</w:t>
      </w:r>
      <w:r>
        <w:t>, 106(5), 133–139.</w:t>
      </w:r>
    </w:p>
    <w:p w14:paraId="2643E7A9" w14:textId="77777777" w:rsidR="00976CD2" w:rsidRDefault="00976CD2">
      <w:pPr>
        <w:pStyle w:val="MdParagraph"/>
      </w:pPr>
      <w:r>
        <w:t xml:space="preserve">Davenport, T. H., &amp; </w:t>
      </w:r>
      <w:proofErr w:type="spellStart"/>
      <w:r>
        <w:t>Ronanki</w:t>
      </w:r>
      <w:proofErr w:type="spellEnd"/>
      <w:r>
        <w:t xml:space="preserve">, R. (2018). Artificial intelligence for the real world. </w:t>
      </w:r>
      <w:r>
        <w:rPr>
          <w:rStyle w:val="MdEm"/>
        </w:rPr>
        <w:t>Harvard Business Review</w:t>
      </w:r>
      <w:r>
        <w:t>, 96(1), 108–116.</w:t>
      </w:r>
    </w:p>
    <w:p w14:paraId="161B00A2" w14:textId="77777777" w:rsidR="00976CD2" w:rsidRDefault="00976CD2">
      <w:pPr>
        <w:pStyle w:val="MdParagraph"/>
      </w:pPr>
      <w:r>
        <w:t xml:space="preserve">European Commission. (2021). </w:t>
      </w:r>
      <w:r>
        <w:rPr>
          <w:rStyle w:val="MdEm"/>
        </w:rPr>
        <w:t xml:space="preserve">Proposal for a Regulation of the European Parliament and of the Council Laying Down </w:t>
      </w:r>
      <w:proofErr w:type="spellStart"/>
      <w:r>
        <w:rPr>
          <w:rStyle w:val="MdEm"/>
        </w:rPr>
        <w:t>Harmonised</w:t>
      </w:r>
      <w:proofErr w:type="spellEnd"/>
      <w:r>
        <w:rPr>
          <w:rStyle w:val="MdEm"/>
        </w:rPr>
        <w:t xml:space="preserve"> Rules on Artificial Intelligence (Artificial Intelligence Act)</w:t>
      </w:r>
      <w:r>
        <w:t xml:space="preserve">. </w:t>
      </w:r>
      <w:proofErr w:type="gramStart"/>
      <w:r>
        <w:t>COM(</w:t>
      </w:r>
      <w:proofErr w:type="gramEnd"/>
      <w:r>
        <w:t>2021) 206 final.</w:t>
      </w:r>
    </w:p>
    <w:p w14:paraId="24F41035" w14:textId="77777777" w:rsidR="00976CD2" w:rsidRDefault="00976CD2">
      <w:pPr>
        <w:pStyle w:val="MdParagraph"/>
      </w:pPr>
      <w:r>
        <w:t xml:space="preserve">Fountaine, T., McCarthy, B., &amp; Saleh, T. (2019). Building the AI-powered organization. </w:t>
      </w:r>
      <w:r>
        <w:rPr>
          <w:rStyle w:val="MdEm"/>
        </w:rPr>
        <w:t>Harvard Business Review</w:t>
      </w:r>
      <w:r>
        <w:t>, 97(4), 62–73.</w:t>
      </w:r>
    </w:p>
    <w:p w14:paraId="421E946D" w14:textId="77777777" w:rsidR="00976CD2" w:rsidRDefault="00976CD2">
      <w:pPr>
        <w:pStyle w:val="MdParagraph"/>
      </w:pPr>
      <w:r>
        <w:t xml:space="preserve">Garbin, F. G. B., ten Caten, C. S., Martins, V. L. M., &amp; Ribeiro, J. L. D. (2022). A capability maturity model for assessment of active learning in higher education. </w:t>
      </w:r>
      <w:r>
        <w:rPr>
          <w:rStyle w:val="MdEm"/>
        </w:rPr>
        <w:t>Journal of Applied Research in Higher Education</w:t>
      </w:r>
      <w:r>
        <w:t>, 14(1), 295–316.</w:t>
      </w:r>
    </w:p>
    <w:p w14:paraId="2A30E4E7" w14:textId="77777777" w:rsidR="00976CD2" w:rsidRDefault="00976CD2">
      <w:pPr>
        <w:pStyle w:val="MdParagraph"/>
      </w:pPr>
      <w:r>
        <w:t xml:space="preserve">Hevner, A. R., March, S. T., Park, J., &amp; Ram, S. (2004). Design Science in Information Systems Research. </w:t>
      </w:r>
      <w:r>
        <w:rPr>
          <w:rStyle w:val="MdEm"/>
        </w:rPr>
        <w:t>MIS Quarterly</w:t>
      </w:r>
      <w:r>
        <w:t>, 28(1), 75–105.</w:t>
      </w:r>
    </w:p>
    <w:p w14:paraId="30CA3A73" w14:textId="77777777" w:rsidR="00976CD2" w:rsidRDefault="00976CD2">
      <w:pPr>
        <w:pStyle w:val="MdParagraph"/>
      </w:pPr>
      <w:r>
        <w:t xml:space="preserve">Holmes, W., Bialik, M., &amp; Fadel, C. (2019). </w:t>
      </w:r>
      <w:r>
        <w:rPr>
          <w:rStyle w:val="MdEm"/>
        </w:rPr>
        <w:t>Artificial Intelligence in Education: Promises and Implications for Teaching and Learning</w:t>
      </w:r>
      <w:r>
        <w:t>. Center for Curriculum Redesign.</w:t>
      </w:r>
    </w:p>
    <w:p w14:paraId="59312105" w14:textId="77777777" w:rsidR="00976CD2" w:rsidRDefault="00976CD2">
      <w:pPr>
        <w:pStyle w:val="MdParagraph"/>
      </w:pPr>
      <w:r>
        <w:t xml:space="preserve">Kulik, J. A., &amp; Fletcher, J. D. (2016). Effectiveness of intelligent tutoring systems: A meta-analytic review. </w:t>
      </w:r>
      <w:r>
        <w:rPr>
          <w:rStyle w:val="MdEm"/>
        </w:rPr>
        <w:t>Review of Educational Research</w:t>
      </w:r>
      <w:r>
        <w:t>, 86(1), 42–78.</w:t>
      </w:r>
    </w:p>
    <w:p w14:paraId="4CCCB573" w14:textId="77777777" w:rsidR="00976CD2" w:rsidRDefault="00976CD2">
      <w:pPr>
        <w:pStyle w:val="MdParagraph"/>
      </w:pPr>
      <w:r>
        <w:t xml:space="preserve">Luckin, R., Holmes, W., Griffiths, M., &amp; Forcier, L. B. (2016). </w:t>
      </w:r>
      <w:r>
        <w:rPr>
          <w:rStyle w:val="MdEm"/>
        </w:rPr>
        <w:t>Intelligence Unleashed: An Argument for AI in Education</w:t>
      </w:r>
      <w:r>
        <w:t>. London: Pearson.</w:t>
      </w:r>
    </w:p>
    <w:p w14:paraId="6459E78C" w14:textId="77777777" w:rsidR="00976CD2" w:rsidRDefault="00976CD2">
      <w:pPr>
        <w:pStyle w:val="MdParagraph"/>
      </w:pPr>
      <w:proofErr w:type="spellStart"/>
      <w:r>
        <w:t>Memarian</w:t>
      </w:r>
      <w:proofErr w:type="spellEnd"/>
      <w:r>
        <w:t xml:space="preserve">, B., &amp; </w:t>
      </w:r>
      <w:proofErr w:type="spellStart"/>
      <w:r>
        <w:t>Doleck</w:t>
      </w:r>
      <w:proofErr w:type="spellEnd"/>
      <w:r>
        <w:t xml:space="preserve">, T. (2023). Fairness, Accountability, Transparency, and Ethics (FATE) in Artificial Intelligence (AI) and higher education: A systematic review. </w:t>
      </w:r>
      <w:r>
        <w:rPr>
          <w:rStyle w:val="MdEm"/>
        </w:rPr>
        <w:t>Computers and Education: Artificial Intelligence</w:t>
      </w:r>
      <w:r>
        <w:t>, 5, 100152.</w:t>
      </w:r>
    </w:p>
    <w:p w14:paraId="6814DFD7" w14:textId="77777777" w:rsidR="00976CD2" w:rsidRDefault="00976CD2">
      <w:pPr>
        <w:pStyle w:val="MdParagraph"/>
      </w:pPr>
      <w:r>
        <w:t xml:space="preserve">OECD. (2019). </w:t>
      </w:r>
      <w:r>
        <w:rPr>
          <w:rStyle w:val="MdEm"/>
        </w:rPr>
        <w:t>Recommendation of the Council on Artificial Intelligence</w:t>
      </w:r>
      <w:r>
        <w:t>. OECD/LEGAL/0449.</w:t>
      </w:r>
    </w:p>
    <w:p w14:paraId="03DC3039" w14:textId="77777777" w:rsidR="00976CD2" w:rsidRDefault="00976CD2">
      <w:pPr>
        <w:pStyle w:val="MdParagraph"/>
      </w:pPr>
      <w:r>
        <w:t xml:space="preserve">Parasuraman, A. (2000). Technology Readiness Index (TRI): A Multiple-Item Scale to Measure Readiness to Embrace New Technologies. </w:t>
      </w:r>
      <w:r>
        <w:rPr>
          <w:rStyle w:val="MdEm"/>
        </w:rPr>
        <w:t>Journal of Service Research</w:t>
      </w:r>
      <w:r>
        <w:t>, 2(4), 307–320.</w:t>
      </w:r>
    </w:p>
    <w:p w14:paraId="3132AA83" w14:textId="77777777" w:rsidR="00976CD2" w:rsidRDefault="00976CD2">
      <w:pPr>
        <w:pStyle w:val="MdParagraph"/>
      </w:pPr>
      <w:r>
        <w:t xml:space="preserve">Paulk, M. C., Curtis, B., </w:t>
      </w:r>
      <w:proofErr w:type="spellStart"/>
      <w:r>
        <w:t>Chrissis</w:t>
      </w:r>
      <w:proofErr w:type="spellEnd"/>
      <w:r>
        <w:t xml:space="preserve">, M. B., &amp; Weber, C. V. (1993). Capability maturity model, version 1.1. </w:t>
      </w:r>
      <w:r>
        <w:rPr>
          <w:rStyle w:val="MdEm"/>
        </w:rPr>
        <w:t>IEEE Software</w:t>
      </w:r>
      <w:r>
        <w:t>, 10(4), 18–27.</w:t>
      </w:r>
    </w:p>
    <w:p w14:paraId="7FC43914" w14:textId="77777777" w:rsidR="00976CD2" w:rsidRDefault="00976CD2">
      <w:pPr>
        <w:pStyle w:val="MdParagraph"/>
      </w:pPr>
      <w:r>
        <w:t xml:space="preserve">Peffers, K., </w:t>
      </w:r>
      <w:proofErr w:type="spellStart"/>
      <w:r>
        <w:t>Tuunanen</w:t>
      </w:r>
      <w:proofErr w:type="spellEnd"/>
      <w:r>
        <w:t xml:space="preserve">, T., Rothenberger, M. A., &amp; Chatterjee, S. (2007). A Design Science Research Methodology for Information Systems Research. </w:t>
      </w:r>
      <w:r>
        <w:rPr>
          <w:rStyle w:val="MdEm"/>
        </w:rPr>
        <w:t>Journal of Management Information Systems</w:t>
      </w:r>
      <w:r>
        <w:t>, 24(3), 45–77.</w:t>
      </w:r>
    </w:p>
    <w:p w14:paraId="25CEBE23" w14:textId="77777777" w:rsidR="00976CD2" w:rsidRDefault="00976CD2">
      <w:pPr>
        <w:pStyle w:val="MdParagraph"/>
      </w:pPr>
      <w:proofErr w:type="spellStart"/>
      <w:r>
        <w:lastRenderedPageBreak/>
        <w:t>Ransbotham</w:t>
      </w:r>
      <w:proofErr w:type="spellEnd"/>
      <w:r>
        <w:t xml:space="preserve">, S., Kiron, D., Gerbert, P., &amp; Reeves, M. (2017). Reshaping business with artificial intelligence: Closing the gap between ambition and action. </w:t>
      </w:r>
      <w:r>
        <w:rPr>
          <w:rStyle w:val="MdEm"/>
        </w:rPr>
        <w:t>MIT Sloan Management Review</w:t>
      </w:r>
      <w:r>
        <w:t>, 59(1).</w:t>
      </w:r>
    </w:p>
    <w:p w14:paraId="07610096" w14:textId="77777777" w:rsidR="00976CD2" w:rsidRDefault="00976CD2">
      <w:pPr>
        <w:pStyle w:val="MdParagraph"/>
      </w:pPr>
      <w:r>
        <w:t xml:space="preserve">Regan, P. M., &amp; Jesse, J. (2019). Ethical challenges of edtech, big data and personalized learning: Twenty-first century student sorting and tracking. </w:t>
      </w:r>
      <w:r>
        <w:rPr>
          <w:rStyle w:val="MdEm"/>
        </w:rPr>
        <w:t>Ethics and Information Technology</w:t>
      </w:r>
      <w:r>
        <w:t>, 21(3), 167–179.</w:t>
      </w:r>
    </w:p>
    <w:p w14:paraId="2F6032FD" w14:textId="77777777" w:rsidR="00976CD2" w:rsidRDefault="00976CD2">
      <w:pPr>
        <w:pStyle w:val="MdParagraph"/>
      </w:pPr>
      <w:r>
        <w:t xml:space="preserve">Slade, S., &amp; Prinsloo, P. (2013). Learning analytics: Ethical issues and dilemmas. </w:t>
      </w:r>
      <w:r>
        <w:rPr>
          <w:rStyle w:val="MdEm"/>
        </w:rPr>
        <w:t>American Behavioral Scientist</w:t>
      </w:r>
      <w:r>
        <w:t>, 57(10), 1510–1529.</w:t>
      </w:r>
    </w:p>
    <w:p w14:paraId="1890EC1A" w14:textId="77777777" w:rsidR="00976CD2" w:rsidRDefault="00976CD2">
      <w:pPr>
        <w:pStyle w:val="MdParagraph"/>
      </w:pPr>
      <w:r>
        <w:t xml:space="preserve">Tsai, Y. S., Perrotta, C., &amp; </w:t>
      </w:r>
      <w:proofErr w:type="spellStart"/>
      <w:r>
        <w:t>Gašević</w:t>
      </w:r>
      <w:proofErr w:type="spellEnd"/>
      <w:r>
        <w:t xml:space="preserve">, D. (2020). Empowering learners with </w:t>
      </w:r>
      <w:proofErr w:type="spellStart"/>
      <w:r>
        <w:t>personalised</w:t>
      </w:r>
      <w:proofErr w:type="spellEnd"/>
      <w:r>
        <w:t xml:space="preserve"> learning approaches? Agency, equity and transparency in the context of learning analytics. </w:t>
      </w:r>
      <w:r>
        <w:rPr>
          <w:rStyle w:val="MdEm"/>
        </w:rPr>
        <w:t>Assessment &amp; Evaluation in Higher Education</w:t>
      </w:r>
      <w:r>
        <w:t>, 45(4), 554–567.</w:t>
      </w:r>
    </w:p>
    <w:p w14:paraId="0ABE7345" w14:textId="77777777" w:rsidR="00976CD2" w:rsidRDefault="00976CD2">
      <w:pPr>
        <w:pStyle w:val="MdParagraph"/>
      </w:pPr>
      <w:r>
        <w:t xml:space="preserve">U.S. Department of Education, Office of Educational Technology. (2023). </w:t>
      </w:r>
      <w:r>
        <w:rPr>
          <w:rStyle w:val="MdEm"/>
        </w:rPr>
        <w:t>Artificial Intelligence and the Future of Teaching and Learning: Insights and Recommendations</w:t>
      </w:r>
      <w:r>
        <w:t>. Washington, DC.</w:t>
      </w:r>
    </w:p>
    <w:p w14:paraId="4758DF07" w14:textId="77777777" w:rsidR="00976CD2" w:rsidRDefault="00976CD2">
      <w:pPr>
        <w:pStyle w:val="MdParagraph"/>
      </w:pPr>
      <w:r>
        <w:t xml:space="preserve">UNESCO. (2021). </w:t>
      </w:r>
      <w:r>
        <w:rPr>
          <w:rStyle w:val="MdEm"/>
        </w:rPr>
        <w:t>Recommendation on the Ethics of Artificial Intelligence</w:t>
      </w:r>
      <w:r>
        <w:t>. Paris: UNESCO.</w:t>
      </w:r>
    </w:p>
    <w:p w14:paraId="3770FBE4" w14:textId="77777777" w:rsidR="00976CD2" w:rsidRDefault="00976CD2">
      <w:pPr>
        <w:pStyle w:val="MdParagraph"/>
      </w:pPr>
      <w:r>
        <w:t xml:space="preserve">Williamson, B., &amp; Eynon, R. (2020). Historical threads, missing links, and future directions in AI in education. </w:t>
      </w:r>
      <w:r>
        <w:rPr>
          <w:rStyle w:val="MdEm"/>
        </w:rPr>
        <w:t>Learning, Media and Technology</w:t>
      </w:r>
      <w:r>
        <w:t>, 45(3), 223–235.</w:t>
      </w:r>
    </w:p>
    <w:p w14:paraId="047C2655" w14:textId="77777777" w:rsidR="00976CD2" w:rsidRDefault="00976CD2">
      <w:pPr>
        <w:pStyle w:val="MdParagraph"/>
      </w:pPr>
      <w:r>
        <w:t xml:space="preserve">Zawacki-Richter, O., Marín, V. I., Bond, M., &amp; Gouverneur, F. (2019). Systematic review of research on artificial intelligence applications in higher education – where are the educators? </w:t>
      </w:r>
      <w:r>
        <w:rPr>
          <w:rStyle w:val="MdEm"/>
        </w:rPr>
        <w:t>International Journal of Educational Technology in Higher Education</w:t>
      </w:r>
      <w:r>
        <w:t>, 16(1), 39.</w:t>
      </w:r>
    </w:p>
    <w:sectPr w:rsidR="00976CD2">
      <w:pgSz w:w="11906" w:h="16838"/>
      <w:pgMar w:top="1440" w:right="1440" w:bottom="1440" w:left="144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Calibri">
    <w:panose1 w:val="020F05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817CF0"/>
    <w:multiLevelType w:val="hybridMultilevel"/>
    <w:tmpl w:val="DD4AE1D2"/>
    <w:lvl w:ilvl="0" w:tplc="D65894E2">
      <w:start w:val="1"/>
      <w:numFmt w:val="bullet"/>
      <w:lvlText w:val="●"/>
      <w:lvlJc w:val="left"/>
      <w:pPr>
        <w:ind w:left="720" w:hanging="360"/>
      </w:pPr>
    </w:lvl>
    <w:lvl w:ilvl="1" w:tplc="3438B1E6">
      <w:start w:val="1"/>
      <w:numFmt w:val="bullet"/>
      <w:lvlText w:val="○"/>
      <w:lvlJc w:val="left"/>
      <w:pPr>
        <w:ind w:left="1440" w:hanging="360"/>
      </w:pPr>
    </w:lvl>
    <w:lvl w:ilvl="2" w:tplc="7BBA0BF4">
      <w:start w:val="1"/>
      <w:numFmt w:val="bullet"/>
      <w:lvlText w:val="■"/>
      <w:lvlJc w:val="left"/>
      <w:pPr>
        <w:ind w:left="2160" w:hanging="360"/>
      </w:pPr>
    </w:lvl>
    <w:lvl w:ilvl="3" w:tplc="F30EE1EA">
      <w:start w:val="1"/>
      <w:numFmt w:val="bullet"/>
      <w:lvlText w:val="●"/>
      <w:lvlJc w:val="left"/>
      <w:pPr>
        <w:ind w:left="2880" w:hanging="360"/>
      </w:pPr>
    </w:lvl>
    <w:lvl w:ilvl="4" w:tplc="81A633FA">
      <w:start w:val="1"/>
      <w:numFmt w:val="bullet"/>
      <w:lvlText w:val="○"/>
      <w:lvlJc w:val="left"/>
      <w:pPr>
        <w:ind w:left="3600" w:hanging="360"/>
      </w:pPr>
    </w:lvl>
    <w:lvl w:ilvl="5" w:tplc="8B84B9BC">
      <w:start w:val="1"/>
      <w:numFmt w:val="bullet"/>
      <w:lvlText w:val="■"/>
      <w:lvlJc w:val="left"/>
      <w:pPr>
        <w:ind w:left="4320" w:hanging="360"/>
      </w:pPr>
    </w:lvl>
    <w:lvl w:ilvl="6" w:tplc="0B7E3910">
      <w:start w:val="1"/>
      <w:numFmt w:val="bullet"/>
      <w:lvlText w:val="●"/>
      <w:lvlJc w:val="left"/>
      <w:pPr>
        <w:ind w:left="5040" w:hanging="360"/>
      </w:pPr>
    </w:lvl>
    <w:lvl w:ilvl="7" w:tplc="71C63576">
      <w:start w:val="1"/>
      <w:numFmt w:val="bullet"/>
      <w:lvlText w:val="●"/>
      <w:lvlJc w:val="left"/>
      <w:pPr>
        <w:ind w:left="5760" w:hanging="360"/>
      </w:pPr>
    </w:lvl>
    <w:lvl w:ilvl="8" w:tplc="7BACD89E">
      <w:start w:val="1"/>
      <w:numFmt w:val="bullet"/>
      <w:lvlText w:val="●"/>
      <w:lvlJc w:val="left"/>
      <w:pPr>
        <w:ind w:left="6480" w:hanging="360"/>
      </w:pPr>
    </w:lvl>
  </w:abstractNum>
  <w:abstractNum w:abstractNumId="1" w15:restartNumberingAfterBreak="0">
    <w:nsid w:val="14EB2CC9"/>
    <w:multiLevelType w:val="hybridMultilevel"/>
    <w:tmpl w:val="ACC204B8"/>
    <w:lvl w:ilvl="0" w:tplc="43AC902E">
      <w:start w:val="1"/>
      <w:numFmt w:val="bullet"/>
      <w:lvlText w:val="•"/>
      <w:lvlJc w:val="left"/>
      <w:pPr>
        <w:ind w:left="720" w:hanging="360"/>
      </w:pPr>
    </w:lvl>
    <w:lvl w:ilvl="1" w:tplc="E12875A4">
      <w:start w:val="1"/>
      <w:numFmt w:val="bullet"/>
      <w:lvlText w:val="◦"/>
      <w:lvlJc w:val="left"/>
      <w:pPr>
        <w:ind w:left="1440" w:hanging="360"/>
      </w:pPr>
    </w:lvl>
    <w:lvl w:ilvl="2" w:tplc="98A208AE">
      <w:start w:val="1"/>
      <w:numFmt w:val="bullet"/>
      <w:lvlText w:val="•"/>
      <w:lvlJc w:val="left"/>
      <w:pPr>
        <w:ind w:left="2160" w:hanging="360"/>
      </w:pPr>
    </w:lvl>
    <w:lvl w:ilvl="3" w:tplc="445858D0">
      <w:start w:val="1"/>
      <w:numFmt w:val="bullet"/>
      <w:lvlText w:val="◦"/>
      <w:lvlJc w:val="left"/>
      <w:pPr>
        <w:ind w:left="2880" w:hanging="360"/>
      </w:pPr>
    </w:lvl>
    <w:lvl w:ilvl="4" w:tplc="A0C2D584">
      <w:start w:val="1"/>
      <w:numFmt w:val="bullet"/>
      <w:lvlText w:val="•"/>
      <w:lvlJc w:val="left"/>
      <w:pPr>
        <w:ind w:left="3600" w:hanging="360"/>
      </w:pPr>
    </w:lvl>
    <w:lvl w:ilvl="5" w:tplc="DA2A0EA2">
      <w:start w:val="1"/>
      <w:numFmt w:val="bullet"/>
      <w:lvlText w:val="◦"/>
      <w:lvlJc w:val="left"/>
      <w:pPr>
        <w:ind w:left="4320" w:hanging="360"/>
      </w:pPr>
    </w:lvl>
    <w:lvl w:ilvl="6" w:tplc="98BCEB4A">
      <w:start w:val="1"/>
      <w:numFmt w:val="bullet"/>
      <w:lvlText w:val="•"/>
      <w:lvlJc w:val="left"/>
      <w:pPr>
        <w:ind w:left="5040" w:hanging="360"/>
      </w:pPr>
    </w:lvl>
    <w:lvl w:ilvl="7" w:tplc="FD08E84C">
      <w:numFmt w:val="decimal"/>
      <w:lvlText w:val=""/>
      <w:lvlJc w:val="left"/>
    </w:lvl>
    <w:lvl w:ilvl="8" w:tplc="2EF4AEE2">
      <w:numFmt w:val="decimal"/>
      <w:lvlText w:val=""/>
      <w:lvlJc w:val="left"/>
    </w:lvl>
  </w:abstractNum>
  <w:abstractNum w:abstractNumId="2" w15:restartNumberingAfterBreak="0">
    <w:nsid w:val="29205C6B"/>
    <w:multiLevelType w:val="multilevel"/>
    <w:tmpl w:val="70FCD93C"/>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16cid:durableId="1510678883">
    <w:abstractNumId w:val="0"/>
    <w:lvlOverride w:ilvl="0">
      <w:startOverride w:val="1"/>
    </w:lvlOverride>
  </w:num>
  <w:num w:numId="2" w16cid:durableId="253511467">
    <w:abstractNumId w:val="1"/>
    <w:lvlOverride w:ilvl="0">
      <w:startOverride w:val="1"/>
    </w:lvlOverride>
  </w:num>
  <w:num w:numId="3" w16cid:durableId="111481604">
    <w:abstractNumId w:val="2"/>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0A88"/>
    <w:rsid w:val="000D433B"/>
    <w:rsid w:val="00190F0F"/>
    <w:rsid w:val="0022683E"/>
    <w:rsid w:val="003670C5"/>
    <w:rsid w:val="0072594B"/>
    <w:rsid w:val="008B433D"/>
    <w:rsid w:val="00976CD2"/>
    <w:rsid w:val="00A30A88"/>
    <w:rsid w:val="00BA00B3"/>
    <w:rsid w:val="00DC39D9"/>
    <w:rsid w:val="00E94EA5"/>
    <w:rsid w:val="00F834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88273C"/>
  <w15:docId w15:val="{B11486A7-6A52-4914-9155-CF8C5DA682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uiPriority w:val="9"/>
    <w:qFormat/>
    <w:pPr>
      <w:outlineLvl w:val="0"/>
    </w:pPr>
    <w:rPr>
      <w:color w:val="2E74B5"/>
      <w:sz w:val="32"/>
      <w:szCs w:val="32"/>
    </w:rPr>
  </w:style>
  <w:style w:type="paragraph" w:styleId="Heading2">
    <w:name w:val="heading 2"/>
    <w:uiPriority w:val="9"/>
    <w:unhideWhenUsed/>
    <w:qFormat/>
    <w:pPr>
      <w:outlineLvl w:val="1"/>
    </w:pPr>
    <w:rPr>
      <w:color w:val="2E74B5"/>
      <w:sz w:val="26"/>
      <w:szCs w:val="26"/>
    </w:rPr>
  </w:style>
  <w:style w:type="paragraph" w:styleId="Heading3">
    <w:name w:val="heading 3"/>
    <w:uiPriority w:val="9"/>
    <w:unhideWhenUsed/>
    <w:qFormat/>
    <w:pPr>
      <w:outlineLvl w:val="2"/>
    </w:pPr>
    <w:rPr>
      <w:color w:val="1F4D78"/>
    </w:rPr>
  </w:style>
  <w:style w:type="paragraph" w:styleId="Heading4">
    <w:name w:val="heading 4"/>
    <w:uiPriority w:val="9"/>
    <w:semiHidden/>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color="0563C1"/>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rPr>
      <w:sz w:val="20"/>
      <w:szCs w:val="20"/>
    </w:rPr>
  </w:style>
  <w:style w:type="character" w:customStyle="1" w:styleId="FootnoteTextChar">
    <w:name w:val="Footnote Text Char"/>
    <w:link w:val="FootnoteText"/>
    <w:uiPriority w:val="99"/>
    <w:semiHidden/>
    <w:unhideWhenUsed/>
    <w:rPr>
      <w:sz w:val="20"/>
      <w:szCs w:val="20"/>
    </w:rPr>
  </w:style>
  <w:style w:type="paragraph" w:customStyle="1" w:styleId="MdSpace">
    <w:name w:val="MdSpace"/>
    <w:qFormat/>
    <w:rPr>
      <w:sz w:val="12"/>
      <w:szCs w:val="12"/>
    </w:rPr>
  </w:style>
  <w:style w:type="paragraph" w:customStyle="1" w:styleId="MdCode">
    <w:name w:val="MdCode"/>
    <w:qFormat/>
    <w:pPr>
      <w:pBdr>
        <w:top w:val="single" w:sz="1" w:space="8" w:color="A5A5A5"/>
        <w:left w:val="single" w:sz="1" w:space="8" w:color="A5A5A5"/>
        <w:bottom w:val="single" w:sz="1" w:space="8" w:color="A5A5A5"/>
        <w:right w:val="single" w:sz="1" w:space="8" w:color="A5A5A5"/>
      </w:pBdr>
      <w:spacing w:before="200" w:after="200"/>
    </w:pPr>
    <w:rPr>
      <w:rFonts w:ascii="Courier New" w:eastAsia="Courier New" w:hAnsi="Courier New" w:cs="Courier New"/>
      <w:color w:val="70AD47"/>
      <w:sz w:val="22"/>
      <w:szCs w:val="22"/>
    </w:rPr>
  </w:style>
  <w:style w:type="paragraph" w:customStyle="1" w:styleId="MdHr">
    <w:name w:val="MdHr"/>
    <w:qFormat/>
    <w:pPr>
      <w:pBdr>
        <w:bottom w:val="single" w:sz="1" w:space="1" w:color="A5A5A5"/>
      </w:pBdr>
      <w:spacing w:before="240" w:after="240"/>
    </w:pPr>
  </w:style>
  <w:style w:type="paragraph" w:customStyle="1" w:styleId="MdBlockquote">
    <w:name w:val="MdBlockquote"/>
    <w:qFormat/>
    <w:pPr>
      <w:pBdr>
        <w:left w:val="single" w:sz="20" w:space="12" w:color="A5A5A5"/>
      </w:pBdr>
      <w:spacing w:before="200" w:after="200"/>
      <w:ind w:left="360"/>
    </w:pPr>
    <w:rPr>
      <w:i/>
      <w:iCs/>
      <w:color w:val="666666"/>
    </w:rPr>
  </w:style>
  <w:style w:type="paragraph" w:customStyle="1" w:styleId="MdHtml">
    <w:name w:val="MdHtml"/>
    <w:qFormat/>
    <w:rPr>
      <w:rFonts w:ascii="Courier New" w:eastAsia="Courier New" w:hAnsi="Courier New" w:cs="Courier New"/>
      <w:color w:val="ED7D31"/>
    </w:rPr>
  </w:style>
  <w:style w:type="paragraph" w:customStyle="1" w:styleId="MdDef">
    <w:name w:val="MdDef"/>
    <w:qFormat/>
    <w:pPr>
      <w:ind w:left="720" w:hanging="360"/>
    </w:pPr>
  </w:style>
  <w:style w:type="paragraph" w:customStyle="1" w:styleId="MdParagraph">
    <w:name w:val="MdParagraph"/>
    <w:qFormat/>
    <w:pPr>
      <w:spacing w:before="120" w:after="120"/>
    </w:pPr>
  </w:style>
  <w:style w:type="paragraph" w:customStyle="1" w:styleId="MdText">
    <w:name w:val="MdText"/>
    <w:qFormat/>
  </w:style>
  <w:style w:type="paragraph" w:customStyle="1" w:styleId="MdFootnote">
    <w:name w:val="MdFootnote"/>
    <w:qFormat/>
    <w:rPr>
      <w:vertAlign w:val="superscript"/>
    </w:rPr>
  </w:style>
  <w:style w:type="paragraph" w:customStyle="1" w:styleId="MdListItem">
    <w:name w:val="MdListItem"/>
    <w:qFormat/>
    <w:pPr>
      <w:spacing w:before="60" w:after="60"/>
      <w:ind w:left="720" w:hanging="360"/>
    </w:pPr>
  </w:style>
  <w:style w:type="paragraph" w:customStyle="1" w:styleId="MdTable">
    <w:name w:val="MdTable"/>
    <w:qFormat/>
    <w:pPr>
      <w:spacing w:before="60" w:after="60"/>
    </w:pPr>
  </w:style>
  <w:style w:type="paragraph" w:customStyle="1" w:styleId="MdTableHeader">
    <w:name w:val="MdTableHeader"/>
    <w:qFormat/>
    <w:pPr>
      <w:spacing w:before="60" w:after="60"/>
    </w:pPr>
    <w:rPr>
      <w:b/>
      <w:bCs/>
      <w:sz w:val="22"/>
      <w:szCs w:val="22"/>
    </w:rPr>
  </w:style>
  <w:style w:type="paragraph" w:customStyle="1" w:styleId="MdTableCell">
    <w:name w:val="MdTableCell"/>
    <w:qFormat/>
    <w:pPr>
      <w:spacing w:before="40" w:after="40"/>
    </w:pPr>
    <w:rPr>
      <w:sz w:val="20"/>
      <w:szCs w:val="20"/>
    </w:rPr>
  </w:style>
  <w:style w:type="paragraph" w:customStyle="1" w:styleId="MdHeading1">
    <w:name w:val="MdHeading1"/>
    <w:qFormat/>
    <w:pPr>
      <w:keepNext/>
      <w:spacing w:before="480" w:after="240"/>
      <w:outlineLvl w:val="0"/>
    </w:pPr>
    <w:rPr>
      <w:b/>
      <w:bCs/>
      <w:sz w:val="36"/>
      <w:szCs w:val="36"/>
    </w:rPr>
  </w:style>
  <w:style w:type="paragraph" w:customStyle="1" w:styleId="MdHeading2">
    <w:name w:val="MdHeading2"/>
    <w:qFormat/>
    <w:pPr>
      <w:keepNext/>
      <w:spacing w:before="400" w:after="200"/>
      <w:outlineLvl w:val="1"/>
    </w:pPr>
    <w:rPr>
      <w:b/>
      <w:bCs/>
      <w:sz w:val="32"/>
      <w:szCs w:val="32"/>
    </w:rPr>
  </w:style>
  <w:style w:type="paragraph" w:customStyle="1" w:styleId="MdHeading3">
    <w:name w:val="MdHeading3"/>
    <w:qFormat/>
    <w:pPr>
      <w:keepNext/>
      <w:spacing w:before="320" w:after="160"/>
      <w:outlineLvl w:val="2"/>
    </w:pPr>
    <w:rPr>
      <w:b/>
      <w:bCs/>
      <w:sz w:val="28"/>
      <w:szCs w:val="28"/>
    </w:rPr>
  </w:style>
  <w:style w:type="paragraph" w:customStyle="1" w:styleId="MdHeading4">
    <w:name w:val="MdHeading4"/>
    <w:qFormat/>
    <w:pPr>
      <w:keepNext/>
      <w:spacing w:before="280" w:after="140"/>
      <w:outlineLvl w:val="3"/>
    </w:pPr>
    <w:rPr>
      <w:b/>
      <w:bCs/>
      <w:sz w:val="26"/>
      <w:szCs w:val="26"/>
    </w:rPr>
  </w:style>
  <w:style w:type="paragraph" w:customStyle="1" w:styleId="MdHeading5">
    <w:name w:val="MdHeading5"/>
    <w:qFormat/>
    <w:pPr>
      <w:keepNext/>
      <w:spacing w:before="240" w:after="120"/>
      <w:outlineLvl w:val="4"/>
    </w:pPr>
    <w:rPr>
      <w:b/>
      <w:bCs/>
      <w:i/>
      <w:iCs/>
    </w:rPr>
  </w:style>
  <w:style w:type="paragraph" w:customStyle="1" w:styleId="MdHeading6">
    <w:name w:val="MdHeading6"/>
    <w:qFormat/>
    <w:pPr>
      <w:keepNext/>
      <w:spacing w:before="240" w:after="120"/>
      <w:outlineLvl w:val="5"/>
    </w:pPr>
    <w:rPr>
      <w:i/>
      <w:iCs/>
    </w:rPr>
  </w:style>
  <w:style w:type="character" w:customStyle="1" w:styleId="MdTag">
    <w:name w:val="MdTag"/>
    <w:uiPriority w:val="99"/>
    <w:unhideWhenUsed/>
    <w:qFormat/>
    <w:rPr>
      <w:rFonts w:ascii="Courier New" w:eastAsia="Courier New" w:hAnsi="Courier New" w:cs="Courier New"/>
      <w:color w:val="ED7D31"/>
    </w:rPr>
  </w:style>
  <w:style w:type="character" w:customStyle="1" w:styleId="MdLink">
    <w:name w:val="MdLink"/>
    <w:uiPriority w:val="99"/>
    <w:unhideWhenUsed/>
    <w:qFormat/>
    <w:rPr>
      <w:color w:val="0563C1"/>
      <w:u w:val="single"/>
    </w:rPr>
  </w:style>
  <w:style w:type="character" w:customStyle="1" w:styleId="MdStrong">
    <w:name w:val="MdStrong"/>
    <w:uiPriority w:val="99"/>
    <w:unhideWhenUsed/>
    <w:qFormat/>
    <w:rPr>
      <w:b/>
      <w:bCs/>
    </w:rPr>
  </w:style>
  <w:style w:type="character" w:customStyle="1" w:styleId="MdEm">
    <w:name w:val="MdEm"/>
    <w:uiPriority w:val="99"/>
    <w:unhideWhenUsed/>
    <w:qFormat/>
    <w:rPr>
      <w:i/>
      <w:iCs/>
    </w:rPr>
  </w:style>
  <w:style w:type="character" w:customStyle="1" w:styleId="MdCodespan">
    <w:name w:val="MdCodespan"/>
    <w:uiPriority w:val="99"/>
    <w:unhideWhenUsed/>
    <w:qFormat/>
    <w:rPr>
      <w:rFonts w:ascii="Courier New" w:eastAsia="Courier New" w:hAnsi="Courier New" w:cs="Courier New"/>
      <w:color w:val="70AD47"/>
    </w:rPr>
  </w:style>
  <w:style w:type="character" w:customStyle="1" w:styleId="MdDel">
    <w:name w:val="MdDel"/>
    <w:uiPriority w:val="99"/>
    <w:unhideWhenUsed/>
    <w:qFormat/>
    <w:rPr>
      <w:strike/>
    </w:rPr>
  </w:style>
  <w:style w:type="character" w:customStyle="1" w:styleId="MdBr">
    <w:name w:val="MdBr"/>
    <w:uiPriority w:val="99"/>
    <w:unhideWhenUsed/>
    <w:qFormat/>
  </w:style>
  <w:style w:type="table" w:styleId="GridTable4-Accent3">
    <w:name w:val="Grid Table 4 Accent 3"/>
    <w:basedOn w:val="TableNormal"/>
    <w:uiPriority w:val="49"/>
    <w:rsid w:val="00976CD2"/>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5Dark-Accent3">
    <w:name w:val="Grid Table 5 Dark Accent 3"/>
    <w:basedOn w:val="TableNormal"/>
    <w:uiPriority w:val="50"/>
    <w:rsid w:val="00976CD2"/>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GridTable5Dark">
    <w:name w:val="Grid Table 5 Dark"/>
    <w:basedOn w:val="TableNormal"/>
    <w:uiPriority w:val="50"/>
    <w:rsid w:val="00976CD2"/>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12</Pages>
  <Words>5009</Words>
  <Characters>28554</Characters>
  <Application>Microsoft Office Word</Application>
  <DocSecurity>0</DocSecurity>
  <Lines>237</Lines>
  <Paragraphs>66</Paragraphs>
  <ScaleCrop>false</ScaleCrop>
  <HeadingPairs>
    <vt:vector size="2" baseType="variant">
      <vt:variant>
        <vt:lpstr>Title</vt:lpstr>
      </vt:variant>
      <vt:variant>
        <vt:i4>1</vt:i4>
      </vt:variant>
    </vt:vector>
  </HeadingPairs>
  <TitlesOfParts>
    <vt:vector size="1" baseType="lpstr">
      <vt:lpstr>Converted Document</vt:lpstr>
    </vt:vector>
  </TitlesOfParts>
  <Company/>
  <LinksUpToDate>false</LinksUpToDate>
  <CharactersWithSpaces>33497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dc:description/>
  <cp:lastModifiedBy>Martin Kiselicki</cp:lastModifiedBy>
  <cp:revision>4</cp:revision>
  <dcterms:created xsi:type="dcterms:W3CDTF">2025-11-23T18:47:00Z</dcterms:created>
  <dcterms:modified xsi:type="dcterms:W3CDTF">2025-12-16T06:05:00Z</dcterms:modified>
</cp:coreProperties>
</file>