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75CC" w:rsidRPr="00591F3A" w:rsidRDefault="00B775CC" w:rsidP="00B775CC">
      <w:pPr>
        <w:spacing w:after="0" w:line="240" w:lineRule="auto"/>
        <w:jc w:val="both"/>
        <w:rPr>
          <w:rFonts w:ascii="Times New Roman" w:hAnsi="Times New Roman" w:cs="Times New Roman"/>
        </w:rPr>
      </w:pPr>
      <w:r w:rsidRPr="00591F3A">
        <w:rPr>
          <w:rFonts w:ascii="Times New Roman" w:hAnsi="Times New Roman" w:cs="Times New Roman"/>
        </w:rPr>
        <w:t xml:space="preserve">Ana </w:t>
      </w:r>
      <w:proofErr w:type="spellStart"/>
      <w:r w:rsidRPr="00591F3A">
        <w:rPr>
          <w:rFonts w:ascii="Times New Roman" w:hAnsi="Times New Roman" w:cs="Times New Roman"/>
        </w:rPr>
        <w:t>Stojanoska</w:t>
      </w:r>
      <w:proofErr w:type="spellEnd"/>
      <w:r w:rsidRPr="00591F3A">
        <w:rPr>
          <w:rFonts w:ascii="Times New Roman" w:hAnsi="Times New Roman" w:cs="Times New Roman"/>
        </w:rPr>
        <w:t>, PhD, full time professor, Faculty of Dramatic Arts - Skopje</w:t>
      </w:r>
    </w:p>
    <w:p w:rsidR="00B775CC" w:rsidRPr="00591F3A" w:rsidRDefault="00B775CC" w:rsidP="00B775CC">
      <w:pPr>
        <w:spacing w:after="0" w:line="240" w:lineRule="auto"/>
        <w:jc w:val="both"/>
        <w:rPr>
          <w:rFonts w:ascii="Times New Roman" w:hAnsi="Times New Roman" w:cs="Times New Roman"/>
          <w:lang w:val="mk-MK"/>
        </w:rPr>
      </w:pPr>
      <w:r w:rsidRPr="00591F3A">
        <w:rPr>
          <w:rFonts w:ascii="Times New Roman" w:hAnsi="Times New Roman" w:cs="Times New Roman"/>
        </w:rPr>
        <w:t>ana.stojanoska@fdu.ukim.edu.mk</w:t>
      </w:r>
    </w:p>
    <w:p w:rsidR="00B775CC" w:rsidRPr="00591F3A" w:rsidRDefault="00B775CC" w:rsidP="00B775CC">
      <w:pPr>
        <w:rPr>
          <w:rFonts w:ascii="Times New Roman" w:hAnsi="Times New Roman" w:cs="Times New Roman"/>
          <w:lang w:val="mk-MK"/>
        </w:rPr>
      </w:pPr>
    </w:p>
    <w:p w:rsidR="00B775CC" w:rsidRPr="00591F3A" w:rsidRDefault="00B775CC" w:rsidP="00B775CC">
      <w:pPr>
        <w:rPr>
          <w:rFonts w:ascii="Times New Roman" w:hAnsi="Times New Roman" w:cs="Times New Roman"/>
        </w:rPr>
      </w:pPr>
      <w:r w:rsidRPr="00591F3A">
        <w:rPr>
          <w:rFonts w:ascii="Times New Roman" w:hAnsi="Times New Roman" w:cs="Times New Roman"/>
        </w:rPr>
        <w:t xml:space="preserve">Application form for International Scientific Symposium </w:t>
      </w:r>
      <w:r w:rsidRPr="00591F3A">
        <w:rPr>
          <w:rFonts w:ascii="Times New Roman" w:hAnsi="Times New Roman" w:cs="Times New Roman"/>
          <w:lang w:val="mk-MK"/>
        </w:rPr>
        <w:t>„</w:t>
      </w:r>
      <w:r w:rsidRPr="00591F3A">
        <w:rPr>
          <w:rFonts w:ascii="Times New Roman" w:hAnsi="Times New Roman" w:cs="Times New Roman"/>
        </w:rPr>
        <w:t xml:space="preserve">Music and Dance on East – West Axis: Correlations and </w:t>
      </w:r>
      <w:proofErr w:type="spellStart"/>
      <w:r w:rsidRPr="00591F3A">
        <w:rPr>
          <w:rFonts w:ascii="Times New Roman" w:hAnsi="Times New Roman" w:cs="Times New Roman"/>
        </w:rPr>
        <w:t>Mobilities</w:t>
      </w:r>
      <w:proofErr w:type="spellEnd"/>
      <w:r w:rsidRPr="00591F3A">
        <w:rPr>
          <w:rFonts w:ascii="Times New Roman" w:hAnsi="Times New Roman" w:cs="Times New Roman"/>
        </w:rPr>
        <w:t>”</w:t>
      </w:r>
    </w:p>
    <w:p w:rsidR="00873FA2" w:rsidRDefault="00873FA2" w:rsidP="00873FA2">
      <w:pPr>
        <w:jc w:val="center"/>
        <w:rPr>
          <w:i/>
          <w:sz w:val="28"/>
          <w:szCs w:val="28"/>
          <w:lang w:val="mk-MK"/>
        </w:rPr>
      </w:pPr>
      <w:bookmarkStart w:id="0" w:name="_GoBack"/>
      <w:bookmarkEnd w:id="0"/>
      <w:r w:rsidRPr="00873FA2">
        <w:rPr>
          <w:i/>
          <w:sz w:val="28"/>
          <w:szCs w:val="28"/>
          <w:lang w:val="mk-MK"/>
        </w:rPr>
        <w:t xml:space="preserve">Ритамот на бесконечноста – </w:t>
      </w:r>
    </w:p>
    <w:p w:rsidR="00A97656" w:rsidRDefault="00873FA2" w:rsidP="00873FA2">
      <w:pPr>
        <w:jc w:val="center"/>
        <w:rPr>
          <w:i/>
          <w:sz w:val="28"/>
          <w:szCs w:val="28"/>
          <w:lang w:val="mk-MK"/>
        </w:rPr>
      </w:pPr>
      <w:r w:rsidRPr="00873FA2">
        <w:rPr>
          <w:i/>
          <w:sz w:val="28"/>
          <w:szCs w:val="28"/>
          <w:lang w:val="mk-MK"/>
        </w:rPr>
        <w:t>Дервишите во македонските театарски претстави</w:t>
      </w:r>
    </w:p>
    <w:p w:rsidR="00873FA2" w:rsidRDefault="00873FA2" w:rsidP="00873FA2">
      <w:pPr>
        <w:rPr>
          <w:i/>
          <w:sz w:val="28"/>
          <w:szCs w:val="28"/>
          <w:lang w:val="mk-MK"/>
        </w:rPr>
      </w:pPr>
    </w:p>
    <w:p w:rsidR="00B775CC" w:rsidRPr="00591F3A" w:rsidRDefault="00B775CC" w:rsidP="00B775CC">
      <w:pPr>
        <w:rPr>
          <w:rFonts w:ascii="Times New Roman" w:hAnsi="Times New Roman" w:cs="Times New Roman"/>
        </w:rPr>
      </w:pPr>
    </w:p>
    <w:p w:rsidR="00B775CC" w:rsidRPr="00591F3A" w:rsidRDefault="00B775CC" w:rsidP="00B775CC">
      <w:pPr>
        <w:rPr>
          <w:rFonts w:ascii="Times New Roman" w:hAnsi="Times New Roman" w:cs="Times New Roman"/>
          <w:b/>
          <w:sz w:val="28"/>
          <w:szCs w:val="28"/>
        </w:rPr>
      </w:pPr>
      <w:r w:rsidRPr="00591F3A">
        <w:rPr>
          <w:rFonts w:ascii="Times New Roman" w:hAnsi="Times New Roman" w:cs="Times New Roman"/>
          <w:b/>
          <w:sz w:val="28"/>
          <w:szCs w:val="28"/>
        </w:rPr>
        <w:t>The Rhythm of Infinity – Dervishes in Macedonian theatre performances</w:t>
      </w:r>
    </w:p>
    <w:p w:rsidR="00B775CC" w:rsidRPr="00591F3A" w:rsidRDefault="00B775CC" w:rsidP="00B775CC">
      <w:pPr>
        <w:rPr>
          <w:rFonts w:ascii="Times New Roman" w:hAnsi="Times New Roman" w:cs="Times New Roman"/>
        </w:rPr>
      </w:pPr>
    </w:p>
    <w:p w:rsidR="00B775CC" w:rsidRPr="005B4899" w:rsidRDefault="00B775CC" w:rsidP="00B775CC">
      <w:pPr>
        <w:rPr>
          <w:rFonts w:ascii="Times New Roman" w:hAnsi="Times New Roman" w:cs="Times New Roman"/>
        </w:rPr>
      </w:pPr>
      <w:r>
        <w:rPr>
          <w:rFonts w:ascii="Times New Roman" w:hAnsi="Times New Roman" w:cs="Times New Roman"/>
        </w:rPr>
        <w:t>Abstract:</w:t>
      </w:r>
    </w:p>
    <w:p w:rsidR="00B775CC" w:rsidRPr="00591F3A" w:rsidRDefault="00B775CC" w:rsidP="00B775CC">
      <w:pPr>
        <w:pStyle w:val="NormalWeb"/>
        <w:shd w:val="clear" w:color="auto" w:fill="FFFFFF"/>
        <w:spacing w:before="0" w:beforeAutospacing="0" w:after="0" w:afterAutospacing="0" w:line="360" w:lineRule="auto"/>
        <w:ind w:firstLine="720"/>
        <w:jc w:val="both"/>
        <w:rPr>
          <w:color w:val="414141"/>
        </w:rPr>
      </w:pPr>
      <w:r w:rsidRPr="00591F3A">
        <w:rPr>
          <w:color w:val="414141"/>
        </w:rPr>
        <w:t xml:space="preserve">In the Macedonian theatrical and cultural tradition, the image of dervishes is constantly encountered, especially in the period of Modernism and modernistic theater. Traces of dervishes have a number of Macedonian places, given the context of the Balkans and the long-term influence of the Orient. This research is based on defining the links between Macedonian and Turkish culture and tradition through the phenomenon of music and dance (rituals) of dervishes, especially in several theatrical performances. The main case study is the performance "Dervish and Death" by </w:t>
      </w:r>
      <w:proofErr w:type="spellStart"/>
      <w:r w:rsidRPr="00591F3A">
        <w:rPr>
          <w:color w:val="414141"/>
        </w:rPr>
        <w:t>Mesha</w:t>
      </w:r>
      <w:proofErr w:type="spellEnd"/>
      <w:r w:rsidRPr="00591F3A">
        <w:rPr>
          <w:color w:val="414141"/>
        </w:rPr>
        <w:t xml:space="preserve"> </w:t>
      </w:r>
      <w:proofErr w:type="spellStart"/>
      <w:r w:rsidRPr="00591F3A">
        <w:rPr>
          <w:color w:val="414141"/>
        </w:rPr>
        <w:t>Selimovich</w:t>
      </w:r>
      <w:proofErr w:type="spellEnd"/>
      <w:r w:rsidRPr="00591F3A">
        <w:rPr>
          <w:color w:val="414141"/>
        </w:rPr>
        <w:t xml:space="preserve">, directed by Vladimir </w:t>
      </w:r>
      <w:proofErr w:type="spellStart"/>
      <w:r w:rsidRPr="00591F3A">
        <w:rPr>
          <w:color w:val="414141"/>
        </w:rPr>
        <w:t>Milchin</w:t>
      </w:r>
      <w:proofErr w:type="spellEnd"/>
      <w:r w:rsidRPr="00591F3A">
        <w:rPr>
          <w:color w:val="414141"/>
        </w:rPr>
        <w:t xml:space="preserve">, production of the Albanian Theater - Skopje, 2003. The music for the performance is composed by the famous Macedonian composer </w:t>
      </w:r>
      <w:proofErr w:type="spellStart"/>
      <w:r w:rsidRPr="00591F3A">
        <w:rPr>
          <w:color w:val="414141"/>
        </w:rPr>
        <w:t>Marjan</w:t>
      </w:r>
      <w:proofErr w:type="spellEnd"/>
      <w:r w:rsidRPr="00591F3A">
        <w:rPr>
          <w:color w:val="414141"/>
        </w:rPr>
        <w:t xml:space="preserve"> </w:t>
      </w:r>
      <w:proofErr w:type="spellStart"/>
      <w:r w:rsidRPr="00591F3A">
        <w:rPr>
          <w:color w:val="414141"/>
        </w:rPr>
        <w:t>Neıak</w:t>
      </w:r>
      <w:proofErr w:type="spellEnd"/>
      <w:r w:rsidRPr="00591F3A">
        <w:rPr>
          <w:color w:val="414141"/>
        </w:rPr>
        <w:t xml:space="preserve">, who creates a kind of network between dervish music, traditional oriental and Macedonian melodies. And he was awarded or this music at the main theatre festivals. This research shows multicultural and intercultural relations in the context of much research by both Peter Brook and Edward Said. At the same time, it is positioned as a direct axis - axis mundi between Turkish and Macedonian traditions. Positioning itself as a bridge between two cultures, traditions, folklore, religion, this paper shows how the theater itself uses tradition and recognition from the side of the larger culture involved in the process itself. Evidence for the success of the show is the increased number of awards and guest appearances outside of Macedonia, as in Istanbul, Turkey. </w:t>
      </w:r>
    </w:p>
    <w:p w:rsidR="00B775CC" w:rsidRPr="00591F3A" w:rsidRDefault="00B775CC" w:rsidP="00B775CC">
      <w:pPr>
        <w:pStyle w:val="NormalWeb"/>
        <w:shd w:val="clear" w:color="auto" w:fill="FFFFFF"/>
        <w:spacing w:before="0" w:beforeAutospacing="0" w:after="0" w:afterAutospacing="0" w:line="360" w:lineRule="auto"/>
        <w:jc w:val="both"/>
        <w:rPr>
          <w:color w:val="414141"/>
        </w:rPr>
      </w:pPr>
      <w:r w:rsidRPr="00591F3A">
        <w:rPr>
          <w:color w:val="414141"/>
        </w:rPr>
        <w:t xml:space="preserve">The study is conceived as contemporary theatrical research that </w:t>
      </w:r>
      <w:proofErr w:type="spellStart"/>
      <w:r w:rsidRPr="00591F3A">
        <w:rPr>
          <w:color w:val="414141"/>
        </w:rPr>
        <w:t>hybridly</w:t>
      </w:r>
      <w:proofErr w:type="spellEnd"/>
      <w:r w:rsidRPr="00591F3A">
        <w:rPr>
          <w:color w:val="414141"/>
        </w:rPr>
        <w:t xml:space="preserve"> connects ethno theatrical, folklore and theatrical anthropology research. The main tools of the scientific-methodological </w:t>
      </w:r>
      <w:proofErr w:type="spellStart"/>
      <w:r w:rsidRPr="00591F3A">
        <w:rPr>
          <w:color w:val="414141"/>
        </w:rPr>
        <w:t>instrumentarium</w:t>
      </w:r>
      <w:proofErr w:type="spellEnd"/>
      <w:r w:rsidRPr="00591F3A">
        <w:rPr>
          <w:color w:val="414141"/>
        </w:rPr>
        <w:t xml:space="preserve"> are the reconstruction of theatrical performances and comparative analysis.</w:t>
      </w:r>
    </w:p>
    <w:p w:rsidR="00B775CC" w:rsidRPr="00591F3A" w:rsidRDefault="00B775CC" w:rsidP="00B775CC">
      <w:pPr>
        <w:rPr>
          <w:rFonts w:ascii="Times New Roman" w:hAnsi="Times New Roman" w:cs="Times New Roman"/>
          <w:lang w:val="mk-MK"/>
        </w:rPr>
      </w:pPr>
    </w:p>
    <w:p w:rsidR="00B775CC" w:rsidRPr="00591F3A" w:rsidRDefault="00B775CC" w:rsidP="00B775CC">
      <w:pPr>
        <w:rPr>
          <w:rFonts w:ascii="Times New Roman" w:hAnsi="Times New Roman" w:cs="Times New Roman"/>
          <w:lang w:val="mk-MK"/>
        </w:rPr>
      </w:pPr>
    </w:p>
    <w:p w:rsidR="00B775CC" w:rsidRPr="00591F3A" w:rsidRDefault="00B775CC" w:rsidP="00B775CC">
      <w:pPr>
        <w:jc w:val="both"/>
        <w:rPr>
          <w:rFonts w:ascii="Times New Roman" w:hAnsi="Times New Roman" w:cs="Times New Roman"/>
        </w:rPr>
      </w:pPr>
      <w:r w:rsidRPr="00591F3A">
        <w:rPr>
          <w:rFonts w:ascii="Times New Roman" w:hAnsi="Times New Roman" w:cs="Times New Roman"/>
        </w:rPr>
        <w:t xml:space="preserve">Ana </w:t>
      </w:r>
      <w:proofErr w:type="spellStart"/>
      <w:r w:rsidRPr="00591F3A">
        <w:rPr>
          <w:rFonts w:ascii="Times New Roman" w:hAnsi="Times New Roman" w:cs="Times New Roman"/>
        </w:rPr>
        <w:t>Stojanoska</w:t>
      </w:r>
      <w:proofErr w:type="spellEnd"/>
      <w:r w:rsidRPr="00591F3A">
        <w:rPr>
          <w:rFonts w:ascii="Times New Roman" w:hAnsi="Times New Roman" w:cs="Times New Roman"/>
        </w:rPr>
        <w:t xml:space="preserve"> (1977, </w:t>
      </w:r>
      <w:proofErr w:type="spellStart"/>
      <w:r w:rsidRPr="00591F3A">
        <w:rPr>
          <w:rFonts w:ascii="Times New Roman" w:hAnsi="Times New Roman" w:cs="Times New Roman"/>
        </w:rPr>
        <w:t>Prilep</w:t>
      </w:r>
      <w:proofErr w:type="spellEnd"/>
      <w:r w:rsidRPr="00591F3A">
        <w:rPr>
          <w:rFonts w:ascii="Times New Roman" w:hAnsi="Times New Roman" w:cs="Times New Roman"/>
        </w:rPr>
        <w:t xml:space="preserve">) theatrologist, writer, full professor at the Faculty of Dramatic Arts (FDA) in Skopje. </w:t>
      </w:r>
      <w:r w:rsidRPr="00591F3A">
        <w:rPr>
          <w:rFonts w:ascii="Times New Roman" w:hAnsi="Times New Roman" w:cs="Times New Roman"/>
          <w:lang w:val="hr-HR"/>
        </w:rPr>
        <w:t>Artistic Director and President of the Ensembl</w:t>
      </w:r>
      <w:r w:rsidRPr="00591F3A">
        <w:rPr>
          <w:rFonts w:ascii="Times New Roman" w:hAnsi="Times New Roman" w:cs="Times New Roman"/>
        </w:rPr>
        <w:t>y of Macedonian Theatre Festival “</w:t>
      </w:r>
      <w:proofErr w:type="spellStart"/>
      <w:r w:rsidRPr="00591F3A">
        <w:rPr>
          <w:rFonts w:ascii="Times New Roman" w:hAnsi="Times New Roman" w:cs="Times New Roman"/>
        </w:rPr>
        <w:t>Vojdan</w:t>
      </w:r>
      <w:proofErr w:type="spellEnd"/>
      <w:r w:rsidRPr="00591F3A">
        <w:rPr>
          <w:rFonts w:ascii="Times New Roman" w:hAnsi="Times New Roman" w:cs="Times New Roman"/>
        </w:rPr>
        <w:t xml:space="preserve"> </w:t>
      </w:r>
      <w:proofErr w:type="spellStart"/>
      <w:r w:rsidRPr="00591F3A">
        <w:rPr>
          <w:rFonts w:ascii="Times New Roman" w:hAnsi="Times New Roman" w:cs="Times New Roman"/>
        </w:rPr>
        <w:t>Chernodrinski</w:t>
      </w:r>
      <w:proofErr w:type="spellEnd"/>
      <w:r w:rsidRPr="00591F3A">
        <w:rPr>
          <w:rFonts w:ascii="Times New Roman" w:hAnsi="Times New Roman" w:cs="Times New Roman"/>
        </w:rPr>
        <w:t xml:space="preserve">” – </w:t>
      </w:r>
      <w:proofErr w:type="spellStart"/>
      <w:r w:rsidRPr="00591F3A">
        <w:rPr>
          <w:rFonts w:ascii="Times New Roman" w:hAnsi="Times New Roman" w:cs="Times New Roman"/>
        </w:rPr>
        <w:t>Prilep</w:t>
      </w:r>
      <w:proofErr w:type="spellEnd"/>
      <w:r w:rsidRPr="00591F3A">
        <w:rPr>
          <w:rFonts w:ascii="Times New Roman" w:hAnsi="Times New Roman" w:cs="Times New Roman"/>
        </w:rPr>
        <w:t xml:space="preserve">. Actively engaged in research and study of drama and theater. Author of many published novels, poems and theatre plays. Author of hundred studies and essays published in Macedonian and foreign periodicals, as well as co-author of several theatrical monographs. She, also, writes theatre reviews.  She is a member of several associations and organizations focused on research in literature and theater. Her poetry and prose has been published in several Macedonian and international journals.  </w:t>
      </w:r>
    </w:p>
    <w:p w:rsidR="00B775CC" w:rsidRDefault="00B775CC" w:rsidP="00873FA2">
      <w:pPr>
        <w:rPr>
          <w:b/>
          <w:lang w:val="mk-MK"/>
        </w:rPr>
      </w:pPr>
    </w:p>
    <w:p w:rsidR="00B775CC" w:rsidRDefault="00B775CC" w:rsidP="00873FA2">
      <w:pPr>
        <w:rPr>
          <w:b/>
          <w:lang w:val="mk-MK"/>
        </w:rPr>
      </w:pPr>
    </w:p>
    <w:p w:rsidR="00873FA2" w:rsidRDefault="00873FA2" w:rsidP="00873FA2">
      <w:pPr>
        <w:rPr>
          <w:b/>
          <w:lang w:val="mk-MK"/>
        </w:rPr>
      </w:pPr>
      <w:r>
        <w:rPr>
          <w:b/>
          <w:lang w:val="mk-MK"/>
        </w:rPr>
        <w:t xml:space="preserve">Дервишите </w:t>
      </w:r>
      <w:r w:rsidR="007C6343">
        <w:rPr>
          <w:b/>
          <w:lang w:val="mk-MK"/>
        </w:rPr>
        <w:t>... наместо почеток</w:t>
      </w:r>
    </w:p>
    <w:p w:rsidR="00873FA2" w:rsidRPr="00873FA2" w:rsidRDefault="007C6343" w:rsidP="00E72BC3">
      <w:pPr>
        <w:spacing w:after="0" w:line="360" w:lineRule="auto"/>
        <w:ind w:firstLine="720"/>
        <w:jc w:val="both"/>
        <w:rPr>
          <w:b/>
          <w:lang w:val="mk-MK"/>
        </w:rPr>
      </w:pPr>
      <w:r>
        <w:rPr>
          <w:lang w:val="mk-MK"/>
        </w:rPr>
        <w:t xml:space="preserve">Ритамот е бавен, најчесто едноставен такт на одреден удирачки инструмент. Бавноста на ритамот се забрзува по првите чекори на дервишите и нивниот танц. Допирајќи ја земјата, исправајќи ги рацете кон сонцето, тие се медиумот, местото на спојувањето на духовното и профаното. Дервишите и нивната мистичност се еден од интимно важните предмети на моите истражувања. </w:t>
      </w:r>
      <w:r w:rsidR="00E72BC3">
        <w:rPr>
          <w:lang w:val="mk-MK"/>
        </w:rPr>
        <w:t xml:space="preserve">Поставена на патот меѓу истокот и западот, македонската култура, посебно во периодот под Османлиското царство се запознава со влијателните елементи од  Ориентот и некои од нив ги „присвојува“ како свои. </w:t>
      </w:r>
      <w:r>
        <w:rPr>
          <w:lang w:val="mk-MK"/>
        </w:rPr>
        <w:t xml:space="preserve">Има неколку дервишки редови чии теќии се наоѓаат на територијата на денешна Македонија. Бекташи, Рифаити, во Скопје и Тетово, како и Халвети – Хајати во Охрид. Дервишите ги има и во организирани групи, но и како индивидуални религиозни форми. Трагајќи по дервишките редови, повеќе од дваесетина години во мојата театролошка практика, најчесто нивното постоење го истражував низ визурата на нивната апликативност и репрезентативност во театарот. </w:t>
      </w:r>
      <w:r w:rsidR="00873FA2" w:rsidRPr="00FE1279">
        <w:rPr>
          <w:lang w:val="mk-MK"/>
        </w:rPr>
        <w:t>Да се откриваат дервишите како еден типичен езотеричен ред во контекст на театарска претстава е предизвик со максимален ризик при истражувањето. Меѓутоа, нивниот ритуал, начинот на гледање на светот, желбата да се допре до Бог преку повеќе средства, е и доволен предизвик да се размислува за нивна имплементација во театарска претстава. Причината е едноставна. Корените на театарот се ритуални, митски и магиски. И при анализата на претставите, при детектирањето на режисер</w:t>
      </w:r>
      <w:r w:rsidR="00873FA2">
        <w:rPr>
          <w:lang w:val="mk-MK"/>
        </w:rPr>
        <w:t>ската поетика и естетика,</w:t>
      </w:r>
      <w:r w:rsidR="00873FA2" w:rsidRPr="00FE1279">
        <w:rPr>
          <w:lang w:val="mk-MK"/>
        </w:rPr>
        <w:t xml:space="preserve"> при создавањето на </w:t>
      </w:r>
      <w:r w:rsidR="00873FA2" w:rsidRPr="00FE1279">
        <w:rPr>
          <w:i/>
          <w:lang w:val="mk-MK"/>
        </w:rPr>
        <w:t xml:space="preserve">самосвоја </w:t>
      </w:r>
      <w:r w:rsidR="00873FA2" w:rsidRPr="00FE1279">
        <w:rPr>
          <w:lang w:val="mk-MK"/>
        </w:rPr>
        <w:t xml:space="preserve">лична </w:t>
      </w:r>
      <w:r w:rsidR="00873FA2" w:rsidRPr="00FE1279">
        <w:rPr>
          <w:lang w:val="mk-MK"/>
        </w:rPr>
        <w:lastRenderedPageBreak/>
        <w:t>приказна за и околу дервишит</w:t>
      </w:r>
      <w:r w:rsidR="00873FA2">
        <w:rPr>
          <w:lang w:val="mk-MK"/>
        </w:rPr>
        <w:t>е, се наметна потребата</w:t>
      </w:r>
      <w:r w:rsidR="00873FA2" w:rsidRPr="00FE1279">
        <w:rPr>
          <w:lang w:val="mk-MK"/>
        </w:rPr>
        <w:t xml:space="preserve"> да се детерминира и елаборира оваа примарна симбиоза.</w:t>
      </w:r>
    </w:p>
    <w:p w:rsidR="00873FA2" w:rsidRDefault="00873FA2" w:rsidP="00873FA2">
      <w:pPr>
        <w:rPr>
          <w:b/>
          <w:lang w:val="mk-MK"/>
        </w:rPr>
      </w:pPr>
    </w:p>
    <w:p w:rsidR="00873FA2" w:rsidRDefault="00873FA2" w:rsidP="00873FA2">
      <w:pPr>
        <w:rPr>
          <w:b/>
          <w:lang w:val="mk-MK"/>
        </w:rPr>
      </w:pPr>
      <w:r>
        <w:rPr>
          <w:b/>
          <w:lang w:val="mk-MK"/>
        </w:rPr>
        <w:t>Звукот на нејот низ претставите</w:t>
      </w:r>
    </w:p>
    <w:p w:rsidR="00E72BC3" w:rsidRPr="00FE1279" w:rsidRDefault="00E72BC3" w:rsidP="00E72BC3">
      <w:pPr>
        <w:spacing w:line="360" w:lineRule="auto"/>
        <w:ind w:firstLine="720"/>
        <w:jc w:val="both"/>
      </w:pPr>
      <w:r w:rsidRPr="00FE1279">
        <w:rPr>
          <w:lang w:val="mk-MK"/>
        </w:rPr>
        <w:t>Меѓу езотеричните братства, религиозни и маги</w:t>
      </w:r>
      <w:r>
        <w:rPr>
          <w:lang w:val="mk-MK"/>
        </w:rPr>
        <w:t xml:space="preserve">ски редови, кои своето постоење </w:t>
      </w:r>
      <w:r w:rsidRPr="00FE1279">
        <w:rPr>
          <w:lang w:val="mk-MK"/>
        </w:rPr>
        <w:t>го етаблирале со векови и векови на назад, се евидентира и постоењето на можеби, еден од најзатворените, свети „дружини“, во сржта на Исламот – ДЕРВИШИТЕ</w:t>
      </w:r>
      <w:r w:rsidRPr="00FE1279">
        <w:rPr>
          <w:rStyle w:val="EndnoteReference"/>
          <w:lang w:val="mk-MK"/>
        </w:rPr>
        <w:endnoteReference w:id="1"/>
      </w:r>
      <w:r w:rsidRPr="00FE1279">
        <w:rPr>
          <w:lang w:val="mk-MK"/>
        </w:rPr>
        <w:t>. Поради нивната езотеричност, не може со точно да се потврди почетокот на постоењето на дервишките редови. Се знае дека се дел од суфиската филозофија во рамки на муслиманската религија. Во една од поемотивно напишаните книги (а, пишувајќи за дервишите, не може да се пишува многу рационално), на двајцата познавачи на овие езотерични редови</w:t>
      </w:r>
      <w:r>
        <w:rPr>
          <w:lang w:val="mk-MK"/>
        </w:rPr>
        <w:t xml:space="preserve"> </w:t>
      </w:r>
      <w:r w:rsidRPr="00FE1279">
        <w:rPr>
          <w:lang w:val="mk-MK"/>
        </w:rPr>
        <w:t>– Талат Саит Халман/</w:t>
      </w:r>
      <w:proofErr w:type="spellStart"/>
      <w:r w:rsidRPr="00FE1279">
        <w:t>Talat</w:t>
      </w:r>
      <w:proofErr w:type="spellEnd"/>
      <w:r w:rsidRPr="00FE1279">
        <w:t xml:space="preserve"> </w:t>
      </w:r>
      <w:proofErr w:type="spellStart"/>
      <w:r w:rsidRPr="00FE1279">
        <w:t>Sait</w:t>
      </w:r>
      <w:proofErr w:type="spellEnd"/>
      <w:r w:rsidRPr="00FE1279">
        <w:t xml:space="preserve"> </w:t>
      </w:r>
      <w:proofErr w:type="spellStart"/>
      <w:r w:rsidRPr="00FE1279">
        <w:t>Halman</w:t>
      </w:r>
      <w:proofErr w:type="spellEnd"/>
      <w:r w:rsidRPr="00FE1279">
        <w:rPr>
          <w:rStyle w:val="EndnoteReference"/>
        </w:rPr>
        <w:endnoteReference w:id="2"/>
      </w:r>
      <w:r w:rsidRPr="00FE1279">
        <w:t xml:space="preserve"> </w:t>
      </w:r>
      <w:r w:rsidRPr="00FE1279">
        <w:rPr>
          <w:lang w:val="mk-MK"/>
        </w:rPr>
        <w:t>и на Метин Анд/</w:t>
      </w:r>
      <w:proofErr w:type="spellStart"/>
      <w:r w:rsidRPr="00FE1279">
        <w:t>Metin</w:t>
      </w:r>
      <w:proofErr w:type="spellEnd"/>
      <w:r w:rsidRPr="00FE1279">
        <w:t xml:space="preserve"> And</w:t>
      </w:r>
      <w:r w:rsidRPr="00FE1279">
        <w:rPr>
          <w:rStyle w:val="EndnoteReference"/>
        </w:rPr>
        <w:endnoteReference w:id="3"/>
      </w:r>
      <w:r w:rsidRPr="00FE1279">
        <w:rPr>
          <w:lang w:val="mk-MK"/>
        </w:rPr>
        <w:t xml:space="preserve">, се вели: </w:t>
      </w:r>
      <w:r w:rsidRPr="00FE1279">
        <w:rPr>
          <w:i/>
          <w:lang w:val="mk-MK"/>
        </w:rPr>
        <w:t>Држењето на дервишот, ја искажува хармонијата на креацијата Господова, во екстаза на духовната љубов во заедништво со вечното</w:t>
      </w:r>
      <w:r w:rsidRPr="00FE1279">
        <w:rPr>
          <w:lang w:val="mk-MK"/>
        </w:rPr>
        <w:t>. (</w:t>
      </w:r>
      <w:proofErr w:type="spellStart"/>
      <w:r w:rsidRPr="00FE1279">
        <w:t>Halman</w:t>
      </w:r>
      <w:proofErr w:type="spellEnd"/>
      <w:r w:rsidRPr="00FE1279">
        <w:t>-And, 1992: 87</w:t>
      </w:r>
      <w:r w:rsidRPr="00FE1279">
        <w:rPr>
          <w:lang w:val="mk-MK"/>
        </w:rPr>
        <w:t>)</w:t>
      </w:r>
    </w:p>
    <w:p w:rsidR="00E72BC3" w:rsidRPr="00FE1279" w:rsidRDefault="00E72BC3" w:rsidP="00E72BC3">
      <w:pPr>
        <w:spacing w:line="360" w:lineRule="auto"/>
        <w:ind w:firstLine="720"/>
        <w:jc w:val="both"/>
      </w:pPr>
      <w:r w:rsidRPr="00FE1279">
        <w:rPr>
          <w:lang w:val="mk-MK"/>
        </w:rPr>
        <w:t>За основањето на некои од поголемите дервишки редови не постојат конкретни податоци. За Мевлевиските дервиши постојат податоци кои го наведуваат нивното основање и се трудат барем малку да се откраднат од легенда</w:t>
      </w:r>
      <w:r>
        <w:rPr>
          <w:lang w:val="mk-MK"/>
        </w:rPr>
        <w:t>та, односно, од митолошката сем</w:t>
      </w:r>
      <w:r w:rsidRPr="00FE1279">
        <w:rPr>
          <w:lang w:val="mk-MK"/>
        </w:rPr>
        <w:t>а</w:t>
      </w:r>
      <w:r>
        <w:rPr>
          <w:lang w:val="mk-MK"/>
        </w:rPr>
        <w:t>нт</w:t>
      </w:r>
      <w:r w:rsidRPr="00FE1279">
        <w:rPr>
          <w:lang w:val="mk-MK"/>
        </w:rPr>
        <w:t>ика поврзана за животот и делото на Џелалудин Ал Руми</w:t>
      </w:r>
      <w:r w:rsidRPr="00FE1279">
        <w:rPr>
          <w:rStyle w:val="EndnoteReference"/>
          <w:lang w:val="mk-MK"/>
        </w:rPr>
        <w:endnoteReference w:id="4"/>
      </w:r>
      <w:r w:rsidRPr="00FE1279">
        <w:rPr>
          <w:lang w:val="mk-MK"/>
        </w:rPr>
        <w:t xml:space="preserve"> – таткото на овој дервишки ред. Се знае дека некаде во </w:t>
      </w:r>
      <w:r w:rsidRPr="001F7DE7">
        <w:t>XIII</w:t>
      </w:r>
      <w:r w:rsidRPr="001F7DE7">
        <w:rPr>
          <w:lang w:val="mk-MK"/>
        </w:rPr>
        <w:t xml:space="preserve"> век, набрзо по смртта на Џеллалудин, неговиот син Султан Велед/</w:t>
      </w:r>
      <w:r w:rsidRPr="001F7DE7">
        <w:t xml:space="preserve">Sultan </w:t>
      </w:r>
      <w:proofErr w:type="spellStart"/>
      <w:r w:rsidRPr="001F7DE7">
        <w:t>Valad</w:t>
      </w:r>
      <w:proofErr w:type="spellEnd"/>
      <w:r w:rsidRPr="001F7DE7">
        <w:rPr>
          <w:lang w:val="mk-MK"/>
        </w:rPr>
        <w:t xml:space="preserve"> го основал братството за да се рашират филозофските идеи на неговиот татко. </w:t>
      </w:r>
      <w:r w:rsidRPr="00FE1279">
        <w:rPr>
          <w:lang w:val="mk-MK"/>
        </w:rPr>
        <w:t xml:space="preserve">Суштината на овој вид спиритуално изразување се открива во потребата на спојувањето со Бог да се направи преку неколку посредници – медијатори, од кои најважен е танцот, затоа во западниот свет овие дервиши се познати како </w:t>
      </w:r>
      <w:r w:rsidRPr="00FE1279">
        <w:rPr>
          <w:i/>
          <w:lang w:val="mk-MK"/>
        </w:rPr>
        <w:t>Танцувачки дервиши/</w:t>
      </w:r>
      <w:r w:rsidRPr="00FE1279">
        <w:rPr>
          <w:i/>
        </w:rPr>
        <w:t>Whirling Dervishes</w:t>
      </w:r>
      <w:r w:rsidRPr="00FE1279">
        <w:rPr>
          <w:lang w:val="mk-MK"/>
        </w:rPr>
        <w:t xml:space="preserve">. Преку поврзувањето на земјата со небото (како што се движат рацете на Мевлевиските дервиши во нивниот танц, едната свртена со дланката на горе, а другата надолу), со потенцираната симболика на </w:t>
      </w:r>
      <w:r w:rsidRPr="00FE1279">
        <w:rPr>
          <w:i/>
          <w:lang w:val="mk-MK"/>
        </w:rPr>
        <w:t>кругот</w:t>
      </w:r>
      <w:r w:rsidRPr="00FE1279">
        <w:rPr>
          <w:lang w:val="mk-MK"/>
        </w:rPr>
        <w:t xml:space="preserve"> (што се еманира и во кружните движења, во облеката на дервишите, во перманентниот ритам кој градира со побрзо темпо до крајот), со специфичната изведбеност, која ритуалот го претставува и како религиозен и духовен чин, но и чин на претставување, кој е најблизок до театарското претставување. Не случајно, и некои од </w:t>
      </w:r>
      <w:r w:rsidRPr="00FE1279">
        <w:rPr>
          <w:lang w:val="mk-MK"/>
        </w:rPr>
        <w:lastRenderedPageBreak/>
        <w:t>мевлевиските ритуали и денес се изведуваат како посебен настан. Кога ритуалот ќе биде изваден од неговото базично опкружување и ќе биде донесен на сцена, станува театар – како што на едно место објаснува и Ричард Шекнер (</w:t>
      </w:r>
      <w:proofErr w:type="spellStart"/>
      <w:r w:rsidRPr="00FE1279">
        <w:t>Schechner</w:t>
      </w:r>
      <w:proofErr w:type="spellEnd"/>
      <w:r w:rsidRPr="00FE1279">
        <w:rPr>
          <w:lang w:val="mk-MK"/>
        </w:rPr>
        <w:t xml:space="preserve">, 1988). </w:t>
      </w:r>
    </w:p>
    <w:p w:rsidR="00E72BC3" w:rsidRPr="00FE1279" w:rsidRDefault="007C6343" w:rsidP="00E72BC3">
      <w:pPr>
        <w:spacing w:line="360" w:lineRule="auto"/>
        <w:ind w:firstLine="720"/>
        <w:jc w:val="both"/>
        <w:rPr>
          <w:lang w:val="mk-MK"/>
        </w:rPr>
      </w:pPr>
      <w:r>
        <w:rPr>
          <w:lang w:val="mk-MK"/>
        </w:rPr>
        <w:t xml:space="preserve">Предмет на интерес на </w:t>
      </w:r>
      <w:r w:rsidR="00E72BC3" w:rsidRPr="00FE1279">
        <w:rPr>
          <w:lang w:val="mk-MK"/>
        </w:rPr>
        <w:t xml:space="preserve">оваа студија </w:t>
      </w:r>
      <w:r w:rsidR="00E72BC3">
        <w:rPr>
          <w:lang w:val="mk-MK"/>
        </w:rPr>
        <w:t>се Мевлевиските дервиши и</w:t>
      </w:r>
      <w:r w:rsidR="00E72BC3" w:rsidRPr="00FE1279">
        <w:rPr>
          <w:lang w:val="mk-MK"/>
        </w:rPr>
        <w:t xml:space="preserve"> нивната ритуална игра, која </w:t>
      </w:r>
      <w:r>
        <w:rPr>
          <w:lang w:val="mk-MK"/>
        </w:rPr>
        <w:t xml:space="preserve">кога е искористена во театарската претстава станува доминантно </w:t>
      </w:r>
      <w:r w:rsidR="00E72BC3" w:rsidRPr="00FE1279">
        <w:rPr>
          <w:lang w:val="mk-MK"/>
        </w:rPr>
        <w:t xml:space="preserve">театарско изразно средство. Тоа не значи дека така се материјализира нивната духовност, туку што е мошне значајно, нивната духовност се етаблира, за да може да се дојде до поинаква сценска изразност. Релацијата ритуал-театар, во овој случај се потенцира и преку постоењето на т.н. ритуална матрица во театарот или театрална матрица на ритуалот. Матрицата е составена од четири елементи, кои се препознаваат и во односот </w:t>
      </w:r>
      <w:r w:rsidR="00E72BC3" w:rsidRPr="00FE1279">
        <w:rPr>
          <w:i/>
          <w:lang w:val="mk-MK"/>
        </w:rPr>
        <w:t>дервишки/Мевлевиски ритуал – театарска претстава</w:t>
      </w:r>
      <w:r w:rsidR="00E72BC3" w:rsidRPr="00FE1279">
        <w:rPr>
          <w:lang w:val="mk-MK"/>
        </w:rPr>
        <w:t xml:space="preserve">. </w:t>
      </w:r>
      <w:r w:rsidR="00E72BC3">
        <w:rPr>
          <w:lang w:val="mk-MK"/>
        </w:rPr>
        <w:t>Тоа се:</w:t>
      </w:r>
      <w:r w:rsidR="00E72BC3" w:rsidRPr="00FE1279">
        <w:rPr>
          <w:lang w:val="mk-MK"/>
        </w:rPr>
        <w:t xml:space="preserve"> </w:t>
      </w:r>
      <w:r w:rsidR="00E72BC3" w:rsidRPr="00FE1279">
        <w:rPr>
          <w:u w:val="single"/>
          <w:lang w:val="mk-MK"/>
        </w:rPr>
        <w:t>изведувачите</w:t>
      </w:r>
      <w:r w:rsidR="00E72BC3" w:rsidRPr="00EB04E4">
        <w:rPr>
          <w:lang w:val="mk-MK"/>
        </w:rPr>
        <w:t xml:space="preserve">, </w:t>
      </w:r>
      <w:r w:rsidR="00E72BC3" w:rsidRPr="00FE1279">
        <w:rPr>
          <w:u w:val="single"/>
          <w:lang w:val="mk-MK"/>
        </w:rPr>
        <w:t>текстот</w:t>
      </w:r>
      <w:r w:rsidR="00E72BC3" w:rsidRPr="00FE1279">
        <w:rPr>
          <w:lang w:val="mk-MK"/>
        </w:rPr>
        <w:t xml:space="preserve"> на изведбата (не само говорениот текст, туку текстот како текстура на изведбата)</w:t>
      </w:r>
      <w:r w:rsidR="00E72BC3">
        <w:rPr>
          <w:lang w:val="mk-MK"/>
        </w:rPr>
        <w:t xml:space="preserve">, </w:t>
      </w:r>
      <w:r w:rsidR="00E72BC3" w:rsidRPr="00FE1279">
        <w:rPr>
          <w:u w:val="single"/>
          <w:lang w:val="mk-MK"/>
        </w:rPr>
        <w:t>сцената</w:t>
      </w:r>
      <w:r w:rsidR="00E72BC3" w:rsidRPr="00FE1279">
        <w:rPr>
          <w:lang w:val="mk-MK"/>
        </w:rPr>
        <w:t xml:space="preserve"> на која се изведува и ритуалот и театарската претстава</w:t>
      </w:r>
      <w:r w:rsidR="00E72BC3">
        <w:rPr>
          <w:lang w:val="mk-MK"/>
        </w:rPr>
        <w:t xml:space="preserve"> и п</w:t>
      </w:r>
      <w:r w:rsidR="00E72BC3" w:rsidRPr="00FE1279">
        <w:rPr>
          <w:lang w:val="mk-MK"/>
        </w:rPr>
        <w:t xml:space="preserve">оследниот елемент е </w:t>
      </w:r>
      <w:r w:rsidR="00E72BC3" w:rsidRPr="00FE1279">
        <w:rPr>
          <w:u w:val="single"/>
          <w:lang w:val="mk-MK"/>
        </w:rPr>
        <w:t>гледачот</w:t>
      </w:r>
      <w:r w:rsidR="00E72BC3" w:rsidRPr="00FE1279">
        <w:rPr>
          <w:lang w:val="mk-MK"/>
        </w:rPr>
        <w:t>. За разлика од ритуалот, каде гледачот е и учесник-изведувач и во рамките на потребното-гледач, во театарот гледачот е издвоен од изведувачот. Тука се дефинира и една од клучните опсервации на театарската антропологија. Многумина од овие „Земјини шетачи“ го истражуваат односот со публиката и бараат истата таа публика да не седи во комоција во театарскиот салон, туку да биде предизвикана да учествува во театарскиот чин. Во дервишките ритуали учествуваат само членовите на братс</w:t>
      </w:r>
      <w:r w:rsidR="00E72BC3">
        <w:rPr>
          <w:lang w:val="mk-MK"/>
        </w:rPr>
        <w:t>т</w:t>
      </w:r>
      <w:r w:rsidR="00E72BC3" w:rsidRPr="00FE1279">
        <w:rPr>
          <w:lang w:val="mk-MK"/>
        </w:rPr>
        <w:t>вото. Но, тука „улогата“ на гледач ја има водачот, односно авторитативниот главен член</w:t>
      </w:r>
      <w:r w:rsidR="00E72BC3">
        <w:rPr>
          <w:lang w:val="mk-MK"/>
        </w:rPr>
        <w:t>, к</w:t>
      </w:r>
      <w:r w:rsidR="00E72BC3" w:rsidRPr="00FE1279">
        <w:rPr>
          <w:lang w:val="mk-MK"/>
        </w:rPr>
        <w:t>ој откако ќе го поведе ритамот на движењето (пример, кај Мевлевиските дервиши) и тој се вклучува во ритуалот. Дервишите имаат и своја посебна костимографија</w:t>
      </w:r>
      <w:r w:rsidR="00E72BC3">
        <w:rPr>
          <w:lang w:val="mk-MK"/>
        </w:rPr>
        <w:t xml:space="preserve"> и сценографија</w:t>
      </w:r>
      <w:r w:rsidR="00E72BC3" w:rsidRPr="00FE1279">
        <w:rPr>
          <w:lang w:val="mk-MK"/>
        </w:rPr>
        <w:t xml:space="preserve">. </w:t>
      </w:r>
    </w:p>
    <w:p w:rsidR="00E72BC3" w:rsidRPr="007C6343" w:rsidRDefault="00E72BC3" w:rsidP="00E72BC3">
      <w:pPr>
        <w:spacing w:line="360" w:lineRule="auto"/>
        <w:ind w:firstLine="720"/>
        <w:jc w:val="both"/>
        <w:rPr>
          <w:lang w:val="mk-MK"/>
        </w:rPr>
      </w:pPr>
      <w:r w:rsidRPr="00FE1279">
        <w:rPr>
          <w:lang w:val="mk-MK"/>
        </w:rPr>
        <w:t>Ова објаснување е потребно за да можеме да ја разбереме појавноста на дервишите во театарските претстави на Милчин, што се предмет на интерес на оваа студија. Саит Халман „вртењето“ на Мевлевиските дервиши (сема/</w:t>
      </w:r>
      <w:proofErr w:type="spellStart"/>
      <w:r w:rsidRPr="00FE1279">
        <w:t>sema</w:t>
      </w:r>
      <w:proofErr w:type="spellEnd"/>
      <w:r w:rsidRPr="00FE1279">
        <w:rPr>
          <w:rStyle w:val="EndnoteReference"/>
        </w:rPr>
        <w:endnoteReference w:id="5"/>
      </w:r>
      <w:r>
        <w:rPr>
          <w:lang w:val="mk-MK"/>
        </w:rPr>
        <w:t>) го поврзува со ритуалите поврз</w:t>
      </w:r>
      <w:r w:rsidRPr="00FE1279">
        <w:rPr>
          <w:lang w:val="mk-MK"/>
        </w:rPr>
        <w:t>а</w:t>
      </w:r>
      <w:r>
        <w:rPr>
          <w:lang w:val="mk-MK"/>
        </w:rPr>
        <w:t>н</w:t>
      </w:r>
      <w:r w:rsidRPr="00FE1279">
        <w:rPr>
          <w:lang w:val="mk-MK"/>
        </w:rPr>
        <w:t xml:space="preserve">и со богот Дионис: </w:t>
      </w:r>
      <w:r w:rsidRPr="00FE1279">
        <w:rPr>
          <w:i/>
          <w:lang w:val="mk-MK"/>
        </w:rPr>
        <w:t>Вртењето, кое повеќето од дервишите не го сметаат за танц, има некои од атрибутите на Дионизискиот ритуал, бидејќи неговите корени се во Анадолиската култура. Неговите претходници може да се најдат во античките турски шаманистички танци од Централна Азија</w:t>
      </w:r>
      <w:r w:rsidRPr="00FE1279">
        <w:rPr>
          <w:lang w:val="mk-MK"/>
        </w:rPr>
        <w:t xml:space="preserve"> (</w:t>
      </w:r>
      <w:proofErr w:type="spellStart"/>
      <w:r w:rsidRPr="00FE1279">
        <w:t>Sait</w:t>
      </w:r>
      <w:proofErr w:type="spellEnd"/>
      <w:r w:rsidRPr="00FE1279">
        <w:t xml:space="preserve"> </w:t>
      </w:r>
      <w:proofErr w:type="spellStart"/>
      <w:r w:rsidRPr="00FE1279">
        <w:t>Halman</w:t>
      </w:r>
      <w:proofErr w:type="spellEnd"/>
      <w:r w:rsidRPr="00FE1279">
        <w:t>, 1992: 34</w:t>
      </w:r>
      <w:r w:rsidRPr="00FE1279">
        <w:rPr>
          <w:lang w:val="mk-MK"/>
        </w:rPr>
        <w:t>)</w:t>
      </w:r>
      <w:r w:rsidRPr="00FE1279">
        <w:t xml:space="preserve">. </w:t>
      </w:r>
      <w:r w:rsidR="007C6343">
        <w:rPr>
          <w:lang w:val="mk-MK"/>
        </w:rPr>
        <w:t xml:space="preserve">А не може да зборуваме за танц, ако не го споменеме </w:t>
      </w:r>
      <w:r w:rsidR="007C6343">
        <w:rPr>
          <w:lang w:val="mk-MK"/>
        </w:rPr>
        <w:lastRenderedPageBreak/>
        <w:t>нејот, еден од дервишките инструменти. Неј е еден од најстарите дувачки инструменти во светот по потекло од Персија, но се шири низ целиот Исток, посебно низ арапскиот свет. Неговата широка палета на тонови од лесен и пенлив до остри прекини, скокови и звуци што будат копнеж и сета како да ги собрала во себе сите потраги и лутања на дервишите, сета нивна болка и сета нивна радост. Затоа и ритамот што го води нејот во комбинација со некој од удирачките инструменти е најпознатиот дервишки звук. Музиката на спојувањето на божјото и човечкото.</w:t>
      </w:r>
    </w:p>
    <w:p w:rsidR="00873FA2" w:rsidRDefault="00873FA2" w:rsidP="00873FA2">
      <w:pPr>
        <w:rPr>
          <w:b/>
          <w:lang w:val="mk-MK"/>
        </w:rPr>
      </w:pPr>
      <w:r>
        <w:rPr>
          <w:b/>
          <w:lang w:val="mk-MK"/>
        </w:rPr>
        <w:t>Дервишите во претставите на Владимир Милчин</w:t>
      </w:r>
    </w:p>
    <w:p w:rsidR="00E72BC3" w:rsidRPr="00FE1279" w:rsidRDefault="001B29D4" w:rsidP="00E72BC3">
      <w:pPr>
        <w:spacing w:line="360" w:lineRule="auto"/>
        <w:ind w:firstLine="720"/>
        <w:jc w:val="both"/>
        <w:rPr>
          <w:lang w:val="mk-MK"/>
        </w:rPr>
      </w:pPr>
      <w:r>
        <w:rPr>
          <w:lang w:val="mk-MK"/>
        </w:rPr>
        <w:t xml:space="preserve">Владимир Милчин (1947) е познат македонски театарски режисер и професор на ФДУ – Скопје, чија што поетика и естетика се дефинирани како типично модернистички, политички ангажирани и посветени. </w:t>
      </w:r>
      <w:r w:rsidR="00E72BC3" w:rsidRPr="00FE1279">
        <w:rPr>
          <w:lang w:val="mk-MK"/>
        </w:rPr>
        <w:t>Театарската естетика и посебно, поетика на Владимир Милчин</w:t>
      </w:r>
      <w:r w:rsidR="00711727">
        <w:rPr>
          <w:lang w:val="mk-MK"/>
        </w:rPr>
        <w:t xml:space="preserve"> </w:t>
      </w:r>
      <w:r w:rsidR="00E72BC3" w:rsidRPr="00FE1279">
        <w:rPr>
          <w:lang w:val="mk-MK"/>
        </w:rPr>
        <w:t xml:space="preserve">за македонската (но, не само за неа) театрологија е феномен кој е истражуван и се истражува и понатаму. Неговиот специфичен театарски дискурс се базира на голем број истражувања и проучувања на театарот, не само како изразно средство, туку и пред сé, како </w:t>
      </w:r>
      <w:r w:rsidR="00E72BC3" w:rsidRPr="00FE1279">
        <w:rPr>
          <w:u w:val="single"/>
          <w:lang w:val="mk-MK"/>
        </w:rPr>
        <w:t>начин на живот</w:t>
      </w:r>
      <w:r w:rsidR="00E72BC3" w:rsidRPr="00FE1279">
        <w:rPr>
          <w:lang w:val="mk-MK"/>
        </w:rPr>
        <w:t>. Откривањето на дервишката традиција и нејзиното проучување се манифестира во режиите на Милчин од средината на осумдесетитте години на минатиот век. Станува збор за долготрајно и комплементарно истражување, чии резултати се гледаат во претставите што се создадени. Тоа подразбира создавање на посебен метод на работа, кој се допира и е во корелација со работата на театарската антропологија. Преку патувањето се откриваат непознати теми, културни придобивки, кои откако ќе бидат анализирани се вградуваат во претставата што е производ на истражувањето. За време на создавањето и изведувањето на претставата се проучува новата естетика, која понатаму ќе биде истражувана и експериментирана. Ова не е „соголување“ на начинот на работа и негово профанирање, туку е само обид да се проникне во матрицата, за да може истата да ја проучувам од теориски аспект. Затоа што, не е само доволно едно истражување кое ќе создаде претстава. Потребно е претставата да се „воскресне“ од страна на реципиентите, за да може и понатаму да живее. Во овие „алхемиски формулации“, интимноста на пристапот е предизивикан од темата на проучувањето.</w:t>
      </w:r>
    </w:p>
    <w:p w:rsidR="00E72BC3" w:rsidRPr="00FE1279" w:rsidRDefault="00E72BC3" w:rsidP="00E72BC3">
      <w:pPr>
        <w:spacing w:line="360" w:lineRule="auto"/>
        <w:ind w:firstLine="720"/>
        <w:jc w:val="both"/>
        <w:rPr>
          <w:lang w:val="mk-MK"/>
        </w:rPr>
      </w:pPr>
      <w:r w:rsidRPr="00FE1279">
        <w:rPr>
          <w:lang w:val="mk-MK"/>
        </w:rPr>
        <w:lastRenderedPageBreak/>
        <w:t>Во претставите што ги режира Владимир Милчин, перманентно се забележуваат истражувањата направени за да се дојде до целта. Милчин при создавањето на претставата со сите учесници во истата, ја има позицијата на режисер – гуру (учител, водач), кому актерите и другите чинители на претставата неизмерно многу му веруваат. Таквиот принцип на работа е одлика на театарот што го проучува театарската антропологија. Не многу често, но сепак сигнификатна е и потребата</w:t>
      </w:r>
      <w:r>
        <w:rPr>
          <w:lang w:val="mk-MK"/>
        </w:rPr>
        <w:t>, тој</w:t>
      </w:r>
      <w:r w:rsidRPr="00FE1279">
        <w:rPr>
          <w:lang w:val="mk-MK"/>
        </w:rPr>
        <w:t xml:space="preserve"> да се навраќа кон корените на театарот, кон една специфична театарска појава. Во користењето на ритуалните елементи во неговите претстави, најзабележително е и поставувањето на дервишките ритуали во корист на некоја одредена сцена. За да биде појасно претходно реферираното, би сакала да упатам на некои од репрезентативните претстави на Милчин. </w:t>
      </w:r>
    </w:p>
    <w:p w:rsidR="00E72BC3" w:rsidRPr="00FE1279" w:rsidRDefault="00E72BC3" w:rsidP="00E72BC3">
      <w:pPr>
        <w:spacing w:line="360" w:lineRule="auto"/>
        <w:ind w:firstLine="720"/>
        <w:jc w:val="both"/>
        <w:rPr>
          <w:lang w:val="mk-MK"/>
        </w:rPr>
      </w:pPr>
      <w:r w:rsidRPr="00FE1279">
        <w:rPr>
          <w:lang w:val="mk-MK"/>
        </w:rPr>
        <w:t xml:space="preserve">Во театрографијата на Владимир Милчин, која брои повеќе од </w:t>
      </w:r>
      <w:r>
        <w:rPr>
          <w:lang w:val="mk-MK"/>
        </w:rPr>
        <w:t>осумде</w:t>
      </w:r>
      <w:r w:rsidRPr="00FE1279">
        <w:rPr>
          <w:lang w:val="mk-MK"/>
        </w:rPr>
        <w:t xml:space="preserve">сеттина режии во повеќе театри во и надвор од Македонија, евидентно и експлицитно се „искористени“ дервишките редови во четири претстави. Тоа се претставите: </w:t>
      </w:r>
      <w:r w:rsidRPr="00FE1279">
        <w:rPr>
          <w:b/>
          <w:i/>
          <w:lang w:val="mk-MK"/>
        </w:rPr>
        <w:t>Дервишот и смртта</w:t>
      </w:r>
      <w:r w:rsidRPr="00FE1279">
        <w:rPr>
          <w:lang w:val="mk-MK"/>
        </w:rPr>
        <w:t xml:space="preserve"> од Меша Селимовиќ, во драматизација на Милчин и продукција на Албанската драма при Народното позориште од Приштина, во 1985г., со Истреф Беголи како Ахмед Нурудин; </w:t>
      </w:r>
      <w:r w:rsidRPr="00FE1279">
        <w:rPr>
          <w:b/>
          <w:i/>
          <w:lang w:val="mk-MK"/>
        </w:rPr>
        <w:t>Лудиот Ибрахим</w:t>
      </w:r>
      <w:r w:rsidRPr="00FE1279">
        <w:rPr>
          <w:lang w:val="mk-MK"/>
        </w:rPr>
        <w:t xml:space="preserve"> од Туран Офлазоглу, во продукција на Театарот на народностите – Турска драма, 1999г.; </w:t>
      </w:r>
      <w:r w:rsidRPr="00FE1279">
        <w:rPr>
          <w:b/>
          <w:i/>
          <w:lang w:val="mk-MK"/>
        </w:rPr>
        <w:t>Дервишот и смртта</w:t>
      </w:r>
      <w:r w:rsidRPr="00FE1279">
        <w:rPr>
          <w:lang w:val="mk-MK"/>
        </w:rPr>
        <w:t xml:space="preserve"> од Меша Селимовиќ, во драматизација на Милчин и Сема Али, продукција на Театарот на народностите – Албанска драма, 2003г. и </w:t>
      </w:r>
      <w:r w:rsidRPr="00FE1279">
        <w:rPr>
          <w:i/>
          <w:lang w:val="mk-MK"/>
        </w:rPr>
        <w:t>Театарска студентска работилница</w:t>
      </w:r>
      <w:r w:rsidRPr="00FE1279">
        <w:rPr>
          <w:lang w:val="mk-MK"/>
        </w:rPr>
        <w:t xml:space="preserve"> во Франција, 2004 година, со студенти на театарски академии од Македонија, Франција и Германија.</w:t>
      </w:r>
    </w:p>
    <w:p w:rsidR="00E72BC3" w:rsidRPr="00FE1279" w:rsidRDefault="00E72BC3" w:rsidP="00E72BC3">
      <w:pPr>
        <w:spacing w:line="360" w:lineRule="auto"/>
        <w:jc w:val="both"/>
        <w:rPr>
          <w:lang w:val="mk-MK"/>
        </w:rPr>
      </w:pPr>
      <w:r w:rsidRPr="00FE1279">
        <w:rPr>
          <w:lang w:val="mk-MK"/>
        </w:rPr>
        <w:tab/>
        <w:t xml:space="preserve">Во приштинската постановка на </w:t>
      </w:r>
      <w:r w:rsidRPr="00FE1279">
        <w:rPr>
          <w:b/>
          <w:i/>
          <w:lang w:val="mk-MK"/>
        </w:rPr>
        <w:t>Дервишот и смртта</w:t>
      </w:r>
      <w:r w:rsidRPr="00FE1279">
        <w:rPr>
          <w:lang w:val="mk-MK"/>
        </w:rPr>
        <w:t xml:space="preserve">, улогата на Ахмед Нурудин ја игра Истреф Беголи. Во </w:t>
      </w:r>
      <w:r w:rsidRPr="00FE1279">
        <w:rPr>
          <w:i/>
          <w:lang w:val="mk-MK"/>
        </w:rPr>
        <w:t>Реквиемот за Истреф</w:t>
      </w:r>
      <w:r w:rsidRPr="00FE1279">
        <w:rPr>
          <w:lang w:val="mk-MK"/>
        </w:rPr>
        <w:t xml:space="preserve">, што Милчин ќе го напише откако Истреф Беголи ќе го напушти овој земен свет, илустриран е неговиот начин на игра во само една реченица: </w:t>
      </w:r>
      <w:r w:rsidRPr="00FE1279">
        <w:rPr>
          <w:i/>
          <w:lang w:val="mk-MK"/>
        </w:rPr>
        <w:t>За него сцената беше можност да се достигне возвишеното, па дури и светото; на сцената грубоста и примитивноста на секојдневието добиваа повисоко значење; беспомошноста на луѓето стануваше монументална низ трагизмот со кој Истреф ги одигра Кадмо, Бабељ, Ахмед Нурудин и Лојтари</w:t>
      </w:r>
      <w:r w:rsidRPr="00FE1279">
        <w:rPr>
          <w:lang w:val="mk-MK"/>
        </w:rPr>
        <w:t xml:space="preserve">. (Милчин, </w:t>
      </w:r>
      <w:r w:rsidRPr="00FE1279">
        <w:rPr>
          <w:i/>
          <w:lang w:val="mk-MK"/>
        </w:rPr>
        <w:t>Реквием за Истреф</w:t>
      </w:r>
      <w:r w:rsidRPr="00FE1279">
        <w:rPr>
          <w:lang w:val="mk-MK"/>
        </w:rPr>
        <w:t>, ракопис) Од фотографиите за претставата се гледа не само</w:t>
      </w:r>
      <w:r>
        <w:rPr>
          <w:lang w:val="mk-MK"/>
        </w:rPr>
        <w:t>,</w:t>
      </w:r>
      <w:r w:rsidRPr="00FE1279">
        <w:rPr>
          <w:lang w:val="mk-MK"/>
        </w:rPr>
        <w:t xml:space="preserve"> начинот на сценската и</w:t>
      </w:r>
      <w:r>
        <w:rPr>
          <w:lang w:val="mk-MK"/>
        </w:rPr>
        <w:t>н</w:t>
      </w:r>
      <w:r w:rsidRPr="00FE1279">
        <w:rPr>
          <w:lang w:val="mk-MK"/>
        </w:rPr>
        <w:t xml:space="preserve">сценација, туку многу повеќе и начинот на игра на главниот актер. </w:t>
      </w:r>
    </w:p>
    <w:p w:rsidR="00E72BC3" w:rsidRPr="00FE1279" w:rsidRDefault="00E72BC3" w:rsidP="00E72BC3">
      <w:pPr>
        <w:spacing w:line="360" w:lineRule="auto"/>
        <w:ind w:firstLine="720"/>
        <w:jc w:val="both"/>
        <w:rPr>
          <w:lang w:val="mk-MK"/>
        </w:rPr>
      </w:pPr>
      <w:r w:rsidRPr="00FE1279">
        <w:rPr>
          <w:lang w:val="mk-MK"/>
        </w:rPr>
        <w:lastRenderedPageBreak/>
        <w:t xml:space="preserve">Во претставата </w:t>
      </w:r>
      <w:r w:rsidRPr="00FE1279">
        <w:rPr>
          <w:b/>
          <w:i/>
          <w:lang w:val="mk-MK"/>
        </w:rPr>
        <w:t>Лудиот Ибрахим</w:t>
      </w:r>
      <w:r w:rsidRPr="00FE1279">
        <w:rPr>
          <w:lang w:val="mk-MK"/>
        </w:rPr>
        <w:t xml:space="preserve">, дервишите се вметнати повеќе како сценски елемент кој ја кристализира сценската постановка, отколку само да се искористи нивната ритуална матрица. </w:t>
      </w:r>
      <w:r>
        <w:rPr>
          <w:lang w:val="mk-MK"/>
        </w:rPr>
        <w:t>О</w:t>
      </w:r>
      <w:r w:rsidRPr="00FE1279">
        <w:rPr>
          <w:lang w:val="mk-MK"/>
        </w:rPr>
        <w:t xml:space="preserve">д она што може да се види при нејзината изведба, но и од искористениот театрографски материјал, и од она што го дознав од разговорите со режисерот, експериментирано е токму со односот </w:t>
      </w:r>
      <w:r w:rsidRPr="00FE1279">
        <w:rPr>
          <w:i/>
          <w:lang w:val="mk-MK"/>
        </w:rPr>
        <w:t>шаманизам-суфизам</w:t>
      </w:r>
      <w:r w:rsidRPr="00FE1279">
        <w:rPr>
          <w:lang w:val="mk-MK"/>
        </w:rPr>
        <w:t>, однос кој не го признаваат за свој матичен припадниците на дервишките редови, и на суфи-филозофијата, воопшто. Од ритуалноста на шаманите, начинот на изведбата на новните ритуали, може да се дојде и до некои заеднич</w:t>
      </w:r>
      <w:r>
        <w:rPr>
          <w:lang w:val="mk-MK"/>
        </w:rPr>
        <w:t xml:space="preserve">ки точки. Како што пишува и </w:t>
      </w:r>
      <w:r w:rsidRPr="00FE1279">
        <w:rPr>
          <w:lang w:val="mk-MK"/>
        </w:rPr>
        <w:t>Саит Халман</w:t>
      </w:r>
      <w:r>
        <w:rPr>
          <w:lang w:val="mk-MK"/>
        </w:rPr>
        <w:t>,</w:t>
      </w:r>
      <w:r w:rsidRPr="00FE1279">
        <w:rPr>
          <w:lang w:val="mk-MK"/>
        </w:rPr>
        <w:t xml:space="preserve"> истражувајќи ги овие корелации, </w:t>
      </w:r>
      <w:r w:rsidRPr="00FE1279">
        <w:rPr>
          <w:i/>
          <w:lang w:val="mk-MK"/>
        </w:rPr>
        <w:t>карактеристичниот став и целите на дервишките редови го одржуваат сеќавањето на Азиските шамани – и двата реда доаѓаат до состојба на транс преку танцот.</w:t>
      </w:r>
      <w:r w:rsidRPr="00FE1279">
        <w:rPr>
          <w:lang w:val="mk-MK"/>
        </w:rPr>
        <w:t xml:space="preserve"> (</w:t>
      </w:r>
      <w:proofErr w:type="spellStart"/>
      <w:r w:rsidRPr="00FE1279">
        <w:t>Sait</w:t>
      </w:r>
      <w:proofErr w:type="spellEnd"/>
      <w:r w:rsidRPr="00FE1279">
        <w:t xml:space="preserve"> </w:t>
      </w:r>
      <w:proofErr w:type="spellStart"/>
      <w:r w:rsidRPr="00FE1279">
        <w:t>Halman</w:t>
      </w:r>
      <w:proofErr w:type="spellEnd"/>
      <w:r w:rsidRPr="00FE1279">
        <w:t>, 1992: 86</w:t>
      </w:r>
      <w:r w:rsidRPr="00FE1279">
        <w:rPr>
          <w:lang w:val="mk-MK"/>
        </w:rPr>
        <w:t>)</w:t>
      </w:r>
    </w:p>
    <w:p w:rsidR="00E72BC3" w:rsidRPr="00FE1279" w:rsidRDefault="00E72BC3" w:rsidP="00E72BC3">
      <w:pPr>
        <w:spacing w:line="360" w:lineRule="auto"/>
        <w:ind w:firstLine="720"/>
        <w:jc w:val="both"/>
        <w:rPr>
          <w:lang w:val="mk-MK"/>
        </w:rPr>
      </w:pPr>
      <w:r w:rsidRPr="00FE1279">
        <w:rPr>
          <w:lang w:val="mk-MK"/>
        </w:rPr>
        <w:t xml:space="preserve">Во </w:t>
      </w:r>
      <w:r w:rsidRPr="00FE1279">
        <w:rPr>
          <w:b/>
          <w:i/>
          <w:lang w:val="mk-MK"/>
        </w:rPr>
        <w:t xml:space="preserve">Работилницата </w:t>
      </w:r>
      <w:r w:rsidRPr="00FE1279">
        <w:rPr>
          <w:lang w:val="mk-MK"/>
        </w:rPr>
        <w:t xml:space="preserve">одржана во Франција, на која режисерот Милчин работи со група студенти од Македонија, Германија и Франција, зикерот (дервишки ритуал) е искористен како најинтензивно театарско средство за да се отвори црната кутија. Црната кутија во која се затворени соништата, е лајт-мотивот на претставата, работена според романот на Исмаил Кадаре </w:t>
      </w:r>
      <w:r w:rsidRPr="00FE1279">
        <w:rPr>
          <w:i/>
          <w:lang w:val="mk-MK"/>
        </w:rPr>
        <w:t>Палата на соништата</w:t>
      </w:r>
      <w:r w:rsidRPr="00FE1279">
        <w:rPr>
          <w:lang w:val="mk-MK"/>
        </w:rPr>
        <w:t>.</w:t>
      </w:r>
    </w:p>
    <w:p w:rsidR="00E72BC3" w:rsidRDefault="00E72BC3" w:rsidP="00E72BC3">
      <w:pPr>
        <w:spacing w:line="360" w:lineRule="auto"/>
        <w:ind w:firstLine="720"/>
        <w:jc w:val="both"/>
        <w:rPr>
          <w:lang w:val="mk-MK"/>
        </w:rPr>
      </w:pPr>
      <w:r w:rsidRPr="00FE1279">
        <w:rPr>
          <w:lang w:val="mk-MK"/>
        </w:rPr>
        <w:t xml:space="preserve">Во секоја од овие четири претстави, не само што се употребени и/или целосно внесени ритуалите на дервишите, туку се истражувани и како феномен, кој подоцна треба да се стане основно изразно средство за претставата. Од тука може да заклучам дека, дервишите во претставите на Милчин, во сооднос со истражувањата на театарската антропологија се преземен елемент вметнат во матичната култура на авторот. Мрежата на влијанија е еден </w:t>
      </w:r>
      <w:r>
        <w:rPr>
          <w:lang w:val="mk-MK"/>
        </w:rPr>
        <w:t xml:space="preserve">од </w:t>
      </w:r>
      <w:r w:rsidRPr="00FE1279">
        <w:rPr>
          <w:lang w:val="mk-MK"/>
        </w:rPr>
        <w:t>елемент</w:t>
      </w:r>
      <w:r>
        <w:rPr>
          <w:lang w:val="mk-MK"/>
        </w:rPr>
        <w:t>ите</w:t>
      </w:r>
      <w:r w:rsidRPr="00FE1279">
        <w:rPr>
          <w:lang w:val="mk-MK"/>
        </w:rPr>
        <w:t xml:space="preserve"> кој ќе ја создаде градбената структура на претстави</w:t>
      </w:r>
      <w:r>
        <w:rPr>
          <w:lang w:val="mk-MK"/>
        </w:rPr>
        <w:t>те</w:t>
      </w:r>
      <w:r w:rsidRPr="00FE1279">
        <w:rPr>
          <w:lang w:val="mk-MK"/>
        </w:rPr>
        <w:t>.</w:t>
      </w:r>
    </w:p>
    <w:p w:rsidR="001B29D4" w:rsidRDefault="001B29D4" w:rsidP="00873FA2">
      <w:pPr>
        <w:rPr>
          <w:b/>
          <w:lang w:val="mk-MK"/>
        </w:rPr>
      </w:pPr>
    </w:p>
    <w:p w:rsidR="00873FA2" w:rsidRDefault="00E72BC3" w:rsidP="00873FA2">
      <w:pPr>
        <w:rPr>
          <w:b/>
          <w:lang w:val="mk-MK"/>
        </w:rPr>
      </w:pPr>
      <w:r>
        <w:rPr>
          <w:b/>
          <w:lang w:val="mk-MK"/>
        </w:rPr>
        <w:t>Студија на случај – „Дервишот и смртта“</w:t>
      </w:r>
    </w:p>
    <w:p w:rsidR="00E72BC3" w:rsidRDefault="00E72BC3" w:rsidP="001B29D4">
      <w:pPr>
        <w:spacing w:after="0" w:line="360" w:lineRule="auto"/>
        <w:ind w:left="720"/>
        <w:jc w:val="both"/>
        <w:rPr>
          <w:lang w:val="mk-MK"/>
        </w:rPr>
      </w:pPr>
      <w:r w:rsidRPr="00FE1279">
        <w:rPr>
          <w:lang w:val="mk-MK"/>
        </w:rPr>
        <w:t xml:space="preserve">Претставата </w:t>
      </w:r>
      <w:r w:rsidRPr="00FE1279">
        <w:rPr>
          <w:b/>
          <w:i/>
          <w:lang w:val="mk-MK"/>
        </w:rPr>
        <w:t>Дервишот и смртта</w:t>
      </w:r>
      <w:r w:rsidRPr="00FE1279">
        <w:rPr>
          <w:lang w:val="mk-MK"/>
        </w:rPr>
        <w:t xml:space="preserve"> во драматизација на С</w:t>
      </w:r>
      <w:r>
        <w:rPr>
          <w:lang w:val="mk-MK"/>
        </w:rPr>
        <w:t>.</w:t>
      </w:r>
      <w:r w:rsidRPr="00FE1279">
        <w:rPr>
          <w:lang w:val="mk-MK"/>
        </w:rPr>
        <w:t>Али и В</w:t>
      </w:r>
      <w:r>
        <w:rPr>
          <w:lang w:val="mk-MK"/>
        </w:rPr>
        <w:t>.</w:t>
      </w:r>
      <w:r w:rsidRPr="00FE1279">
        <w:rPr>
          <w:lang w:val="mk-MK"/>
        </w:rPr>
        <w:t xml:space="preserve">Милчин, според </w:t>
      </w:r>
    </w:p>
    <w:p w:rsidR="00E72BC3" w:rsidRDefault="00E72BC3" w:rsidP="001B29D4">
      <w:pPr>
        <w:spacing w:after="0" w:line="360" w:lineRule="auto"/>
        <w:jc w:val="both"/>
        <w:rPr>
          <w:lang w:val="mk-MK"/>
        </w:rPr>
      </w:pPr>
      <w:r w:rsidRPr="00FE1279">
        <w:rPr>
          <w:lang w:val="mk-MK"/>
        </w:rPr>
        <w:t xml:space="preserve">истоимениот роман на Меша Селимовиќ, ја режира Владимир Милчин, во продукција на Албанскиот театар од Скопје, 2003 година. Во претставата играат: Рефет Абази </w:t>
      </w:r>
      <w:r>
        <w:rPr>
          <w:lang w:val="mk-MK"/>
        </w:rPr>
        <w:t>-</w:t>
      </w:r>
      <w:r w:rsidRPr="00FE1279">
        <w:rPr>
          <w:lang w:val="mk-MK"/>
        </w:rPr>
        <w:t xml:space="preserve"> Ахмед Нурудин и Гласот на Кадијата, Веби Ќерим</w:t>
      </w:r>
      <w:r>
        <w:rPr>
          <w:lang w:val="mk-MK"/>
        </w:rPr>
        <w:t>и (</w:t>
      </w:r>
      <w:r w:rsidRPr="00FE1279">
        <w:rPr>
          <w:lang w:val="mk-MK"/>
        </w:rPr>
        <w:t>Али Хоџа</w:t>
      </w:r>
      <w:r>
        <w:rPr>
          <w:lang w:val="mk-MK"/>
        </w:rPr>
        <w:t>), Хисмет Рамадани</w:t>
      </w:r>
      <w:r w:rsidRPr="00FE1279">
        <w:rPr>
          <w:lang w:val="mk-MK"/>
        </w:rPr>
        <w:t xml:space="preserve"> </w:t>
      </w:r>
      <w:r>
        <w:rPr>
          <w:lang w:val="mk-MK"/>
        </w:rPr>
        <w:t>(</w:t>
      </w:r>
      <w:r w:rsidRPr="00FE1279">
        <w:rPr>
          <w:lang w:val="mk-MK"/>
        </w:rPr>
        <w:t>Бегалецот</w:t>
      </w:r>
      <w:r>
        <w:rPr>
          <w:lang w:val="mk-MK"/>
        </w:rPr>
        <w:t>)</w:t>
      </w:r>
      <w:r w:rsidRPr="00FE1279">
        <w:rPr>
          <w:lang w:val="mk-MK"/>
        </w:rPr>
        <w:t xml:space="preserve">, Џевдет Јашари </w:t>
      </w:r>
      <w:r>
        <w:rPr>
          <w:lang w:val="mk-MK"/>
        </w:rPr>
        <w:t xml:space="preserve">- </w:t>
      </w:r>
      <w:r w:rsidRPr="00FE1279">
        <w:rPr>
          <w:lang w:val="mk-MK"/>
        </w:rPr>
        <w:t>Мула Јусуф, Арта Мучај и Амернис Нокшиќи (во алтернација</w:t>
      </w:r>
      <w:r w:rsidRPr="00FE1279">
        <w:rPr>
          <w:rStyle w:val="EndnoteReference"/>
          <w:lang w:val="mk-MK"/>
        </w:rPr>
        <w:endnoteReference w:id="6"/>
      </w:r>
      <w:r w:rsidRPr="00FE1279">
        <w:rPr>
          <w:lang w:val="mk-MK"/>
        </w:rPr>
        <w:t xml:space="preserve">)  Сопругата на Кадијата </w:t>
      </w:r>
      <w:r w:rsidRPr="00FE1279">
        <w:rPr>
          <w:lang w:val="mk-MK"/>
        </w:rPr>
        <w:lastRenderedPageBreak/>
        <w:t>и Ќерката, Сабедин Селмани како Хасан, Нехат Мемети како Муселимот, Мејди Алидеми е Кара Заим, Бајруш Мјаку е Муфтијата, Ајета Реџепи е Малик, Бехџет Питарка ја игра улогата на Хаџи Синанудин, Стражар е Адриан Азири, Петрит Незири како Дефтердар и Мирлинда Саити како Момчето.</w:t>
      </w:r>
      <w:r>
        <w:rPr>
          <w:lang w:val="mk-MK"/>
        </w:rPr>
        <w:t xml:space="preserve"> </w:t>
      </w:r>
      <w:r w:rsidRPr="00FE1279">
        <w:rPr>
          <w:lang w:val="mk-MK"/>
        </w:rPr>
        <w:t xml:space="preserve">Сценографијата за претставата е на Крсте С. Џидров, а костимографијата на Марија Пупучевска. И сценографијата и костимографијата (авторско видување на дервишката носија, а не само просто илустрирање) се во насока да го помогнат </w:t>
      </w:r>
      <w:r>
        <w:rPr>
          <w:lang w:val="mk-MK"/>
        </w:rPr>
        <w:t>а</w:t>
      </w:r>
      <w:r w:rsidRPr="00FE1279">
        <w:rPr>
          <w:lang w:val="mk-MK"/>
        </w:rPr>
        <w:t>ктерското учество во претставата. Затоа што ова е претстава на актерот (или актерите) и на режисерот. Сите други чинители на театарската претстава не се занемарени, туку се прирачни средства.</w:t>
      </w:r>
      <w:r>
        <w:rPr>
          <w:lang w:val="mk-MK"/>
        </w:rPr>
        <w:t xml:space="preserve"> </w:t>
      </w:r>
      <w:r w:rsidRPr="00FE1279">
        <w:rPr>
          <w:lang w:val="mk-MK"/>
        </w:rPr>
        <w:t xml:space="preserve">Музиката е на Марјан Неќак. Музиката е може да се рече уште еден главен лик во претставата, го засилува дејството, ги движи актерите, го појаснува впечатокот. Рекламниот материјал за претставата го изработи </w:t>
      </w:r>
      <w:r w:rsidRPr="00A7371A">
        <w:rPr>
          <w:lang w:val="mk-MK"/>
        </w:rPr>
        <w:t>Нага</w:t>
      </w:r>
      <w:r>
        <w:rPr>
          <w:lang w:val="mk-MK"/>
        </w:rPr>
        <w:t>џ</w:t>
      </w:r>
      <w:r w:rsidRPr="00A7371A">
        <w:rPr>
          <w:lang w:val="mk-MK"/>
        </w:rPr>
        <w:t>нијим</w:t>
      </w:r>
      <w:r w:rsidRPr="00FE1279">
        <w:rPr>
          <w:lang w:val="mk-MK"/>
        </w:rPr>
        <w:t xml:space="preserve"> Мехмети. Претставата е посветена на </w:t>
      </w:r>
      <w:r w:rsidRPr="00FE1279">
        <w:rPr>
          <w:b/>
          <w:lang w:val="mk-MK"/>
        </w:rPr>
        <w:t>Истреф Беголи</w:t>
      </w:r>
      <w:r w:rsidRPr="00FE1279">
        <w:rPr>
          <w:lang w:val="mk-MK"/>
        </w:rPr>
        <w:t xml:space="preserve">. Ова е „личната карта“ на претставата.  </w:t>
      </w:r>
    </w:p>
    <w:p w:rsidR="00E72BC3" w:rsidRPr="00FE1279" w:rsidRDefault="00E72BC3" w:rsidP="00E72BC3">
      <w:pPr>
        <w:spacing w:line="360" w:lineRule="auto"/>
        <w:ind w:firstLine="720"/>
        <w:jc w:val="both"/>
        <w:rPr>
          <w:lang w:val="mk-MK"/>
        </w:rPr>
      </w:pPr>
      <w:r w:rsidRPr="00FE1279">
        <w:rPr>
          <w:lang w:val="mk-MK"/>
        </w:rPr>
        <w:t xml:space="preserve">Во првата сцена, со бавното движење на кругот поставен над октогоналната сцена дознаваме со кои атрибуции се карактеризира претставата. Прво – </w:t>
      </w:r>
      <w:r w:rsidRPr="00FE1279">
        <w:rPr>
          <w:u w:val="single"/>
          <w:lang w:val="mk-MK"/>
        </w:rPr>
        <w:t>кругот</w:t>
      </w:r>
      <w:r w:rsidRPr="00FE1279">
        <w:rPr>
          <w:lang w:val="mk-MK"/>
        </w:rPr>
        <w:t xml:space="preserve">. Основен симбол на сите светски религии и митологии. Кругот е местото на одвивање на повеќе ритуали. Тоа е свето место. Место кое не треба да биде нападнато од лошите сили. Во кругот на сцената се практицираат и дервишките ритуали. Местото на кое се одвива ритуалот (во неговата оригинална форма) е местото на сцената кое е поставено да биде симулакрум на </w:t>
      </w:r>
      <w:r w:rsidRPr="00FE1279">
        <w:rPr>
          <w:i/>
          <w:lang w:val="mk-MK"/>
        </w:rPr>
        <w:t>вистинскиот</w:t>
      </w:r>
      <w:r w:rsidRPr="00FE1279">
        <w:rPr>
          <w:lang w:val="mk-MK"/>
        </w:rPr>
        <w:t xml:space="preserve"> круг на кој се практицира ритуалот. Односот кон дервишките редови започнува уште со самиот текст на Меша Селимовиќ. Потребата да се покаже борбата на еден човек со системот во кој работи и живее е илустрирана на поефективен начин кога човекот е заменет со дервиш. Констелацијата на односите во свеста на дервишите (или на припадник на друго свето братство) се поставени на друго ниво, затоа што сега индивидуата не одговара само пред себе, туку и пред Бог. Тоа е на ниво на текстот. Меѓутоа, со вметнувањето во претставата се засилува позицијата со тоа што актерот што го игра дервишот е поставен да ја прикаже посебната сценичност и ритуалност, а при тоа и да се бори и како човек, и како актер и како актер што игра дервиш, и во однос на некои негови лични поимања за проблематиката што ја застапува. Поставен на сцена, дервишкиот ритуал, сместен во кругот и илустриран со кругот, добива функција на посебн</w:t>
      </w:r>
      <w:r>
        <w:rPr>
          <w:lang w:val="mk-MK"/>
        </w:rPr>
        <w:t xml:space="preserve">о ефективно изразно средство. </w:t>
      </w:r>
      <w:r w:rsidRPr="00FE1279">
        <w:rPr>
          <w:lang w:val="mk-MK"/>
        </w:rPr>
        <w:t xml:space="preserve">Она што е од особена важност за оваа студија, не е само содржинската матрица, туку, многу повеќе елементарните </w:t>
      </w:r>
      <w:r w:rsidRPr="00FE1279">
        <w:rPr>
          <w:lang w:val="mk-MK"/>
        </w:rPr>
        <w:lastRenderedPageBreak/>
        <w:t>нишки кои водат до проучувањата на интеркултуралниот театар. За да се дојде до конечниот резултат на сцената, оној што го гледа публиката, и секако, го доживува во полн емоционален набој, направени се повеќе проучувања. Резултатот се гледа, јасно поставена претстава, која од сите нас како гледачи не бара мирно да седиме и да се чувствуваме удобно за време на изведбата. Напротив, ова е претстава, која од гледачите бара максимален ангажман. Потребно е гледачот да ги поврзе нишките што ги „одмотал“ режисерот при создавањето на претставата. Тоа е разгранета мрежа, која води од режисерот кон сите учесници во создавањето на театарскиот чин. И тоа не е линеарна релација, туку взаемна, разгранета, или ако се користиме со лексиката на природните науки, тоа е мрежа, која потсетува на хемиската структура на дијамантот. Почнува од режисерот и се движи кон самиот текст, кон направената драматизација, кон актерите (со секој посебно се развива „јазол“ на односи), кон сценографот и костимографот, кон композиторот, кон сценските работници и сл. Најпосле, режисерот воспоставува однос и со публиката. На повисоко ниво, односот се разгранува кон значењето на текстот за времето во кое е создаван, наспроти времето во кој се игра, одредени концепциски решенија на режисерот кон актуелна проблематика, за на крај да се заокружи со целокупното светско културно наследство кое за свој предмет на прикажување ја има борбата меѓу индивидуата и системот. Друго ниво се создава со воспоставувањето на релацијата со дервишките и други езотерични братства, со шаманизмот, суфизмот и како теолошки, но и како филозофски системи. Ваквата мрежа на претставата, очигледно нема свој крај, туку, во тоа е и уметноста на претставата, посто</w:t>
      </w:r>
      <w:r>
        <w:rPr>
          <w:lang w:val="mk-MK"/>
        </w:rPr>
        <w:t xml:space="preserve">јано се разгранува и досоздава. </w:t>
      </w:r>
      <w:r w:rsidRPr="00FE1279">
        <w:rPr>
          <w:lang w:val="mk-MK"/>
        </w:rPr>
        <w:t xml:space="preserve">Од анализираните материјали за претставата може да се детерминираат посебните јадра на интеркултуралната матрица. Првото јадро е </w:t>
      </w:r>
      <w:r w:rsidRPr="00FE1279">
        <w:rPr>
          <w:u w:val="single"/>
          <w:lang w:val="mk-MK"/>
        </w:rPr>
        <w:t>текстот на Меша Селимовиќ</w:t>
      </w:r>
      <w:r w:rsidRPr="00FE1279">
        <w:rPr>
          <w:lang w:val="mk-MK"/>
        </w:rPr>
        <w:t xml:space="preserve">, во кој има автобиографски елементи, со прикажувањето на мевлевиски дервиши. Потоа, е </w:t>
      </w:r>
      <w:r w:rsidRPr="00FE1279">
        <w:rPr>
          <w:u w:val="single"/>
          <w:lang w:val="mk-MK"/>
        </w:rPr>
        <w:t>драматизацијата за претставата</w:t>
      </w:r>
      <w:r w:rsidRPr="00FE1279">
        <w:rPr>
          <w:lang w:val="mk-MK"/>
        </w:rPr>
        <w:t xml:space="preserve"> во Приштина. </w:t>
      </w:r>
      <w:r w:rsidRPr="00FE1279">
        <w:rPr>
          <w:u w:val="single"/>
          <w:lang w:val="mk-MK"/>
        </w:rPr>
        <w:t>Истражувањата на режисерот</w:t>
      </w:r>
      <w:r w:rsidRPr="00FE1279">
        <w:rPr>
          <w:lang w:val="mk-MK"/>
        </w:rPr>
        <w:t xml:space="preserve"> за дервишките редови водат до патувања и посета на </w:t>
      </w:r>
      <w:r>
        <w:rPr>
          <w:lang w:val="mk-MK"/>
        </w:rPr>
        <w:t xml:space="preserve">повеќе теќии </w:t>
      </w:r>
      <w:r w:rsidRPr="00FE1279">
        <w:rPr>
          <w:lang w:val="mk-MK"/>
        </w:rPr>
        <w:t>во Призрен</w:t>
      </w:r>
      <w:r>
        <w:rPr>
          <w:lang w:val="mk-MK"/>
        </w:rPr>
        <w:t xml:space="preserve">, </w:t>
      </w:r>
      <w:r w:rsidRPr="00FE1279">
        <w:rPr>
          <w:lang w:val="mk-MK"/>
        </w:rPr>
        <w:t xml:space="preserve">во Ѓаковица, како и патување низ Турција, посета на Коња. Истражувањата продолжуваат со читање на книги поврзани со дервишките редови, каде што меѓу другото е проучуван и односот меѓу </w:t>
      </w:r>
      <w:r w:rsidRPr="00FE1279">
        <w:rPr>
          <w:i/>
          <w:lang w:val="mk-MK"/>
        </w:rPr>
        <w:t xml:space="preserve">суфизам и Дервиши </w:t>
      </w:r>
      <w:r w:rsidRPr="00FE1279">
        <w:rPr>
          <w:lang w:val="mk-MK"/>
        </w:rPr>
        <w:t xml:space="preserve">и западниот свет (посебно во средниот век). На крај (се разбира дека тоа не се сите релации) е и истражување на односот меѓу откривањето на самиот себе – Бог – љубов. </w:t>
      </w:r>
    </w:p>
    <w:p w:rsidR="00E72BC3" w:rsidRDefault="00E72BC3" w:rsidP="00E72BC3">
      <w:pPr>
        <w:spacing w:line="360" w:lineRule="auto"/>
        <w:jc w:val="both"/>
        <w:rPr>
          <w:lang w:val="mk-MK"/>
        </w:rPr>
      </w:pPr>
      <w:r w:rsidRPr="00FE1279">
        <w:lastRenderedPageBreak/>
        <w:tab/>
      </w:r>
      <w:r w:rsidRPr="00FE1279">
        <w:rPr>
          <w:lang w:val="mk-MK"/>
        </w:rPr>
        <w:t xml:space="preserve">Во претставата </w:t>
      </w:r>
      <w:r w:rsidRPr="00FE1279">
        <w:rPr>
          <w:b/>
          <w:i/>
          <w:lang w:val="mk-MK"/>
        </w:rPr>
        <w:t>Дервишот и смртта</w:t>
      </w:r>
      <w:r w:rsidRPr="00FE1279">
        <w:rPr>
          <w:lang w:val="mk-MK"/>
        </w:rPr>
        <w:t xml:space="preserve"> дервишкиот ритуал е искористен како логично решение, и како илустрација на состојбата и приликите на местото каде се одвива претставата (Дервишко теќе), и како можност и моќност за ритуален „влез“ во претставата. </w:t>
      </w:r>
      <w:r>
        <w:rPr>
          <w:lang w:val="mk-MK"/>
        </w:rPr>
        <w:t>Р</w:t>
      </w:r>
      <w:r w:rsidRPr="00FE1279">
        <w:rPr>
          <w:lang w:val="mk-MK"/>
        </w:rPr>
        <w:t>итуал</w:t>
      </w:r>
      <w:r>
        <w:rPr>
          <w:lang w:val="mk-MK"/>
        </w:rPr>
        <w:t>от</w:t>
      </w:r>
      <w:r w:rsidRPr="00FE1279">
        <w:rPr>
          <w:lang w:val="mk-MK"/>
        </w:rPr>
        <w:t xml:space="preserve"> ја отсликува не само релацијата човек-бог, туку е и една од карактерните црти на ликовите во претставата. Во мигот кога Ахмед Нурудин се руши на сцената, додека изведува сема, го потенцира својот духовен немир, неможноста да се изведе ритуалот, значи и не можност да се совладаат пречките во дејството. За разлика од него Мула Јусуф игра без грешка и тој нема проблеми со духовното. Нему проблемите му се од друга, материјална страна. Знаејќи го сето ова, на претставата треба да и се пристапи со внимание, со претпазливост и со што поголема перцептивна моќ. Не само она што го гледаме, туку и она што треба да го декодираме е потребно за создавањето на комплетната слика за претставата. </w:t>
      </w:r>
    </w:p>
    <w:p w:rsidR="00E72BC3" w:rsidRPr="00FE1279" w:rsidRDefault="00E72BC3" w:rsidP="001B29D4">
      <w:pPr>
        <w:spacing w:line="360" w:lineRule="auto"/>
        <w:ind w:firstLine="720"/>
        <w:jc w:val="both"/>
        <w:rPr>
          <w:b/>
          <w:i/>
          <w:lang w:val="mk-MK"/>
        </w:rPr>
      </w:pPr>
      <w:r w:rsidRPr="00FE1279">
        <w:rPr>
          <w:b/>
          <w:lang w:val="mk-MK"/>
        </w:rPr>
        <w:t xml:space="preserve">Ахмед Нурудин </w:t>
      </w:r>
      <w:r w:rsidRPr="00FE1279">
        <w:rPr>
          <w:lang w:val="mk-MK"/>
        </w:rPr>
        <w:t xml:space="preserve">е мошне инвентивен лик. Лик кој бара целосна предаденост, што не познава и не може да трпи компромиси во начинот на изведбата. Или сте внатре во него, или талкате меѓу ходниците на театарот во кој што играте. За да може да се долови на сцена, да се прикаже онака како што тоа го замислил режисерот потребна е претходна многу силна и емотивна и духовна и посветена подготовка. </w:t>
      </w:r>
      <w:r>
        <w:rPr>
          <w:lang w:val="mk-MK"/>
        </w:rPr>
        <w:t>Н</w:t>
      </w:r>
      <w:r w:rsidRPr="00FE1279">
        <w:rPr>
          <w:lang w:val="mk-MK"/>
        </w:rPr>
        <w:t xml:space="preserve">еговата езотеричност е, не само во „борбата со демоните“ на власта, внатрешните немири или борба со човештвото, што одамна го загубило човечкото во себе, туку и во потребата да се комуницира со „другата страна“, со нешто метафизичко и нематеријално. </w:t>
      </w:r>
      <w:r>
        <w:rPr>
          <w:lang w:val="mk-MK"/>
        </w:rPr>
        <w:t>М</w:t>
      </w:r>
      <w:r w:rsidRPr="00FE1279">
        <w:rPr>
          <w:lang w:val="mk-MK"/>
        </w:rPr>
        <w:t>ногу тешко</w:t>
      </w:r>
      <w:r>
        <w:rPr>
          <w:lang w:val="mk-MK"/>
        </w:rPr>
        <w:t xml:space="preserve"> е</w:t>
      </w:r>
      <w:r w:rsidRPr="00FE1279">
        <w:rPr>
          <w:lang w:val="mk-MK"/>
        </w:rPr>
        <w:t xml:space="preserve"> да се постави Ахмед Нурудин на сцена. Најважна комуникација, или поточно мост, што го поврзува внатрешниот свет на актерот и внатрешниот свет на ликот, секако дека е, режисерот. Мора да постои една непрекината спона меѓу режисерот и актерот, за да може да се изгради и претставата и ликот. </w:t>
      </w:r>
    </w:p>
    <w:p w:rsidR="00E72BC3" w:rsidRPr="008F0158" w:rsidRDefault="00E72BC3" w:rsidP="00E72BC3">
      <w:pPr>
        <w:spacing w:line="360" w:lineRule="auto"/>
        <w:ind w:firstLine="720"/>
        <w:jc w:val="both"/>
        <w:rPr>
          <w:lang w:val="mk-MK"/>
        </w:rPr>
      </w:pPr>
      <w:r w:rsidRPr="00FE1279">
        <w:rPr>
          <w:lang w:val="mk-MK"/>
        </w:rPr>
        <w:t xml:space="preserve">Во оваа изведба на </w:t>
      </w:r>
      <w:r w:rsidRPr="00FE1279">
        <w:rPr>
          <w:b/>
          <w:i/>
          <w:lang w:val="mk-MK"/>
        </w:rPr>
        <w:t>Дервишот и смртта</w:t>
      </w:r>
      <w:r w:rsidRPr="00FE1279">
        <w:rPr>
          <w:lang w:val="mk-MK"/>
        </w:rPr>
        <w:t xml:space="preserve">, Ахмед Нурудин се „бори не само со духовите“ кои потекнуваат од текстот, драматизацијата и режисерската концепција, туку и со претходното остварено во играта на </w:t>
      </w:r>
      <w:r w:rsidRPr="00A82008">
        <w:rPr>
          <w:b/>
          <w:lang w:val="mk-MK"/>
        </w:rPr>
        <w:t>Истреф Беголи</w:t>
      </w:r>
      <w:r w:rsidRPr="00FE1279">
        <w:rPr>
          <w:lang w:val="mk-MK"/>
        </w:rPr>
        <w:t xml:space="preserve">. Се создава една мрежа на влијанија и слоеви кои ќе го создадат ликот, онаков како што на сцена го изнесува Рефет Абзаи. Со првата сцена, која на еден едноставен, но ефективен начин, не воведува нас гледачите во ритуалот на дервишите, а со самото тоа и во ритуалот наречен претстава, Рефет Абази, игра како да е надвор од сопственото тело. Емотивниот набој, духовната подготвеност да се соочи </w:t>
      </w:r>
      <w:r w:rsidRPr="00FE1279">
        <w:rPr>
          <w:lang w:val="mk-MK"/>
        </w:rPr>
        <w:lastRenderedPageBreak/>
        <w:t xml:space="preserve">со внатрешните борби, личната, интимна историја, се некои од елементите што го креираат како Ахмет Нурудин. Со јазикот на театарската антропологија, тој игра преку своето </w:t>
      </w:r>
      <w:r w:rsidRPr="00FE1279">
        <w:rPr>
          <w:i/>
          <w:lang w:val="mk-MK"/>
        </w:rPr>
        <w:t>проширено тело</w:t>
      </w:r>
      <w:r>
        <w:rPr>
          <w:lang w:val="mk-MK"/>
        </w:rPr>
        <w:t xml:space="preserve"> </w:t>
      </w:r>
      <w:r w:rsidRPr="00FE1279">
        <w:rPr>
          <w:lang w:val="mk-MK"/>
        </w:rPr>
        <w:t>(</w:t>
      </w:r>
      <w:r w:rsidRPr="00FE1279">
        <w:t>Barba, 1996: 54</w:t>
      </w:r>
      <w:r w:rsidRPr="00FE1279">
        <w:rPr>
          <w:lang w:val="mk-MK"/>
        </w:rPr>
        <w:t>)</w:t>
      </w:r>
      <w:r w:rsidRPr="00FE1279">
        <w:t xml:space="preserve"> </w:t>
      </w:r>
      <w:r w:rsidRPr="00FE1279">
        <w:rPr>
          <w:lang w:val="mk-MK"/>
        </w:rPr>
        <w:t>Како што се одвиваат сцените така расте и неговата игра и на емотивно, духовно и претставувачко ниво. Тоа е ситуацијата која Тадаши Сузуки/</w:t>
      </w:r>
      <w:r w:rsidRPr="00FE1279">
        <w:t>Tadashi Suzuki</w:t>
      </w:r>
      <w:r w:rsidRPr="00FE1279">
        <w:rPr>
          <w:lang w:val="mk-MK"/>
        </w:rPr>
        <w:t xml:space="preserve"> во книгата </w:t>
      </w:r>
      <w:r w:rsidRPr="00FE1279">
        <w:rPr>
          <w:i/>
        </w:rPr>
        <w:t>The Way of Acting</w:t>
      </w:r>
      <w:r w:rsidRPr="00FE1279">
        <w:rPr>
          <w:lang w:val="mk-MK"/>
        </w:rPr>
        <w:t xml:space="preserve"> (1986), ја нарекува </w:t>
      </w:r>
      <w:r w:rsidRPr="00196DFF">
        <w:rPr>
          <w:i/>
          <w:lang w:val="mk-MK"/>
        </w:rPr>
        <w:t>не-секојдневна ситуација</w:t>
      </w:r>
      <w:r w:rsidRPr="00FE1279">
        <w:rPr>
          <w:lang w:val="mk-MK"/>
        </w:rPr>
        <w:t xml:space="preserve">, ситуација на целосна предаденост на ликот во текот на претствата, која посебно ја засилува работата во група. Во текот на претставата може да се забележат неколку различни слоеви на актерска креација на Рефет Абази. Во почетокот неговата игра е вкожурена во примарната импресија. Како расте дејствието во претставата (иницирано од текстот), така градира и неговата експресија. Морам да напоменам дека не станува збор за симплифицирана актерска екпресија, што се базира на надворешното доживување на ликот. Во овој пример надворешното е само огледалото преку кое се гледа внатрешната борба. Не само содржинската борба на Ахмет Нурудин, туку и борбата на актерот со ликот. Се препознава токму животворноста на актерот, кој ликот го создава како жива творба. Како жива материја која бара и треба да биде создадена. Актерот, не е ниту малку помал „демијург“ од режисерот во оваа претстава. </w:t>
      </w:r>
    </w:p>
    <w:p w:rsidR="00E72BC3" w:rsidRPr="00FE1279" w:rsidRDefault="00E72BC3" w:rsidP="00E72BC3">
      <w:pPr>
        <w:spacing w:line="360" w:lineRule="auto"/>
        <w:jc w:val="both"/>
        <w:rPr>
          <w:lang w:val="mk-MK"/>
        </w:rPr>
      </w:pPr>
    </w:p>
    <w:p w:rsidR="00E72BC3" w:rsidRPr="00FE1279" w:rsidRDefault="00E72BC3" w:rsidP="00E72BC3">
      <w:pPr>
        <w:numPr>
          <w:ilvl w:val="0"/>
          <w:numId w:val="1"/>
        </w:numPr>
        <w:spacing w:after="0" w:line="360" w:lineRule="auto"/>
        <w:jc w:val="both"/>
        <w:rPr>
          <w:b/>
          <w:lang w:val="mk-MK"/>
        </w:rPr>
      </w:pPr>
      <w:r w:rsidRPr="00FE1279">
        <w:rPr>
          <w:b/>
          <w:lang w:val="mk-MK"/>
        </w:rPr>
        <w:t>Наместо заклучок</w:t>
      </w:r>
    </w:p>
    <w:p w:rsidR="00E72BC3" w:rsidRPr="00FE1279" w:rsidRDefault="00E72BC3" w:rsidP="001B29D4">
      <w:pPr>
        <w:spacing w:after="0" w:line="360" w:lineRule="auto"/>
        <w:ind w:left="360"/>
        <w:jc w:val="both"/>
        <w:rPr>
          <w:lang w:val="mk-MK"/>
        </w:rPr>
      </w:pPr>
      <w:r w:rsidRPr="00FE1279">
        <w:rPr>
          <w:lang w:val="mk-MK"/>
        </w:rPr>
        <w:t>Нишката што ги поврзува претставите на Владимир Милчин е целосната насоченост</w:t>
      </w:r>
    </w:p>
    <w:p w:rsidR="00E72BC3" w:rsidRPr="00FE1279" w:rsidRDefault="00E72BC3" w:rsidP="001B29D4">
      <w:pPr>
        <w:spacing w:after="0" w:line="360" w:lineRule="auto"/>
        <w:jc w:val="both"/>
        <w:rPr>
          <w:lang w:val="mk-MK"/>
        </w:rPr>
      </w:pPr>
      <w:r w:rsidRPr="00FE1279">
        <w:rPr>
          <w:lang w:val="mk-MK"/>
        </w:rPr>
        <w:t xml:space="preserve">кон претставата како ритуал, како можност за истражување и презентирање на истраженото, како начин на создавање комплетно уметничко дело. Оваа студија, не оградувајќи се од личната фасцинација на нејзиниот автор од дервишките редови, се потруди на еден хибриден (емотивно-научен) начин да ја пронајде и презентира посебно нишката што ги поврзува претставите во кои се експлицитно потенцирани дервишките редови. Преку пронаоѓањето на врската меѓу театарската антропологија (интеркултуралниот и ритуалниот театар) и режиите на Владимир Милчин, па се до декодирањето на играта на Рефет Абази (како типичен пример за релацијата актер-режисер, во проучувањата на повеќето приврзаници на ваквиот тип на театар), оваа студија ја елаборираше режисерската поетика на Милчин од само една гледна точка. Од анализираните претстави се гледа дека употребата на ритуалот може </w:t>
      </w:r>
      <w:r w:rsidRPr="00FE1279">
        <w:rPr>
          <w:lang w:val="mk-MK"/>
        </w:rPr>
        <w:lastRenderedPageBreak/>
        <w:t>да се искористи на различни начини, но тој е и основно театарско средство. Затоа и само „избраните“ може да следат и создаваат ваков тип на претстави. И театарската антропологија, која не е стерилна и ригидна како наука го покажува токму тоа во предметот на проучување и во начинот на кој се проучува тој предмет (како мали ситни совети кои ни служат да ја создадеме и гледаме претставата).</w:t>
      </w:r>
    </w:p>
    <w:p w:rsidR="00E72BC3" w:rsidRPr="00FE1279" w:rsidRDefault="00E72BC3" w:rsidP="00E72BC3">
      <w:pPr>
        <w:rPr>
          <w:b/>
          <w:sz w:val="22"/>
          <w:szCs w:val="22"/>
          <w:lang w:val="mk-MK"/>
        </w:rPr>
      </w:pPr>
    </w:p>
    <w:p w:rsidR="00E72BC3" w:rsidRPr="00FE1279" w:rsidRDefault="00E72BC3" w:rsidP="00E72BC3">
      <w:pPr>
        <w:spacing w:after="0" w:line="240" w:lineRule="auto"/>
        <w:rPr>
          <w:b/>
          <w:sz w:val="22"/>
          <w:szCs w:val="22"/>
          <w:lang w:val="mk-MK"/>
        </w:rPr>
      </w:pPr>
      <w:r w:rsidRPr="00FE1279">
        <w:rPr>
          <w:b/>
          <w:sz w:val="22"/>
          <w:szCs w:val="22"/>
          <w:lang w:val="mk-MK"/>
        </w:rPr>
        <w:t>Користена литература:</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lang w:val="mk-MK"/>
        </w:rPr>
      </w:pPr>
      <w:proofErr w:type="spellStart"/>
      <w:r w:rsidRPr="00FE1279">
        <w:rPr>
          <w:sz w:val="22"/>
          <w:szCs w:val="22"/>
        </w:rPr>
        <w:t>Bakhtar</w:t>
      </w:r>
      <w:proofErr w:type="spellEnd"/>
      <w:r w:rsidRPr="00FE1279">
        <w:rPr>
          <w:sz w:val="22"/>
          <w:szCs w:val="22"/>
        </w:rPr>
        <w:t xml:space="preserve">, </w:t>
      </w:r>
      <w:proofErr w:type="spellStart"/>
      <w:r w:rsidRPr="00FE1279">
        <w:rPr>
          <w:sz w:val="22"/>
          <w:szCs w:val="22"/>
        </w:rPr>
        <w:t>Laleh</w:t>
      </w:r>
      <w:proofErr w:type="spellEnd"/>
      <w:r w:rsidRPr="00FE1279">
        <w:rPr>
          <w:sz w:val="22"/>
          <w:szCs w:val="22"/>
        </w:rPr>
        <w:t xml:space="preserve"> (1997) </w:t>
      </w:r>
      <w:r w:rsidRPr="00FE1279">
        <w:rPr>
          <w:i/>
          <w:sz w:val="22"/>
          <w:szCs w:val="22"/>
        </w:rPr>
        <w:t>Sufi: Expressions of The Mystic Quest</w:t>
      </w:r>
      <w:r w:rsidRPr="00FE1279">
        <w:rPr>
          <w:sz w:val="22"/>
          <w:szCs w:val="22"/>
        </w:rPr>
        <w:t xml:space="preserve">, </w:t>
      </w:r>
      <w:smartTag w:uri="urn:schemas-microsoft-com:office:smarttags" w:element="City">
        <w:smartTag w:uri="urn:schemas-microsoft-com:office:smarttags" w:element="place">
          <w:r w:rsidRPr="00FE1279">
            <w:rPr>
              <w:sz w:val="22"/>
              <w:szCs w:val="22"/>
            </w:rPr>
            <w:t>London</w:t>
          </w:r>
        </w:smartTag>
      </w:smartTag>
      <w:r w:rsidRPr="00FE1279">
        <w:rPr>
          <w:sz w:val="22"/>
          <w:szCs w:val="22"/>
        </w:rPr>
        <w:t xml:space="preserve">: </w:t>
      </w:r>
      <w:smartTag w:uri="urn:schemas-microsoft-com:office:smarttags" w:element="place">
        <w:r w:rsidRPr="00FE1279">
          <w:rPr>
            <w:sz w:val="22"/>
            <w:szCs w:val="22"/>
          </w:rPr>
          <w:t>Thames</w:t>
        </w:r>
      </w:smartTag>
      <w:r w:rsidRPr="00FE1279">
        <w:rPr>
          <w:sz w:val="22"/>
          <w:szCs w:val="22"/>
        </w:rPr>
        <w:t xml:space="preserve"> and </w:t>
      </w:r>
      <w:smartTag w:uri="urn:schemas-microsoft-com:office:smarttags" w:element="City">
        <w:smartTag w:uri="urn:schemas-microsoft-com:office:smarttags" w:element="place">
          <w:r w:rsidRPr="00FE1279">
            <w:rPr>
              <w:sz w:val="22"/>
              <w:szCs w:val="22"/>
            </w:rPr>
            <w:t>Hudson</w:t>
          </w:r>
        </w:smartTag>
      </w:smartTag>
      <w:r w:rsidRPr="00FE1279">
        <w:rPr>
          <w:sz w:val="22"/>
          <w:szCs w:val="22"/>
        </w:rPr>
        <w:t>.</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rPr>
        <w:t xml:space="preserve">Barba, Eugenio </w:t>
      </w:r>
      <w:proofErr w:type="spellStart"/>
      <w:r w:rsidRPr="00FE1279">
        <w:rPr>
          <w:sz w:val="22"/>
          <w:szCs w:val="22"/>
        </w:rPr>
        <w:t>i</w:t>
      </w:r>
      <w:proofErr w:type="spellEnd"/>
      <w:r w:rsidRPr="00FE1279">
        <w:rPr>
          <w:sz w:val="22"/>
          <w:szCs w:val="22"/>
        </w:rPr>
        <w:t xml:space="preserve"> </w:t>
      </w:r>
      <w:proofErr w:type="spellStart"/>
      <w:r w:rsidRPr="00FE1279">
        <w:rPr>
          <w:sz w:val="22"/>
          <w:szCs w:val="22"/>
        </w:rPr>
        <w:t>Savareze</w:t>
      </w:r>
      <w:proofErr w:type="spellEnd"/>
      <w:r w:rsidRPr="00FE1279">
        <w:rPr>
          <w:sz w:val="22"/>
          <w:szCs w:val="22"/>
        </w:rPr>
        <w:t>, Nikola (1996)</w:t>
      </w:r>
      <w:r w:rsidRPr="00FE1279">
        <w:rPr>
          <w:sz w:val="22"/>
          <w:szCs w:val="22"/>
          <w:lang w:val="hr-HR"/>
        </w:rPr>
        <w:t xml:space="preserve"> </w:t>
      </w:r>
      <w:r w:rsidRPr="00FE1279">
        <w:rPr>
          <w:i/>
          <w:sz w:val="22"/>
          <w:szCs w:val="22"/>
          <w:lang w:val="hr-HR"/>
        </w:rPr>
        <w:t>Rečnik pozorišne antropologije: Tajna umetnost glumca</w:t>
      </w:r>
      <w:r w:rsidRPr="00FE1279">
        <w:rPr>
          <w:sz w:val="22"/>
          <w:szCs w:val="22"/>
          <w:lang w:val="hr-HR"/>
        </w:rPr>
        <w:t xml:space="preserve">, </w:t>
      </w:r>
      <w:smartTag w:uri="urn:schemas-microsoft-com:office:smarttags" w:element="place">
        <w:r w:rsidRPr="00FE1279">
          <w:rPr>
            <w:sz w:val="22"/>
            <w:szCs w:val="22"/>
            <w:lang w:val="hr-HR"/>
          </w:rPr>
          <w:t>Beograd</w:t>
        </w:r>
      </w:smartTag>
      <w:r w:rsidRPr="00FE1279">
        <w:rPr>
          <w:sz w:val="22"/>
          <w:szCs w:val="22"/>
          <w:lang w:val="hr-HR"/>
        </w:rPr>
        <w:t>: FDU.</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proofErr w:type="spellStart"/>
      <w:r w:rsidRPr="00FE1279">
        <w:rPr>
          <w:sz w:val="22"/>
          <w:szCs w:val="22"/>
        </w:rPr>
        <w:t>Batušić</w:t>
      </w:r>
      <w:proofErr w:type="spellEnd"/>
      <w:r w:rsidRPr="00FE1279">
        <w:rPr>
          <w:sz w:val="22"/>
          <w:szCs w:val="22"/>
        </w:rPr>
        <w:t xml:space="preserve">, </w:t>
      </w:r>
      <w:proofErr w:type="gramStart"/>
      <w:r w:rsidRPr="00FE1279">
        <w:rPr>
          <w:sz w:val="22"/>
          <w:szCs w:val="22"/>
        </w:rPr>
        <w:t>Nikola  (</w:t>
      </w:r>
      <w:proofErr w:type="gramEnd"/>
      <w:r w:rsidRPr="00FE1279">
        <w:rPr>
          <w:sz w:val="22"/>
          <w:szCs w:val="22"/>
        </w:rPr>
        <w:t xml:space="preserve">1991)  </w:t>
      </w:r>
      <w:proofErr w:type="spellStart"/>
      <w:r w:rsidRPr="00FE1279">
        <w:rPr>
          <w:i/>
          <w:sz w:val="22"/>
          <w:szCs w:val="22"/>
        </w:rPr>
        <w:t>Uvod</w:t>
      </w:r>
      <w:proofErr w:type="spellEnd"/>
      <w:r w:rsidRPr="00FE1279">
        <w:rPr>
          <w:i/>
          <w:sz w:val="22"/>
          <w:szCs w:val="22"/>
        </w:rPr>
        <w:t xml:space="preserve"> u </w:t>
      </w:r>
      <w:proofErr w:type="spellStart"/>
      <w:r w:rsidRPr="00FE1279">
        <w:rPr>
          <w:i/>
          <w:sz w:val="22"/>
          <w:szCs w:val="22"/>
        </w:rPr>
        <w:t>teatrologiju</w:t>
      </w:r>
      <w:proofErr w:type="spellEnd"/>
      <w:r w:rsidRPr="00FE1279">
        <w:rPr>
          <w:sz w:val="22"/>
          <w:szCs w:val="22"/>
        </w:rPr>
        <w:t xml:space="preserve">,  </w:t>
      </w:r>
      <w:smartTag w:uri="urn:schemas-microsoft-com:office:smarttags" w:element="City">
        <w:smartTag w:uri="urn:schemas-microsoft-com:office:smarttags" w:element="place">
          <w:r w:rsidRPr="00FE1279">
            <w:rPr>
              <w:sz w:val="22"/>
              <w:szCs w:val="22"/>
            </w:rPr>
            <w:t>Zagreb</w:t>
          </w:r>
        </w:smartTag>
      </w:smartTag>
      <w:r w:rsidRPr="00FE1279">
        <w:rPr>
          <w:sz w:val="22"/>
          <w:szCs w:val="22"/>
        </w:rPr>
        <w:t xml:space="preserve">: </w:t>
      </w:r>
      <w:proofErr w:type="spellStart"/>
      <w:r w:rsidRPr="00FE1279">
        <w:rPr>
          <w:sz w:val="22"/>
          <w:szCs w:val="22"/>
        </w:rPr>
        <w:t>Grafički</w:t>
      </w:r>
      <w:proofErr w:type="spellEnd"/>
      <w:r w:rsidRPr="00FE1279">
        <w:rPr>
          <w:sz w:val="22"/>
          <w:szCs w:val="22"/>
        </w:rPr>
        <w:t xml:space="preserve"> </w:t>
      </w:r>
      <w:proofErr w:type="spellStart"/>
      <w:r w:rsidRPr="00FE1279">
        <w:rPr>
          <w:sz w:val="22"/>
          <w:szCs w:val="22"/>
        </w:rPr>
        <w:t>Zavod</w:t>
      </w:r>
      <w:proofErr w:type="spellEnd"/>
      <w:r w:rsidRPr="00FE1279">
        <w:rPr>
          <w:sz w:val="22"/>
          <w:szCs w:val="22"/>
        </w:rPr>
        <w:t xml:space="preserve"> </w:t>
      </w:r>
      <w:proofErr w:type="spellStart"/>
      <w:r w:rsidRPr="00FE1279">
        <w:rPr>
          <w:sz w:val="22"/>
          <w:szCs w:val="22"/>
        </w:rPr>
        <w:t>Hrvatske</w:t>
      </w:r>
      <w:proofErr w:type="spellEnd"/>
      <w:r w:rsidRPr="00FE1279">
        <w:rPr>
          <w:sz w:val="22"/>
          <w:szCs w:val="22"/>
        </w:rPr>
        <w:t>.</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rPr>
      </w:pPr>
      <w:proofErr w:type="spellStart"/>
      <w:r w:rsidRPr="00FE1279">
        <w:rPr>
          <w:sz w:val="22"/>
          <w:szCs w:val="22"/>
        </w:rPr>
        <w:t>Zarrilli</w:t>
      </w:r>
      <w:proofErr w:type="spellEnd"/>
      <w:r w:rsidRPr="00FE1279">
        <w:rPr>
          <w:sz w:val="22"/>
          <w:szCs w:val="22"/>
        </w:rPr>
        <w:t xml:space="preserve">, Phillip B. (ed.) (1995) </w:t>
      </w:r>
      <w:r w:rsidRPr="00FE1279">
        <w:rPr>
          <w:i/>
          <w:sz w:val="22"/>
          <w:szCs w:val="22"/>
        </w:rPr>
        <w:t>Acting (Re) Considered: Theories and Practices</w:t>
      </w:r>
      <w:r w:rsidRPr="00FE1279">
        <w:rPr>
          <w:sz w:val="22"/>
          <w:szCs w:val="22"/>
        </w:rPr>
        <w:t>, New York-London: Routledge.</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lang w:val="mk-MK"/>
        </w:rPr>
        <w:t xml:space="preserve">Институт за театрологија (1999-2005) </w:t>
      </w:r>
      <w:r w:rsidRPr="00FE1279">
        <w:rPr>
          <w:i/>
          <w:sz w:val="22"/>
          <w:szCs w:val="22"/>
          <w:lang w:val="mk-MK"/>
        </w:rPr>
        <w:t>Театролошка дата-база</w:t>
      </w:r>
      <w:r w:rsidRPr="00FE1279">
        <w:rPr>
          <w:sz w:val="22"/>
          <w:szCs w:val="22"/>
          <w:lang w:val="mk-MK"/>
        </w:rPr>
        <w:t>, Скопје: Институт за театрологија при ФДУ.</w:t>
      </w:r>
    </w:p>
    <w:p w:rsidR="00E72BC3" w:rsidRPr="00FE1279" w:rsidRDefault="00E72BC3" w:rsidP="00E72BC3">
      <w:pPr>
        <w:pStyle w:val="EndnoteText"/>
        <w:rPr>
          <w:lang w:val="mk-MK"/>
        </w:rPr>
      </w:pPr>
    </w:p>
    <w:p w:rsidR="00E72BC3" w:rsidRPr="00FE1279" w:rsidRDefault="00E72BC3" w:rsidP="00E72BC3">
      <w:pPr>
        <w:spacing w:after="0" w:line="240" w:lineRule="auto"/>
        <w:rPr>
          <w:sz w:val="22"/>
          <w:szCs w:val="22"/>
          <w:lang w:val="mk-MK"/>
        </w:rPr>
      </w:pPr>
      <w:r w:rsidRPr="00FE1279">
        <w:rPr>
          <w:sz w:val="22"/>
          <w:szCs w:val="22"/>
          <w:lang w:val="mk-MK"/>
        </w:rPr>
        <w:t xml:space="preserve">Лужина, Јелена (1996) </w:t>
      </w:r>
      <w:r w:rsidRPr="00FE1279">
        <w:rPr>
          <w:i/>
          <w:sz w:val="22"/>
          <w:szCs w:val="22"/>
          <w:lang w:val="mk-MK"/>
        </w:rPr>
        <w:t>Македонската нова драма</w:t>
      </w:r>
      <w:r w:rsidRPr="00FE1279">
        <w:rPr>
          <w:sz w:val="22"/>
          <w:szCs w:val="22"/>
          <w:lang w:val="mk-MK"/>
        </w:rPr>
        <w:t xml:space="preserve">, Скопје: Детска радост. </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lang w:val="mk-MK"/>
        </w:rPr>
      </w:pPr>
      <w:r w:rsidRPr="00FE1279">
        <w:rPr>
          <w:sz w:val="22"/>
          <w:szCs w:val="22"/>
          <w:lang w:val="mk-MK"/>
        </w:rPr>
        <w:t xml:space="preserve">Лужина, Јелена (2000) </w:t>
      </w:r>
      <w:r w:rsidRPr="00FE1279">
        <w:rPr>
          <w:i/>
          <w:sz w:val="22"/>
          <w:szCs w:val="22"/>
          <w:lang w:val="mk-MK"/>
        </w:rPr>
        <w:t>Театралика</w:t>
      </w:r>
      <w:r w:rsidRPr="00FE1279">
        <w:rPr>
          <w:sz w:val="22"/>
          <w:szCs w:val="22"/>
          <w:lang w:val="mk-MK"/>
        </w:rPr>
        <w:t>, Скопје-Мелбурн: Матица Македонска.</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r w:rsidRPr="00FE1279">
        <w:rPr>
          <w:sz w:val="22"/>
          <w:szCs w:val="22"/>
          <w:lang w:val="mk-MK"/>
        </w:rPr>
        <w:t xml:space="preserve">Лужина, Јелена (уред.) (2002) </w:t>
      </w:r>
      <w:r w:rsidRPr="00FE1279">
        <w:rPr>
          <w:i/>
          <w:sz w:val="22"/>
          <w:szCs w:val="22"/>
          <w:lang w:val="mk-MK"/>
        </w:rPr>
        <w:t>Театарот на македонската почва – Енциклопедија</w:t>
      </w:r>
      <w:r w:rsidRPr="00FE1279">
        <w:rPr>
          <w:sz w:val="22"/>
          <w:szCs w:val="22"/>
          <w:lang w:val="mk-MK"/>
        </w:rPr>
        <w:t xml:space="preserve"> (ЦД ром), Скопје: Факултет за драмски уметности.</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proofErr w:type="spellStart"/>
      <w:r w:rsidRPr="00FE1279">
        <w:rPr>
          <w:sz w:val="22"/>
          <w:szCs w:val="22"/>
        </w:rPr>
        <w:t>Marranca</w:t>
      </w:r>
      <w:proofErr w:type="spellEnd"/>
      <w:r w:rsidRPr="00FE1279">
        <w:rPr>
          <w:sz w:val="22"/>
          <w:szCs w:val="22"/>
        </w:rPr>
        <w:t xml:space="preserve">, Bonnie and </w:t>
      </w:r>
      <w:proofErr w:type="spellStart"/>
      <w:r w:rsidRPr="00FE1279">
        <w:rPr>
          <w:sz w:val="22"/>
          <w:szCs w:val="22"/>
        </w:rPr>
        <w:t>Dasgupta</w:t>
      </w:r>
      <w:proofErr w:type="spellEnd"/>
      <w:r w:rsidRPr="00FE1279">
        <w:rPr>
          <w:sz w:val="22"/>
          <w:szCs w:val="22"/>
        </w:rPr>
        <w:t xml:space="preserve">, </w:t>
      </w:r>
      <w:proofErr w:type="spellStart"/>
      <w:r w:rsidRPr="00FE1279">
        <w:rPr>
          <w:sz w:val="22"/>
          <w:szCs w:val="22"/>
        </w:rPr>
        <w:t>Gautam</w:t>
      </w:r>
      <w:proofErr w:type="spellEnd"/>
      <w:r w:rsidRPr="00FE1279">
        <w:rPr>
          <w:sz w:val="22"/>
          <w:szCs w:val="22"/>
        </w:rPr>
        <w:t xml:space="preserve"> (ed.) (1991) </w:t>
      </w:r>
      <w:proofErr w:type="spellStart"/>
      <w:r w:rsidRPr="00FE1279">
        <w:rPr>
          <w:i/>
          <w:sz w:val="22"/>
          <w:szCs w:val="22"/>
        </w:rPr>
        <w:t>Interculturalism</w:t>
      </w:r>
      <w:proofErr w:type="spellEnd"/>
      <w:r w:rsidRPr="00FE1279">
        <w:rPr>
          <w:i/>
          <w:sz w:val="22"/>
          <w:szCs w:val="22"/>
        </w:rPr>
        <w:t xml:space="preserve"> and Performance, </w:t>
      </w:r>
      <w:smartTag w:uri="urn:schemas-microsoft-com:office:smarttags" w:element="State">
        <w:smartTag w:uri="urn:schemas-microsoft-com:office:smarttags" w:element="place">
          <w:r w:rsidRPr="00FE1279">
            <w:rPr>
              <w:sz w:val="22"/>
              <w:szCs w:val="22"/>
            </w:rPr>
            <w:t>New York</w:t>
          </w:r>
        </w:smartTag>
      </w:smartTag>
      <w:r w:rsidRPr="00FE1279">
        <w:rPr>
          <w:sz w:val="22"/>
          <w:szCs w:val="22"/>
        </w:rPr>
        <w:t>: PAJ Publications.</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r w:rsidRPr="00FE1279">
        <w:rPr>
          <w:sz w:val="22"/>
          <w:szCs w:val="22"/>
        </w:rPr>
        <w:t xml:space="preserve">Napier, David A. (1986) </w:t>
      </w:r>
      <w:r w:rsidRPr="00FE1279">
        <w:rPr>
          <w:i/>
          <w:sz w:val="22"/>
          <w:szCs w:val="22"/>
        </w:rPr>
        <w:t>Masks, Transformation and Paradox</w:t>
      </w:r>
      <w:r w:rsidRPr="00FE1279">
        <w:rPr>
          <w:sz w:val="22"/>
          <w:szCs w:val="22"/>
        </w:rPr>
        <w:t xml:space="preserve">, 2nd ed. </w:t>
      </w:r>
      <w:smartTag w:uri="urn:schemas-microsoft-com:office:smarttags" w:element="City">
        <w:smartTag w:uri="urn:schemas-microsoft-com:office:smarttags" w:element="place">
          <w:r w:rsidRPr="00FE1279">
            <w:rPr>
              <w:sz w:val="22"/>
              <w:szCs w:val="22"/>
            </w:rPr>
            <w:t>Berkeley</w:t>
          </w:r>
        </w:smartTag>
      </w:smartTag>
      <w:r w:rsidRPr="00FE1279">
        <w:rPr>
          <w:sz w:val="22"/>
          <w:szCs w:val="22"/>
        </w:rPr>
        <w:t xml:space="preserve">, </w:t>
      </w:r>
      <w:smartTag w:uri="urn:schemas-microsoft-com:office:smarttags" w:element="City">
        <w:smartTag w:uri="urn:schemas-microsoft-com:office:smarttags" w:element="place">
          <w:r w:rsidRPr="00FE1279">
            <w:rPr>
              <w:sz w:val="22"/>
              <w:szCs w:val="22"/>
            </w:rPr>
            <w:t>Los Angeles</w:t>
          </w:r>
        </w:smartTag>
      </w:smartTag>
      <w:r w:rsidRPr="00FE1279">
        <w:rPr>
          <w:sz w:val="22"/>
          <w:szCs w:val="22"/>
        </w:rPr>
        <w:t xml:space="preserve">, </w:t>
      </w:r>
      <w:smartTag w:uri="urn:schemas-microsoft-com:office:smarttags" w:element="City">
        <w:smartTag w:uri="urn:schemas-microsoft-com:office:smarttags" w:element="place">
          <w:r w:rsidRPr="00FE1279">
            <w:rPr>
              <w:sz w:val="22"/>
              <w:szCs w:val="22"/>
            </w:rPr>
            <w:t>London</w:t>
          </w:r>
        </w:smartTag>
      </w:smartTag>
      <w:r w:rsidRPr="00FE1279">
        <w:rPr>
          <w:sz w:val="22"/>
          <w:szCs w:val="22"/>
        </w:rPr>
        <w:t xml:space="preserve">: </w:t>
      </w:r>
      <w:smartTag w:uri="urn:schemas-microsoft-com:office:smarttags" w:element="place">
        <w:smartTag w:uri="urn:schemas-microsoft-com:office:smarttags" w:element="PlaceType">
          <w:r w:rsidRPr="00FE1279">
            <w:rPr>
              <w:sz w:val="22"/>
              <w:szCs w:val="22"/>
            </w:rPr>
            <w:t>University</w:t>
          </w:r>
        </w:smartTag>
        <w:r w:rsidRPr="00FE1279">
          <w:rPr>
            <w:sz w:val="22"/>
            <w:szCs w:val="22"/>
          </w:rPr>
          <w:t xml:space="preserve"> of </w:t>
        </w:r>
        <w:smartTag w:uri="urn:schemas-microsoft-com:office:smarttags" w:element="PlaceName">
          <w:r w:rsidRPr="00FE1279">
            <w:rPr>
              <w:sz w:val="22"/>
              <w:szCs w:val="22"/>
            </w:rPr>
            <w:t>California</w:t>
          </w:r>
        </w:smartTag>
      </w:smartTag>
      <w:r w:rsidRPr="00FE1279">
        <w:rPr>
          <w:sz w:val="22"/>
          <w:szCs w:val="22"/>
        </w:rPr>
        <w:t xml:space="preserve"> Press.</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rPr>
        <w:t xml:space="preserve">Odin </w:t>
      </w:r>
      <w:proofErr w:type="spellStart"/>
      <w:r w:rsidRPr="00FE1279">
        <w:rPr>
          <w:sz w:val="22"/>
          <w:szCs w:val="22"/>
        </w:rPr>
        <w:t>Teater</w:t>
      </w:r>
      <w:proofErr w:type="spellEnd"/>
      <w:r w:rsidRPr="00FE1279">
        <w:rPr>
          <w:sz w:val="22"/>
          <w:szCs w:val="22"/>
        </w:rPr>
        <w:t xml:space="preserve"> (----) from: </w:t>
      </w:r>
      <w:r w:rsidR="001B29D4" w:rsidRPr="001B29D4">
        <w:rPr>
          <w:sz w:val="22"/>
          <w:szCs w:val="22"/>
        </w:rPr>
        <w:t xml:space="preserve">https://odinteatret.org/ </w:t>
      </w:r>
      <w:r w:rsidR="001B29D4">
        <w:rPr>
          <w:sz w:val="22"/>
          <w:szCs w:val="22"/>
        </w:rPr>
        <w:t>(4</w:t>
      </w:r>
      <w:r w:rsidRPr="00FE1279">
        <w:rPr>
          <w:sz w:val="22"/>
          <w:szCs w:val="22"/>
        </w:rPr>
        <w:t xml:space="preserve"> </w:t>
      </w:r>
      <w:proofErr w:type="spellStart"/>
      <w:r w:rsidRPr="00FE1279">
        <w:rPr>
          <w:sz w:val="22"/>
          <w:szCs w:val="22"/>
        </w:rPr>
        <w:t>j</w:t>
      </w:r>
      <w:r w:rsidR="001B29D4">
        <w:rPr>
          <w:sz w:val="22"/>
          <w:szCs w:val="22"/>
        </w:rPr>
        <w:t>ul</w:t>
      </w:r>
      <w:proofErr w:type="spellEnd"/>
      <w:r w:rsidRPr="00FE1279">
        <w:rPr>
          <w:sz w:val="22"/>
          <w:szCs w:val="22"/>
        </w:rPr>
        <w:t xml:space="preserve"> 2005).  </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lang w:val="tr-TR"/>
        </w:rPr>
        <w:t>Ö</w:t>
      </w:r>
      <w:proofErr w:type="spellStart"/>
      <w:r w:rsidRPr="00FE1279">
        <w:rPr>
          <w:sz w:val="22"/>
          <w:szCs w:val="22"/>
        </w:rPr>
        <w:t>nder</w:t>
      </w:r>
      <w:proofErr w:type="spellEnd"/>
      <w:r w:rsidRPr="00FE1279">
        <w:rPr>
          <w:sz w:val="22"/>
          <w:szCs w:val="22"/>
        </w:rPr>
        <w:t xml:space="preserve">, Mehmet (1997) </w:t>
      </w:r>
      <w:proofErr w:type="spellStart"/>
      <w:r w:rsidRPr="00FE1279">
        <w:rPr>
          <w:i/>
          <w:sz w:val="22"/>
          <w:szCs w:val="22"/>
        </w:rPr>
        <w:t>Mevlana</w:t>
      </w:r>
      <w:proofErr w:type="spellEnd"/>
      <w:r w:rsidRPr="00FE1279">
        <w:rPr>
          <w:i/>
          <w:sz w:val="22"/>
          <w:szCs w:val="22"/>
        </w:rPr>
        <w:t xml:space="preserve"> </w:t>
      </w:r>
      <w:proofErr w:type="spellStart"/>
      <w:r w:rsidRPr="00FE1279">
        <w:rPr>
          <w:i/>
          <w:sz w:val="22"/>
          <w:szCs w:val="22"/>
        </w:rPr>
        <w:t>Jelaleddin</w:t>
      </w:r>
      <w:proofErr w:type="spellEnd"/>
      <w:r w:rsidRPr="00FE1279">
        <w:rPr>
          <w:i/>
          <w:sz w:val="22"/>
          <w:szCs w:val="22"/>
        </w:rPr>
        <w:t xml:space="preserve"> </w:t>
      </w:r>
      <w:proofErr w:type="spellStart"/>
      <w:r w:rsidRPr="00FE1279">
        <w:rPr>
          <w:i/>
          <w:sz w:val="22"/>
          <w:szCs w:val="22"/>
        </w:rPr>
        <w:t>Rümi</w:t>
      </w:r>
      <w:proofErr w:type="spellEnd"/>
      <w:r w:rsidRPr="00FE1279">
        <w:rPr>
          <w:sz w:val="22"/>
          <w:szCs w:val="22"/>
        </w:rPr>
        <w:t>, Ankara: Ministry of Culture</w:t>
      </w:r>
      <w:r w:rsidRPr="00FE1279">
        <w:rPr>
          <w:i/>
          <w:sz w:val="22"/>
          <w:szCs w:val="22"/>
        </w:rPr>
        <w:t>.</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lang w:val="tr-TR"/>
        </w:rPr>
        <w:t>Ö</w:t>
      </w:r>
      <w:proofErr w:type="spellStart"/>
      <w:r w:rsidRPr="00FE1279">
        <w:rPr>
          <w:sz w:val="22"/>
          <w:szCs w:val="22"/>
        </w:rPr>
        <w:t>zt</w:t>
      </w:r>
      <w:proofErr w:type="spellEnd"/>
      <w:r w:rsidRPr="00FE1279">
        <w:rPr>
          <w:sz w:val="22"/>
          <w:szCs w:val="22"/>
          <w:lang w:val="tr-TR"/>
        </w:rPr>
        <w:t xml:space="preserve">ürk, Yaşar Nuri (1995) </w:t>
      </w:r>
      <w:r w:rsidRPr="00FE1279">
        <w:rPr>
          <w:i/>
          <w:sz w:val="22"/>
          <w:szCs w:val="22"/>
          <w:lang w:val="tr-TR"/>
        </w:rPr>
        <w:t xml:space="preserve">The Eye of The Heart, </w:t>
      </w:r>
      <w:r w:rsidRPr="00FE1279">
        <w:rPr>
          <w:sz w:val="22"/>
          <w:szCs w:val="22"/>
          <w:lang w:val="tr-TR"/>
        </w:rPr>
        <w:t>2nd ed. Istanbul: Red House Press.</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proofErr w:type="spellStart"/>
      <w:r w:rsidRPr="00FE1279">
        <w:rPr>
          <w:sz w:val="22"/>
          <w:szCs w:val="22"/>
        </w:rPr>
        <w:t>Schechner</w:t>
      </w:r>
      <w:proofErr w:type="spellEnd"/>
      <w:r w:rsidRPr="00FE1279">
        <w:rPr>
          <w:sz w:val="22"/>
          <w:szCs w:val="22"/>
        </w:rPr>
        <w:t xml:space="preserve">, Richard (1988) </w:t>
      </w:r>
      <w:r w:rsidRPr="00FE1279">
        <w:rPr>
          <w:i/>
          <w:sz w:val="22"/>
          <w:szCs w:val="22"/>
        </w:rPr>
        <w:t>Performance Theory</w:t>
      </w:r>
      <w:r w:rsidRPr="00FE1279">
        <w:rPr>
          <w:sz w:val="22"/>
          <w:szCs w:val="22"/>
        </w:rPr>
        <w:t>, New York-London: Routledge.</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rPr>
      </w:pPr>
      <w:proofErr w:type="spellStart"/>
      <w:r w:rsidRPr="00FE1279">
        <w:rPr>
          <w:sz w:val="22"/>
          <w:szCs w:val="22"/>
        </w:rPr>
        <w:t>Schechner</w:t>
      </w:r>
      <w:proofErr w:type="spellEnd"/>
      <w:r w:rsidRPr="00FE1279">
        <w:rPr>
          <w:sz w:val="22"/>
          <w:szCs w:val="22"/>
        </w:rPr>
        <w:t xml:space="preserve">, Richard (1989) </w:t>
      </w:r>
      <w:r w:rsidRPr="00FE1279">
        <w:rPr>
          <w:i/>
          <w:sz w:val="22"/>
          <w:szCs w:val="22"/>
        </w:rPr>
        <w:t>Between Theater and Anthropology</w:t>
      </w:r>
      <w:r w:rsidRPr="00FE1279">
        <w:rPr>
          <w:sz w:val="22"/>
          <w:szCs w:val="22"/>
        </w:rPr>
        <w:t xml:space="preserve">, 3d ed. </w:t>
      </w:r>
      <w:smartTag w:uri="urn:schemas-microsoft-com:office:smarttags" w:element="City">
        <w:smartTag w:uri="urn:schemas-microsoft-com:office:smarttags" w:element="place">
          <w:r w:rsidRPr="00FE1279">
            <w:rPr>
              <w:sz w:val="22"/>
              <w:szCs w:val="22"/>
            </w:rPr>
            <w:t>Philadelphia</w:t>
          </w:r>
        </w:smartTag>
      </w:smartTag>
      <w:r w:rsidRPr="00FE1279">
        <w:rPr>
          <w:sz w:val="22"/>
          <w:szCs w:val="22"/>
        </w:rPr>
        <w:t xml:space="preserve">: </w:t>
      </w:r>
      <w:smartTag w:uri="urn:schemas-microsoft-com:office:smarttags" w:element="place">
        <w:smartTag w:uri="urn:schemas-microsoft-com:office:smarttags" w:element="PlaceType">
          <w:r w:rsidRPr="00FE1279">
            <w:rPr>
              <w:sz w:val="22"/>
              <w:szCs w:val="22"/>
            </w:rPr>
            <w:t>University</w:t>
          </w:r>
        </w:smartTag>
        <w:r w:rsidRPr="00FE1279">
          <w:rPr>
            <w:sz w:val="22"/>
            <w:szCs w:val="22"/>
          </w:rPr>
          <w:t xml:space="preserve"> of </w:t>
        </w:r>
        <w:smartTag w:uri="urn:schemas-microsoft-com:office:smarttags" w:element="PlaceName">
          <w:r w:rsidRPr="00FE1279">
            <w:rPr>
              <w:sz w:val="22"/>
              <w:szCs w:val="22"/>
            </w:rPr>
            <w:t>Pennsylvania</w:t>
          </w:r>
        </w:smartTag>
      </w:smartTag>
      <w:r w:rsidRPr="00FE1279">
        <w:rPr>
          <w:sz w:val="22"/>
          <w:szCs w:val="22"/>
        </w:rPr>
        <w:t xml:space="preserve"> Press.</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lang w:val="mk-MK"/>
        </w:rPr>
      </w:pPr>
      <w:r w:rsidRPr="00FE1279">
        <w:rPr>
          <w:sz w:val="22"/>
          <w:szCs w:val="22"/>
          <w:lang w:val="mk-MK"/>
        </w:rPr>
        <w:t>Стојаноска, Ана (20</w:t>
      </w:r>
      <w:r w:rsidR="001B29D4">
        <w:rPr>
          <w:sz w:val="22"/>
          <w:szCs w:val="22"/>
          <w:lang w:val="hr-HR"/>
        </w:rPr>
        <w:t>06</w:t>
      </w:r>
      <w:r w:rsidRPr="00FE1279">
        <w:rPr>
          <w:sz w:val="22"/>
          <w:szCs w:val="22"/>
          <w:lang w:val="mk-MK"/>
        </w:rPr>
        <w:t xml:space="preserve">) </w:t>
      </w:r>
      <w:r w:rsidRPr="00FE1279">
        <w:rPr>
          <w:i/>
          <w:sz w:val="22"/>
          <w:szCs w:val="22"/>
          <w:lang w:val="mk-MK"/>
        </w:rPr>
        <w:t>Македонски постомдерен театар</w:t>
      </w:r>
      <w:r w:rsidR="001B29D4">
        <w:rPr>
          <w:i/>
          <w:sz w:val="22"/>
          <w:szCs w:val="22"/>
          <w:lang w:val="hr-HR"/>
        </w:rPr>
        <w:t xml:space="preserve">, </w:t>
      </w:r>
      <w:r w:rsidRPr="00FE1279">
        <w:rPr>
          <w:sz w:val="22"/>
          <w:szCs w:val="22"/>
          <w:lang w:val="mk-MK"/>
        </w:rPr>
        <w:t>Факултет за драмск</w:t>
      </w:r>
      <w:r w:rsidR="001B29D4">
        <w:rPr>
          <w:sz w:val="22"/>
          <w:szCs w:val="22"/>
          <w:lang w:val="mk-MK"/>
        </w:rPr>
        <w:t>и уметности, Скопјe.</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rPr>
      </w:pPr>
      <w:r w:rsidRPr="00FE1279">
        <w:rPr>
          <w:sz w:val="22"/>
          <w:szCs w:val="22"/>
        </w:rPr>
        <w:t xml:space="preserve">Suzuki, Tadashi (1986) </w:t>
      </w:r>
      <w:r w:rsidRPr="00FE1279">
        <w:rPr>
          <w:i/>
          <w:sz w:val="22"/>
          <w:szCs w:val="22"/>
        </w:rPr>
        <w:t xml:space="preserve">The Way of </w:t>
      </w:r>
      <w:proofErr w:type="spellStart"/>
      <w:proofErr w:type="gramStart"/>
      <w:r w:rsidRPr="00FE1279">
        <w:rPr>
          <w:i/>
          <w:sz w:val="22"/>
          <w:szCs w:val="22"/>
        </w:rPr>
        <w:t>Acting,</w:t>
      </w:r>
      <w:smartTag w:uri="urn:schemas-microsoft-com:office:smarttags" w:element="State">
        <w:smartTag w:uri="urn:schemas-microsoft-com:office:smarttags" w:element="place">
          <w:r w:rsidRPr="00FE1279">
            <w:rPr>
              <w:sz w:val="22"/>
              <w:szCs w:val="22"/>
            </w:rPr>
            <w:t>New</w:t>
          </w:r>
          <w:proofErr w:type="spellEnd"/>
          <w:proofErr w:type="gramEnd"/>
          <w:r w:rsidRPr="00FE1279">
            <w:rPr>
              <w:sz w:val="22"/>
              <w:szCs w:val="22"/>
            </w:rPr>
            <w:t xml:space="preserve"> York</w:t>
          </w:r>
        </w:smartTag>
      </w:smartTag>
      <w:r w:rsidRPr="00FE1279">
        <w:rPr>
          <w:sz w:val="22"/>
          <w:szCs w:val="22"/>
        </w:rPr>
        <w:t>: Theatre Communications Group.</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lang w:val="mk-MK"/>
        </w:rPr>
      </w:pPr>
      <w:r w:rsidRPr="00FE1279">
        <w:rPr>
          <w:sz w:val="22"/>
          <w:szCs w:val="22"/>
        </w:rPr>
        <w:t xml:space="preserve">Turner, Victor (1989) </w:t>
      </w:r>
      <w:r w:rsidRPr="00FE1279">
        <w:rPr>
          <w:i/>
          <w:sz w:val="22"/>
          <w:szCs w:val="22"/>
        </w:rPr>
        <w:t xml:space="preserve">Od </w:t>
      </w:r>
      <w:proofErr w:type="spellStart"/>
      <w:r w:rsidRPr="00FE1279">
        <w:rPr>
          <w:i/>
          <w:sz w:val="22"/>
          <w:szCs w:val="22"/>
        </w:rPr>
        <w:t>rituala</w:t>
      </w:r>
      <w:proofErr w:type="spellEnd"/>
      <w:r w:rsidRPr="00FE1279">
        <w:rPr>
          <w:i/>
          <w:sz w:val="22"/>
          <w:szCs w:val="22"/>
        </w:rPr>
        <w:t xml:space="preserve"> do </w:t>
      </w:r>
      <w:proofErr w:type="spellStart"/>
      <w:r w:rsidRPr="00FE1279">
        <w:rPr>
          <w:i/>
          <w:sz w:val="22"/>
          <w:szCs w:val="22"/>
        </w:rPr>
        <w:t>teatra</w:t>
      </w:r>
      <w:proofErr w:type="spellEnd"/>
      <w:r w:rsidRPr="00FE1279">
        <w:rPr>
          <w:i/>
          <w:sz w:val="22"/>
          <w:szCs w:val="22"/>
        </w:rPr>
        <w:t xml:space="preserve">: </w:t>
      </w:r>
      <w:proofErr w:type="spellStart"/>
      <w:r w:rsidRPr="00FE1279">
        <w:rPr>
          <w:i/>
          <w:sz w:val="22"/>
          <w:szCs w:val="22"/>
        </w:rPr>
        <w:t>Ozbiljnost</w:t>
      </w:r>
      <w:proofErr w:type="spellEnd"/>
      <w:r w:rsidRPr="00FE1279">
        <w:rPr>
          <w:i/>
          <w:sz w:val="22"/>
          <w:szCs w:val="22"/>
        </w:rPr>
        <w:t xml:space="preserve"> </w:t>
      </w:r>
      <w:proofErr w:type="spellStart"/>
      <w:r w:rsidRPr="00FE1279">
        <w:rPr>
          <w:i/>
          <w:sz w:val="22"/>
          <w:szCs w:val="22"/>
        </w:rPr>
        <w:t>ljudske</w:t>
      </w:r>
      <w:proofErr w:type="spellEnd"/>
      <w:r w:rsidRPr="00FE1279">
        <w:rPr>
          <w:i/>
          <w:sz w:val="22"/>
          <w:szCs w:val="22"/>
        </w:rPr>
        <w:t xml:space="preserve"> </w:t>
      </w:r>
      <w:proofErr w:type="spellStart"/>
      <w:r w:rsidRPr="00FE1279">
        <w:rPr>
          <w:i/>
          <w:sz w:val="22"/>
          <w:szCs w:val="22"/>
        </w:rPr>
        <w:t>igre</w:t>
      </w:r>
      <w:proofErr w:type="spellEnd"/>
      <w:r w:rsidRPr="00FE1279">
        <w:rPr>
          <w:sz w:val="22"/>
          <w:szCs w:val="22"/>
        </w:rPr>
        <w:t xml:space="preserve">, </w:t>
      </w:r>
      <w:smartTag w:uri="urn:schemas-microsoft-com:office:smarttags" w:element="City">
        <w:smartTag w:uri="urn:schemas-microsoft-com:office:smarttags" w:element="place">
          <w:r w:rsidRPr="00FE1279">
            <w:rPr>
              <w:sz w:val="22"/>
              <w:szCs w:val="22"/>
            </w:rPr>
            <w:t>Zagreb</w:t>
          </w:r>
        </w:smartTag>
      </w:smartTag>
      <w:r w:rsidRPr="00FE1279">
        <w:rPr>
          <w:sz w:val="22"/>
          <w:szCs w:val="22"/>
        </w:rPr>
        <w:t xml:space="preserve">: August </w:t>
      </w:r>
      <w:proofErr w:type="spellStart"/>
      <w:r w:rsidRPr="00FE1279">
        <w:rPr>
          <w:sz w:val="22"/>
          <w:szCs w:val="22"/>
        </w:rPr>
        <w:t>Cesarec</w:t>
      </w:r>
      <w:proofErr w:type="spellEnd"/>
      <w:r w:rsidRPr="00FE1279">
        <w:rPr>
          <w:sz w:val="22"/>
          <w:szCs w:val="22"/>
        </w:rPr>
        <w:t>.</w:t>
      </w:r>
    </w:p>
    <w:p w:rsidR="00E72BC3" w:rsidRPr="00FE1279" w:rsidRDefault="00E72BC3" w:rsidP="00E72BC3">
      <w:pPr>
        <w:spacing w:after="0" w:line="240" w:lineRule="auto"/>
        <w:rPr>
          <w:sz w:val="22"/>
          <w:szCs w:val="22"/>
          <w:lang w:val="mk-MK"/>
        </w:rPr>
      </w:pPr>
    </w:p>
    <w:p w:rsidR="00E72BC3" w:rsidRPr="00FE1279" w:rsidRDefault="00E72BC3" w:rsidP="00E72BC3">
      <w:pPr>
        <w:spacing w:after="0" w:line="240" w:lineRule="auto"/>
        <w:rPr>
          <w:sz w:val="22"/>
          <w:szCs w:val="22"/>
          <w:lang w:val="mk-MK"/>
        </w:rPr>
      </w:pPr>
      <w:proofErr w:type="spellStart"/>
      <w:r w:rsidRPr="00FE1279">
        <w:rPr>
          <w:sz w:val="22"/>
          <w:szCs w:val="22"/>
        </w:rPr>
        <w:t>Halman</w:t>
      </w:r>
      <w:proofErr w:type="spellEnd"/>
      <w:r w:rsidRPr="00FE1279">
        <w:rPr>
          <w:sz w:val="22"/>
          <w:szCs w:val="22"/>
        </w:rPr>
        <w:t xml:space="preserve">, </w:t>
      </w:r>
      <w:proofErr w:type="spellStart"/>
      <w:r w:rsidRPr="00FE1279">
        <w:rPr>
          <w:sz w:val="22"/>
          <w:szCs w:val="22"/>
        </w:rPr>
        <w:t>Talat</w:t>
      </w:r>
      <w:proofErr w:type="spellEnd"/>
      <w:r w:rsidRPr="00FE1279">
        <w:rPr>
          <w:sz w:val="22"/>
          <w:szCs w:val="22"/>
        </w:rPr>
        <w:t xml:space="preserve"> </w:t>
      </w:r>
      <w:proofErr w:type="spellStart"/>
      <w:r w:rsidRPr="00FE1279">
        <w:rPr>
          <w:sz w:val="22"/>
          <w:szCs w:val="22"/>
        </w:rPr>
        <w:t>Sait</w:t>
      </w:r>
      <w:proofErr w:type="spellEnd"/>
      <w:r w:rsidRPr="00FE1279">
        <w:rPr>
          <w:sz w:val="22"/>
          <w:szCs w:val="22"/>
        </w:rPr>
        <w:t xml:space="preserve"> and </w:t>
      </w:r>
      <w:proofErr w:type="spellStart"/>
      <w:proofErr w:type="gramStart"/>
      <w:r w:rsidRPr="00FE1279">
        <w:rPr>
          <w:sz w:val="22"/>
          <w:szCs w:val="22"/>
        </w:rPr>
        <w:t>And</w:t>
      </w:r>
      <w:proofErr w:type="spellEnd"/>
      <w:proofErr w:type="gramEnd"/>
      <w:r w:rsidRPr="00FE1279">
        <w:rPr>
          <w:sz w:val="22"/>
          <w:szCs w:val="22"/>
        </w:rPr>
        <w:t xml:space="preserve">, </w:t>
      </w:r>
      <w:proofErr w:type="spellStart"/>
      <w:r w:rsidRPr="00FE1279">
        <w:rPr>
          <w:sz w:val="22"/>
          <w:szCs w:val="22"/>
        </w:rPr>
        <w:t>Metin</w:t>
      </w:r>
      <w:proofErr w:type="spellEnd"/>
      <w:r w:rsidRPr="00FE1279">
        <w:rPr>
          <w:sz w:val="22"/>
          <w:szCs w:val="22"/>
        </w:rPr>
        <w:t xml:space="preserve"> (1992) </w:t>
      </w:r>
      <w:proofErr w:type="spellStart"/>
      <w:r w:rsidRPr="00FE1279">
        <w:rPr>
          <w:i/>
          <w:sz w:val="22"/>
          <w:szCs w:val="22"/>
        </w:rPr>
        <w:t>Mevlana</w:t>
      </w:r>
      <w:proofErr w:type="spellEnd"/>
      <w:r w:rsidRPr="00FE1279">
        <w:rPr>
          <w:i/>
          <w:sz w:val="22"/>
          <w:szCs w:val="22"/>
        </w:rPr>
        <w:t xml:space="preserve"> </w:t>
      </w:r>
      <w:proofErr w:type="spellStart"/>
      <w:r w:rsidRPr="00FE1279">
        <w:rPr>
          <w:i/>
          <w:sz w:val="22"/>
          <w:szCs w:val="22"/>
        </w:rPr>
        <w:t>Gelaleddin</w:t>
      </w:r>
      <w:proofErr w:type="spellEnd"/>
      <w:r w:rsidRPr="00FE1279">
        <w:rPr>
          <w:i/>
          <w:sz w:val="22"/>
          <w:szCs w:val="22"/>
        </w:rPr>
        <w:t xml:space="preserve"> Rumi and The Whirling Dervishes</w:t>
      </w:r>
      <w:r w:rsidRPr="00FE1279">
        <w:rPr>
          <w:sz w:val="22"/>
          <w:szCs w:val="22"/>
        </w:rPr>
        <w:t xml:space="preserve">, 2nd ed. </w:t>
      </w:r>
      <w:smartTag w:uri="urn:schemas-microsoft-com:office:smarttags" w:element="City">
        <w:smartTag w:uri="urn:schemas-microsoft-com:office:smarttags" w:element="place">
          <w:r w:rsidRPr="00FE1279">
            <w:rPr>
              <w:sz w:val="22"/>
              <w:szCs w:val="22"/>
            </w:rPr>
            <w:t>Istanbul</w:t>
          </w:r>
        </w:smartTag>
      </w:smartTag>
      <w:r w:rsidRPr="00FE1279">
        <w:rPr>
          <w:sz w:val="22"/>
          <w:szCs w:val="22"/>
        </w:rPr>
        <w:t xml:space="preserve">: </w:t>
      </w:r>
      <w:proofErr w:type="spellStart"/>
      <w:r w:rsidRPr="00FE1279">
        <w:rPr>
          <w:sz w:val="22"/>
          <w:szCs w:val="22"/>
        </w:rPr>
        <w:t>Dost</w:t>
      </w:r>
      <w:proofErr w:type="spellEnd"/>
      <w:r w:rsidRPr="00FE1279">
        <w:rPr>
          <w:sz w:val="22"/>
          <w:szCs w:val="22"/>
        </w:rPr>
        <w:t xml:space="preserve"> Publications.</w:t>
      </w:r>
    </w:p>
    <w:p w:rsidR="00E72BC3" w:rsidRPr="00FE1279" w:rsidRDefault="00E72BC3" w:rsidP="00E72BC3">
      <w:pPr>
        <w:spacing w:after="0" w:line="240" w:lineRule="auto"/>
        <w:rPr>
          <w:sz w:val="22"/>
          <w:szCs w:val="22"/>
        </w:rPr>
      </w:pPr>
    </w:p>
    <w:p w:rsidR="00E72BC3" w:rsidRPr="00FE1279" w:rsidRDefault="00E72BC3" w:rsidP="00E72BC3">
      <w:pPr>
        <w:spacing w:after="0" w:line="240" w:lineRule="auto"/>
        <w:rPr>
          <w:sz w:val="22"/>
          <w:szCs w:val="22"/>
        </w:rPr>
      </w:pPr>
      <w:proofErr w:type="spellStart"/>
      <w:r w:rsidRPr="00FE1279">
        <w:rPr>
          <w:sz w:val="22"/>
          <w:szCs w:val="22"/>
        </w:rPr>
        <w:t>Heilprin</w:t>
      </w:r>
      <w:proofErr w:type="spellEnd"/>
      <w:r w:rsidRPr="00FE1279">
        <w:rPr>
          <w:sz w:val="22"/>
          <w:szCs w:val="22"/>
        </w:rPr>
        <w:t xml:space="preserve">, John (1989) </w:t>
      </w:r>
      <w:r w:rsidRPr="00FE1279">
        <w:rPr>
          <w:i/>
          <w:sz w:val="22"/>
          <w:szCs w:val="22"/>
        </w:rPr>
        <w:t xml:space="preserve">Conference of the Birds: The Story of Peter Brook in </w:t>
      </w:r>
      <w:smartTag w:uri="urn:schemas-microsoft-com:office:smarttags" w:element="place">
        <w:r w:rsidRPr="00FE1279">
          <w:rPr>
            <w:i/>
            <w:sz w:val="22"/>
            <w:szCs w:val="22"/>
          </w:rPr>
          <w:t>Africa</w:t>
        </w:r>
      </w:smartTag>
      <w:r w:rsidRPr="00FE1279">
        <w:rPr>
          <w:sz w:val="22"/>
          <w:szCs w:val="22"/>
        </w:rPr>
        <w:t xml:space="preserve">, </w:t>
      </w:r>
      <w:smartTag w:uri="urn:schemas-microsoft-com:office:smarttags" w:element="City">
        <w:smartTag w:uri="urn:schemas-microsoft-com:office:smarttags" w:element="place">
          <w:r w:rsidRPr="00FE1279">
            <w:rPr>
              <w:sz w:val="22"/>
              <w:szCs w:val="22"/>
            </w:rPr>
            <w:t>London</w:t>
          </w:r>
        </w:smartTag>
      </w:smartTag>
      <w:r w:rsidRPr="00FE1279">
        <w:rPr>
          <w:sz w:val="22"/>
          <w:szCs w:val="22"/>
        </w:rPr>
        <w:t xml:space="preserve">: </w:t>
      </w:r>
      <w:smartTag w:uri="urn:schemas-microsoft-com:office:smarttags" w:element="City">
        <w:smartTag w:uri="urn:schemas-microsoft-com:office:smarttags" w:element="place">
          <w:r w:rsidRPr="00FE1279">
            <w:rPr>
              <w:sz w:val="22"/>
              <w:szCs w:val="22"/>
            </w:rPr>
            <w:t>Methuen</w:t>
          </w:r>
        </w:smartTag>
      </w:smartTag>
      <w:r w:rsidRPr="00FE1279">
        <w:rPr>
          <w:sz w:val="22"/>
          <w:szCs w:val="22"/>
        </w:rPr>
        <w:t>.</w:t>
      </w:r>
    </w:p>
    <w:p w:rsidR="00E72BC3" w:rsidRPr="00FE1279" w:rsidRDefault="00E72BC3" w:rsidP="00E72BC3">
      <w:pPr>
        <w:spacing w:after="0" w:line="240" w:lineRule="auto"/>
        <w:rPr>
          <w:b/>
          <w:sz w:val="22"/>
          <w:szCs w:val="22"/>
        </w:rPr>
      </w:pPr>
    </w:p>
    <w:p w:rsidR="00E72BC3" w:rsidRPr="00FE1279" w:rsidRDefault="00E72BC3" w:rsidP="00E72BC3">
      <w:pPr>
        <w:spacing w:after="0" w:line="240" w:lineRule="auto"/>
        <w:rPr>
          <w:b/>
          <w:sz w:val="22"/>
          <w:szCs w:val="22"/>
        </w:rPr>
      </w:pPr>
    </w:p>
    <w:p w:rsidR="00E72BC3" w:rsidRPr="00FE1279" w:rsidRDefault="00E72BC3" w:rsidP="00E72BC3">
      <w:pPr>
        <w:spacing w:after="0" w:line="240" w:lineRule="auto"/>
        <w:rPr>
          <w:sz w:val="22"/>
          <w:szCs w:val="22"/>
          <w:lang w:val="mk-MK"/>
        </w:rPr>
      </w:pPr>
      <w:r w:rsidRPr="00FE1279">
        <w:rPr>
          <w:sz w:val="22"/>
          <w:szCs w:val="22"/>
        </w:rPr>
        <w:t>Whirling Dervishes (----) from: http://www.</w:t>
      </w:r>
      <w:r w:rsidR="001B29D4">
        <w:rPr>
          <w:sz w:val="22"/>
          <w:szCs w:val="22"/>
        </w:rPr>
        <w:t>allaboutturkey.com/dervis.htm (</w:t>
      </w:r>
      <w:r w:rsidR="001B29D4">
        <w:rPr>
          <w:sz w:val="22"/>
          <w:szCs w:val="22"/>
          <w:lang w:val="mk-MK"/>
        </w:rPr>
        <w:t>4</w:t>
      </w:r>
      <w:r w:rsidR="001B29D4">
        <w:rPr>
          <w:sz w:val="22"/>
          <w:szCs w:val="22"/>
        </w:rPr>
        <w:t xml:space="preserve"> </w:t>
      </w:r>
      <w:r w:rsidR="001B29D4">
        <w:rPr>
          <w:sz w:val="22"/>
          <w:szCs w:val="22"/>
          <w:lang w:val="hr-HR"/>
        </w:rPr>
        <w:t>jul</w:t>
      </w:r>
      <w:r w:rsidRPr="00FE1279">
        <w:rPr>
          <w:sz w:val="22"/>
          <w:szCs w:val="22"/>
        </w:rPr>
        <w:t xml:space="preserve"> 20</w:t>
      </w:r>
      <w:r w:rsidR="001B29D4">
        <w:rPr>
          <w:sz w:val="22"/>
          <w:szCs w:val="22"/>
        </w:rPr>
        <w:t>23</w:t>
      </w:r>
      <w:r w:rsidRPr="00FE1279">
        <w:rPr>
          <w:sz w:val="22"/>
          <w:szCs w:val="22"/>
        </w:rPr>
        <w:t xml:space="preserve">).  </w:t>
      </w:r>
    </w:p>
    <w:p w:rsidR="00E72BC3" w:rsidRPr="00FE1279" w:rsidRDefault="00E72BC3" w:rsidP="00E72BC3">
      <w:pPr>
        <w:rPr>
          <w:b/>
          <w:sz w:val="22"/>
          <w:szCs w:val="22"/>
        </w:rPr>
      </w:pPr>
    </w:p>
    <w:p w:rsidR="00E72BC3" w:rsidRPr="00E72BC3" w:rsidRDefault="00E72BC3" w:rsidP="00873FA2">
      <w:pPr>
        <w:rPr>
          <w:b/>
          <w:lang w:val="mk-MK"/>
        </w:rPr>
      </w:pPr>
    </w:p>
    <w:p w:rsidR="00873FA2" w:rsidRDefault="00873FA2">
      <w:pPr>
        <w:rPr>
          <w:lang w:val="mk-MK"/>
        </w:rPr>
      </w:pPr>
    </w:p>
    <w:p w:rsidR="00873FA2" w:rsidRPr="00873FA2" w:rsidRDefault="00873FA2">
      <w:pPr>
        <w:rPr>
          <w:lang w:val="mk-MK"/>
        </w:rPr>
      </w:pPr>
    </w:p>
    <w:sectPr w:rsidR="00873FA2" w:rsidRPr="00873FA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A20" w:rsidRDefault="00AC7A20" w:rsidP="00E72BC3">
      <w:pPr>
        <w:spacing w:after="0" w:line="240" w:lineRule="auto"/>
      </w:pPr>
      <w:r>
        <w:separator/>
      </w:r>
    </w:p>
  </w:endnote>
  <w:endnote w:type="continuationSeparator" w:id="0">
    <w:p w:rsidR="00AC7A20" w:rsidRDefault="00AC7A20" w:rsidP="00E72BC3">
      <w:pPr>
        <w:spacing w:after="0" w:line="240" w:lineRule="auto"/>
      </w:pPr>
      <w:r>
        <w:continuationSeparator/>
      </w:r>
    </w:p>
  </w:endnote>
  <w:endnote w:id="1">
    <w:p w:rsidR="00E72BC3" w:rsidRDefault="00E72BC3" w:rsidP="00E72BC3">
      <w:pPr>
        <w:pStyle w:val="EndnoteText"/>
        <w:jc w:val="both"/>
        <w:rPr>
          <w:u w:val="single"/>
          <w:lang w:val="mk-MK"/>
        </w:rPr>
      </w:pPr>
      <w:r>
        <w:rPr>
          <w:u w:val="single"/>
          <w:lang w:val="mk-MK"/>
        </w:rPr>
        <w:t>Белешки:</w:t>
      </w:r>
    </w:p>
    <w:p w:rsidR="00E72BC3" w:rsidRPr="00BD4DEF" w:rsidRDefault="00E72BC3" w:rsidP="00E72BC3">
      <w:pPr>
        <w:pStyle w:val="EndnoteText"/>
        <w:jc w:val="both"/>
        <w:rPr>
          <w:u w:val="single"/>
          <w:lang w:val="mk-MK"/>
        </w:rPr>
      </w:pPr>
    </w:p>
    <w:p w:rsidR="00E72BC3" w:rsidRPr="00061EEB" w:rsidRDefault="00E72BC3" w:rsidP="00E72BC3">
      <w:pPr>
        <w:pStyle w:val="EndnoteText"/>
        <w:jc w:val="both"/>
        <w:rPr>
          <w:lang w:val="mk-MK"/>
        </w:rPr>
      </w:pPr>
      <w:r>
        <w:rPr>
          <w:rStyle w:val="EndnoteReference"/>
        </w:rPr>
        <w:endnoteRef/>
      </w:r>
      <w:r>
        <w:t xml:space="preserve"> </w:t>
      </w:r>
      <w:r>
        <w:rPr>
          <w:lang w:val="mk-MK"/>
        </w:rPr>
        <w:t xml:space="preserve">Се смета дека персискиот збор </w:t>
      </w:r>
      <w:r>
        <w:t>dervish</w:t>
      </w:r>
      <w:r>
        <w:rPr>
          <w:lang w:val="mk-MK"/>
        </w:rPr>
        <w:t xml:space="preserve"> со значење „праг на вратата“ е употребен за да се именуваат овие братства.</w:t>
      </w:r>
    </w:p>
  </w:endnote>
  <w:endnote w:id="2">
    <w:p w:rsidR="00E72BC3" w:rsidRPr="004C1B77" w:rsidRDefault="00E72BC3" w:rsidP="00E72BC3">
      <w:pPr>
        <w:pStyle w:val="EndnoteText"/>
        <w:jc w:val="both"/>
        <w:rPr>
          <w:lang w:val="mk-MK"/>
        </w:rPr>
      </w:pPr>
      <w:r>
        <w:rPr>
          <w:rStyle w:val="EndnoteReference"/>
        </w:rPr>
        <w:endnoteRef/>
      </w:r>
      <w:r>
        <w:t xml:space="preserve"> </w:t>
      </w:r>
      <w:r>
        <w:rPr>
          <w:lang w:val="mk-MK"/>
        </w:rPr>
        <w:t xml:space="preserve">Талат </w:t>
      </w:r>
      <w:r>
        <w:rPr>
          <w:lang w:val="mk-MK"/>
        </w:rPr>
        <w:t>Саит Халман/</w:t>
      </w:r>
      <w:proofErr w:type="spellStart"/>
      <w:r>
        <w:t>Talat</w:t>
      </w:r>
      <w:proofErr w:type="spellEnd"/>
      <w:r>
        <w:t xml:space="preserve"> </w:t>
      </w:r>
      <w:proofErr w:type="spellStart"/>
      <w:r>
        <w:t>Sait</w:t>
      </w:r>
      <w:proofErr w:type="spellEnd"/>
      <w:r>
        <w:t xml:space="preserve"> </w:t>
      </w:r>
      <w:proofErr w:type="spellStart"/>
      <w:r>
        <w:t>Halman</w:t>
      </w:r>
      <w:proofErr w:type="spellEnd"/>
      <w:r>
        <w:t xml:space="preserve"> </w:t>
      </w:r>
      <w:r>
        <w:rPr>
          <w:lang w:val="mk-MK"/>
        </w:rPr>
        <w:t>е турски писател и теоретичар. Автор на повеќе книги и студии инспирирани од исламските мистици – Џелалудин ал Руми и Јунус Емре. Наградуван е за својата дејност и во повеќе странски земји.</w:t>
      </w:r>
    </w:p>
  </w:endnote>
  <w:endnote w:id="3">
    <w:p w:rsidR="00E72BC3" w:rsidRPr="00777301" w:rsidRDefault="00E72BC3" w:rsidP="00E72BC3">
      <w:pPr>
        <w:pStyle w:val="EndnoteText"/>
        <w:jc w:val="both"/>
        <w:rPr>
          <w:lang w:val="mk-MK"/>
        </w:rPr>
      </w:pPr>
      <w:r>
        <w:rPr>
          <w:rStyle w:val="EndnoteReference"/>
        </w:rPr>
        <w:endnoteRef/>
      </w:r>
      <w:r>
        <w:t xml:space="preserve"> </w:t>
      </w:r>
      <w:r>
        <w:rPr>
          <w:lang w:val="mk-MK"/>
        </w:rPr>
        <w:t xml:space="preserve">Метин </w:t>
      </w:r>
      <w:r>
        <w:rPr>
          <w:lang w:val="mk-MK"/>
        </w:rPr>
        <w:t>Анд</w:t>
      </w:r>
      <w:r>
        <w:t>/</w:t>
      </w:r>
      <w:proofErr w:type="spellStart"/>
      <w:r>
        <w:t>Metin</w:t>
      </w:r>
      <w:proofErr w:type="spellEnd"/>
      <w:r>
        <w:t xml:space="preserve"> And</w:t>
      </w:r>
      <w:r>
        <w:rPr>
          <w:lang w:val="mk-MK"/>
        </w:rPr>
        <w:t xml:space="preserve"> е еден од најпознатите турски научници, автор на повеќе од 40 книги и 1000 студии за драма, танц, минијатурно сликарство, магија и ритуали. Во книгата (</w:t>
      </w:r>
      <w:proofErr w:type="spellStart"/>
      <w:r>
        <w:rPr>
          <w:i/>
        </w:rPr>
        <w:t>Mevlana</w:t>
      </w:r>
      <w:proofErr w:type="spellEnd"/>
      <w:r>
        <w:rPr>
          <w:i/>
        </w:rPr>
        <w:t xml:space="preserve"> </w:t>
      </w:r>
      <w:proofErr w:type="spellStart"/>
      <w:r>
        <w:rPr>
          <w:i/>
        </w:rPr>
        <w:t>Gellaleddin</w:t>
      </w:r>
      <w:proofErr w:type="spellEnd"/>
      <w:r>
        <w:rPr>
          <w:i/>
        </w:rPr>
        <w:t xml:space="preserve"> Rumi and The Whirling Dervishes</w:t>
      </w:r>
      <w:r>
        <w:t>, 1992</w:t>
      </w:r>
      <w:r>
        <w:rPr>
          <w:lang w:val="mk-MK"/>
        </w:rPr>
        <w:t>) што е една од библиографските едниници на оваа студија, Метин Анд ја истражува перформативноста на дервишите, а Талат Саит Халман поезијата на Руми.</w:t>
      </w:r>
    </w:p>
  </w:endnote>
  <w:endnote w:id="4">
    <w:p w:rsidR="00E72BC3" w:rsidRPr="001F37CE" w:rsidRDefault="00E72BC3" w:rsidP="00E72BC3">
      <w:pPr>
        <w:pStyle w:val="EndnoteText"/>
        <w:jc w:val="both"/>
        <w:rPr>
          <w:lang w:val="mk-MK"/>
        </w:rPr>
      </w:pPr>
      <w:r>
        <w:rPr>
          <w:rStyle w:val="EndnoteReference"/>
        </w:rPr>
        <w:endnoteRef/>
      </w:r>
      <w:r>
        <w:t xml:space="preserve"> </w:t>
      </w:r>
      <w:r>
        <w:rPr>
          <w:lang w:val="mk-MK"/>
        </w:rPr>
        <w:t xml:space="preserve">Џелалудин </w:t>
      </w:r>
      <w:r>
        <w:rPr>
          <w:lang w:val="mk-MK"/>
        </w:rPr>
        <w:t>ал Руми-Мевлана</w:t>
      </w:r>
      <w:r>
        <w:t>/</w:t>
      </w:r>
      <w:proofErr w:type="spellStart"/>
      <w:r>
        <w:t>Jellaluddin</w:t>
      </w:r>
      <w:proofErr w:type="spellEnd"/>
      <w:r>
        <w:t xml:space="preserve"> al Rumi</w:t>
      </w:r>
      <w:r>
        <w:rPr>
          <w:lang w:val="mk-MK"/>
        </w:rPr>
        <w:t xml:space="preserve"> (1207-1273), еден од најмаркантните личности на суфи поезијата, исламски светец и основач на прочуениот ред на дервишите што танцуваат во кружни движења-Румалии или мевлевиски дервиши. Се смета дека пресуден елемент во неговиот живот е средбата со Шемседин Табризи (суфист), со кои биле во взаемна духовна врска. Благодарение на учењата што ги стекнал од Ш.Табризи, поставени се основите на неговото учење.</w:t>
      </w:r>
    </w:p>
  </w:endnote>
  <w:endnote w:id="5">
    <w:p w:rsidR="00E72BC3" w:rsidRPr="008A5B90" w:rsidRDefault="00E72BC3" w:rsidP="00E72BC3">
      <w:pPr>
        <w:jc w:val="both"/>
        <w:rPr>
          <w:sz w:val="20"/>
          <w:szCs w:val="20"/>
        </w:rPr>
      </w:pPr>
      <w:r w:rsidRPr="00196791">
        <w:rPr>
          <w:rStyle w:val="EndnoteReference"/>
          <w:sz w:val="20"/>
          <w:szCs w:val="20"/>
        </w:rPr>
        <w:endnoteRef/>
      </w:r>
      <w:r w:rsidRPr="00196791">
        <w:rPr>
          <w:sz w:val="20"/>
          <w:szCs w:val="20"/>
        </w:rPr>
        <w:t xml:space="preserve"> </w:t>
      </w:r>
      <w:r>
        <w:rPr>
          <w:sz w:val="20"/>
          <w:szCs w:val="20"/>
          <w:lang w:val="mk-MK"/>
        </w:rPr>
        <w:t xml:space="preserve">Сема </w:t>
      </w:r>
      <w:r>
        <w:rPr>
          <w:sz w:val="20"/>
          <w:szCs w:val="20"/>
          <w:lang w:val="mk-MK"/>
        </w:rPr>
        <w:t>во суфизмот</w:t>
      </w:r>
      <w:r w:rsidRPr="00196791">
        <w:rPr>
          <w:sz w:val="20"/>
          <w:szCs w:val="20"/>
          <w:lang w:val="mk-MK"/>
        </w:rPr>
        <w:t>, значи слушајќи музика, пеејќи и вознесувајќи да се достигне состојба на религиозни емоции и екстаза. Зикр е споменување на Господ со повторување на искази со кратка инвокација во едногласие. (</w:t>
      </w:r>
      <w:proofErr w:type="spellStart"/>
      <w:r w:rsidRPr="00196791">
        <w:rPr>
          <w:sz w:val="20"/>
          <w:szCs w:val="20"/>
        </w:rPr>
        <w:t>Halman</w:t>
      </w:r>
      <w:proofErr w:type="spellEnd"/>
      <w:r w:rsidRPr="00196791">
        <w:rPr>
          <w:sz w:val="20"/>
          <w:szCs w:val="20"/>
        </w:rPr>
        <w:t>-And, 1992: 87,88</w:t>
      </w:r>
      <w:r w:rsidRPr="00196791">
        <w:rPr>
          <w:sz w:val="20"/>
          <w:szCs w:val="20"/>
          <w:lang w:val="mk-MK"/>
        </w:rPr>
        <w:t>)</w:t>
      </w:r>
      <w:r>
        <w:rPr>
          <w:sz w:val="20"/>
          <w:szCs w:val="20"/>
          <w:lang w:val="mk-MK"/>
        </w:rPr>
        <w:t xml:space="preserve"> Сема и зикер се дел од дервишкиот ритуал. Сема почнува со молитва кон </w:t>
      </w:r>
      <w:r w:rsidRPr="008A5B90">
        <w:rPr>
          <w:sz w:val="20"/>
          <w:szCs w:val="20"/>
          <w:lang w:val="mk-MK"/>
        </w:rPr>
        <w:t>Пророкот и кон другите пророци. Музиката што е придружна ја нагласува божјата природа.</w:t>
      </w:r>
    </w:p>
  </w:endnote>
  <w:endnote w:id="6">
    <w:p w:rsidR="00E72BC3" w:rsidRPr="009E204C" w:rsidRDefault="00E72BC3" w:rsidP="00E72BC3">
      <w:pPr>
        <w:pStyle w:val="EndnoteText"/>
        <w:jc w:val="both"/>
        <w:rPr>
          <w:lang w:val="mk-MK"/>
        </w:rPr>
      </w:pPr>
      <w:r>
        <w:rPr>
          <w:rStyle w:val="EndnoteReference"/>
        </w:rPr>
        <w:endnoteRef/>
      </w:r>
      <w:r>
        <w:t xml:space="preserve"> </w:t>
      </w:r>
      <w:r>
        <w:rPr>
          <w:lang w:val="mk-MK"/>
        </w:rPr>
        <w:t>Имав прилика истражувајќи за претставата да ги гледам и двете актерки во различни изведби. Иако работат според концепцијата на режисерот, двете актерки играат различно. Арта Мучај е една страствена жена која знае што сака од животот и тоа го зема, за разлика од сензибилноста што на сцената ја потенцира Амернис Нокшиќи.</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kolaSerifCnOffc">
    <w:panose1 w:val="02000000000000000000"/>
    <w:charset w:val="CC"/>
    <w:family w:val="auto"/>
    <w:pitch w:val="variable"/>
    <w:sig w:usb0="8000022F" w:usb1="5000204A" w:usb2="00000000" w:usb3="00000000" w:csb0="00000087"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A20" w:rsidRDefault="00AC7A20" w:rsidP="00E72BC3">
      <w:pPr>
        <w:spacing w:after="0" w:line="240" w:lineRule="auto"/>
      </w:pPr>
      <w:r>
        <w:separator/>
      </w:r>
    </w:p>
  </w:footnote>
  <w:footnote w:type="continuationSeparator" w:id="0">
    <w:p w:rsidR="00AC7A20" w:rsidRDefault="00AC7A20" w:rsidP="00E72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A1022F8"/>
    <w:multiLevelType w:val="hybridMultilevel"/>
    <w:tmpl w:val="E08846D6"/>
    <w:lvl w:ilvl="0" w:tplc="04090001">
      <w:numFmt w:val="bullet"/>
      <w:lvlText w:val=""/>
      <w:lvlJc w:val="left"/>
      <w:pPr>
        <w:tabs>
          <w:tab w:val="num" w:pos="720"/>
        </w:tabs>
        <w:ind w:left="720" w:hanging="360"/>
      </w:pPr>
      <w:rPr>
        <w:rFonts w:ascii="Symbol" w:eastAsia="Times New Roman" w:hAnsi="Symbol" w:cs="Times New Roman"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FA2"/>
    <w:rsid w:val="00093B3C"/>
    <w:rsid w:val="001B29D4"/>
    <w:rsid w:val="004510C2"/>
    <w:rsid w:val="00711727"/>
    <w:rsid w:val="007C6343"/>
    <w:rsid w:val="00873FA2"/>
    <w:rsid w:val="00AC7A20"/>
    <w:rsid w:val="00B775CC"/>
    <w:rsid w:val="00D43D10"/>
    <w:rsid w:val="00E72B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5D9AD00D"/>
  <w15:chartTrackingRefBased/>
  <w15:docId w15:val="{9100FA4F-76A1-46E3-BEC6-D43C1CFE2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kolaSerifCnOffc" w:eastAsiaTheme="minorHAnsi" w:hAnsi="SkolaSerifCnOffc" w:cstheme="min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E72BC3"/>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E72BC3"/>
    <w:rPr>
      <w:rFonts w:ascii="Times New Roman" w:eastAsia="Times New Roman" w:hAnsi="Times New Roman" w:cs="Times New Roman"/>
      <w:sz w:val="20"/>
      <w:szCs w:val="20"/>
    </w:rPr>
  </w:style>
  <w:style w:type="character" w:styleId="EndnoteReference">
    <w:name w:val="endnote reference"/>
    <w:basedOn w:val="DefaultParagraphFont"/>
    <w:semiHidden/>
    <w:rsid w:val="00E72BC3"/>
    <w:rPr>
      <w:vertAlign w:val="superscript"/>
    </w:rPr>
  </w:style>
  <w:style w:type="character" w:styleId="Hyperlink">
    <w:name w:val="Hyperlink"/>
    <w:basedOn w:val="DefaultParagraphFont"/>
    <w:uiPriority w:val="99"/>
    <w:semiHidden/>
    <w:unhideWhenUsed/>
    <w:rsid w:val="007C6343"/>
    <w:rPr>
      <w:color w:val="0000FF"/>
      <w:u w:val="single"/>
    </w:rPr>
  </w:style>
  <w:style w:type="paragraph" w:styleId="NormalWeb">
    <w:name w:val="Normal (Web)"/>
    <w:basedOn w:val="Normal"/>
    <w:uiPriority w:val="99"/>
    <w:semiHidden/>
    <w:unhideWhenUsed/>
    <w:rsid w:val="00B775CC"/>
    <w:pPr>
      <w:spacing w:before="100" w:beforeAutospacing="1" w:after="100" w:afterAutospacing="1"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13</Pages>
  <Words>4203</Words>
  <Characters>23961</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2023-07-04T08:12:00Z</dcterms:created>
  <dcterms:modified xsi:type="dcterms:W3CDTF">2023-07-04T09:01:00Z</dcterms:modified>
</cp:coreProperties>
</file>