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B3329B8" w14:textId="77777777" w:rsidR="00976387" w:rsidRPr="00976387" w:rsidRDefault="00976387" w:rsidP="00976387">
      <w:pPr>
        <w:spacing w:after="0" w:line="240" w:lineRule="auto"/>
        <w:outlineLvl w:val="0"/>
        <w:rPr>
          <w:rFonts w:ascii="Lato" w:eastAsia="Times New Roman" w:hAnsi="Lato" w:cs="Lucida Sans Unicode"/>
          <w:caps/>
          <w:color w:val="000000"/>
          <w:kern w:val="36"/>
          <w:sz w:val="48"/>
          <w:szCs w:val="48"/>
          <w14:ligatures w14:val="none"/>
        </w:rPr>
      </w:pPr>
      <w:r w:rsidRPr="00976387">
        <w:rPr>
          <w:rFonts w:ascii="Lato" w:eastAsia="Times New Roman" w:hAnsi="Lato" w:cs="Lucida Sans Unicode"/>
          <w:caps/>
          <w:color w:val="000000"/>
          <w:kern w:val="36"/>
          <w:sz w:val="48"/>
          <w:szCs w:val="48"/>
          <w14:ligatures w14:val="none"/>
        </w:rPr>
        <w:t>CASE REPORT</w:t>
      </w:r>
      <w:r w:rsidRPr="00976387">
        <w:rPr>
          <w:rFonts w:ascii="Lato" w:eastAsia="Times New Roman" w:hAnsi="Lato" w:cs="Lucida Sans Unicode"/>
          <w:caps/>
          <w:color w:val="000000"/>
          <w:kern w:val="36"/>
          <w:sz w:val="48"/>
          <w:szCs w:val="48"/>
          <w14:ligatures w14:val="none"/>
        </w:rPr>
        <w:br/>
        <w:t>MRI signs in Methotrexate-related Leukoencephalopathy in Children with Burkitt Lymphoma-abdominal Manifestation</w:t>
      </w:r>
    </w:p>
    <w:p w14:paraId="64D43F40" w14:textId="77777777" w:rsidR="00976387" w:rsidRPr="00976387" w:rsidRDefault="00976387" w:rsidP="00976387">
      <w:p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b/>
          <w:bCs/>
          <w:color w:val="333333"/>
          <w:kern w:val="0"/>
          <w:sz w:val="20"/>
          <w:szCs w:val="20"/>
          <w14:ligatures w14:val="none"/>
        </w:rPr>
        <w:t>UDK: 616-006.441-085.277-073.763.5</w:t>
      </w:r>
    </w:p>
    <w:p w14:paraId="3D8B5810" w14:textId="77777777" w:rsidR="00976387" w:rsidRPr="00976387" w:rsidRDefault="00976387" w:rsidP="00976387">
      <w:p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proofErr w:type="spellStart"/>
      <w:r w:rsidRPr="00976387">
        <w:rPr>
          <w:rFonts w:ascii="Lucida Sans Unicode" w:eastAsia="Times New Roman" w:hAnsi="Lucida Sans Unicode" w:cs="Lucida Sans Unicode"/>
          <w:color w:val="333333"/>
          <w:kern w:val="0"/>
          <w:sz w:val="20"/>
          <w:szCs w:val="20"/>
          <w14:ligatures w14:val="none"/>
        </w:rPr>
        <w:t>Mihajlovska</w:t>
      </w:r>
      <w:proofErr w:type="spellEnd"/>
      <w:r w:rsidRPr="00976387">
        <w:rPr>
          <w:rFonts w:ascii="Lucida Sans Unicode" w:eastAsia="Times New Roman" w:hAnsi="Lucida Sans Unicode" w:cs="Lucida Sans Unicode"/>
          <w:color w:val="333333"/>
          <w:kern w:val="0"/>
          <w:sz w:val="20"/>
          <w:szCs w:val="20"/>
          <w14:ligatures w14:val="none"/>
        </w:rPr>
        <w:t xml:space="preserve"> </w:t>
      </w:r>
      <w:proofErr w:type="spellStart"/>
      <w:r w:rsidRPr="00976387">
        <w:rPr>
          <w:rFonts w:ascii="Lucida Sans Unicode" w:eastAsia="Times New Roman" w:hAnsi="Lucida Sans Unicode" w:cs="Lucida Sans Unicode"/>
          <w:color w:val="333333"/>
          <w:kern w:val="0"/>
          <w:sz w:val="20"/>
          <w:szCs w:val="20"/>
          <w14:ligatures w14:val="none"/>
        </w:rPr>
        <w:t>Michevska</w:t>
      </w:r>
      <w:proofErr w:type="spellEnd"/>
      <w:r w:rsidRPr="00976387">
        <w:rPr>
          <w:rFonts w:ascii="Lucida Sans Unicode" w:eastAsia="Times New Roman" w:hAnsi="Lucida Sans Unicode" w:cs="Lucida Sans Unicode"/>
          <w:color w:val="333333"/>
          <w:kern w:val="0"/>
          <w:sz w:val="20"/>
          <w:szCs w:val="20"/>
          <w14:ligatures w14:val="none"/>
        </w:rPr>
        <w:t xml:space="preserve"> T., </w:t>
      </w:r>
      <w:proofErr w:type="spellStart"/>
      <w:r w:rsidRPr="00976387">
        <w:rPr>
          <w:rFonts w:ascii="Lucida Sans Unicode" w:eastAsia="Times New Roman" w:hAnsi="Lucida Sans Unicode" w:cs="Lucida Sans Unicode"/>
          <w:color w:val="333333"/>
          <w:kern w:val="0"/>
          <w:sz w:val="20"/>
          <w:szCs w:val="20"/>
          <w14:ligatures w14:val="none"/>
        </w:rPr>
        <w:t>Bundovska</w:t>
      </w:r>
      <w:proofErr w:type="spellEnd"/>
      <w:r w:rsidRPr="00976387">
        <w:rPr>
          <w:rFonts w:ascii="Lucida Sans Unicode" w:eastAsia="Times New Roman" w:hAnsi="Lucida Sans Unicode" w:cs="Lucida Sans Unicode"/>
          <w:color w:val="333333"/>
          <w:kern w:val="0"/>
          <w:sz w:val="20"/>
          <w:szCs w:val="20"/>
          <w14:ligatures w14:val="none"/>
        </w:rPr>
        <w:t xml:space="preserve"> </w:t>
      </w:r>
      <w:proofErr w:type="spellStart"/>
      <w:r w:rsidRPr="00976387">
        <w:rPr>
          <w:rFonts w:ascii="Lucida Sans Unicode" w:eastAsia="Times New Roman" w:hAnsi="Lucida Sans Unicode" w:cs="Lucida Sans Unicode"/>
          <w:color w:val="333333"/>
          <w:kern w:val="0"/>
          <w:sz w:val="20"/>
          <w:szCs w:val="20"/>
          <w14:ligatures w14:val="none"/>
        </w:rPr>
        <w:t>Kocev</w:t>
      </w:r>
      <w:proofErr w:type="spellEnd"/>
      <w:r w:rsidRPr="00976387">
        <w:rPr>
          <w:rFonts w:ascii="Lucida Sans Unicode" w:eastAsia="Times New Roman" w:hAnsi="Lucida Sans Unicode" w:cs="Lucida Sans Unicode"/>
          <w:color w:val="333333"/>
          <w:kern w:val="0"/>
          <w:sz w:val="20"/>
          <w:szCs w:val="20"/>
          <w14:ligatures w14:val="none"/>
        </w:rPr>
        <w:t xml:space="preserve"> S., Hadji Nikolova N., </w:t>
      </w:r>
      <w:proofErr w:type="spellStart"/>
      <w:r w:rsidRPr="00976387">
        <w:rPr>
          <w:rFonts w:ascii="Lucida Sans Unicode" w:eastAsia="Times New Roman" w:hAnsi="Lucida Sans Unicode" w:cs="Lucida Sans Unicode"/>
          <w:color w:val="333333"/>
          <w:kern w:val="0"/>
          <w:sz w:val="20"/>
          <w:szCs w:val="20"/>
          <w14:ligatures w14:val="none"/>
        </w:rPr>
        <w:t>Gjorgjioska</w:t>
      </w:r>
      <w:proofErr w:type="spellEnd"/>
      <w:r w:rsidRPr="00976387">
        <w:rPr>
          <w:rFonts w:ascii="Lucida Sans Unicode" w:eastAsia="Times New Roman" w:hAnsi="Lucida Sans Unicode" w:cs="Lucida Sans Unicode"/>
          <w:color w:val="333333"/>
          <w:kern w:val="0"/>
          <w:sz w:val="20"/>
          <w:szCs w:val="20"/>
          <w14:ligatures w14:val="none"/>
        </w:rPr>
        <w:t xml:space="preserve"> S., Edis Jukic, D. </w:t>
      </w:r>
      <w:proofErr w:type="spellStart"/>
      <w:r w:rsidRPr="00976387">
        <w:rPr>
          <w:rFonts w:ascii="Lucida Sans Unicode" w:eastAsia="Times New Roman" w:hAnsi="Lucida Sans Unicode" w:cs="Lucida Sans Unicode"/>
          <w:color w:val="333333"/>
          <w:kern w:val="0"/>
          <w:sz w:val="20"/>
          <w:szCs w:val="20"/>
          <w14:ligatures w14:val="none"/>
        </w:rPr>
        <w:t>Belicevska</w:t>
      </w:r>
      <w:proofErr w:type="spellEnd"/>
      <w:r w:rsidRPr="00976387">
        <w:rPr>
          <w:rFonts w:ascii="Lucida Sans Unicode" w:eastAsia="Times New Roman" w:hAnsi="Lucida Sans Unicode" w:cs="Lucida Sans Unicode"/>
          <w:color w:val="333333"/>
          <w:kern w:val="0"/>
          <w:sz w:val="20"/>
          <w:szCs w:val="20"/>
          <w14:ligatures w14:val="none"/>
        </w:rPr>
        <w:t xml:space="preserve"> </w:t>
      </w:r>
      <w:proofErr w:type="spellStart"/>
      <w:r w:rsidRPr="00976387">
        <w:rPr>
          <w:rFonts w:ascii="Lucida Sans Unicode" w:eastAsia="Times New Roman" w:hAnsi="Lucida Sans Unicode" w:cs="Lucida Sans Unicode"/>
          <w:color w:val="333333"/>
          <w:kern w:val="0"/>
          <w:sz w:val="20"/>
          <w:szCs w:val="20"/>
          <w14:ligatures w14:val="none"/>
        </w:rPr>
        <w:t>Stavrevska</w:t>
      </w:r>
      <w:proofErr w:type="spellEnd"/>
      <w:r w:rsidRPr="00976387">
        <w:rPr>
          <w:rFonts w:ascii="Lucida Sans Unicode" w:eastAsia="Times New Roman" w:hAnsi="Lucida Sans Unicode" w:cs="Lucida Sans Unicode"/>
          <w:color w:val="333333"/>
          <w:kern w:val="0"/>
          <w:sz w:val="20"/>
          <w:szCs w:val="20"/>
          <w14:ligatures w14:val="none"/>
        </w:rPr>
        <w:t>.</w:t>
      </w:r>
    </w:p>
    <w:p w14:paraId="25BE212D" w14:textId="77777777" w:rsidR="00976387" w:rsidRPr="00976387" w:rsidRDefault="00976387" w:rsidP="00976387">
      <w:p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color w:val="333333"/>
          <w:kern w:val="0"/>
          <w:sz w:val="20"/>
          <w:szCs w:val="20"/>
          <w14:ligatures w14:val="none"/>
        </w:rPr>
        <w:t xml:space="preserve">University Institute of Radiology, Faculty of Medicine, “Ss. Cyril and </w:t>
      </w:r>
      <w:proofErr w:type="spellStart"/>
      <w:r w:rsidRPr="00976387">
        <w:rPr>
          <w:rFonts w:ascii="Lucida Sans Unicode" w:eastAsia="Times New Roman" w:hAnsi="Lucida Sans Unicode" w:cs="Lucida Sans Unicode"/>
          <w:color w:val="333333"/>
          <w:kern w:val="0"/>
          <w:sz w:val="20"/>
          <w:szCs w:val="20"/>
          <w14:ligatures w14:val="none"/>
        </w:rPr>
        <w:t>Metodhodius</w:t>
      </w:r>
      <w:proofErr w:type="spellEnd"/>
      <w:r w:rsidRPr="00976387">
        <w:rPr>
          <w:rFonts w:ascii="Lucida Sans Unicode" w:eastAsia="Times New Roman" w:hAnsi="Lucida Sans Unicode" w:cs="Lucida Sans Unicode"/>
          <w:color w:val="333333"/>
          <w:kern w:val="0"/>
          <w:sz w:val="20"/>
          <w:szCs w:val="20"/>
          <w14:ligatures w14:val="none"/>
        </w:rPr>
        <w:t>” University, Skopje, Republic of North Macedonia</w:t>
      </w:r>
    </w:p>
    <w:p w14:paraId="0A0B7A24" w14:textId="77777777" w:rsidR="00976387" w:rsidRPr="00976387" w:rsidRDefault="00976387" w:rsidP="00976387">
      <w:p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color w:val="333333"/>
          <w:kern w:val="0"/>
          <w:sz w:val="20"/>
          <w:szCs w:val="20"/>
          <w14:ligatures w14:val="none"/>
        </w:rPr>
        <w:t>Abstract</w:t>
      </w:r>
    </w:p>
    <w:p w14:paraId="755972CB" w14:textId="77777777" w:rsidR="00976387" w:rsidRPr="00976387" w:rsidRDefault="00976387" w:rsidP="00976387">
      <w:p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color w:val="333333"/>
          <w:kern w:val="0"/>
          <w:sz w:val="20"/>
          <w:szCs w:val="20"/>
          <w14:ligatures w14:val="none"/>
        </w:rPr>
        <w:t xml:space="preserve">Burkitt lymphoma, classified as a subtype of non-Hodgkin lymphoma, primarily targets children. It frequently presents with </w:t>
      </w:r>
      <w:proofErr w:type="spellStart"/>
      <w:r w:rsidRPr="00976387">
        <w:rPr>
          <w:rFonts w:ascii="Lucida Sans Unicode" w:eastAsia="Times New Roman" w:hAnsi="Lucida Sans Unicode" w:cs="Lucida Sans Unicode"/>
          <w:color w:val="333333"/>
          <w:kern w:val="0"/>
          <w:sz w:val="20"/>
          <w:szCs w:val="20"/>
          <w14:ligatures w14:val="none"/>
        </w:rPr>
        <w:t>extranodal</w:t>
      </w:r>
      <w:proofErr w:type="spellEnd"/>
      <w:r w:rsidRPr="00976387">
        <w:rPr>
          <w:rFonts w:ascii="Lucida Sans Unicode" w:eastAsia="Times New Roman" w:hAnsi="Lucida Sans Unicode" w:cs="Lucida Sans Unicode"/>
          <w:color w:val="333333"/>
          <w:kern w:val="0"/>
          <w:sz w:val="20"/>
          <w:szCs w:val="20"/>
          <w14:ligatures w14:val="none"/>
        </w:rPr>
        <w:t xml:space="preserve"> involvement, often manifesting as an abdominal or pelvic mass upon initial presentation. Treatment regimen commonly incorporates chemotherapy, wherein the prognosis, particularly in pediatric cases, is notably favorable, with survival rates exceeding 90%. However, the utilization of methotrexate, a chemotherapy agent employed in hematological malignancies and other neoplasms, warrants careful consideration due to its propensity for neurotoxicity. Methotrexate-induced neurotoxicity may be presented across a spectrum of acute and chronic leukoencephalopathies. One significant manifestation is toxic encephalopathy, characterized by its predominant affliction of subcortical white matter. Additionally, notable findings include confluent hyperintensities observable on T2 and FLAIR imaging, particularly evident in the centrum </w:t>
      </w:r>
      <w:proofErr w:type="spellStart"/>
      <w:r w:rsidRPr="00976387">
        <w:rPr>
          <w:rFonts w:ascii="Lucida Sans Unicode" w:eastAsia="Times New Roman" w:hAnsi="Lucida Sans Unicode" w:cs="Lucida Sans Unicode"/>
          <w:color w:val="333333"/>
          <w:kern w:val="0"/>
          <w:sz w:val="20"/>
          <w:szCs w:val="20"/>
          <w14:ligatures w14:val="none"/>
        </w:rPr>
        <w:t>semiovale</w:t>
      </w:r>
      <w:proofErr w:type="spellEnd"/>
      <w:r w:rsidRPr="00976387">
        <w:rPr>
          <w:rFonts w:ascii="Lucida Sans Unicode" w:eastAsia="Times New Roman" w:hAnsi="Lucida Sans Unicode" w:cs="Lucida Sans Unicode"/>
          <w:color w:val="333333"/>
          <w:kern w:val="0"/>
          <w:sz w:val="20"/>
          <w:szCs w:val="20"/>
          <w14:ligatures w14:val="none"/>
        </w:rPr>
        <w:t xml:space="preserve"> region. Magnetic resonance imaging (MRI) stands as the preferred diagnostic modality. This non-invasive and sophisticated imaging technique holds immense clinical and research utility. Leveraging MRI enables early detection of neurological conditions, facilitates ongoing monitoring of treatment outcomes, and supports timely interventions, thereby offering significant benefits in patient’s care.</w:t>
      </w:r>
    </w:p>
    <w:p w14:paraId="0395CD09" w14:textId="77777777" w:rsidR="00976387" w:rsidRPr="00976387" w:rsidRDefault="00976387" w:rsidP="00976387">
      <w:p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color w:val="333333"/>
          <w:kern w:val="0"/>
          <w:sz w:val="20"/>
          <w:szCs w:val="20"/>
          <w14:ligatures w14:val="none"/>
        </w:rPr>
        <w:t> </w:t>
      </w:r>
    </w:p>
    <w:p w14:paraId="24E78C57" w14:textId="77777777" w:rsidR="00976387" w:rsidRPr="00976387" w:rsidRDefault="00976387" w:rsidP="00976387">
      <w:p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color w:val="333333"/>
          <w:kern w:val="0"/>
          <w:sz w:val="20"/>
          <w:szCs w:val="20"/>
          <w14:ligatures w14:val="none"/>
        </w:rPr>
        <w:t xml:space="preserve">We report the case of a 4-years-old patient diagnosed with Burkitt lymphoma, who underwent an MRI scan following symptoms of blindness and convulsions. Initial CT scans showed no discernible pathology. Subsequent MRI findings revealed signal abnormalities, typical of methotrexate-related leukoencephalopathy. Notably, convulsions ensued shortly after initiating </w:t>
      </w:r>
      <w:r w:rsidRPr="00976387">
        <w:rPr>
          <w:rFonts w:ascii="Lucida Sans Unicode" w:eastAsia="Times New Roman" w:hAnsi="Lucida Sans Unicode" w:cs="Lucida Sans Unicode"/>
          <w:color w:val="333333"/>
          <w:kern w:val="0"/>
          <w:sz w:val="20"/>
          <w:szCs w:val="20"/>
          <w14:ligatures w14:val="none"/>
        </w:rPr>
        <w:lastRenderedPageBreak/>
        <w:t>methotrexate treatment. These MRI findings are characteristic of toxic encephalopathy, highlighting the importance of vigilant monitoring in patients undergoing methotrexate therapy.</w:t>
      </w:r>
    </w:p>
    <w:p w14:paraId="61FFB6AD" w14:textId="77777777" w:rsidR="00976387" w:rsidRPr="00976387" w:rsidRDefault="00976387" w:rsidP="00976387">
      <w:p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b/>
          <w:bCs/>
          <w:color w:val="333333"/>
          <w:kern w:val="0"/>
          <w:sz w:val="20"/>
          <w:szCs w:val="20"/>
          <w14:ligatures w14:val="none"/>
        </w:rPr>
        <w:t>Key Words:</w:t>
      </w:r>
      <w:r w:rsidRPr="00976387">
        <w:rPr>
          <w:rFonts w:ascii="Lucida Sans Unicode" w:eastAsia="Times New Roman" w:hAnsi="Lucida Sans Unicode" w:cs="Lucida Sans Unicode"/>
          <w:color w:val="333333"/>
          <w:kern w:val="0"/>
          <w:sz w:val="20"/>
          <w:szCs w:val="20"/>
          <w14:ligatures w14:val="none"/>
        </w:rPr>
        <w:t> MRI, Burkitt lymphoma, Methotrexate leukoencephalopathy, toxic leukoencephalopathy.</w:t>
      </w:r>
    </w:p>
    <w:p w14:paraId="2A0FF938" w14:textId="77777777" w:rsidR="00976387" w:rsidRPr="00976387" w:rsidRDefault="00976387" w:rsidP="00976387">
      <w:p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color w:val="333333"/>
          <w:kern w:val="0"/>
          <w:sz w:val="20"/>
          <w:szCs w:val="20"/>
          <w14:ligatures w14:val="none"/>
        </w:rPr>
        <w:t> </w:t>
      </w:r>
    </w:p>
    <w:p w14:paraId="41D8A22D" w14:textId="77777777" w:rsidR="00976387" w:rsidRPr="00976387" w:rsidRDefault="00976387" w:rsidP="00976387">
      <w:p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b/>
          <w:bCs/>
          <w:color w:val="333333"/>
          <w:kern w:val="0"/>
          <w:sz w:val="20"/>
          <w:szCs w:val="20"/>
          <w14:ligatures w14:val="none"/>
        </w:rPr>
        <w:t>Introduction</w:t>
      </w:r>
    </w:p>
    <w:p w14:paraId="2ED2611B" w14:textId="77777777" w:rsidR="00976387" w:rsidRPr="00976387" w:rsidRDefault="00976387" w:rsidP="00976387">
      <w:p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color w:val="333333"/>
          <w:kern w:val="0"/>
          <w:sz w:val="20"/>
          <w:szCs w:val="20"/>
          <w14:ligatures w14:val="none"/>
        </w:rPr>
        <w:t>Burkitt lymphoma is recognized for its aggressive nature and can be manifested in various anatomical locations, including the head and neck, pleural space, gastrointestinal tract, retroperitoneum, peritoneum, kidneys and gonads. The radiographic features of Burkitt lymphoma vary depending on the organ involved. Abdominal presentations may or may not include a palpable mass. In our case, a palpable abdominal mass led to a CT-guided biopsy, confirming the diagnosis of Burkitt lymphoma via histopathology.</w:t>
      </w:r>
    </w:p>
    <w:p w14:paraId="57E40A98" w14:textId="77777777" w:rsidR="00976387" w:rsidRPr="00976387" w:rsidRDefault="00976387" w:rsidP="00976387">
      <w:p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color w:val="333333"/>
          <w:kern w:val="0"/>
          <w:sz w:val="20"/>
          <w:szCs w:val="20"/>
          <w14:ligatures w14:val="none"/>
        </w:rPr>
        <w:t>Upon hospitalization, the prescribed therapy involved the administration of methotrexate. However, shortly after initiating methotrexate treatment, the patient exhibited symptoms including convulsions. Methotrexate, a potent anticancer drug, can induce neurotoxicity, particularly in high doses. Its mechanism of action involves competitive inhibition of dihydrofolate reductase, thereby depleting DNA precursors. The exact mechanism underlying methotrexate-induced leukoencephalopathy remains unclear, though it is proposed to involve the release of adenosine, resulting in cerebral blood vessel dilation, neuronal dysfunction and cytotoxic edema.</w:t>
      </w:r>
    </w:p>
    <w:p w14:paraId="6277557D" w14:textId="77777777" w:rsidR="00976387" w:rsidRPr="00976387" w:rsidRDefault="00976387" w:rsidP="00976387">
      <w:p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color w:val="333333"/>
          <w:kern w:val="0"/>
          <w:sz w:val="20"/>
          <w:szCs w:val="20"/>
          <w14:ligatures w14:val="none"/>
        </w:rPr>
        <w:t>Methotrexate can be administered orally, intravenously or intrathecally. MRI serves as the preferred diagnostic imaging modality, with neurotoxic side effects, such as leukoencephalopathy, manifesting as transient hyperintense regions on T2-weighted imaging (T2WI), diffusion restriction, and abnormal or absent contrast enhancement (1, 2, 3). Sequential MRI examinations enable the detection of leukoencephalopathy in symptomatic patients and may reveal abnormal findings in asymptomatic individuals following methotrexate treatment (4).</w:t>
      </w:r>
    </w:p>
    <w:p w14:paraId="1717884F" w14:textId="77777777" w:rsidR="00976387" w:rsidRPr="00976387" w:rsidRDefault="00976387" w:rsidP="00976387">
      <w:p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color w:val="333333"/>
          <w:kern w:val="0"/>
          <w:sz w:val="20"/>
          <w:szCs w:val="20"/>
          <w14:ligatures w14:val="none"/>
        </w:rPr>
        <w:t>In some cases, discontinuation of methotrexate therapy may be necessary, as the brain abnormalities associated with the acute toxic leukoencephalopathy can potentially reverse with therapy or removal of the offending agent during the early phase of onset.</w:t>
      </w:r>
    </w:p>
    <w:p w14:paraId="7CD507C0" w14:textId="77777777" w:rsidR="00976387" w:rsidRPr="00976387" w:rsidRDefault="00976387" w:rsidP="00976387">
      <w:p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b/>
          <w:bCs/>
          <w:color w:val="333333"/>
          <w:kern w:val="0"/>
          <w:sz w:val="20"/>
          <w:szCs w:val="20"/>
          <w14:ligatures w14:val="none"/>
        </w:rPr>
        <w:t> </w:t>
      </w:r>
    </w:p>
    <w:p w14:paraId="139754C7" w14:textId="77777777" w:rsidR="00976387" w:rsidRPr="00976387" w:rsidRDefault="00976387" w:rsidP="00976387">
      <w:p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b/>
          <w:bCs/>
          <w:color w:val="333333"/>
          <w:kern w:val="0"/>
          <w:sz w:val="20"/>
          <w:szCs w:val="20"/>
          <w14:ligatures w14:val="none"/>
        </w:rPr>
        <w:t>Case Report</w:t>
      </w:r>
    </w:p>
    <w:p w14:paraId="2F9C0BDE" w14:textId="77777777" w:rsidR="00976387" w:rsidRPr="00976387" w:rsidRDefault="00976387" w:rsidP="00976387">
      <w:p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color w:val="333333"/>
          <w:kern w:val="0"/>
          <w:sz w:val="20"/>
          <w:szCs w:val="20"/>
          <w14:ligatures w14:val="none"/>
        </w:rPr>
        <w:lastRenderedPageBreak/>
        <w:t>We present an intriguing case involving a four-years-old child exhibiting abdominal manifestations of Burkitt lymphoma alongside methotrexate-related leukoencephalopathy. The patient’s initial presentation occurred in April 2024, when she was presented to the emergency department with a distended abdomen persisting for one week, accompanied by the presence of a palpable solid mass in the abdominal region. Subsequently, the patient underwent a CT scan of the abdomen with intravenous contrast for further evaluation.</w:t>
      </w:r>
    </w:p>
    <w:p w14:paraId="1080189F" w14:textId="77777777" w:rsidR="00976387" w:rsidRPr="00976387" w:rsidRDefault="00976387" w:rsidP="00976387">
      <w:p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color w:val="333333"/>
          <w:kern w:val="0"/>
          <w:sz w:val="20"/>
          <w:szCs w:val="20"/>
          <w14:ligatures w14:val="none"/>
        </w:rPr>
        <w:t> </w:t>
      </w:r>
    </w:p>
    <w:p w14:paraId="1D3D3E7E" w14:textId="77777777" w:rsidR="00976387" w:rsidRPr="00976387" w:rsidRDefault="00976387" w:rsidP="00976387">
      <w:p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color w:val="333333"/>
          <w:kern w:val="0"/>
          <w:sz w:val="20"/>
          <w:szCs w:val="20"/>
          <w14:ligatures w14:val="none"/>
        </w:rPr>
        <w:t>CT Findings</w:t>
      </w:r>
    </w:p>
    <w:p w14:paraId="51931A20" w14:textId="77777777" w:rsidR="00976387" w:rsidRPr="00976387" w:rsidRDefault="00976387" w:rsidP="00976387">
      <w:p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color w:val="333333"/>
          <w:kern w:val="0"/>
          <w:sz w:val="20"/>
          <w:szCs w:val="20"/>
          <w14:ligatures w14:val="none"/>
        </w:rPr>
        <w:t xml:space="preserve">The CT scan showed a large, expanding mass in the abdominal cavity, involving the mesentery and displacing bowel loops without causing obstruction. The mass extended from below the pancreas to the suprapubic region and surrounded the uterus, making the ovaries indistinguishable. There were also enlarged lymph nodes near the aorta and below the diaphragm. The findings suggested a potentially aggressive process requiring further investigation and multidisciplinary management. The patient, diagnosed with Burkitt lymphoma through clinical, biochemical and molecular assessments by the pediatric </w:t>
      </w:r>
      <w:proofErr w:type="spellStart"/>
      <w:r w:rsidRPr="00976387">
        <w:rPr>
          <w:rFonts w:ascii="Lucida Sans Unicode" w:eastAsia="Times New Roman" w:hAnsi="Lucida Sans Unicode" w:cs="Lucida Sans Unicode"/>
          <w:color w:val="333333"/>
          <w:kern w:val="0"/>
          <w:sz w:val="20"/>
          <w:szCs w:val="20"/>
          <w14:ligatures w14:val="none"/>
        </w:rPr>
        <w:t>hemato</w:t>
      </w:r>
      <w:proofErr w:type="spellEnd"/>
      <w:r w:rsidRPr="00976387">
        <w:rPr>
          <w:rFonts w:ascii="Lucida Sans Unicode" w:eastAsia="Times New Roman" w:hAnsi="Lucida Sans Unicode" w:cs="Lucida Sans Unicode"/>
          <w:color w:val="333333"/>
          <w:kern w:val="0"/>
          <w:sz w:val="20"/>
          <w:szCs w:val="20"/>
          <w14:ligatures w14:val="none"/>
        </w:rPr>
        <w:t>-oncology team, was hospitalized.</w:t>
      </w:r>
    </w:p>
    <w:p w14:paraId="135E19DD" w14:textId="77777777" w:rsidR="00976387" w:rsidRPr="00976387" w:rsidRDefault="00976387" w:rsidP="00976387">
      <w:p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color w:val="333333"/>
          <w:kern w:val="0"/>
          <w:sz w:val="20"/>
          <w:szCs w:val="20"/>
          <w14:ligatures w14:val="none"/>
        </w:rPr>
        <w:t>Due to the exacerbation of symptoms and onset of convulsions, a brain CT was conducted, which revealed no significant abnormalities.</w:t>
      </w:r>
    </w:p>
    <w:p w14:paraId="1C12FDC4" w14:textId="77777777" w:rsidR="00976387" w:rsidRPr="00976387" w:rsidRDefault="00976387" w:rsidP="00976387">
      <w:p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b/>
          <w:bCs/>
          <w:color w:val="333333"/>
          <w:kern w:val="0"/>
          <w:sz w:val="20"/>
          <w:szCs w:val="20"/>
          <w14:ligatures w14:val="none"/>
        </w:rPr>
        <w:t>Picture1.</w:t>
      </w:r>
    </w:p>
    <w:p w14:paraId="1F9E10D0" w14:textId="77777777" w:rsidR="00976387" w:rsidRPr="00976387" w:rsidRDefault="00976387" w:rsidP="00976387">
      <w:p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noProof/>
          <w:color w:val="BB0000"/>
          <w:kern w:val="0"/>
          <w:sz w:val="20"/>
          <w:szCs w:val="20"/>
          <w14:ligatures w14:val="none"/>
        </w:rPr>
        <w:drawing>
          <wp:inline distT="0" distB="0" distL="0" distR="0" wp14:anchorId="60E081D9" wp14:editId="1FE24424">
            <wp:extent cx="2545080" cy="2232660"/>
            <wp:effectExtent l="0" t="0" r="7620" b="0"/>
            <wp:docPr id="23" name="Picture 32">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a:hlinkClick r:id="rId5"/>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545080" cy="2232660"/>
                    </a:xfrm>
                    <a:prstGeom prst="rect">
                      <a:avLst/>
                    </a:prstGeom>
                    <a:noFill/>
                    <a:ln>
                      <a:noFill/>
                    </a:ln>
                  </pic:spPr>
                </pic:pic>
              </a:graphicData>
            </a:graphic>
          </wp:inline>
        </w:drawing>
      </w:r>
      <w:r w:rsidRPr="00976387">
        <w:rPr>
          <w:rFonts w:ascii="Lucida Sans Unicode" w:eastAsia="Times New Roman" w:hAnsi="Lucida Sans Unicode" w:cs="Lucida Sans Unicode"/>
          <w:noProof/>
          <w:color w:val="BB0000"/>
          <w:kern w:val="0"/>
          <w:sz w:val="20"/>
          <w:szCs w:val="20"/>
          <w14:ligatures w14:val="none"/>
        </w:rPr>
        <w:drawing>
          <wp:inline distT="0" distB="0" distL="0" distR="0" wp14:anchorId="465CD88B" wp14:editId="72EC2090">
            <wp:extent cx="2674620" cy="2209800"/>
            <wp:effectExtent l="0" t="0" r="0" b="0"/>
            <wp:docPr id="24" name="Picture 31">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a:hlinkClick r:id="rId7"/>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74620" cy="2209800"/>
                    </a:xfrm>
                    <a:prstGeom prst="rect">
                      <a:avLst/>
                    </a:prstGeom>
                    <a:noFill/>
                    <a:ln>
                      <a:noFill/>
                    </a:ln>
                  </pic:spPr>
                </pic:pic>
              </a:graphicData>
            </a:graphic>
          </wp:inline>
        </w:drawing>
      </w:r>
    </w:p>
    <w:p w14:paraId="0DF7AF6B" w14:textId="77777777" w:rsidR="00976387" w:rsidRPr="00976387" w:rsidRDefault="00976387" w:rsidP="00976387">
      <w:p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color w:val="333333"/>
          <w:kern w:val="0"/>
          <w:sz w:val="20"/>
          <w:szCs w:val="20"/>
          <w14:ligatures w14:val="none"/>
        </w:rPr>
        <w:t> </w:t>
      </w:r>
    </w:p>
    <w:p w14:paraId="721143A8" w14:textId="77777777" w:rsidR="00976387" w:rsidRPr="00976387" w:rsidRDefault="00976387" w:rsidP="00976387">
      <w:p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color w:val="333333"/>
          <w:kern w:val="0"/>
          <w:sz w:val="20"/>
          <w:szCs w:val="20"/>
          <w14:ligatures w14:val="none"/>
        </w:rPr>
        <w:t> </w:t>
      </w:r>
    </w:p>
    <w:p w14:paraId="1B5D6F2E" w14:textId="77777777" w:rsidR="00976387" w:rsidRPr="00976387" w:rsidRDefault="00976387" w:rsidP="00976387">
      <w:p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color w:val="333333"/>
          <w:kern w:val="0"/>
          <w:sz w:val="20"/>
          <w:szCs w:val="20"/>
          <w14:ligatures w14:val="none"/>
        </w:rPr>
        <w:lastRenderedPageBreak/>
        <w:t>Subsequently, an MRI of the brain was performed, which demonstrated: Bilateral diffuse high signal changes in the cerebellum on T2 and FLAIR sequences, as well as areas of restricted diffusion, indicating focal zones of cytotoxic edema.</w:t>
      </w:r>
    </w:p>
    <w:p w14:paraId="6A7F07F5" w14:textId="77777777" w:rsidR="00976387" w:rsidRPr="00976387" w:rsidRDefault="00976387" w:rsidP="00976387">
      <w:p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color w:val="333333"/>
          <w:kern w:val="0"/>
          <w:sz w:val="20"/>
          <w:szCs w:val="20"/>
          <w14:ligatures w14:val="none"/>
        </w:rPr>
        <w:t> </w:t>
      </w:r>
    </w:p>
    <w:p w14:paraId="26613073" w14:textId="77777777" w:rsidR="00976387" w:rsidRPr="00976387" w:rsidRDefault="00976387" w:rsidP="00976387">
      <w:p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b/>
          <w:bCs/>
          <w:color w:val="333333"/>
          <w:kern w:val="0"/>
          <w:sz w:val="20"/>
          <w:szCs w:val="20"/>
          <w14:ligatures w14:val="none"/>
        </w:rPr>
        <w:t>Picture 2.</w:t>
      </w:r>
    </w:p>
    <w:p w14:paraId="798C7B93" w14:textId="77777777" w:rsidR="00976387" w:rsidRPr="00976387" w:rsidRDefault="00976387" w:rsidP="00976387">
      <w:p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noProof/>
          <w:color w:val="BB0000"/>
          <w:kern w:val="0"/>
          <w:sz w:val="20"/>
          <w:szCs w:val="20"/>
          <w14:ligatures w14:val="none"/>
        </w:rPr>
        <w:drawing>
          <wp:inline distT="0" distB="0" distL="0" distR="0" wp14:anchorId="67AA2CDF" wp14:editId="06884AE5">
            <wp:extent cx="2324100" cy="2255520"/>
            <wp:effectExtent l="0" t="0" r="0" b="0"/>
            <wp:docPr id="25" name="Picture 30">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a:hlinkClick r:id="rId9"/>
                    </pic:cNvP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324100" cy="2255520"/>
                    </a:xfrm>
                    <a:prstGeom prst="rect">
                      <a:avLst/>
                    </a:prstGeom>
                    <a:noFill/>
                    <a:ln>
                      <a:noFill/>
                    </a:ln>
                  </pic:spPr>
                </pic:pic>
              </a:graphicData>
            </a:graphic>
          </wp:inline>
        </w:drawing>
      </w:r>
      <w:r w:rsidRPr="00976387">
        <w:rPr>
          <w:rFonts w:ascii="Lucida Sans Unicode" w:eastAsia="Times New Roman" w:hAnsi="Lucida Sans Unicode" w:cs="Lucida Sans Unicode"/>
          <w:color w:val="333333"/>
          <w:kern w:val="0"/>
          <w:sz w:val="20"/>
          <w:szCs w:val="20"/>
          <w14:ligatures w14:val="none"/>
        </w:rPr>
        <w:t> </w:t>
      </w:r>
      <w:r w:rsidRPr="00976387">
        <w:rPr>
          <w:rFonts w:ascii="Lucida Sans Unicode" w:eastAsia="Times New Roman" w:hAnsi="Lucida Sans Unicode" w:cs="Lucida Sans Unicode"/>
          <w:noProof/>
          <w:color w:val="BB0000"/>
          <w:kern w:val="0"/>
          <w:sz w:val="20"/>
          <w:szCs w:val="20"/>
          <w14:ligatures w14:val="none"/>
        </w:rPr>
        <w:drawing>
          <wp:inline distT="0" distB="0" distL="0" distR="0" wp14:anchorId="35ADEB8A" wp14:editId="6C31D762">
            <wp:extent cx="2247900" cy="2217420"/>
            <wp:effectExtent l="0" t="0" r="0" b="0"/>
            <wp:docPr id="26" name="Picture 29">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a:hlinkClick r:id="rId11"/>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47900" cy="2217420"/>
                    </a:xfrm>
                    <a:prstGeom prst="rect">
                      <a:avLst/>
                    </a:prstGeom>
                    <a:noFill/>
                    <a:ln>
                      <a:noFill/>
                    </a:ln>
                  </pic:spPr>
                </pic:pic>
              </a:graphicData>
            </a:graphic>
          </wp:inline>
        </w:drawing>
      </w:r>
      <w:r w:rsidRPr="00976387">
        <w:rPr>
          <w:rFonts w:ascii="Lucida Sans Unicode" w:eastAsia="Times New Roman" w:hAnsi="Lucida Sans Unicode" w:cs="Lucida Sans Unicode"/>
          <w:color w:val="333333"/>
          <w:kern w:val="0"/>
          <w:sz w:val="20"/>
          <w:szCs w:val="20"/>
          <w14:ligatures w14:val="none"/>
        </w:rPr>
        <w:t> </w:t>
      </w:r>
      <w:r w:rsidRPr="00976387">
        <w:rPr>
          <w:rFonts w:ascii="Lucida Sans Unicode" w:eastAsia="Times New Roman" w:hAnsi="Lucida Sans Unicode" w:cs="Lucida Sans Unicode"/>
          <w:noProof/>
          <w:color w:val="BB0000"/>
          <w:kern w:val="0"/>
          <w:sz w:val="20"/>
          <w:szCs w:val="20"/>
          <w14:ligatures w14:val="none"/>
        </w:rPr>
        <w:drawing>
          <wp:inline distT="0" distB="0" distL="0" distR="0" wp14:anchorId="4F20CB07" wp14:editId="3819B245">
            <wp:extent cx="2377440" cy="2232660"/>
            <wp:effectExtent l="0" t="0" r="3810" b="0"/>
            <wp:docPr id="27" name="Picture 28">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a:hlinkClick r:id="rId13"/>
                    </pic:cNvPr>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377440" cy="2232660"/>
                    </a:xfrm>
                    <a:prstGeom prst="rect">
                      <a:avLst/>
                    </a:prstGeom>
                    <a:noFill/>
                    <a:ln>
                      <a:noFill/>
                    </a:ln>
                  </pic:spPr>
                </pic:pic>
              </a:graphicData>
            </a:graphic>
          </wp:inline>
        </w:drawing>
      </w:r>
      <w:r w:rsidRPr="00976387">
        <w:rPr>
          <w:rFonts w:ascii="Lucida Sans Unicode" w:eastAsia="Times New Roman" w:hAnsi="Lucida Sans Unicode" w:cs="Lucida Sans Unicode"/>
          <w:color w:val="333333"/>
          <w:kern w:val="0"/>
          <w:sz w:val="20"/>
          <w:szCs w:val="20"/>
          <w14:ligatures w14:val="none"/>
        </w:rPr>
        <w:t> </w:t>
      </w:r>
      <w:r w:rsidRPr="00976387">
        <w:rPr>
          <w:rFonts w:ascii="Lucida Sans Unicode" w:eastAsia="Times New Roman" w:hAnsi="Lucida Sans Unicode" w:cs="Lucida Sans Unicode"/>
          <w:noProof/>
          <w:color w:val="BB0000"/>
          <w:kern w:val="0"/>
          <w:sz w:val="20"/>
          <w:szCs w:val="20"/>
          <w14:ligatures w14:val="none"/>
        </w:rPr>
        <w:drawing>
          <wp:inline distT="0" distB="0" distL="0" distR="0" wp14:anchorId="4CD8DC07" wp14:editId="367DE604">
            <wp:extent cx="2316480" cy="2232660"/>
            <wp:effectExtent l="0" t="0" r="7620" b="0"/>
            <wp:docPr id="28" name="Picture 27">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a:hlinkClick r:id="rId15"/>
                    </pic:cNvPr>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316480" cy="2232660"/>
                    </a:xfrm>
                    <a:prstGeom prst="rect">
                      <a:avLst/>
                    </a:prstGeom>
                    <a:noFill/>
                    <a:ln>
                      <a:noFill/>
                    </a:ln>
                  </pic:spPr>
                </pic:pic>
              </a:graphicData>
            </a:graphic>
          </wp:inline>
        </w:drawing>
      </w:r>
    </w:p>
    <w:p w14:paraId="1D6DA167" w14:textId="77777777" w:rsidR="00976387" w:rsidRPr="00976387" w:rsidRDefault="00976387" w:rsidP="00976387">
      <w:p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color w:val="333333"/>
          <w:kern w:val="0"/>
          <w:sz w:val="20"/>
          <w:szCs w:val="20"/>
          <w14:ligatures w14:val="none"/>
        </w:rPr>
        <w:t>The MRI of the brain revealed the following findings:</w:t>
      </w:r>
    </w:p>
    <w:p w14:paraId="11D5AE95" w14:textId="77777777" w:rsidR="00976387" w:rsidRPr="00976387" w:rsidRDefault="00976387" w:rsidP="00976387">
      <w:pPr>
        <w:numPr>
          <w:ilvl w:val="0"/>
          <w:numId w:val="1"/>
        </w:num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color w:val="333333"/>
          <w:kern w:val="0"/>
          <w:sz w:val="20"/>
          <w:szCs w:val="20"/>
          <w14:ligatures w14:val="none"/>
        </w:rPr>
        <w:t>Bilateral subcortical zones, predominantly in the occipital region, exhibiting confluent hyperintense signals on T2 and FLAIR sequences, accompanied by edema.</w:t>
      </w:r>
    </w:p>
    <w:p w14:paraId="4D974C84" w14:textId="77777777" w:rsidR="00976387" w:rsidRPr="00976387" w:rsidRDefault="00976387" w:rsidP="00976387">
      <w:pPr>
        <w:numPr>
          <w:ilvl w:val="0"/>
          <w:numId w:val="1"/>
        </w:num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color w:val="333333"/>
          <w:kern w:val="0"/>
          <w:sz w:val="20"/>
          <w:szCs w:val="20"/>
          <w14:ligatures w14:val="none"/>
        </w:rPr>
        <w:t>A suspected area of cytotoxic edema in the superior parietal lobe.</w:t>
      </w:r>
    </w:p>
    <w:p w14:paraId="405F3B3F" w14:textId="77777777" w:rsidR="00976387" w:rsidRPr="00976387" w:rsidRDefault="00976387" w:rsidP="00976387">
      <w:pPr>
        <w:numPr>
          <w:ilvl w:val="0"/>
          <w:numId w:val="1"/>
        </w:num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color w:val="333333"/>
          <w:kern w:val="0"/>
          <w:sz w:val="20"/>
          <w:szCs w:val="20"/>
          <w14:ligatures w14:val="none"/>
        </w:rPr>
        <w:t xml:space="preserve">High signal intensities on T2 and FLAIR sequences observed in the centrum </w:t>
      </w:r>
      <w:proofErr w:type="spellStart"/>
      <w:r w:rsidRPr="00976387">
        <w:rPr>
          <w:rFonts w:ascii="Lucida Sans Unicode" w:eastAsia="Times New Roman" w:hAnsi="Lucida Sans Unicode" w:cs="Lucida Sans Unicode"/>
          <w:color w:val="333333"/>
          <w:kern w:val="0"/>
          <w:sz w:val="20"/>
          <w:szCs w:val="20"/>
          <w14:ligatures w14:val="none"/>
        </w:rPr>
        <w:t>semiovale</w:t>
      </w:r>
      <w:proofErr w:type="spellEnd"/>
      <w:r w:rsidRPr="00976387">
        <w:rPr>
          <w:rFonts w:ascii="Lucida Sans Unicode" w:eastAsia="Times New Roman" w:hAnsi="Lucida Sans Unicode" w:cs="Lucida Sans Unicode"/>
          <w:color w:val="333333"/>
          <w:kern w:val="0"/>
          <w:sz w:val="20"/>
          <w:szCs w:val="20"/>
          <w14:ligatures w14:val="none"/>
        </w:rPr>
        <w:t>, right of the corpus callosum body, and bilaterally in the frontal gyrus, without diffusion restriction.</w:t>
      </w:r>
    </w:p>
    <w:p w14:paraId="2070AAD1" w14:textId="77777777" w:rsidR="00976387" w:rsidRPr="00976387" w:rsidRDefault="00976387" w:rsidP="00976387">
      <w:pPr>
        <w:numPr>
          <w:ilvl w:val="0"/>
          <w:numId w:val="1"/>
        </w:num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color w:val="333333"/>
          <w:kern w:val="0"/>
          <w:sz w:val="20"/>
          <w:szCs w:val="20"/>
          <w14:ligatures w14:val="none"/>
        </w:rPr>
        <w:t xml:space="preserve">In the supraventricular region, extending inferiorly from the projection of the postcentral gyrus into the subcortical white matter to the posterior part of the corpus </w:t>
      </w:r>
      <w:r w:rsidRPr="00976387">
        <w:rPr>
          <w:rFonts w:ascii="Lucida Sans Unicode" w:eastAsia="Times New Roman" w:hAnsi="Lucida Sans Unicode" w:cs="Lucida Sans Unicode"/>
          <w:color w:val="333333"/>
          <w:kern w:val="0"/>
          <w:sz w:val="20"/>
          <w:szCs w:val="20"/>
          <w14:ligatures w14:val="none"/>
        </w:rPr>
        <w:lastRenderedPageBreak/>
        <w:t>callosum body (excluding it), and in the left superior temporal lobe, there was a cortico-subcortical lesion characterized by cytotoxic edema and restricted diffusion.</w:t>
      </w:r>
    </w:p>
    <w:p w14:paraId="1D55DFFB" w14:textId="77777777" w:rsidR="00976387" w:rsidRPr="00976387" w:rsidRDefault="00976387" w:rsidP="00976387">
      <w:p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color w:val="333333"/>
          <w:kern w:val="0"/>
          <w:sz w:val="20"/>
          <w:szCs w:val="20"/>
          <w14:ligatures w14:val="none"/>
        </w:rPr>
        <w:t> </w:t>
      </w:r>
    </w:p>
    <w:p w14:paraId="027E61AD" w14:textId="77777777" w:rsidR="00976387" w:rsidRPr="00976387" w:rsidRDefault="00976387" w:rsidP="00976387">
      <w:p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b/>
          <w:bCs/>
          <w:color w:val="333333"/>
          <w:kern w:val="0"/>
          <w:sz w:val="20"/>
          <w:szCs w:val="20"/>
          <w14:ligatures w14:val="none"/>
        </w:rPr>
        <w:t>Picture 3.</w:t>
      </w:r>
    </w:p>
    <w:p w14:paraId="4575D3E2" w14:textId="77777777" w:rsidR="00976387" w:rsidRPr="00976387" w:rsidRDefault="00976387" w:rsidP="00976387">
      <w:p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noProof/>
          <w:color w:val="BB0000"/>
          <w:kern w:val="0"/>
          <w:sz w:val="20"/>
          <w:szCs w:val="20"/>
          <w14:ligatures w14:val="none"/>
        </w:rPr>
        <w:drawing>
          <wp:inline distT="0" distB="0" distL="0" distR="0" wp14:anchorId="16EDE965" wp14:editId="401F752C">
            <wp:extent cx="2263140" cy="2057400"/>
            <wp:effectExtent l="0" t="0" r="3810" b="0"/>
            <wp:docPr id="29" name="Picture 26">
              <a:hlinkClick xmlns:a="http://schemas.openxmlformats.org/drawingml/2006/main" r:id="rId1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a:hlinkClick r:id="rId17"/>
                    </pic:cNvPr>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263140" cy="2057400"/>
                    </a:xfrm>
                    <a:prstGeom prst="rect">
                      <a:avLst/>
                    </a:prstGeom>
                    <a:noFill/>
                    <a:ln>
                      <a:noFill/>
                    </a:ln>
                  </pic:spPr>
                </pic:pic>
              </a:graphicData>
            </a:graphic>
          </wp:inline>
        </w:drawing>
      </w:r>
      <w:r w:rsidRPr="00976387">
        <w:rPr>
          <w:rFonts w:ascii="Lucida Sans Unicode" w:eastAsia="Times New Roman" w:hAnsi="Lucida Sans Unicode" w:cs="Lucida Sans Unicode"/>
          <w:color w:val="333333"/>
          <w:kern w:val="0"/>
          <w:sz w:val="20"/>
          <w:szCs w:val="20"/>
          <w14:ligatures w14:val="none"/>
        </w:rPr>
        <w:t> </w:t>
      </w:r>
      <w:r w:rsidRPr="00976387">
        <w:rPr>
          <w:rFonts w:ascii="Lucida Sans Unicode" w:eastAsia="Times New Roman" w:hAnsi="Lucida Sans Unicode" w:cs="Lucida Sans Unicode"/>
          <w:noProof/>
          <w:color w:val="BB0000"/>
          <w:kern w:val="0"/>
          <w:sz w:val="20"/>
          <w:szCs w:val="20"/>
          <w14:ligatures w14:val="none"/>
        </w:rPr>
        <w:drawing>
          <wp:inline distT="0" distB="0" distL="0" distR="0" wp14:anchorId="11DEFCA4" wp14:editId="328EE962">
            <wp:extent cx="2293620" cy="2011680"/>
            <wp:effectExtent l="0" t="0" r="0" b="7620"/>
            <wp:docPr id="30" name="Picture 25">
              <a:hlinkClick xmlns:a="http://schemas.openxmlformats.org/drawingml/2006/main" r:id="rId1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a:hlinkClick r:id="rId19"/>
                    </pic:cNvPr>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293620" cy="2011680"/>
                    </a:xfrm>
                    <a:prstGeom prst="rect">
                      <a:avLst/>
                    </a:prstGeom>
                    <a:noFill/>
                    <a:ln>
                      <a:noFill/>
                    </a:ln>
                  </pic:spPr>
                </pic:pic>
              </a:graphicData>
            </a:graphic>
          </wp:inline>
        </w:drawing>
      </w:r>
      <w:r w:rsidRPr="00976387">
        <w:rPr>
          <w:rFonts w:ascii="Lucida Sans Unicode" w:eastAsia="Times New Roman" w:hAnsi="Lucida Sans Unicode" w:cs="Lucida Sans Unicode"/>
          <w:color w:val="333333"/>
          <w:kern w:val="0"/>
          <w:sz w:val="20"/>
          <w:szCs w:val="20"/>
          <w14:ligatures w14:val="none"/>
        </w:rPr>
        <w:t> </w:t>
      </w:r>
      <w:r w:rsidRPr="00976387">
        <w:rPr>
          <w:rFonts w:ascii="Lucida Sans Unicode" w:eastAsia="Times New Roman" w:hAnsi="Lucida Sans Unicode" w:cs="Lucida Sans Unicode"/>
          <w:noProof/>
          <w:color w:val="BB0000"/>
          <w:kern w:val="0"/>
          <w:sz w:val="20"/>
          <w:szCs w:val="20"/>
          <w14:ligatures w14:val="none"/>
        </w:rPr>
        <w:drawing>
          <wp:inline distT="0" distB="0" distL="0" distR="0" wp14:anchorId="2F9C2B38" wp14:editId="1532DC49">
            <wp:extent cx="1821180" cy="1958340"/>
            <wp:effectExtent l="0" t="0" r="7620" b="3810"/>
            <wp:docPr id="31" name="Picture 24">
              <a:hlinkClick xmlns:a="http://schemas.openxmlformats.org/drawingml/2006/main" r:id="rId2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a:hlinkClick r:id="rId21"/>
                    </pic:cNvPr>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821180" cy="1958340"/>
                    </a:xfrm>
                    <a:prstGeom prst="rect">
                      <a:avLst/>
                    </a:prstGeom>
                    <a:noFill/>
                    <a:ln>
                      <a:noFill/>
                    </a:ln>
                  </pic:spPr>
                </pic:pic>
              </a:graphicData>
            </a:graphic>
          </wp:inline>
        </w:drawing>
      </w:r>
      <w:r w:rsidRPr="00976387">
        <w:rPr>
          <w:rFonts w:ascii="Lucida Sans Unicode" w:eastAsia="Times New Roman" w:hAnsi="Lucida Sans Unicode" w:cs="Lucida Sans Unicode"/>
          <w:color w:val="333333"/>
          <w:kern w:val="0"/>
          <w:sz w:val="20"/>
          <w:szCs w:val="20"/>
          <w14:ligatures w14:val="none"/>
        </w:rPr>
        <w:t> </w:t>
      </w:r>
      <w:r w:rsidRPr="00976387">
        <w:rPr>
          <w:rFonts w:ascii="Lucida Sans Unicode" w:eastAsia="Times New Roman" w:hAnsi="Lucida Sans Unicode" w:cs="Lucida Sans Unicode"/>
          <w:noProof/>
          <w:color w:val="BB0000"/>
          <w:kern w:val="0"/>
          <w:sz w:val="20"/>
          <w:szCs w:val="20"/>
          <w14:ligatures w14:val="none"/>
        </w:rPr>
        <w:drawing>
          <wp:inline distT="0" distB="0" distL="0" distR="0" wp14:anchorId="5B39A74C" wp14:editId="4DD3F316">
            <wp:extent cx="1874520" cy="1958340"/>
            <wp:effectExtent l="0" t="0" r="0" b="3810"/>
            <wp:docPr id="32" name="Picture 23">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a:hlinkClick r:id="rId23"/>
                    </pic:cNvPr>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874520" cy="1958340"/>
                    </a:xfrm>
                    <a:prstGeom prst="rect">
                      <a:avLst/>
                    </a:prstGeom>
                    <a:noFill/>
                    <a:ln>
                      <a:noFill/>
                    </a:ln>
                  </pic:spPr>
                </pic:pic>
              </a:graphicData>
            </a:graphic>
          </wp:inline>
        </w:drawing>
      </w:r>
    </w:p>
    <w:p w14:paraId="544E5B1F" w14:textId="77777777" w:rsidR="00976387" w:rsidRPr="00976387" w:rsidRDefault="00976387" w:rsidP="00976387">
      <w:p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color w:val="333333"/>
          <w:kern w:val="0"/>
          <w:sz w:val="20"/>
          <w:szCs w:val="20"/>
          <w14:ligatures w14:val="none"/>
        </w:rPr>
        <w:t>The changes observed are characteristic radiological markers appreciated on DWI, indicative of cytotoxic edema. The DWI changes are considered reliable early signs of acute toxic encephalopathy, specifically methotrexate-related leukoencephalopathy. Post-contrast MR images did not show any abnormal contrast enhancement.</w:t>
      </w:r>
    </w:p>
    <w:p w14:paraId="5D0A92D2" w14:textId="77777777" w:rsidR="00976387" w:rsidRPr="00976387" w:rsidRDefault="00976387" w:rsidP="00976387">
      <w:p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b/>
          <w:bCs/>
          <w:color w:val="333333"/>
          <w:kern w:val="0"/>
          <w:sz w:val="20"/>
          <w:szCs w:val="20"/>
          <w14:ligatures w14:val="none"/>
        </w:rPr>
        <w:t>Picture 4.</w:t>
      </w:r>
    </w:p>
    <w:p w14:paraId="79AF64F7" w14:textId="77777777" w:rsidR="00976387" w:rsidRPr="00976387" w:rsidRDefault="00976387" w:rsidP="00976387">
      <w:p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noProof/>
          <w:color w:val="BB0000"/>
          <w:kern w:val="0"/>
          <w:sz w:val="20"/>
          <w:szCs w:val="20"/>
          <w14:ligatures w14:val="none"/>
        </w:rPr>
        <w:lastRenderedPageBreak/>
        <w:drawing>
          <wp:inline distT="0" distB="0" distL="0" distR="0" wp14:anchorId="57218315" wp14:editId="3BAEB2A4">
            <wp:extent cx="5021580" cy="4648200"/>
            <wp:effectExtent l="0" t="0" r="7620" b="0"/>
            <wp:docPr id="33" name="Picture 22">
              <a:hlinkClick xmlns:a="http://schemas.openxmlformats.org/drawingml/2006/main" r:id="rId2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a:hlinkClick r:id="rId25"/>
                    </pic:cNvPr>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021580" cy="4648200"/>
                    </a:xfrm>
                    <a:prstGeom prst="rect">
                      <a:avLst/>
                    </a:prstGeom>
                    <a:noFill/>
                    <a:ln>
                      <a:noFill/>
                    </a:ln>
                  </pic:spPr>
                </pic:pic>
              </a:graphicData>
            </a:graphic>
          </wp:inline>
        </w:drawing>
      </w:r>
    </w:p>
    <w:p w14:paraId="58C16066" w14:textId="77777777" w:rsidR="00976387" w:rsidRPr="00976387" w:rsidRDefault="00976387" w:rsidP="00976387">
      <w:pPr>
        <w:spacing w:before="100" w:beforeAutospacing="1" w:after="100" w:afterAutospacing="1" w:line="240" w:lineRule="auto"/>
        <w:outlineLvl w:val="2"/>
        <w:rPr>
          <w:rFonts w:ascii="Lucida Sans Unicode" w:eastAsia="Times New Roman" w:hAnsi="Lucida Sans Unicode" w:cs="Lucida Sans Unicode"/>
          <w:b/>
          <w:bCs/>
          <w:color w:val="000000"/>
          <w:kern w:val="0"/>
          <w:sz w:val="27"/>
          <w:szCs w:val="27"/>
          <w14:ligatures w14:val="none"/>
        </w:rPr>
      </w:pPr>
      <w:r w:rsidRPr="00976387">
        <w:rPr>
          <w:rFonts w:ascii="Lucida Sans Unicode" w:eastAsia="Times New Roman" w:hAnsi="Lucida Sans Unicode" w:cs="Lucida Sans Unicode"/>
          <w:b/>
          <w:bCs/>
          <w:color w:val="000000"/>
          <w:kern w:val="0"/>
          <w:sz w:val="27"/>
          <w:szCs w:val="27"/>
          <w14:ligatures w14:val="none"/>
        </w:rPr>
        <w:t>Discussion</w:t>
      </w:r>
    </w:p>
    <w:p w14:paraId="0D9C0EE3" w14:textId="77777777" w:rsidR="00976387" w:rsidRPr="00976387" w:rsidRDefault="00976387" w:rsidP="00976387">
      <w:p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color w:val="333333"/>
          <w:kern w:val="0"/>
          <w:sz w:val="20"/>
          <w:szCs w:val="20"/>
          <w14:ligatures w14:val="none"/>
        </w:rPr>
        <w:t>Methotrexate (MTX) is a cornerstone chemotherapeutic agent used in the treatment of various malignancies, including Burkitt lymphoma. While effective, MTX is associated with several adverse effects, one of the most severe being methotrexate-related leukoencephalopathy (MTX-LE) (5). This case report highlights the radiological findings of MTX-LE in a pediatric patient diagnosed with Burkitt lymphoma, presenting with an abdominal manifestation and subsequently developing neurological symptoms.</w:t>
      </w:r>
    </w:p>
    <w:p w14:paraId="36F3C82C" w14:textId="77777777" w:rsidR="00976387" w:rsidRPr="00976387" w:rsidRDefault="00976387" w:rsidP="00976387">
      <w:pPr>
        <w:spacing w:before="100" w:beforeAutospacing="1" w:after="100" w:afterAutospacing="1" w:line="240" w:lineRule="auto"/>
        <w:outlineLvl w:val="2"/>
        <w:rPr>
          <w:rFonts w:ascii="Lucida Sans Unicode" w:eastAsia="Times New Roman" w:hAnsi="Lucida Sans Unicode" w:cs="Lucida Sans Unicode"/>
          <w:b/>
          <w:bCs/>
          <w:color w:val="000000"/>
          <w:kern w:val="0"/>
          <w:sz w:val="27"/>
          <w:szCs w:val="27"/>
          <w14:ligatures w14:val="none"/>
        </w:rPr>
      </w:pPr>
      <w:r w:rsidRPr="00976387">
        <w:rPr>
          <w:rFonts w:ascii="Lucida Sans Unicode" w:eastAsia="Times New Roman" w:hAnsi="Lucida Sans Unicode" w:cs="Lucida Sans Unicode"/>
          <w:b/>
          <w:bCs/>
          <w:color w:val="000000"/>
          <w:kern w:val="0"/>
          <w:sz w:val="27"/>
          <w:szCs w:val="27"/>
          <w14:ligatures w14:val="none"/>
        </w:rPr>
        <w:t>Radiological Findings</w:t>
      </w:r>
    </w:p>
    <w:p w14:paraId="4153122E" w14:textId="77777777" w:rsidR="00976387" w:rsidRPr="00976387" w:rsidRDefault="00976387" w:rsidP="00976387">
      <w:p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color w:val="333333"/>
          <w:kern w:val="0"/>
          <w:sz w:val="20"/>
          <w:szCs w:val="20"/>
          <w14:ligatures w14:val="none"/>
        </w:rPr>
        <w:t>MRI is instrumental in the early detection and evaluation of MTX-LE. In our case, MRI of the brain revealed the following key features:</w:t>
      </w:r>
    </w:p>
    <w:p w14:paraId="2AED5284" w14:textId="77777777" w:rsidR="00976387" w:rsidRPr="00976387" w:rsidRDefault="00976387" w:rsidP="00976387">
      <w:p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color w:val="333333"/>
          <w:kern w:val="0"/>
          <w:sz w:val="20"/>
          <w:szCs w:val="20"/>
          <w14:ligatures w14:val="none"/>
        </w:rPr>
        <w:t xml:space="preserve">Bilateral Occipital Dominant Subcortical Hyperintense Zones: These areas were evident on T2-weighted and FLAIR sequences, indicating diffuse cerebral involvement. The predilection for the </w:t>
      </w:r>
      <w:r w:rsidRPr="00976387">
        <w:rPr>
          <w:rFonts w:ascii="Lucida Sans Unicode" w:eastAsia="Times New Roman" w:hAnsi="Lucida Sans Unicode" w:cs="Lucida Sans Unicode"/>
          <w:color w:val="333333"/>
          <w:kern w:val="0"/>
          <w:sz w:val="20"/>
          <w:szCs w:val="20"/>
          <w14:ligatures w14:val="none"/>
        </w:rPr>
        <w:lastRenderedPageBreak/>
        <w:t>occipital region was consistent with reported cases of MTX-LE, which often presents with symmetric white matter changes.</w:t>
      </w:r>
    </w:p>
    <w:p w14:paraId="6D8369B1" w14:textId="77777777" w:rsidR="00976387" w:rsidRPr="00976387" w:rsidRDefault="00976387" w:rsidP="00976387">
      <w:p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color w:val="333333"/>
          <w:kern w:val="0"/>
          <w:sz w:val="20"/>
          <w:szCs w:val="20"/>
          <w14:ligatures w14:val="none"/>
        </w:rPr>
        <w:t>Edema and Cytotoxic Edema: The superior parietal lobes showed suspected zones of cytotoxic edema. This was further supported by the presence of diffusion-weighted imaging (DWI) changes, characterized by restricted diffusion, a hallmark of cytotoxic edema. These findings align with the pathophysiology of MTX-LE, where MTX-induced neuronal damage leads to cellular swelling and subsequent restricted diffusion.</w:t>
      </w:r>
    </w:p>
    <w:p w14:paraId="657AA00A" w14:textId="77777777" w:rsidR="00976387" w:rsidRPr="00976387" w:rsidRDefault="00976387" w:rsidP="00976387">
      <w:p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color w:val="333333"/>
          <w:kern w:val="0"/>
          <w:sz w:val="20"/>
          <w:szCs w:val="20"/>
          <w14:ligatures w14:val="none"/>
        </w:rPr>
        <w:t xml:space="preserve">Supraventricular and Frontal Gyrus Involvement: High signal intensities on T2 and FLAIR sequences were noted in the centrum </w:t>
      </w:r>
      <w:proofErr w:type="spellStart"/>
      <w:r w:rsidRPr="00976387">
        <w:rPr>
          <w:rFonts w:ascii="Lucida Sans Unicode" w:eastAsia="Times New Roman" w:hAnsi="Lucida Sans Unicode" w:cs="Lucida Sans Unicode"/>
          <w:color w:val="333333"/>
          <w:kern w:val="0"/>
          <w:sz w:val="20"/>
          <w:szCs w:val="20"/>
          <w14:ligatures w14:val="none"/>
        </w:rPr>
        <w:t>semiovale</w:t>
      </w:r>
      <w:proofErr w:type="spellEnd"/>
      <w:r w:rsidRPr="00976387">
        <w:rPr>
          <w:rFonts w:ascii="Lucida Sans Unicode" w:eastAsia="Times New Roman" w:hAnsi="Lucida Sans Unicode" w:cs="Lucida Sans Unicode"/>
          <w:color w:val="333333"/>
          <w:kern w:val="0"/>
          <w:sz w:val="20"/>
          <w:szCs w:val="20"/>
          <w14:ligatures w14:val="none"/>
        </w:rPr>
        <w:t>, right of the corpus callosum body, and bilaterally in the frontal gyrus, without diffusion restriction. This suggests early involvement before the development of significant cytotoxic damage.</w:t>
      </w:r>
    </w:p>
    <w:p w14:paraId="2C5A7979" w14:textId="77777777" w:rsidR="00976387" w:rsidRPr="00976387" w:rsidRDefault="00976387" w:rsidP="00976387">
      <w:p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color w:val="333333"/>
          <w:kern w:val="0"/>
          <w:sz w:val="20"/>
          <w:szCs w:val="20"/>
          <w14:ligatures w14:val="none"/>
        </w:rPr>
        <w:t>Cortico-Subcortical Lesion in the Left Superior Temporal Lobe: This region exhibited cytotoxic edema with restricted diffusion, underscoring the multifocal nature of MTX-LE. The involvement of both cortical and subcortical areas is a typical feature in severe cases of MTX-LE.</w:t>
      </w:r>
    </w:p>
    <w:p w14:paraId="25F2E8A1" w14:textId="77777777" w:rsidR="00976387" w:rsidRPr="00976387" w:rsidRDefault="00976387" w:rsidP="00976387">
      <w:p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color w:val="333333"/>
          <w:kern w:val="0"/>
          <w:sz w:val="20"/>
          <w:szCs w:val="20"/>
          <w14:ligatures w14:val="none"/>
        </w:rPr>
        <w:t>When encountering MRI findings suggestive of methotrexate-related leukoencephalopathy (MTX-LE), it’s essential to consider a broad range of differential diagnoses to ensure accurate diagnosis and appropriate management. Potential alternative explanation for similar radiological findings is </w:t>
      </w:r>
      <w:r w:rsidRPr="00976387">
        <w:rPr>
          <w:rFonts w:ascii="Lucida Sans Unicode" w:eastAsia="Times New Roman" w:hAnsi="Lucida Sans Unicode" w:cs="Lucida Sans Unicode"/>
          <w:b/>
          <w:bCs/>
          <w:color w:val="333333"/>
          <w:kern w:val="0"/>
          <w:sz w:val="20"/>
          <w:szCs w:val="20"/>
          <w14:ligatures w14:val="none"/>
        </w:rPr>
        <w:t>Posterior Reversible Encephalopathy Syndrome (PRES)</w:t>
      </w:r>
      <w:r w:rsidRPr="00976387">
        <w:rPr>
          <w:rFonts w:ascii="Lucida Sans Unicode" w:eastAsia="Times New Roman" w:hAnsi="Lucida Sans Unicode" w:cs="Lucida Sans Unicode"/>
          <w:color w:val="333333"/>
          <w:kern w:val="0"/>
          <w:sz w:val="20"/>
          <w:szCs w:val="20"/>
          <w14:ligatures w14:val="none"/>
        </w:rPr>
        <w:t>. Although PRES typically manifests with posterior cerebral involvement, an atypical presentation may involve predominantly anterior regions. Awareness of these uncommon presentations is crucial for accurate diagnosis and appropriate management of PRES (6).</w:t>
      </w:r>
    </w:p>
    <w:p w14:paraId="72D341E0" w14:textId="77777777" w:rsidR="00976387" w:rsidRPr="00976387" w:rsidRDefault="00976387" w:rsidP="00976387">
      <w:pPr>
        <w:spacing w:before="100" w:beforeAutospacing="1" w:after="100" w:afterAutospacing="1" w:line="240" w:lineRule="auto"/>
        <w:outlineLvl w:val="2"/>
        <w:rPr>
          <w:rFonts w:ascii="Lucida Sans Unicode" w:eastAsia="Times New Roman" w:hAnsi="Lucida Sans Unicode" w:cs="Lucida Sans Unicode"/>
          <w:b/>
          <w:bCs/>
          <w:color w:val="000000"/>
          <w:kern w:val="0"/>
          <w:sz w:val="27"/>
          <w:szCs w:val="27"/>
          <w14:ligatures w14:val="none"/>
        </w:rPr>
      </w:pPr>
      <w:r w:rsidRPr="00976387">
        <w:rPr>
          <w:rFonts w:ascii="Lucida Sans Unicode" w:eastAsia="Times New Roman" w:hAnsi="Lucida Sans Unicode" w:cs="Lucida Sans Unicode"/>
          <w:b/>
          <w:bCs/>
          <w:color w:val="000000"/>
          <w:kern w:val="0"/>
          <w:sz w:val="27"/>
          <w:szCs w:val="27"/>
          <w14:ligatures w14:val="none"/>
        </w:rPr>
        <w:t>Clinical Implications</w:t>
      </w:r>
    </w:p>
    <w:p w14:paraId="2D9322F7" w14:textId="77777777" w:rsidR="00976387" w:rsidRPr="00976387" w:rsidRDefault="00976387" w:rsidP="00976387">
      <w:p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color w:val="333333"/>
          <w:kern w:val="0"/>
          <w:sz w:val="20"/>
          <w:szCs w:val="20"/>
          <w14:ligatures w14:val="none"/>
        </w:rPr>
        <w:t>The early identification of MTX-LE is critical for timely intervention. The presence of characteristic DWI changes, even in the absence of clinical symptoms, should prompt consideration of MTX-LE (7). In this case, the patient’s neurological deterioration and convulsions underscored the need for immediate imaging and clinical intervention. The absence of abnormal contrast enhancement on post-contrast MR images suggests that MTX-LE can present without blood-brain barrier disruption, further complicating diagnosis without advanced imaging modalities.</w:t>
      </w:r>
    </w:p>
    <w:p w14:paraId="00B1297D" w14:textId="77777777" w:rsidR="00976387" w:rsidRPr="00976387" w:rsidRDefault="00976387" w:rsidP="00976387">
      <w:pPr>
        <w:spacing w:before="100" w:beforeAutospacing="1" w:after="100" w:afterAutospacing="1" w:line="240" w:lineRule="auto"/>
        <w:outlineLvl w:val="2"/>
        <w:rPr>
          <w:rFonts w:ascii="Lucida Sans Unicode" w:eastAsia="Times New Roman" w:hAnsi="Lucida Sans Unicode" w:cs="Lucida Sans Unicode"/>
          <w:b/>
          <w:bCs/>
          <w:color w:val="000000"/>
          <w:kern w:val="0"/>
          <w:sz w:val="27"/>
          <w:szCs w:val="27"/>
          <w14:ligatures w14:val="none"/>
        </w:rPr>
      </w:pPr>
      <w:r w:rsidRPr="00976387">
        <w:rPr>
          <w:rFonts w:ascii="Lucida Sans Unicode" w:eastAsia="Times New Roman" w:hAnsi="Lucida Sans Unicode" w:cs="Lucida Sans Unicode"/>
          <w:b/>
          <w:bCs/>
          <w:color w:val="000000"/>
          <w:kern w:val="0"/>
          <w:sz w:val="27"/>
          <w:szCs w:val="27"/>
          <w14:ligatures w14:val="none"/>
        </w:rPr>
        <w:t>Pathophysiology</w:t>
      </w:r>
    </w:p>
    <w:p w14:paraId="27914607" w14:textId="77777777" w:rsidR="00976387" w:rsidRPr="00976387" w:rsidRDefault="00976387" w:rsidP="00976387">
      <w:p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color w:val="333333"/>
          <w:kern w:val="0"/>
          <w:sz w:val="20"/>
          <w:szCs w:val="20"/>
          <w14:ligatures w14:val="none"/>
        </w:rPr>
        <w:t xml:space="preserve">MTX-LE is believed to result from direct toxic effects on oligodendrocytes and myelin sheaths, disruption of folate metabolism, and excitotoxicity mediated by homocysteine accumulation. The resultant demyelination and white matter necrosis lead to the observed radiological </w:t>
      </w:r>
      <w:r w:rsidRPr="00976387">
        <w:rPr>
          <w:rFonts w:ascii="Lucida Sans Unicode" w:eastAsia="Times New Roman" w:hAnsi="Lucida Sans Unicode" w:cs="Lucida Sans Unicode"/>
          <w:color w:val="333333"/>
          <w:kern w:val="0"/>
          <w:sz w:val="20"/>
          <w:szCs w:val="20"/>
          <w14:ligatures w14:val="none"/>
        </w:rPr>
        <w:lastRenderedPageBreak/>
        <w:t>changes. The predilection for the periventricular white matter, as seen in this case, is characteristic of MTX-induced neurotoxicity.</w:t>
      </w:r>
    </w:p>
    <w:p w14:paraId="0B383511" w14:textId="77777777" w:rsidR="00976387" w:rsidRPr="00976387" w:rsidRDefault="00976387" w:rsidP="00976387">
      <w:pPr>
        <w:spacing w:before="100" w:beforeAutospacing="1" w:after="100" w:afterAutospacing="1" w:line="240" w:lineRule="auto"/>
        <w:outlineLvl w:val="2"/>
        <w:rPr>
          <w:rFonts w:ascii="Lucida Sans Unicode" w:eastAsia="Times New Roman" w:hAnsi="Lucida Sans Unicode" w:cs="Lucida Sans Unicode"/>
          <w:b/>
          <w:bCs/>
          <w:color w:val="000000"/>
          <w:kern w:val="0"/>
          <w:sz w:val="27"/>
          <w:szCs w:val="27"/>
          <w14:ligatures w14:val="none"/>
        </w:rPr>
      </w:pPr>
      <w:r w:rsidRPr="00976387">
        <w:rPr>
          <w:rFonts w:ascii="Lucida Sans Unicode" w:eastAsia="Times New Roman" w:hAnsi="Lucida Sans Unicode" w:cs="Lucida Sans Unicode"/>
          <w:b/>
          <w:bCs/>
          <w:color w:val="000000"/>
          <w:kern w:val="0"/>
          <w:sz w:val="27"/>
          <w:szCs w:val="27"/>
          <w14:ligatures w14:val="none"/>
        </w:rPr>
        <w:t>Management and Prognosis</w:t>
      </w:r>
    </w:p>
    <w:p w14:paraId="065886D6" w14:textId="77777777" w:rsidR="00976387" w:rsidRPr="00976387" w:rsidRDefault="00976387" w:rsidP="00976387">
      <w:p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color w:val="333333"/>
          <w:kern w:val="0"/>
          <w:sz w:val="20"/>
          <w:szCs w:val="20"/>
          <w14:ligatures w14:val="none"/>
        </w:rPr>
        <w:t>Upon diagnosis of MTX-LE, the immediate cessation of MTX is recommended, along with supportive care and consideration of alternative chemotherapeutic regimens (8). The prognosis of MTX-LE varies, with some patients experiencing partial or complete recovery, while others may suffer from persistent neurological deficits (9). Early detection, as highlighted in this case, is crucial for improving outcomes. The timing of a follow-up MRI is crucial for monitoring the progression or resolution of neurotoxicity and for guiding further treatment. Here are the general recommendations for follow-up MRI:</w:t>
      </w:r>
    </w:p>
    <w:p w14:paraId="0D397DAD" w14:textId="77777777" w:rsidR="00976387" w:rsidRPr="00976387" w:rsidRDefault="00976387" w:rsidP="00976387">
      <w:p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b/>
          <w:bCs/>
          <w:color w:val="333333"/>
          <w:kern w:val="0"/>
          <w:sz w:val="20"/>
          <w:szCs w:val="20"/>
          <w14:ligatures w14:val="none"/>
        </w:rPr>
        <w:t>Immediate Follow-Up</w:t>
      </w:r>
    </w:p>
    <w:p w14:paraId="7196FAF9" w14:textId="77777777" w:rsidR="00976387" w:rsidRPr="00976387" w:rsidRDefault="00976387" w:rsidP="00976387">
      <w:p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b/>
          <w:bCs/>
          <w:color w:val="333333"/>
          <w:kern w:val="0"/>
          <w:sz w:val="20"/>
          <w:szCs w:val="20"/>
          <w14:ligatures w14:val="none"/>
        </w:rPr>
        <w:t>Initial Follow-Up MRI</w:t>
      </w:r>
      <w:r w:rsidRPr="00976387">
        <w:rPr>
          <w:rFonts w:ascii="Lucida Sans Unicode" w:eastAsia="Times New Roman" w:hAnsi="Lucida Sans Unicode" w:cs="Lucida Sans Unicode"/>
          <w:color w:val="333333"/>
          <w:kern w:val="0"/>
          <w:sz w:val="20"/>
          <w:szCs w:val="20"/>
          <w14:ligatures w14:val="none"/>
        </w:rPr>
        <w:t>: Typically recommended within 2 to 4 weeks after the initial diagnosis of MTX-LE. This helps to assess the progression or improvement of the lesions observed in the initial MRI and to evaluate the effectiveness of any interventions that have been initiated.</w:t>
      </w:r>
    </w:p>
    <w:p w14:paraId="48270F97" w14:textId="77777777" w:rsidR="00976387" w:rsidRPr="00976387" w:rsidRDefault="00976387" w:rsidP="00976387">
      <w:p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b/>
          <w:bCs/>
          <w:color w:val="333333"/>
          <w:kern w:val="0"/>
          <w:sz w:val="20"/>
          <w:szCs w:val="20"/>
          <w14:ligatures w14:val="none"/>
        </w:rPr>
        <w:t>Mid-Term Follow-Up</w:t>
      </w:r>
    </w:p>
    <w:p w14:paraId="1D8DF018" w14:textId="77777777" w:rsidR="00976387" w:rsidRPr="00976387" w:rsidRDefault="00976387" w:rsidP="00976387">
      <w:p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b/>
          <w:bCs/>
          <w:color w:val="333333"/>
          <w:kern w:val="0"/>
          <w:sz w:val="20"/>
          <w:szCs w:val="20"/>
          <w14:ligatures w14:val="none"/>
        </w:rPr>
        <w:t>Subsequent MRI</w:t>
      </w:r>
      <w:r w:rsidRPr="00976387">
        <w:rPr>
          <w:rFonts w:ascii="Lucida Sans Unicode" w:eastAsia="Times New Roman" w:hAnsi="Lucida Sans Unicode" w:cs="Lucida Sans Unicode"/>
          <w:color w:val="333333"/>
          <w:kern w:val="0"/>
          <w:sz w:val="20"/>
          <w:szCs w:val="20"/>
          <w14:ligatures w14:val="none"/>
        </w:rPr>
        <w:t>: Depending on the findings of the initial follow-up MRI, a subsequent MRI might be performed every 1 to 3 months. The exact interval can be adjusted based on clinical symptoms, changes observed in previous imaging and the patient’s overall neurological status.</w:t>
      </w:r>
    </w:p>
    <w:p w14:paraId="69409332" w14:textId="77777777" w:rsidR="00976387" w:rsidRPr="00976387" w:rsidRDefault="00976387" w:rsidP="00976387">
      <w:p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b/>
          <w:bCs/>
          <w:color w:val="333333"/>
          <w:kern w:val="0"/>
          <w:sz w:val="20"/>
          <w:szCs w:val="20"/>
          <w14:ligatures w14:val="none"/>
        </w:rPr>
        <w:t>Long-Term Follow-Up</w:t>
      </w:r>
    </w:p>
    <w:p w14:paraId="6D5BD421" w14:textId="77777777" w:rsidR="00976387" w:rsidRPr="00976387" w:rsidRDefault="00976387" w:rsidP="00976387">
      <w:p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b/>
          <w:bCs/>
          <w:color w:val="333333"/>
          <w:kern w:val="0"/>
          <w:sz w:val="20"/>
          <w:szCs w:val="20"/>
          <w14:ligatures w14:val="none"/>
        </w:rPr>
        <w:t>Long-Term Monitoring</w:t>
      </w:r>
      <w:r w:rsidRPr="00976387">
        <w:rPr>
          <w:rFonts w:ascii="Lucida Sans Unicode" w:eastAsia="Times New Roman" w:hAnsi="Lucida Sans Unicode" w:cs="Lucida Sans Unicode"/>
          <w:color w:val="333333"/>
          <w:kern w:val="0"/>
          <w:sz w:val="20"/>
          <w:szCs w:val="20"/>
          <w14:ligatures w14:val="none"/>
        </w:rPr>
        <w:t>: After stabilization or improvement of the acute phase, MRI may be recommended every 6 to 12 months to monitor for any late-onset neurotoxicity or chronic changes, especially if the patient continues to receive chemotherapy or other neurotoxic treatments.</w:t>
      </w:r>
    </w:p>
    <w:p w14:paraId="76E5F690" w14:textId="77777777" w:rsidR="00976387" w:rsidRPr="00976387" w:rsidRDefault="00976387" w:rsidP="00976387">
      <w:p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b/>
          <w:bCs/>
          <w:color w:val="333333"/>
          <w:kern w:val="0"/>
          <w:sz w:val="20"/>
          <w:szCs w:val="20"/>
          <w14:ligatures w14:val="none"/>
        </w:rPr>
        <w:t>Clinical Triggers for MRI</w:t>
      </w:r>
    </w:p>
    <w:p w14:paraId="6F30E6D3" w14:textId="77777777" w:rsidR="00976387" w:rsidRPr="00976387" w:rsidRDefault="00976387" w:rsidP="00976387">
      <w:p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b/>
          <w:bCs/>
          <w:color w:val="333333"/>
          <w:kern w:val="0"/>
          <w:sz w:val="20"/>
          <w:szCs w:val="20"/>
          <w14:ligatures w14:val="none"/>
        </w:rPr>
        <w:t>Worsening Symptoms</w:t>
      </w:r>
      <w:r w:rsidRPr="00976387">
        <w:rPr>
          <w:rFonts w:ascii="Lucida Sans Unicode" w:eastAsia="Times New Roman" w:hAnsi="Lucida Sans Unicode" w:cs="Lucida Sans Unicode"/>
          <w:color w:val="333333"/>
          <w:kern w:val="0"/>
          <w:sz w:val="20"/>
          <w:szCs w:val="20"/>
          <w14:ligatures w14:val="none"/>
        </w:rPr>
        <w:t>: Any new or worsening neurological symptoms, such as seizures, cognitive changes or motor deficits, should prompt an immediate MRI to rule out new or worsening leukoencephalopathy.</w:t>
      </w:r>
    </w:p>
    <w:p w14:paraId="421417E0" w14:textId="77777777" w:rsidR="00976387" w:rsidRPr="00976387" w:rsidRDefault="00976387" w:rsidP="00976387">
      <w:p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b/>
          <w:bCs/>
          <w:color w:val="333333"/>
          <w:kern w:val="0"/>
          <w:sz w:val="20"/>
          <w:szCs w:val="20"/>
          <w14:ligatures w14:val="none"/>
        </w:rPr>
        <w:t>Reinitiation of MTX</w:t>
      </w:r>
      <w:r w:rsidRPr="00976387">
        <w:rPr>
          <w:rFonts w:ascii="Lucida Sans Unicode" w:eastAsia="Times New Roman" w:hAnsi="Lucida Sans Unicode" w:cs="Lucida Sans Unicode"/>
          <w:color w:val="333333"/>
          <w:kern w:val="0"/>
          <w:sz w:val="20"/>
          <w:szCs w:val="20"/>
          <w14:ligatures w14:val="none"/>
        </w:rPr>
        <w:t>: If methotrexate therapy is reinitiated or modified, it may be prudent to perform an MRI before restarting and then at intervals during treatment to monitor for recurrence of neurotoxicity.</w:t>
      </w:r>
    </w:p>
    <w:p w14:paraId="17E4C385" w14:textId="77777777" w:rsidR="00976387" w:rsidRPr="00976387" w:rsidRDefault="00976387" w:rsidP="00976387">
      <w:pPr>
        <w:spacing w:before="100" w:beforeAutospacing="1" w:after="100" w:afterAutospacing="1" w:line="240" w:lineRule="auto"/>
        <w:outlineLvl w:val="2"/>
        <w:rPr>
          <w:rFonts w:ascii="Lucida Sans Unicode" w:eastAsia="Times New Roman" w:hAnsi="Lucida Sans Unicode" w:cs="Lucida Sans Unicode"/>
          <w:b/>
          <w:bCs/>
          <w:color w:val="000000"/>
          <w:kern w:val="0"/>
          <w:sz w:val="27"/>
          <w:szCs w:val="27"/>
          <w14:ligatures w14:val="none"/>
        </w:rPr>
      </w:pPr>
      <w:r w:rsidRPr="00976387">
        <w:rPr>
          <w:rFonts w:ascii="Lucida Sans Unicode" w:eastAsia="Times New Roman" w:hAnsi="Lucida Sans Unicode" w:cs="Lucida Sans Unicode"/>
          <w:b/>
          <w:bCs/>
          <w:color w:val="000000"/>
          <w:kern w:val="0"/>
          <w:sz w:val="27"/>
          <w:szCs w:val="27"/>
          <w14:ligatures w14:val="none"/>
        </w:rPr>
        <w:lastRenderedPageBreak/>
        <w:t>Conclusion</w:t>
      </w:r>
    </w:p>
    <w:p w14:paraId="3E2D824F" w14:textId="77777777" w:rsidR="00976387" w:rsidRPr="00976387" w:rsidRDefault="00976387" w:rsidP="00976387">
      <w:p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color w:val="333333"/>
          <w:kern w:val="0"/>
          <w:sz w:val="20"/>
          <w:szCs w:val="20"/>
          <w14:ligatures w14:val="none"/>
        </w:rPr>
        <w:t>This case underscores the importance of vigilance for neurological symptoms in pediatric patients undergoing MTX therapy for Burkitt lymphoma. MRI, particularly DWI, plays a pivotal role in the early detection of MTX-LE. Recognizing the characteristic radiological markers can facilitate prompt diagnosis and intervention, potentially mitigating the severe neurological sequelae associated with this condition. Future studies are needed to further elucidate the pathophysiology of MTX-LE, and optimize management strategies for affected patients.</w:t>
      </w:r>
    </w:p>
    <w:p w14:paraId="72ECE4FE" w14:textId="77777777" w:rsidR="00976387" w:rsidRPr="00976387" w:rsidRDefault="00976387" w:rsidP="00976387">
      <w:p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color w:val="333333"/>
          <w:kern w:val="0"/>
          <w:sz w:val="20"/>
          <w:szCs w:val="20"/>
          <w14:ligatures w14:val="none"/>
        </w:rPr>
        <w:t> </w:t>
      </w:r>
    </w:p>
    <w:p w14:paraId="0519CB61" w14:textId="77777777" w:rsidR="00976387" w:rsidRPr="00976387" w:rsidRDefault="00976387" w:rsidP="00976387">
      <w:p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color w:val="333333"/>
          <w:kern w:val="0"/>
          <w:sz w:val="20"/>
          <w:szCs w:val="20"/>
          <w14:ligatures w14:val="none"/>
        </w:rPr>
        <w:t>REFERENCES</w:t>
      </w:r>
    </w:p>
    <w:p w14:paraId="499BF951" w14:textId="77777777" w:rsidR="00976387" w:rsidRPr="00976387" w:rsidRDefault="00976387" w:rsidP="00976387">
      <w:pPr>
        <w:numPr>
          <w:ilvl w:val="0"/>
          <w:numId w:val="2"/>
        </w:num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color w:val="333333"/>
          <w:kern w:val="0"/>
          <w:sz w:val="20"/>
          <w:szCs w:val="20"/>
          <w14:ligatures w14:val="none"/>
        </w:rPr>
        <w:t>Walling J: </w:t>
      </w:r>
      <w:hyperlink r:id="rId27" w:history="1">
        <w:r w:rsidRPr="00976387">
          <w:rPr>
            <w:rFonts w:ascii="Lucida Sans Unicode" w:eastAsia="Times New Roman" w:hAnsi="Lucida Sans Unicode" w:cs="Lucida Sans Unicode"/>
            <w:color w:val="BB0000"/>
            <w:kern w:val="0"/>
            <w:sz w:val="20"/>
            <w:szCs w:val="20"/>
            <w:u w:val="single"/>
            <w14:ligatures w14:val="none"/>
          </w:rPr>
          <w:t>From methotrexate to pemetrexed and beyond. review of the pharmacodynamic and clinical properties of antifolates</w:t>
        </w:r>
      </w:hyperlink>
      <w:r w:rsidRPr="00976387">
        <w:rPr>
          <w:rFonts w:ascii="Lucida Sans Unicode" w:eastAsia="Times New Roman" w:hAnsi="Lucida Sans Unicode" w:cs="Lucida Sans Unicode"/>
          <w:color w:val="333333"/>
          <w:kern w:val="0"/>
          <w:sz w:val="20"/>
          <w:szCs w:val="20"/>
          <w14:ligatures w14:val="none"/>
        </w:rPr>
        <w:t>. Invest New Drugs. 2006, 24:37-77. </w:t>
      </w:r>
      <w:hyperlink r:id="rId28" w:history="1">
        <w:r w:rsidRPr="00976387">
          <w:rPr>
            <w:rFonts w:ascii="Lucida Sans Unicode" w:eastAsia="Times New Roman" w:hAnsi="Lucida Sans Unicode" w:cs="Lucida Sans Unicode"/>
            <w:color w:val="BB0000"/>
            <w:kern w:val="0"/>
            <w:sz w:val="20"/>
            <w:szCs w:val="20"/>
            <w:u w:val="single"/>
            <w14:ligatures w14:val="none"/>
          </w:rPr>
          <w:t>10.1007/s10637-005-4541-1</w:t>
        </w:r>
      </w:hyperlink>
      <w:r w:rsidRPr="00976387">
        <w:rPr>
          <w:rFonts w:ascii="Lucida Sans Unicode" w:eastAsia="Times New Roman" w:hAnsi="Lucida Sans Unicode" w:cs="Lucida Sans Unicode"/>
          <w:color w:val="333333"/>
          <w:kern w:val="0"/>
          <w:sz w:val="20"/>
          <w:szCs w:val="20"/>
          <w14:ligatures w14:val="none"/>
        </w:rPr>
        <w:t>.</w:t>
      </w:r>
    </w:p>
    <w:p w14:paraId="7FB8714A" w14:textId="77777777" w:rsidR="00976387" w:rsidRPr="00976387" w:rsidRDefault="00976387" w:rsidP="00976387">
      <w:pPr>
        <w:numPr>
          <w:ilvl w:val="0"/>
          <w:numId w:val="2"/>
        </w:num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color w:val="333333"/>
          <w:kern w:val="0"/>
          <w:sz w:val="20"/>
          <w:szCs w:val="20"/>
          <w14:ligatures w14:val="none"/>
        </w:rPr>
        <w:t>Pui CH, Evans WE: </w:t>
      </w:r>
      <w:hyperlink r:id="rId29" w:history="1">
        <w:r w:rsidRPr="00976387">
          <w:rPr>
            <w:rFonts w:ascii="Lucida Sans Unicode" w:eastAsia="Times New Roman" w:hAnsi="Lucida Sans Unicode" w:cs="Lucida Sans Unicode"/>
            <w:color w:val="BB0000"/>
            <w:kern w:val="0"/>
            <w:sz w:val="20"/>
            <w:szCs w:val="20"/>
            <w:u w:val="single"/>
            <w14:ligatures w14:val="none"/>
          </w:rPr>
          <w:t>Treatment of acute lymphoblastic leukemia</w:t>
        </w:r>
      </w:hyperlink>
      <w:r w:rsidRPr="00976387">
        <w:rPr>
          <w:rFonts w:ascii="Lucida Sans Unicode" w:eastAsia="Times New Roman" w:hAnsi="Lucida Sans Unicode" w:cs="Lucida Sans Unicode"/>
          <w:color w:val="333333"/>
          <w:kern w:val="0"/>
          <w:sz w:val="20"/>
          <w:szCs w:val="20"/>
          <w14:ligatures w14:val="none"/>
        </w:rPr>
        <w:t>. N Engl J Med. 2006, 354:166-78. </w:t>
      </w:r>
      <w:hyperlink r:id="rId30" w:history="1">
        <w:r w:rsidRPr="00976387">
          <w:rPr>
            <w:rFonts w:ascii="Lucida Sans Unicode" w:eastAsia="Times New Roman" w:hAnsi="Lucida Sans Unicode" w:cs="Lucida Sans Unicode"/>
            <w:color w:val="BB0000"/>
            <w:kern w:val="0"/>
            <w:sz w:val="20"/>
            <w:szCs w:val="20"/>
            <w:u w:val="single"/>
            <w14:ligatures w14:val="none"/>
          </w:rPr>
          <w:t>10.1056/NEJMra052603</w:t>
        </w:r>
      </w:hyperlink>
      <w:r w:rsidRPr="00976387">
        <w:rPr>
          <w:rFonts w:ascii="Lucida Sans Unicode" w:eastAsia="Times New Roman" w:hAnsi="Lucida Sans Unicode" w:cs="Lucida Sans Unicode"/>
          <w:color w:val="333333"/>
          <w:kern w:val="0"/>
          <w:sz w:val="20"/>
          <w:szCs w:val="20"/>
          <w14:ligatures w14:val="none"/>
        </w:rPr>
        <w:t>.</w:t>
      </w:r>
    </w:p>
    <w:p w14:paraId="61DF0E0E" w14:textId="77777777" w:rsidR="00976387" w:rsidRPr="00976387" w:rsidRDefault="00976387" w:rsidP="00976387">
      <w:pPr>
        <w:numPr>
          <w:ilvl w:val="0"/>
          <w:numId w:val="2"/>
        </w:num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color w:val="333333"/>
          <w:kern w:val="0"/>
          <w:sz w:val="20"/>
          <w:szCs w:val="20"/>
          <w14:ligatures w14:val="none"/>
        </w:rPr>
        <w:t>Ackland SP, Schilsky RL: </w:t>
      </w:r>
      <w:hyperlink r:id="rId31" w:history="1">
        <w:r w:rsidRPr="00976387">
          <w:rPr>
            <w:rFonts w:ascii="Lucida Sans Unicode" w:eastAsia="Times New Roman" w:hAnsi="Lucida Sans Unicode" w:cs="Lucida Sans Unicode"/>
            <w:color w:val="BB0000"/>
            <w:kern w:val="0"/>
            <w:sz w:val="20"/>
            <w:szCs w:val="20"/>
            <w:u w:val="single"/>
            <w14:ligatures w14:val="none"/>
          </w:rPr>
          <w:t>High-dose methotrexate: a critical reappraisal</w:t>
        </w:r>
      </w:hyperlink>
      <w:r w:rsidRPr="00976387">
        <w:rPr>
          <w:rFonts w:ascii="Lucida Sans Unicode" w:eastAsia="Times New Roman" w:hAnsi="Lucida Sans Unicode" w:cs="Lucida Sans Unicode"/>
          <w:color w:val="333333"/>
          <w:kern w:val="0"/>
          <w:sz w:val="20"/>
          <w:szCs w:val="20"/>
          <w14:ligatures w14:val="none"/>
        </w:rPr>
        <w:t>. J Clin Oncol. 1987, 5:2017-31. </w:t>
      </w:r>
      <w:hyperlink r:id="rId32" w:history="1">
        <w:r w:rsidRPr="00976387">
          <w:rPr>
            <w:rFonts w:ascii="Lucida Sans Unicode" w:eastAsia="Times New Roman" w:hAnsi="Lucida Sans Unicode" w:cs="Lucida Sans Unicode"/>
            <w:color w:val="BB0000"/>
            <w:kern w:val="0"/>
            <w:sz w:val="20"/>
            <w:szCs w:val="20"/>
            <w:u w:val="single"/>
            <w14:ligatures w14:val="none"/>
          </w:rPr>
          <w:t>10.1200/JCO.1987.5.12.2017</w:t>
        </w:r>
      </w:hyperlink>
      <w:r w:rsidRPr="00976387">
        <w:rPr>
          <w:rFonts w:ascii="Lucida Sans Unicode" w:eastAsia="Times New Roman" w:hAnsi="Lucida Sans Unicode" w:cs="Lucida Sans Unicode"/>
          <w:color w:val="333333"/>
          <w:kern w:val="0"/>
          <w:sz w:val="20"/>
          <w:szCs w:val="20"/>
          <w14:ligatures w14:val="none"/>
        </w:rPr>
        <w:t>.</w:t>
      </w:r>
    </w:p>
    <w:p w14:paraId="452B17C3" w14:textId="77777777" w:rsidR="00976387" w:rsidRPr="00976387" w:rsidRDefault="00976387" w:rsidP="00976387">
      <w:pPr>
        <w:numPr>
          <w:ilvl w:val="0"/>
          <w:numId w:val="2"/>
        </w:num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color w:val="333333"/>
          <w:kern w:val="0"/>
          <w:sz w:val="20"/>
          <w:szCs w:val="20"/>
          <w14:ligatures w14:val="none"/>
        </w:rPr>
        <w:t>Inaba H, Khan RB, Laningham FH, Crews KR, Pui CH, Daw NC: </w:t>
      </w:r>
      <w:hyperlink r:id="rId33" w:history="1">
        <w:r w:rsidRPr="00976387">
          <w:rPr>
            <w:rFonts w:ascii="Lucida Sans Unicode" w:eastAsia="Times New Roman" w:hAnsi="Lucida Sans Unicode" w:cs="Lucida Sans Unicode"/>
            <w:color w:val="BB0000"/>
            <w:kern w:val="0"/>
            <w:sz w:val="20"/>
            <w:szCs w:val="20"/>
            <w:u w:val="single"/>
            <w14:ligatures w14:val="none"/>
          </w:rPr>
          <w:t>Clinical and radiological characteristics of methotrexate-induced acute encephalopathy in pediatric patients with cancer</w:t>
        </w:r>
      </w:hyperlink>
      <w:r w:rsidRPr="00976387">
        <w:rPr>
          <w:rFonts w:ascii="Lucida Sans Unicode" w:eastAsia="Times New Roman" w:hAnsi="Lucida Sans Unicode" w:cs="Lucida Sans Unicode"/>
          <w:color w:val="333333"/>
          <w:kern w:val="0"/>
          <w:sz w:val="20"/>
          <w:szCs w:val="20"/>
          <w14:ligatures w14:val="none"/>
        </w:rPr>
        <w:t>. Ann Oncol. 2008, 19:178-84. </w:t>
      </w:r>
      <w:hyperlink r:id="rId34" w:history="1">
        <w:r w:rsidRPr="00976387">
          <w:rPr>
            <w:rFonts w:ascii="Lucida Sans Unicode" w:eastAsia="Times New Roman" w:hAnsi="Lucida Sans Unicode" w:cs="Lucida Sans Unicode"/>
            <w:color w:val="BB0000"/>
            <w:kern w:val="0"/>
            <w:sz w:val="20"/>
            <w:szCs w:val="20"/>
            <w:u w:val="single"/>
            <w14:ligatures w14:val="none"/>
          </w:rPr>
          <w:t>10.1093/</w:t>
        </w:r>
        <w:proofErr w:type="spellStart"/>
        <w:r w:rsidRPr="00976387">
          <w:rPr>
            <w:rFonts w:ascii="Lucida Sans Unicode" w:eastAsia="Times New Roman" w:hAnsi="Lucida Sans Unicode" w:cs="Lucida Sans Unicode"/>
            <w:color w:val="BB0000"/>
            <w:kern w:val="0"/>
            <w:sz w:val="20"/>
            <w:szCs w:val="20"/>
            <w:u w:val="single"/>
            <w14:ligatures w14:val="none"/>
          </w:rPr>
          <w:t>annonc</w:t>
        </w:r>
        <w:proofErr w:type="spellEnd"/>
        <w:r w:rsidRPr="00976387">
          <w:rPr>
            <w:rFonts w:ascii="Lucida Sans Unicode" w:eastAsia="Times New Roman" w:hAnsi="Lucida Sans Unicode" w:cs="Lucida Sans Unicode"/>
            <w:color w:val="BB0000"/>
            <w:kern w:val="0"/>
            <w:sz w:val="20"/>
            <w:szCs w:val="20"/>
            <w:u w:val="single"/>
            <w14:ligatures w14:val="none"/>
          </w:rPr>
          <w:t>/mdm466</w:t>
        </w:r>
      </w:hyperlink>
      <w:r w:rsidRPr="00976387">
        <w:rPr>
          <w:rFonts w:ascii="Lucida Sans Unicode" w:eastAsia="Times New Roman" w:hAnsi="Lucida Sans Unicode" w:cs="Lucida Sans Unicode"/>
          <w:color w:val="333333"/>
          <w:kern w:val="0"/>
          <w:sz w:val="20"/>
          <w:szCs w:val="20"/>
          <w14:ligatures w14:val="none"/>
        </w:rPr>
        <w:t>.</w:t>
      </w:r>
    </w:p>
    <w:p w14:paraId="213B642A" w14:textId="77777777" w:rsidR="00976387" w:rsidRPr="00976387" w:rsidRDefault="00976387" w:rsidP="00976387">
      <w:pPr>
        <w:numPr>
          <w:ilvl w:val="0"/>
          <w:numId w:val="2"/>
        </w:num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color w:val="333333"/>
          <w:kern w:val="0"/>
          <w:sz w:val="20"/>
          <w:szCs w:val="20"/>
          <w14:ligatures w14:val="none"/>
        </w:rPr>
        <w:t xml:space="preserve">Panicker V </w:t>
      </w:r>
      <w:proofErr w:type="spellStart"/>
      <w:r w:rsidRPr="00976387">
        <w:rPr>
          <w:rFonts w:ascii="Lucida Sans Unicode" w:eastAsia="Times New Roman" w:hAnsi="Lucida Sans Unicode" w:cs="Lucida Sans Unicode"/>
          <w:color w:val="333333"/>
          <w:kern w:val="0"/>
          <w:sz w:val="20"/>
          <w:szCs w:val="20"/>
          <w14:ligatures w14:val="none"/>
        </w:rPr>
        <w:t>V</w:t>
      </w:r>
      <w:proofErr w:type="spellEnd"/>
      <w:r w:rsidRPr="00976387">
        <w:rPr>
          <w:rFonts w:ascii="Lucida Sans Unicode" w:eastAsia="Times New Roman" w:hAnsi="Lucida Sans Unicode" w:cs="Lucida Sans Unicode"/>
          <w:color w:val="333333"/>
          <w:kern w:val="0"/>
          <w:sz w:val="20"/>
          <w:szCs w:val="20"/>
          <w14:ligatures w14:val="none"/>
        </w:rPr>
        <w:t xml:space="preserve">, Radhakrishnan S E, </w:t>
      </w:r>
      <w:proofErr w:type="spellStart"/>
      <w:r w:rsidRPr="00976387">
        <w:rPr>
          <w:rFonts w:ascii="Lucida Sans Unicode" w:eastAsia="Times New Roman" w:hAnsi="Lucida Sans Unicode" w:cs="Lucida Sans Unicode"/>
          <w:color w:val="333333"/>
          <w:kern w:val="0"/>
          <w:sz w:val="20"/>
          <w:szCs w:val="20"/>
          <w14:ligatures w14:val="none"/>
        </w:rPr>
        <w:t>Kuruttukulam</w:t>
      </w:r>
      <w:proofErr w:type="spellEnd"/>
      <w:r w:rsidRPr="00976387">
        <w:rPr>
          <w:rFonts w:ascii="Lucida Sans Unicode" w:eastAsia="Times New Roman" w:hAnsi="Lucida Sans Unicode" w:cs="Lucida Sans Unicode"/>
          <w:color w:val="333333"/>
          <w:kern w:val="0"/>
          <w:sz w:val="20"/>
          <w:szCs w:val="20"/>
          <w14:ligatures w14:val="none"/>
        </w:rPr>
        <w:t xml:space="preserve"> G V, et al. (January 02, 2024) Methotrexate-Induced Leukoencephalopathy as a Clinical and Radiological Mimicker of Acute Ischemic Stroke Leading to Thrombolysis. </w:t>
      </w:r>
      <w:proofErr w:type="spellStart"/>
      <w:r w:rsidRPr="00976387">
        <w:rPr>
          <w:rFonts w:ascii="Lucida Sans Unicode" w:eastAsia="Times New Roman" w:hAnsi="Lucida Sans Unicode" w:cs="Lucida Sans Unicode"/>
          <w:color w:val="333333"/>
          <w:kern w:val="0"/>
          <w:sz w:val="20"/>
          <w:szCs w:val="20"/>
          <w14:ligatures w14:val="none"/>
        </w:rPr>
        <w:t>Cureus</w:t>
      </w:r>
      <w:proofErr w:type="spellEnd"/>
      <w:r w:rsidRPr="00976387">
        <w:rPr>
          <w:rFonts w:ascii="Lucida Sans Unicode" w:eastAsia="Times New Roman" w:hAnsi="Lucida Sans Unicode" w:cs="Lucida Sans Unicode"/>
          <w:color w:val="333333"/>
          <w:kern w:val="0"/>
          <w:sz w:val="20"/>
          <w:szCs w:val="20"/>
          <w14:ligatures w14:val="none"/>
        </w:rPr>
        <w:t xml:space="preserve"> 16(1): e51542. doi:10.7759/cureus.51542.</w:t>
      </w:r>
    </w:p>
    <w:p w14:paraId="7E7E6E4E" w14:textId="77777777" w:rsidR="00976387" w:rsidRPr="00976387" w:rsidRDefault="00976387" w:rsidP="00976387">
      <w:pPr>
        <w:numPr>
          <w:ilvl w:val="0"/>
          <w:numId w:val="2"/>
        </w:num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hyperlink r:id="rId35" w:history="1">
        <w:r w:rsidRPr="00976387">
          <w:rPr>
            <w:rFonts w:ascii="Lucida Sans Unicode" w:eastAsia="Times New Roman" w:hAnsi="Lucida Sans Unicode" w:cs="Lucida Sans Unicode"/>
            <w:color w:val="BB0000"/>
            <w:kern w:val="0"/>
            <w:sz w:val="20"/>
            <w:szCs w:val="20"/>
            <w:u w:val="single"/>
            <w14:ligatures w14:val="none"/>
          </w:rPr>
          <w:t>Cancers (Basel).</w:t>
        </w:r>
      </w:hyperlink>
      <w:r w:rsidRPr="00976387">
        <w:rPr>
          <w:rFonts w:ascii="Lucida Sans Unicode" w:eastAsia="Times New Roman" w:hAnsi="Lucida Sans Unicode" w:cs="Lucida Sans Unicode"/>
          <w:color w:val="333333"/>
          <w:kern w:val="0"/>
          <w:sz w:val="20"/>
          <w:szCs w:val="20"/>
          <w14:ligatures w14:val="none"/>
        </w:rPr>
        <w:t xml:space="preserve"> 2021 Apr; 13(8): 1939. Published online 2021 Apr 16. </w:t>
      </w:r>
      <w:proofErr w:type="spellStart"/>
      <w:r w:rsidRPr="00976387">
        <w:rPr>
          <w:rFonts w:ascii="Lucida Sans Unicode" w:eastAsia="Times New Roman" w:hAnsi="Lucida Sans Unicode" w:cs="Lucida Sans Unicode"/>
          <w:color w:val="333333"/>
          <w:kern w:val="0"/>
          <w:sz w:val="20"/>
          <w:szCs w:val="20"/>
          <w14:ligatures w14:val="none"/>
        </w:rPr>
        <w:t>doi</w:t>
      </w:r>
      <w:proofErr w:type="spellEnd"/>
      <w:r w:rsidRPr="00976387">
        <w:rPr>
          <w:rFonts w:ascii="Lucida Sans Unicode" w:eastAsia="Times New Roman" w:hAnsi="Lucida Sans Unicode" w:cs="Lucida Sans Unicode"/>
          <w:color w:val="333333"/>
          <w:kern w:val="0"/>
          <w:sz w:val="20"/>
          <w:szCs w:val="20"/>
          <w14:ligatures w14:val="none"/>
        </w:rPr>
        <w:t>: </w:t>
      </w:r>
      <w:hyperlink r:id="rId36" w:history="1">
        <w:r w:rsidRPr="00976387">
          <w:rPr>
            <w:rFonts w:ascii="Lucida Sans Unicode" w:eastAsia="Times New Roman" w:hAnsi="Lucida Sans Unicode" w:cs="Lucida Sans Unicode"/>
            <w:color w:val="BB0000"/>
            <w:kern w:val="0"/>
            <w:sz w:val="20"/>
            <w:szCs w:val="20"/>
            <w:u w:val="single"/>
            <w14:ligatures w14:val="none"/>
          </w:rPr>
          <w:t>10.3390/cancers13081939</w:t>
        </w:r>
      </w:hyperlink>
      <w:r w:rsidRPr="00976387">
        <w:rPr>
          <w:rFonts w:ascii="Lucida Sans Unicode" w:eastAsia="Times New Roman" w:hAnsi="Lucida Sans Unicode" w:cs="Lucida Sans Unicode"/>
          <w:color w:val="333333"/>
          <w:kern w:val="0"/>
          <w:sz w:val="20"/>
          <w:szCs w:val="20"/>
          <w14:ligatures w14:val="none"/>
        </w:rPr>
        <w:t xml:space="preserve">Age- and Intravenous Methotrexate-Associated Leukoencephalopathy and Its Neurological Impact in Pediatric Patients with Lymphoblastic </w:t>
      </w:r>
      <w:proofErr w:type="spellStart"/>
      <w:r w:rsidRPr="00976387">
        <w:rPr>
          <w:rFonts w:ascii="Lucida Sans Unicode" w:eastAsia="Times New Roman" w:hAnsi="Lucida Sans Unicode" w:cs="Lucida Sans Unicode"/>
          <w:color w:val="333333"/>
          <w:kern w:val="0"/>
          <w:sz w:val="20"/>
          <w:szCs w:val="20"/>
          <w14:ligatures w14:val="none"/>
        </w:rPr>
        <w:t>Leukemia</w:t>
      </w:r>
      <w:hyperlink r:id="rId37" w:history="1">
        <w:r w:rsidRPr="00976387">
          <w:rPr>
            <w:rFonts w:ascii="Lucida Sans Unicode" w:eastAsia="Times New Roman" w:hAnsi="Lucida Sans Unicode" w:cs="Lucida Sans Unicode"/>
            <w:color w:val="BB0000"/>
            <w:kern w:val="0"/>
            <w:sz w:val="20"/>
            <w:szCs w:val="20"/>
            <w:u w:val="single"/>
            <w14:ligatures w14:val="none"/>
          </w:rPr>
          <w:t>Ilona</w:t>
        </w:r>
        <w:proofErr w:type="spellEnd"/>
        <w:r w:rsidRPr="00976387">
          <w:rPr>
            <w:rFonts w:ascii="Lucida Sans Unicode" w:eastAsia="Times New Roman" w:hAnsi="Lucida Sans Unicode" w:cs="Lucida Sans Unicode"/>
            <w:color w:val="BB0000"/>
            <w:kern w:val="0"/>
            <w:sz w:val="20"/>
            <w:szCs w:val="20"/>
            <w:u w:val="single"/>
            <w14:ligatures w14:val="none"/>
          </w:rPr>
          <w:t xml:space="preserve"> Rijmenams</w:t>
        </w:r>
      </w:hyperlink>
      <w:r w:rsidRPr="00976387">
        <w:rPr>
          <w:rFonts w:ascii="Lucida Sans Unicode" w:eastAsia="Times New Roman" w:hAnsi="Lucida Sans Unicode" w:cs="Lucida Sans Unicode"/>
          <w:color w:val="333333"/>
          <w:kern w:val="0"/>
          <w:sz w:val="20"/>
          <w:szCs w:val="20"/>
          <w14:ligatures w14:val="none"/>
        </w:rPr>
        <w:t>,</w:t>
      </w:r>
      <w:r w:rsidRPr="00976387">
        <w:rPr>
          <w:rFonts w:ascii="Lucida Sans Unicode" w:eastAsia="Times New Roman" w:hAnsi="Lucida Sans Unicode" w:cs="Lucida Sans Unicode"/>
          <w:color w:val="333333"/>
          <w:kern w:val="0"/>
          <w:sz w:val="15"/>
          <w:szCs w:val="15"/>
          <w:vertAlign w:val="superscript"/>
          <w14:ligatures w14:val="none"/>
        </w:rPr>
        <w:t>1,2,†</w:t>
      </w:r>
      <w:r w:rsidRPr="00976387">
        <w:rPr>
          <w:rFonts w:ascii="Lucida Sans Unicode" w:eastAsia="Times New Roman" w:hAnsi="Lucida Sans Unicode" w:cs="Lucida Sans Unicode"/>
          <w:color w:val="333333"/>
          <w:kern w:val="0"/>
          <w:sz w:val="20"/>
          <w:szCs w:val="20"/>
          <w14:ligatures w14:val="none"/>
        </w:rPr>
        <w:t> </w:t>
      </w:r>
      <w:hyperlink r:id="rId38" w:history="1">
        <w:r w:rsidRPr="00976387">
          <w:rPr>
            <w:rFonts w:ascii="Lucida Sans Unicode" w:eastAsia="Times New Roman" w:hAnsi="Lucida Sans Unicode" w:cs="Lucida Sans Unicode"/>
            <w:color w:val="BB0000"/>
            <w:kern w:val="0"/>
            <w:sz w:val="20"/>
            <w:szCs w:val="20"/>
            <w:u w:val="single"/>
            <w14:ligatures w14:val="none"/>
          </w:rPr>
          <w:t xml:space="preserve">Daan </w:t>
        </w:r>
        <w:proofErr w:type="spellStart"/>
        <w:r w:rsidRPr="00976387">
          <w:rPr>
            <w:rFonts w:ascii="Lucida Sans Unicode" w:eastAsia="Times New Roman" w:hAnsi="Lucida Sans Unicode" w:cs="Lucida Sans Unicode"/>
            <w:color w:val="BB0000"/>
            <w:kern w:val="0"/>
            <w:sz w:val="20"/>
            <w:szCs w:val="20"/>
            <w:u w:val="single"/>
            <w14:ligatures w14:val="none"/>
          </w:rPr>
          <w:t>Moechars</w:t>
        </w:r>
        <w:proofErr w:type="spellEnd"/>
      </w:hyperlink>
      <w:r w:rsidRPr="00976387">
        <w:rPr>
          <w:rFonts w:ascii="Lucida Sans Unicode" w:eastAsia="Times New Roman" w:hAnsi="Lucida Sans Unicode" w:cs="Lucida Sans Unicode"/>
          <w:color w:val="333333"/>
          <w:kern w:val="0"/>
          <w:sz w:val="20"/>
          <w:szCs w:val="20"/>
          <w14:ligatures w14:val="none"/>
        </w:rPr>
        <w:t>, </w:t>
      </w:r>
      <w:hyperlink r:id="rId39" w:history="1">
        <w:r w:rsidRPr="00976387">
          <w:rPr>
            <w:rFonts w:ascii="Lucida Sans Unicode" w:eastAsia="Times New Roman" w:hAnsi="Lucida Sans Unicode" w:cs="Lucida Sans Unicode"/>
            <w:color w:val="BB0000"/>
            <w:kern w:val="0"/>
            <w:sz w:val="20"/>
            <w:szCs w:val="20"/>
            <w:u w:val="single"/>
            <w14:ligatures w14:val="none"/>
          </w:rPr>
          <w:t xml:space="preserve">Anne </w:t>
        </w:r>
        <w:proofErr w:type="spellStart"/>
        <w:r w:rsidRPr="00976387">
          <w:rPr>
            <w:rFonts w:ascii="Lucida Sans Unicode" w:eastAsia="Times New Roman" w:hAnsi="Lucida Sans Unicode" w:cs="Lucida Sans Unicode"/>
            <w:color w:val="BB0000"/>
            <w:kern w:val="0"/>
            <w:sz w:val="20"/>
            <w:szCs w:val="20"/>
            <w:u w:val="single"/>
            <w14:ligatures w14:val="none"/>
          </w:rPr>
          <w:t>Uyttebroeck</w:t>
        </w:r>
        <w:proofErr w:type="spellEnd"/>
      </w:hyperlink>
      <w:r w:rsidRPr="00976387">
        <w:rPr>
          <w:rFonts w:ascii="Lucida Sans Unicode" w:eastAsia="Times New Roman" w:hAnsi="Lucida Sans Unicode" w:cs="Lucida Sans Unicode"/>
          <w:color w:val="333333"/>
          <w:kern w:val="0"/>
          <w:sz w:val="20"/>
          <w:szCs w:val="20"/>
          <w14:ligatures w14:val="none"/>
        </w:rPr>
        <w:t>, </w:t>
      </w:r>
      <w:hyperlink r:id="rId40" w:history="1">
        <w:r w:rsidRPr="00976387">
          <w:rPr>
            <w:rFonts w:ascii="Lucida Sans Unicode" w:eastAsia="Times New Roman" w:hAnsi="Lucida Sans Unicode" w:cs="Lucida Sans Unicode"/>
            <w:color w:val="BB0000"/>
            <w:kern w:val="0"/>
            <w:sz w:val="20"/>
            <w:szCs w:val="20"/>
            <w:u w:val="single"/>
            <w14:ligatures w14:val="none"/>
          </w:rPr>
          <w:t>Ahmed Radwan</w:t>
        </w:r>
      </w:hyperlink>
      <w:r w:rsidRPr="00976387">
        <w:rPr>
          <w:rFonts w:ascii="Lucida Sans Unicode" w:eastAsia="Times New Roman" w:hAnsi="Lucida Sans Unicode" w:cs="Lucida Sans Unicode"/>
          <w:color w:val="333333"/>
          <w:kern w:val="0"/>
          <w:sz w:val="20"/>
          <w:szCs w:val="20"/>
          <w14:ligatures w14:val="none"/>
        </w:rPr>
        <w:t>,</w:t>
      </w:r>
      <w:r w:rsidRPr="00976387">
        <w:rPr>
          <w:rFonts w:ascii="Lucida Sans Unicode" w:eastAsia="Times New Roman" w:hAnsi="Lucida Sans Unicode" w:cs="Lucida Sans Unicode"/>
          <w:color w:val="333333"/>
          <w:kern w:val="0"/>
          <w:sz w:val="15"/>
          <w:szCs w:val="15"/>
          <w:vertAlign w:val="superscript"/>
          <w14:ligatures w14:val="none"/>
        </w:rPr>
        <w:t>4,5,6</w:t>
      </w:r>
      <w:r w:rsidRPr="00976387">
        <w:rPr>
          <w:rFonts w:ascii="Lucida Sans Unicode" w:eastAsia="Times New Roman" w:hAnsi="Lucida Sans Unicode" w:cs="Lucida Sans Unicode"/>
          <w:color w:val="333333"/>
          <w:kern w:val="0"/>
          <w:sz w:val="20"/>
          <w:szCs w:val="20"/>
          <w14:ligatures w14:val="none"/>
        </w:rPr>
        <w:t> </w:t>
      </w:r>
      <w:hyperlink r:id="rId41" w:history="1">
        <w:r w:rsidRPr="00976387">
          <w:rPr>
            <w:rFonts w:ascii="Lucida Sans Unicode" w:eastAsia="Times New Roman" w:hAnsi="Lucida Sans Unicode" w:cs="Lucida Sans Unicode"/>
            <w:color w:val="BB0000"/>
            <w:kern w:val="0"/>
            <w:sz w:val="20"/>
            <w:szCs w:val="20"/>
            <w:u w:val="single"/>
            <w14:ligatures w14:val="none"/>
          </w:rPr>
          <w:t>Jeroen Blommaert</w:t>
        </w:r>
      </w:hyperlink>
      <w:r w:rsidRPr="00976387">
        <w:rPr>
          <w:rFonts w:ascii="Lucida Sans Unicode" w:eastAsia="Times New Roman" w:hAnsi="Lucida Sans Unicode" w:cs="Lucida Sans Unicode"/>
          <w:color w:val="333333"/>
          <w:kern w:val="0"/>
          <w:sz w:val="20"/>
          <w:szCs w:val="20"/>
          <w14:ligatures w14:val="none"/>
        </w:rPr>
        <w:t>,</w:t>
      </w:r>
      <w:r w:rsidRPr="00976387">
        <w:rPr>
          <w:rFonts w:ascii="Lucida Sans Unicode" w:eastAsia="Times New Roman" w:hAnsi="Lucida Sans Unicode" w:cs="Lucida Sans Unicode"/>
          <w:color w:val="333333"/>
          <w:kern w:val="0"/>
          <w:sz w:val="15"/>
          <w:szCs w:val="15"/>
          <w:vertAlign w:val="superscript"/>
          <w14:ligatures w14:val="none"/>
        </w:rPr>
        <w:t>4</w:t>
      </w:r>
      <w:r w:rsidRPr="00976387">
        <w:rPr>
          <w:rFonts w:ascii="Lucida Sans Unicode" w:eastAsia="Times New Roman" w:hAnsi="Lucida Sans Unicode" w:cs="Lucida Sans Unicode"/>
          <w:color w:val="333333"/>
          <w:kern w:val="0"/>
          <w:sz w:val="20"/>
          <w:szCs w:val="20"/>
          <w14:ligatures w14:val="none"/>
        </w:rPr>
        <w:t> </w:t>
      </w:r>
      <w:hyperlink r:id="rId42" w:history="1">
        <w:r w:rsidRPr="00976387">
          <w:rPr>
            <w:rFonts w:ascii="Lucida Sans Unicode" w:eastAsia="Times New Roman" w:hAnsi="Lucida Sans Unicode" w:cs="Lucida Sans Unicode"/>
            <w:color w:val="BB0000"/>
            <w:kern w:val="0"/>
            <w:sz w:val="20"/>
            <w:szCs w:val="20"/>
            <w:u w:val="single"/>
            <w14:ligatures w14:val="none"/>
          </w:rPr>
          <w:t>Sabine Deprez</w:t>
        </w:r>
      </w:hyperlink>
      <w:r w:rsidRPr="00976387">
        <w:rPr>
          <w:rFonts w:ascii="Lucida Sans Unicode" w:eastAsia="Times New Roman" w:hAnsi="Lucida Sans Unicode" w:cs="Lucida Sans Unicode"/>
          <w:color w:val="333333"/>
          <w:kern w:val="0"/>
          <w:sz w:val="20"/>
          <w:szCs w:val="20"/>
          <w14:ligatures w14:val="none"/>
        </w:rPr>
        <w:t>, </w:t>
      </w:r>
      <w:hyperlink r:id="rId43" w:history="1">
        <w:r w:rsidRPr="00976387">
          <w:rPr>
            <w:rFonts w:ascii="Lucida Sans Unicode" w:eastAsia="Times New Roman" w:hAnsi="Lucida Sans Unicode" w:cs="Lucida Sans Unicode"/>
            <w:color w:val="BB0000"/>
            <w:kern w:val="0"/>
            <w:sz w:val="20"/>
            <w:szCs w:val="20"/>
            <w:u w:val="single"/>
            <w14:ligatures w14:val="none"/>
          </w:rPr>
          <w:t xml:space="preserve">Stefan </w:t>
        </w:r>
        <w:proofErr w:type="spellStart"/>
        <w:r w:rsidRPr="00976387">
          <w:rPr>
            <w:rFonts w:ascii="Lucida Sans Unicode" w:eastAsia="Times New Roman" w:hAnsi="Lucida Sans Unicode" w:cs="Lucida Sans Unicode"/>
            <w:color w:val="BB0000"/>
            <w:kern w:val="0"/>
            <w:sz w:val="20"/>
            <w:szCs w:val="20"/>
            <w:u w:val="single"/>
            <w14:ligatures w14:val="none"/>
          </w:rPr>
          <w:t>Sunaert</w:t>
        </w:r>
        <w:proofErr w:type="spellEnd"/>
      </w:hyperlink>
      <w:r w:rsidRPr="00976387">
        <w:rPr>
          <w:rFonts w:ascii="Lucida Sans Unicode" w:eastAsia="Times New Roman" w:hAnsi="Lucida Sans Unicode" w:cs="Lucida Sans Unicode"/>
          <w:color w:val="333333"/>
          <w:kern w:val="0"/>
          <w:sz w:val="20"/>
          <w:szCs w:val="20"/>
          <w14:ligatures w14:val="none"/>
        </w:rPr>
        <w:t>, </w:t>
      </w:r>
      <w:hyperlink r:id="rId44" w:history="1">
        <w:r w:rsidRPr="00976387">
          <w:rPr>
            <w:rFonts w:ascii="Lucida Sans Unicode" w:eastAsia="Times New Roman" w:hAnsi="Lucida Sans Unicode" w:cs="Lucida Sans Unicode"/>
            <w:color w:val="BB0000"/>
            <w:kern w:val="0"/>
            <w:sz w:val="20"/>
            <w:szCs w:val="20"/>
            <w:u w:val="single"/>
            <w14:ligatures w14:val="none"/>
          </w:rPr>
          <w:t>Heidi Segers</w:t>
        </w:r>
      </w:hyperlink>
      <w:r w:rsidRPr="00976387">
        <w:rPr>
          <w:rFonts w:ascii="Lucida Sans Unicode" w:eastAsia="Times New Roman" w:hAnsi="Lucida Sans Unicode" w:cs="Lucida Sans Unicode"/>
          <w:color w:val="333333"/>
          <w:kern w:val="0"/>
          <w:sz w:val="20"/>
          <w:szCs w:val="20"/>
          <w14:ligatures w14:val="none"/>
        </w:rPr>
        <w:t>,</w:t>
      </w:r>
      <w:r w:rsidRPr="00976387">
        <w:rPr>
          <w:rFonts w:ascii="Lucida Sans Unicode" w:eastAsia="Times New Roman" w:hAnsi="Lucida Sans Unicode" w:cs="Lucida Sans Unicode"/>
          <w:color w:val="333333"/>
          <w:kern w:val="0"/>
          <w:sz w:val="15"/>
          <w:szCs w:val="15"/>
          <w:vertAlign w:val="superscript"/>
          <w14:ligatures w14:val="none"/>
        </w:rPr>
        <w:t>2,3,4</w:t>
      </w:r>
      <w:r w:rsidRPr="00976387">
        <w:rPr>
          <w:rFonts w:ascii="Lucida Sans Unicode" w:eastAsia="Times New Roman" w:hAnsi="Lucida Sans Unicode" w:cs="Lucida Sans Unicode"/>
          <w:color w:val="333333"/>
          <w:kern w:val="0"/>
          <w:sz w:val="20"/>
          <w:szCs w:val="20"/>
          <w14:ligatures w14:val="none"/>
        </w:rPr>
        <w:t> </w:t>
      </w:r>
      <w:hyperlink r:id="rId45" w:history="1">
        <w:r w:rsidRPr="00976387">
          <w:rPr>
            <w:rFonts w:ascii="Lucida Sans Unicode" w:eastAsia="Times New Roman" w:hAnsi="Lucida Sans Unicode" w:cs="Lucida Sans Unicode"/>
            <w:color w:val="BB0000"/>
            <w:kern w:val="0"/>
            <w:sz w:val="20"/>
            <w:szCs w:val="20"/>
            <w:u w:val="single"/>
            <w14:ligatures w14:val="none"/>
          </w:rPr>
          <w:t xml:space="preserve">Céline R. </w:t>
        </w:r>
        <w:proofErr w:type="spellStart"/>
        <w:r w:rsidRPr="00976387">
          <w:rPr>
            <w:rFonts w:ascii="Lucida Sans Unicode" w:eastAsia="Times New Roman" w:hAnsi="Lucida Sans Unicode" w:cs="Lucida Sans Unicode"/>
            <w:color w:val="BB0000"/>
            <w:kern w:val="0"/>
            <w:sz w:val="20"/>
            <w:szCs w:val="20"/>
            <w:u w:val="single"/>
            <w14:ligatures w14:val="none"/>
          </w:rPr>
          <w:t>Gillebert</w:t>
        </w:r>
      </w:hyperlink>
      <w:r w:rsidRPr="00976387">
        <w:rPr>
          <w:rFonts w:ascii="Lucida Sans Unicode" w:eastAsia="Times New Roman" w:hAnsi="Lucida Sans Unicode" w:cs="Lucida Sans Unicode"/>
          <w:color w:val="333333"/>
          <w:kern w:val="0"/>
          <w:sz w:val="20"/>
          <w:szCs w:val="20"/>
          <w14:ligatures w14:val="none"/>
        </w:rPr>
        <w:t>,</w:t>
      </w:r>
      <w:hyperlink r:id="rId46" w:history="1">
        <w:r w:rsidRPr="00976387">
          <w:rPr>
            <w:rFonts w:ascii="Lucida Sans Unicode" w:eastAsia="Times New Roman" w:hAnsi="Lucida Sans Unicode" w:cs="Lucida Sans Unicode"/>
            <w:color w:val="BB0000"/>
            <w:kern w:val="0"/>
            <w:sz w:val="20"/>
            <w:szCs w:val="20"/>
            <w:u w:val="single"/>
            <w14:ligatures w14:val="none"/>
          </w:rPr>
          <w:t>Jurgen</w:t>
        </w:r>
        <w:proofErr w:type="spellEnd"/>
        <w:r w:rsidRPr="00976387">
          <w:rPr>
            <w:rFonts w:ascii="Lucida Sans Unicode" w:eastAsia="Times New Roman" w:hAnsi="Lucida Sans Unicode" w:cs="Lucida Sans Unicode"/>
            <w:color w:val="BB0000"/>
            <w:kern w:val="0"/>
            <w:sz w:val="20"/>
            <w:szCs w:val="20"/>
            <w:u w:val="single"/>
            <w14:ligatures w14:val="none"/>
          </w:rPr>
          <w:t xml:space="preserve"> </w:t>
        </w:r>
        <w:proofErr w:type="spellStart"/>
        <w:r w:rsidRPr="00976387">
          <w:rPr>
            <w:rFonts w:ascii="Lucida Sans Unicode" w:eastAsia="Times New Roman" w:hAnsi="Lucida Sans Unicode" w:cs="Lucida Sans Unicode"/>
            <w:color w:val="BB0000"/>
            <w:kern w:val="0"/>
            <w:sz w:val="20"/>
            <w:szCs w:val="20"/>
            <w:u w:val="single"/>
            <w14:ligatures w14:val="none"/>
          </w:rPr>
          <w:t>Lemiere</w:t>
        </w:r>
        <w:proofErr w:type="spellEnd"/>
      </w:hyperlink>
      <w:r w:rsidRPr="00976387">
        <w:rPr>
          <w:rFonts w:ascii="Lucida Sans Unicode" w:eastAsia="Times New Roman" w:hAnsi="Lucida Sans Unicode" w:cs="Lucida Sans Unicode"/>
          <w:color w:val="333333"/>
          <w:kern w:val="0"/>
          <w:sz w:val="20"/>
          <w:szCs w:val="20"/>
          <w14:ligatures w14:val="none"/>
        </w:rPr>
        <w:t>, and </w:t>
      </w:r>
      <w:hyperlink r:id="rId47" w:history="1">
        <w:r w:rsidRPr="00976387">
          <w:rPr>
            <w:rFonts w:ascii="Lucida Sans Unicode" w:eastAsia="Times New Roman" w:hAnsi="Lucida Sans Unicode" w:cs="Lucida Sans Unicode"/>
            <w:color w:val="BB0000"/>
            <w:kern w:val="0"/>
            <w:sz w:val="20"/>
            <w:szCs w:val="20"/>
            <w:u w:val="single"/>
            <w14:ligatures w14:val="none"/>
          </w:rPr>
          <w:t xml:space="preserve">Charlotte </w:t>
        </w:r>
        <w:proofErr w:type="spellStart"/>
        <w:r w:rsidRPr="00976387">
          <w:rPr>
            <w:rFonts w:ascii="Lucida Sans Unicode" w:eastAsia="Times New Roman" w:hAnsi="Lucida Sans Unicode" w:cs="Lucida Sans Unicode"/>
            <w:color w:val="BB0000"/>
            <w:kern w:val="0"/>
            <w:sz w:val="20"/>
            <w:szCs w:val="20"/>
            <w:u w:val="single"/>
            <w14:ligatures w14:val="none"/>
          </w:rPr>
          <w:t>Sleurs</w:t>
        </w:r>
        <w:proofErr w:type="spellEnd"/>
      </w:hyperlink>
      <w:r w:rsidRPr="00976387">
        <w:rPr>
          <w:rFonts w:ascii="Lucida Sans Unicode" w:eastAsia="Times New Roman" w:hAnsi="Lucida Sans Unicode" w:cs="Lucida Sans Unicode"/>
          <w:color w:val="333333"/>
          <w:kern w:val="0"/>
          <w:sz w:val="20"/>
          <w:szCs w:val="20"/>
          <w14:ligatures w14:val="none"/>
        </w:rPr>
        <w:t>.</w:t>
      </w:r>
    </w:p>
    <w:p w14:paraId="535A9860" w14:textId="77777777" w:rsidR="00976387" w:rsidRPr="00976387" w:rsidRDefault="00976387" w:rsidP="00976387">
      <w:pPr>
        <w:numPr>
          <w:ilvl w:val="0"/>
          <w:numId w:val="2"/>
        </w:num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color w:val="333333"/>
          <w:kern w:val="0"/>
          <w:sz w:val="20"/>
          <w:szCs w:val="20"/>
          <w14:ligatures w14:val="none"/>
        </w:rPr>
        <w:t>K Wei, W Cao; (II) Administrative support: W Cao; (III) Provision of study materials or patients: K Wei, W Cao, B Yang, Y Liang, L Liu; (IV) Collection and assembly of data: K Wei, B Yang, L Liu; (V) Data analysis and interpretation: Y Liang, T Li, R Wang; (VI) Manuscript writing: All authors; (VII) Final approval of manuscript: All authors. </w:t>
      </w:r>
      <w:r w:rsidRPr="00976387">
        <w:rPr>
          <w:rFonts w:ascii="Lucida Sans Unicode" w:eastAsia="Times New Roman" w:hAnsi="Lucida Sans Unicode" w:cs="Lucida Sans Unicode"/>
          <w:color w:val="333333"/>
          <w:kern w:val="0"/>
          <w:sz w:val="15"/>
          <w:szCs w:val="15"/>
          <w:vertAlign w:val="superscript"/>
          <w14:ligatures w14:val="none"/>
        </w:rPr>
        <w:t>^</w:t>
      </w:r>
      <w:r w:rsidRPr="00976387">
        <w:rPr>
          <w:rFonts w:ascii="Lucida Sans Unicode" w:eastAsia="Times New Roman" w:hAnsi="Lucida Sans Unicode" w:cs="Lucida Sans Unicode"/>
          <w:color w:val="333333"/>
          <w:kern w:val="0"/>
          <w:sz w:val="20"/>
          <w:szCs w:val="20"/>
          <w14:ligatures w14:val="none"/>
        </w:rPr>
        <w:t>ORCID: 0000-0002-1356-3705.</w:t>
      </w:r>
    </w:p>
    <w:p w14:paraId="55948665" w14:textId="77777777" w:rsidR="00976387" w:rsidRPr="00976387" w:rsidRDefault="00976387" w:rsidP="00976387">
      <w:pPr>
        <w:numPr>
          <w:ilvl w:val="0"/>
          <w:numId w:val="2"/>
        </w:num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color w:val="333333"/>
          <w:kern w:val="0"/>
          <w:sz w:val="20"/>
          <w:szCs w:val="20"/>
          <w14:ligatures w14:val="none"/>
        </w:rPr>
        <w:t>Gaillard F, Sharma R, Baba Y, et al. Toxic leukoencephalopathy. Reference article, Radiopaedia.org (Accessed on 30 May 2024) </w:t>
      </w:r>
      <w:hyperlink r:id="rId48" w:history="1">
        <w:r w:rsidRPr="00976387">
          <w:rPr>
            <w:rFonts w:ascii="Lucida Sans Unicode" w:eastAsia="Times New Roman" w:hAnsi="Lucida Sans Unicode" w:cs="Lucida Sans Unicode"/>
            <w:color w:val="BB0000"/>
            <w:kern w:val="0"/>
            <w:sz w:val="20"/>
            <w:szCs w:val="20"/>
            <w:u w:val="single"/>
            <w14:ligatures w14:val="none"/>
          </w:rPr>
          <w:t>https://doi.org/10.53347/rID-4437</w:t>
        </w:r>
      </w:hyperlink>
      <w:r w:rsidRPr="00976387">
        <w:rPr>
          <w:rFonts w:ascii="Lucida Sans Unicode" w:eastAsia="Times New Roman" w:hAnsi="Lucida Sans Unicode" w:cs="Lucida Sans Unicode"/>
          <w:color w:val="333333"/>
          <w:kern w:val="0"/>
          <w:sz w:val="20"/>
          <w:szCs w:val="20"/>
          <w14:ligatures w14:val="none"/>
        </w:rPr>
        <w:t>.</w:t>
      </w:r>
    </w:p>
    <w:p w14:paraId="3DF4C3A2" w14:textId="77777777" w:rsidR="00976387" w:rsidRPr="00976387" w:rsidRDefault="00976387" w:rsidP="00976387">
      <w:pPr>
        <w:numPr>
          <w:ilvl w:val="0"/>
          <w:numId w:val="2"/>
        </w:numPr>
        <w:spacing w:before="100" w:beforeAutospacing="1" w:after="100" w:afterAutospacing="1" w:line="240" w:lineRule="auto"/>
        <w:rPr>
          <w:rFonts w:ascii="Lucida Sans Unicode" w:eastAsia="Times New Roman" w:hAnsi="Lucida Sans Unicode" w:cs="Lucida Sans Unicode"/>
          <w:color w:val="333333"/>
          <w:kern w:val="0"/>
          <w:sz w:val="20"/>
          <w:szCs w:val="20"/>
          <w14:ligatures w14:val="none"/>
        </w:rPr>
      </w:pPr>
      <w:r w:rsidRPr="00976387">
        <w:rPr>
          <w:rFonts w:ascii="Lucida Sans Unicode" w:eastAsia="Times New Roman" w:hAnsi="Lucida Sans Unicode" w:cs="Lucida Sans Unicode"/>
          <w:color w:val="333333"/>
          <w:kern w:val="0"/>
          <w:sz w:val="20"/>
          <w:szCs w:val="20"/>
          <w14:ligatures w14:val="none"/>
        </w:rPr>
        <w:lastRenderedPageBreak/>
        <w:t>Sharma R, Habana J, Thibodeau R, et al. Methotrexate-related leukoencephalopathy. Reference article, Radiopaedia.org (Accessed on 30 May 2024) https://doi.org/10.53347/rID-52847.</w:t>
      </w:r>
    </w:p>
    <w:p w14:paraId="7201E9C0" w14:textId="77777777" w:rsidR="00976387" w:rsidRPr="00976387" w:rsidRDefault="00976387" w:rsidP="00976387">
      <w:pPr>
        <w:pBdr>
          <w:bottom w:val="single" w:sz="6" w:space="1" w:color="auto"/>
        </w:pBdr>
        <w:spacing w:after="0" w:line="240" w:lineRule="auto"/>
        <w:jc w:val="center"/>
        <w:rPr>
          <w:rFonts w:ascii="Arial" w:eastAsia="Times New Roman" w:hAnsi="Arial" w:cs="Arial"/>
          <w:vanish/>
          <w:kern w:val="0"/>
          <w:sz w:val="16"/>
          <w:szCs w:val="16"/>
          <w14:ligatures w14:val="none"/>
        </w:rPr>
      </w:pPr>
      <w:r w:rsidRPr="00976387">
        <w:rPr>
          <w:rFonts w:ascii="Arial" w:eastAsia="Times New Roman" w:hAnsi="Arial" w:cs="Arial"/>
          <w:vanish/>
          <w:kern w:val="0"/>
          <w:sz w:val="16"/>
          <w:szCs w:val="16"/>
          <w14:ligatures w14:val="none"/>
        </w:rPr>
        <w:t>Top of Form</w:t>
      </w:r>
    </w:p>
    <w:p w14:paraId="39C82B85" w14:textId="77777777" w:rsidR="00767DA0" w:rsidRDefault="00767DA0"/>
    <w:sectPr w:rsidR="00767DA0">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Lato">
    <w:charset w:val="00"/>
    <w:family w:val="swiss"/>
    <w:pitch w:val="variable"/>
    <w:sig w:usb0="E10002FF" w:usb1="5000ECFF" w:usb2="00000021" w:usb3="00000000" w:csb0="0000019F" w:csb1="00000000"/>
  </w:font>
  <w:font w:name="Lucida Sans Unicode">
    <w:panose1 w:val="020B0602030504020204"/>
    <w:charset w:val="00"/>
    <w:family w:val="swiss"/>
    <w:pitch w:val="variable"/>
    <w:sig w:usb0="80000AFF" w:usb1="0000396B" w:usb2="00000000" w:usb3="00000000" w:csb0="000000B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4F3E5C"/>
    <w:multiLevelType w:val="multilevel"/>
    <w:tmpl w:val="2CE0DF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AD833C1"/>
    <w:multiLevelType w:val="multilevel"/>
    <w:tmpl w:val="40C072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305D2B5F"/>
    <w:multiLevelType w:val="multilevel"/>
    <w:tmpl w:val="2CDC68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6106BAA"/>
    <w:multiLevelType w:val="multilevel"/>
    <w:tmpl w:val="656094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ECF6A77"/>
    <w:multiLevelType w:val="multilevel"/>
    <w:tmpl w:val="26444C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E7560DD"/>
    <w:multiLevelType w:val="multilevel"/>
    <w:tmpl w:val="A7DADD7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17456062">
    <w:abstractNumId w:val="5"/>
  </w:num>
  <w:num w:numId="2" w16cid:durableId="454568583">
    <w:abstractNumId w:val="1"/>
  </w:num>
  <w:num w:numId="3" w16cid:durableId="741683964">
    <w:abstractNumId w:val="4"/>
  </w:num>
  <w:num w:numId="4" w16cid:durableId="1868327510">
    <w:abstractNumId w:val="3"/>
  </w:num>
  <w:num w:numId="5" w16cid:durableId="252054174">
    <w:abstractNumId w:val="2"/>
  </w:num>
  <w:num w:numId="6" w16cid:durableId="202620125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0F6E"/>
    <w:rsid w:val="00390F6E"/>
    <w:rsid w:val="00530C4D"/>
    <w:rsid w:val="00767DA0"/>
    <w:rsid w:val="00976387"/>
    <w:rsid w:val="00A20B04"/>
    <w:rsid w:val="00B313C7"/>
    <w:rsid w:val="00CD353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1113B9"/>
  <w15:chartTrackingRefBased/>
  <w15:docId w15:val="{5B0C75B8-BC29-4D66-9A67-51BE69CC33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90F6E"/>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390F6E"/>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390F6E"/>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390F6E"/>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390F6E"/>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390F6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90F6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90F6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90F6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90F6E"/>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390F6E"/>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390F6E"/>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390F6E"/>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390F6E"/>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390F6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90F6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90F6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90F6E"/>
    <w:rPr>
      <w:rFonts w:eastAsiaTheme="majorEastAsia" w:cstheme="majorBidi"/>
      <w:color w:val="272727" w:themeColor="text1" w:themeTint="D8"/>
    </w:rPr>
  </w:style>
  <w:style w:type="paragraph" w:styleId="Title">
    <w:name w:val="Title"/>
    <w:basedOn w:val="Normal"/>
    <w:next w:val="Normal"/>
    <w:link w:val="TitleChar"/>
    <w:uiPriority w:val="10"/>
    <w:qFormat/>
    <w:rsid w:val="00390F6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90F6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90F6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90F6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90F6E"/>
    <w:pPr>
      <w:spacing w:before="160"/>
      <w:jc w:val="center"/>
    </w:pPr>
    <w:rPr>
      <w:i/>
      <w:iCs/>
      <w:color w:val="404040" w:themeColor="text1" w:themeTint="BF"/>
    </w:rPr>
  </w:style>
  <w:style w:type="character" w:customStyle="1" w:styleId="QuoteChar">
    <w:name w:val="Quote Char"/>
    <w:basedOn w:val="DefaultParagraphFont"/>
    <w:link w:val="Quote"/>
    <w:uiPriority w:val="29"/>
    <w:rsid w:val="00390F6E"/>
    <w:rPr>
      <w:i/>
      <w:iCs/>
      <w:color w:val="404040" w:themeColor="text1" w:themeTint="BF"/>
    </w:rPr>
  </w:style>
  <w:style w:type="paragraph" w:styleId="ListParagraph">
    <w:name w:val="List Paragraph"/>
    <w:basedOn w:val="Normal"/>
    <w:uiPriority w:val="34"/>
    <w:qFormat/>
    <w:rsid w:val="00390F6E"/>
    <w:pPr>
      <w:ind w:left="720"/>
      <w:contextualSpacing/>
    </w:pPr>
  </w:style>
  <w:style w:type="character" w:styleId="IntenseEmphasis">
    <w:name w:val="Intense Emphasis"/>
    <w:basedOn w:val="DefaultParagraphFont"/>
    <w:uiPriority w:val="21"/>
    <w:qFormat/>
    <w:rsid w:val="00390F6E"/>
    <w:rPr>
      <w:i/>
      <w:iCs/>
      <w:color w:val="2F5496" w:themeColor="accent1" w:themeShade="BF"/>
    </w:rPr>
  </w:style>
  <w:style w:type="paragraph" w:styleId="IntenseQuote">
    <w:name w:val="Intense Quote"/>
    <w:basedOn w:val="Normal"/>
    <w:next w:val="Normal"/>
    <w:link w:val="IntenseQuoteChar"/>
    <w:uiPriority w:val="30"/>
    <w:qFormat/>
    <w:rsid w:val="00390F6E"/>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390F6E"/>
    <w:rPr>
      <w:i/>
      <w:iCs/>
      <w:color w:val="2F5496" w:themeColor="accent1" w:themeShade="BF"/>
    </w:rPr>
  </w:style>
  <w:style w:type="character" w:styleId="IntenseReference">
    <w:name w:val="Intense Reference"/>
    <w:basedOn w:val="DefaultParagraphFont"/>
    <w:uiPriority w:val="32"/>
    <w:qFormat/>
    <w:rsid w:val="00390F6E"/>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22788569">
      <w:bodyDiv w:val="1"/>
      <w:marLeft w:val="0"/>
      <w:marRight w:val="0"/>
      <w:marTop w:val="0"/>
      <w:marBottom w:val="0"/>
      <w:divBdr>
        <w:top w:val="none" w:sz="0" w:space="0" w:color="auto"/>
        <w:left w:val="none" w:sz="0" w:space="0" w:color="auto"/>
        <w:bottom w:val="none" w:sz="0" w:space="0" w:color="auto"/>
        <w:right w:val="none" w:sz="0" w:space="0" w:color="auto"/>
      </w:divBdr>
      <w:divsChild>
        <w:div w:id="333144530">
          <w:marLeft w:val="0"/>
          <w:marRight w:val="0"/>
          <w:marTop w:val="0"/>
          <w:marBottom w:val="0"/>
          <w:divBdr>
            <w:top w:val="none" w:sz="0" w:space="0" w:color="auto"/>
            <w:left w:val="none" w:sz="0" w:space="0" w:color="auto"/>
            <w:bottom w:val="none" w:sz="0" w:space="0" w:color="auto"/>
            <w:right w:val="none" w:sz="0" w:space="0" w:color="auto"/>
          </w:divBdr>
          <w:divsChild>
            <w:div w:id="861015707">
              <w:marLeft w:val="0"/>
              <w:marRight w:val="0"/>
              <w:marTop w:val="0"/>
              <w:marBottom w:val="0"/>
              <w:divBdr>
                <w:top w:val="none" w:sz="0" w:space="0" w:color="auto"/>
                <w:left w:val="none" w:sz="0" w:space="0" w:color="auto"/>
                <w:bottom w:val="none" w:sz="0" w:space="0" w:color="auto"/>
                <w:right w:val="none" w:sz="0" w:space="0" w:color="auto"/>
              </w:divBdr>
              <w:divsChild>
                <w:div w:id="1961912092">
                  <w:marLeft w:val="0"/>
                  <w:marRight w:val="0"/>
                  <w:marTop w:val="0"/>
                  <w:marBottom w:val="0"/>
                  <w:divBdr>
                    <w:top w:val="none" w:sz="0" w:space="0" w:color="auto"/>
                    <w:left w:val="none" w:sz="0" w:space="0" w:color="auto"/>
                    <w:bottom w:val="none" w:sz="0" w:space="0" w:color="auto"/>
                    <w:right w:val="none" w:sz="0" w:space="0" w:color="auto"/>
                  </w:divBdr>
                  <w:divsChild>
                    <w:div w:id="897085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1709223">
              <w:marLeft w:val="0"/>
              <w:marRight w:val="0"/>
              <w:marTop w:val="0"/>
              <w:marBottom w:val="0"/>
              <w:divBdr>
                <w:top w:val="none" w:sz="0" w:space="0" w:color="auto"/>
                <w:left w:val="none" w:sz="0" w:space="0" w:color="auto"/>
                <w:bottom w:val="none" w:sz="0" w:space="0" w:color="auto"/>
                <w:right w:val="none" w:sz="0" w:space="0" w:color="auto"/>
              </w:divBdr>
              <w:divsChild>
                <w:div w:id="260534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e-mja.finki.ukim.mk/wp-content/uploads/2024/09/45.png" TargetMode="External"/><Relationship Id="rId18" Type="http://schemas.openxmlformats.org/officeDocument/2006/relationships/image" Target="media/image7.png"/><Relationship Id="rId26" Type="http://schemas.openxmlformats.org/officeDocument/2006/relationships/image" Target="media/image11.png"/><Relationship Id="rId39" Type="http://schemas.openxmlformats.org/officeDocument/2006/relationships/hyperlink" Target="https://pubmed.ncbi.nlm.nih.gov/?term=Uyttebroeck%20A%5BAuthor%5D" TargetMode="External"/><Relationship Id="rId21" Type="http://schemas.openxmlformats.org/officeDocument/2006/relationships/hyperlink" Target="http://e-mja.finki.ukim.mk/wp-content/uploads/2024/09/49.png" TargetMode="External"/><Relationship Id="rId34" Type="http://schemas.openxmlformats.org/officeDocument/2006/relationships/hyperlink" Target="https://dx.doi.org/10.1093/annonc/mdm466?utm_medium=email&amp;utm_source=transaction" TargetMode="External"/><Relationship Id="rId42" Type="http://schemas.openxmlformats.org/officeDocument/2006/relationships/hyperlink" Target="https://pubmed.ncbi.nlm.nih.gov/?term=Deprez%20S%5BAuthor%5D" TargetMode="External"/><Relationship Id="rId47" Type="http://schemas.openxmlformats.org/officeDocument/2006/relationships/hyperlink" Target="https://pubmed.ncbi.nlm.nih.gov/?term=Sleurs%20C%5BAuthor%5D" TargetMode="External"/><Relationship Id="rId50" Type="http://schemas.openxmlformats.org/officeDocument/2006/relationships/theme" Target="theme/theme1.xml"/><Relationship Id="rId7" Type="http://schemas.openxmlformats.org/officeDocument/2006/relationships/hyperlink" Target="http://e-mja.finki.ukim.mk/wp-content/uploads/2024/09/41.png" TargetMode="External"/><Relationship Id="rId2" Type="http://schemas.openxmlformats.org/officeDocument/2006/relationships/styles" Target="styles.xml"/><Relationship Id="rId16" Type="http://schemas.openxmlformats.org/officeDocument/2006/relationships/image" Target="media/image6.png"/><Relationship Id="rId29" Type="http://schemas.openxmlformats.org/officeDocument/2006/relationships/hyperlink" Target="https://dx.doi.org/10.1056/NEJMra052603?utm_medium=email&amp;utm_source=transaction" TargetMode="External"/><Relationship Id="rId11" Type="http://schemas.openxmlformats.org/officeDocument/2006/relationships/hyperlink" Target="http://e-mja.finki.ukim.mk/wp-content/uploads/2024/09/44.png" TargetMode="External"/><Relationship Id="rId24" Type="http://schemas.openxmlformats.org/officeDocument/2006/relationships/image" Target="media/image10.png"/><Relationship Id="rId32" Type="http://schemas.openxmlformats.org/officeDocument/2006/relationships/hyperlink" Target="https://dx.doi.org/10.1200/JCO.1987.5.12.2017?utm_medium=email&amp;utm_source=transaction" TargetMode="External"/><Relationship Id="rId37" Type="http://schemas.openxmlformats.org/officeDocument/2006/relationships/hyperlink" Target="https://pubmed.ncbi.nlm.nih.gov/?term=Rijmenams%20I%5BAuthor%5D" TargetMode="External"/><Relationship Id="rId40" Type="http://schemas.openxmlformats.org/officeDocument/2006/relationships/hyperlink" Target="https://pubmed.ncbi.nlm.nih.gov/?term=Radwan%20A%5BAuthor%5D" TargetMode="External"/><Relationship Id="rId45" Type="http://schemas.openxmlformats.org/officeDocument/2006/relationships/hyperlink" Target="https://pubmed.ncbi.nlm.nih.gov/?term=Gillebert%20CR%5BAuthor%5D" TargetMode="External"/><Relationship Id="rId5" Type="http://schemas.openxmlformats.org/officeDocument/2006/relationships/hyperlink" Target="http://e-mja.finki.ukim.mk/wp-content/uploads/2024/09/40.png" TargetMode="External"/><Relationship Id="rId15" Type="http://schemas.openxmlformats.org/officeDocument/2006/relationships/hyperlink" Target="http://e-mja.finki.ukim.mk/wp-content/uploads/2024/09/46.png" TargetMode="External"/><Relationship Id="rId23" Type="http://schemas.openxmlformats.org/officeDocument/2006/relationships/hyperlink" Target="http://e-mja.finki.ukim.mk/wp-content/uploads/2024/09/50.png" TargetMode="External"/><Relationship Id="rId28" Type="http://schemas.openxmlformats.org/officeDocument/2006/relationships/hyperlink" Target="https://dx.doi.org/10.1007/s10637-005-4541-1?utm_medium=email&amp;utm_source=transaction" TargetMode="External"/><Relationship Id="rId36" Type="http://schemas.openxmlformats.org/officeDocument/2006/relationships/hyperlink" Target="https://doi.org/10.3390%2Fcancers13081939" TargetMode="External"/><Relationship Id="rId49"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hyperlink" Target="http://e-mja.finki.ukim.mk/wp-content/uploads/2024/09/48.png" TargetMode="External"/><Relationship Id="rId31" Type="http://schemas.openxmlformats.org/officeDocument/2006/relationships/hyperlink" Target="https://dx.doi.org/10.1200/JCO.1987.5.12.2017?utm_medium=email&amp;utm_source=transaction" TargetMode="External"/><Relationship Id="rId44" Type="http://schemas.openxmlformats.org/officeDocument/2006/relationships/hyperlink" Target="https://pubmed.ncbi.nlm.nih.gov/?term=Segers%20H%5BAuthor%5D" TargetMode="External"/><Relationship Id="rId4" Type="http://schemas.openxmlformats.org/officeDocument/2006/relationships/webSettings" Target="webSettings.xml"/><Relationship Id="rId9" Type="http://schemas.openxmlformats.org/officeDocument/2006/relationships/hyperlink" Target="http://e-mja.finki.ukim.mk/wp-content/uploads/2024/09/43.png" TargetMode="External"/><Relationship Id="rId14" Type="http://schemas.openxmlformats.org/officeDocument/2006/relationships/image" Target="media/image5.png"/><Relationship Id="rId22" Type="http://schemas.openxmlformats.org/officeDocument/2006/relationships/image" Target="media/image9.png"/><Relationship Id="rId27" Type="http://schemas.openxmlformats.org/officeDocument/2006/relationships/hyperlink" Target="https://dx.doi.org/10.1007/s10637-005-4541-1?utm_medium=email&amp;utm_source=transaction" TargetMode="External"/><Relationship Id="rId30" Type="http://schemas.openxmlformats.org/officeDocument/2006/relationships/hyperlink" Target="https://dx.doi.org/10.1056/NEJMra052603?utm_medium=email&amp;utm_source=transaction" TargetMode="External"/><Relationship Id="rId35" Type="http://schemas.openxmlformats.org/officeDocument/2006/relationships/hyperlink" Target="https://www.ncbi.nlm.nih.gov/pmc/articles/PMC8073318/" TargetMode="External"/><Relationship Id="rId43" Type="http://schemas.openxmlformats.org/officeDocument/2006/relationships/hyperlink" Target="https://pubmed.ncbi.nlm.nih.gov/?term=Sunaert%20S%5BAuthor%5D" TargetMode="External"/><Relationship Id="rId48" Type="http://schemas.openxmlformats.org/officeDocument/2006/relationships/hyperlink" Target="https://doi.org/10.53347/rID-4437" TargetMode="External"/><Relationship Id="rId8" Type="http://schemas.openxmlformats.org/officeDocument/2006/relationships/image" Target="media/image2.png"/><Relationship Id="rId3" Type="http://schemas.openxmlformats.org/officeDocument/2006/relationships/settings" Target="settings.xml"/><Relationship Id="rId12" Type="http://schemas.openxmlformats.org/officeDocument/2006/relationships/image" Target="media/image4.png"/><Relationship Id="rId17" Type="http://schemas.openxmlformats.org/officeDocument/2006/relationships/hyperlink" Target="http://e-mja.finki.ukim.mk/wp-content/uploads/2024/09/47.png" TargetMode="External"/><Relationship Id="rId25" Type="http://schemas.openxmlformats.org/officeDocument/2006/relationships/hyperlink" Target="http://e-mja.finki.ukim.mk/wp-content/uploads/2024/09/51.png" TargetMode="External"/><Relationship Id="rId33" Type="http://schemas.openxmlformats.org/officeDocument/2006/relationships/hyperlink" Target="https://dx.doi.org/10.1093/annonc/mdm466?utm_medium=email&amp;utm_source=transaction" TargetMode="External"/><Relationship Id="rId38" Type="http://schemas.openxmlformats.org/officeDocument/2006/relationships/hyperlink" Target="https://pubmed.ncbi.nlm.nih.gov/?term=Moechars%20D%5BAuthor%5D" TargetMode="External"/><Relationship Id="rId46" Type="http://schemas.openxmlformats.org/officeDocument/2006/relationships/hyperlink" Target="https://pubmed.ncbi.nlm.nih.gov/?term=Lemiere%20J%5BAuthor%5D" TargetMode="External"/><Relationship Id="rId20" Type="http://schemas.openxmlformats.org/officeDocument/2006/relationships/image" Target="media/image8.png"/><Relationship Id="rId41" Type="http://schemas.openxmlformats.org/officeDocument/2006/relationships/hyperlink" Target="https://pubmed.ncbi.nlm.nih.gov/?term=Blommaert%20J%5BAuthor%5D" TargetMode="External"/><Relationship Id="rId1" Type="http://schemas.openxmlformats.org/officeDocument/2006/relationships/numbering" Target="numbering.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2562</Words>
  <Characters>14609</Characters>
  <Application>Microsoft Office Word</Application>
  <DocSecurity>0</DocSecurity>
  <Lines>121</Lines>
  <Paragraphs>34</Paragraphs>
  <ScaleCrop>false</ScaleCrop>
  <Company/>
  <LinksUpToDate>false</LinksUpToDate>
  <CharactersWithSpaces>17137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Sasko</dc:creator>
  <cp:keywords/>
  <dc:description/>
  <cp:lastModifiedBy>Sasko</cp:lastModifiedBy>
  <cp:revision>3</cp:revision>
  <dcterms:created xsi:type="dcterms:W3CDTF">2025-02-23T11:11:00Z</dcterms:created>
  <dcterms:modified xsi:type="dcterms:W3CDTF">2025-02-23T11:13:00Z</dcterms:modified>
</cp:coreProperties>
</file>