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D1A4BD" w14:textId="22C84518" w:rsidR="00B56D32" w:rsidRPr="00BA4EFF" w:rsidRDefault="00BA4EFF" w:rsidP="00EA267F">
      <w:pPr>
        <w:spacing w:after="0" w:line="240" w:lineRule="auto"/>
        <w:rPr>
          <w:rFonts w:ascii="Times New Roman" w:hAnsi="Times New Roman" w:cs="Times New Roman"/>
          <w:b/>
          <w:bCs/>
          <w:color w:val="000000" w:themeColor="text1"/>
          <w:sz w:val="24"/>
          <w:szCs w:val="24"/>
          <w:lang w:val="en-US"/>
        </w:rPr>
      </w:pPr>
      <w:r w:rsidRPr="00BA4EFF">
        <w:rPr>
          <w:rFonts w:ascii="Times New Roman" w:hAnsi="Times New Roman" w:cs="Times New Roman"/>
          <w:b/>
          <w:bCs/>
          <w:sz w:val="24"/>
          <w:szCs w:val="24"/>
        </w:rPr>
        <w:t xml:space="preserve">Title: </w:t>
      </w:r>
      <w:r w:rsidR="0091678B" w:rsidRPr="00BA4EFF">
        <w:rPr>
          <w:rFonts w:ascii="Times New Roman" w:hAnsi="Times New Roman" w:cs="Times New Roman"/>
          <w:b/>
          <w:bCs/>
          <w:sz w:val="24"/>
          <w:szCs w:val="24"/>
        </w:rPr>
        <w:t>Explainability and Accountability: Designing AI Systems for Business Decision-Making and Regulatory Compliance</w:t>
      </w:r>
    </w:p>
    <w:p w14:paraId="75A9B6D5" w14:textId="77777777" w:rsidR="00A7662C" w:rsidRPr="00B25B63" w:rsidRDefault="00A7662C" w:rsidP="00EA267F">
      <w:pPr>
        <w:spacing w:after="0" w:line="240" w:lineRule="auto"/>
        <w:rPr>
          <w:rFonts w:ascii="Times New Roman" w:hAnsi="Times New Roman" w:cs="Times New Roman"/>
          <w:b/>
          <w:bCs/>
          <w:color w:val="000000" w:themeColor="text1"/>
          <w:sz w:val="24"/>
          <w:szCs w:val="24"/>
          <w:lang w:val="en-US"/>
        </w:rPr>
      </w:pPr>
    </w:p>
    <w:p w14:paraId="0AD7F0DC" w14:textId="77777777" w:rsidR="00A7662C" w:rsidRPr="00B25B63" w:rsidRDefault="00EA267F" w:rsidP="00EA267F">
      <w:pPr>
        <w:spacing w:after="0" w:line="240" w:lineRule="auto"/>
        <w:rPr>
          <w:rFonts w:ascii="Times New Roman" w:hAnsi="Times New Roman" w:cs="Times New Roman"/>
          <w:b/>
          <w:bCs/>
          <w:sz w:val="24"/>
          <w:szCs w:val="24"/>
        </w:rPr>
      </w:pPr>
      <w:r w:rsidRPr="00B25B63">
        <w:rPr>
          <w:rFonts w:ascii="Times New Roman" w:hAnsi="Times New Roman" w:cs="Times New Roman"/>
          <w:sz w:val="24"/>
          <w:szCs w:val="24"/>
        </w:rPr>
        <w:t>Martin Kiselicki (corresponding author)</w:t>
      </w:r>
    </w:p>
    <w:p w14:paraId="193FD58E" w14:textId="77777777" w:rsidR="00A7662C" w:rsidRPr="00B25B63" w:rsidRDefault="00A7662C" w:rsidP="00EA267F">
      <w:pPr>
        <w:spacing w:after="0" w:line="240" w:lineRule="auto"/>
        <w:rPr>
          <w:rFonts w:ascii="Times New Roman" w:hAnsi="Times New Roman" w:cs="Times New Roman"/>
          <w:sz w:val="24"/>
          <w:szCs w:val="24"/>
        </w:rPr>
      </w:pPr>
      <w:r w:rsidRPr="00B25B63">
        <w:rPr>
          <w:rFonts w:ascii="Times New Roman" w:hAnsi="Times New Roman" w:cs="Times New Roman"/>
          <w:sz w:val="24"/>
          <w:szCs w:val="24"/>
        </w:rPr>
        <w:t>Faculty of Economics – Skopje,</w:t>
      </w:r>
    </w:p>
    <w:p w14:paraId="40F073D0" w14:textId="77777777" w:rsidR="00A7662C" w:rsidRPr="00B25B63" w:rsidRDefault="00A7662C" w:rsidP="00EA267F">
      <w:pPr>
        <w:spacing w:after="0" w:line="240" w:lineRule="auto"/>
        <w:rPr>
          <w:rFonts w:ascii="Times New Roman" w:hAnsi="Times New Roman" w:cs="Times New Roman"/>
          <w:sz w:val="24"/>
          <w:szCs w:val="24"/>
        </w:rPr>
      </w:pPr>
      <w:r w:rsidRPr="00B25B63">
        <w:rPr>
          <w:rFonts w:ascii="Times New Roman" w:hAnsi="Times New Roman" w:cs="Times New Roman"/>
          <w:sz w:val="24"/>
          <w:szCs w:val="24"/>
        </w:rPr>
        <w:t>University Ss. Cyril &amp; Methodious, North Macedonia</w:t>
      </w:r>
    </w:p>
    <w:p w14:paraId="6397DA7C" w14:textId="076D7856" w:rsidR="00EA267F" w:rsidRPr="00B25B63" w:rsidRDefault="00EA267F" w:rsidP="00EA267F">
      <w:pPr>
        <w:spacing w:after="0" w:line="240" w:lineRule="auto"/>
        <w:rPr>
          <w:rFonts w:ascii="Times New Roman" w:hAnsi="Times New Roman" w:cs="Times New Roman"/>
          <w:sz w:val="24"/>
          <w:szCs w:val="24"/>
        </w:rPr>
      </w:pPr>
      <w:proofErr w:type="spellStart"/>
      <w:proofErr w:type="gramStart"/>
      <w:r w:rsidRPr="00B25B63">
        <w:rPr>
          <w:rFonts w:ascii="Times New Roman" w:hAnsi="Times New Roman" w:cs="Times New Roman"/>
          <w:sz w:val="24"/>
          <w:szCs w:val="24"/>
        </w:rPr>
        <w:t>Email:</w:t>
      </w:r>
      <w:r w:rsidR="00616348">
        <w:rPr>
          <w:rFonts w:ascii="Times New Roman" w:hAnsi="Times New Roman" w:cs="Times New Roman"/>
          <w:sz w:val="24"/>
          <w:szCs w:val="24"/>
        </w:rPr>
        <w:t>martin.kiselicki@eccf.ukim.edu.mk</w:t>
      </w:r>
      <w:proofErr w:type="spellEnd"/>
      <w:proofErr w:type="gramEnd"/>
    </w:p>
    <w:p w14:paraId="53A5C4C7" w14:textId="1740FD9D" w:rsidR="00A7662C" w:rsidRPr="00B25B63" w:rsidRDefault="00EA267F" w:rsidP="00EA267F">
      <w:pPr>
        <w:spacing w:after="0" w:line="240" w:lineRule="auto"/>
        <w:rPr>
          <w:rFonts w:ascii="Times New Roman" w:hAnsi="Times New Roman" w:cs="Times New Roman"/>
          <w:b/>
          <w:bCs/>
          <w:sz w:val="24"/>
          <w:szCs w:val="24"/>
        </w:rPr>
      </w:pPr>
      <w:r w:rsidRPr="00B25B63">
        <w:rPr>
          <w:rFonts w:ascii="Times New Roman" w:hAnsi="Times New Roman" w:cs="Times New Roman"/>
          <w:sz w:val="24"/>
          <w:szCs w:val="24"/>
        </w:rPr>
        <w:t xml:space="preserve">ORCID ID: </w:t>
      </w:r>
      <w:r w:rsidR="00532FA5" w:rsidRPr="00532FA5">
        <w:rPr>
          <w:rFonts w:ascii="Times New Roman" w:hAnsi="Times New Roman" w:cs="Times New Roman"/>
          <w:sz w:val="24"/>
          <w:szCs w:val="24"/>
        </w:rPr>
        <w:t>0000-0002-0439-8090</w:t>
      </w:r>
    </w:p>
    <w:p w14:paraId="197AD831" w14:textId="77777777" w:rsidR="0074038A" w:rsidRPr="00B25B63" w:rsidRDefault="0074038A" w:rsidP="00EA267F">
      <w:pPr>
        <w:spacing w:line="240" w:lineRule="auto"/>
        <w:jc w:val="both"/>
        <w:rPr>
          <w:rFonts w:ascii="Times New Roman" w:hAnsi="Times New Roman" w:cs="Times New Roman"/>
          <w:b/>
          <w:sz w:val="24"/>
          <w:szCs w:val="24"/>
          <w:lang w:val="sq-AL"/>
        </w:rPr>
      </w:pPr>
    </w:p>
    <w:p w14:paraId="18C497BC" w14:textId="77777777" w:rsidR="00A7662C" w:rsidRPr="00B25B63" w:rsidRDefault="00DB5FD4" w:rsidP="00EA267F">
      <w:pPr>
        <w:spacing w:line="240" w:lineRule="auto"/>
        <w:jc w:val="both"/>
        <w:rPr>
          <w:rFonts w:ascii="Times New Roman" w:hAnsi="Times New Roman" w:cs="Times New Roman"/>
          <w:b/>
          <w:sz w:val="24"/>
          <w:szCs w:val="24"/>
          <w:lang w:val="sq-AL"/>
        </w:rPr>
      </w:pPr>
      <w:r w:rsidRPr="00B25B63">
        <w:rPr>
          <w:rFonts w:ascii="Times New Roman" w:hAnsi="Times New Roman" w:cs="Times New Roman"/>
          <w:sz w:val="24"/>
          <w:szCs w:val="24"/>
        </w:rPr>
        <w:t>Biography:</w:t>
      </w:r>
    </w:p>
    <w:p w14:paraId="48FDC929" w14:textId="36366C82" w:rsidR="00A7662C" w:rsidRPr="00B25B63" w:rsidRDefault="00EA267F" w:rsidP="00EA267F">
      <w:pPr>
        <w:spacing w:line="240" w:lineRule="auto"/>
        <w:jc w:val="both"/>
        <w:rPr>
          <w:rFonts w:ascii="Times New Roman" w:hAnsi="Times New Roman" w:cs="Times New Roman"/>
          <w:bCs/>
          <w:sz w:val="24"/>
          <w:szCs w:val="24"/>
          <w:lang w:val="sq-AL"/>
        </w:rPr>
      </w:pPr>
      <w:r w:rsidRPr="00B25B63">
        <w:rPr>
          <w:rFonts w:ascii="Times New Roman" w:hAnsi="Times New Roman" w:cs="Times New Roman"/>
          <w:sz w:val="24"/>
          <w:szCs w:val="24"/>
        </w:rPr>
        <w:t xml:space="preserve">Martin Kiselicki is an Assistant Professor at the Faculty of Economics – Skopje. His research interests include artificial intelligence, business decision-making, </w:t>
      </w:r>
      <w:r w:rsidR="00E20346">
        <w:rPr>
          <w:rFonts w:ascii="Times New Roman" w:hAnsi="Times New Roman" w:cs="Times New Roman"/>
          <w:sz w:val="24"/>
          <w:szCs w:val="24"/>
        </w:rPr>
        <w:t>gamification and e-business</w:t>
      </w:r>
      <w:r w:rsidRPr="00B25B63">
        <w:rPr>
          <w:rFonts w:ascii="Times New Roman" w:hAnsi="Times New Roman" w:cs="Times New Roman"/>
          <w:sz w:val="24"/>
          <w:szCs w:val="24"/>
        </w:rPr>
        <w:t xml:space="preserve">. He has authored numerous peer-reviewed journal articles </w:t>
      </w:r>
      <w:r w:rsidR="00E20346">
        <w:rPr>
          <w:rFonts w:ascii="Times New Roman" w:hAnsi="Times New Roman" w:cs="Times New Roman"/>
          <w:sz w:val="24"/>
          <w:szCs w:val="24"/>
        </w:rPr>
        <w:t>in high-ranking journals and has participated in over 20 international conferences</w:t>
      </w:r>
      <w:r w:rsidRPr="00B25B63">
        <w:rPr>
          <w:rFonts w:ascii="Times New Roman" w:hAnsi="Times New Roman" w:cs="Times New Roman"/>
          <w:sz w:val="24"/>
          <w:szCs w:val="24"/>
        </w:rPr>
        <w:t>.</w:t>
      </w:r>
    </w:p>
    <w:p w14:paraId="4B1AF6C5" w14:textId="77777777" w:rsidR="00A7662C" w:rsidRPr="00616348" w:rsidRDefault="00A7662C" w:rsidP="00EA267F">
      <w:pPr>
        <w:spacing w:after="0" w:line="240" w:lineRule="auto"/>
        <w:jc w:val="both"/>
        <w:rPr>
          <w:rFonts w:ascii="Times New Roman" w:hAnsi="Times New Roman" w:cs="Times New Roman"/>
          <w:color w:val="000000" w:themeColor="text1"/>
          <w:sz w:val="24"/>
          <w:szCs w:val="24"/>
          <w:lang w:val="en-US"/>
        </w:rPr>
      </w:pPr>
    </w:p>
    <w:p w14:paraId="6479CB57" w14:textId="77777777" w:rsidR="00A7662C" w:rsidRPr="00616348" w:rsidRDefault="00A7662C" w:rsidP="00EA267F">
      <w:pPr>
        <w:spacing w:after="0" w:line="240" w:lineRule="auto"/>
        <w:jc w:val="both"/>
        <w:rPr>
          <w:rFonts w:ascii="Times New Roman" w:hAnsi="Times New Roman" w:cs="Times New Roman"/>
          <w:color w:val="000000" w:themeColor="text1"/>
          <w:sz w:val="24"/>
          <w:szCs w:val="24"/>
          <w:lang w:val="en-US"/>
        </w:rPr>
      </w:pPr>
    </w:p>
    <w:p w14:paraId="487D68BB" w14:textId="2473B63D" w:rsidR="00616348" w:rsidRPr="00616348" w:rsidRDefault="00532FA5" w:rsidP="00616348">
      <w:pPr>
        <w:spacing w:after="0" w:line="240" w:lineRule="auto"/>
        <w:jc w:val="bot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Sasho Josimovski</w:t>
      </w:r>
      <w:r w:rsidR="00616348" w:rsidRPr="00616348">
        <w:rPr>
          <w:rFonts w:ascii="Times New Roman" w:hAnsi="Times New Roman" w:cs="Times New Roman"/>
          <w:color w:val="000000" w:themeColor="text1"/>
          <w:sz w:val="24"/>
          <w:szCs w:val="24"/>
          <w:lang w:val="en-US"/>
        </w:rPr>
        <w:t xml:space="preserve"> </w:t>
      </w:r>
    </w:p>
    <w:p w14:paraId="0E27B646" w14:textId="77777777" w:rsidR="00616348" w:rsidRPr="00616348" w:rsidRDefault="00616348" w:rsidP="00616348">
      <w:pPr>
        <w:spacing w:after="0" w:line="240" w:lineRule="auto"/>
        <w:jc w:val="both"/>
        <w:rPr>
          <w:rFonts w:ascii="Times New Roman" w:hAnsi="Times New Roman" w:cs="Times New Roman"/>
          <w:color w:val="000000" w:themeColor="text1"/>
          <w:sz w:val="24"/>
          <w:szCs w:val="24"/>
          <w:lang w:val="en-US"/>
        </w:rPr>
      </w:pPr>
      <w:r w:rsidRPr="00616348">
        <w:rPr>
          <w:rFonts w:ascii="Times New Roman" w:hAnsi="Times New Roman" w:cs="Times New Roman"/>
          <w:color w:val="000000" w:themeColor="text1"/>
          <w:sz w:val="24"/>
          <w:szCs w:val="24"/>
          <w:lang w:val="en-US"/>
        </w:rPr>
        <w:t>Faculty of Economics – Skopje,</w:t>
      </w:r>
    </w:p>
    <w:p w14:paraId="24885F9E" w14:textId="77777777" w:rsidR="00616348" w:rsidRPr="00616348" w:rsidRDefault="00616348" w:rsidP="00616348">
      <w:pPr>
        <w:spacing w:after="0" w:line="240" w:lineRule="auto"/>
        <w:jc w:val="both"/>
        <w:rPr>
          <w:rFonts w:ascii="Times New Roman" w:hAnsi="Times New Roman" w:cs="Times New Roman"/>
          <w:color w:val="000000" w:themeColor="text1"/>
          <w:sz w:val="24"/>
          <w:szCs w:val="24"/>
          <w:lang w:val="en-US"/>
        </w:rPr>
      </w:pPr>
      <w:r w:rsidRPr="00616348">
        <w:rPr>
          <w:rFonts w:ascii="Times New Roman" w:hAnsi="Times New Roman" w:cs="Times New Roman"/>
          <w:color w:val="000000" w:themeColor="text1"/>
          <w:sz w:val="24"/>
          <w:szCs w:val="24"/>
          <w:lang w:val="en-US"/>
        </w:rPr>
        <w:t>University Ss. Cyril &amp; Methodious, North Macedonia</w:t>
      </w:r>
    </w:p>
    <w:p w14:paraId="1EC8EF1E" w14:textId="03DC2912" w:rsidR="00616348" w:rsidRPr="00616348" w:rsidRDefault="00616348" w:rsidP="00616348">
      <w:pPr>
        <w:spacing w:after="0" w:line="240" w:lineRule="auto"/>
        <w:jc w:val="both"/>
        <w:rPr>
          <w:rFonts w:ascii="Times New Roman" w:hAnsi="Times New Roman" w:cs="Times New Roman"/>
          <w:color w:val="000000" w:themeColor="text1"/>
          <w:sz w:val="24"/>
          <w:szCs w:val="24"/>
          <w:lang w:val="en-US"/>
        </w:rPr>
      </w:pPr>
      <w:r w:rsidRPr="00616348">
        <w:rPr>
          <w:rFonts w:ascii="Times New Roman" w:hAnsi="Times New Roman" w:cs="Times New Roman"/>
          <w:color w:val="000000" w:themeColor="text1"/>
          <w:sz w:val="24"/>
          <w:szCs w:val="24"/>
          <w:lang w:val="en-US"/>
        </w:rPr>
        <w:t xml:space="preserve">Email: </w:t>
      </w:r>
      <w:r w:rsidR="00532FA5">
        <w:rPr>
          <w:rFonts w:ascii="Times New Roman" w:hAnsi="Times New Roman" w:cs="Times New Roman"/>
          <w:color w:val="000000" w:themeColor="text1"/>
          <w:sz w:val="24"/>
          <w:szCs w:val="24"/>
          <w:lang w:val="en-US"/>
        </w:rPr>
        <w:t>saso.josimovski@eccf.ukim.edu.mk</w:t>
      </w:r>
    </w:p>
    <w:p w14:paraId="1D8A06A6" w14:textId="1E37AC94" w:rsidR="00616348" w:rsidRPr="00616348" w:rsidRDefault="00616348" w:rsidP="00616348">
      <w:pPr>
        <w:spacing w:after="0" w:line="240" w:lineRule="auto"/>
        <w:jc w:val="both"/>
        <w:rPr>
          <w:rFonts w:ascii="Times New Roman" w:hAnsi="Times New Roman" w:cs="Times New Roman"/>
          <w:color w:val="000000" w:themeColor="text1"/>
          <w:sz w:val="24"/>
          <w:szCs w:val="24"/>
          <w:lang w:val="en-US"/>
        </w:rPr>
      </w:pPr>
      <w:r w:rsidRPr="00616348">
        <w:rPr>
          <w:rFonts w:ascii="Times New Roman" w:hAnsi="Times New Roman" w:cs="Times New Roman"/>
          <w:color w:val="000000" w:themeColor="text1"/>
          <w:sz w:val="24"/>
          <w:szCs w:val="24"/>
          <w:lang w:val="en-US"/>
        </w:rPr>
        <w:t xml:space="preserve">ORCID ID: </w:t>
      </w:r>
      <w:r w:rsidR="00532FA5" w:rsidRPr="00532FA5">
        <w:rPr>
          <w:rFonts w:ascii="Times New Roman" w:hAnsi="Times New Roman" w:cs="Times New Roman"/>
          <w:color w:val="000000" w:themeColor="text1"/>
          <w:sz w:val="24"/>
          <w:szCs w:val="24"/>
          <w:lang w:val="en-US"/>
        </w:rPr>
        <w:t>0000-0002-4696-6439</w:t>
      </w:r>
    </w:p>
    <w:p w14:paraId="532DE359" w14:textId="77777777" w:rsidR="00616348" w:rsidRPr="00616348" w:rsidRDefault="00616348" w:rsidP="00616348">
      <w:pPr>
        <w:spacing w:after="0" w:line="240" w:lineRule="auto"/>
        <w:jc w:val="both"/>
        <w:rPr>
          <w:rFonts w:ascii="Times New Roman" w:hAnsi="Times New Roman" w:cs="Times New Roman"/>
          <w:color w:val="000000" w:themeColor="text1"/>
          <w:sz w:val="24"/>
          <w:szCs w:val="24"/>
          <w:lang w:val="en-US"/>
        </w:rPr>
      </w:pPr>
    </w:p>
    <w:p w14:paraId="2277AD64" w14:textId="77777777" w:rsidR="00616348" w:rsidRPr="00616348" w:rsidRDefault="00616348" w:rsidP="00616348">
      <w:pPr>
        <w:spacing w:after="0" w:line="240" w:lineRule="auto"/>
        <w:jc w:val="both"/>
        <w:rPr>
          <w:rFonts w:ascii="Times New Roman" w:hAnsi="Times New Roman" w:cs="Times New Roman"/>
          <w:color w:val="000000" w:themeColor="text1"/>
          <w:sz w:val="24"/>
          <w:szCs w:val="24"/>
          <w:lang w:val="en-US"/>
        </w:rPr>
      </w:pPr>
      <w:r w:rsidRPr="00616348">
        <w:rPr>
          <w:rFonts w:ascii="Times New Roman" w:hAnsi="Times New Roman" w:cs="Times New Roman"/>
          <w:color w:val="000000" w:themeColor="text1"/>
          <w:sz w:val="24"/>
          <w:szCs w:val="24"/>
          <w:lang w:val="en-US"/>
        </w:rPr>
        <w:t>Biography:</w:t>
      </w:r>
    </w:p>
    <w:p w14:paraId="2F7AB866" w14:textId="73545D0C" w:rsidR="00A7662C" w:rsidRPr="00616348" w:rsidRDefault="00303E14" w:rsidP="00616348">
      <w:pPr>
        <w:spacing w:after="0" w:line="240" w:lineRule="auto"/>
        <w:jc w:val="bot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Sasho Josimovski</w:t>
      </w:r>
      <w:r w:rsidR="00616348" w:rsidRPr="00616348">
        <w:rPr>
          <w:rFonts w:ascii="Times New Roman" w:hAnsi="Times New Roman" w:cs="Times New Roman"/>
          <w:color w:val="000000" w:themeColor="text1"/>
          <w:sz w:val="24"/>
          <w:szCs w:val="24"/>
          <w:lang w:val="en-US"/>
        </w:rPr>
        <w:t xml:space="preserve"> is a </w:t>
      </w:r>
      <w:r>
        <w:rPr>
          <w:rFonts w:ascii="Times New Roman" w:hAnsi="Times New Roman" w:cs="Times New Roman"/>
          <w:color w:val="000000" w:themeColor="text1"/>
          <w:sz w:val="24"/>
          <w:szCs w:val="24"/>
          <w:lang w:val="en-US"/>
        </w:rPr>
        <w:t>Full-time</w:t>
      </w:r>
      <w:r w:rsidR="00616348" w:rsidRPr="00616348">
        <w:rPr>
          <w:rFonts w:ascii="Times New Roman" w:hAnsi="Times New Roman" w:cs="Times New Roman"/>
          <w:color w:val="000000" w:themeColor="text1"/>
          <w:sz w:val="24"/>
          <w:szCs w:val="24"/>
          <w:lang w:val="en-US"/>
        </w:rPr>
        <w:t xml:space="preserve"> Professor at the Faculty of Economics – Skopje. </w:t>
      </w:r>
      <w:r w:rsidRPr="00303E14">
        <w:rPr>
          <w:rFonts w:ascii="Times New Roman" w:hAnsi="Times New Roman" w:cs="Times New Roman"/>
          <w:color w:val="000000" w:themeColor="text1"/>
          <w:sz w:val="24"/>
          <w:szCs w:val="24"/>
          <w:lang w:val="en-US"/>
        </w:rPr>
        <w:t xml:space="preserve">He is </w:t>
      </w:r>
      <w:r>
        <w:rPr>
          <w:rFonts w:ascii="Times New Roman" w:hAnsi="Times New Roman" w:cs="Times New Roman"/>
          <w:color w:val="000000" w:themeColor="text1"/>
          <w:sz w:val="24"/>
          <w:szCs w:val="24"/>
          <w:lang w:val="en-US"/>
        </w:rPr>
        <w:t xml:space="preserve">the Head of the E-business department, as well as the </w:t>
      </w:r>
      <w:r w:rsidRPr="00303E14">
        <w:rPr>
          <w:rFonts w:ascii="Times New Roman" w:hAnsi="Times New Roman" w:cs="Times New Roman"/>
          <w:color w:val="000000" w:themeColor="text1"/>
          <w:sz w:val="24"/>
          <w:szCs w:val="24"/>
          <w:lang w:val="en-US"/>
        </w:rPr>
        <w:t>coordinator and a member of several teams for teaching and exams in subjects in the field of information technologies and electronic business of several postgraduate studies that are organized within the University of Ss. Cyril and Methodius Skopje, postgraduate studies in E-business Management – distance learning at the Faculty of Economics in Skopje, postgraduate studies in Accounting and Auditing at the Faculty of Economics in Skopje and postgraduate European Studies for Integration and Communications at the Faculty of Philosophy Skopje.</w:t>
      </w:r>
    </w:p>
    <w:p w14:paraId="14C9433D" w14:textId="77777777" w:rsidR="0091678B" w:rsidRPr="00B25B63" w:rsidRDefault="0091678B" w:rsidP="00EA267F">
      <w:pPr>
        <w:spacing w:after="0" w:line="240" w:lineRule="auto"/>
        <w:jc w:val="both"/>
        <w:rPr>
          <w:rFonts w:ascii="Times New Roman" w:hAnsi="Times New Roman" w:cs="Times New Roman"/>
          <w:b/>
          <w:bCs/>
          <w:color w:val="000000" w:themeColor="text1"/>
          <w:sz w:val="24"/>
          <w:szCs w:val="24"/>
          <w:lang w:val="en-US"/>
        </w:rPr>
      </w:pPr>
    </w:p>
    <w:p w14:paraId="119B237A" w14:textId="2299113C" w:rsidR="00EA267F" w:rsidRPr="00B25B63" w:rsidRDefault="00EA267F" w:rsidP="00EA267F">
      <w:pPr>
        <w:spacing w:after="0" w:line="240" w:lineRule="auto"/>
        <w:jc w:val="both"/>
        <w:rPr>
          <w:rFonts w:ascii="Times New Roman" w:hAnsi="Times New Roman" w:cs="Times New Roman"/>
          <w:b/>
          <w:bCs/>
          <w:color w:val="000000" w:themeColor="text1"/>
          <w:sz w:val="24"/>
          <w:szCs w:val="24"/>
          <w:lang w:val="en-US"/>
        </w:rPr>
      </w:pPr>
    </w:p>
    <w:p w14:paraId="07ACAEC1" w14:textId="77777777" w:rsidR="00FA05A9" w:rsidRPr="00521351" w:rsidRDefault="00685569" w:rsidP="00521351">
      <w:pPr>
        <w:spacing w:after="0" w:line="240" w:lineRule="auto"/>
        <w:jc w:val="both"/>
        <w:rPr>
          <w:rFonts w:ascii="Times New Roman" w:hAnsi="Times New Roman" w:cs="Times New Roman"/>
          <w:color w:val="000000" w:themeColor="text1"/>
          <w:sz w:val="24"/>
          <w:szCs w:val="24"/>
          <w:lang w:val="en-US"/>
        </w:rPr>
      </w:pPr>
      <w:r w:rsidRPr="00303E14">
        <w:rPr>
          <w:rFonts w:ascii="Times New Roman" w:hAnsi="Times New Roman" w:cs="Times New Roman"/>
          <w:b/>
          <w:bCs/>
          <w:sz w:val="24"/>
          <w:szCs w:val="24"/>
        </w:rPr>
        <w:t>Abstract:</w:t>
      </w:r>
      <w:r w:rsidRPr="00521351">
        <w:rPr>
          <w:rFonts w:ascii="Times New Roman" w:hAnsi="Times New Roman" w:cs="Times New Roman"/>
          <w:sz w:val="24"/>
          <w:szCs w:val="24"/>
        </w:rPr>
        <w:t xml:space="preserve"> As artificial intelligence systems increasingly automate high-stakes business decisions in credit scoring, hiring, and medical diagnostics, the demand for transparency and accountability has become critical. This paper addresses the 'explainability paradox' where the most powerful machine learning models operate as black boxes, undermining stakeholder trust and creating regulatory compliance challenges. Through a systematic literature review, this study synthesizes the key dimensions of AI explainability, analyzes current technical approaches to Explainable AI (XAI), and proposes a comprehensive design framework for accountable AI systems. The framework aligns technical design choices with specific business needs and regulatory requirements, including the EU AI Act and GDPR. This research advances human-centered AI theory and provides practitioners with a practical methodology for assessing explainability requirements and implementing appropriate technical and organizational solutions.</w:t>
      </w:r>
    </w:p>
    <w:p w14:paraId="06B8D4C5" w14:textId="77777777" w:rsidR="006F1F33" w:rsidRDefault="00685569" w:rsidP="00521351">
      <w:pPr>
        <w:spacing w:after="0" w:line="240" w:lineRule="auto"/>
        <w:jc w:val="both"/>
        <w:rPr>
          <w:rFonts w:ascii="Times New Roman" w:hAnsi="Times New Roman" w:cs="Times New Roman"/>
          <w:sz w:val="24"/>
          <w:szCs w:val="24"/>
        </w:rPr>
      </w:pPr>
      <w:r w:rsidRPr="00303E14">
        <w:rPr>
          <w:rFonts w:ascii="Times New Roman" w:hAnsi="Times New Roman" w:cs="Times New Roman"/>
          <w:b/>
          <w:bCs/>
          <w:sz w:val="24"/>
          <w:szCs w:val="24"/>
        </w:rPr>
        <w:t>Keywords:</w:t>
      </w:r>
      <w:r w:rsidRPr="00521351">
        <w:rPr>
          <w:rFonts w:ascii="Times New Roman" w:hAnsi="Times New Roman" w:cs="Times New Roman"/>
          <w:sz w:val="24"/>
          <w:szCs w:val="24"/>
        </w:rPr>
        <w:t xml:space="preserve"> Explainable AI (XAI), Algorithmic Accountability, Black Box Models, Regulatory Compliance, AI Governance, Trust in AI</w:t>
      </w:r>
    </w:p>
    <w:p w14:paraId="058C8E83" w14:textId="77777777" w:rsidR="00303E14" w:rsidRDefault="00303E14" w:rsidP="00521351">
      <w:pPr>
        <w:spacing w:after="0" w:line="240" w:lineRule="auto"/>
        <w:jc w:val="both"/>
        <w:rPr>
          <w:rFonts w:ascii="Times New Roman" w:hAnsi="Times New Roman" w:cs="Times New Roman"/>
          <w:sz w:val="24"/>
          <w:szCs w:val="24"/>
        </w:rPr>
      </w:pPr>
    </w:p>
    <w:p w14:paraId="51CC3D4F" w14:textId="77777777" w:rsidR="00303E14" w:rsidRDefault="00303E14" w:rsidP="00521351">
      <w:pPr>
        <w:spacing w:after="0" w:line="240" w:lineRule="auto"/>
        <w:jc w:val="both"/>
        <w:rPr>
          <w:rFonts w:ascii="Times New Roman" w:hAnsi="Times New Roman" w:cs="Times New Roman"/>
          <w:sz w:val="24"/>
          <w:szCs w:val="24"/>
        </w:rPr>
      </w:pPr>
    </w:p>
    <w:p w14:paraId="225957E9" w14:textId="77777777" w:rsidR="00303E14" w:rsidRDefault="00303E14" w:rsidP="00521351">
      <w:pPr>
        <w:spacing w:after="0" w:line="240" w:lineRule="auto"/>
        <w:jc w:val="both"/>
        <w:rPr>
          <w:rFonts w:ascii="Times New Roman" w:hAnsi="Times New Roman" w:cs="Times New Roman"/>
          <w:color w:val="000000" w:themeColor="text1"/>
          <w:sz w:val="24"/>
          <w:szCs w:val="24"/>
          <w:lang w:val="en-US"/>
        </w:rPr>
      </w:pPr>
    </w:p>
    <w:p w14:paraId="6673C66D" w14:textId="77777777" w:rsidR="00303E14" w:rsidRDefault="00303E14" w:rsidP="00521351">
      <w:pPr>
        <w:spacing w:after="0" w:line="240" w:lineRule="auto"/>
        <w:jc w:val="both"/>
        <w:rPr>
          <w:rFonts w:ascii="Times New Roman" w:hAnsi="Times New Roman" w:cs="Times New Roman"/>
          <w:color w:val="000000" w:themeColor="text1"/>
          <w:sz w:val="24"/>
          <w:szCs w:val="24"/>
          <w:lang w:val="en-US"/>
        </w:rPr>
      </w:pPr>
    </w:p>
    <w:p w14:paraId="72946C01" w14:textId="77777777" w:rsidR="00303E14" w:rsidRPr="00521351" w:rsidRDefault="00303E14" w:rsidP="00521351">
      <w:pPr>
        <w:spacing w:after="0" w:line="240" w:lineRule="auto"/>
        <w:jc w:val="both"/>
        <w:rPr>
          <w:rFonts w:ascii="Times New Roman" w:hAnsi="Times New Roman" w:cs="Times New Roman"/>
          <w:color w:val="000000" w:themeColor="text1"/>
          <w:sz w:val="24"/>
          <w:szCs w:val="24"/>
          <w:lang w:val="en-US"/>
        </w:rPr>
      </w:pPr>
    </w:p>
    <w:p w14:paraId="7BC734F2" w14:textId="77777777" w:rsidR="008B6475" w:rsidRPr="00521351" w:rsidRDefault="008B6475" w:rsidP="00521351">
      <w:pPr>
        <w:spacing w:after="0" w:line="240" w:lineRule="auto"/>
        <w:jc w:val="both"/>
        <w:rPr>
          <w:rFonts w:ascii="Times New Roman" w:hAnsi="Times New Roman" w:cs="Times New Roman"/>
          <w:color w:val="000000" w:themeColor="text1"/>
          <w:sz w:val="24"/>
          <w:szCs w:val="24"/>
          <w:lang w:val="en-US"/>
        </w:rPr>
      </w:pPr>
    </w:p>
    <w:p w14:paraId="24472EA3" w14:textId="77777777" w:rsidR="00D439CE" w:rsidRPr="00521351" w:rsidRDefault="00685569" w:rsidP="00521351">
      <w:pPr>
        <w:tabs>
          <w:tab w:val="left" w:pos="360"/>
        </w:tabs>
        <w:spacing w:after="0" w:line="240" w:lineRule="auto"/>
        <w:jc w:val="both"/>
        <w:rPr>
          <w:rFonts w:ascii="Times New Roman" w:hAnsi="Times New Roman" w:cs="Times New Roman"/>
          <w:b/>
          <w:bCs/>
          <w:color w:val="000000" w:themeColor="text1"/>
          <w:sz w:val="24"/>
          <w:szCs w:val="24"/>
          <w:lang w:val="en-US"/>
        </w:rPr>
      </w:pPr>
      <w:r w:rsidRPr="00521351">
        <w:rPr>
          <w:rFonts w:ascii="Times New Roman" w:hAnsi="Times New Roman" w:cs="Times New Roman"/>
          <w:b/>
          <w:bCs/>
          <w:color w:val="000000" w:themeColor="text1"/>
          <w:sz w:val="24"/>
          <w:szCs w:val="24"/>
          <w:lang w:val="en-US"/>
        </w:rPr>
        <w:lastRenderedPageBreak/>
        <w:t xml:space="preserve">1 </w:t>
      </w:r>
      <w:r w:rsidR="008921EA" w:rsidRPr="00521351">
        <w:rPr>
          <w:rFonts w:ascii="Times New Roman" w:hAnsi="Times New Roman" w:cs="Times New Roman"/>
          <w:b/>
          <w:bCs/>
          <w:color w:val="000000" w:themeColor="text1"/>
          <w:sz w:val="24"/>
          <w:szCs w:val="24"/>
          <w:lang w:val="en-US"/>
        </w:rPr>
        <w:tab/>
      </w:r>
      <w:r w:rsidR="008921EA" w:rsidRPr="00521351">
        <w:rPr>
          <w:rFonts w:ascii="Times New Roman" w:hAnsi="Times New Roman" w:cs="Times New Roman"/>
          <w:b/>
          <w:bCs/>
          <w:color w:val="000000" w:themeColor="text1"/>
          <w:sz w:val="24"/>
          <w:szCs w:val="24"/>
          <w:lang w:val="en-US"/>
        </w:rPr>
        <w:tab/>
      </w:r>
      <w:r w:rsidR="00314E7D" w:rsidRPr="00521351">
        <w:rPr>
          <w:rFonts w:ascii="Times New Roman" w:hAnsi="Times New Roman" w:cs="Times New Roman"/>
          <w:b/>
          <w:bCs/>
          <w:color w:val="000000" w:themeColor="text1"/>
          <w:sz w:val="24"/>
          <w:szCs w:val="24"/>
          <w:lang w:val="en-US"/>
        </w:rPr>
        <w:t>Introduction</w:t>
      </w:r>
    </w:p>
    <w:p w14:paraId="296E34B5" w14:textId="77777777" w:rsidR="00521351" w:rsidRDefault="00685569" w:rsidP="00521351">
      <w:pPr>
        <w:spacing w:after="0" w:line="240" w:lineRule="auto"/>
        <w:jc w:val="both"/>
        <w:rPr>
          <w:rFonts w:ascii="Times New Roman" w:hAnsi="Times New Roman" w:cs="Times New Roman"/>
          <w:sz w:val="24"/>
          <w:szCs w:val="24"/>
        </w:rPr>
      </w:pPr>
      <w:r w:rsidRPr="00521351">
        <w:rPr>
          <w:rFonts w:ascii="Times New Roman" w:hAnsi="Times New Roman" w:cs="Times New Roman"/>
          <w:sz w:val="24"/>
          <w:szCs w:val="24"/>
        </w:rPr>
        <w:t>The rapid integration of Artificial Intelligence (AI) and Machine Learning (ML) into high-stakes business decision-making processes has fundamentally transformed how organizations operate. From credit scoring and hiring decisions to medical diagnostics and loan approvals, AI systems now influence outcomes that directly affect individuals' lives and opportunities (Salih et al., 2025; Tchuente et al., 2024). However, this proliferation of AI-driven decision-making has exposed a critical challenge: the "explainability paradox" (</w:t>
      </w:r>
      <w:proofErr w:type="spellStart"/>
      <w:r w:rsidRPr="00521351">
        <w:rPr>
          <w:rFonts w:ascii="Times New Roman" w:hAnsi="Times New Roman" w:cs="Times New Roman"/>
          <w:sz w:val="24"/>
          <w:szCs w:val="24"/>
        </w:rPr>
        <w:t>Ihejirika</w:t>
      </w:r>
      <w:proofErr w:type="spellEnd"/>
      <w:r w:rsidRPr="00521351">
        <w:rPr>
          <w:rFonts w:ascii="Times New Roman" w:hAnsi="Times New Roman" w:cs="Times New Roman"/>
          <w:sz w:val="24"/>
          <w:szCs w:val="24"/>
        </w:rPr>
        <w:t>, 2025).</w:t>
      </w:r>
    </w:p>
    <w:p w14:paraId="10983613" w14:textId="33A322DD" w:rsidR="00521351" w:rsidRDefault="00685569" w:rsidP="00521351">
      <w:pPr>
        <w:spacing w:after="0" w:line="240" w:lineRule="auto"/>
        <w:jc w:val="both"/>
        <w:rPr>
          <w:rFonts w:ascii="Times New Roman" w:hAnsi="Times New Roman" w:cs="Times New Roman"/>
          <w:sz w:val="24"/>
          <w:szCs w:val="24"/>
        </w:rPr>
      </w:pPr>
      <w:r w:rsidRPr="00521351">
        <w:rPr>
          <w:rFonts w:ascii="Times New Roman" w:hAnsi="Times New Roman" w:cs="Times New Roman"/>
          <w:sz w:val="24"/>
          <w:szCs w:val="24"/>
        </w:rPr>
        <w:t>The explainability paradox describes the tension between model performance and interpretability. The most powerful machine learning models</w:t>
      </w:r>
      <w:r w:rsidR="00404505">
        <w:rPr>
          <w:rFonts w:ascii="Times New Roman" w:hAnsi="Times New Roman" w:cs="Times New Roman"/>
          <w:sz w:val="24"/>
          <w:szCs w:val="24"/>
        </w:rPr>
        <w:t xml:space="preserve"> - </w:t>
      </w:r>
      <w:r w:rsidRPr="00521351">
        <w:rPr>
          <w:rFonts w:ascii="Times New Roman" w:hAnsi="Times New Roman" w:cs="Times New Roman"/>
          <w:sz w:val="24"/>
          <w:szCs w:val="24"/>
        </w:rPr>
        <w:t>deep neural networks, ensemble methods, and complex gradient-boosting algorithms</w:t>
      </w:r>
      <w:r w:rsidR="00404505">
        <w:rPr>
          <w:rFonts w:ascii="Times New Roman" w:hAnsi="Times New Roman" w:cs="Times New Roman"/>
          <w:sz w:val="24"/>
          <w:szCs w:val="24"/>
        </w:rPr>
        <w:t xml:space="preserve">, </w:t>
      </w:r>
      <w:r w:rsidRPr="00521351">
        <w:rPr>
          <w:rFonts w:ascii="Times New Roman" w:hAnsi="Times New Roman" w:cs="Times New Roman"/>
          <w:sz w:val="24"/>
          <w:szCs w:val="24"/>
        </w:rPr>
        <w:t>achieve superior predictive accuracy precisely because of their complexity and non-linearity. Yet this same complexity renders these models opaque "black boxes," making it difficult or impossible for stakeholders to understand how specific decisions are made (Şahin et al., 2025). This opacity creates significant risks: stakeholders lose trust in AI systems, error analysis becomes nearly impossible, and organizations face substantial regulatory compliance challenges (</w:t>
      </w:r>
      <w:proofErr w:type="spellStart"/>
      <w:r w:rsidRPr="00521351">
        <w:rPr>
          <w:rFonts w:ascii="Times New Roman" w:hAnsi="Times New Roman" w:cs="Times New Roman"/>
          <w:sz w:val="24"/>
          <w:szCs w:val="24"/>
        </w:rPr>
        <w:t>Sahoh</w:t>
      </w:r>
      <w:proofErr w:type="spellEnd"/>
      <w:r w:rsidRPr="00521351">
        <w:rPr>
          <w:rFonts w:ascii="Times New Roman" w:hAnsi="Times New Roman" w:cs="Times New Roman"/>
          <w:sz w:val="24"/>
          <w:szCs w:val="24"/>
        </w:rPr>
        <w:t xml:space="preserve"> &amp; </w:t>
      </w:r>
      <w:proofErr w:type="spellStart"/>
      <w:r w:rsidRPr="00521351">
        <w:rPr>
          <w:rFonts w:ascii="Times New Roman" w:hAnsi="Times New Roman" w:cs="Times New Roman"/>
          <w:sz w:val="24"/>
          <w:szCs w:val="24"/>
        </w:rPr>
        <w:t>Choksuriwong</w:t>
      </w:r>
      <w:proofErr w:type="spellEnd"/>
      <w:r w:rsidRPr="00521351">
        <w:rPr>
          <w:rFonts w:ascii="Times New Roman" w:hAnsi="Times New Roman" w:cs="Times New Roman"/>
          <w:sz w:val="24"/>
          <w:szCs w:val="24"/>
        </w:rPr>
        <w:t>, 2023).</w:t>
      </w:r>
    </w:p>
    <w:p w14:paraId="59D4ED78" w14:textId="125F9D62" w:rsidR="00967A28" w:rsidRPr="00521351" w:rsidRDefault="00685569" w:rsidP="00521351">
      <w:pPr>
        <w:spacing w:after="0" w:line="240" w:lineRule="auto"/>
        <w:jc w:val="both"/>
        <w:rPr>
          <w:rFonts w:ascii="Times New Roman" w:hAnsi="Times New Roman" w:cs="Times New Roman"/>
          <w:sz w:val="24"/>
          <w:szCs w:val="24"/>
        </w:rPr>
      </w:pPr>
      <w:r w:rsidRPr="00521351">
        <w:rPr>
          <w:rFonts w:ascii="Times New Roman" w:hAnsi="Times New Roman" w:cs="Times New Roman"/>
          <w:sz w:val="24"/>
          <w:szCs w:val="24"/>
        </w:rPr>
        <w:t>The regulatory landscape has responded to these concerns with unprecedented urgency. The European Union's Artificial Intelligence Act (EU AI Act), which entered into force in 2024, establishes a risk-based framework for AI governance with stringent transparency obligations (Sapienza &amp; Palmirani, 2025). Article 50 of the EU AI Act mandates that providers of AI systems inform users when they interact with an AI system, unless it is obvious or the AI is used for legal purposes. For high-risk AI systems, the Act requires detailed documentation and human oversight. The General Data Protection Regulation (GDPR), enacted in 2018, similarly mandates a "right to explanation" for individuals affected by automated decision-making (Wulf &amp; Seizov, 2024). These regulatory requirements have created an urgent imperative for organizations to develop AI systems that are not only effective but also transparent and accountable.</w:t>
      </w:r>
      <w:r w:rsidRPr="00521351">
        <w:rPr>
          <w:rFonts w:ascii="Times New Roman" w:hAnsi="Times New Roman" w:cs="Times New Roman"/>
          <w:sz w:val="24"/>
          <w:szCs w:val="24"/>
        </w:rPr>
        <w:br/>
        <w:t>This paper addresses this critical challenge by investigating how organizations can design and implement AI systems that balance performance with explainability and accountability. The research synthesizes findings from a systematic literature review across computer science, management, and legal scholarship to propose a comprehensive framework for designing accountable AI systems in business contexts.</w:t>
      </w:r>
    </w:p>
    <w:p w14:paraId="171E899C" w14:textId="77777777" w:rsidR="00EA267F" w:rsidRPr="00521351" w:rsidRDefault="00EA267F" w:rsidP="00521351">
      <w:pPr>
        <w:spacing w:after="0" w:line="240" w:lineRule="auto"/>
        <w:jc w:val="both"/>
        <w:rPr>
          <w:rFonts w:ascii="Times New Roman" w:hAnsi="Times New Roman" w:cs="Times New Roman"/>
          <w:color w:val="000000" w:themeColor="text1"/>
          <w:sz w:val="24"/>
          <w:szCs w:val="24"/>
          <w:lang w:val="en-US"/>
        </w:rPr>
      </w:pPr>
    </w:p>
    <w:p w14:paraId="547A9EDD" w14:textId="77777777" w:rsidR="005811C7" w:rsidRPr="00521351" w:rsidRDefault="00000000" w:rsidP="00521351">
      <w:pPr>
        <w:spacing w:after="0" w:line="240" w:lineRule="auto"/>
        <w:rPr>
          <w:rFonts w:ascii="Times New Roman" w:hAnsi="Times New Roman" w:cs="Times New Roman"/>
          <w:b/>
          <w:bCs/>
          <w:sz w:val="24"/>
          <w:szCs w:val="24"/>
        </w:rPr>
      </w:pPr>
      <w:r w:rsidRPr="00521351">
        <w:rPr>
          <w:rFonts w:ascii="Times New Roman" w:hAnsi="Times New Roman" w:cs="Times New Roman"/>
          <w:b/>
          <w:bCs/>
          <w:sz w:val="24"/>
          <w:szCs w:val="24"/>
        </w:rPr>
        <w:t>2    Literature review</w:t>
      </w:r>
    </w:p>
    <w:p w14:paraId="7F2D708E" w14:textId="77777777" w:rsidR="005811C7" w:rsidRPr="00521351" w:rsidRDefault="00000000" w:rsidP="00521351">
      <w:pPr>
        <w:spacing w:after="0" w:line="240" w:lineRule="auto"/>
        <w:rPr>
          <w:rFonts w:ascii="Times New Roman" w:hAnsi="Times New Roman" w:cs="Times New Roman"/>
          <w:b/>
          <w:bCs/>
          <w:i/>
          <w:iCs/>
          <w:sz w:val="24"/>
          <w:szCs w:val="24"/>
        </w:rPr>
      </w:pPr>
      <w:r w:rsidRPr="00521351">
        <w:rPr>
          <w:rFonts w:ascii="Times New Roman" w:hAnsi="Times New Roman" w:cs="Times New Roman"/>
          <w:b/>
          <w:bCs/>
          <w:i/>
          <w:iCs/>
          <w:sz w:val="24"/>
          <w:szCs w:val="24"/>
        </w:rPr>
        <w:t>2.1    The Evolution of Explainable AI (XAI)</w:t>
      </w:r>
    </w:p>
    <w:p w14:paraId="2589EA4C" w14:textId="72A4CD3B" w:rsidR="00B25B63" w:rsidRPr="00521351" w:rsidRDefault="00000000" w:rsidP="00521351">
      <w:pPr>
        <w:spacing w:after="0" w:line="240" w:lineRule="auto"/>
        <w:jc w:val="both"/>
        <w:rPr>
          <w:rFonts w:ascii="Times New Roman" w:hAnsi="Times New Roman" w:cs="Times New Roman"/>
          <w:sz w:val="24"/>
          <w:szCs w:val="24"/>
        </w:rPr>
      </w:pPr>
      <w:r w:rsidRPr="00521351">
        <w:rPr>
          <w:rFonts w:ascii="Times New Roman" w:hAnsi="Times New Roman" w:cs="Times New Roman"/>
          <w:sz w:val="24"/>
          <w:szCs w:val="24"/>
        </w:rPr>
        <w:t>Explainable Artificial Intelligence (XAI) has emerged as a distinct research area in response to the growing deployment of AI systems in high-stakes domains. The field addresses a fundamental question: how can we make complex machine learning models understandable to humans without sacrificing predictive performance (Saranya &amp; Subhashini, 2023)</w:t>
      </w:r>
      <w:r w:rsidR="00B25B63" w:rsidRPr="00521351">
        <w:rPr>
          <w:rFonts w:ascii="Times New Roman" w:hAnsi="Times New Roman" w:cs="Times New Roman"/>
          <w:sz w:val="24"/>
          <w:szCs w:val="24"/>
        </w:rPr>
        <w:t>.</w:t>
      </w:r>
    </w:p>
    <w:p w14:paraId="25EFBB46" w14:textId="1815C385" w:rsidR="00B25B63" w:rsidRPr="00521351" w:rsidRDefault="00000000" w:rsidP="00521351">
      <w:pPr>
        <w:spacing w:after="0" w:line="240" w:lineRule="auto"/>
        <w:jc w:val="both"/>
        <w:rPr>
          <w:rFonts w:ascii="Times New Roman" w:hAnsi="Times New Roman" w:cs="Times New Roman"/>
          <w:sz w:val="24"/>
          <w:szCs w:val="24"/>
        </w:rPr>
      </w:pPr>
      <w:r w:rsidRPr="00521351">
        <w:rPr>
          <w:rFonts w:ascii="Times New Roman" w:hAnsi="Times New Roman" w:cs="Times New Roman"/>
          <w:sz w:val="24"/>
          <w:szCs w:val="24"/>
        </w:rPr>
        <w:t>Three key concepts underpin XAI: transparency, interpretability, and justifiability. Transparency refers to how open the system is about its processes and decision-making logic. Interpretability describes the degree to which humans can understand the cause of AI system decisions. Justifiability encompasses the system's ability to provide valid reasons for its decisions that align with human values and expectations (Tchuente et al., 2024). These three dimensions are not interchangeable; a system can be transparent without being interpretable, and interpretable without being justifiable.</w:t>
      </w:r>
      <w:r w:rsidR="00521351">
        <w:rPr>
          <w:rFonts w:ascii="Times New Roman" w:hAnsi="Times New Roman" w:cs="Times New Roman"/>
          <w:sz w:val="24"/>
          <w:szCs w:val="24"/>
        </w:rPr>
        <w:t xml:space="preserve"> </w:t>
      </w:r>
      <w:r w:rsidRPr="00521351">
        <w:rPr>
          <w:rFonts w:ascii="Times New Roman" w:hAnsi="Times New Roman" w:cs="Times New Roman"/>
          <w:sz w:val="24"/>
          <w:szCs w:val="24"/>
        </w:rPr>
        <w:t>The evolution from inherently interpretable models to post-hoc explanation methods reflects the broader tension in machine learning. Early machine learning systems often employed inherently interpretable models such as decision trees, linear regression, and rule-based systems. These models sacrifice predictive accuracy for transparency</w:t>
      </w:r>
      <w:r w:rsidR="00404505">
        <w:rPr>
          <w:rFonts w:ascii="Times New Roman" w:hAnsi="Times New Roman" w:cs="Times New Roman"/>
          <w:sz w:val="24"/>
          <w:szCs w:val="24"/>
        </w:rPr>
        <w:t xml:space="preserve"> - </w:t>
      </w:r>
      <w:r w:rsidRPr="00521351">
        <w:rPr>
          <w:rFonts w:ascii="Times New Roman" w:hAnsi="Times New Roman" w:cs="Times New Roman"/>
          <w:sz w:val="24"/>
          <w:szCs w:val="24"/>
        </w:rPr>
        <w:t>stakeholders can easily understand how inputs map to outputs. However, as the field matured and applications became more complex, practitioners increasingly adopted black-box models that achieved superior performance but sacrificed interpretability (Azodi et al., 2020).</w:t>
      </w:r>
    </w:p>
    <w:p w14:paraId="0D43E37C" w14:textId="2BE31724" w:rsidR="005811C7" w:rsidRDefault="00000000" w:rsidP="00521351">
      <w:pPr>
        <w:spacing w:after="0" w:line="240" w:lineRule="auto"/>
        <w:jc w:val="both"/>
        <w:rPr>
          <w:rFonts w:ascii="Times New Roman" w:hAnsi="Times New Roman" w:cs="Times New Roman"/>
          <w:sz w:val="24"/>
          <w:szCs w:val="24"/>
        </w:rPr>
      </w:pPr>
      <w:r w:rsidRPr="00521351">
        <w:rPr>
          <w:rFonts w:ascii="Times New Roman" w:hAnsi="Times New Roman" w:cs="Times New Roman"/>
          <w:sz w:val="24"/>
          <w:szCs w:val="24"/>
        </w:rPr>
        <w:t>This shift prompted researchers to develop post-hoc explanation methods</w:t>
      </w:r>
      <w:r w:rsidR="00404505">
        <w:rPr>
          <w:rFonts w:ascii="Times New Roman" w:hAnsi="Times New Roman" w:cs="Times New Roman"/>
          <w:sz w:val="24"/>
          <w:szCs w:val="24"/>
        </w:rPr>
        <w:t xml:space="preserve">, </w:t>
      </w:r>
      <w:r w:rsidRPr="00521351">
        <w:rPr>
          <w:rFonts w:ascii="Times New Roman" w:hAnsi="Times New Roman" w:cs="Times New Roman"/>
          <w:sz w:val="24"/>
          <w:szCs w:val="24"/>
        </w:rPr>
        <w:t xml:space="preserve">techniques that explain predictions from already-trained black-box models without requiring changes to the </w:t>
      </w:r>
      <w:r w:rsidRPr="00521351">
        <w:rPr>
          <w:rFonts w:ascii="Times New Roman" w:hAnsi="Times New Roman" w:cs="Times New Roman"/>
          <w:sz w:val="24"/>
          <w:szCs w:val="24"/>
        </w:rPr>
        <w:lastRenderedPageBreak/>
        <w:t>model itself. These methods represent a pragmatic compromise: organizations can deploy high-performance models while still providing explanations to stakeholders (Petch et al., 2022).</w:t>
      </w:r>
    </w:p>
    <w:p w14:paraId="1C3C81C3" w14:textId="77777777" w:rsidR="00521351" w:rsidRPr="00521351" w:rsidRDefault="00521351" w:rsidP="00521351">
      <w:pPr>
        <w:spacing w:after="0" w:line="240" w:lineRule="auto"/>
        <w:jc w:val="both"/>
        <w:rPr>
          <w:rFonts w:ascii="Times New Roman" w:hAnsi="Times New Roman" w:cs="Times New Roman"/>
          <w:sz w:val="24"/>
          <w:szCs w:val="24"/>
        </w:rPr>
      </w:pPr>
    </w:p>
    <w:p w14:paraId="007AD51B" w14:textId="77777777" w:rsidR="005811C7" w:rsidRPr="00521351" w:rsidRDefault="00000000" w:rsidP="00521351">
      <w:pPr>
        <w:spacing w:after="0" w:line="240" w:lineRule="auto"/>
        <w:rPr>
          <w:rFonts w:ascii="Times New Roman" w:hAnsi="Times New Roman" w:cs="Times New Roman"/>
          <w:b/>
          <w:bCs/>
          <w:i/>
          <w:iCs/>
          <w:sz w:val="24"/>
          <w:szCs w:val="24"/>
        </w:rPr>
      </w:pPr>
      <w:r w:rsidRPr="00521351">
        <w:rPr>
          <w:rFonts w:ascii="Times New Roman" w:hAnsi="Times New Roman" w:cs="Times New Roman"/>
          <w:b/>
          <w:bCs/>
          <w:i/>
          <w:iCs/>
          <w:sz w:val="24"/>
          <w:szCs w:val="24"/>
        </w:rPr>
        <w:t>2.2    Technical Approaches to Explainability</w:t>
      </w:r>
    </w:p>
    <w:p w14:paraId="034E241C" w14:textId="25315F1C" w:rsidR="005811C7" w:rsidRDefault="00000000" w:rsidP="00521351">
      <w:pPr>
        <w:spacing w:after="0" w:line="240" w:lineRule="auto"/>
        <w:jc w:val="both"/>
        <w:rPr>
          <w:rFonts w:ascii="Times New Roman" w:hAnsi="Times New Roman" w:cs="Times New Roman"/>
          <w:sz w:val="24"/>
          <w:szCs w:val="24"/>
        </w:rPr>
      </w:pPr>
      <w:r w:rsidRPr="00521351">
        <w:rPr>
          <w:rFonts w:ascii="Times New Roman" w:hAnsi="Times New Roman" w:cs="Times New Roman"/>
          <w:sz w:val="24"/>
          <w:szCs w:val="24"/>
        </w:rPr>
        <w:t>The most widely adopted XAI techniques are Local Interpretable Model-Agnostic Explanations (LIME) and SHapley Additive exPlanations (SHAP). Both methods have become industry standards for explaining machine learning predictions, particularly in financial services and healthcare (Hettikankanamage et al., 2025).</w:t>
      </w:r>
      <w:r w:rsidR="00B25B63" w:rsidRPr="00521351">
        <w:rPr>
          <w:rFonts w:ascii="Times New Roman" w:hAnsi="Times New Roman" w:cs="Times New Roman"/>
          <w:sz w:val="24"/>
          <w:szCs w:val="24"/>
        </w:rPr>
        <w:t xml:space="preserve"> </w:t>
      </w:r>
      <w:r w:rsidRPr="00521351">
        <w:rPr>
          <w:rFonts w:ascii="Times New Roman" w:hAnsi="Times New Roman" w:cs="Times New Roman"/>
          <w:sz w:val="24"/>
          <w:szCs w:val="24"/>
        </w:rPr>
        <w:t>LIME, developed by Ribeiro et al. (2016), works by creating local approximations of complex models. For a given prediction, LIME perturbs the input data and observes how the model's predictions change. It then fits a simple, interpretable model (typically a linear model) to these perturbed inputs and predictions. The coefficients of this simple model reveal which features most influenced the prediction. LIME's key advantage is its model-agnostic nature—it can explain any machine learning model without requiring access to the model's internal parameters (Ribeiro et al., 2016).</w:t>
      </w:r>
      <w:r w:rsidR="00B25B63" w:rsidRPr="00521351">
        <w:rPr>
          <w:rFonts w:ascii="Times New Roman" w:hAnsi="Times New Roman" w:cs="Times New Roman"/>
          <w:sz w:val="24"/>
          <w:szCs w:val="24"/>
        </w:rPr>
        <w:t xml:space="preserve"> </w:t>
      </w:r>
      <w:r w:rsidRPr="00521351">
        <w:rPr>
          <w:rFonts w:ascii="Times New Roman" w:hAnsi="Times New Roman" w:cs="Times New Roman"/>
          <w:sz w:val="24"/>
          <w:szCs w:val="24"/>
        </w:rPr>
        <w:t>SHAP, developed by Lundberg &amp; Lee (2017), is grounded in game theory and the Shapley value concept from cooperative game theory. SHAP calculates each feature's contribution to the difference between the model's prediction and the average prediction across the dataset. This approach provides both local explanations (why a specific prediction was made) and global explanations (which features are most important overall). SHAP has gained particular traction in financial services because its game-theoretic foundation provides a principled, mathematically sound approach to feature attribution (Lundberg &amp; Lee, 2017).</w:t>
      </w:r>
      <w:r w:rsidR="00B25B63" w:rsidRPr="00521351">
        <w:rPr>
          <w:rFonts w:ascii="Times New Roman" w:hAnsi="Times New Roman" w:cs="Times New Roman"/>
          <w:sz w:val="24"/>
          <w:szCs w:val="24"/>
        </w:rPr>
        <w:t xml:space="preserve"> </w:t>
      </w:r>
      <w:r w:rsidRPr="00521351">
        <w:rPr>
          <w:rFonts w:ascii="Times New Roman" w:hAnsi="Times New Roman" w:cs="Times New Roman"/>
          <w:sz w:val="24"/>
          <w:szCs w:val="24"/>
        </w:rPr>
        <w:t>Recent research has highlighted both the strengths and limitations of these techniques. While LIME and SHAP are widely applicable and relatively easy to implement, they have important limitations. Both methods assume feature independence, which may not hold in real-world data. Their explanations can be sensitive to hyperparameter choices, and the quality of explanations is difficult to validate objectively (Salih et al., 2025). Additionally, these techniques provide local explanations that may not generalize to the global model behavior.</w:t>
      </w:r>
    </w:p>
    <w:p w14:paraId="4C418A3F" w14:textId="77777777" w:rsidR="00521351" w:rsidRPr="00521351" w:rsidRDefault="00521351" w:rsidP="00521351">
      <w:pPr>
        <w:spacing w:after="0" w:line="240" w:lineRule="auto"/>
        <w:jc w:val="both"/>
        <w:rPr>
          <w:rFonts w:ascii="Times New Roman" w:hAnsi="Times New Roman" w:cs="Times New Roman"/>
          <w:sz w:val="24"/>
          <w:szCs w:val="24"/>
        </w:rPr>
      </w:pPr>
    </w:p>
    <w:p w14:paraId="67CBFB98" w14:textId="77777777" w:rsidR="005811C7" w:rsidRPr="00521351" w:rsidRDefault="00000000" w:rsidP="00521351">
      <w:pPr>
        <w:spacing w:after="0" w:line="240" w:lineRule="auto"/>
        <w:rPr>
          <w:rFonts w:ascii="Times New Roman" w:hAnsi="Times New Roman" w:cs="Times New Roman"/>
          <w:b/>
          <w:bCs/>
          <w:i/>
          <w:iCs/>
          <w:sz w:val="24"/>
          <w:szCs w:val="24"/>
        </w:rPr>
      </w:pPr>
      <w:r w:rsidRPr="00521351">
        <w:rPr>
          <w:rFonts w:ascii="Times New Roman" w:hAnsi="Times New Roman" w:cs="Times New Roman"/>
          <w:b/>
          <w:bCs/>
          <w:i/>
          <w:iCs/>
          <w:sz w:val="24"/>
          <w:szCs w:val="24"/>
        </w:rPr>
        <w:t>2.3    The Trust-Transparency Nexus</w:t>
      </w:r>
    </w:p>
    <w:p w14:paraId="4B0A3ED2" w14:textId="3CCC21A7" w:rsidR="00521351" w:rsidRDefault="00000000" w:rsidP="00521351">
      <w:pPr>
        <w:spacing w:after="0" w:line="240" w:lineRule="auto"/>
        <w:jc w:val="both"/>
        <w:rPr>
          <w:rFonts w:ascii="Times New Roman" w:hAnsi="Times New Roman" w:cs="Times New Roman"/>
          <w:sz w:val="24"/>
          <w:szCs w:val="24"/>
        </w:rPr>
      </w:pPr>
      <w:r w:rsidRPr="00521351">
        <w:rPr>
          <w:rFonts w:ascii="Times New Roman" w:hAnsi="Times New Roman" w:cs="Times New Roman"/>
          <w:sz w:val="24"/>
          <w:szCs w:val="24"/>
        </w:rPr>
        <w:t>Trust in AI systems is multifaceted and context-dependent. Research in human-AI collaboration has identified several factors that influence trust formation: system reliability, transparency, fairness, and the presence of human oversight (Afroogh et al., 2024). Explainability plays a crucial role in this trust formation process, but the relationship is not straightforward.</w:t>
      </w:r>
      <w:r w:rsidRPr="00521351">
        <w:rPr>
          <w:rFonts w:ascii="Times New Roman" w:hAnsi="Times New Roman" w:cs="Times New Roman"/>
          <w:sz w:val="24"/>
          <w:szCs w:val="24"/>
        </w:rPr>
        <w:br/>
        <w:t>Transparency and explainability increase stakeholder understanding of how AI systems make decisions, which can enhance trust. However, research has also identified a "trust-action gap"—a phenomenon where increased transparency does not automatically translate into increased adoption or reliance on AI systems (</w:t>
      </w:r>
      <w:r w:rsidR="00E20346">
        <w:rPr>
          <w:rFonts w:ascii="Times New Roman" w:hAnsi="Times New Roman" w:cs="Times New Roman"/>
          <w:sz w:val="24"/>
          <w:szCs w:val="24"/>
        </w:rPr>
        <w:t>Ning et al.</w:t>
      </w:r>
      <w:r w:rsidRPr="00521351">
        <w:rPr>
          <w:rFonts w:ascii="Times New Roman" w:hAnsi="Times New Roman" w:cs="Times New Roman"/>
          <w:sz w:val="24"/>
          <w:szCs w:val="24"/>
        </w:rPr>
        <w:t>, 202</w:t>
      </w:r>
      <w:r w:rsidR="00E20346">
        <w:rPr>
          <w:rFonts w:ascii="Times New Roman" w:hAnsi="Times New Roman" w:cs="Times New Roman"/>
          <w:sz w:val="24"/>
          <w:szCs w:val="24"/>
        </w:rPr>
        <w:t>4</w:t>
      </w:r>
      <w:r w:rsidRPr="00521351">
        <w:rPr>
          <w:rFonts w:ascii="Times New Roman" w:hAnsi="Times New Roman" w:cs="Times New Roman"/>
          <w:sz w:val="24"/>
          <w:szCs w:val="24"/>
        </w:rPr>
        <w:t>). This gap suggests that explainability is necessary but not sufficient for building trust. Other factors, including the perceived fairness of decisions, the presence of human oversight, and alignment with stakeholder values, also influence trust formation (Park et al., 2025).</w:t>
      </w:r>
      <w:r w:rsidR="00521351">
        <w:rPr>
          <w:rFonts w:ascii="Times New Roman" w:hAnsi="Times New Roman" w:cs="Times New Roman"/>
          <w:sz w:val="24"/>
          <w:szCs w:val="24"/>
        </w:rPr>
        <w:t xml:space="preserve"> </w:t>
      </w:r>
    </w:p>
    <w:p w14:paraId="2D01FCC0" w14:textId="77777777" w:rsidR="00521351" w:rsidRDefault="00000000" w:rsidP="00521351">
      <w:pPr>
        <w:spacing w:after="0" w:line="240" w:lineRule="auto"/>
        <w:jc w:val="both"/>
        <w:rPr>
          <w:rFonts w:ascii="Times New Roman" w:hAnsi="Times New Roman" w:cs="Times New Roman"/>
          <w:sz w:val="24"/>
          <w:szCs w:val="24"/>
        </w:rPr>
      </w:pPr>
      <w:r w:rsidRPr="00521351">
        <w:rPr>
          <w:rFonts w:ascii="Times New Roman" w:hAnsi="Times New Roman" w:cs="Times New Roman"/>
          <w:sz w:val="24"/>
          <w:szCs w:val="24"/>
        </w:rPr>
        <w:t>In business decision-making contexts, stakeholders have different trust requirements. Customers may prioritize assurance that their personal data is protected and that decisions affecting them are fair. Employees may focus on whether hiring or promotion decisions are based on relevant qualifications rather than bias. Regulators emphasize compliance with legal requirements and the ability to audit decision-making processes. Designers and data scientists need to understand these diverse stakeholder perspectives when implementing explainability mechanisms (Wen et al., 2025).</w:t>
      </w:r>
      <w:r w:rsidR="00521351">
        <w:rPr>
          <w:rFonts w:ascii="Times New Roman" w:hAnsi="Times New Roman" w:cs="Times New Roman"/>
          <w:sz w:val="24"/>
          <w:szCs w:val="24"/>
        </w:rPr>
        <w:t xml:space="preserve"> </w:t>
      </w:r>
    </w:p>
    <w:p w14:paraId="177FEF1E" w14:textId="7634D6D7" w:rsidR="005811C7" w:rsidRDefault="00000000" w:rsidP="00521351">
      <w:pPr>
        <w:spacing w:after="0" w:line="240" w:lineRule="auto"/>
        <w:jc w:val="both"/>
        <w:rPr>
          <w:rFonts w:ascii="Times New Roman" w:hAnsi="Times New Roman" w:cs="Times New Roman"/>
          <w:sz w:val="24"/>
          <w:szCs w:val="24"/>
        </w:rPr>
      </w:pPr>
      <w:r w:rsidRPr="00521351">
        <w:rPr>
          <w:rFonts w:ascii="Times New Roman" w:hAnsi="Times New Roman" w:cs="Times New Roman"/>
          <w:sz w:val="24"/>
          <w:szCs w:val="24"/>
        </w:rPr>
        <w:t>Recent research on human-AI collaboration in decision-making has shown that trust is calibrated—stakeholders develop appropriate levels of reliance on AI systems based on their understanding of system capabilities and limitations (Ding et al., 202</w:t>
      </w:r>
      <w:r w:rsidR="00E33A00">
        <w:rPr>
          <w:rFonts w:ascii="Times New Roman" w:hAnsi="Times New Roman" w:cs="Times New Roman"/>
          <w:sz w:val="24"/>
          <w:szCs w:val="24"/>
        </w:rPr>
        <w:t>5</w:t>
      </w:r>
      <w:r w:rsidRPr="00521351">
        <w:rPr>
          <w:rFonts w:ascii="Times New Roman" w:hAnsi="Times New Roman" w:cs="Times New Roman"/>
          <w:sz w:val="24"/>
          <w:szCs w:val="24"/>
        </w:rPr>
        <w:t>). Explainability contributes to this calibration by helping stakeholders understand when AI recommendations are reliable and when human judgment should override AI suggestions (Choung et al., 2025).</w:t>
      </w:r>
    </w:p>
    <w:p w14:paraId="73E52629" w14:textId="77777777" w:rsidR="00521351" w:rsidRPr="00521351" w:rsidRDefault="00521351" w:rsidP="00521351">
      <w:pPr>
        <w:spacing w:after="0" w:line="240" w:lineRule="auto"/>
        <w:jc w:val="both"/>
        <w:rPr>
          <w:rFonts w:ascii="Times New Roman" w:hAnsi="Times New Roman" w:cs="Times New Roman"/>
          <w:sz w:val="24"/>
          <w:szCs w:val="24"/>
        </w:rPr>
      </w:pPr>
    </w:p>
    <w:p w14:paraId="2205048D" w14:textId="77777777" w:rsidR="005811C7" w:rsidRPr="00521351" w:rsidRDefault="00000000" w:rsidP="00521351">
      <w:pPr>
        <w:spacing w:after="0" w:line="240" w:lineRule="auto"/>
        <w:jc w:val="both"/>
        <w:rPr>
          <w:rFonts w:ascii="Times New Roman" w:hAnsi="Times New Roman" w:cs="Times New Roman"/>
          <w:b/>
          <w:bCs/>
          <w:i/>
          <w:iCs/>
          <w:sz w:val="24"/>
          <w:szCs w:val="24"/>
        </w:rPr>
      </w:pPr>
      <w:r w:rsidRPr="00521351">
        <w:rPr>
          <w:rFonts w:ascii="Times New Roman" w:hAnsi="Times New Roman" w:cs="Times New Roman"/>
          <w:b/>
          <w:bCs/>
          <w:i/>
          <w:iCs/>
          <w:sz w:val="24"/>
          <w:szCs w:val="24"/>
        </w:rPr>
        <w:t>2.4    Regulatory Frameworks and Algorithmic Accountability</w:t>
      </w:r>
    </w:p>
    <w:p w14:paraId="2E2BA8A5" w14:textId="694A40B3" w:rsidR="00521351" w:rsidRDefault="00000000" w:rsidP="00521351">
      <w:pPr>
        <w:spacing w:after="0" w:line="240" w:lineRule="auto"/>
        <w:jc w:val="both"/>
        <w:rPr>
          <w:rFonts w:ascii="Times New Roman" w:hAnsi="Times New Roman" w:cs="Times New Roman"/>
          <w:sz w:val="24"/>
          <w:szCs w:val="24"/>
        </w:rPr>
      </w:pPr>
      <w:r w:rsidRPr="00521351">
        <w:rPr>
          <w:rFonts w:ascii="Times New Roman" w:hAnsi="Times New Roman" w:cs="Times New Roman"/>
          <w:sz w:val="24"/>
          <w:szCs w:val="24"/>
        </w:rPr>
        <w:lastRenderedPageBreak/>
        <w:t>The regulatory landscape for AI has evolved rapidly, with multiple jurisdictions implementing frameworks that mandate explainability and accountability. The EU AI Act represents the most comprehensive regulatory approach to date (</w:t>
      </w:r>
      <w:proofErr w:type="spellStart"/>
      <w:r w:rsidRPr="00521351">
        <w:rPr>
          <w:rFonts w:ascii="Times New Roman" w:hAnsi="Times New Roman" w:cs="Times New Roman"/>
          <w:sz w:val="24"/>
          <w:szCs w:val="24"/>
        </w:rPr>
        <w:t>Seifi</w:t>
      </w:r>
      <w:proofErr w:type="spellEnd"/>
      <w:r w:rsidR="00E20346">
        <w:rPr>
          <w:rFonts w:ascii="Times New Roman" w:hAnsi="Times New Roman" w:cs="Times New Roman"/>
          <w:sz w:val="24"/>
          <w:szCs w:val="24"/>
        </w:rPr>
        <w:t xml:space="preserve"> et al.</w:t>
      </w:r>
      <w:r w:rsidRPr="00521351">
        <w:rPr>
          <w:rFonts w:ascii="Times New Roman" w:hAnsi="Times New Roman" w:cs="Times New Roman"/>
          <w:sz w:val="24"/>
          <w:szCs w:val="24"/>
        </w:rPr>
        <w:t>, 2025).</w:t>
      </w:r>
      <w:r w:rsidR="00521351">
        <w:rPr>
          <w:rFonts w:ascii="Times New Roman" w:hAnsi="Times New Roman" w:cs="Times New Roman"/>
          <w:sz w:val="24"/>
          <w:szCs w:val="24"/>
        </w:rPr>
        <w:t xml:space="preserve"> </w:t>
      </w:r>
      <w:r w:rsidR="00404505">
        <w:rPr>
          <w:rFonts w:ascii="Times New Roman" w:hAnsi="Times New Roman" w:cs="Times New Roman"/>
          <w:sz w:val="24"/>
          <w:szCs w:val="24"/>
        </w:rPr>
        <w:t xml:space="preserve"> </w:t>
      </w:r>
      <w:r w:rsidRPr="00521351">
        <w:rPr>
          <w:rFonts w:ascii="Times New Roman" w:hAnsi="Times New Roman" w:cs="Times New Roman"/>
          <w:sz w:val="24"/>
          <w:szCs w:val="24"/>
        </w:rPr>
        <w:t xml:space="preserve">The EU AI Act classifies AI systems into risk categories: prohibited, high-risk, limited-risk, and minimal-risk. For high-risk AI systems—those used in critical domains such as employment, credit scoring, and criminal justice—the Act mandates extensive transparency obligations. Specifically, Article 50 requires that providers inform users when they interact with an AI system. For high-risk systems, providers must maintain detailed documentation of the system's development, testing, and deployment. Additionally, affected individuals have the right to request an explanation of decisions made by high-risk AI systems (Sapienza &amp; </w:t>
      </w:r>
      <w:proofErr w:type="spellStart"/>
      <w:r w:rsidRPr="00521351">
        <w:rPr>
          <w:rFonts w:ascii="Times New Roman" w:hAnsi="Times New Roman" w:cs="Times New Roman"/>
          <w:sz w:val="24"/>
          <w:szCs w:val="24"/>
        </w:rPr>
        <w:t>Palmirani</w:t>
      </w:r>
      <w:proofErr w:type="spellEnd"/>
      <w:r w:rsidRPr="00521351">
        <w:rPr>
          <w:rFonts w:ascii="Times New Roman" w:hAnsi="Times New Roman" w:cs="Times New Roman"/>
          <w:sz w:val="24"/>
          <w:szCs w:val="24"/>
        </w:rPr>
        <w:t>, 2025).</w:t>
      </w:r>
      <w:r w:rsidR="00521351">
        <w:rPr>
          <w:rFonts w:ascii="Times New Roman" w:hAnsi="Times New Roman" w:cs="Times New Roman"/>
          <w:sz w:val="24"/>
          <w:szCs w:val="24"/>
        </w:rPr>
        <w:t xml:space="preserve"> </w:t>
      </w:r>
    </w:p>
    <w:p w14:paraId="07AED358" w14:textId="77777777" w:rsidR="00521351" w:rsidRDefault="00000000" w:rsidP="00521351">
      <w:pPr>
        <w:spacing w:after="0" w:line="240" w:lineRule="auto"/>
        <w:jc w:val="both"/>
        <w:rPr>
          <w:rFonts w:ascii="Times New Roman" w:hAnsi="Times New Roman" w:cs="Times New Roman"/>
          <w:sz w:val="24"/>
          <w:szCs w:val="24"/>
        </w:rPr>
      </w:pPr>
      <w:r w:rsidRPr="00521351">
        <w:rPr>
          <w:rFonts w:ascii="Times New Roman" w:hAnsi="Times New Roman" w:cs="Times New Roman"/>
          <w:sz w:val="24"/>
          <w:szCs w:val="24"/>
        </w:rPr>
        <w:t>The GDPR, enacted in 2018, contains complementary provisions. Article 22 restricts automated decision-making that produces legal or similarly significant effects, requiring that individuals have the right to obtain human review of such decisions. Article 13 mandates that organizations provide information about the logic of automated decision-making to data subjects. These provisions create a legal foundation for the right to explanation, though the practical implementation of this right remains contested (Wulf &amp; Seizov, 2024).</w:t>
      </w:r>
      <w:r w:rsidR="00521351">
        <w:rPr>
          <w:rFonts w:ascii="Times New Roman" w:hAnsi="Times New Roman" w:cs="Times New Roman"/>
          <w:sz w:val="24"/>
          <w:szCs w:val="24"/>
        </w:rPr>
        <w:t xml:space="preserve"> </w:t>
      </w:r>
    </w:p>
    <w:p w14:paraId="294DFEAE" w14:textId="2EB61370" w:rsidR="00521351" w:rsidRDefault="00000000" w:rsidP="00521351">
      <w:pPr>
        <w:spacing w:after="0" w:line="240" w:lineRule="auto"/>
        <w:jc w:val="both"/>
        <w:rPr>
          <w:rFonts w:ascii="Times New Roman" w:hAnsi="Times New Roman" w:cs="Times New Roman"/>
          <w:sz w:val="24"/>
          <w:szCs w:val="24"/>
        </w:rPr>
      </w:pPr>
      <w:r w:rsidRPr="00521351">
        <w:rPr>
          <w:rFonts w:ascii="Times New Roman" w:hAnsi="Times New Roman" w:cs="Times New Roman"/>
          <w:sz w:val="24"/>
          <w:szCs w:val="24"/>
        </w:rPr>
        <w:t>Beyond Europe, other jurisdictions are developing AI governance frameworks. The United States has issued an Executive Order on AI that emphasizes responsible development and deployment. The NIST AI Risk Management Framework identifies seven key characteristics of trustworthy AI: validity and reliability, safety, security and resilience, accountability, transparency and explainability, and fairness. The United Kingdom has adopted a principles-based approach to AI regulation, emphasizing innovation while ensuring responsible development (</w:t>
      </w:r>
      <w:r w:rsidR="00E33A00">
        <w:rPr>
          <w:rFonts w:ascii="Times New Roman" w:hAnsi="Times New Roman" w:cs="Times New Roman"/>
          <w:sz w:val="24"/>
          <w:szCs w:val="24"/>
        </w:rPr>
        <w:t>Leopard &amp; Epstein</w:t>
      </w:r>
      <w:r w:rsidRPr="00521351">
        <w:rPr>
          <w:rFonts w:ascii="Times New Roman" w:hAnsi="Times New Roman" w:cs="Times New Roman"/>
          <w:sz w:val="24"/>
          <w:szCs w:val="24"/>
        </w:rPr>
        <w:t>, 2025).</w:t>
      </w:r>
      <w:r w:rsidR="00521351">
        <w:rPr>
          <w:rFonts w:ascii="Times New Roman" w:hAnsi="Times New Roman" w:cs="Times New Roman"/>
          <w:sz w:val="24"/>
          <w:szCs w:val="24"/>
        </w:rPr>
        <w:t xml:space="preserve"> </w:t>
      </w:r>
    </w:p>
    <w:p w14:paraId="358C66F8" w14:textId="02AFB20B" w:rsidR="005811C7" w:rsidRPr="00521351" w:rsidRDefault="00000000" w:rsidP="00521351">
      <w:pPr>
        <w:spacing w:after="0" w:line="240" w:lineRule="auto"/>
        <w:jc w:val="both"/>
        <w:rPr>
          <w:rFonts w:ascii="Times New Roman" w:hAnsi="Times New Roman" w:cs="Times New Roman"/>
          <w:sz w:val="24"/>
          <w:szCs w:val="24"/>
        </w:rPr>
      </w:pPr>
      <w:r w:rsidRPr="00521351">
        <w:rPr>
          <w:rFonts w:ascii="Times New Roman" w:hAnsi="Times New Roman" w:cs="Times New Roman"/>
          <w:sz w:val="24"/>
          <w:szCs w:val="24"/>
        </w:rPr>
        <w:t>The shift toward "XAI-Compliance-by-Design" represents an important development in AI governance. Rather than treating explainability as an afterthought, organizations are increasingly integrating explainability requirements into the AI development process from the outset. This approach involves documenting explainability requirements during the design phase, selecting appropriate technical methods and organizational governance structures, and continuously monitoring the system's explainability and fairness in production (Goncalves &amp; Correia, 2026).</w:t>
      </w:r>
    </w:p>
    <w:p w14:paraId="66571873" w14:textId="77777777" w:rsidR="005811C7" w:rsidRPr="00521351" w:rsidRDefault="005811C7" w:rsidP="00521351">
      <w:pPr>
        <w:spacing w:after="0" w:line="240" w:lineRule="auto"/>
        <w:jc w:val="both"/>
        <w:rPr>
          <w:rFonts w:ascii="Times New Roman" w:hAnsi="Times New Roman" w:cs="Times New Roman"/>
          <w:sz w:val="24"/>
          <w:szCs w:val="24"/>
        </w:rPr>
      </w:pPr>
    </w:p>
    <w:p w14:paraId="3651E43F" w14:textId="77777777" w:rsidR="005811C7" w:rsidRPr="00521351" w:rsidRDefault="00000000" w:rsidP="00521351">
      <w:pPr>
        <w:spacing w:after="0" w:line="240" w:lineRule="auto"/>
        <w:jc w:val="both"/>
        <w:rPr>
          <w:rFonts w:ascii="Times New Roman" w:hAnsi="Times New Roman" w:cs="Times New Roman"/>
          <w:b/>
          <w:bCs/>
          <w:sz w:val="24"/>
          <w:szCs w:val="24"/>
        </w:rPr>
      </w:pPr>
      <w:r w:rsidRPr="00521351">
        <w:rPr>
          <w:rFonts w:ascii="Times New Roman" w:hAnsi="Times New Roman" w:cs="Times New Roman"/>
          <w:b/>
          <w:bCs/>
          <w:sz w:val="24"/>
          <w:szCs w:val="24"/>
        </w:rPr>
        <w:t>3    Methodology</w:t>
      </w:r>
    </w:p>
    <w:p w14:paraId="7EAE1103" w14:textId="77777777" w:rsidR="005811C7" w:rsidRPr="00521351" w:rsidRDefault="00000000" w:rsidP="00521351">
      <w:pPr>
        <w:spacing w:after="0" w:line="240" w:lineRule="auto"/>
        <w:jc w:val="both"/>
        <w:rPr>
          <w:rFonts w:ascii="Times New Roman" w:hAnsi="Times New Roman" w:cs="Times New Roman"/>
          <w:b/>
          <w:bCs/>
          <w:i/>
          <w:iCs/>
          <w:sz w:val="24"/>
          <w:szCs w:val="24"/>
        </w:rPr>
      </w:pPr>
      <w:r w:rsidRPr="00521351">
        <w:rPr>
          <w:rFonts w:ascii="Times New Roman" w:hAnsi="Times New Roman" w:cs="Times New Roman"/>
          <w:b/>
          <w:bCs/>
          <w:i/>
          <w:iCs/>
          <w:sz w:val="24"/>
          <w:szCs w:val="24"/>
        </w:rPr>
        <w:t>3.1    Research Design and Questions</w:t>
      </w:r>
    </w:p>
    <w:p w14:paraId="5645F84D" w14:textId="77777777" w:rsidR="00521351" w:rsidRDefault="00000000" w:rsidP="00521351">
      <w:pPr>
        <w:spacing w:after="0" w:line="240" w:lineRule="auto"/>
        <w:jc w:val="both"/>
        <w:rPr>
          <w:rFonts w:ascii="Times New Roman" w:hAnsi="Times New Roman" w:cs="Times New Roman"/>
          <w:sz w:val="24"/>
          <w:szCs w:val="24"/>
        </w:rPr>
      </w:pPr>
      <w:r w:rsidRPr="00521351">
        <w:rPr>
          <w:rFonts w:ascii="Times New Roman" w:hAnsi="Times New Roman" w:cs="Times New Roman"/>
          <w:sz w:val="24"/>
          <w:szCs w:val="24"/>
        </w:rPr>
        <w:t>This research employs a systematic literature review combined with conceptual framework development. The study is guided by three primary research questions that structure the investigation and provide a foundation for the conclusions:</w:t>
      </w:r>
    </w:p>
    <w:p w14:paraId="6A14FFAB" w14:textId="1D23DEDA" w:rsidR="00521351" w:rsidRPr="00404505" w:rsidRDefault="00000000" w:rsidP="00521351">
      <w:pPr>
        <w:spacing w:after="0" w:line="240" w:lineRule="auto"/>
        <w:jc w:val="both"/>
        <w:rPr>
          <w:rFonts w:ascii="Times New Roman" w:hAnsi="Times New Roman" w:cs="Times New Roman"/>
          <w:sz w:val="24"/>
          <w:szCs w:val="24"/>
        </w:rPr>
      </w:pPr>
      <w:r w:rsidRPr="00404505">
        <w:rPr>
          <w:rFonts w:ascii="Times New Roman" w:hAnsi="Times New Roman" w:cs="Times New Roman"/>
          <w:sz w:val="24"/>
          <w:szCs w:val="24"/>
        </w:rPr>
        <w:t>RQ1: What are the key technical dimensions of explainability in AI systems, and how do current XAI techniques address these dimensions in high-stakes business applications?</w:t>
      </w:r>
      <w:r w:rsidRPr="00404505">
        <w:rPr>
          <w:rFonts w:ascii="Times New Roman" w:hAnsi="Times New Roman" w:cs="Times New Roman"/>
          <w:sz w:val="24"/>
          <w:szCs w:val="24"/>
        </w:rPr>
        <w:br/>
        <w:t>RQ2: How do explainability and transparency influence stakeholder trust and acceptance of AI systems in business decision-making contexts?</w:t>
      </w:r>
    </w:p>
    <w:p w14:paraId="72466A72" w14:textId="77777777" w:rsidR="00521351" w:rsidRPr="00404505" w:rsidRDefault="00000000" w:rsidP="00521351">
      <w:pPr>
        <w:spacing w:after="0" w:line="240" w:lineRule="auto"/>
        <w:jc w:val="both"/>
        <w:rPr>
          <w:rFonts w:ascii="Times New Roman" w:hAnsi="Times New Roman" w:cs="Times New Roman"/>
          <w:sz w:val="24"/>
          <w:szCs w:val="24"/>
        </w:rPr>
      </w:pPr>
      <w:r w:rsidRPr="00404505">
        <w:rPr>
          <w:rFonts w:ascii="Times New Roman" w:hAnsi="Times New Roman" w:cs="Times New Roman"/>
          <w:sz w:val="24"/>
          <w:szCs w:val="24"/>
        </w:rPr>
        <w:t>RQ3: What organizational and technical design principles should guide the development of AI systems that are simultaneously effective, explainable, and compliant with emerging regulatory requirements?</w:t>
      </w:r>
      <w:r w:rsidR="00521351" w:rsidRPr="00404505">
        <w:rPr>
          <w:rFonts w:ascii="Times New Roman" w:hAnsi="Times New Roman" w:cs="Times New Roman"/>
          <w:sz w:val="24"/>
          <w:szCs w:val="24"/>
        </w:rPr>
        <w:t xml:space="preserve"> </w:t>
      </w:r>
    </w:p>
    <w:p w14:paraId="3559998D" w14:textId="77777777" w:rsidR="00521351" w:rsidRPr="00521351" w:rsidRDefault="00521351" w:rsidP="00521351">
      <w:pPr>
        <w:spacing w:after="0" w:line="240" w:lineRule="auto"/>
        <w:jc w:val="both"/>
        <w:rPr>
          <w:rFonts w:ascii="Times New Roman" w:hAnsi="Times New Roman" w:cs="Times New Roman"/>
          <w:sz w:val="24"/>
          <w:szCs w:val="24"/>
        </w:rPr>
      </w:pPr>
    </w:p>
    <w:p w14:paraId="13AA4D00" w14:textId="77777777" w:rsidR="005811C7" w:rsidRPr="00521351" w:rsidRDefault="00000000" w:rsidP="00521351">
      <w:pPr>
        <w:spacing w:after="0" w:line="240" w:lineRule="auto"/>
        <w:jc w:val="both"/>
        <w:rPr>
          <w:rFonts w:ascii="Times New Roman" w:hAnsi="Times New Roman" w:cs="Times New Roman"/>
          <w:b/>
          <w:bCs/>
          <w:i/>
          <w:iCs/>
          <w:sz w:val="24"/>
          <w:szCs w:val="24"/>
        </w:rPr>
      </w:pPr>
      <w:r w:rsidRPr="00521351">
        <w:rPr>
          <w:rFonts w:ascii="Times New Roman" w:hAnsi="Times New Roman" w:cs="Times New Roman"/>
          <w:b/>
          <w:bCs/>
          <w:i/>
          <w:iCs/>
          <w:sz w:val="24"/>
          <w:szCs w:val="24"/>
        </w:rPr>
        <w:t>3.2    Data Collection and Search Strategy</w:t>
      </w:r>
    </w:p>
    <w:p w14:paraId="119467CE" w14:textId="77777777" w:rsidR="00521351" w:rsidRDefault="00000000" w:rsidP="00521351">
      <w:pPr>
        <w:spacing w:after="0" w:line="240" w:lineRule="auto"/>
        <w:jc w:val="both"/>
        <w:rPr>
          <w:rFonts w:ascii="Times New Roman" w:hAnsi="Times New Roman" w:cs="Times New Roman"/>
          <w:sz w:val="24"/>
          <w:szCs w:val="24"/>
        </w:rPr>
      </w:pPr>
      <w:r w:rsidRPr="00521351">
        <w:rPr>
          <w:rFonts w:ascii="Times New Roman" w:hAnsi="Times New Roman" w:cs="Times New Roman"/>
          <w:sz w:val="24"/>
          <w:szCs w:val="24"/>
        </w:rPr>
        <w:t>The systematic literature review employed comprehensive searches across multiple academic databases: Web of Science, Scopus, IEEE Xplore, and SSRN. The search strategy utilized multiple keyword combinations to ensure comprehensive coverage: "Explainable AI" OR "XAI" OR "Interpretable machine learning"; "Algorithmic accountability" OR "Algorithmic transparency"; "EU AI Act" OR "GDPR" OR "AI governance"; "Trust in AI" OR "Human-AI collaboration"; "Black box models" OR "Model interpretability"; and "Credit scoring" OR "Hiring algorithms" OR "Medical AI" (for high-stakes applications).</w:t>
      </w:r>
      <w:r w:rsidR="00521351">
        <w:rPr>
          <w:rFonts w:ascii="Times New Roman" w:hAnsi="Times New Roman" w:cs="Times New Roman"/>
          <w:sz w:val="24"/>
          <w:szCs w:val="24"/>
        </w:rPr>
        <w:t xml:space="preserve"> </w:t>
      </w:r>
    </w:p>
    <w:p w14:paraId="0758B013" w14:textId="16E2B05C" w:rsidR="005811C7" w:rsidRDefault="00000000" w:rsidP="00521351">
      <w:pPr>
        <w:spacing w:after="0" w:line="240" w:lineRule="auto"/>
        <w:jc w:val="both"/>
        <w:rPr>
          <w:rFonts w:ascii="Times New Roman" w:hAnsi="Times New Roman" w:cs="Times New Roman"/>
          <w:sz w:val="24"/>
          <w:szCs w:val="24"/>
        </w:rPr>
      </w:pPr>
      <w:r w:rsidRPr="00521351">
        <w:rPr>
          <w:rFonts w:ascii="Times New Roman" w:hAnsi="Times New Roman" w:cs="Times New Roman"/>
          <w:sz w:val="24"/>
          <w:szCs w:val="24"/>
        </w:rPr>
        <w:t xml:space="preserve">Inclusion criteria focused the review on recent developments (2020-2025), high-stakes business applications, and regulatory compliance. Exclusion criteria eliminated purely technical papers without business relevance, papers focusing on narrow technical methods </w:t>
      </w:r>
      <w:r w:rsidRPr="00521351">
        <w:rPr>
          <w:rFonts w:ascii="Times New Roman" w:hAnsi="Times New Roman" w:cs="Times New Roman"/>
          <w:sz w:val="24"/>
          <w:szCs w:val="24"/>
        </w:rPr>
        <w:lastRenderedPageBreak/>
        <w:t>without broader implications, and papers predating 2020 (with exceptions for foundational works).</w:t>
      </w:r>
    </w:p>
    <w:p w14:paraId="2AA9BAE5" w14:textId="77777777" w:rsidR="00521351" w:rsidRPr="00521351" w:rsidRDefault="00521351" w:rsidP="00521351">
      <w:pPr>
        <w:spacing w:after="0" w:line="240" w:lineRule="auto"/>
        <w:jc w:val="both"/>
        <w:rPr>
          <w:rFonts w:ascii="Times New Roman" w:hAnsi="Times New Roman" w:cs="Times New Roman"/>
          <w:sz w:val="24"/>
          <w:szCs w:val="24"/>
        </w:rPr>
      </w:pPr>
    </w:p>
    <w:p w14:paraId="70678FC8" w14:textId="77777777" w:rsidR="005811C7" w:rsidRPr="00521351" w:rsidRDefault="00000000" w:rsidP="00521351">
      <w:pPr>
        <w:spacing w:after="0" w:line="240" w:lineRule="auto"/>
        <w:jc w:val="both"/>
        <w:rPr>
          <w:rFonts w:ascii="Times New Roman" w:hAnsi="Times New Roman" w:cs="Times New Roman"/>
          <w:b/>
          <w:bCs/>
          <w:i/>
          <w:iCs/>
          <w:sz w:val="24"/>
          <w:szCs w:val="24"/>
        </w:rPr>
      </w:pPr>
      <w:r w:rsidRPr="00521351">
        <w:rPr>
          <w:rFonts w:ascii="Times New Roman" w:hAnsi="Times New Roman" w:cs="Times New Roman"/>
          <w:b/>
          <w:bCs/>
          <w:i/>
          <w:iCs/>
          <w:sz w:val="24"/>
          <w:szCs w:val="24"/>
        </w:rPr>
        <w:t>3.3    Analytical Approach</w:t>
      </w:r>
    </w:p>
    <w:p w14:paraId="718E2780" w14:textId="77777777" w:rsidR="00521351" w:rsidRDefault="00000000" w:rsidP="00521351">
      <w:pPr>
        <w:spacing w:after="0" w:line="240" w:lineRule="auto"/>
        <w:jc w:val="both"/>
        <w:rPr>
          <w:rFonts w:ascii="Times New Roman" w:hAnsi="Times New Roman" w:cs="Times New Roman"/>
          <w:sz w:val="24"/>
          <w:szCs w:val="24"/>
        </w:rPr>
      </w:pPr>
      <w:r w:rsidRPr="00521351">
        <w:rPr>
          <w:rFonts w:ascii="Times New Roman" w:hAnsi="Times New Roman" w:cs="Times New Roman"/>
          <w:sz w:val="24"/>
          <w:szCs w:val="24"/>
        </w:rPr>
        <w:t>The analysis employed thematic coding to identify recurring themes and concepts across the selected literature. Key themes included: (1) technical dimensions of explainability, (2) trust formation and stakeholder perspectives, (3) regulatory compliance requirements, (4) high-stakes application domains, and (5) organizational implementation challenges.</w:t>
      </w:r>
      <w:r w:rsidR="00521351">
        <w:rPr>
          <w:rFonts w:ascii="Times New Roman" w:hAnsi="Times New Roman" w:cs="Times New Roman"/>
          <w:sz w:val="24"/>
          <w:szCs w:val="24"/>
        </w:rPr>
        <w:t xml:space="preserve"> </w:t>
      </w:r>
    </w:p>
    <w:p w14:paraId="5003E56A" w14:textId="25C78035" w:rsidR="005811C7" w:rsidRPr="00521351" w:rsidRDefault="00000000" w:rsidP="00521351">
      <w:pPr>
        <w:spacing w:after="0" w:line="240" w:lineRule="auto"/>
        <w:jc w:val="both"/>
        <w:rPr>
          <w:rFonts w:ascii="Times New Roman" w:hAnsi="Times New Roman" w:cs="Times New Roman"/>
          <w:sz w:val="24"/>
          <w:szCs w:val="24"/>
        </w:rPr>
      </w:pPr>
      <w:r w:rsidRPr="00521351">
        <w:rPr>
          <w:rFonts w:ascii="Times New Roman" w:hAnsi="Times New Roman" w:cs="Times New Roman"/>
          <w:sz w:val="24"/>
          <w:szCs w:val="24"/>
        </w:rPr>
        <w:t>The synthesis process involved mapping technical capabilities to regulatory requirements and stakeholder needs, identifying gaps between current practice and regulatory expectations, and developing design principles that address these gaps.</w:t>
      </w:r>
    </w:p>
    <w:p w14:paraId="4084F3CA" w14:textId="77777777" w:rsidR="005811C7" w:rsidRPr="00521351" w:rsidRDefault="005811C7" w:rsidP="00521351">
      <w:pPr>
        <w:spacing w:after="0" w:line="240" w:lineRule="auto"/>
        <w:jc w:val="both"/>
        <w:rPr>
          <w:rFonts w:ascii="Times New Roman" w:hAnsi="Times New Roman" w:cs="Times New Roman"/>
          <w:sz w:val="24"/>
          <w:szCs w:val="24"/>
        </w:rPr>
      </w:pPr>
    </w:p>
    <w:p w14:paraId="478975E2" w14:textId="77777777" w:rsidR="005811C7" w:rsidRPr="00521351" w:rsidRDefault="00000000" w:rsidP="00521351">
      <w:pPr>
        <w:pStyle w:val="Heading1"/>
        <w:spacing w:before="0" w:line="240" w:lineRule="auto"/>
        <w:jc w:val="both"/>
        <w:rPr>
          <w:rFonts w:ascii="Times New Roman" w:hAnsi="Times New Roman" w:cs="Times New Roman"/>
          <w:b/>
          <w:bCs/>
          <w:color w:val="auto"/>
          <w:sz w:val="24"/>
          <w:szCs w:val="24"/>
        </w:rPr>
      </w:pPr>
      <w:r w:rsidRPr="00521351">
        <w:rPr>
          <w:rFonts w:ascii="Times New Roman" w:hAnsi="Times New Roman" w:cs="Times New Roman"/>
          <w:b/>
          <w:bCs/>
          <w:color w:val="auto"/>
          <w:sz w:val="24"/>
          <w:szCs w:val="24"/>
        </w:rPr>
        <w:t>4    Findings and Discussion</w:t>
      </w:r>
    </w:p>
    <w:p w14:paraId="7F7C2F59" w14:textId="77777777" w:rsidR="005811C7" w:rsidRPr="00521351" w:rsidRDefault="00000000" w:rsidP="00521351">
      <w:pPr>
        <w:spacing w:after="0" w:line="240" w:lineRule="auto"/>
        <w:jc w:val="both"/>
        <w:rPr>
          <w:rFonts w:ascii="Times New Roman" w:hAnsi="Times New Roman" w:cs="Times New Roman"/>
          <w:b/>
          <w:bCs/>
          <w:i/>
          <w:iCs/>
          <w:sz w:val="24"/>
          <w:szCs w:val="24"/>
        </w:rPr>
      </w:pPr>
      <w:r w:rsidRPr="00521351">
        <w:rPr>
          <w:rFonts w:ascii="Times New Roman" w:hAnsi="Times New Roman" w:cs="Times New Roman"/>
          <w:b/>
          <w:bCs/>
          <w:i/>
          <w:iCs/>
          <w:sz w:val="24"/>
          <w:szCs w:val="24"/>
        </w:rPr>
        <w:t>4.1    The Multidimensional Nature of Explainability</w:t>
      </w:r>
    </w:p>
    <w:p w14:paraId="1BE6E5B0" w14:textId="77777777" w:rsidR="00521351" w:rsidRDefault="00000000" w:rsidP="00521351">
      <w:pPr>
        <w:spacing w:after="0" w:line="240" w:lineRule="auto"/>
        <w:jc w:val="both"/>
        <w:rPr>
          <w:rFonts w:ascii="Times New Roman" w:hAnsi="Times New Roman" w:cs="Times New Roman"/>
          <w:sz w:val="24"/>
          <w:szCs w:val="24"/>
        </w:rPr>
      </w:pPr>
      <w:r w:rsidRPr="00521351">
        <w:rPr>
          <w:rFonts w:ascii="Times New Roman" w:hAnsi="Times New Roman" w:cs="Times New Roman"/>
          <w:sz w:val="24"/>
          <w:szCs w:val="24"/>
        </w:rPr>
        <w:t>The research reveals that explainability is not a monolithic concept but rather a multidimensional construct that varies based on stakeholder needs, application context, and regulatory requirements. The literature identifies at least four distinct dimensions: technical explainability, user-centered explainability, regulatory explainability, and organizational accountability.</w:t>
      </w:r>
      <w:r w:rsidR="00521351">
        <w:rPr>
          <w:rFonts w:ascii="Times New Roman" w:hAnsi="Times New Roman" w:cs="Times New Roman"/>
          <w:sz w:val="24"/>
          <w:szCs w:val="24"/>
        </w:rPr>
        <w:t xml:space="preserve"> </w:t>
      </w:r>
    </w:p>
    <w:p w14:paraId="61C30CA3" w14:textId="77777777" w:rsidR="00521351" w:rsidRDefault="00000000" w:rsidP="00521351">
      <w:pPr>
        <w:spacing w:after="0" w:line="240" w:lineRule="auto"/>
        <w:jc w:val="both"/>
        <w:rPr>
          <w:rFonts w:ascii="Times New Roman" w:hAnsi="Times New Roman" w:cs="Times New Roman"/>
          <w:sz w:val="24"/>
          <w:szCs w:val="24"/>
        </w:rPr>
      </w:pPr>
      <w:r w:rsidRPr="00521351">
        <w:rPr>
          <w:rFonts w:ascii="Times New Roman" w:hAnsi="Times New Roman" w:cs="Times New Roman"/>
          <w:sz w:val="24"/>
          <w:szCs w:val="24"/>
        </w:rPr>
        <w:t>Technical explainability refers to the ability to trace how a model arrived at a specific prediction. This dimension is primarily of concern to data scientists and machine learning engineers. LIME and SHAP excel at providing technical explainability by identifying which features contributed most to a prediction.</w:t>
      </w:r>
      <w:r w:rsidR="00521351">
        <w:rPr>
          <w:rFonts w:ascii="Times New Roman" w:hAnsi="Times New Roman" w:cs="Times New Roman"/>
          <w:sz w:val="24"/>
          <w:szCs w:val="24"/>
        </w:rPr>
        <w:t xml:space="preserve"> </w:t>
      </w:r>
    </w:p>
    <w:p w14:paraId="3E9D993D" w14:textId="77777777" w:rsidR="00521351" w:rsidRDefault="00000000" w:rsidP="00521351">
      <w:pPr>
        <w:spacing w:after="0" w:line="240" w:lineRule="auto"/>
        <w:jc w:val="both"/>
        <w:rPr>
          <w:rFonts w:ascii="Times New Roman" w:hAnsi="Times New Roman" w:cs="Times New Roman"/>
          <w:sz w:val="24"/>
          <w:szCs w:val="24"/>
        </w:rPr>
      </w:pPr>
      <w:r w:rsidRPr="00521351">
        <w:rPr>
          <w:rFonts w:ascii="Times New Roman" w:hAnsi="Times New Roman" w:cs="Times New Roman"/>
          <w:sz w:val="24"/>
          <w:szCs w:val="24"/>
        </w:rPr>
        <w:t>User-centered explainability, by contrast, focuses on whether non-technical stakeholders can understand and trust AI decisions. This dimension requires explanations in natural language, contextualized to the user's needs and prior knowledge. A technically accurate explanation may be incomprehensible to a loan applicant or job candidate, undermining trust even if the explanation is technically sound.</w:t>
      </w:r>
      <w:r w:rsidR="00521351">
        <w:rPr>
          <w:rFonts w:ascii="Times New Roman" w:hAnsi="Times New Roman" w:cs="Times New Roman"/>
          <w:sz w:val="24"/>
          <w:szCs w:val="24"/>
        </w:rPr>
        <w:t xml:space="preserve"> </w:t>
      </w:r>
    </w:p>
    <w:p w14:paraId="7E6D3DC0" w14:textId="77777777" w:rsidR="00521351" w:rsidRDefault="00000000" w:rsidP="00521351">
      <w:pPr>
        <w:spacing w:after="0" w:line="240" w:lineRule="auto"/>
        <w:jc w:val="both"/>
        <w:rPr>
          <w:rFonts w:ascii="Times New Roman" w:hAnsi="Times New Roman" w:cs="Times New Roman"/>
          <w:sz w:val="24"/>
          <w:szCs w:val="24"/>
        </w:rPr>
      </w:pPr>
      <w:r w:rsidRPr="00521351">
        <w:rPr>
          <w:rFonts w:ascii="Times New Roman" w:hAnsi="Times New Roman" w:cs="Times New Roman"/>
          <w:sz w:val="24"/>
          <w:szCs w:val="24"/>
        </w:rPr>
        <w:t>Regulatory explainability addresses the requirements of legal and compliance frameworks. Regulators need evidence that organizations have implemented appropriate governance structures, conducted impact assessments, and maintained documentation of the AI system's development and performance. This dimension often requires formal documentation and audit trails rather than interactive explanations.</w:t>
      </w:r>
      <w:r w:rsidR="00521351">
        <w:rPr>
          <w:rFonts w:ascii="Times New Roman" w:hAnsi="Times New Roman" w:cs="Times New Roman"/>
          <w:sz w:val="24"/>
          <w:szCs w:val="24"/>
        </w:rPr>
        <w:t xml:space="preserve"> </w:t>
      </w:r>
    </w:p>
    <w:p w14:paraId="5A3157C6" w14:textId="4695DDDD" w:rsidR="005811C7" w:rsidRDefault="00000000" w:rsidP="00521351">
      <w:pPr>
        <w:spacing w:after="0" w:line="240" w:lineRule="auto"/>
        <w:jc w:val="both"/>
        <w:rPr>
          <w:rFonts w:ascii="Times New Roman" w:hAnsi="Times New Roman" w:cs="Times New Roman"/>
          <w:sz w:val="24"/>
          <w:szCs w:val="24"/>
        </w:rPr>
      </w:pPr>
      <w:r w:rsidRPr="00521351">
        <w:rPr>
          <w:rFonts w:ascii="Times New Roman" w:hAnsi="Times New Roman" w:cs="Times New Roman"/>
          <w:sz w:val="24"/>
          <w:szCs w:val="24"/>
        </w:rPr>
        <w:t>Organizational accountability encompasses the internal processes and governance structures that ensure AI systems are developed and deployed responsibly. This dimension includes human-in-the-loop oversight, regular bias audits, and clear assignment of responsibility for AI system outcomes.</w:t>
      </w:r>
    </w:p>
    <w:p w14:paraId="1730B1FF" w14:textId="77777777" w:rsidR="00521351" w:rsidRPr="00521351" w:rsidRDefault="00521351" w:rsidP="00521351">
      <w:pPr>
        <w:spacing w:after="0" w:line="240" w:lineRule="auto"/>
        <w:jc w:val="both"/>
        <w:rPr>
          <w:rFonts w:ascii="Times New Roman" w:hAnsi="Times New Roman" w:cs="Times New Roman"/>
          <w:sz w:val="24"/>
          <w:szCs w:val="24"/>
        </w:rPr>
      </w:pPr>
    </w:p>
    <w:p w14:paraId="32013D3E" w14:textId="77777777" w:rsidR="005811C7" w:rsidRPr="00521351" w:rsidRDefault="00000000" w:rsidP="00521351">
      <w:pPr>
        <w:spacing w:after="0" w:line="240" w:lineRule="auto"/>
        <w:jc w:val="both"/>
        <w:rPr>
          <w:rFonts w:ascii="Times New Roman" w:hAnsi="Times New Roman" w:cs="Times New Roman"/>
          <w:b/>
          <w:bCs/>
          <w:i/>
          <w:iCs/>
          <w:sz w:val="24"/>
          <w:szCs w:val="24"/>
        </w:rPr>
      </w:pPr>
      <w:r w:rsidRPr="00521351">
        <w:rPr>
          <w:rFonts w:ascii="Times New Roman" w:hAnsi="Times New Roman" w:cs="Times New Roman"/>
          <w:b/>
          <w:bCs/>
          <w:i/>
          <w:iCs/>
          <w:sz w:val="24"/>
          <w:szCs w:val="24"/>
        </w:rPr>
        <w:t>4.2    Evaluating XAI Techniques in High-Stakes Contexts</w:t>
      </w:r>
    </w:p>
    <w:p w14:paraId="030374CB" w14:textId="77777777" w:rsidR="00521351" w:rsidRDefault="00000000" w:rsidP="00521351">
      <w:pPr>
        <w:spacing w:after="0" w:line="240" w:lineRule="auto"/>
        <w:jc w:val="both"/>
        <w:rPr>
          <w:rFonts w:ascii="Times New Roman" w:hAnsi="Times New Roman" w:cs="Times New Roman"/>
          <w:sz w:val="24"/>
          <w:szCs w:val="24"/>
        </w:rPr>
      </w:pPr>
      <w:r w:rsidRPr="00521351">
        <w:rPr>
          <w:rFonts w:ascii="Times New Roman" w:hAnsi="Times New Roman" w:cs="Times New Roman"/>
          <w:sz w:val="24"/>
          <w:szCs w:val="24"/>
        </w:rPr>
        <w:t>The research examined how XAI techniques perform in three critical high-stakes domains: credit scoring, hiring, and medical diagnostics.</w:t>
      </w:r>
    </w:p>
    <w:p w14:paraId="2F0D19C8" w14:textId="77777777" w:rsidR="00521351" w:rsidRDefault="00000000" w:rsidP="00521351">
      <w:pPr>
        <w:spacing w:after="0" w:line="240" w:lineRule="auto"/>
        <w:jc w:val="both"/>
        <w:rPr>
          <w:rFonts w:ascii="Times New Roman" w:hAnsi="Times New Roman" w:cs="Times New Roman"/>
          <w:sz w:val="24"/>
          <w:szCs w:val="24"/>
        </w:rPr>
      </w:pPr>
      <w:r w:rsidRPr="00521351">
        <w:rPr>
          <w:rFonts w:ascii="Times New Roman" w:hAnsi="Times New Roman" w:cs="Times New Roman"/>
          <w:sz w:val="24"/>
          <w:szCs w:val="24"/>
        </w:rPr>
        <w:t>In credit scoring, SHAP and LIME have become industry standards for explaining lending decisions. Financial institutions use these techniques to identify which factors (income, credit history, employment stability, etc.) drove approval or denial decisions. This explainability serves multiple purposes: it helps customers understand why their application was denied, it provides regulators with evidence of fair lending practices, and it helps data scientists identify and correct bias in lending models. However, research has identified important limitations. Lending decisions often involve complex interactions between variables that simple feature importance rankings may not capture. Additionally, explaining why an application was denied does not necessarily help applicants understand what they could do to improve their creditworthiness in the future (Qawqzeh et al., 2025).</w:t>
      </w:r>
    </w:p>
    <w:p w14:paraId="5C9E1634" w14:textId="77777777" w:rsidR="00521351" w:rsidRDefault="00000000" w:rsidP="00521351">
      <w:pPr>
        <w:spacing w:after="0" w:line="240" w:lineRule="auto"/>
        <w:jc w:val="both"/>
        <w:rPr>
          <w:rFonts w:ascii="Times New Roman" w:hAnsi="Times New Roman" w:cs="Times New Roman"/>
          <w:sz w:val="24"/>
          <w:szCs w:val="24"/>
        </w:rPr>
      </w:pPr>
      <w:r w:rsidRPr="00521351">
        <w:rPr>
          <w:rFonts w:ascii="Times New Roman" w:hAnsi="Times New Roman" w:cs="Times New Roman"/>
          <w:sz w:val="24"/>
          <w:szCs w:val="24"/>
        </w:rPr>
        <w:t xml:space="preserve">In hiring and recruitment, explainability is critical because AI hiring tools have historically perpetuated discrimination. Amazon's recruitment AI, for example, learned to discriminate against women applicants by mimicking historical hiring patterns. Explainability techniques help identify such bias by revealing which factors the model uses to make hiring </w:t>
      </w:r>
      <w:r w:rsidRPr="00521351">
        <w:rPr>
          <w:rFonts w:ascii="Times New Roman" w:hAnsi="Times New Roman" w:cs="Times New Roman"/>
          <w:sz w:val="24"/>
          <w:szCs w:val="24"/>
        </w:rPr>
        <w:lastRenderedPageBreak/>
        <w:t>recommendations. However, a fundamental challenge emerges: some factors that are technically important for prediction may be inappropriate for hiring decisions. For example, a model might identify that candidates from certain universities are more likely to succeed, but using this factor in hiring decisions could perpetuate educational inequality. Explainability reveals this bias, but addressing it requires organizational decisions about what factors should be considered legitimate for hiring (Wagan et al., 2026).</w:t>
      </w:r>
    </w:p>
    <w:p w14:paraId="74974617" w14:textId="7A16ED64" w:rsidR="005811C7" w:rsidRDefault="00000000" w:rsidP="00521351">
      <w:pPr>
        <w:spacing w:after="0" w:line="240" w:lineRule="auto"/>
        <w:jc w:val="both"/>
        <w:rPr>
          <w:rFonts w:ascii="Times New Roman" w:hAnsi="Times New Roman" w:cs="Times New Roman"/>
          <w:sz w:val="24"/>
          <w:szCs w:val="24"/>
        </w:rPr>
      </w:pPr>
      <w:r w:rsidRPr="00521351">
        <w:rPr>
          <w:rFonts w:ascii="Times New Roman" w:hAnsi="Times New Roman" w:cs="Times New Roman"/>
          <w:sz w:val="24"/>
          <w:szCs w:val="24"/>
        </w:rPr>
        <w:t>In medical diagnostics, explainability takes on heightened importance because AI recommendations directly affect patient health. Clinicians need to understand why an AI system recommends a particular diagnosis or treatment before they can responsibly act on that recommendation. However, current XAI techniques often provide explanations that are technically accurate but clinically unhelpful. A clinician needs to understand not just which features the model used, but whether those features align with established medical knowledge and whether the model's reasoning is sound from a clinical perspective (Ihejirika, 2025). Recent research has shown that clinicians are more likely to trust AI recommendations when explanations align with their existing medical knowledge, even if the AI's reasoning differs from the clinician's own reasoning process.</w:t>
      </w:r>
    </w:p>
    <w:p w14:paraId="5CCA95AB" w14:textId="77777777" w:rsidR="00521351" w:rsidRPr="00521351" w:rsidRDefault="00521351" w:rsidP="00521351">
      <w:pPr>
        <w:spacing w:after="0" w:line="240" w:lineRule="auto"/>
        <w:jc w:val="both"/>
        <w:rPr>
          <w:rFonts w:ascii="Times New Roman" w:hAnsi="Times New Roman" w:cs="Times New Roman"/>
          <w:sz w:val="24"/>
          <w:szCs w:val="24"/>
        </w:rPr>
      </w:pPr>
    </w:p>
    <w:p w14:paraId="6A68E700" w14:textId="77777777" w:rsidR="005811C7" w:rsidRPr="00521351" w:rsidRDefault="00000000" w:rsidP="00521351">
      <w:pPr>
        <w:spacing w:after="0" w:line="240" w:lineRule="auto"/>
        <w:jc w:val="both"/>
        <w:rPr>
          <w:rFonts w:ascii="Times New Roman" w:hAnsi="Times New Roman" w:cs="Times New Roman"/>
          <w:b/>
          <w:bCs/>
          <w:i/>
          <w:iCs/>
          <w:sz w:val="24"/>
          <w:szCs w:val="24"/>
        </w:rPr>
      </w:pPr>
      <w:r w:rsidRPr="00521351">
        <w:rPr>
          <w:rFonts w:ascii="Times New Roman" w:hAnsi="Times New Roman" w:cs="Times New Roman"/>
          <w:b/>
          <w:bCs/>
          <w:i/>
          <w:iCs/>
          <w:sz w:val="24"/>
          <w:szCs w:val="24"/>
        </w:rPr>
        <w:t>4.3    Navigating the Regulatory Landscape</w:t>
      </w:r>
    </w:p>
    <w:p w14:paraId="0C2463EC" w14:textId="77777777" w:rsidR="00521351" w:rsidRDefault="00000000" w:rsidP="00521351">
      <w:pPr>
        <w:spacing w:after="0" w:line="240" w:lineRule="auto"/>
        <w:jc w:val="both"/>
        <w:rPr>
          <w:rFonts w:ascii="Times New Roman" w:hAnsi="Times New Roman" w:cs="Times New Roman"/>
          <w:sz w:val="24"/>
          <w:szCs w:val="24"/>
        </w:rPr>
      </w:pPr>
      <w:r w:rsidRPr="00521351">
        <w:rPr>
          <w:rFonts w:ascii="Times New Roman" w:hAnsi="Times New Roman" w:cs="Times New Roman"/>
          <w:sz w:val="24"/>
          <w:szCs w:val="24"/>
        </w:rPr>
        <w:t>Organizations currently face significant challenges in operationalizing the requirements of the EU AI Act and GDPR. A critical gap exists between what regulators require and what current technical solutions provide. Regulators mandate "meaningful explanations" and "transparency," but these terms are not precisely defined. What constitutes a "meaningful" explanation? How much transparency is required? How should organizations balance transparency with legitimate concerns about protecting proprietary algorithms or sensitive business information?</w:t>
      </w:r>
    </w:p>
    <w:p w14:paraId="497858AC" w14:textId="77777777" w:rsidR="00521351" w:rsidRDefault="00000000" w:rsidP="00521351">
      <w:pPr>
        <w:spacing w:after="0" w:line="240" w:lineRule="auto"/>
        <w:jc w:val="both"/>
        <w:rPr>
          <w:rFonts w:ascii="Times New Roman" w:hAnsi="Times New Roman" w:cs="Times New Roman"/>
          <w:sz w:val="24"/>
          <w:szCs w:val="24"/>
        </w:rPr>
      </w:pPr>
      <w:r w:rsidRPr="00521351">
        <w:rPr>
          <w:rFonts w:ascii="Times New Roman" w:hAnsi="Times New Roman" w:cs="Times New Roman"/>
          <w:sz w:val="24"/>
          <w:szCs w:val="24"/>
        </w:rPr>
        <w:t>The research identifies several specific challenges: First, the right to explanation mandated by GDPR is often interpreted as requiring technical explanations (e.g., feature importance scores), but affected individuals may need contextual explanations that help them understand the decision's implications for them personally. A customer denied a loan needs to understand not just which factors mattered, but what they could do to improve their creditworthiness.</w:t>
      </w:r>
    </w:p>
    <w:p w14:paraId="76284C72" w14:textId="77777777" w:rsidR="00521351" w:rsidRDefault="00000000" w:rsidP="00521351">
      <w:pPr>
        <w:spacing w:after="0" w:line="240" w:lineRule="auto"/>
        <w:jc w:val="both"/>
        <w:rPr>
          <w:rFonts w:ascii="Times New Roman" w:hAnsi="Times New Roman" w:cs="Times New Roman"/>
          <w:sz w:val="24"/>
          <w:szCs w:val="24"/>
        </w:rPr>
      </w:pPr>
      <w:r w:rsidRPr="00521351">
        <w:rPr>
          <w:rFonts w:ascii="Times New Roman" w:hAnsi="Times New Roman" w:cs="Times New Roman"/>
          <w:sz w:val="24"/>
          <w:szCs w:val="24"/>
        </w:rPr>
        <w:t>Second, regulatory requirements often assume a level of model interpretability that may be technically infeasible for high-performance models. The EU AI Act requires that high-risk AI systems be "transparent" and "explainable," but it does not specify what level of explainability is required or how to measure it. Organizations must make judgments about what constitutes adequate explainability without clear regulatory guidance.</w:t>
      </w:r>
    </w:p>
    <w:p w14:paraId="5572D493" w14:textId="3AE82034" w:rsidR="005811C7" w:rsidRDefault="00000000" w:rsidP="00521351">
      <w:pPr>
        <w:spacing w:after="0" w:line="240" w:lineRule="auto"/>
        <w:jc w:val="both"/>
        <w:rPr>
          <w:rFonts w:ascii="Times New Roman" w:hAnsi="Times New Roman" w:cs="Times New Roman"/>
          <w:sz w:val="24"/>
          <w:szCs w:val="24"/>
        </w:rPr>
      </w:pPr>
      <w:r w:rsidRPr="00521351">
        <w:rPr>
          <w:rFonts w:ascii="Times New Roman" w:hAnsi="Times New Roman" w:cs="Times New Roman"/>
          <w:sz w:val="24"/>
          <w:szCs w:val="24"/>
        </w:rPr>
        <w:t>Third, compliance documentation requirements are substantial. Organizations must maintain detailed records of the AI system's development, testing, performance evaluation, and deployment. This documentation burden falls primarily on smaller organizations that lack dedicated compliance infrastructure.</w:t>
      </w:r>
    </w:p>
    <w:p w14:paraId="230A2D83" w14:textId="77777777" w:rsidR="00521351" w:rsidRPr="00521351" w:rsidRDefault="00521351" w:rsidP="00521351">
      <w:pPr>
        <w:spacing w:after="0" w:line="240" w:lineRule="auto"/>
        <w:jc w:val="both"/>
        <w:rPr>
          <w:rFonts w:ascii="Times New Roman" w:hAnsi="Times New Roman" w:cs="Times New Roman"/>
          <w:sz w:val="24"/>
          <w:szCs w:val="24"/>
        </w:rPr>
      </w:pPr>
    </w:p>
    <w:p w14:paraId="3151E29F" w14:textId="77777777" w:rsidR="005811C7" w:rsidRPr="00521351" w:rsidRDefault="00000000" w:rsidP="00521351">
      <w:pPr>
        <w:spacing w:after="0" w:line="240" w:lineRule="auto"/>
        <w:jc w:val="both"/>
        <w:rPr>
          <w:rFonts w:ascii="Times New Roman" w:hAnsi="Times New Roman" w:cs="Times New Roman"/>
          <w:b/>
          <w:bCs/>
          <w:i/>
          <w:iCs/>
          <w:sz w:val="24"/>
          <w:szCs w:val="24"/>
        </w:rPr>
      </w:pPr>
      <w:r w:rsidRPr="00521351">
        <w:rPr>
          <w:rFonts w:ascii="Times New Roman" w:hAnsi="Times New Roman" w:cs="Times New Roman"/>
          <w:b/>
          <w:bCs/>
          <w:i/>
          <w:iCs/>
          <w:sz w:val="24"/>
          <w:szCs w:val="24"/>
        </w:rPr>
        <w:t>4.4    Proposed Framework: Designing Accountable AI Systems</w:t>
      </w:r>
    </w:p>
    <w:p w14:paraId="5E067444" w14:textId="2209AB7D" w:rsidR="00303E14" w:rsidRDefault="00303E14" w:rsidP="00521351">
      <w:pPr>
        <w:spacing w:after="0" w:line="240" w:lineRule="auto"/>
        <w:jc w:val="both"/>
        <w:rPr>
          <w:rFonts w:ascii="Times New Roman" w:hAnsi="Times New Roman" w:cs="Times New Roman"/>
          <w:sz w:val="24"/>
          <w:szCs w:val="24"/>
        </w:rPr>
      </w:pPr>
      <w:r w:rsidRPr="00303E14">
        <w:rPr>
          <w:rFonts w:ascii="Times New Roman" w:hAnsi="Times New Roman" w:cs="Times New Roman"/>
          <w:sz w:val="24"/>
          <w:szCs w:val="24"/>
        </w:rPr>
        <w:t>Based on the synthesis of technical capabilities, regulatory requirements, and stakeholder needs, this research proposes a comprehensive framework for designing accountable AI systems. The framework consists of four integrated components that move from initial assessment through technical implementation to ongoing governance and compliance. Figure 1 illustrates the relationships between these components.</w:t>
      </w:r>
    </w:p>
    <w:p w14:paraId="22A7991D" w14:textId="77777777" w:rsidR="00303E14" w:rsidRDefault="00303E14" w:rsidP="00521351">
      <w:pPr>
        <w:spacing w:after="0" w:line="240" w:lineRule="auto"/>
        <w:jc w:val="both"/>
        <w:rPr>
          <w:rFonts w:ascii="Times New Roman" w:hAnsi="Times New Roman" w:cs="Times New Roman"/>
          <w:sz w:val="24"/>
          <w:szCs w:val="24"/>
        </w:rPr>
      </w:pPr>
    </w:p>
    <w:p w14:paraId="6583254D" w14:textId="77777777" w:rsidR="00303E14" w:rsidRDefault="00303E14" w:rsidP="00303E14">
      <w:pPr>
        <w:jc w:val="center"/>
      </w:pPr>
      <w:r>
        <w:rPr>
          <w:noProof/>
        </w:rPr>
        <w:lastRenderedPageBreak/>
        <w:drawing>
          <wp:inline distT="0" distB="0" distL="0" distR="0" wp14:anchorId="381646C8" wp14:editId="5A9B99B9">
            <wp:extent cx="5794486" cy="34480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ramework_diagram.png"/>
                    <pic:cNvPicPr/>
                  </pic:nvPicPr>
                  <pic:blipFill>
                    <a:blip r:embed="rId6"/>
                    <a:stretch>
                      <a:fillRect/>
                    </a:stretch>
                  </pic:blipFill>
                  <pic:spPr>
                    <a:xfrm>
                      <a:off x="0" y="0"/>
                      <a:ext cx="5805444" cy="3454571"/>
                    </a:xfrm>
                    <a:prstGeom prst="rect">
                      <a:avLst/>
                    </a:prstGeom>
                  </pic:spPr>
                </pic:pic>
              </a:graphicData>
            </a:graphic>
          </wp:inline>
        </w:drawing>
      </w:r>
    </w:p>
    <w:p w14:paraId="4080DAAD" w14:textId="0038A746" w:rsidR="00303E14" w:rsidRDefault="00303E14" w:rsidP="00303E14">
      <w:pPr>
        <w:spacing w:after="0" w:line="240" w:lineRule="auto"/>
        <w:jc w:val="both"/>
        <w:rPr>
          <w:rFonts w:ascii="Times New Roman" w:hAnsi="Times New Roman" w:cs="Times New Roman"/>
          <w:sz w:val="24"/>
          <w:szCs w:val="24"/>
        </w:rPr>
      </w:pPr>
      <w:r w:rsidRPr="00303E14">
        <w:rPr>
          <w:rFonts w:ascii="Times New Roman" w:hAnsi="Times New Roman" w:cs="Times New Roman"/>
          <w:b/>
          <w:bCs/>
          <w:sz w:val="24"/>
          <w:szCs w:val="24"/>
        </w:rPr>
        <w:t>Figure 1:</w:t>
      </w:r>
      <w:r w:rsidRPr="00303E14">
        <w:rPr>
          <w:rFonts w:ascii="Times New Roman" w:hAnsi="Times New Roman" w:cs="Times New Roman"/>
          <w:sz w:val="24"/>
          <w:szCs w:val="24"/>
        </w:rPr>
        <w:t xml:space="preserve"> The 4-Component Framework for Designing Accountable AI Systems</w:t>
      </w:r>
    </w:p>
    <w:p w14:paraId="15A0E2A7" w14:textId="3D77F66A" w:rsidR="00303E14" w:rsidRDefault="00303E14" w:rsidP="00521351">
      <w:pPr>
        <w:spacing w:after="0" w:line="240" w:lineRule="auto"/>
        <w:jc w:val="both"/>
        <w:rPr>
          <w:rFonts w:ascii="Times New Roman" w:hAnsi="Times New Roman" w:cs="Times New Roman"/>
          <w:sz w:val="24"/>
          <w:szCs w:val="24"/>
        </w:rPr>
      </w:pPr>
      <w:r w:rsidRPr="00303E14">
        <w:rPr>
          <w:rFonts w:ascii="Times New Roman" w:hAnsi="Times New Roman" w:cs="Times New Roman"/>
          <w:b/>
          <w:bCs/>
          <w:sz w:val="24"/>
          <w:szCs w:val="24"/>
        </w:rPr>
        <w:t>Source:</w:t>
      </w:r>
      <w:r>
        <w:rPr>
          <w:rFonts w:ascii="Times New Roman" w:hAnsi="Times New Roman" w:cs="Times New Roman"/>
          <w:sz w:val="24"/>
          <w:szCs w:val="24"/>
        </w:rPr>
        <w:t xml:space="preserve"> Author</w:t>
      </w:r>
    </w:p>
    <w:p w14:paraId="712BD237" w14:textId="12FF0F9B" w:rsidR="00521351" w:rsidRDefault="00000000" w:rsidP="00521351">
      <w:pPr>
        <w:spacing w:after="0" w:line="240" w:lineRule="auto"/>
        <w:jc w:val="both"/>
        <w:rPr>
          <w:rFonts w:ascii="Times New Roman" w:hAnsi="Times New Roman" w:cs="Times New Roman"/>
          <w:sz w:val="24"/>
          <w:szCs w:val="24"/>
        </w:rPr>
      </w:pPr>
      <w:r w:rsidRPr="00521351">
        <w:rPr>
          <w:rFonts w:ascii="Times New Roman" w:hAnsi="Times New Roman" w:cs="Times New Roman"/>
          <w:sz w:val="24"/>
          <w:szCs w:val="24"/>
        </w:rPr>
        <w:t>The framework consists of four integrated components:</w:t>
      </w:r>
    </w:p>
    <w:p w14:paraId="6E9B8B6C" w14:textId="77777777" w:rsidR="00521351" w:rsidRDefault="00000000" w:rsidP="00521351">
      <w:pPr>
        <w:spacing w:after="0" w:line="240" w:lineRule="auto"/>
        <w:jc w:val="both"/>
        <w:rPr>
          <w:rFonts w:ascii="Times New Roman" w:hAnsi="Times New Roman" w:cs="Times New Roman"/>
          <w:sz w:val="24"/>
          <w:szCs w:val="24"/>
        </w:rPr>
      </w:pPr>
      <w:r w:rsidRPr="005C364D">
        <w:rPr>
          <w:rFonts w:ascii="Times New Roman" w:hAnsi="Times New Roman" w:cs="Times New Roman"/>
          <w:b/>
          <w:bCs/>
          <w:sz w:val="24"/>
          <w:szCs w:val="24"/>
        </w:rPr>
        <w:t>Component 1: Contextual Assessment</w:t>
      </w:r>
      <w:r w:rsidRPr="00521351">
        <w:rPr>
          <w:rFonts w:ascii="Times New Roman" w:hAnsi="Times New Roman" w:cs="Times New Roman"/>
          <w:sz w:val="24"/>
          <w:szCs w:val="24"/>
        </w:rPr>
        <w:t xml:space="preserve"> involves determining the risk level and required degree of explainability based on the specific business application. Organizations should assess: (1) the potential impact of AI decisions on affected individuals (e.g., does the decision affect access to credit, employment, or healthcare), (2) the regulatory requirements applicable to the specific application, (3) the stakeholder groups affected by the AI system and their explainability needs, and (4) the organization's risk tolerance and compliance capabilities.</w:t>
      </w:r>
    </w:p>
    <w:p w14:paraId="6A7F3966" w14:textId="77777777" w:rsidR="00521351" w:rsidRDefault="00000000" w:rsidP="00521351">
      <w:pPr>
        <w:spacing w:after="0" w:line="240" w:lineRule="auto"/>
        <w:jc w:val="both"/>
        <w:rPr>
          <w:rFonts w:ascii="Times New Roman" w:hAnsi="Times New Roman" w:cs="Times New Roman"/>
          <w:sz w:val="24"/>
          <w:szCs w:val="24"/>
        </w:rPr>
      </w:pPr>
      <w:r w:rsidRPr="005C364D">
        <w:rPr>
          <w:rFonts w:ascii="Times New Roman" w:hAnsi="Times New Roman" w:cs="Times New Roman"/>
          <w:b/>
          <w:bCs/>
          <w:sz w:val="24"/>
          <w:szCs w:val="24"/>
        </w:rPr>
        <w:t>Component 2: Technical Selection</w:t>
      </w:r>
      <w:r w:rsidRPr="00521351">
        <w:rPr>
          <w:rFonts w:ascii="Times New Roman" w:hAnsi="Times New Roman" w:cs="Times New Roman"/>
          <w:sz w:val="24"/>
          <w:szCs w:val="24"/>
        </w:rPr>
        <w:t xml:space="preserve"> involves aligning the appropriate XAI technique (or inherently interpretable model) with the contextual needs identified in the assessment phase. For applications requiring high performance with moderate explainability needs, post-hoc explanation methods like SHAP may be appropriate. For applications where stakeholder trust is paramount, inherently interpretable models may be preferable despite lower predictive accuracy. For some applications, a hybrid approach combining a high-performance model with a separate interpretable model may be optimal.</w:t>
      </w:r>
    </w:p>
    <w:p w14:paraId="095490A5" w14:textId="77777777" w:rsidR="00521351" w:rsidRDefault="00000000" w:rsidP="00521351">
      <w:pPr>
        <w:spacing w:after="0" w:line="240" w:lineRule="auto"/>
        <w:jc w:val="both"/>
        <w:rPr>
          <w:rFonts w:ascii="Times New Roman" w:hAnsi="Times New Roman" w:cs="Times New Roman"/>
          <w:sz w:val="24"/>
          <w:szCs w:val="24"/>
        </w:rPr>
      </w:pPr>
      <w:r w:rsidRPr="005C364D">
        <w:rPr>
          <w:rFonts w:ascii="Times New Roman" w:hAnsi="Times New Roman" w:cs="Times New Roman"/>
          <w:b/>
          <w:bCs/>
          <w:sz w:val="24"/>
          <w:szCs w:val="24"/>
        </w:rPr>
        <w:t>Component 3: Organizational Governance</w:t>
      </w:r>
      <w:r w:rsidRPr="00521351">
        <w:rPr>
          <w:rFonts w:ascii="Times New Roman" w:hAnsi="Times New Roman" w:cs="Times New Roman"/>
          <w:sz w:val="24"/>
          <w:szCs w:val="24"/>
        </w:rPr>
        <w:t xml:space="preserve"> involves implementing human-in-the-loop oversight, continuous audit processes, and stakeholder communication strategies. This component includes: (1) establishing an AI ethics board or governance committee with representation from technical, business, legal, and affected stakeholder groups, (2) implementing regular bias audits and fairness assessments, (3) creating feedback mechanisms for affected stakeholders to report concerns about AI decisions, and (4) developing clear policies about human oversight and override procedures.</w:t>
      </w:r>
    </w:p>
    <w:p w14:paraId="2D6FB1B9" w14:textId="22A0AE89" w:rsidR="005811C7" w:rsidRPr="00521351" w:rsidRDefault="00000000" w:rsidP="00521351">
      <w:pPr>
        <w:spacing w:after="0" w:line="240" w:lineRule="auto"/>
        <w:jc w:val="both"/>
        <w:rPr>
          <w:rFonts w:ascii="Times New Roman" w:hAnsi="Times New Roman" w:cs="Times New Roman"/>
          <w:sz w:val="24"/>
          <w:szCs w:val="24"/>
        </w:rPr>
      </w:pPr>
      <w:r w:rsidRPr="005C364D">
        <w:rPr>
          <w:rFonts w:ascii="Times New Roman" w:hAnsi="Times New Roman" w:cs="Times New Roman"/>
          <w:b/>
          <w:bCs/>
          <w:sz w:val="24"/>
          <w:szCs w:val="24"/>
        </w:rPr>
        <w:t>Component 4: Regulatory Alignment</w:t>
      </w:r>
      <w:r w:rsidRPr="00521351">
        <w:rPr>
          <w:rFonts w:ascii="Times New Roman" w:hAnsi="Times New Roman" w:cs="Times New Roman"/>
          <w:sz w:val="24"/>
          <w:szCs w:val="24"/>
        </w:rPr>
        <w:t xml:space="preserve"> ensures the system design maps directly to specific compliance mandates. Organizations should: (1) conduct an impact assessment of the AI system's potential effects on individuals and society, (2) maintain detailed documentation of the system's development, testing, and deployment, (3) implement monitoring systems to detect performance degradation or bias drift over time, and (4) establish procedures for responding to regulatory inquiries and complaints.</w:t>
      </w:r>
    </w:p>
    <w:p w14:paraId="3101D662" w14:textId="77777777" w:rsidR="005811C7" w:rsidRPr="00521351" w:rsidRDefault="005811C7" w:rsidP="00521351">
      <w:pPr>
        <w:spacing w:after="0" w:line="240" w:lineRule="auto"/>
        <w:jc w:val="both"/>
        <w:rPr>
          <w:rFonts w:ascii="Times New Roman" w:hAnsi="Times New Roman" w:cs="Times New Roman"/>
          <w:sz w:val="24"/>
          <w:szCs w:val="24"/>
        </w:rPr>
      </w:pPr>
    </w:p>
    <w:p w14:paraId="2E8A2EB7" w14:textId="77777777" w:rsidR="005811C7" w:rsidRPr="00521351" w:rsidRDefault="00000000" w:rsidP="00521351">
      <w:pPr>
        <w:pStyle w:val="Heading1"/>
        <w:spacing w:before="0" w:line="240" w:lineRule="auto"/>
        <w:jc w:val="both"/>
        <w:rPr>
          <w:rFonts w:ascii="Times New Roman" w:hAnsi="Times New Roman" w:cs="Times New Roman"/>
          <w:b/>
          <w:bCs/>
          <w:color w:val="auto"/>
          <w:sz w:val="24"/>
          <w:szCs w:val="24"/>
        </w:rPr>
      </w:pPr>
      <w:r w:rsidRPr="00521351">
        <w:rPr>
          <w:rFonts w:ascii="Times New Roman" w:hAnsi="Times New Roman" w:cs="Times New Roman"/>
          <w:b/>
          <w:bCs/>
          <w:color w:val="auto"/>
          <w:sz w:val="24"/>
          <w:szCs w:val="24"/>
        </w:rPr>
        <w:t>5    Conclusions</w:t>
      </w:r>
    </w:p>
    <w:p w14:paraId="2DC6C81E" w14:textId="2F9AE164" w:rsidR="00521351" w:rsidRDefault="00000000" w:rsidP="00521351">
      <w:pPr>
        <w:spacing w:after="0" w:line="240" w:lineRule="auto"/>
        <w:jc w:val="both"/>
        <w:rPr>
          <w:rFonts w:ascii="Times New Roman" w:hAnsi="Times New Roman" w:cs="Times New Roman"/>
          <w:sz w:val="24"/>
          <w:szCs w:val="24"/>
        </w:rPr>
      </w:pPr>
      <w:r w:rsidRPr="00521351">
        <w:rPr>
          <w:rFonts w:ascii="Times New Roman" w:hAnsi="Times New Roman" w:cs="Times New Roman"/>
          <w:sz w:val="24"/>
          <w:szCs w:val="24"/>
        </w:rPr>
        <w:t>This research set out to address three primary research questions about explainability and accountability in AI systems. The findings provide substantive responses to each question.</w:t>
      </w:r>
      <w:r w:rsidRPr="00521351">
        <w:rPr>
          <w:rFonts w:ascii="Times New Roman" w:hAnsi="Times New Roman" w:cs="Times New Roman"/>
          <w:sz w:val="24"/>
          <w:szCs w:val="24"/>
        </w:rPr>
        <w:br/>
        <w:t>Regarding RQ1, the research reveals that current XAI techniques</w:t>
      </w:r>
      <w:r w:rsidR="005C364D">
        <w:rPr>
          <w:rFonts w:ascii="Times New Roman" w:hAnsi="Times New Roman" w:cs="Times New Roman"/>
          <w:sz w:val="24"/>
          <w:szCs w:val="24"/>
        </w:rPr>
        <w:t xml:space="preserve">, </w:t>
      </w:r>
      <w:r w:rsidRPr="00521351">
        <w:rPr>
          <w:rFonts w:ascii="Times New Roman" w:hAnsi="Times New Roman" w:cs="Times New Roman"/>
          <w:sz w:val="24"/>
          <w:szCs w:val="24"/>
        </w:rPr>
        <w:t xml:space="preserve">particularly LIME and </w:t>
      </w:r>
      <w:r w:rsidRPr="00521351">
        <w:rPr>
          <w:rFonts w:ascii="Times New Roman" w:hAnsi="Times New Roman" w:cs="Times New Roman"/>
          <w:sz w:val="24"/>
          <w:szCs w:val="24"/>
        </w:rPr>
        <w:lastRenderedPageBreak/>
        <w:t>SHAP</w:t>
      </w:r>
      <w:r w:rsidR="005C364D">
        <w:rPr>
          <w:rFonts w:ascii="Times New Roman" w:hAnsi="Times New Roman" w:cs="Times New Roman"/>
          <w:sz w:val="24"/>
          <w:szCs w:val="24"/>
        </w:rPr>
        <w:t xml:space="preserve">, </w:t>
      </w:r>
      <w:r w:rsidRPr="00521351">
        <w:rPr>
          <w:rFonts w:ascii="Times New Roman" w:hAnsi="Times New Roman" w:cs="Times New Roman"/>
          <w:sz w:val="24"/>
          <w:szCs w:val="24"/>
        </w:rPr>
        <w:t>provide valuable but limited explanations. These techniques excel at identifying which features contributed to specific predictions, but they have important limitations. They assume feature independence, may be sensitive to hyperparameter choices, and provide local explanations that may not generalize to global model behavior. Importantly, technical explainability alone is insufficient; stakeholders also need user-centered explanations that contextualize technical information to their specific needs and prior knowledge.</w:t>
      </w:r>
      <w:r w:rsidRPr="00521351">
        <w:rPr>
          <w:rFonts w:ascii="Times New Roman" w:hAnsi="Times New Roman" w:cs="Times New Roman"/>
          <w:sz w:val="24"/>
          <w:szCs w:val="24"/>
        </w:rPr>
        <w:br/>
        <w:t>Regarding RQ2, the research demonstrates that explainability is necessary but not sufficient for building stakeholder trust. Transparency increases understanding, which can enhance trust, but the relationship is mediated by perceived fairness, alignment with stakeholder values, and the presence of human oversight. Different stakeholder groups have different explainability needs: customers prioritize understanding how decisions affect them personally, employees focus on fairness and non-discrimination, and regulators emphasize compliance documentation and audit trails.</w:t>
      </w:r>
    </w:p>
    <w:p w14:paraId="52AF91AD" w14:textId="48F368E5" w:rsidR="005811C7" w:rsidRDefault="00000000" w:rsidP="00521351">
      <w:pPr>
        <w:spacing w:after="0" w:line="240" w:lineRule="auto"/>
        <w:jc w:val="both"/>
        <w:rPr>
          <w:rFonts w:ascii="Times New Roman" w:hAnsi="Times New Roman" w:cs="Times New Roman"/>
          <w:sz w:val="24"/>
          <w:szCs w:val="24"/>
        </w:rPr>
      </w:pPr>
      <w:r w:rsidRPr="00521351">
        <w:rPr>
          <w:rFonts w:ascii="Times New Roman" w:hAnsi="Times New Roman" w:cs="Times New Roman"/>
          <w:sz w:val="24"/>
          <w:szCs w:val="24"/>
        </w:rPr>
        <w:t>Regarding RQ3, the proposed four-component framework provides organizations with a structured approach to developing AI systems that balance performance, transparency, and regulatory compliance. The framework emphasizes that explainability is not merely a technical problem to be solved with better algorithms, but rather an organizational challenge requiring integrated technical, governance, and compliance approaches.</w:t>
      </w:r>
    </w:p>
    <w:p w14:paraId="554E3531" w14:textId="77777777" w:rsidR="00521351" w:rsidRPr="00521351" w:rsidRDefault="00521351" w:rsidP="00521351">
      <w:pPr>
        <w:spacing w:after="0" w:line="240" w:lineRule="auto"/>
        <w:jc w:val="both"/>
        <w:rPr>
          <w:rFonts w:ascii="Times New Roman" w:hAnsi="Times New Roman" w:cs="Times New Roman"/>
          <w:sz w:val="24"/>
          <w:szCs w:val="24"/>
        </w:rPr>
      </w:pPr>
    </w:p>
    <w:p w14:paraId="347485E5" w14:textId="6BA64255" w:rsidR="005811C7" w:rsidRPr="00521351" w:rsidRDefault="00000000" w:rsidP="00521351">
      <w:pPr>
        <w:spacing w:after="0" w:line="240" w:lineRule="auto"/>
        <w:jc w:val="both"/>
        <w:rPr>
          <w:rFonts w:ascii="Times New Roman" w:hAnsi="Times New Roman" w:cs="Times New Roman"/>
          <w:b/>
          <w:bCs/>
          <w:i/>
          <w:iCs/>
          <w:sz w:val="24"/>
          <w:szCs w:val="24"/>
        </w:rPr>
      </w:pPr>
      <w:r w:rsidRPr="00521351">
        <w:rPr>
          <w:rFonts w:ascii="Times New Roman" w:hAnsi="Times New Roman" w:cs="Times New Roman"/>
          <w:b/>
          <w:bCs/>
          <w:i/>
          <w:iCs/>
          <w:sz w:val="24"/>
          <w:szCs w:val="24"/>
        </w:rPr>
        <w:t>5.</w:t>
      </w:r>
      <w:r w:rsidR="00521351">
        <w:rPr>
          <w:rFonts w:ascii="Times New Roman" w:hAnsi="Times New Roman" w:cs="Times New Roman"/>
          <w:b/>
          <w:bCs/>
          <w:i/>
          <w:iCs/>
          <w:sz w:val="24"/>
          <w:szCs w:val="24"/>
        </w:rPr>
        <w:t>1</w:t>
      </w:r>
      <w:r w:rsidRPr="00521351">
        <w:rPr>
          <w:rFonts w:ascii="Times New Roman" w:hAnsi="Times New Roman" w:cs="Times New Roman"/>
          <w:b/>
          <w:bCs/>
          <w:i/>
          <w:iCs/>
          <w:sz w:val="24"/>
          <w:szCs w:val="24"/>
        </w:rPr>
        <w:t xml:space="preserve">    Theoretical Contributions</w:t>
      </w:r>
    </w:p>
    <w:p w14:paraId="7541792E" w14:textId="57695AD2" w:rsidR="005811C7" w:rsidRDefault="00000000" w:rsidP="00521351">
      <w:pPr>
        <w:spacing w:after="0" w:line="240" w:lineRule="auto"/>
        <w:jc w:val="both"/>
        <w:rPr>
          <w:rFonts w:ascii="Times New Roman" w:hAnsi="Times New Roman" w:cs="Times New Roman"/>
          <w:sz w:val="24"/>
          <w:szCs w:val="24"/>
        </w:rPr>
      </w:pPr>
      <w:r w:rsidRPr="00521351">
        <w:rPr>
          <w:rFonts w:ascii="Times New Roman" w:hAnsi="Times New Roman" w:cs="Times New Roman"/>
          <w:sz w:val="24"/>
          <w:szCs w:val="24"/>
        </w:rPr>
        <w:t>This research advances the theory of human-centered AI by contextualizing explainability within organizational decision-making processes. Rather than treating explainability as an abstract technical property, the research demonstrates that explainability must be understood in relation to specific stakeholders, applications, and regulatory contexts. This perspective aligns with recent developments in human-computer interaction and organizational behavior research that emphasize the importance of context in technology adoption and trust formation.</w:t>
      </w:r>
      <w:r w:rsidR="00521351">
        <w:rPr>
          <w:rFonts w:ascii="Times New Roman" w:hAnsi="Times New Roman" w:cs="Times New Roman"/>
          <w:sz w:val="24"/>
          <w:szCs w:val="24"/>
        </w:rPr>
        <w:t xml:space="preserve"> </w:t>
      </w:r>
      <w:r w:rsidRPr="00521351">
        <w:rPr>
          <w:rFonts w:ascii="Times New Roman" w:hAnsi="Times New Roman" w:cs="Times New Roman"/>
          <w:sz w:val="24"/>
          <w:szCs w:val="24"/>
        </w:rPr>
        <w:t>The research also contributes to the emerging field of AI governance by providing a framework that integrates technical, organizational, and regulatory dimensions. Rather than treating these dimensions separately, the proposed framework demonstrates how they interact and reinforce each other.</w:t>
      </w:r>
    </w:p>
    <w:p w14:paraId="550EDEA0" w14:textId="77777777" w:rsidR="00521351" w:rsidRPr="00521351" w:rsidRDefault="00521351" w:rsidP="00521351">
      <w:pPr>
        <w:spacing w:after="0" w:line="240" w:lineRule="auto"/>
        <w:jc w:val="both"/>
        <w:rPr>
          <w:rFonts w:ascii="Times New Roman" w:hAnsi="Times New Roman" w:cs="Times New Roman"/>
          <w:sz w:val="24"/>
          <w:szCs w:val="24"/>
        </w:rPr>
      </w:pPr>
    </w:p>
    <w:p w14:paraId="6BD2D57D" w14:textId="47373853" w:rsidR="005811C7" w:rsidRPr="00521351" w:rsidRDefault="00000000" w:rsidP="00521351">
      <w:pPr>
        <w:spacing w:after="0" w:line="240" w:lineRule="auto"/>
        <w:jc w:val="both"/>
        <w:rPr>
          <w:rFonts w:ascii="Times New Roman" w:hAnsi="Times New Roman" w:cs="Times New Roman"/>
          <w:b/>
          <w:bCs/>
          <w:i/>
          <w:iCs/>
          <w:sz w:val="24"/>
          <w:szCs w:val="24"/>
        </w:rPr>
      </w:pPr>
      <w:r w:rsidRPr="00521351">
        <w:rPr>
          <w:rFonts w:ascii="Times New Roman" w:hAnsi="Times New Roman" w:cs="Times New Roman"/>
          <w:b/>
          <w:bCs/>
          <w:i/>
          <w:iCs/>
          <w:sz w:val="24"/>
          <w:szCs w:val="24"/>
        </w:rPr>
        <w:t>5.</w:t>
      </w:r>
      <w:r w:rsidR="00521351">
        <w:rPr>
          <w:rFonts w:ascii="Times New Roman" w:hAnsi="Times New Roman" w:cs="Times New Roman"/>
          <w:b/>
          <w:bCs/>
          <w:i/>
          <w:iCs/>
          <w:sz w:val="24"/>
          <w:szCs w:val="24"/>
        </w:rPr>
        <w:t>2</w:t>
      </w:r>
      <w:r w:rsidRPr="00521351">
        <w:rPr>
          <w:rFonts w:ascii="Times New Roman" w:hAnsi="Times New Roman" w:cs="Times New Roman"/>
          <w:b/>
          <w:bCs/>
          <w:i/>
          <w:iCs/>
          <w:sz w:val="24"/>
          <w:szCs w:val="24"/>
        </w:rPr>
        <w:t xml:space="preserve">    Practical Implications</w:t>
      </w:r>
    </w:p>
    <w:p w14:paraId="6BA9CDCF" w14:textId="77777777" w:rsidR="00521351" w:rsidRDefault="00000000" w:rsidP="00521351">
      <w:pPr>
        <w:spacing w:after="0" w:line="240" w:lineRule="auto"/>
        <w:jc w:val="both"/>
        <w:rPr>
          <w:rFonts w:ascii="Times New Roman" w:hAnsi="Times New Roman" w:cs="Times New Roman"/>
          <w:sz w:val="24"/>
          <w:szCs w:val="24"/>
        </w:rPr>
      </w:pPr>
      <w:r w:rsidRPr="00521351">
        <w:rPr>
          <w:rFonts w:ascii="Times New Roman" w:hAnsi="Times New Roman" w:cs="Times New Roman"/>
          <w:sz w:val="24"/>
          <w:szCs w:val="24"/>
        </w:rPr>
        <w:t>For business leaders and organizational decision-makers, this research provides a clear roadmap for navigating the complex landscape of AI explainability and regulatory compliance. The proposed framework offers a structured approach to assessing explainability requirements, selecting appropriate technical solutions, and implementing governance structures that ensure accountability.</w:t>
      </w:r>
      <w:r w:rsidRPr="00521351">
        <w:rPr>
          <w:rFonts w:ascii="Times New Roman" w:hAnsi="Times New Roman" w:cs="Times New Roman"/>
          <w:sz w:val="24"/>
          <w:szCs w:val="24"/>
        </w:rPr>
        <w:br/>
        <w:t>For data scientists and machine learning engineers, the research highlights the importance of understanding not just technical explainability methods, but also the organizational and regulatory contexts in which those methods will be deployed. Technical excellence in model building is necessary but insufficient; practitioners must also consider stakeholder needs and regulatory requirements.</w:t>
      </w:r>
    </w:p>
    <w:p w14:paraId="12551F50" w14:textId="304BEC02" w:rsidR="005811C7" w:rsidRDefault="00000000" w:rsidP="00521351">
      <w:pPr>
        <w:spacing w:after="0" w:line="240" w:lineRule="auto"/>
        <w:jc w:val="both"/>
        <w:rPr>
          <w:rFonts w:ascii="Times New Roman" w:hAnsi="Times New Roman" w:cs="Times New Roman"/>
          <w:sz w:val="24"/>
          <w:szCs w:val="24"/>
        </w:rPr>
      </w:pPr>
      <w:r w:rsidRPr="00521351">
        <w:rPr>
          <w:rFonts w:ascii="Times New Roman" w:hAnsi="Times New Roman" w:cs="Times New Roman"/>
          <w:sz w:val="24"/>
          <w:szCs w:val="24"/>
        </w:rPr>
        <w:t>For compliance officers and legal professionals, the research provides clarity on the explainability and accountability requirements of emerging regulatory frameworks. The proposed framework helps organizations understand what documentation and governance structures are required to demonstrate compliance with the EU AI Act and GDPR.</w:t>
      </w:r>
    </w:p>
    <w:p w14:paraId="577AEA15" w14:textId="77777777" w:rsidR="00521351" w:rsidRPr="00521351" w:rsidRDefault="00521351" w:rsidP="00521351">
      <w:pPr>
        <w:spacing w:after="0" w:line="240" w:lineRule="auto"/>
        <w:jc w:val="both"/>
        <w:rPr>
          <w:rFonts w:ascii="Times New Roman" w:hAnsi="Times New Roman" w:cs="Times New Roman"/>
          <w:sz w:val="24"/>
          <w:szCs w:val="24"/>
        </w:rPr>
      </w:pPr>
    </w:p>
    <w:p w14:paraId="669F0020" w14:textId="2B8F3793" w:rsidR="005811C7" w:rsidRPr="00521351" w:rsidRDefault="00000000" w:rsidP="00521351">
      <w:pPr>
        <w:spacing w:after="0" w:line="240" w:lineRule="auto"/>
        <w:jc w:val="both"/>
        <w:rPr>
          <w:rFonts w:ascii="Times New Roman" w:hAnsi="Times New Roman" w:cs="Times New Roman"/>
          <w:b/>
          <w:bCs/>
          <w:i/>
          <w:iCs/>
          <w:sz w:val="24"/>
          <w:szCs w:val="24"/>
        </w:rPr>
      </w:pPr>
      <w:r w:rsidRPr="00521351">
        <w:rPr>
          <w:rFonts w:ascii="Times New Roman" w:hAnsi="Times New Roman" w:cs="Times New Roman"/>
          <w:b/>
          <w:bCs/>
          <w:i/>
          <w:iCs/>
          <w:sz w:val="24"/>
          <w:szCs w:val="24"/>
        </w:rPr>
        <w:t>5.</w:t>
      </w:r>
      <w:r w:rsidR="00521351">
        <w:rPr>
          <w:rFonts w:ascii="Times New Roman" w:hAnsi="Times New Roman" w:cs="Times New Roman"/>
          <w:b/>
          <w:bCs/>
          <w:i/>
          <w:iCs/>
          <w:sz w:val="24"/>
          <w:szCs w:val="24"/>
        </w:rPr>
        <w:t>3</w:t>
      </w:r>
      <w:r w:rsidRPr="00521351">
        <w:rPr>
          <w:rFonts w:ascii="Times New Roman" w:hAnsi="Times New Roman" w:cs="Times New Roman"/>
          <w:b/>
          <w:bCs/>
          <w:i/>
          <w:iCs/>
          <w:sz w:val="24"/>
          <w:szCs w:val="24"/>
        </w:rPr>
        <w:t xml:space="preserve">    Limitations and Future Research Directions</w:t>
      </w:r>
    </w:p>
    <w:p w14:paraId="6D561F54" w14:textId="77777777" w:rsidR="00521351" w:rsidRDefault="00000000" w:rsidP="00521351">
      <w:pPr>
        <w:spacing w:after="0" w:line="240" w:lineRule="auto"/>
        <w:jc w:val="both"/>
        <w:rPr>
          <w:rFonts w:ascii="Times New Roman" w:hAnsi="Times New Roman" w:cs="Times New Roman"/>
          <w:sz w:val="24"/>
          <w:szCs w:val="24"/>
        </w:rPr>
      </w:pPr>
      <w:r w:rsidRPr="00521351">
        <w:rPr>
          <w:rFonts w:ascii="Times New Roman" w:hAnsi="Times New Roman" w:cs="Times New Roman"/>
          <w:sz w:val="24"/>
          <w:szCs w:val="24"/>
        </w:rPr>
        <w:t>This research is based on a systematic literature review and therefore reflects the current state of published research. Empirical validation of the proposed framework through case studies of organizations implementing accountable AI systems would strengthen the findings. Additionally, the research focuses primarily on the EU regulatory context; comparative analysis of explainability requirements across different jurisdictions would provide valuable insights for multinational organizations.</w:t>
      </w:r>
    </w:p>
    <w:p w14:paraId="7CD4B113" w14:textId="09E33ADE" w:rsidR="005811C7" w:rsidRPr="00521351" w:rsidRDefault="00000000" w:rsidP="00521351">
      <w:pPr>
        <w:spacing w:after="0" w:line="240" w:lineRule="auto"/>
        <w:jc w:val="both"/>
        <w:rPr>
          <w:rFonts w:ascii="Times New Roman" w:hAnsi="Times New Roman" w:cs="Times New Roman"/>
          <w:sz w:val="24"/>
          <w:szCs w:val="24"/>
        </w:rPr>
      </w:pPr>
      <w:r w:rsidRPr="00521351">
        <w:rPr>
          <w:rFonts w:ascii="Times New Roman" w:hAnsi="Times New Roman" w:cs="Times New Roman"/>
          <w:sz w:val="24"/>
          <w:szCs w:val="24"/>
        </w:rPr>
        <w:lastRenderedPageBreak/>
        <w:t>Future research should investigate: (1) how to measure and validate the quality of explanations provided to different stakeholder groups, (2) the long-term effects of explainability on stakeholder trust and AI adoption, (3) the cost-benefit trade-offs of different explainability approaches in different business contexts, and (4) how organizations can effectively implement the proposed framework given resource constraints and competing priorities.</w:t>
      </w:r>
    </w:p>
    <w:p w14:paraId="069A23DC" w14:textId="77777777" w:rsidR="005811C7" w:rsidRPr="00B25B63" w:rsidRDefault="005811C7">
      <w:pPr>
        <w:rPr>
          <w:rFonts w:ascii="Times New Roman" w:hAnsi="Times New Roman" w:cs="Times New Roman"/>
          <w:sz w:val="24"/>
          <w:szCs w:val="24"/>
        </w:rPr>
      </w:pPr>
    </w:p>
    <w:p w14:paraId="625E6F6F" w14:textId="77777777" w:rsidR="005811C7" w:rsidRPr="00B25B63" w:rsidRDefault="00000000">
      <w:pPr>
        <w:pStyle w:val="Heading1"/>
        <w:rPr>
          <w:rFonts w:ascii="Times New Roman" w:hAnsi="Times New Roman" w:cs="Times New Roman"/>
          <w:b/>
          <w:bCs/>
          <w:color w:val="auto"/>
          <w:sz w:val="24"/>
          <w:szCs w:val="24"/>
        </w:rPr>
      </w:pPr>
      <w:r w:rsidRPr="00B25B63">
        <w:rPr>
          <w:rFonts w:ascii="Times New Roman" w:hAnsi="Times New Roman" w:cs="Times New Roman"/>
          <w:b/>
          <w:bCs/>
          <w:color w:val="auto"/>
          <w:sz w:val="24"/>
          <w:szCs w:val="24"/>
        </w:rPr>
        <w:t>Reference</w:t>
      </w:r>
    </w:p>
    <w:p w14:paraId="326C2FF4" w14:textId="77777777" w:rsidR="005C364D" w:rsidRDefault="00000000" w:rsidP="00521351">
      <w:pPr>
        <w:spacing w:after="0" w:line="240" w:lineRule="auto"/>
        <w:rPr>
          <w:rFonts w:ascii="Times New Roman" w:hAnsi="Times New Roman" w:cs="Times New Roman"/>
        </w:rPr>
      </w:pPr>
      <w:r w:rsidRPr="00521351">
        <w:rPr>
          <w:rFonts w:ascii="Times New Roman" w:hAnsi="Times New Roman" w:cs="Times New Roman"/>
        </w:rPr>
        <w:t xml:space="preserve">Afroogh, S., et al. (2024). Trust in AI: Progress, challenges, and future directions. Nature Human </w:t>
      </w:r>
      <w:proofErr w:type="spellStart"/>
      <w:r w:rsidRPr="00521351">
        <w:rPr>
          <w:rFonts w:ascii="Times New Roman" w:hAnsi="Times New Roman" w:cs="Times New Roman"/>
        </w:rPr>
        <w:t>Behaviour</w:t>
      </w:r>
      <w:proofErr w:type="spellEnd"/>
      <w:r w:rsidRPr="00521351">
        <w:rPr>
          <w:rFonts w:ascii="Times New Roman" w:hAnsi="Times New Roman" w:cs="Times New Roman"/>
        </w:rPr>
        <w:t>, 8(5), 123-135.</w:t>
      </w:r>
      <w:r w:rsidRPr="00521351">
        <w:rPr>
          <w:rFonts w:ascii="Times New Roman" w:hAnsi="Times New Roman" w:cs="Times New Roman"/>
        </w:rPr>
        <w:br/>
        <w:t>Azodi, C. B., Tang, J., &amp; Shiu, S. H. (2020). Opening the black box: Interpretable machine learning for geneticists. Trends in Genetics, 36(8), 541-551.</w:t>
      </w:r>
      <w:r w:rsidRPr="00521351">
        <w:rPr>
          <w:rFonts w:ascii="Times New Roman" w:hAnsi="Times New Roman" w:cs="Times New Roman"/>
        </w:rPr>
        <w:br/>
      </w:r>
      <w:r w:rsidR="00E33A00">
        <w:rPr>
          <w:rFonts w:ascii="Times New Roman" w:hAnsi="Times New Roman" w:cs="Times New Roman"/>
        </w:rPr>
        <w:t>Leopard A., Epstein D.,</w:t>
      </w:r>
      <w:r w:rsidRPr="00521351">
        <w:rPr>
          <w:rFonts w:ascii="Times New Roman" w:hAnsi="Times New Roman" w:cs="Times New Roman"/>
        </w:rPr>
        <w:t xml:space="preserve"> (2025). Global AI governance: Five key frameworks explained. Retrieved from https://www.bradley.com/insights/publications/2025/08/global-ai-governance-five-key-frameworks-explained</w:t>
      </w:r>
      <w:r w:rsidRPr="00521351">
        <w:rPr>
          <w:rFonts w:ascii="Times New Roman" w:hAnsi="Times New Roman" w:cs="Times New Roman"/>
        </w:rPr>
        <w:br/>
        <w:t>Choung, H., et al. (2025). Fairness and trust in AI decision-making. International Journal of Human-Computer Interaction, 41(3), 245-260.</w:t>
      </w:r>
      <w:r w:rsidRPr="00521351">
        <w:rPr>
          <w:rFonts w:ascii="Times New Roman" w:hAnsi="Times New Roman" w:cs="Times New Roman"/>
        </w:rPr>
        <w:br/>
        <w:t>Ding, S., et al. (202</w:t>
      </w:r>
      <w:r w:rsidR="00E33A00">
        <w:rPr>
          <w:rFonts w:ascii="Times New Roman" w:hAnsi="Times New Roman" w:cs="Times New Roman"/>
        </w:rPr>
        <w:t>5</w:t>
      </w:r>
      <w:r w:rsidRPr="00521351">
        <w:rPr>
          <w:rFonts w:ascii="Times New Roman" w:hAnsi="Times New Roman" w:cs="Times New Roman"/>
        </w:rPr>
        <w:t>). A new model for calculating human trust behavior during human-AI collaboration in multiple decision-making tasks: A Bayesian approach. Computers &amp; Industrial Engineering, 192, 109-121.</w:t>
      </w:r>
      <w:r w:rsidRPr="00521351">
        <w:rPr>
          <w:rFonts w:ascii="Times New Roman" w:hAnsi="Times New Roman" w:cs="Times New Roman"/>
        </w:rPr>
        <w:br/>
        <w:t>Goncalves, A., &amp; Correia, A. (2026). XAI-Compliance-by-Design: A modular framework for GDPR-and AI Act-aligned decision transparency in high-risk AI systems. Journal of Cybersecurity and Privacy, 6(2), 43-58.</w:t>
      </w:r>
      <w:r w:rsidRPr="00521351">
        <w:rPr>
          <w:rFonts w:ascii="Times New Roman" w:hAnsi="Times New Roman" w:cs="Times New Roman"/>
        </w:rPr>
        <w:br/>
        <w:t>Hettikankanamage, N., et al. (2025). eXplainable Artificial Intelligence (XAI): A systematic review. Neural Computing and Applications, 37(2), 1-25.</w:t>
      </w:r>
      <w:r w:rsidRPr="00521351">
        <w:rPr>
          <w:rFonts w:ascii="Times New Roman" w:hAnsi="Times New Roman" w:cs="Times New Roman"/>
        </w:rPr>
        <w:br/>
        <w:t xml:space="preserve">Ihejirika, C. J. (2025). Explainable artificial intelligence in deep learning models for transparent decision-making in high-stakes applications. International Journal of Research Publications Review, </w:t>
      </w:r>
      <w:r w:rsidR="00E33A00">
        <w:rPr>
          <w:rFonts w:ascii="Times New Roman" w:hAnsi="Times New Roman" w:cs="Times New Roman"/>
        </w:rPr>
        <w:t xml:space="preserve">vol. 6, </w:t>
      </w:r>
      <w:proofErr w:type="spellStart"/>
      <w:r w:rsidR="00E33A00">
        <w:rPr>
          <w:rFonts w:ascii="Times New Roman" w:hAnsi="Times New Roman" w:cs="Times New Roman"/>
        </w:rPr>
        <w:t>iss</w:t>
      </w:r>
      <w:proofErr w:type="spellEnd"/>
      <w:r w:rsidR="00E33A00">
        <w:rPr>
          <w:rFonts w:ascii="Times New Roman" w:hAnsi="Times New Roman" w:cs="Times New Roman"/>
        </w:rPr>
        <w:t>. 2</w:t>
      </w:r>
      <w:r w:rsidRPr="00521351">
        <w:rPr>
          <w:rFonts w:ascii="Times New Roman" w:hAnsi="Times New Roman" w:cs="Times New Roman"/>
        </w:rPr>
        <w:br/>
        <w:t>Lundberg, S. M., &amp; Lee, S. I. (2017). A unified approach to interpreting model predictions. Advances in Neural Information Processing Systems, 30, 4765-4774.</w:t>
      </w:r>
    </w:p>
    <w:p w14:paraId="5BE5DE39" w14:textId="54A71511" w:rsidR="005811C7" w:rsidRPr="00521351" w:rsidRDefault="005C364D" w:rsidP="00521351">
      <w:pPr>
        <w:spacing w:after="0" w:line="240" w:lineRule="auto"/>
        <w:rPr>
          <w:rFonts w:ascii="Times New Roman" w:hAnsi="Times New Roman" w:cs="Times New Roman"/>
        </w:rPr>
      </w:pPr>
      <w:r w:rsidRPr="005C364D">
        <w:rPr>
          <w:rFonts w:ascii="Times New Roman" w:hAnsi="Times New Roman" w:cs="Times New Roman"/>
        </w:rPr>
        <w:t xml:space="preserve">Ning X., </w:t>
      </w:r>
      <w:proofErr w:type="spellStart"/>
      <w:r w:rsidRPr="005C364D">
        <w:rPr>
          <w:rFonts w:ascii="Times New Roman" w:hAnsi="Times New Roman" w:cs="Times New Roman"/>
        </w:rPr>
        <w:t>Yaobin</w:t>
      </w:r>
      <w:proofErr w:type="spellEnd"/>
      <w:r w:rsidRPr="005C364D">
        <w:rPr>
          <w:rFonts w:ascii="Times New Roman" w:hAnsi="Times New Roman" w:cs="Times New Roman"/>
        </w:rPr>
        <w:t xml:space="preserve"> L., </w:t>
      </w:r>
      <w:proofErr w:type="spellStart"/>
      <w:r w:rsidRPr="005C364D">
        <w:rPr>
          <w:rFonts w:ascii="Times New Roman" w:hAnsi="Times New Roman" w:cs="Times New Roman"/>
        </w:rPr>
        <w:t>Weimo</w:t>
      </w:r>
      <w:proofErr w:type="spellEnd"/>
      <w:r w:rsidRPr="005C364D">
        <w:rPr>
          <w:rFonts w:ascii="Times New Roman" w:hAnsi="Times New Roman" w:cs="Times New Roman"/>
        </w:rPr>
        <w:t xml:space="preserve"> L., Gupta S., (2024). How transparency affects algorithmic advice utilization: The mediating roles of trusting beliefs, Decision Support Systems, Vol. 183</w:t>
      </w:r>
      <w:r w:rsidR="00000000" w:rsidRPr="00521351">
        <w:rPr>
          <w:rFonts w:ascii="Times New Roman" w:hAnsi="Times New Roman" w:cs="Times New Roman"/>
        </w:rPr>
        <w:br/>
        <w:t xml:space="preserve">Park, K., et al. (2025). AI algorithm transparency, pipelines for trust not prisms. Nature Human </w:t>
      </w:r>
      <w:proofErr w:type="spellStart"/>
      <w:r w:rsidR="00000000" w:rsidRPr="00521351">
        <w:rPr>
          <w:rFonts w:ascii="Times New Roman" w:hAnsi="Times New Roman" w:cs="Times New Roman"/>
        </w:rPr>
        <w:t>Behaviour</w:t>
      </w:r>
      <w:proofErr w:type="spellEnd"/>
      <w:r w:rsidR="00000000" w:rsidRPr="00521351">
        <w:rPr>
          <w:rFonts w:ascii="Times New Roman" w:hAnsi="Times New Roman" w:cs="Times New Roman"/>
        </w:rPr>
        <w:t>, 9(1), 41-55.</w:t>
      </w:r>
      <w:r w:rsidR="00000000" w:rsidRPr="00521351">
        <w:rPr>
          <w:rFonts w:ascii="Times New Roman" w:hAnsi="Times New Roman" w:cs="Times New Roman"/>
        </w:rPr>
        <w:br/>
        <w:t>Petch, J., Di, S., &amp; Nelson, W. (2022). Opening the black box: The promise and limitations of explainable machine learning in cardiology. Canadian Journal of Cardiology, 38(2), 133-141.</w:t>
      </w:r>
      <w:r w:rsidR="00000000" w:rsidRPr="00521351">
        <w:rPr>
          <w:rFonts w:ascii="Times New Roman" w:hAnsi="Times New Roman" w:cs="Times New Roman"/>
        </w:rPr>
        <w:br/>
        <w:t>Qawqzeh, Y., et al. (2025). Enhancing IoT attack detection with explainable AI: A robust evaluation of LIME and SHAP interpretability. Journal of Advanced Information Technology, 14(2), 78-92.</w:t>
      </w:r>
      <w:r w:rsidR="00000000" w:rsidRPr="00521351">
        <w:rPr>
          <w:rFonts w:ascii="Times New Roman" w:hAnsi="Times New Roman" w:cs="Times New Roman"/>
        </w:rPr>
        <w:br/>
        <w:t>Sahoh, B., &amp; Choksuriwong, A. (2023). The role of explainability in high-stakes decision-making systems: A systematic review. Journal of Ambient Intelligence and Humanized Computing, 14(5), 6789-6805.</w:t>
      </w:r>
      <w:r w:rsidR="00000000" w:rsidRPr="00521351">
        <w:rPr>
          <w:rFonts w:ascii="Times New Roman" w:hAnsi="Times New Roman" w:cs="Times New Roman"/>
        </w:rPr>
        <w:br/>
        <w:t>Salih, A. M., et al. (2025). A perspective on explainable artificial intelligence methods. Advanced Intelligent Systems, 2(3), 2400304.</w:t>
      </w:r>
      <w:r w:rsidR="00000000" w:rsidRPr="00521351">
        <w:rPr>
          <w:rFonts w:ascii="Times New Roman" w:hAnsi="Times New Roman" w:cs="Times New Roman"/>
        </w:rPr>
        <w:br/>
        <w:t>Sapienza, S., &amp; Palmirani, M. (2025). Algorithmic knowability: A unified approach to explanations in the AI Act. In Explainable Artificial Intelligence (pp. 125-142). Springer.</w:t>
      </w:r>
      <w:r w:rsidR="00000000" w:rsidRPr="00521351">
        <w:rPr>
          <w:rFonts w:ascii="Times New Roman" w:hAnsi="Times New Roman" w:cs="Times New Roman"/>
        </w:rPr>
        <w:br/>
        <w:t>Saranya, A., &amp; Subhashini, R. (2023). A systematic review of explainable artificial intelligence models and applications: Recent developments and future trends. Decision Analytics Journal, 6, 100070.</w:t>
      </w:r>
      <w:r w:rsidR="00000000" w:rsidRPr="00521351">
        <w:rPr>
          <w:rFonts w:ascii="Times New Roman" w:hAnsi="Times New Roman" w:cs="Times New Roman"/>
        </w:rPr>
        <w:br/>
        <w:t xml:space="preserve">Seifi, </w:t>
      </w:r>
      <w:r w:rsidR="00E20346">
        <w:rPr>
          <w:rFonts w:ascii="Times New Roman" w:hAnsi="Times New Roman" w:cs="Times New Roman"/>
        </w:rPr>
        <w:t xml:space="preserve">S., </w:t>
      </w:r>
      <w:proofErr w:type="spellStart"/>
      <w:r w:rsidR="00E20346">
        <w:rPr>
          <w:rFonts w:ascii="Times New Roman" w:hAnsi="Times New Roman" w:cs="Times New Roman"/>
        </w:rPr>
        <w:t>Sukianto</w:t>
      </w:r>
      <w:proofErr w:type="spellEnd"/>
      <w:r w:rsidR="00E20346">
        <w:rPr>
          <w:rFonts w:ascii="Times New Roman" w:hAnsi="Times New Roman" w:cs="Times New Roman"/>
        </w:rPr>
        <w:t xml:space="preserve"> T., </w:t>
      </w:r>
      <w:proofErr w:type="spellStart"/>
      <w:r w:rsidR="00E20346">
        <w:rPr>
          <w:rFonts w:ascii="Times New Roman" w:hAnsi="Times New Roman" w:cs="Times New Roman"/>
        </w:rPr>
        <w:t>Carbonelli</w:t>
      </w:r>
      <w:proofErr w:type="spellEnd"/>
      <w:r w:rsidR="00E20346">
        <w:rPr>
          <w:rFonts w:ascii="Times New Roman" w:hAnsi="Times New Roman" w:cs="Times New Roman"/>
        </w:rPr>
        <w:t xml:space="preserve"> C., </w:t>
      </w:r>
      <w:proofErr w:type="spellStart"/>
      <w:r w:rsidR="00E20346">
        <w:rPr>
          <w:rFonts w:ascii="Times New Roman" w:hAnsi="Times New Roman" w:cs="Times New Roman"/>
        </w:rPr>
        <w:t>Servadei</w:t>
      </w:r>
      <w:proofErr w:type="spellEnd"/>
      <w:r w:rsidR="00E20346">
        <w:rPr>
          <w:rFonts w:ascii="Times New Roman" w:hAnsi="Times New Roman" w:cs="Times New Roman"/>
        </w:rPr>
        <w:t xml:space="preserve"> L., Wille R.</w:t>
      </w:r>
      <w:proofErr w:type="gramStart"/>
      <w:r w:rsidR="00E20346">
        <w:rPr>
          <w:rFonts w:ascii="Times New Roman" w:hAnsi="Times New Roman" w:cs="Times New Roman"/>
        </w:rPr>
        <w:t xml:space="preserve">, </w:t>
      </w:r>
      <w:r w:rsidR="00000000" w:rsidRPr="00521351">
        <w:rPr>
          <w:rFonts w:ascii="Times New Roman" w:hAnsi="Times New Roman" w:cs="Times New Roman"/>
        </w:rPr>
        <w:t xml:space="preserve"> (</w:t>
      </w:r>
      <w:proofErr w:type="gramEnd"/>
      <w:r w:rsidR="00000000" w:rsidRPr="00521351">
        <w:rPr>
          <w:rFonts w:ascii="Times New Roman" w:hAnsi="Times New Roman" w:cs="Times New Roman"/>
        </w:rPr>
        <w:t xml:space="preserve">2025). </w:t>
      </w:r>
      <w:r w:rsidR="00E20346" w:rsidRPr="00E20346">
        <w:rPr>
          <w:rFonts w:ascii="Times New Roman" w:hAnsi="Times New Roman" w:cs="Times New Roman"/>
        </w:rPr>
        <w:t>Complying with the EU AI Act: Innovations in explainable and user-centric hand gesture recognition</w:t>
      </w:r>
      <w:r w:rsidR="00000000" w:rsidRPr="00521351">
        <w:rPr>
          <w:rFonts w:ascii="Times New Roman" w:hAnsi="Times New Roman" w:cs="Times New Roman"/>
        </w:rPr>
        <w:t xml:space="preserve">. </w:t>
      </w:r>
      <w:r w:rsidR="00E20346">
        <w:rPr>
          <w:rFonts w:ascii="Times New Roman" w:hAnsi="Times New Roman" w:cs="Times New Roman"/>
        </w:rPr>
        <w:t>Machine Learning with Applications, vol. 20, 100655</w:t>
      </w:r>
      <w:r w:rsidR="00000000" w:rsidRPr="00521351">
        <w:rPr>
          <w:rFonts w:ascii="Times New Roman" w:hAnsi="Times New Roman" w:cs="Times New Roman"/>
        </w:rPr>
        <w:br/>
      </w:r>
      <w:proofErr w:type="spellStart"/>
      <w:r w:rsidR="00000000" w:rsidRPr="00521351">
        <w:rPr>
          <w:rFonts w:ascii="Times New Roman" w:hAnsi="Times New Roman" w:cs="Times New Roman"/>
        </w:rPr>
        <w:t>Şahin</w:t>
      </w:r>
      <w:proofErr w:type="spellEnd"/>
      <w:r w:rsidR="00000000" w:rsidRPr="00521351">
        <w:rPr>
          <w:rFonts w:ascii="Times New Roman" w:hAnsi="Times New Roman" w:cs="Times New Roman"/>
        </w:rPr>
        <w:t>, E., Arslan, N. N., &amp; Özdemir, D. (2025). Unlocking the black box: An in-depth review on interpretability, explainability, and reliability in deep learning. Neural Computing and Applications, 37(8), 10437-10460.</w:t>
      </w:r>
      <w:r w:rsidR="00000000" w:rsidRPr="00521351">
        <w:rPr>
          <w:rFonts w:ascii="Times New Roman" w:hAnsi="Times New Roman" w:cs="Times New Roman"/>
        </w:rPr>
        <w:br/>
        <w:t>Tchuente, D., Lonlac, J., &amp; Kamsu-Foguem, B. (2024). A methodological and theoretical framework for implementing explainable artificial intelligence (XAI) in business applications. Computers in Industry, 155, 104073.</w:t>
      </w:r>
      <w:r w:rsidR="00000000" w:rsidRPr="00521351">
        <w:rPr>
          <w:rFonts w:ascii="Times New Roman" w:hAnsi="Times New Roman" w:cs="Times New Roman"/>
        </w:rPr>
        <w:br/>
        <w:t>Wagan, S. M., et al. (2026). Interpreting irrigation decisions: Explainable AI using SHAP and LIME in agricultural water management models. Water Resources Management, 40(3), 1-18.</w:t>
      </w:r>
      <w:r w:rsidR="00000000" w:rsidRPr="00521351">
        <w:rPr>
          <w:rFonts w:ascii="Times New Roman" w:hAnsi="Times New Roman" w:cs="Times New Roman"/>
        </w:rPr>
        <w:br/>
      </w:r>
      <w:r w:rsidR="00000000" w:rsidRPr="00521351">
        <w:rPr>
          <w:rFonts w:ascii="Times New Roman" w:hAnsi="Times New Roman" w:cs="Times New Roman"/>
        </w:rPr>
        <w:lastRenderedPageBreak/>
        <w:t>Wen, Y., Wang, J., &amp; Chen, X. (2025). Trust and AI weight: Human-AI collaboration in organizational management decision-making. Frontiers in Organizational Psychology, 6, 1419403.</w:t>
      </w:r>
      <w:r w:rsidR="00000000" w:rsidRPr="00521351">
        <w:rPr>
          <w:rFonts w:ascii="Times New Roman" w:hAnsi="Times New Roman" w:cs="Times New Roman"/>
        </w:rPr>
        <w:br/>
        <w:t>Wulf, A. J., &amp; Seizov, O. (2024). "Please understand we cannot provide further information": Evaluating content and transparency of GDPR-mandated AI disclosures. AI &amp; Society, 39(2), 424-438.</w:t>
      </w:r>
    </w:p>
    <w:sectPr w:rsidR="005811C7" w:rsidRPr="00521351" w:rsidSect="007A56E6">
      <w:pgSz w:w="11906" w:h="16838" w:code="9"/>
      <w:pgMar w:top="990" w:right="1440" w:bottom="63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FE1BC4"/>
    <w:multiLevelType w:val="multilevel"/>
    <w:tmpl w:val="B3228EA2"/>
    <w:lvl w:ilvl="0">
      <w:start w:val="5"/>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2B31C78"/>
    <w:multiLevelType w:val="multilevel"/>
    <w:tmpl w:val="05F62D72"/>
    <w:lvl w:ilvl="0">
      <w:start w:val="2"/>
      <w:numFmt w:val="decimal"/>
      <w:lvlText w:val="%1"/>
      <w:lvlJc w:val="left"/>
      <w:pPr>
        <w:ind w:left="360" w:hanging="360"/>
      </w:pPr>
      <w:rPr>
        <w:rFonts w:hint="default"/>
        <w:b/>
      </w:rPr>
    </w:lvl>
    <w:lvl w:ilvl="1">
      <w:start w:val="2"/>
      <w:numFmt w:val="decimal"/>
      <w:lvlText w:val="%1.%2"/>
      <w:lvlJc w:val="left"/>
      <w:pPr>
        <w:ind w:left="4590" w:hanging="360"/>
      </w:pPr>
      <w:rPr>
        <w:rFonts w:hint="default"/>
        <w:b/>
        <w:i/>
        <w:iCs/>
        <w:color w:val="auto"/>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 w15:restartNumberingAfterBreak="0">
    <w:nsid w:val="16C23D87"/>
    <w:multiLevelType w:val="multilevel"/>
    <w:tmpl w:val="A862329E"/>
    <w:lvl w:ilvl="0">
      <w:start w:val="1"/>
      <w:numFmt w:val="decimal"/>
      <w:lvlText w:val="%1."/>
      <w:lvlJc w:val="left"/>
      <w:pPr>
        <w:ind w:left="720" w:hanging="360"/>
      </w:pPr>
      <w:rPr>
        <w:rFonts w:hint="default"/>
      </w:r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9F86C92"/>
    <w:multiLevelType w:val="multilevel"/>
    <w:tmpl w:val="F8465430"/>
    <w:lvl w:ilvl="0">
      <w:start w:val="4"/>
      <w:numFmt w:val="decimal"/>
      <w:lvlText w:val="%1"/>
      <w:lvlJc w:val="left"/>
      <w:pPr>
        <w:ind w:left="360" w:hanging="360"/>
      </w:pPr>
      <w:rPr>
        <w:rFonts w:hint="default"/>
        <w:b/>
      </w:rPr>
    </w:lvl>
    <w:lvl w:ilvl="1">
      <w:start w:val="2"/>
      <w:numFmt w:val="decimal"/>
      <w:lvlText w:val="%1.%2"/>
      <w:lvlJc w:val="left"/>
      <w:pPr>
        <w:ind w:left="4590" w:hanging="360"/>
      </w:pPr>
      <w:rPr>
        <w:rFonts w:hint="default"/>
        <w:b/>
      </w:rPr>
    </w:lvl>
    <w:lvl w:ilvl="2">
      <w:start w:val="1"/>
      <w:numFmt w:val="decimal"/>
      <w:lvlText w:val="%1.%2.%3"/>
      <w:lvlJc w:val="left"/>
      <w:pPr>
        <w:ind w:left="9180" w:hanging="720"/>
      </w:pPr>
      <w:rPr>
        <w:rFonts w:hint="default"/>
        <w:b/>
      </w:rPr>
    </w:lvl>
    <w:lvl w:ilvl="3">
      <w:start w:val="1"/>
      <w:numFmt w:val="decimal"/>
      <w:lvlText w:val="%1.%2.%3.%4"/>
      <w:lvlJc w:val="left"/>
      <w:pPr>
        <w:ind w:left="13410" w:hanging="720"/>
      </w:pPr>
      <w:rPr>
        <w:rFonts w:hint="default"/>
        <w:b/>
      </w:rPr>
    </w:lvl>
    <w:lvl w:ilvl="4">
      <w:start w:val="1"/>
      <w:numFmt w:val="decimal"/>
      <w:lvlText w:val="%1.%2.%3.%4.%5"/>
      <w:lvlJc w:val="left"/>
      <w:pPr>
        <w:ind w:left="18000" w:hanging="1080"/>
      </w:pPr>
      <w:rPr>
        <w:rFonts w:hint="default"/>
        <w:b/>
      </w:rPr>
    </w:lvl>
    <w:lvl w:ilvl="5">
      <w:start w:val="1"/>
      <w:numFmt w:val="decimal"/>
      <w:lvlText w:val="%1.%2.%3.%4.%5.%6"/>
      <w:lvlJc w:val="left"/>
      <w:pPr>
        <w:ind w:left="22230" w:hanging="1080"/>
      </w:pPr>
      <w:rPr>
        <w:rFonts w:hint="default"/>
        <w:b/>
      </w:rPr>
    </w:lvl>
    <w:lvl w:ilvl="6">
      <w:start w:val="1"/>
      <w:numFmt w:val="decimal"/>
      <w:lvlText w:val="%1.%2.%3.%4.%5.%6.%7"/>
      <w:lvlJc w:val="left"/>
      <w:pPr>
        <w:ind w:left="26820" w:hanging="1440"/>
      </w:pPr>
      <w:rPr>
        <w:rFonts w:hint="default"/>
        <w:b/>
      </w:rPr>
    </w:lvl>
    <w:lvl w:ilvl="7">
      <w:start w:val="1"/>
      <w:numFmt w:val="decimal"/>
      <w:lvlText w:val="%1.%2.%3.%4.%5.%6.%7.%8"/>
      <w:lvlJc w:val="left"/>
      <w:pPr>
        <w:ind w:left="31050" w:hanging="1440"/>
      </w:pPr>
      <w:rPr>
        <w:rFonts w:hint="default"/>
        <w:b/>
      </w:rPr>
    </w:lvl>
    <w:lvl w:ilvl="8">
      <w:start w:val="1"/>
      <w:numFmt w:val="decimal"/>
      <w:lvlText w:val="%1.%2.%3.%4.%5.%6.%7.%8.%9"/>
      <w:lvlJc w:val="left"/>
      <w:pPr>
        <w:ind w:left="-29896" w:hanging="1800"/>
      </w:pPr>
      <w:rPr>
        <w:rFonts w:hint="default"/>
        <w:b/>
      </w:rPr>
    </w:lvl>
  </w:abstractNum>
  <w:abstractNum w:abstractNumId="4" w15:restartNumberingAfterBreak="0">
    <w:nsid w:val="1A0C6969"/>
    <w:multiLevelType w:val="hybridMultilevel"/>
    <w:tmpl w:val="359AB03A"/>
    <w:lvl w:ilvl="0" w:tplc="0D803A3A">
      <w:start w:val="1"/>
      <w:numFmt w:val="bullet"/>
      <w:lvlText w:val=""/>
      <w:lvlJc w:val="left"/>
      <w:pPr>
        <w:ind w:left="720" w:hanging="360"/>
      </w:pPr>
      <w:rPr>
        <w:rFonts w:ascii="Symbol" w:hAnsi="Symbol" w:hint="default"/>
      </w:rPr>
    </w:lvl>
    <w:lvl w:ilvl="1" w:tplc="217AAE00">
      <w:start w:val="1"/>
      <w:numFmt w:val="bullet"/>
      <w:lvlText w:val=""/>
      <w:lvlJc w:val="left"/>
      <w:pPr>
        <w:ind w:left="720" w:hanging="360"/>
      </w:pPr>
      <w:rPr>
        <w:rFonts w:ascii="Wingdings" w:hAnsi="Wingdings" w:hint="default"/>
      </w:rPr>
    </w:lvl>
    <w:lvl w:ilvl="2" w:tplc="A10CD22A" w:tentative="1">
      <w:start w:val="1"/>
      <w:numFmt w:val="bullet"/>
      <w:lvlText w:val=""/>
      <w:lvlJc w:val="left"/>
      <w:pPr>
        <w:ind w:left="2160" w:hanging="360"/>
      </w:pPr>
      <w:rPr>
        <w:rFonts w:ascii="Wingdings" w:hAnsi="Wingdings" w:hint="default"/>
      </w:rPr>
    </w:lvl>
    <w:lvl w:ilvl="3" w:tplc="1C740974" w:tentative="1">
      <w:start w:val="1"/>
      <w:numFmt w:val="bullet"/>
      <w:lvlText w:val=""/>
      <w:lvlJc w:val="left"/>
      <w:pPr>
        <w:ind w:left="2880" w:hanging="360"/>
      </w:pPr>
      <w:rPr>
        <w:rFonts w:ascii="Symbol" w:hAnsi="Symbol" w:hint="default"/>
      </w:rPr>
    </w:lvl>
    <w:lvl w:ilvl="4" w:tplc="F80C9A5E" w:tentative="1">
      <w:start w:val="1"/>
      <w:numFmt w:val="bullet"/>
      <w:lvlText w:val="o"/>
      <w:lvlJc w:val="left"/>
      <w:pPr>
        <w:ind w:left="3600" w:hanging="360"/>
      </w:pPr>
      <w:rPr>
        <w:rFonts w:ascii="Courier New" w:hAnsi="Courier New" w:cs="Courier New" w:hint="default"/>
      </w:rPr>
    </w:lvl>
    <w:lvl w:ilvl="5" w:tplc="75863538" w:tentative="1">
      <w:start w:val="1"/>
      <w:numFmt w:val="bullet"/>
      <w:lvlText w:val=""/>
      <w:lvlJc w:val="left"/>
      <w:pPr>
        <w:ind w:left="4320" w:hanging="360"/>
      </w:pPr>
      <w:rPr>
        <w:rFonts w:ascii="Wingdings" w:hAnsi="Wingdings" w:hint="default"/>
      </w:rPr>
    </w:lvl>
    <w:lvl w:ilvl="6" w:tplc="F44EE254" w:tentative="1">
      <w:start w:val="1"/>
      <w:numFmt w:val="bullet"/>
      <w:lvlText w:val=""/>
      <w:lvlJc w:val="left"/>
      <w:pPr>
        <w:ind w:left="5040" w:hanging="360"/>
      </w:pPr>
      <w:rPr>
        <w:rFonts w:ascii="Symbol" w:hAnsi="Symbol" w:hint="default"/>
      </w:rPr>
    </w:lvl>
    <w:lvl w:ilvl="7" w:tplc="6E4A8ED0" w:tentative="1">
      <w:start w:val="1"/>
      <w:numFmt w:val="bullet"/>
      <w:lvlText w:val="o"/>
      <w:lvlJc w:val="left"/>
      <w:pPr>
        <w:ind w:left="5760" w:hanging="360"/>
      </w:pPr>
      <w:rPr>
        <w:rFonts w:ascii="Courier New" w:hAnsi="Courier New" w:cs="Courier New" w:hint="default"/>
      </w:rPr>
    </w:lvl>
    <w:lvl w:ilvl="8" w:tplc="594C0DDC" w:tentative="1">
      <w:start w:val="1"/>
      <w:numFmt w:val="bullet"/>
      <w:lvlText w:val=""/>
      <w:lvlJc w:val="left"/>
      <w:pPr>
        <w:ind w:left="6480" w:hanging="360"/>
      </w:pPr>
      <w:rPr>
        <w:rFonts w:ascii="Wingdings" w:hAnsi="Wingdings" w:hint="default"/>
      </w:rPr>
    </w:lvl>
  </w:abstractNum>
  <w:abstractNum w:abstractNumId="5" w15:restartNumberingAfterBreak="0">
    <w:nsid w:val="1B07239C"/>
    <w:multiLevelType w:val="multilevel"/>
    <w:tmpl w:val="6DA60CF2"/>
    <w:lvl w:ilvl="0">
      <w:start w:val="1"/>
      <w:numFmt w:val="decimal"/>
      <w:lvlText w:val="%1."/>
      <w:lvlJc w:val="left"/>
      <w:pPr>
        <w:ind w:left="720" w:hanging="360"/>
      </w:pPr>
    </w:lvl>
    <w:lvl w:ilvl="1">
      <w:start w:val="1"/>
      <w:numFmt w:val="decimal"/>
      <w:isLgl/>
      <w:lvlText w:val="%1.%2."/>
      <w:lvlJc w:val="left"/>
      <w:pPr>
        <w:ind w:left="720" w:hanging="36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1B4A2568"/>
    <w:multiLevelType w:val="hybridMultilevel"/>
    <w:tmpl w:val="5F6631C4"/>
    <w:lvl w:ilvl="0" w:tplc="471A3B50">
      <w:start w:val="1"/>
      <w:numFmt w:val="bullet"/>
      <w:lvlText w:val=""/>
      <w:lvlJc w:val="left"/>
      <w:pPr>
        <w:ind w:left="720" w:hanging="360"/>
      </w:pPr>
      <w:rPr>
        <w:rFonts w:ascii="Wingdings" w:hAnsi="Wingdings" w:hint="default"/>
      </w:rPr>
    </w:lvl>
    <w:lvl w:ilvl="1" w:tplc="C6AA19F2" w:tentative="1">
      <w:start w:val="1"/>
      <w:numFmt w:val="bullet"/>
      <w:lvlText w:val="o"/>
      <w:lvlJc w:val="left"/>
      <w:pPr>
        <w:ind w:left="1440" w:hanging="360"/>
      </w:pPr>
      <w:rPr>
        <w:rFonts w:ascii="Courier New" w:hAnsi="Courier New" w:cs="Courier New" w:hint="default"/>
      </w:rPr>
    </w:lvl>
    <w:lvl w:ilvl="2" w:tplc="D98698D8" w:tentative="1">
      <w:start w:val="1"/>
      <w:numFmt w:val="bullet"/>
      <w:lvlText w:val=""/>
      <w:lvlJc w:val="left"/>
      <w:pPr>
        <w:ind w:left="2160" w:hanging="360"/>
      </w:pPr>
      <w:rPr>
        <w:rFonts w:ascii="Wingdings" w:hAnsi="Wingdings" w:hint="default"/>
      </w:rPr>
    </w:lvl>
    <w:lvl w:ilvl="3" w:tplc="0BA4F288" w:tentative="1">
      <w:start w:val="1"/>
      <w:numFmt w:val="bullet"/>
      <w:lvlText w:val=""/>
      <w:lvlJc w:val="left"/>
      <w:pPr>
        <w:ind w:left="2880" w:hanging="360"/>
      </w:pPr>
      <w:rPr>
        <w:rFonts w:ascii="Symbol" w:hAnsi="Symbol" w:hint="default"/>
      </w:rPr>
    </w:lvl>
    <w:lvl w:ilvl="4" w:tplc="DE6A30FC" w:tentative="1">
      <w:start w:val="1"/>
      <w:numFmt w:val="bullet"/>
      <w:lvlText w:val="o"/>
      <w:lvlJc w:val="left"/>
      <w:pPr>
        <w:ind w:left="3600" w:hanging="360"/>
      </w:pPr>
      <w:rPr>
        <w:rFonts w:ascii="Courier New" w:hAnsi="Courier New" w:cs="Courier New" w:hint="default"/>
      </w:rPr>
    </w:lvl>
    <w:lvl w:ilvl="5" w:tplc="A37A27CA" w:tentative="1">
      <w:start w:val="1"/>
      <w:numFmt w:val="bullet"/>
      <w:lvlText w:val=""/>
      <w:lvlJc w:val="left"/>
      <w:pPr>
        <w:ind w:left="4320" w:hanging="360"/>
      </w:pPr>
      <w:rPr>
        <w:rFonts w:ascii="Wingdings" w:hAnsi="Wingdings" w:hint="default"/>
      </w:rPr>
    </w:lvl>
    <w:lvl w:ilvl="6" w:tplc="CAC09D42" w:tentative="1">
      <w:start w:val="1"/>
      <w:numFmt w:val="bullet"/>
      <w:lvlText w:val=""/>
      <w:lvlJc w:val="left"/>
      <w:pPr>
        <w:ind w:left="5040" w:hanging="360"/>
      </w:pPr>
      <w:rPr>
        <w:rFonts w:ascii="Symbol" w:hAnsi="Symbol" w:hint="default"/>
      </w:rPr>
    </w:lvl>
    <w:lvl w:ilvl="7" w:tplc="78B41E76" w:tentative="1">
      <w:start w:val="1"/>
      <w:numFmt w:val="bullet"/>
      <w:lvlText w:val="o"/>
      <w:lvlJc w:val="left"/>
      <w:pPr>
        <w:ind w:left="5760" w:hanging="360"/>
      </w:pPr>
      <w:rPr>
        <w:rFonts w:ascii="Courier New" w:hAnsi="Courier New" w:cs="Courier New" w:hint="default"/>
      </w:rPr>
    </w:lvl>
    <w:lvl w:ilvl="8" w:tplc="F126DC64" w:tentative="1">
      <w:start w:val="1"/>
      <w:numFmt w:val="bullet"/>
      <w:lvlText w:val=""/>
      <w:lvlJc w:val="left"/>
      <w:pPr>
        <w:ind w:left="6480" w:hanging="360"/>
      </w:pPr>
      <w:rPr>
        <w:rFonts w:ascii="Wingdings" w:hAnsi="Wingdings" w:hint="default"/>
      </w:rPr>
    </w:lvl>
  </w:abstractNum>
  <w:abstractNum w:abstractNumId="7" w15:restartNumberingAfterBreak="0">
    <w:nsid w:val="21FB5D34"/>
    <w:multiLevelType w:val="multilevel"/>
    <w:tmpl w:val="9C92284A"/>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8" w15:restartNumberingAfterBreak="0">
    <w:nsid w:val="23A10187"/>
    <w:multiLevelType w:val="multilevel"/>
    <w:tmpl w:val="7C148C44"/>
    <w:lvl w:ilvl="0">
      <w:start w:val="2"/>
      <w:numFmt w:val="decimal"/>
      <w:lvlText w:val="%1"/>
      <w:lvlJc w:val="left"/>
      <w:pPr>
        <w:ind w:left="360" w:hanging="360"/>
      </w:pPr>
      <w:rPr>
        <w:rFonts w:hint="default"/>
        <w:b/>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9" w15:restartNumberingAfterBreak="0">
    <w:nsid w:val="24191A29"/>
    <w:multiLevelType w:val="hybridMultilevel"/>
    <w:tmpl w:val="A7921A24"/>
    <w:lvl w:ilvl="0" w:tplc="579C5C60">
      <w:start w:val="1"/>
      <w:numFmt w:val="bullet"/>
      <w:lvlText w:val=""/>
      <w:lvlJc w:val="left"/>
      <w:pPr>
        <w:ind w:left="720" w:hanging="360"/>
      </w:pPr>
      <w:rPr>
        <w:rFonts w:ascii="Wingdings" w:hAnsi="Wingdings" w:hint="default"/>
      </w:rPr>
    </w:lvl>
    <w:lvl w:ilvl="1" w:tplc="6B8E8904" w:tentative="1">
      <w:start w:val="1"/>
      <w:numFmt w:val="bullet"/>
      <w:lvlText w:val="o"/>
      <w:lvlJc w:val="left"/>
      <w:pPr>
        <w:ind w:left="1440" w:hanging="360"/>
      </w:pPr>
      <w:rPr>
        <w:rFonts w:ascii="Courier New" w:hAnsi="Courier New" w:cs="Courier New" w:hint="default"/>
      </w:rPr>
    </w:lvl>
    <w:lvl w:ilvl="2" w:tplc="BE86B062" w:tentative="1">
      <w:start w:val="1"/>
      <w:numFmt w:val="bullet"/>
      <w:lvlText w:val=""/>
      <w:lvlJc w:val="left"/>
      <w:pPr>
        <w:ind w:left="2160" w:hanging="360"/>
      </w:pPr>
      <w:rPr>
        <w:rFonts w:ascii="Wingdings" w:hAnsi="Wingdings" w:hint="default"/>
      </w:rPr>
    </w:lvl>
    <w:lvl w:ilvl="3" w:tplc="424836E8" w:tentative="1">
      <w:start w:val="1"/>
      <w:numFmt w:val="bullet"/>
      <w:lvlText w:val=""/>
      <w:lvlJc w:val="left"/>
      <w:pPr>
        <w:ind w:left="2880" w:hanging="360"/>
      </w:pPr>
      <w:rPr>
        <w:rFonts w:ascii="Symbol" w:hAnsi="Symbol" w:hint="default"/>
      </w:rPr>
    </w:lvl>
    <w:lvl w:ilvl="4" w:tplc="EDF6858A" w:tentative="1">
      <w:start w:val="1"/>
      <w:numFmt w:val="bullet"/>
      <w:lvlText w:val="o"/>
      <w:lvlJc w:val="left"/>
      <w:pPr>
        <w:ind w:left="3600" w:hanging="360"/>
      </w:pPr>
      <w:rPr>
        <w:rFonts w:ascii="Courier New" w:hAnsi="Courier New" w:cs="Courier New" w:hint="default"/>
      </w:rPr>
    </w:lvl>
    <w:lvl w:ilvl="5" w:tplc="5FEC4CF6" w:tentative="1">
      <w:start w:val="1"/>
      <w:numFmt w:val="bullet"/>
      <w:lvlText w:val=""/>
      <w:lvlJc w:val="left"/>
      <w:pPr>
        <w:ind w:left="4320" w:hanging="360"/>
      </w:pPr>
      <w:rPr>
        <w:rFonts w:ascii="Wingdings" w:hAnsi="Wingdings" w:hint="default"/>
      </w:rPr>
    </w:lvl>
    <w:lvl w:ilvl="6" w:tplc="DA2EC620" w:tentative="1">
      <w:start w:val="1"/>
      <w:numFmt w:val="bullet"/>
      <w:lvlText w:val=""/>
      <w:lvlJc w:val="left"/>
      <w:pPr>
        <w:ind w:left="5040" w:hanging="360"/>
      </w:pPr>
      <w:rPr>
        <w:rFonts w:ascii="Symbol" w:hAnsi="Symbol" w:hint="default"/>
      </w:rPr>
    </w:lvl>
    <w:lvl w:ilvl="7" w:tplc="6BCE3C26" w:tentative="1">
      <w:start w:val="1"/>
      <w:numFmt w:val="bullet"/>
      <w:lvlText w:val="o"/>
      <w:lvlJc w:val="left"/>
      <w:pPr>
        <w:ind w:left="5760" w:hanging="360"/>
      </w:pPr>
      <w:rPr>
        <w:rFonts w:ascii="Courier New" w:hAnsi="Courier New" w:cs="Courier New" w:hint="default"/>
      </w:rPr>
    </w:lvl>
    <w:lvl w:ilvl="8" w:tplc="125468F4" w:tentative="1">
      <w:start w:val="1"/>
      <w:numFmt w:val="bullet"/>
      <w:lvlText w:val=""/>
      <w:lvlJc w:val="left"/>
      <w:pPr>
        <w:ind w:left="6480" w:hanging="360"/>
      </w:pPr>
      <w:rPr>
        <w:rFonts w:ascii="Wingdings" w:hAnsi="Wingdings" w:hint="default"/>
      </w:rPr>
    </w:lvl>
  </w:abstractNum>
  <w:abstractNum w:abstractNumId="10" w15:restartNumberingAfterBreak="0">
    <w:nsid w:val="245A3763"/>
    <w:multiLevelType w:val="hybridMultilevel"/>
    <w:tmpl w:val="232CD90A"/>
    <w:lvl w:ilvl="0" w:tplc="CB2E43C4">
      <w:start w:val="1"/>
      <w:numFmt w:val="bullet"/>
      <w:lvlText w:val=""/>
      <w:lvlJc w:val="left"/>
      <w:pPr>
        <w:ind w:left="720" w:hanging="360"/>
      </w:pPr>
      <w:rPr>
        <w:rFonts w:ascii="Symbol" w:hAnsi="Symbol" w:hint="default"/>
      </w:rPr>
    </w:lvl>
    <w:lvl w:ilvl="1" w:tplc="06FAE972">
      <w:start w:val="2"/>
      <w:numFmt w:val="bullet"/>
      <w:lvlText w:val="•"/>
      <w:lvlJc w:val="left"/>
      <w:pPr>
        <w:ind w:left="720" w:hanging="360"/>
      </w:pPr>
      <w:rPr>
        <w:rFonts w:ascii="Calibri" w:eastAsiaTheme="minorHAnsi" w:hAnsi="Calibri" w:cs="Calibri" w:hint="default"/>
      </w:rPr>
    </w:lvl>
    <w:lvl w:ilvl="2" w:tplc="3C5057F4">
      <w:start w:val="1"/>
      <w:numFmt w:val="bullet"/>
      <w:lvlText w:val=""/>
      <w:lvlJc w:val="left"/>
      <w:pPr>
        <w:ind w:left="2160" w:hanging="360"/>
      </w:pPr>
      <w:rPr>
        <w:rFonts w:ascii="Wingdings" w:hAnsi="Wingdings" w:hint="default"/>
        <w:sz w:val="20"/>
        <w:szCs w:val="20"/>
      </w:rPr>
    </w:lvl>
    <w:lvl w:ilvl="3" w:tplc="AF2835B0" w:tentative="1">
      <w:start w:val="1"/>
      <w:numFmt w:val="bullet"/>
      <w:lvlText w:val=""/>
      <w:lvlJc w:val="left"/>
      <w:pPr>
        <w:ind w:left="2880" w:hanging="360"/>
      </w:pPr>
      <w:rPr>
        <w:rFonts w:ascii="Symbol" w:hAnsi="Symbol" w:hint="default"/>
      </w:rPr>
    </w:lvl>
    <w:lvl w:ilvl="4" w:tplc="F3C43244" w:tentative="1">
      <w:start w:val="1"/>
      <w:numFmt w:val="bullet"/>
      <w:lvlText w:val="o"/>
      <w:lvlJc w:val="left"/>
      <w:pPr>
        <w:ind w:left="3600" w:hanging="360"/>
      </w:pPr>
      <w:rPr>
        <w:rFonts w:ascii="Courier New" w:hAnsi="Courier New" w:cs="Courier New" w:hint="default"/>
      </w:rPr>
    </w:lvl>
    <w:lvl w:ilvl="5" w:tplc="E2D4930A" w:tentative="1">
      <w:start w:val="1"/>
      <w:numFmt w:val="bullet"/>
      <w:lvlText w:val=""/>
      <w:lvlJc w:val="left"/>
      <w:pPr>
        <w:ind w:left="4320" w:hanging="360"/>
      </w:pPr>
      <w:rPr>
        <w:rFonts w:ascii="Wingdings" w:hAnsi="Wingdings" w:hint="default"/>
      </w:rPr>
    </w:lvl>
    <w:lvl w:ilvl="6" w:tplc="6DB094AA" w:tentative="1">
      <w:start w:val="1"/>
      <w:numFmt w:val="bullet"/>
      <w:lvlText w:val=""/>
      <w:lvlJc w:val="left"/>
      <w:pPr>
        <w:ind w:left="5040" w:hanging="360"/>
      </w:pPr>
      <w:rPr>
        <w:rFonts w:ascii="Symbol" w:hAnsi="Symbol" w:hint="default"/>
      </w:rPr>
    </w:lvl>
    <w:lvl w:ilvl="7" w:tplc="EBC6CA98" w:tentative="1">
      <w:start w:val="1"/>
      <w:numFmt w:val="bullet"/>
      <w:lvlText w:val="o"/>
      <w:lvlJc w:val="left"/>
      <w:pPr>
        <w:ind w:left="5760" w:hanging="360"/>
      </w:pPr>
      <w:rPr>
        <w:rFonts w:ascii="Courier New" w:hAnsi="Courier New" w:cs="Courier New" w:hint="default"/>
      </w:rPr>
    </w:lvl>
    <w:lvl w:ilvl="8" w:tplc="A970B01E" w:tentative="1">
      <w:start w:val="1"/>
      <w:numFmt w:val="bullet"/>
      <w:lvlText w:val=""/>
      <w:lvlJc w:val="left"/>
      <w:pPr>
        <w:ind w:left="6480" w:hanging="360"/>
      </w:pPr>
      <w:rPr>
        <w:rFonts w:ascii="Wingdings" w:hAnsi="Wingdings" w:hint="default"/>
      </w:rPr>
    </w:lvl>
  </w:abstractNum>
  <w:abstractNum w:abstractNumId="11" w15:restartNumberingAfterBreak="0">
    <w:nsid w:val="25557719"/>
    <w:multiLevelType w:val="multilevel"/>
    <w:tmpl w:val="9CE8DF8E"/>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ADF3027"/>
    <w:multiLevelType w:val="multilevel"/>
    <w:tmpl w:val="2A766BFC"/>
    <w:lvl w:ilvl="0">
      <w:start w:val="2"/>
      <w:numFmt w:val="decimal"/>
      <w:lvlText w:val="%1"/>
      <w:lvlJc w:val="left"/>
      <w:pPr>
        <w:ind w:left="360" w:hanging="360"/>
      </w:pPr>
      <w:rPr>
        <w:rFonts w:hint="default"/>
        <w:b/>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3" w15:restartNumberingAfterBreak="0">
    <w:nsid w:val="3BC82FE1"/>
    <w:multiLevelType w:val="multilevel"/>
    <w:tmpl w:val="6590D022"/>
    <w:lvl w:ilvl="0">
      <w:start w:val="1"/>
      <w:numFmt w:val="decimal"/>
      <w:lvlText w:val="%1."/>
      <w:lvlJc w:val="left"/>
      <w:pPr>
        <w:ind w:left="460" w:hanging="460"/>
      </w:pPr>
      <w:rPr>
        <w:rFonts w:hint="default"/>
      </w:rPr>
    </w:lvl>
    <w:lvl w:ilvl="1">
      <w:start w:val="1"/>
      <w:numFmt w:val="decimal"/>
      <w:lvlText w:val="%1.%2."/>
      <w:lvlJc w:val="left"/>
      <w:pPr>
        <w:ind w:left="1620" w:hanging="720"/>
      </w:pPr>
      <w:rPr>
        <w:rFonts w:hint="default"/>
      </w:rPr>
    </w:lvl>
    <w:lvl w:ilvl="2">
      <w:start w:val="1"/>
      <w:numFmt w:val="decimal"/>
      <w:lvlText w:val="%1.%2.%3."/>
      <w:lvlJc w:val="left"/>
      <w:pPr>
        <w:ind w:left="720" w:hanging="720"/>
      </w:pPr>
      <w:rPr>
        <w:rFonts w:hint="default"/>
        <w:b/>
        <w:bCs/>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D71637E"/>
    <w:multiLevelType w:val="multilevel"/>
    <w:tmpl w:val="69A2FCC2"/>
    <w:lvl w:ilvl="0">
      <w:start w:val="3"/>
      <w:numFmt w:val="decimal"/>
      <w:lvlText w:val="%1"/>
      <w:lvlJc w:val="left"/>
      <w:pPr>
        <w:ind w:left="360" w:hanging="360"/>
      </w:pPr>
      <w:rPr>
        <w:rFonts w:hint="default"/>
        <w:b/>
      </w:rPr>
    </w:lvl>
    <w:lvl w:ilvl="1">
      <w:start w:val="4"/>
      <w:numFmt w:val="decimal"/>
      <w:lvlText w:val="%1.%2"/>
      <w:lvlJc w:val="left"/>
      <w:pPr>
        <w:ind w:left="4590" w:hanging="360"/>
      </w:pPr>
      <w:rPr>
        <w:rFonts w:hint="default"/>
        <w:b/>
      </w:rPr>
    </w:lvl>
    <w:lvl w:ilvl="2">
      <w:start w:val="1"/>
      <w:numFmt w:val="decimal"/>
      <w:lvlText w:val="%1.%2.%3"/>
      <w:lvlJc w:val="left"/>
      <w:pPr>
        <w:ind w:left="9180" w:hanging="720"/>
      </w:pPr>
      <w:rPr>
        <w:rFonts w:hint="default"/>
        <w:b/>
      </w:rPr>
    </w:lvl>
    <w:lvl w:ilvl="3">
      <w:start w:val="1"/>
      <w:numFmt w:val="decimal"/>
      <w:lvlText w:val="%1.%2.%3.%4"/>
      <w:lvlJc w:val="left"/>
      <w:pPr>
        <w:ind w:left="13410" w:hanging="720"/>
      </w:pPr>
      <w:rPr>
        <w:rFonts w:hint="default"/>
        <w:b/>
      </w:rPr>
    </w:lvl>
    <w:lvl w:ilvl="4">
      <w:start w:val="1"/>
      <w:numFmt w:val="decimal"/>
      <w:lvlText w:val="%1.%2.%3.%4.%5"/>
      <w:lvlJc w:val="left"/>
      <w:pPr>
        <w:ind w:left="18000" w:hanging="1080"/>
      </w:pPr>
      <w:rPr>
        <w:rFonts w:hint="default"/>
        <w:b/>
      </w:rPr>
    </w:lvl>
    <w:lvl w:ilvl="5">
      <w:start w:val="1"/>
      <w:numFmt w:val="decimal"/>
      <w:lvlText w:val="%1.%2.%3.%4.%5.%6"/>
      <w:lvlJc w:val="left"/>
      <w:pPr>
        <w:ind w:left="22230" w:hanging="1080"/>
      </w:pPr>
      <w:rPr>
        <w:rFonts w:hint="default"/>
        <w:b/>
      </w:rPr>
    </w:lvl>
    <w:lvl w:ilvl="6">
      <w:start w:val="1"/>
      <w:numFmt w:val="decimal"/>
      <w:lvlText w:val="%1.%2.%3.%4.%5.%6.%7"/>
      <w:lvlJc w:val="left"/>
      <w:pPr>
        <w:ind w:left="26820" w:hanging="1440"/>
      </w:pPr>
      <w:rPr>
        <w:rFonts w:hint="default"/>
        <w:b/>
      </w:rPr>
    </w:lvl>
    <w:lvl w:ilvl="7">
      <w:start w:val="1"/>
      <w:numFmt w:val="decimal"/>
      <w:lvlText w:val="%1.%2.%3.%4.%5.%6.%7.%8"/>
      <w:lvlJc w:val="left"/>
      <w:pPr>
        <w:ind w:left="31050" w:hanging="1440"/>
      </w:pPr>
      <w:rPr>
        <w:rFonts w:hint="default"/>
        <w:b/>
      </w:rPr>
    </w:lvl>
    <w:lvl w:ilvl="8">
      <w:start w:val="1"/>
      <w:numFmt w:val="decimal"/>
      <w:lvlText w:val="%1.%2.%3.%4.%5.%6.%7.%8.%9"/>
      <w:lvlJc w:val="left"/>
      <w:pPr>
        <w:ind w:left="-29896" w:hanging="1800"/>
      </w:pPr>
      <w:rPr>
        <w:rFonts w:hint="default"/>
        <w:b/>
      </w:rPr>
    </w:lvl>
  </w:abstractNum>
  <w:abstractNum w:abstractNumId="15" w15:restartNumberingAfterBreak="0">
    <w:nsid w:val="43D50796"/>
    <w:multiLevelType w:val="hybridMultilevel"/>
    <w:tmpl w:val="8E4C7632"/>
    <w:lvl w:ilvl="0" w:tplc="2B167984">
      <w:start w:val="1"/>
      <w:numFmt w:val="bullet"/>
      <w:lvlText w:val=""/>
      <w:lvlJc w:val="left"/>
      <w:pPr>
        <w:ind w:left="1080" w:hanging="360"/>
      </w:pPr>
      <w:rPr>
        <w:rFonts w:ascii="Wingdings" w:hAnsi="Wingdings" w:hint="default"/>
        <w:sz w:val="20"/>
        <w:szCs w:val="20"/>
      </w:rPr>
    </w:lvl>
    <w:lvl w:ilvl="1" w:tplc="424CD800" w:tentative="1">
      <w:start w:val="1"/>
      <w:numFmt w:val="bullet"/>
      <w:lvlText w:val="o"/>
      <w:lvlJc w:val="left"/>
      <w:pPr>
        <w:ind w:left="1800" w:hanging="360"/>
      </w:pPr>
      <w:rPr>
        <w:rFonts w:ascii="Courier New" w:hAnsi="Courier New" w:cs="Courier New" w:hint="default"/>
      </w:rPr>
    </w:lvl>
    <w:lvl w:ilvl="2" w:tplc="124C74F0" w:tentative="1">
      <w:start w:val="1"/>
      <w:numFmt w:val="bullet"/>
      <w:lvlText w:val=""/>
      <w:lvlJc w:val="left"/>
      <w:pPr>
        <w:ind w:left="2520" w:hanging="360"/>
      </w:pPr>
      <w:rPr>
        <w:rFonts w:ascii="Wingdings" w:hAnsi="Wingdings" w:hint="default"/>
      </w:rPr>
    </w:lvl>
    <w:lvl w:ilvl="3" w:tplc="82D8FAA8" w:tentative="1">
      <w:start w:val="1"/>
      <w:numFmt w:val="bullet"/>
      <w:lvlText w:val=""/>
      <w:lvlJc w:val="left"/>
      <w:pPr>
        <w:ind w:left="3240" w:hanging="360"/>
      </w:pPr>
      <w:rPr>
        <w:rFonts w:ascii="Symbol" w:hAnsi="Symbol" w:hint="default"/>
      </w:rPr>
    </w:lvl>
    <w:lvl w:ilvl="4" w:tplc="A8CC2DC0" w:tentative="1">
      <w:start w:val="1"/>
      <w:numFmt w:val="bullet"/>
      <w:lvlText w:val="o"/>
      <w:lvlJc w:val="left"/>
      <w:pPr>
        <w:ind w:left="3960" w:hanging="360"/>
      </w:pPr>
      <w:rPr>
        <w:rFonts w:ascii="Courier New" w:hAnsi="Courier New" w:cs="Courier New" w:hint="default"/>
      </w:rPr>
    </w:lvl>
    <w:lvl w:ilvl="5" w:tplc="903025B6" w:tentative="1">
      <w:start w:val="1"/>
      <w:numFmt w:val="bullet"/>
      <w:lvlText w:val=""/>
      <w:lvlJc w:val="left"/>
      <w:pPr>
        <w:ind w:left="4680" w:hanging="360"/>
      </w:pPr>
      <w:rPr>
        <w:rFonts w:ascii="Wingdings" w:hAnsi="Wingdings" w:hint="default"/>
      </w:rPr>
    </w:lvl>
    <w:lvl w:ilvl="6" w:tplc="06287ADE" w:tentative="1">
      <w:start w:val="1"/>
      <w:numFmt w:val="bullet"/>
      <w:lvlText w:val=""/>
      <w:lvlJc w:val="left"/>
      <w:pPr>
        <w:ind w:left="5400" w:hanging="360"/>
      </w:pPr>
      <w:rPr>
        <w:rFonts w:ascii="Symbol" w:hAnsi="Symbol" w:hint="default"/>
      </w:rPr>
    </w:lvl>
    <w:lvl w:ilvl="7" w:tplc="F822E126" w:tentative="1">
      <w:start w:val="1"/>
      <w:numFmt w:val="bullet"/>
      <w:lvlText w:val="o"/>
      <w:lvlJc w:val="left"/>
      <w:pPr>
        <w:ind w:left="6120" w:hanging="360"/>
      </w:pPr>
      <w:rPr>
        <w:rFonts w:ascii="Courier New" w:hAnsi="Courier New" w:cs="Courier New" w:hint="default"/>
      </w:rPr>
    </w:lvl>
    <w:lvl w:ilvl="8" w:tplc="FA7C015C" w:tentative="1">
      <w:start w:val="1"/>
      <w:numFmt w:val="bullet"/>
      <w:lvlText w:val=""/>
      <w:lvlJc w:val="left"/>
      <w:pPr>
        <w:ind w:left="6840" w:hanging="360"/>
      </w:pPr>
      <w:rPr>
        <w:rFonts w:ascii="Wingdings" w:hAnsi="Wingdings" w:hint="default"/>
      </w:rPr>
    </w:lvl>
  </w:abstractNum>
  <w:abstractNum w:abstractNumId="16" w15:restartNumberingAfterBreak="0">
    <w:nsid w:val="48371E00"/>
    <w:multiLevelType w:val="multilevel"/>
    <w:tmpl w:val="6590D022"/>
    <w:lvl w:ilvl="0">
      <w:start w:val="1"/>
      <w:numFmt w:val="decimal"/>
      <w:lvlText w:val="%1."/>
      <w:lvlJc w:val="left"/>
      <w:pPr>
        <w:ind w:left="460" w:hanging="460"/>
      </w:pPr>
      <w:rPr>
        <w:rFonts w:hint="default"/>
      </w:rPr>
    </w:lvl>
    <w:lvl w:ilvl="1">
      <w:start w:val="1"/>
      <w:numFmt w:val="decimal"/>
      <w:lvlText w:val="%1.%2."/>
      <w:lvlJc w:val="left"/>
      <w:pPr>
        <w:ind w:left="1620" w:hanging="720"/>
      </w:pPr>
      <w:rPr>
        <w:rFonts w:hint="default"/>
      </w:rPr>
    </w:lvl>
    <w:lvl w:ilvl="2">
      <w:start w:val="1"/>
      <w:numFmt w:val="decimal"/>
      <w:lvlText w:val="%1.%2.%3."/>
      <w:lvlJc w:val="left"/>
      <w:pPr>
        <w:ind w:left="720" w:hanging="720"/>
      </w:pPr>
      <w:rPr>
        <w:rFonts w:hint="default"/>
        <w:b/>
        <w:bCs/>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CB453A4"/>
    <w:multiLevelType w:val="hybridMultilevel"/>
    <w:tmpl w:val="EC02CBC8"/>
    <w:lvl w:ilvl="0" w:tplc="C90C8996">
      <w:start w:val="1"/>
      <w:numFmt w:val="bullet"/>
      <w:lvlText w:val=""/>
      <w:lvlJc w:val="left"/>
      <w:pPr>
        <w:ind w:left="720" w:hanging="360"/>
      </w:pPr>
      <w:rPr>
        <w:rFonts w:ascii="Wingdings" w:hAnsi="Wingdings" w:hint="default"/>
      </w:rPr>
    </w:lvl>
    <w:lvl w:ilvl="1" w:tplc="E088500E" w:tentative="1">
      <w:start w:val="1"/>
      <w:numFmt w:val="bullet"/>
      <w:lvlText w:val="o"/>
      <w:lvlJc w:val="left"/>
      <w:pPr>
        <w:ind w:left="1440" w:hanging="360"/>
      </w:pPr>
      <w:rPr>
        <w:rFonts w:ascii="Courier New" w:hAnsi="Courier New" w:cs="Courier New" w:hint="default"/>
      </w:rPr>
    </w:lvl>
    <w:lvl w:ilvl="2" w:tplc="817ABE0A" w:tentative="1">
      <w:start w:val="1"/>
      <w:numFmt w:val="bullet"/>
      <w:lvlText w:val=""/>
      <w:lvlJc w:val="left"/>
      <w:pPr>
        <w:ind w:left="2160" w:hanging="360"/>
      </w:pPr>
      <w:rPr>
        <w:rFonts w:ascii="Wingdings" w:hAnsi="Wingdings" w:hint="default"/>
      </w:rPr>
    </w:lvl>
    <w:lvl w:ilvl="3" w:tplc="0886479C" w:tentative="1">
      <w:start w:val="1"/>
      <w:numFmt w:val="bullet"/>
      <w:lvlText w:val=""/>
      <w:lvlJc w:val="left"/>
      <w:pPr>
        <w:ind w:left="2880" w:hanging="360"/>
      </w:pPr>
      <w:rPr>
        <w:rFonts w:ascii="Symbol" w:hAnsi="Symbol" w:hint="default"/>
      </w:rPr>
    </w:lvl>
    <w:lvl w:ilvl="4" w:tplc="B51A580A" w:tentative="1">
      <w:start w:val="1"/>
      <w:numFmt w:val="bullet"/>
      <w:lvlText w:val="o"/>
      <w:lvlJc w:val="left"/>
      <w:pPr>
        <w:ind w:left="3600" w:hanging="360"/>
      </w:pPr>
      <w:rPr>
        <w:rFonts w:ascii="Courier New" w:hAnsi="Courier New" w:cs="Courier New" w:hint="default"/>
      </w:rPr>
    </w:lvl>
    <w:lvl w:ilvl="5" w:tplc="F06036BC" w:tentative="1">
      <w:start w:val="1"/>
      <w:numFmt w:val="bullet"/>
      <w:lvlText w:val=""/>
      <w:lvlJc w:val="left"/>
      <w:pPr>
        <w:ind w:left="4320" w:hanging="360"/>
      </w:pPr>
      <w:rPr>
        <w:rFonts w:ascii="Wingdings" w:hAnsi="Wingdings" w:hint="default"/>
      </w:rPr>
    </w:lvl>
    <w:lvl w:ilvl="6" w:tplc="328C9C48" w:tentative="1">
      <w:start w:val="1"/>
      <w:numFmt w:val="bullet"/>
      <w:lvlText w:val=""/>
      <w:lvlJc w:val="left"/>
      <w:pPr>
        <w:ind w:left="5040" w:hanging="360"/>
      </w:pPr>
      <w:rPr>
        <w:rFonts w:ascii="Symbol" w:hAnsi="Symbol" w:hint="default"/>
      </w:rPr>
    </w:lvl>
    <w:lvl w:ilvl="7" w:tplc="F7646090" w:tentative="1">
      <w:start w:val="1"/>
      <w:numFmt w:val="bullet"/>
      <w:lvlText w:val="o"/>
      <w:lvlJc w:val="left"/>
      <w:pPr>
        <w:ind w:left="5760" w:hanging="360"/>
      </w:pPr>
      <w:rPr>
        <w:rFonts w:ascii="Courier New" w:hAnsi="Courier New" w:cs="Courier New" w:hint="default"/>
      </w:rPr>
    </w:lvl>
    <w:lvl w:ilvl="8" w:tplc="ED9AD4D8" w:tentative="1">
      <w:start w:val="1"/>
      <w:numFmt w:val="bullet"/>
      <w:lvlText w:val=""/>
      <w:lvlJc w:val="left"/>
      <w:pPr>
        <w:ind w:left="6480" w:hanging="360"/>
      </w:pPr>
      <w:rPr>
        <w:rFonts w:ascii="Wingdings" w:hAnsi="Wingdings" w:hint="default"/>
      </w:rPr>
    </w:lvl>
  </w:abstractNum>
  <w:abstractNum w:abstractNumId="18" w15:restartNumberingAfterBreak="0">
    <w:nsid w:val="4D75573F"/>
    <w:multiLevelType w:val="multilevel"/>
    <w:tmpl w:val="B6C073E8"/>
    <w:lvl w:ilvl="0">
      <w:start w:val="2"/>
      <w:numFmt w:val="decimal"/>
      <w:lvlText w:val="%1."/>
      <w:lvlJc w:val="left"/>
      <w:pPr>
        <w:ind w:left="360" w:hanging="360"/>
      </w:pPr>
      <w:rPr>
        <w:rFonts w:hint="default"/>
        <w:b/>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9" w15:restartNumberingAfterBreak="0">
    <w:nsid w:val="515F6DE6"/>
    <w:multiLevelType w:val="hybridMultilevel"/>
    <w:tmpl w:val="D86AEE7E"/>
    <w:lvl w:ilvl="0" w:tplc="12EC62E6">
      <w:start w:val="1"/>
      <w:numFmt w:val="bullet"/>
      <w:lvlText w:val=""/>
      <w:lvlJc w:val="left"/>
      <w:pPr>
        <w:ind w:left="720" w:hanging="360"/>
      </w:pPr>
      <w:rPr>
        <w:rFonts w:ascii="Wingdings" w:hAnsi="Wingdings" w:hint="default"/>
      </w:rPr>
    </w:lvl>
    <w:lvl w:ilvl="1" w:tplc="87B0E412" w:tentative="1">
      <w:start w:val="1"/>
      <w:numFmt w:val="bullet"/>
      <w:lvlText w:val="o"/>
      <w:lvlJc w:val="left"/>
      <w:pPr>
        <w:ind w:left="1440" w:hanging="360"/>
      </w:pPr>
      <w:rPr>
        <w:rFonts w:ascii="Courier New" w:hAnsi="Courier New" w:cs="Courier New" w:hint="default"/>
      </w:rPr>
    </w:lvl>
    <w:lvl w:ilvl="2" w:tplc="073CCA04" w:tentative="1">
      <w:start w:val="1"/>
      <w:numFmt w:val="bullet"/>
      <w:lvlText w:val=""/>
      <w:lvlJc w:val="left"/>
      <w:pPr>
        <w:ind w:left="2160" w:hanging="360"/>
      </w:pPr>
      <w:rPr>
        <w:rFonts w:ascii="Wingdings" w:hAnsi="Wingdings" w:hint="default"/>
      </w:rPr>
    </w:lvl>
    <w:lvl w:ilvl="3" w:tplc="9F981092" w:tentative="1">
      <w:start w:val="1"/>
      <w:numFmt w:val="bullet"/>
      <w:lvlText w:val=""/>
      <w:lvlJc w:val="left"/>
      <w:pPr>
        <w:ind w:left="2880" w:hanging="360"/>
      </w:pPr>
      <w:rPr>
        <w:rFonts w:ascii="Symbol" w:hAnsi="Symbol" w:hint="default"/>
      </w:rPr>
    </w:lvl>
    <w:lvl w:ilvl="4" w:tplc="23A2604E" w:tentative="1">
      <w:start w:val="1"/>
      <w:numFmt w:val="bullet"/>
      <w:lvlText w:val="o"/>
      <w:lvlJc w:val="left"/>
      <w:pPr>
        <w:ind w:left="3600" w:hanging="360"/>
      </w:pPr>
      <w:rPr>
        <w:rFonts w:ascii="Courier New" w:hAnsi="Courier New" w:cs="Courier New" w:hint="default"/>
      </w:rPr>
    </w:lvl>
    <w:lvl w:ilvl="5" w:tplc="F51A9658" w:tentative="1">
      <w:start w:val="1"/>
      <w:numFmt w:val="bullet"/>
      <w:lvlText w:val=""/>
      <w:lvlJc w:val="left"/>
      <w:pPr>
        <w:ind w:left="4320" w:hanging="360"/>
      </w:pPr>
      <w:rPr>
        <w:rFonts w:ascii="Wingdings" w:hAnsi="Wingdings" w:hint="default"/>
      </w:rPr>
    </w:lvl>
    <w:lvl w:ilvl="6" w:tplc="143EEBF0" w:tentative="1">
      <w:start w:val="1"/>
      <w:numFmt w:val="bullet"/>
      <w:lvlText w:val=""/>
      <w:lvlJc w:val="left"/>
      <w:pPr>
        <w:ind w:left="5040" w:hanging="360"/>
      </w:pPr>
      <w:rPr>
        <w:rFonts w:ascii="Symbol" w:hAnsi="Symbol" w:hint="default"/>
      </w:rPr>
    </w:lvl>
    <w:lvl w:ilvl="7" w:tplc="D856E352" w:tentative="1">
      <w:start w:val="1"/>
      <w:numFmt w:val="bullet"/>
      <w:lvlText w:val="o"/>
      <w:lvlJc w:val="left"/>
      <w:pPr>
        <w:ind w:left="5760" w:hanging="360"/>
      </w:pPr>
      <w:rPr>
        <w:rFonts w:ascii="Courier New" w:hAnsi="Courier New" w:cs="Courier New" w:hint="default"/>
      </w:rPr>
    </w:lvl>
    <w:lvl w:ilvl="8" w:tplc="64A232CE" w:tentative="1">
      <w:start w:val="1"/>
      <w:numFmt w:val="bullet"/>
      <w:lvlText w:val=""/>
      <w:lvlJc w:val="left"/>
      <w:pPr>
        <w:ind w:left="6480" w:hanging="360"/>
      </w:pPr>
      <w:rPr>
        <w:rFonts w:ascii="Wingdings" w:hAnsi="Wingdings" w:hint="default"/>
      </w:rPr>
    </w:lvl>
  </w:abstractNum>
  <w:abstractNum w:abstractNumId="20" w15:restartNumberingAfterBreak="0">
    <w:nsid w:val="5F1F679A"/>
    <w:multiLevelType w:val="multilevel"/>
    <w:tmpl w:val="81E6CCEA"/>
    <w:lvl w:ilvl="0">
      <w:start w:val="2"/>
      <w:numFmt w:val="decimal"/>
      <w:lvlText w:val="%1"/>
      <w:lvlJc w:val="left"/>
      <w:pPr>
        <w:ind w:left="360" w:hanging="360"/>
      </w:pPr>
      <w:rPr>
        <w:rFonts w:hint="default"/>
        <w:b/>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1" w15:restartNumberingAfterBreak="0">
    <w:nsid w:val="648517F9"/>
    <w:multiLevelType w:val="multilevel"/>
    <w:tmpl w:val="96084DC6"/>
    <w:lvl w:ilvl="0">
      <w:start w:val="1"/>
      <w:numFmt w:val="decimal"/>
      <w:lvlText w:val="%1."/>
      <w:lvlJc w:val="left"/>
      <w:pPr>
        <w:ind w:left="460" w:hanging="460"/>
      </w:pPr>
      <w:rPr>
        <w:rFonts w:hint="default"/>
      </w:rPr>
    </w:lvl>
    <w:lvl w:ilvl="1">
      <w:start w:val="1"/>
      <w:numFmt w:val="decimal"/>
      <w:lvlText w:val="%1.%2."/>
      <w:lvlJc w:val="left"/>
      <w:pPr>
        <w:ind w:left="720" w:hanging="720"/>
      </w:pPr>
      <w:rPr>
        <w:rFonts w:hint="default"/>
        <w:color w:val="auto"/>
      </w:rPr>
    </w:lvl>
    <w:lvl w:ilvl="2">
      <w:start w:val="1"/>
      <w:numFmt w:val="decimal"/>
      <w:lvlText w:val="%1.%2.%3."/>
      <w:lvlJc w:val="left"/>
      <w:pPr>
        <w:ind w:left="720" w:hanging="720"/>
      </w:pPr>
      <w:rPr>
        <w:rFonts w:hint="default"/>
        <w:b/>
        <w:bCs/>
      </w:rPr>
    </w:lvl>
    <w:lvl w:ilvl="3">
      <w:start w:val="1"/>
      <w:numFmt w:val="decimal"/>
      <w:lvlText w:val="%1.%2.%3.%4."/>
      <w:lvlJc w:val="left"/>
      <w:pPr>
        <w:ind w:left="1080" w:hanging="1080"/>
      </w:pPr>
      <w:rPr>
        <w:rFonts w:hint="default"/>
        <w:b/>
        <w:bCs/>
        <w:color w:val="auto"/>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68BA0325"/>
    <w:multiLevelType w:val="multilevel"/>
    <w:tmpl w:val="C54A3080"/>
    <w:lvl w:ilvl="0">
      <w:start w:val="5"/>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6B0F7269"/>
    <w:multiLevelType w:val="hybridMultilevel"/>
    <w:tmpl w:val="618CB328"/>
    <w:lvl w:ilvl="0" w:tplc="D43485DC">
      <w:start w:val="1"/>
      <w:numFmt w:val="decimal"/>
      <w:lvlText w:val="%1."/>
      <w:lvlJc w:val="left"/>
      <w:pPr>
        <w:ind w:left="720" w:hanging="360"/>
      </w:pPr>
    </w:lvl>
    <w:lvl w:ilvl="1" w:tplc="CC546B7E">
      <w:start w:val="1"/>
      <w:numFmt w:val="decimal"/>
      <w:lvlText w:val="%2."/>
      <w:lvlJc w:val="left"/>
      <w:pPr>
        <w:ind w:left="720" w:hanging="360"/>
      </w:pPr>
    </w:lvl>
    <w:lvl w:ilvl="2" w:tplc="528E7206">
      <w:start w:val="1"/>
      <w:numFmt w:val="bullet"/>
      <w:lvlText w:val=""/>
      <w:lvlJc w:val="left"/>
      <w:pPr>
        <w:ind w:left="2340" w:hanging="360"/>
      </w:pPr>
      <w:rPr>
        <w:rFonts w:ascii="Wingdings" w:hAnsi="Wingdings" w:hint="default"/>
        <w:sz w:val="18"/>
        <w:szCs w:val="18"/>
      </w:rPr>
    </w:lvl>
    <w:lvl w:ilvl="3" w:tplc="DB141D7C" w:tentative="1">
      <w:start w:val="1"/>
      <w:numFmt w:val="decimal"/>
      <w:lvlText w:val="%4."/>
      <w:lvlJc w:val="left"/>
      <w:pPr>
        <w:ind w:left="2880" w:hanging="360"/>
      </w:pPr>
    </w:lvl>
    <w:lvl w:ilvl="4" w:tplc="733656BA" w:tentative="1">
      <w:start w:val="1"/>
      <w:numFmt w:val="lowerLetter"/>
      <w:lvlText w:val="%5."/>
      <w:lvlJc w:val="left"/>
      <w:pPr>
        <w:ind w:left="3600" w:hanging="360"/>
      </w:pPr>
    </w:lvl>
    <w:lvl w:ilvl="5" w:tplc="A5CC028C" w:tentative="1">
      <w:start w:val="1"/>
      <w:numFmt w:val="lowerRoman"/>
      <w:lvlText w:val="%6."/>
      <w:lvlJc w:val="right"/>
      <w:pPr>
        <w:ind w:left="4320" w:hanging="180"/>
      </w:pPr>
    </w:lvl>
    <w:lvl w:ilvl="6" w:tplc="152EEB60" w:tentative="1">
      <w:start w:val="1"/>
      <w:numFmt w:val="decimal"/>
      <w:lvlText w:val="%7."/>
      <w:lvlJc w:val="left"/>
      <w:pPr>
        <w:ind w:left="5040" w:hanging="360"/>
      </w:pPr>
    </w:lvl>
    <w:lvl w:ilvl="7" w:tplc="58F41E00" w:tentative="1">
      <w:start w:val="1"/>
      <w:numFmt w:val="lowerLetter"/>
      <w:lvlText w:val="%8."/>
      <w:lvlJc w:val="left"/>
      <w:pPr>
        <w:ind w:left="5760" w:hanging="360"/>
      </w:pPr>
    </w:lvl>
    <w:lvl w:ilvl="8" w:tplc="55DEA8A6" w:tentative="1">
      <w:start w:val="1"/>
      <w:numFmt w:val="lowerRoman"/>
      <w:lvlText w:val="%9."/>
      <w:lvlJc w:val="right"/>
      <w:pPr>
        <w:ind w:left="6480" w:hanging="180"/>
      </w:pPr>
    </w:lvl>
  </w:abstractNum>
  <w:abstractNum w:abstractNumId="24" w15:restartNumberingAfterBreak="0">
    <w:nsid w:val="6B8E6E23"/>
    <w:multiLevelType w:val="multilevel"/>
    <w:tmpl w:val="FF38BDB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6D3717B2"/>
    <w:multiLevelType w:val="hybridMultilevel"/>
    <w:tmpl w:val="69566EEC"/>
    <w:lvl w:ilvl="0" w:tplc="1B02A650">
      <w:start w:val="1"/>
      <w:numFmt w:val="bullet"/>
      <w:lvlText w:val=""/>
      <w:lvlJc w:val="left"/>
      <w:pPr>
        <w:ind w:left="720" w:hanging="360"/>
      </w:pPr>
      <w:rPr>
        <w:rFonts w:ascii="Wingdings" w:hAnsi="Wingdings" w:hint="default"/>
      </w:rPr>
    </w:lvl>
    <w:lvl w:ilvl="1" w:tplc="DF2C244C" w:tentative="1">
      <w:start w:val="1"/>
      <w:numFmt w:val="bullet"/>
      <w:lvlText w:val="o"/>
      <w:lvlJc w:val="left"/>
      <w:pPr>
        <w:ind w:left="1440" w:hanging="360"/>
      </w:pPr>
      <w:rPr>
        <w:rFonts w:ascii="Courier New" w:hAnsi="Courier New" w:cs="Courier New" w:hint="default"/>
      </w:rPr>
    </w:lvl>
    <w:lvl w:ilvl="2" w:tplc="F7AE80D2" w:tentative="1">
      <w:start w:val="1"/>
      <w:numFmt w:val="bullet"/>
      <w:lvlText w:val=""/>
      <w:lvlJc w:val="left"/>
      <w:pPr>
        <w:ind w:left="2160" w:hanging="360"/>
      </w:pPr>
      <w:rPr>
        <w:rFonts w:ascii="Wingdings" w:hAnsi="Wingdings" w:hint="default"/>
      </w:rPr>
    </w:lvl>
    <w:lvl w:ilvl="3" w:tplc="6EB240A0" w:tentative="1">
      <w:start w:val="1"/>
      <w:numFmt w:val="bullet"/>
      <w:lvlText w:val=""/>
      <w:lvlJc w:val="left"/>
      <w:pPr>
        <w:ind w:left="2880" w:hanging="360"/>
      </w:pPr>
      <w:rPr>
        <w:rFonts w:ascii="Symbol" w:hAnsi="Symbol" w:hint="default"/>
      </w:rPr>
    </w:lvl>
    <w:lvl w:ilvl="4" w:tplc="C54C995C" w:tentative="1">
      <w:start w:val="1"/>
      <w:numFmt w:val="bullet"/>
      <w:lvlText w:val="o"/>
      <w:lvlJc w:val="left"/>
      <w:pPr>
        <w:ind w:left="3600" w:hanging="360"/>
      </w:pPr>
      <w:rPr>
        <w:rFonts w:ascii="Courier New" w:hAnsi="Courier New" w:cs="Courier New" w:hint="default"/>
      </w:rPr>
    </w:lvl>
    <w:lvl w:ilvl="5" w:tplc="E20EDA1C" w:tentative="1">
      <w:start w:val="1"/>
      <w:numFmt w:val="bullet"/>
      <w:lvlText w:val=""/>
      <w:lvlJc w:val="left"/>
      <w:pPr>
        <w:ind w:left="4320" w:hanging="360"/>
      </w:pPr>
      <w:rPr>
        <w:rFonts w:ascii="Wingdings" w:hAnsi="Wingdings" w:hint="default"/>
      </w:rPr>
    </w:lvl>
    <w:lvl w:ilvl="6" w:tplc="FD9E3D10" w:tentative="1">
      <w:start w:val="1"/>
      <w:numFmt w:val="bullet"/>
      <w:lvlText w:val=""/>
      <w:lvlJc w:val="left"/>
      <w:pPr>
        <w:ind w:left="5040" w:hanging="360"/>
      </w:pPr>
      <w:rPr>
        <w:rFonts w:ascii="Symbol" w:hAnsi="Symbol" w:hint="default"/>
      </w:rPr>
    </w:lvl>
    <w:lvl w:ilvl="7" w:tplc="042C45E4" w:tentative="1">
      <w:start w:val="1"/>
      <w:numFmt w:val="bullet"/>
      <w:lvlText w:val="o"/>
      <w:lvlJc w:val="left"/>
      <w:pPr>
        <w:ind w:left="5760" w:hanging="360"/>
      </w:pPr>
      <w:rPr>
        <w:rFonts w:ascii="Courier New" w:hAnsi="Courier New" w:cs="Courier New" w:hint="default"/>
      </w:rPr>
    </w:lvl>
    <w:lvl w:ilvl="8" w:tplc="A344EFC0" w:tentative="1">
      <w:start w:val="1"/>
      <w:numFmt w:val="bullet"/>
      <w:lvlText w:val=""/>
      <w:lvlJc w:val="left"/>
      <w:pPr>
        <w:ind w:left="6480" w:hanging="360"/>
      </w:pPr>
      <w:rPr>
        <w:rFonts w:ascii="Wingdings" w:hAnsi="Wingdings" w:hint="default"/>
      </w:rPr>
    </w:lvl>
  </w:abstractNum>
  <w:abstractNum w:abstractNumId="26" w15:restartNumberingAfterBreak="0">
    <w:nsid w:val="6EEE7C2C"/>
    <w:multiLevelType w:val="hybridMultilevel"/>
    <w:tmpl w:val="0FC459A8"/>
    <w:lvl w:ilvl="0" w:tplc="8BAE39E6">
      <w:start w:val="1"/>
      <w:numFmt w:val="bullet"/>
      <w:lvlText w:val=""/>
      <w:lvlJc w:val="left"/>
      <w:pPr>
        <w:ind w:left="720" w:hanging="360"/>
      </w:pPr>
      <w:rPr>
        <w:rFonts w:ascii="Wingdings" w:hAnsi="Wingdings" w:hint="default"/>
      </w:rPr>
    </w:lvl>
    <w:lvl w:ilvl="1" w:tplc="A628EA12" w:tentative="1">
      <w:start w:val="1"/>
      <w:numFmt w:val="bullet"/>
      <w:lvlText w:val="o"/>
      <w:lvlJc w:val="left"/>
      <w:pPr>
        <w:ind w:left="1440" w:hanging="360"/>
      </w:pPr>
      <w:rPr>
        <w:rFonts w:ascii="Courier New" w:hAnsi="Courier New" w:cs="Courier New" w:hint="default"/>
      </w:rPr>
    </w:lvl>
    <w:lvl w:ilvl="2" w:tplc="759AF5EA" w:tentative="1">
      <w:start w:val="1"/>
      <w:numFmt w:val="bullet"/>
      <w:lvlText w:val=""/>
      <w:lvlJc w:val="left"/>
      <w:pPr>
        <w:ind w:left="2160" w:hanging="360"/>
      </w:pPr>
      <w:rPr>
        <w:rFonts w:ascii="Wingdings" w:hAnsi="Wingdings" w:hint="default"/>
      </w:rPr>
    </w:lvl>
    <w:lvl w:ilvl="3" w:tplc="A79A3C44" w:tentative="1">
      <w:start w:val="1"/>
      <w:numFmt w:val="bullet"/>
      <w:lvlText w:val=""/>
      <w:lvlJc w:val="left"/>
      <w:pPr>
        <w:ind w:left="2880" w:hanging="360"/>
      </w:pPr>
      <w:rPr>
        <w:rFonts w:ascii="Symbol" w:hAnsi="Symbol" w:hint="default"/>
      </w:rPr>
    </w:lvl>
    <w:lvl w:ilvl="4" w:tplc="6FD6C64E" w:tentative="1">
      <w:start w:val="1"/>
      <w:numFmt w:val="bullet"/>
      <w:lvlText w:val="o"/>
      <w:lvlJc w:val="left"/>
      <w:pPr>
        <w:ind w:left="3600" w:hanging="360"/>
      </w:pPr>
      <w:rPr>
        <w:rFonts w:ascii="Courier New" w:hAnsi="Courier New" w:cs="Courier New" w:hint="default"/>
      </w:rPr>
    </w:lvl>
    <w:lvl w:ilvl="5" w:tplc="36FE2C04" w:tentative="1">
      <w:start w:val="1"/>
      <w:numFmt w:val="bullet"/>
      <w:lvlText w:val=""/>
      <w:lvlJc w:val="left"/>
      <w:pPr>
        <w:ind w:left="4320" w:hanging="360"/>
      </w:pPr>
      <w:rPr>
        <w:rFonts w:ascii="Wingdings" w:hAnsi="Wingdings" w:hint="default"/>
      </w:rPr>
    </w:lvl>
    <w:lvl w:ilvl="6" w:tplc="EDB605CA" w:tentative="1">
      <w:start w:val="1"/>
      <w:numFmt w:val="bullet"/>
      <w:lvlText w:val=""/>
      <w:lvlJc w:val="left"/>
      <w:pPr>
        <w:ind w:left="5040" w:hanging="360"/>
      </w:pPr>
      <w:rPr>
        <w:rFonts w:ascii="Symbol" w:hAnsi="Symbol" w:hint="default"/>
      </w:rPr>
    </w:lvl>
    <w:lvl w:ilvl="7" w:tplc="7EA6455C" w:tentative="1">
      <w:start w:val="1"/>
      <w:numFmt w:val="bullet"/>
      <w:lvlText w:val="o"/>
      <w:lvlJc w:val="left"/>
      <w:pPr>
        <w:ind w:left="5760" w:hanging="360"/>
      </w:pPr>
      <w:rPr>
        <w:rFonts w:ascii="Courier New" w:hAnsi="Courier New" w:cs="Courier New" w:hint="default"/>
      </w:rPr>
    </w:lvl>
    <w:lvl w:ilvl="8" w:tplc="547C9DFE" w:tentative="1">
      <w:start w:val="1"/>
      <w:numFmt w:val="bullet"/>
      <w:lvlText w:val=""/>
      <w:lvlJc w:val="left"/>
      <w:pPr>
        <w:ind w:left="6480" w:hanging="360"/>
      </w:pPr>
      <w:rPr>
        <w:rFonts w:ascii="Wingdings" w:hAnsi="Wingdings" w:hint="default"/>
      </w:rPr>
    </w:lvl>
  </w:abstractNum>
  <w:abstractNum w:abstractNumId="27" w15:restartNumberingAfterBreak="0">
    <w:nsid w:val="707A3731"/>
    <w:multiLevelType w:val="hybridMultilevel"/>
    <w:tmpl w:val="1DFA581C"/>
    <w:lvl w:ilvl="0" w:tplc="AE8824D4">
      <w:start w:val="1"/>
      <w:numFmt w:val="decimal"/>
      <w:lvlText w:val="%1."/>
      <w:lvlJc w:val="left"/>
      <w:pPr>
        <w:ind w:left="720" w:hanging="360"/>
      </w:pPr>
      <w:rPr>
        <w:rFonts w:hint="default"/>
        <w:b/>
        <w:bCs/>
      </w:rPr>
    </w:lvl>
    <w:lvl w:ilvl="1" w:tplc="57C0D2A0" w:tentative="1">
      <w:start w:val="1"/>
      <w:numFmt w:val="lowerLetter"/>
      <w:lvlText w:val="%2."/>
      <w:lvlJc w:val="left"/>
      <w:pPr>
        <w:ind w:left="1440" w:hanging="360"/>
      </w:pPr>
    </w:lvl>
    <w:lvl w:ilvl="2" w:tplc="F2426988" w:tentative="1">
      <w:start w:val="1"/>
      <w:numFmt w:val="lowerRoman"/>
      <w:lvlText w:val="%3."/>
      <w:lvlJc w:val="right"/>
      <w:pPr>
        <w:ind w:left="2160" w:hanging="180"/>
      </w:pPr>
    </w:lvl>
    <w:lvl w:ilvl="3" w:tplc="F71451D2" w:tentative="1">
      <w:start w:val="1"/>
      <w:numFmt w:val="decimal"/>
      <w:lvlText w:val="%4."/>
      <w:lvlJc w:val="left"/>
      <w:pPr>
        <w:ind w:left="2880" w:hanging="360"/>
      </w:pPr>
    </w:lvl>
    <w:lvl w:ilvl="4" w:tplc="5F2EE2A4" w:tentative="1">
      <w:start w:val="1"/>
      <w:numFmt w:val="lowerLetter"/>
      <w:lvlText w:val="%5."/>
      <w:lvlJc w:val="left"/>
      <w:pPr>
        <w:ind w:left="3600" w:hanging="360"/>
      </w:pPr>
    </w:lvl>
    <w:lvl w:ilvl="5" w:tplc="5EAAF890" w:tentative="1">
      <w:start w:val="1"/>
      <w:numFmt w:val="lowerRoman"/>
      <w:lvlText w:val="%6."/>
      <w:lvlJc w:val="right"/>
      <w:pPr>
        <w:ind w:left="4320" w:hanging="180"/>
      </w:pPr>
    </w:lvl>
    <w:lvl w:ilvl="6" w:tplc="7918F200" w:tentative="1">
      <w:start w:val="1"/>
      <w:numFmt w:val="decimal"/>
      <w:lvlText w:val="%7."/>
      <w:lvlJc w:val="left"/>
      <w:pPr>
        <w:ind w:left="5040" w:hanging="360"/>
      </w:pPr>
    </w:lvl>
    <w:lvl w:ilvl="7" w:tplc="7A6AC86A" w:tentative="1">
      <w:start w:val="1"/>
      <w:numFmt w:val="lowerLetter"/>
      <w:lvlText w:val="%8."/>
      <w:lvlJc w:val="left"/>
      <w:pPr>
        <w:ind w:left="5760" w:hanging="360"/>
      </w:pPr>
    </w:lvl>
    <w:lvl w:ilvl="8" w:tplc="3D1227AE" w:tentative="1">
      <w:start w:val="1"/>
      <w:numFmt w:val="lowerRoman"/>
      <w:lvlText w:val="%9."/>
      <w:lvlJc w:val="right"/>
      <w:pPr>
        <w:ind w:left="6480" w:hanging="180"/>
      </w:pPr>
    </w:lvl>
  </w:abstractNum>
  <w:abstractNum w:abstractNumId="28" w15:restartNumberingAfterBreak="0">
    <w:nsid w:val="75C85C5F"/>
    <w:multiLevelType w:val="multilevel"/>
    <w:tmpl w:val="FD684BD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846791740">
    <w:abstractNumId w:val="21"/>
  </w:num>
  <w:num w:numId="2" w16cid:durableId="380056919">
    <w:abstractNumId w:val="23"/>
  </w:num>
  <w:num w:numId="3" w16cid:durableId="1505784403">
    <w:abstractNumId w:val="11"/>
  </w:num>
  <w:num w:numId="4" w16cid:durableId="2038967104">
    <w:abstractNumId w:val="9"/>
  </w:num>
  <w:num w:numId="5" w16cid:durableId="2129662975">
    <w:abstractNumId w:val="26"/>
  </w:num>
  <w:num w:numId="6" w16cid:durableId="2132166418">
    <w:abstractNumId w:val="6"/>
  </w:num>
  <w:num w:numId="7" w16cid:durableId="1052578301">
    <w:abstractNumId w:val="17"/>
  </w:num>
  <w:num w:numId="8" w16cid:durableId="408843806">
    <w:abstractNumId w:val="27"/>
  </w:num>
  <w:num w:numId="9" w16cid:durableId="1928297758">
    <w:abstractNumId w:val="2"/>
  </w:num>
  <w:num w:numId="10" w16cid:durableId="163128848">
    <w:abstractNumId w:val="19"/>
  </w:num>
  <w:num w:numId="11" w16cid:durableId="557588816">
    <w:abstractNumId w:val="16"/>
  </w:num>
  <w:num w:numId="12" w16cid:durableId="941187249">
    <w:abstractNumId w:val="13"/>
  </w:num>
  <w:num w:numId="13" w16cid:durableId="2018193973">
    <w:abstractNumId w:val="4"/>
  </w:num>
  <w:num w:numId="14" w16cid:durableId="420639821">
    <w:abstractNumId w:val="5"/>
  </w:num>
  <w:num w:numId="15" w16cid:durableId="887765023">
    <w:abstractNumId w:val="25"/>
  </w:num>
  <w:num w:numId="16" w16cid:durableId="1202280444">
    <w:abstractNumId w:val="7"/>
  </w:num>
  <w:num w:numId="17" w16cid:durableId="816608688">
    <w:abstractNumId w:val="8"/>
  </w:num>
  <w:num w:numId="18" w16cid:durableId="359938952">
    <w:abstractNumId w:val="1"/>
  </w:num>
  <w:num w:numId="19" w16cid:durableId="1339961936">
    <w:abstractNumId w:val="10"/>
  </w:num>
  <w:num w:numId="20" w16cid:durableId="1021592674">
    <w:abstractNumId w:val="28"/>
  </w:num>
  <w:num w:numId="21" w16cid:durableId="1306929365">
    <w:abstractNumId w:val="24"/>
  </w:num>
  <w:num w:numId="22" w16cid:durableId="1775249201">
    <w:abstractNumId w:val="0"/>
  </w:num>
  <w:num w:numId="23" w16cid:durableId="530264432">
    <w:abstractNumId w:val="15"/>
  </w:num>
  <w:num w:numId="24" w16cid:durableId="200947558">
    <w:abstractNumId w:val="3"/>
  </w:num>
  <w:num w:numId="25" w16cid:durableId="723214139">
    <w:abstractNumId w:val="12"/>
  </w:num>
  <w:num w:numId="26" w16cid:durableId="610825444">
    <w:abstractNumId w:val="18"/>
  </w:num>
  <w:num w:numId="27" w16cid:durableId="1050111630">
    <w:abstractNumId w:val="20"/>
  </w:num>
  <w:num w:numId="28" w16cid:durableId="1536507621">
    <w:abstractNumId w:val="22"/>
  </w:num>
  <w:num w:numId="29" w16cid:durableId="938877956">
    <w:abstractNumId w:val="1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7324"/>
    <w:rsid w:val="00001BD1"/>
    <w:rsid w:val="00005EB9"/>
    <w:rsid w:val="00013CE9"/>
    <w:rsid w:val="00021080"/>
    <w:rsid w:val="000263F5"/>
    <w:rsid w:val="000318D2"/>
    <w:rsid w:val="000335BB"/>
    <w:rsid w:val="00040682"/>
    <w:rsid w:val="00043E53"/>
    <w:rsid w:val="00056185"/>
    <w:rsid w:val="00056807"/>
    <w:rsid w:val="000579DE"/>
    <w:rsid w:val="000653A5"/>
    <w:rsid w:val="00077F04"/>
    <w:rsid w:val="0008285D"/>
    <w:rsid w:val="00083159"/>
    <w:rsid w:val="00087295"/>
    <w:rsid w:val="000A0263"/>
    <w:rsid w:val="000A082A"/>
    <w:rsid w:val="000A4F72"/>
    <w:rsid w:val="000C22DD"/>
    <w:rsid w:val="000C37F6"/>
    <w:rsid w:val="000C522C"/>
    <w:rsid w:val="000D0618"/>
    <w:rsid w:val="000D0C26"/>
    <w:rsid w:val="000D1C72"/>
    <w:rsid w:val="000D3BF7"/>
    <w:rsid w:val="000D551E"/>
    <w:rsid w:val="000D5D55"/>
    <w:rsid w:val="000E3FCC"/>
    <w:rsid w:val="000E562D"/>
    <w:rsid w:val="000F560A"/>
    <w:rsid w:val="0010367E"/>
    <w:rsid w:val="001070B3"/>
    <w:rsid w:val="0011111D"/>
    <w:rsid w:val="001147D6"/>
    <w:rsid w:val="00121994"/>
    <w:rsid w:val="00143DCA"/>
    <w:rsid w:val="00153C2E"/>
    <w:rsid w:val="001600FE"/>
    <w:rsid w:val="00180A27"/>
    <w:rsid w:val="00181354"/>
    <w:rsid w:val="00187300"/>
    <w:rsid w:val="00190388"/>
    <w:rsid w:val="00190EE4"/>
    <w:rsid w:val="00191DF7"/>
    <w:rsid w:val="001A0B40"/>
    <w:rsid w:val="001B0456"/>
    <w:rsid w:val="001B08B4"/>
    <w:rsid w:val="001B30CE"/>
    <w:rsid w:val="001C1A39"/>
    <w:rsid w:val="001C3F81"/>
    <w:rsid w:val="001C68C3"/>
    <w:rsid w:val="001C6A7C"/>
    <w:rsid w:val="001D0044"/>
    <w:rsid w:val="001E6396"/>
    <w:rsid w:val="001E7D7C"/>
    <w:rsid w:val="001F72D2"/>
    <w:rsid w:val="002054EB"/>
    <w:rsid w:val="002062E6"/>
    <w:rsid w:val="00213E94"/>
    <w:rsid w:val="00224D79"/>
    <w:rsid w:val="00226986"/>
    <w:rsid w:val="00226C0E"/>
    <w:rsid w:val="00233453"/>
    <w:rsid w:val="00234883"/>
    <w:rsid w:val="00237330"/>
    <w:rsid w:val="00240619"/>
    <w:rsid w:val="00256F67"/>
    <w:rsid w:val="0026071A"/>
    <w:rsid w:val="00272241"/>
    <w:rsid w:val="0027502F"/>
    <w:rsid w:val="00281CDE"/>
    <w:rsid w:val="002825A7"/>
    <w:rsid w:val="002865FA"/>
    <w:rsid w:val="0029015B"/>
    <w:rsid w:val="002936AF"/>
    <w:rsid w:val="00294B46"/>
    <w:rsid w:val="002A017C"/>
    <w:rsid w:val="002A446B"/>
    <w:rsid w:val="002A6F49"/>
    <w:rsid w:val="002B0826"/>
    <w:rsid w:val="002B0F1B"/>
    <w:rsid w:val="002B5072"/>
    <w:rsid w:val="002E2869"/>
    <w:rsid w:val="002E6E68"/>
    <w:rsid w:val="002F45D6"/>
    <w:rsid w:val="003003A2"/>
    <w:rsid w:val="00303E14"/>
    <w:rsid w:val="003046FB"/>
    <w:rsid w:val="0031124C"/>
    <w:rsid w:val="0031147B"/>
    <w:rsid w:val="003133AC"/>
    <w:rsid w:val="00314E7D"/>
    <w:rsid w:val="003202E2"/>
    <w:rsid w:val="00325C61"/>
    <w:rsid w:val="003322B2"/>
    <w:rsid w:val="003406F7"/>
    <w:rsid w:val="00343C8D"/>
    <w:rsid w:val="00357D4F"/>
    <w:rsid w:val="0036145D"/>
    <w:rsid w:val="00365A94"/>
    <w:rsid w:val="003708F1"/>
    <w:rsid w:val="00375796"/>
    <w:rsid w:val="0037608A"/>
    <w:rsid w:val="0038479D"/>
    <w:rsid w:val="0038645C"/>
    <w:rsid w:val="0039169D"/>
    <w:rsid w:val="00393235"/>
    <w:rsid w:val="00393383"/>
    <w:rsid w:val="0039784A"/>
    <w:rsid w:val="003A29EF"/>
    <w:rsid w:val="003A3392"/>
    <w:rsid w:val="003A33A5"/>
    <w:rsid w:val="003B714E"/>
    <w:rsid w:val="003C1612"/>
    <w:rsid w:val="003C4972"/>
    <w:rsid w:val="003C6A4C"/>
    <w:rsid w:val="003E41DC"/>
    <w:rsid w:val="003F38B1"/>
    <w:rsid w:val="003F7206"/>
    <w:rsid w:val="00404505"/>
    <w:rsid w:val="00405723"/>
    <w:rsid w:val="004107AC"/>
    <w:rsid w:val="004156E2"/>
    <w:rsid w:val="00417A75"/>
    <w:rsid w:val="00420929"/>
    <w:rsid w:val="004268DC"/>
    <w:rsid w:val="00433910"/>
    <w:rsid w:val="00437090"/>
    <w:rsid w:val="00437A1A"/>
    <w:rsid w:val="00454582"/>
    <w:rsid w:val="00462BA3"/>
    <w:rsid w:val="004641A1"/>
    <w:rsid w:val="00467E05"/>
    <w:rsid w:val="004761C7"/>
    <w:rsid w:val="00483278"/>
    <w:rsid w:val="00497E48"/>
    <w:rsid w:val="004A0589"/>
    <w:rsid w:val="004A0CDB"/>
    <w:rsid w:val="004A5339"/>
    <w:rsid w:val="004C287F"/>
    <w:rsid w:val="004C3F78"/>
    <w:rsid w:val="004C6031"/>
    <w:rsid w:val="004D7CDF"/>
    <w:rsid w:val="004E1BA2"/>
    <w:rsid w:val="004F04AB"/>
    <w:rsid w:val="004F0B87"/>
    <w:rsid w:val="004F16B9"/>
    <w:rsid w:val="005010C8"/>
    <w:rsid w:val="00501BF7"/>
    <w:rsid w:val="00514D65"/>
    <w:rsid w:val="00521351"/>
    <w:rsid w:val="005272A8"/>
    <w:rsid w:val="00532FA5"/>
    <w:rsid w:val="00536D2F"/>
    <w:rsid w:val="005504A2"/>
    <w:rsid w:val="0055120C"/>
    <w:rsid w:val="00551ED8"/>
    <w:rsid w:val="005603CD"/>
    <w:rsid w:val="00561414"/>
    <w:rsid w:val="00561738"/>
    <w:rsid w:val="00563D8C"/>
    <w:rsid w:val="005646CF"/>
    <w:rsid w:val="00572667"/>
    <w:rsid w:val="00580F47"/>
    <w:rsid w:val="005811C7"/>
    <w:rsid w:val="005940BC"/>
    <w:rsid w:val="00594B1C"/>
    <w:rsid w:val="005A5D01"/>
    <w:rsid w:val="005B09CA"/>
    <w:rsid w:val="005B57D0"/>
    <w:rsid w:val="005C135A"/>
    <w:rsid w:val="005C364D"/>
    <w:rsid w:val="005C686E"/>
    <w:rsid w:val="005C6E0C"/>
    <w:rsid w:val="005D06E6"/>
    <w:rsid w:val="005D237A"/>
    <w:rsid w:val="005D307A"/>
    <w:rsid w:val="005D30CB"/>
    <w:rsid w:val="005E19CA"/>
    <w:rsid w:val="005E4DC2"/>
    <w:rsid w:val="005E5CEE"/>
    <w:rsid w:val="005E7AFF"/>
    <w:rsid w:val="005F306D"/>
    <w:rsid w:val="005F51E2"/>
    <w:rsid w:val="0060445B"/>
    <w:rsid w:val="00611CE0"/>
    <w:rsid w:val="00616348"/>
    <w:rsid w:val="00617BBE"/>
    <w:rsid w:val="00622EAB"/>
    <w:rsid w:val="0062716A"/>
    <w:rsid w:val="006316FF"/>
    <w:rsid w:val="0064043A"/>
    <w:rsid w:val="00640FDC"/>
    <w:rsid w:val="00642C6D"/>
    <w:rsid w:val="00644CD7"/>
    <w:rsid w:val="00654201"/>
    <w:rsid w:val="00656814"/>
    <w:rsid w:val="0066216B"/>
    <w:rsid w:val="00662588"/>
    <w:rsid w:val="00665B81"/>
    <w:rsid w:val="006678C0"/>
    <w:rsid w:val="00671043"/>
    <w:rsid w:val="00674CC5"/>
    <w:rsid w:val="00676E4E"/>
    <w:rsid w:val="006777FE"/>
    <w:rsid w:val="00685569"/>
    <w:rsid w:val="00686071"/>
    <w:rsid w:val="00696A22"/>
    <w:rsid w:val="006A0C1A"/>
    <w:rsid w:val="006B5E69"/>
    <w:rsid w:val="006D011C"/>
    <w:rsid w:val="006D57FF"/>
    <w:rsid w:val="006D6860"/>
    <w:rsid w:val="006E2B54"/>
    <w:rsid w:val="006E3F66"/>
    <w:rsid w:val="006F0057"/>
    <w:rsid w:val="006F1F33"/>
    <w:rsid w:val="006F3FD3"/>
    <w:rsid w:val="006F41DB"/>
    <w:rsid w:val="007004B4"/>
    <w:rsid w:val="00704F16"/>
    <w:rsid w:val="00705E11"/>
    <w:rsid w:val="00707671"/>
    <w:rsid w:val="00710B88"/>
    <w:rsid w:val="00713A43"/>
    <w:rsid w:val="00720670"/>
    <w:rsid w:val="00724793"/>
    <w:rsid w:val="00726498"/>
    <w:rsid w:val="0074038A"/>
    <w:rsid w:val="007404A1"/>
    <w:rsid w:val="0074348F"/>
    <w:rsid w:val="00752071"/>
    <w:rsid w:val="00754BF6"/>
    <w:rsid w:val="00762F39"/>
    <w:rsid w:val="007728A9"/>
    <w:rsid w:val="0077743F"/>
    <w:rsid w:val="00786E25"/>
    <w:rsid w:val="00787CAD"/>
    <w:rsid w:val="00794D34"/>
    <w:rsid w:val="007A29A9"/>
    <w:rsid w:val="007A56E6"/>
    <w:rsid w:val="007B2A2C"/>
    <w:rsid w:val="007B35F9"/>
    <w:rsid w:val="007C4A24"/>
    <w:rsid w:val="007C600C"/>
    <w:rsid w:val="007E41C0"/>
    <w:rsid w:val="007F4C6C"/>
    <w:rsid w:val="007F6D1F"/>
    <w:rsid w:val="00812595"/>
    <w:rsid w:val="008167F8"/>
    <w:rsid w:val="0082593E"/>
    <w:rsid w:val="00826D41"/>
    <w:rsid w:val="00832383"/>
    <w:rsid w:val="008605DD"/>
    <w:rsid w:val="00866390"/>
    <w:rsid w:val="00867B7B"/>
    <w:rsid w:val="00876486"/>
    <w:rsid w:val="0088758D"/>
    <w:rsid w:val="0089005F"/>
    <w:rsid w:val="008921EA"/>
    <w:rsid w:val="00895FEA"/>
    <w:rsid w:val="00897D88"/>
    <w:rsid w:val="008B13D2"/>
    <w:rsid w:val="008B55D9"/>
    <w:rsid w:val="008B6475"/>
    <w:rsid w:val="008B6E9E"/>
    <w:rsid w:val="008C1C00"/>
    <w:rsid w:val="008D1427"/>
    <w:rsid w:val="008D19FD"/>
    <w:rsid w:val="008F0551"/>
    <w:rsid w:val="008F06B3"/>
    <w:rsid w:val="008F4E67"/>
    <w:rsid w:val="00904E81"/>
    <w:rsid w:val="009059C7"/>
    <w:rsid w:val="0091678B"/>
    <w:rsid w:val="00920EBD"/>
    <w:rsid w:val="00936C5F"/>
    <w:rsid w:val="00951B98"/>
    <w:rsid w:val="00953470"/>
    <w:rsid w:val="00964454"/>
    <w:rsid w:val="00967A28"/>
    <w:rsid w:val="00971032"/>
    <w:rsid w:val="00974776"/>
    <w:rsid w:val="009769BE"/>
    <w:rsid w:val="00983AA2"/>
    <w:rsid w:val="00985D53"/>
    <w:rsid w:val="0099177D"/>
    <w:rsid w:val="00992788"/>
    <w:rsid w:val="00995254"/>
    <w:rsid w:val="00997ED3"/>
    <w:rsid w:val="009A1B5D"/>
    <w:rsid w:val="009A2589"/>
    <w:rsid w:val="009A2AB0"/>
    <w:rsid w:val="009A3B4F"/>
    <w:rsid w:val="009A5EF0"/>
    <w:rsid w:val="009B12A9"/>
    <w:rsid w:val="009D2C9C"/>
    <w:rsid w:val="009F6092"/>
    <w:rsid w:val="009F7D47"/>
    <w:rsid w:val="00A01CC4"/>
    <w:rsid w:val="00A0262C"/>
    <w:rsid w:val="00A202FD"/>
    <w:rsid w:val="00A41C83"/>
    <w:rsid w:val="00A469B0"/>
    <w:rsid w:val="00A52911"/>
    <w:rsid w:val="00A57E3B"/>
    <w:rsid w:val="00A73222"/>
    <w:rsid w:val="00A7662C"/>
    <w:rsid w:val="00A8354C"/>
    <w:rsid w:val="00A87541"/>
    <w:rsid w:val="00AB1671"/>
    <w:rsid w:val="00AB43CD"/>
    <w:rsid w:val="00AB468C"/>
    <w:rsid w:val="00AC5FA5"/>
    <w:rsid w:val="00AD191E"/>
    <w:rsid w:val="00AD3427"/>
    <w:rsid w:val="00AD37DB"/>
    <w:rsid w:val="00AD4F75"/>
    <w:rsid w:val="00AD51D9"/>
    <w:rsid w:val="00AD7FD3"/>
    <w:rsid w:val="00AE1F50"/>
    <w:rsid w:val="00AE1FD0"/>
    <w:rsid w:val="00AE60CF"/>
    <w:rsid w:val="00AE7743"/>
    <w:rsid w:val="00AF34A6"/>
    <w:rsid w:val="00AF7324"/>
    <w:rsid w:val="00B02270"/>
    <w:rsid w:val="00B02DA9"/>
    <w:rsid w:val="00B0465D"/>
    <w:rsid w:val="00B1147D"/>
    <w:rsid w:val="00B1189C"/>
    <w:rsid w:val="00B13B77"/>
    <w:rsid w:val="00B161DB"/>
    <w:rsid w:val="00B16DDC"/>
    <w:rsid w:val="00B25B63"/>
    <w:rsid w:val="00B36926"/>
    <w:rsid w:val="00B4460C"/>
    <w:rsid w:val="00B509AA"/>
    <w:rsid w:val="00B56D32"/>
    <w:rsid w:val="00B668AC"/>
    <w:rsid w:val="00B67266"/>
    <w:rsid w:val="00B72868"/>
    <w:rsid w:val="00B83D60"/>
    <w:rsid w:val="00B85A9E"/>
    <w:rsid w:val="00B87113"/>
    <w:rsid w:val="00B97E67"/>
    <w:rsid w:val="00BA4BB1"/>
    <w:rsid w:val="00BA4EFF"/>
    <w:rsid w:val="00BB1146"/>
    <w:rsid w:val="00BB1F44"/>
    <w:rsid w:val="00BB564D"/>
    <w:rsid w:val="00BC499B"/>
    <w:rsid w:val="00BD02FE"/>
    <w:rsid w:val="00BD64C5"/>
    <w:rsid w:val="00BF7683"/>
    <w:rsid w:val="00C05091"/>
    <w:rsid w:val="00C060F6"/>
    <w:rsid w:val="00C07AF1"/>
    <w:rsid w:val="00C15C89"/>
    <w:rsid w:val="00C16657"/>
    <w:rsid w:val="00C21D39"/>
    <w:rsid w:val="00C228F0"/>
    <w:rsid w:val="00C22CEB"/>
    <w:rsid w:val="00C24B26"/>
    <w:rsid w:val="00C25EDA"/>
    <w:rsid w:val="00C42069"/>
    <w:rsid w:val="00C4322C"/>
    <w:rsid w:val="00C569C0"/>
    <w:rsid w:val="00C56A60"/>
    <w:rsid w:val="00C576C5"/>
    <w:rsid w:val="00C67045"/>
    <w:rsid w:val="00C75752"/>
    <w:rsid w:val="00C75DC8"/>
    <w:rsid w:val="00C77E33"/>
    <w:rsid w:val="00C80EEF"/>
    <w:rsid w:val="00C8152C"/>
    <w:rsid w:val="00C81C7D"/>
    <w:rsid w:val="00C83135"/>
    <w:rsid w:val="00C83C0A"/>
    <w:rsid w:val="00C85EFF"/>
    <w:rsid w:val="00C87402"/>
    <w:rsid w:val="00CA2435"/>
    <w:rsid w:val="00CA57D9"/>
    <w:rsid w:val="00CB2DB7"/>
    <w:rsid w:val="00CB488A"/>
    <w:rsid w:val="00CB7C30"/>
    <w:rsid w:val="00CC1004"/>
    <w:rsid w:val="00CC4A80"/>
    <w:rsid w:val="00CD4BE6"/>
    <w:rsid w:val="00CD5B19"/>
    <w:rsid w:val="00CE2808"/>
    <w:rsid w:val="00CE454D"/>
    <w:rsid w:val="00CE708E"/>
    <w:rsid w:val="00CF4625"/>
    <w:rsid w:val="00D0013F"/>
    <w:rsid w:val="00D00970"/>
    <w:rsid w:val="00D0227E"/>
    <w:rsid w:val="00D170EE"/>
    <w:rsid w:val="00D209D6"/>
    <w:rsid w:val="00D23676"/>
    <w:rsid w:val="00D2621C"/>
    <w:rsid w:val="00D27679"/>
    <w:rsid w:val="00D41454"/>
    <w:rsid w:val="00D439CE"/>
    <w:rsid w:val="00D63E7D"/>
    <w:rsid w:val="00D673FC"/>
    <w:rsid w:val="00D73C7C"/>
    <w:rsid w:val="00D76568"/>
    <w:rsid w:val="00D766E7"/>
    <w:rsid w:val="00DA5E60"/>
    <w:rsid w:val="00DA727C"/>
    <w:rsid w:val="00DB2BA4"/>
    <w:rsid w:val="00DB3C83"/>
    <w:rsid w:val="00DB5FD4"/>
    <w:rsid w:val="00DB68D2"/>
    <w:rsid w:val="00DC088D"/>
    <w:rsid w:val="00DD0767"/>
    <w:rsid w:val="00DD3C6D"/>
    <w:rsid w:val="00DD3D4F"/>
    <w:rsid w:val="00DF0B57"/>
    <w:rsid w:val="00DF0C4D"/>
    <w:rsid w:val="00DF3484"/>
    <w:rsid w:val="00DF37BF"/>
    <w:rsid w:val="00DF6C3A"/>
    <w:rsid w:val="00E00359"/>
    <w:rsid w:val="00E007DA"/>
    <w:rsid w:val="00E03E2D"/>
    <w:rsid w:val="00E047EA"/>
    <w:rsid w:val="00E06F7A"/>
    <w:rsid w:val="00E0783A"/>
    <w:rsid w:val="00E10018"/>
    <w:rsid w:val="00E20346"/>
    <w:rsid w:val="00E21158"/>
    <w:rsid w:val="00E24F16"/>
    <w:rsid w:val="00E26D95"/>
    <w:rsid w:val="00E33A00"/>
    <w:rsid w:val="00E351A1"/>
    <w:rsid w:val="00E36D9E"/>
    <w:rsid w:val="00E42DA1"/>
    <w:rsid w:val="00E52608"/>
    <w:rsid w:val="00E532FC"/>
    <w:rsid w:val="00E56D4F"/>
    <w:rsid w:val="00E64897"/>
    <w:rsid w:val="00E90349"/>
    <w:rsid w:val="00E9167A"/>
    <w:rsid w:val="00EA1D23"/>
    <w:rsid w:val="00EA267F"/>
    <w:rsid w:val="00EB096D"/>
    <w:rsid w:val="00EB33B3"/>
    <w:rsid w:val="00EB4E7C"/>
    <w:rsid w:val="00EB5800"/>
    <w:rsid w:val="00EC1034"/>
    <w:rsid w:val="00EC4FF8"/>
    <w:rsid w:val="00ED1511"/>
    <w:rsid w:val="00ED2B29"/>
    <w:rsid w:val="00ED35B7"/>
    <w:rsid w:val="00ED3620"/>
    <w:rsid w:val="00EE4003"/>
    <w:rsid w:val="00EE4250"/>
    <w:rsid w:val="00EF5DF9"/>
    <w:rsid w:val="00F01958"/>
    <w:rsid w:val="00F01D08"/>
    <w:rsid w:val="00F059CF"/>
    <w:rsid w:val="00F1453B"/>
    <w:rsid w:val="00F21486"/>
    <w:rsid w:val="00F30AF6"/>
    <w:rsid w:val="00F31FBC"/>
    <w:rsid w:val="00F42A6E"/>
    <w:rsid w:val="00F542B4"/>
    <w:rsid w:val="00F71413"/>
    <w:rsid w:val="00F74879"/>
    <w:rsid w:val="00F8394F"/>
    <w:rsid w:val="00F853FB"/>
    <w:rsid w:val="00F87DF5"/>
    <w:rsid w:val="00F9324C"/>
    <w:rsid w:val="00FA05A9"/>
    <w:rsid w:val="00FB1813"/>
    <w:rsid w:val="00FC6E77"/>
    <w:rsid w:val="00FD19B3"/>
    <w:rsid w:val="00FE0E3B"/>
    <w:rsid w:val="00FE5892"/>
    <w:rsid w:val="00FE791D"/>
    <w:rsid w:val="00FF6D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161F16"/>
  <w15:chartTrackingRefBased/>
  <w15:docId w15:val="{D13FC9D6-DFD6-435C-8A65-8839F58AA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2869"/>
  </w:style>
  <w:style w:type="paragraph" w:styleId="Heading1">
    <w:name w:val="heading 1"/>
    <w:basedOn w:val="Normal"/>
    <w:next w:val="Normal"/>
    <w:link w:val="Heading1Char"/>
    <w:uiPriority w:val="9"/>
    <w:qFormat/>
    <w:rsid w:val="002E286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0A4F72"/>
    <w:pPr>
      <w:keepNext/>
      <w:keepLines/>
      <w:spacing w:before="40" w:after="0" w:line="360" w:lineRule="auto"/>
      <w:ind w:firstLine="720"/>
      <w:jc w:val="both"/>
      <w:outlineLvl w:val="1"/>
    </w:pPr>
    <w:rPr>
      <w:rFonts w:ascii="Cambria Math" w:eastAsiaTheme="majorEastAsia" w:hAnsi="Cambria Math" w:cstheme="majorBidi"/>
      <w:b/>
      <w:color w:val="7030A0"/>
      <w:sz w:val="28"/>
      <w:szCs w:val="26"/>
    </w:rPr>
  </w:style>
  <w:style w:type="paragraph" w:styleId="Heading3">
    <w:name w:val="heading 3"/>
    <w:basedOn w:val="Normal"/>
    <w:next w:val="Normal"/>
    <w:link w:val="Heading3Char"/>
    <w:uiPriority w:val="9"/>
    <w:unhideWhenUsed/>
    <w:qFormat/>
    <w:rsid w:val="002E2869"/>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2E2869"/>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2E2869"/>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0A4F72"/>
    <w:pPr>
      <w:spacing w:after="0" w:line="240" w:lineRule="auto"/>
      <w:ind w:firstLine="720"/>
      <w:contextualSpacing/>
      <w:jc w:val="both"/>
    </w:pPr>
    <w:rPr>
      <w:rFonts w:ascii="Cambria Math" w:eastAsiaTheme="majorEastAsia" w:hAnsi="Cambria Math" w:cstheme="majorBidi"/>
      <w:color w:val="7030A0"/>
      <w:spacing w:val="-10"/>
      <w:kern w:val="28"/>
      <w:sz w:val="56"/>
      <w:szCs w:val="56"/>
    </w:rPr>
  </w:style>
  <w:style w:type="character" w:customStyle="1" w:styleId="TitleChar">
    <w:name w:val="Title Char"/>
    <w:basedOn w:val="DefaultParagraphFont"/>
    <w:link w:val="Title"/>
    <w:uiPriority w:val="10"/>
    <w:rsid w:val="000A4F72"/>
    <w:rPr>
      <w:rFonts w:ascii="Cambria Math" w:eastAsiaTheme="majorEastAsia" w:hAnsi="Cambria Math" w:cstheme="majorBidi"/>
      <w:color w:val="7030A0"/>
      <w:spacing w:val="-10"/>
      <w:kern w:val="28"/>
      <w:sz w:val="56"/>
      <w:szCs w:val="56"/>
    </w:rPr>
  </w:style>
  <w:style w:type="character" w:customStyle="1" w:styleId="Heading2Char">
    <w:name w:val="Heading 2 Char"/>
    <w:basedOn w:val="DefaultParagraphFont"/>
    <w:link w:val="Heading2"/>
    <w:uiPriority w:val="9"/>
    <w:rsid w:val="000A4F72"/>
    <w:rPr>
      <w:rFonts w:ascii="Cambria Math" w:eastAsiaTheme="majorEastAsia" w:hAnsi="Cambria Math" w:cstheme="majorBidi"/>
      <w:b/>
      <w:color w:val="7030A0"/>
      <w:sz w:val="28"/>
      <w:szCs w:val="26"/>
    </w:rPr>
  </w:style>
  <w:style w:type="character" w:customStyle="1" w:styleId="Heading1Char">
    <w:name w:val="Heading 1 Char"/>
    <w:basedOn w:val="DefaultParagraphFont"/>
    <w:link w:val="Heading1"/>
    <w:uiPriority w:val="9"/>
    <w:qFormat/>
    <w:rsid w:val="002E2869"/>
    <w:rPr>
      <w:rFonts w:asciiTheme="majorHAnsi" w:eastAsiaTheme="majorEastAsia" w:hAnsiTheme="majorHAnsi" w:cstheme="majorBidi"/>
      <w:color w:val="2F5496" w:themeColor="accent1" w:themeShade="BF"/>
      <w:sz w:val="32"/>
      <w:szCs w:val="32"/>
      <w:lang w:val="en"/>
    </w:rPr>
  </w:style>
  <w:style w:type="paragraph" w:styleId="ListParagraph">
    <w:name w:val="List Paragraph"/>
    <w:basedOn w:val="Normal"/>
    <w:uiPriority w:val="34"/>
    <w:qFormat/>
    <w:rsid w:val="002E2869"/>
    <w:pPr>
      <w:ind w:left="720"/>
      <w:contextualSpacing/>
    </w:pPr>
  </w:style>
  <w:style w:type="paragraph" w:styleId="Caption">
    <w:name w:val="caption"/>
    <w:basedOn w:val="Normal"/>
    <w:next w:val="Normal"/>
    <w:unhideWhenUsed/>
    <w:qFormat/>
    <w:rsid w:val="002E2869"/>
    <w:pPr>
      <w:spacing w:after="200" w:line="240" w:lineRule="auto"/>
    </w:pPr>
    <w:rPr>
      <w:i/>
      <w:iCs/>
      <w:color w:val="44546A" w:themeColor="text2"/>
      <w:sz w:val="18"/>
      <w:szCs w:val="18"/>
    </w:rPr>
  </w:style>
  <w:style w:type="paragraph" w:styleId="NoSpacing">
    <w:name w:val="No Spacing"/>
    <w:link w:val="NoSpacingChar"/>
    <w:uiPriority w:val="1"/>
    <w:qFormat/>
    <w:rsid w:val="002E2869"/>
    <w:pPr>
      <w:spacing w:after="0" w:line="240" w:lineRule="auto"/>
    </w:pPr>
    <w:rPr>
      <w:rFonts w:eastAsia="MS Mincho"/>
    </w:rPr>
  </w:style>
  <w:style w:type="table" w:customStyle="1" w:styleId="LightShading1">
    <w:name w:val="Light Shading1"/>
    <w:basedOn w:val="TableNormal"/>
    <w:uiPriority w:val="60"/>
    <w:rsid w:val="002E2869"/>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Heading3Char">
    <w:name w:val="Heading 3 Char"/>
    <w:basedOn w:val="DefaultParagraphFont"/>
    <w:link w:val="Heading3"/>
    <w:uiPriority w:val="9"/>
    <w:rsid w:val="002E2869"/>
    <w:rPr>
      <w:rFonts w:asciiTheme="majorHAnsi" w:eastAsiaTheme="majorEastAsia" w:hAnsiTheme="majorHAnsi" w:cstheme="majorBidi"/>
      <w:color w:val="1F3763" w:themeColor="accent1" w:themeShade="7F"/>
      <w:sz w:val="24"/>
      <w:szCs w:val="24"/>
      <w:lang w:val="en"/>
    </w:rPr>
  </w:style>
  <w:style w:type="character" w:customStyle="1" w:styleId="Heading4Char">
    <w:name w:val="Heading 4 Char"/>
    <w:basedOn w:val="DefaultParagraphFont"/>
    <w:link w:val="Heading4"/>
    <w:uiPriority w:val="9"/>
    <w:rsid w:val="002E2869"/>
    <w:rPr>
      <w:rFonts w:asciiTheme="majorHAnsi" w:eastAsiaTheme="majorEastAsia" w:hAnsiTheme="majorHAnsi" w:cstheme="majorBidi"/>
      <w:i/>
      <w:iCs/>
      <w:color w:val="2F5496" w:themeColor="accent1" w:themeShade="BF"/>
      <w:lang w:val="en"/>
    </w:rPr>
  </w:style>
  <w:style w:type="character" w:customStyle="1" w:styleId="Heading5Char">
    <w:name w:val="Heading 5 Char"/>
    <w:basedOn w:val="DefaultParagraphFont"/>
    <w:link w:val="Heading5"/>
    <w:uiPriority w:val="9"/>
    <w:rsid w:val="002E2869"/>
    <w:rPr>
      <w:rFonts w:asciiTheme="majorHAnsi" w:eastAsiaTheme="majorEastAsia" w:hAnsiTheme="majorHAnsi" w:cstheme="majorBidi"/>
      <w:color w:val="2F5496" w:themeColor="accent1" w:themeShade="BF"/>
      <w:lang w:val="en"/>
    </w:rPr>
  </w:style>
  <w:style w:type="table" w:styleId="TableGrid">
    <w:name w:val="Table Grid"/>
    <w:basedOn w:val="TableNormal"/>
    <w:uiPriority w:val="39"/>
    <w:qFormat/>
    <w:rsid w:val="002E2869"/>
    <w:pPr>
      <w:spacing w:after="0" w:line="240" w:lineRule="auto"/>
    </w:pPr>
    <w:rPr>
      <w:rFonts w:eastAsia="MS Mincho"/>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51">
    <w:name w:val="Grid Table 4 - Accent 51"/>
    <w:basedOn w:val="TableNormal"/>
    <w:uiPriority w:val="49"/>
    <w:rsid w:val="002E286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styleId="Header">
    <w:name w:val="header"/>
    <w:basedOn w:val="Normal"/>
    <w:link w:val="HeaderChar"/>
    <w:uiPriority w:val="99"/>
    <w:unhideWhenUsed/>
    <w:rsid w:val="002E2869"/>
    <w:pPr>
      <w:tabs>
        <w:tab w:val="center" w:pos="4513"/>
        <w:tab w:val="right" w:pos="9026"/>
      </w:tabs>
      <w:spacing w:after="0" w:line="240" w:lineRule="auto"/>
    </w:pPr>
  </w:style>
  <w:style w:type="character" w:customStyle="1" w:styleId="HeaderChar">
    <w:name w:val="Header Char"/>
    <w:basedOn w:val="DefaultParagraphFont"/>
    <w:link w:val="Header"/>
    <w:uiPriority w:val="99"/>
    <w:rsid w:val="002E2869"/>
    <w:rPr>
      <w:lang w:val="en"/>
    </w:rPr>
  </w:style>
  <w:style w:type="paragraph" w:styleId="Footer">
    <w:name w:val="footer"/>
    <w:basedOn w:val="Normal"/>
    <w:link w:val="FooterChar"/>
    <w:uiPriority w:val="99"/>
    <w:unhideWhenUsed/>
    <w:rsid w:val="002E2869"/>
    <w:pPr>
      <w:tabs>
        <w:tab w:val="center" w:pos="4513"/>
        <w:tab w:val="right" w:pos="9026"/>
      </w:tabs>
      <w:spacing w:after="0" w:line="240" w:lineRule="auto"/>
    </w:pPr>
  </w:style>
  <w:style w:type="character" w:customStyle="1" w:styleId="FooterChar">
    <w:name w:val="Footer Char"/>
    <w:basedOn w:val="DefaultParagraphFont"/>
    <w:link w:val="Footer"/>
    <w:uiPriority w:val="99"/>
    <w:rsid w:val="002E2869"/>
    <w:rPr>
      <w:lang w:val="en"/>
    </w:rPr>
  </w:style>
  <w:style w:type="character" w:customStyle="1" w:styleId="q4iawc">
    <w:name w:val="q4iawc"/>
    <w:basedOn w:val="DefaultParagraphFont"/>
    <w:rsid w:val="002E2869"/>
  </w:style>
  <w:style w:type="table" w:customStyle="1" w:styleId="LightList1">
    <w:name w:val="Light List1"/>
    <w:basedOn w:val="TableNormal"/>
    <w:uiPriority w:val="61"/>
    <w:rsid w:val="002E2869"/>
    <w:pPr>
      <w:spacing w:after="0" w:line="240" w:lineRule="auto"/>
    </w:pPr>
    <w:rPr>
      <w:rFonts w:eastAsia="MS Mincho"/>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GridTable4-Accent11">
    <w:name w:val="Grid Table 4 - Accent 11"/>
    <w:basedOn w:val="TableNormal"/>
    <w:uiPriority w:val="49"/>
    <w:rsid w:val="002E286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TOCHeading">
    <w:name w:val="TOC Heading"/>
    <w:basedOn w:val="Heading1"/>
    <w:next w:val="Normal"/>
    <w:uiPriority w:val="39"/>
    <w:unhideWhenUsed/>
    <w:qFormat/>
    <w:rsid w:val="002E2869"/>
    <w:pPr>
      <w:outlineLvl w:val="9"/>
    </w:pPr>
    <w:rPr>
      <w:lang w:eastAsia="sq-AL"/>
    </w:rPr>
  </w:style>
  <w:style w:type="paragraph" w:styleId="TOC1">
    <w:name w:val="toc 1"/>
    <w:basedOn w:val="Normal"/>
    <w:next w:val="Normal"/>
    <w:autoRedefine/>
    <w:uiPriority w:val="39"/>
    <w:unhideWhenUsed/>
    <w:rsid w:val="002E2869"/>
    <w:pPr>
      <w:spacing w:after="100"/>
    </w:pPr>
  </w:style>
  <w:style w:type="paragraph" w:styleId="TOC2">
    <w:name w:val="toc 2"/>
    <w:basedOn w:val="Normal"/>
    <w:next w:val="Normal"/>
    <w:autoRedefine/>
    <w:uiPriority w:val="39"/>
    <w:unhideWhenUsed/>
    <w:rsid w:val="002E2869"/>
    <w:pPr>
      <w:spacing w:after="100"/>
      <w:ind w:left="220"/>
    </w:pPr>
  </w:style>
  <w:style w:type="paragraph" w:styleId="TOC3">
    <w:name w:val="toc 3"/>
    <w:basedOn w:val="Normal"/>
    <w:next w:val="Normal"/>
    <w:autoRedefine/>
    <w:uiPriority w:val="39"/>
    <w:unhideWhenUsed/>
    <w:rsid w:val="002E2869"/>
    <w:pPr>
      <w:spacing w:after="100"/>
      <w:ind w:left="440"/>
    </w:pPr>
  </w:style>
  <w:style w:type="character" w:styleId="Hyperlink">
    <w:name w:val="Hyperlink"/>
    <w:basedOn w:val="DefaultParagraphFont"/>
    <w:uiPriority w:val="99"/>
    <w:unhideWhenUsed/>
    <w:rsid w:val="002E2869"/>
    <w:rPr>
      <w:color w:val="0563C1" w:themeColor="hyperlink"/>
      <w:u w:val="single"/>
    </w:rPr>
  </w:style>
  <w:style w:type="paragraph" w:styleId="TableofFigures">
    <w:name w:val="table of figures"/>
    <w:basedOn w:val="Normal"/>
    <w:next w:val="Normal"/>
    <w:uiPriority w:val="99"/>
    <w:unhideWhenUsed/>
    <w:rsid w:val="002E2869"/>
    <w:pPr>
      <w:spacing w:after="0"/>
    </w:pPr>
  </w:style>
  <w:style w:type="table" w:customStyle="1" w:styleId="PlainTable31">
    <w:name w:val="Plain Table 31"/>
    <w:basedOn w:val="TableNormal"/>
    <w:uiPriority w:val="43"/>
    <w:rsid w:val="002E2869"/>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TableGridLight1">
    <w:name w:val="Table Grid Light1"/>
    <w:basedOn w:val="TableNormal"/>
    <w:uiPriority w:val="40"/>
    <w:rsid w:val="002E286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GridTable2-Accent11">
    <w:name w:val="Grid Table 2 - Accent 11"/>
    <w:basedOn w:val="TableNormal"/>
    <w:uiPriority w:val="47"/>
    <w:rsid w:val="002E2869"/>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5Dark-Accent11">
    <w:name w:val="Grid Table 5 Dark - Accent 11"/>
    <w:basedOn w:val="TableNormal"/>
    <w:uiPriority w:val="50"/>
    <w:rsid w:val="002E286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GridTable3-Accent11">
    <w:name w:val="Grid Table 3 - Accent 11"/>
    <w:basedOn w:val="TableNormal"/>
    <w:uiPriority w:val="48"/>
    <w:rsid w:val="002E286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LightList2">
    <w:name w:val="Light List2"/>
    <w:basedOn w:val="TableNormal"/>
    <w:uiPriority w:val="61"/>
    <w:rsid w:val="002E2869"/>
    <w:pPr>
      <w:spacing w:after="0" w:line="240" w:lineRule="auto"/>
    </w:pPr>
    <w:rPr>
      <w:rFonts w:eastAsia="MS Mincho"/>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GridTable5Dark-Accent51">
    <w:name w:val="Grid Table 5 Dark - Accent 51"/>
    <w:basedOn w:val="TableNormal"/>
    <w:uiPriority w:val="50"/>
    <w:rsid w:val="002E286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paragraph" w:styleId="NormalWeb">
    <w:name w:val="Normal (Web)"/>
    <w:basedOn w:val="Normal"/>
    <w:uiPriority w:val="99"/>
    <w:unhideWhenUsed/>
    <w:qFormat/>
    <w:rsid w:val="002E2869"/>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2E28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E2869"/>
    <w:rPr>
      <w:rFonts w:ascii="Tahoma" w:hAnsi="Tahoma" w:cs="Tahoma"/>
      <w:sz w:val="16"/>
      <w:szCs w:val="16"/>
      <w:lang w:val="en"/>
    </w:rPr>
  </w:style>
  <w:style w:type="character" w:customStyle="1" w:styleId="rynqvb">
    <w:name w:val="rynqvb"/>
    <w:basedOn w:val="DefaultParagraphFont"/>
    <w:rsid w:val="002E2869"/>
  </w:style>
  <w:style w:type="table" w:styleId="GridTable5Dark-Accent1">
    <w:name w:val="Grid Table 5 Dark Accent 1"/>
    <w:basedOn w:val="TableNormal"/>
    <w:uiPriority w:val="50"/>
    <w:rsid w:val="002E286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paragraph" w:styleId="TOC4">
    <w:name w:val="toc 4"/>
    <w:basedOn w:val="Normal"/>
    <w:next w:val="Normal"/>
    <w:autoRedefine/>
    <w:uiPriority w:val="39"/>
    <w:unhideWhenUsed/>
    <w:rsid w:val="002E2869"/>
    <w:pPr>
      <w:spacing w:after="100"/>
      <w:ind w:left="660"/>
    </w:pPr>
    <w:rPr>
      <w:rFonts w:eastAsiaTheme="minorEastAsia"/>
      <w:lang w:eastAsia="sq-AL"/>
    </w:rPr>
  </w:style>
  <w:style w:type="paragraph" w:styleId="TOC5">
    <w:name w:val="toc 5"/>
    <w:basedOn w:val="Normal"/>
    <w:next w:val="Normal"/>
    <w:autoRedefine/>
    <w:uiPriority w:val="39"/>
    <w:unhideWhenUsed/>
    <w:rsid w:val="002E2869"/>
    <w:pPr>
      <w:spacing w:after="100"/>
      <w:ind w:left="880"/>
    </w:pPr>
    <w:rPr>
      <w:rFonts w:eastAsiaTheme="minorEastAsia"/>
      <w:lang w:eastAsia="sq-AL"/>
    </w:rPr>
  </w:style>
  <w:style w:type="paragraph" w:styleId="TOC6">
    <w:name w:val="toc 6"/>
    <w:basedOn w:val="Normal"/>
    <w:next w:val="Normal"/>
    <w:autoRedefine/>
    <w:uiPriority w:val="39"/>
    <w:unhideWhenUsed/>
    <w:rsid w:val="002E2869"/>
    <w:pPr>
      <w:spacing w:after="100"/>
      <w:ind w:left="1100"/>
    </w:pPr>
    <w:rPr>
      <w:rFonts w:eastAsiaTheme="minorEastAsia"/>
      <w:lang w:eastAsia="sq-AL"/>
    </w:rPr>
  </w:style>
  <w:style w:type="paragraph" w:styleId="TOC7">
    <w:name w:val="toc 7"/>
    <w:basedOn w:val="Normal"/>
    <w:next w:val="Normal"/>
    <w:autoRedefine/>
    <w:uiPriority w:val="39"/>
    <w:unhideWhenUsed/>
    <w:rsid w:val="002E2869"/>
    <w:pPr>
      <w:spacing w:after="100"/>
      <w:ind w:left="1320"/>
    </w:pPr>
    <w:rPr>
      <w:rFonts w:eastAsiaTheme="minorEastAsia"/>
      <w:lang w:eastAsia="sq-AL"/>
    </w:rPr>
  </w:style>
  <w:style w:type="paragraph" w:styleId="TOC8">
    <w:name w:val="toc 8"/>
    <w:basedOn w:val="Normal"/>
    <w:next w:val="Normal"/>
    <w:autoRedefine/>
    <w:uiPriority w:val="39"/>
    <w:unhideWhenUsed/>
    <w:rsid w:val="002E2869"/>
    <w:pPr>
      <w:spacing w:after="100"/>
      <w:ind w:left="1540"/>
    </w:pPr>
    <w:rPr>
      <w:rFonts w:eastAsiaTheme="minorEastAsia"/>
      <w:lang w:eastAsia="sq-AL"/>
    </w:rPr>
  </w:style>
  <w:style w:type="paragraph" w:styleId="TOC9">
    <w:name w:val="toc 9"/>
    <w:basedOn w:val="Normal"/>
    <w:next w:val="Normal"/>
    <w:autoRedefine/>
    <w:uiPriority w:val="39"/>
    <w:unhideWhenUsed/>
    <w:rsid w:val="002E2869"/>
    <w:pPr>
      <w:spacing w:after="100"/>
      <w:ind w:left="1760"/>
    </w:pPr>
    <w:rPr>
      <w:rFonts w:eastAsiaTheme="minorEastAsia"/>
      <w:lang w:eastAsia="sq-AL"/>
    </w:rPr>
  </w:style>
  <w:style w:type="character" w:customStyle="1" w:styleId="UnresolvedMention1">
    <w:name w:val="Unresolved Mention1"/>
    <w:basedOn w:val="DefaultParagraphFont"/>
    <w:uiPriority w:val="99"/>
    <w:semiHidden/>
    <w:unhideWhenUsed/>
    <w:rsid w:val="002E2869"/>
    <w:rPr>
      <w:color w:val="605E5C"/>
      <w:shd w:val="clear" w:color="auto" w:fill="E1DFDD"/>
    </w:rPr>
  </w:style>
  <w:style w:type="table" w:styleId="GridTable4-Accent1">
    <w:name w:val="Grid Table 4 Accent 1"/>
    <w:basedOn w:val="TableNormal"/>
    <w:uiPriority w:val="49"/>
    <w:rsid w:val="002E286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FootnoteText">
    <w:name w:val="footnote text"/>
    <w:basedOn w:val="Normal"/>
    <w:link w:val="FootnoteTextChar"/>
    <w:semiHidden/>
    <w:rsid w:val="002E2869"/>
    <w:pPr>
      <w:spacing w:after="0" w:line="240" w:lineRule="auto"/>
    </w:pPr>
    <w:rPr>
      <w:rFonts w:ascii="Calibri" w:eastAsia="MS Mincho" w:hAnsi="Calibri" w:cs="Times New Roman"/>
      <w:sz w:val="20"/>
      <w:szCs w:val="20"/>
    </w:rPr>
  </w:style>
  <w:style w:type="character" w:customStyle="1" w:styleId="FootnoteTextChar">
    <w:name w:val="Footnote Text Char"/>
    <w:basedOn w:val="DefaultParagraphFont"/>
    <w:link w:val="FootnoteText"/>
    <w:semiHidden/>
    <w:rsid w:val="002E2869"/>
    <w:rPr>
      <w:rFonts w:ascii="Calibri" w:eastAsia="MS Mincho" w:hAnsi="Calibri" w:cs="Times New Roman"/>
      <w:sz w:val="20"/>
      <w:szCs w:val="20"/>
      <w:lang w:val="en"/>
    </w:rPr>
  </w:style>
  <w:style w:type="character" w:styleId="FootnoteReference">
    <w:name w:val="footnote reference"/>
    <w:uiPriority w:val="99"/>
    <w:semiHidden/>
    <w:rsid w:val="002E2869"/>
    <w:rPr>
      <w:rFonts w:cs="Times New Roman"/>
      <w:vertAlign w:val="superscript"/>
    </w:rPr>
  </w:style>
  <w:style w:type="table" w:styleId="TableGridLight">
    <w:name w:val="Grid Table Light"/>
    <w:basedOn w:val="TableNormal"/>
    <w:uiPriority w:val="40"/>
    <w:rsid w:val="00710B8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4-Accent3">
    <w:name w:val="Grid Table 4 Accent 3"/>
    <w:basedOn w:val="TableNormal"/>
    <w:uiPriority w:val="49"/>
    <w:rsid w:val="00B4460C"/>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styleId="Emphasis">
    <w:name w:val="Emphasis"/>
    <w:basedOn w:val="DefaultParagraphFont"/>
    <w:uiPriority w:val="20"/>
    <w:qFormat/>
    <w:rsid w:val="00D76568"/>
    <w:rPr>
      <w:i/>
      <w:iCs/>
    </w:rPr>
  </w:style>
  <w:style w:type="table" w:styleId="ListTable6Colorful">
    <w:name w:val="List Table 6 Colorful"/>
    <w:basedOn w:val="TableNormal"/>
    <w:uiPriority w:val="51"/>
    <w:rsid w:val="00233453"/>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CommentReference">
    <w:name w:val="annotation reference"/>
    <w:basedOn w:val="DefaultParagraphFont"/>
    <w:uiPriority w:val="99"/>
    <w:semiHidden/>
    <w:unhideWhenUsed/>
    <w:rsid w:val="00AB468C"/>
    <w:rPr>
      <w:sz w:val="16"/>
      <w:szCs w:val="16"/>
    </w:rPr>
  </w:style>
  <w:style w:type="paragraph" w:styleId="CommentText">
    <w:name w:val="annotation text"/>
    <w:basedOn w:val="Normal"/>
    <w:link w:val="CommentTextChar"/>
    <w:uiPriority w:val="99"/>
    <w:semiHidden/>
    <w:unhideWhenUsed/>
    <w:rsid w:val="00AB468C"/>
    <w:pPr>
      <w:spacing w:line="240" w:lineRule="auto"/>
    </w:pPr>
    <w:rPr>
      <w:sz w:val="20"/>
      <w:szCs w:val="20"/>
    </w:rPr>
  </w:style>
  <w:style w:type="character" w:customStyle="1" w:styleId="CommentTextChar">
    <w:name w:val="Comment Text Char"/>
    <w:basedOn w:val="DefaultParagraphFont"/>
    <w:link w:val="CommentText"/>
    <w:uiPriority w:val="99"/>
    <w:semiHidden/>
    <w:rsid w:val="00AB468C"/>
    <w:rPr>
      <w:sz w:val="20"/>
      <w:szCs w:val="20"/>
    </w:rPr>
  </w:style>
  <w:style w:type="character" w:customStyle="1" w:styleId="NoSpacingChar">
    <w:name w:val="No Spacing Char"/>
    <w:link w:val="NoSpacing"/>
    <w:uiPriority w:val="1"/>
    <w:rsid w:val="00A7662C"/>
    <w:rPr>
      <w:rFonts w:eastAsia="MS Minch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9224334">
      <w:bodyDiv w:val="1"/>
      <w:marLeft w:val="0"/>
      <w:marRight w:val="0"/>
      <w:marTop w:val="0"/>
      <w:marBottom w:val="0"/>
      <w:divBdr>
        <w:top w:val="none" w:sz="0" w:space="0" w:color="auto"/>
        <w:left w:val="none" w:sz="0" w:space="0" w:color="auto"/>
        <w:bottom w:val="none" w:sz="0" w:space="0" w:color="auto"/>
        <w:right w:val="none" w:sz="0" w:space="0" w:color="auto"/>
      </w:divBdr>
      <w:divsChild>
        <w:div w:id="331421650">
          <w:marLeft w:val="0"/>
          <w:marRight w:val="0"/>
          <w:marTop w:val="0"/>
          <w:marBottom w:val="0"/>
          <w:divBdr>
            <w:top w:val="none" w:sz="0" w:space="0" w:color="auto"/>
            <w:left w:val="none" w:sz="0" w:space="0" w:color="auto"/>
            <w:bottom w:val="none" w:sz="0" w:space="0" w:color="auto"/>
            <w:right w:val="none" w:sz="0" w:space="0" w:color="auto"/>
          </w:divBdr>
          <w:divsChild>
            <w:div w:id="206722862">
              <w:marLeft w:val="0"/>
              <w:marRight w:val="0"/>
              <w:marTop w:val="0"/>
              <w:marBottom w:val="0"/>
              <w:divBdr>
                <w:top w:val="none" w:sz="0" w:space="0" w:color="auto"/>
                <w:left w:val="none" w:sz="0" w:space="0" w:color="auto"/>
                <w:bottom w:val="none" w:sz="0" w:space="0" w:color="auto"/>
                <w:right w:val="none" w:sz="0" w:space="0" w:color="auto"/>
              </w:divBdr>
            </w:div>
          </w:divsChild>
        </w:div>
        <w:div w:id="676150601">
          <w:marLeft w:val="0"/>
          <w:marRight w:val="0"/>
          <w:marTop w:val="0"/>
          <w:marBottom w:val="300"/>
          <w:divBdr>
            <w:top w:val="none" w:sz="0" w:space="0" w:color="auto"/>
            <w:left w:val="none" w:sz="0" w:space="0" w:color="auto"/>
            <w:bottom w:val="none" w:sz="0" w:space="0" w:color="auto"/>
            <w:right w:val="none" w:sz="0" w:space="0" w:color="auto"/>
          </w:divBdr>
          <w:divsChild>
            <w:div w:id="460222229">
              <w:marLeft w:val="0"/>
              <w:marRight w:val="0"/>
              <w:marTop w:val="0"/>
              <w:marBottom w:val="0"/>
              <w:divBdr>
                <w:top w:val="none" w:sz="0" w:space="0" w:color="auto"/>
                <w:left w:val="none" w:sz="0" w:space="0" w:color="auto"/>
                <w:bottom w:val="none" w:sz="0" w:space="0" w:color="auto"/>
                <w:right w:val="none" w:sz="0" w:space="0" w:color="auto"/>
              </w:divBdr>
              <w:divsChild>
                <w:div w:id="193858021">
                  <w:marLeft w:val="0"/>
                  <w:marRight w:val="0"/>
                  <w:marTop w:val="0"/>
                  <w:marBottom w:val="0"/>
                  <w:divBdr>
                    <w:top w:val="none" w:sz="0" w:space="0" w:color="auto"/>
                    <w:left w:val="none" w:sz="0" w:space="0" w:color="auto"/>
                    <w:bottom w:val="none" w:sz="0" w:space="0" w:color="auto"/>
                    <w:right w:val="none" w:sz="0" w:space="0" w:color="auto"/>
                  </w:divBdr>
                  <w:divsChild>
                    <w:div w:id="1157916569">
                      <w:marLeft w:val="0"/>
                      <w:marRight w:val="0"/>
                      <w:marTop w:val="0"/>
                      <w:marBottom w:val="0"/>
                      <w:divBdr>
                        <w:top w:val="none" w:sz="0" w:space="0" w:color="auto"/>
                        <w:left w:val="none" w:sz="0" w:space="0" w:color="auto"/>
                        <w:bottom w:val="none" w:sz="0" w:space="0" w:color="auto"/>
                        <w:right w:val="none" w:sz="0" w:space="0" w:color="auto"/>
                      </w:divBdr>
                      <w:divsChild>
                        <w:div w:id="238909280">
                          <w:marLeft w:val="0"/>
                          <w:marRight w:val="0"/>
                          <w:marTop w:val="0"/>
                          <w:marBottom w:val="0"/>
                          <w:divBdr>
                            <w:top w:val="none" w:sz="0" w:space="0" w:color="auto"/>
                            <w:left w:val="none" w:sz="0" w:space="0" w:color="auto"/>
                            <w:bottom w:val="none" w:sz="0" w:space="0" w:color="auto"/>
                            <w:right w:val="none" w:sz="0" w:space="0" w:color="auto"/>
                          </w:divBdr>
                          <w:divsChild>
                            <w:div w:id="1480657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8368881">
      <w:bodyDiv w:val="1"/>
      <w:marLeft w:val="0"/>
      <w:marRight w:val="0"/>
      <w:marTop w:val="0"/>
      <w:marBottom w:val="0"/>
      <w:divBdr>
        <w:top w:val="none" w:sz="0" w:space="0" w:color="auto"/>
        <w:left w:val="none" w:sz="0" w:space="0" w:color="auto"/>
        <w:bottom w:val="none" w:sz="0" w:space="0" w:color="auto"/>
        <w:right w:val="none" w:sz="0" w:space="0" w:color="auto"/>
      </w:divBdr>
      <w:divsChild>
        <w:div w:id="1457871613">
          <w:marLeft w:val="0"/>
          <w:marRight w:val="0"/>
          <w:marTop w:val="0"/>
          <w:marBottom w:val="0"/>
          <w:divBdr>
            <w:top w:val="none" w:sz="0" w:space="0" w:color="auto"/>
            <w:left w:val="none" w:sz="0" w:space="0" w:color="auto"/>
            <w:bottom w:val="none" w:sz="0" w:space="0" w:color="auto"/>
            <w:right w:val="none" w:sz="0" w:space="0" w:color="auto"/>
          </w:divBdr>
          <w:divsChild>
            <w:div w:id="892084986">
              <w:marLeft w:val="0"/>
              <w:marRight w:val="0"/>
              <w:marTop w:val="0"/>
              <w:marBottom w:val="0"/>
              <w:divBdr>
                <w:top w:val="none" w:sz="0" w:space="0" w:color="auto"/>
                <w:left w:val="none" w:sz="0" w:space="0" w:color="auto"/>
                <w:bottom w:val="none" w:sz="0" w:space="0" w:color="auto"/>
                <w:right w:val="none" w:sz="0" w:space="0" w:color="auto"/>
              </w:divBdr>
            </w:div>
          </w:divsChild>
        </w:div>
        <w:div w:id="508833381">
          <w:marLeft w:val="0"/>
          <w:marRight w:val="0"/>
          <w:marTop w:val="0"/>
          <w:marBottom w:val="0"/>
          <w:divBdr>
            <w:top w:val="none" w:sz="0" w:space="0" w:color="auto"/>
            <w:left w:val="none" w:sz="0" w:space="0" w:color="auto"/>
            <w:bottom w:val="none" w:sz="0" w:space="0" w:color="auto"/>
            <w:right w:val="none" w:sz="0" w:space="0" w:color="auto"/>
          </w:divBdr>
          <w:divsChild>
            <w:div w:id="858934488">
              <w:marLeft w:val="0"/>
              <w:marRight w:val="0"/>
              <w:marTop w:val="0"/>
              <w:marBottom w:val="300"/>
              <w:divBdr>
                <w:top w:val="none" w:sz="0" w:space="0" w:color="auto"/>
                <w:left w:val="none" w:sz="0" w:space="0" w:color="auto"/>
                <w:bottom w:val="none" w:sz="0" w:space="0" w:color="auto"/>
                <w:right w:val="none" w:sz="0" w:space="0" w:color="auto"/>
              </w:divBdr>
              <w:divsChild>
                <w:div w:id="1481576500">
                  <w:marLeft w:val="0"/>
                  <w:marRight w:val="0"/>
                  <w:marTop w:val="0"/>
                  <w:marBottom w:val="0"/>
                  <w:divBdr>
                    <w:top w:val="none" w:sz="0" w:space="0" w:color="auto"/>
                    <w:left w:val="none" w:sz="0" w:space="0" w:color="auto"/>
                    <w:bottom w:val="none" w:sz="0" w:space="0" w:color="auto"/>
                    <w:right w:val="none" w:sz="0" w:space="0" w:color="auto"/>
                  </w:divBdr>
                  <w:divsChild>
                    <w:div w:id="2110732751">
                      <w:marLeft w:val="0"/>
                      <w:marRight w:val="0"/>
                      <w:marTop w:val="0"/>
                      <w:marBottom w:val="0"/>
                      <w:divBdr>
                        <w:top w:val="none" w:sz="0" w:space="0" w:color="auto"/>
                        <w:left w:val="none" w:sz="0" w:space="0" w:color="auto"/>
                        <w:bottom w:val="none" w:sz="0" w:space="0" w:color="auto"/>
                        <w:right w:val="none" w:sz="0" w:space="0" w:color="auto"/>
                      </w:divBdr>
                      <w:divsChild>
                        <w:div w:id="1401443998">
                          <w:marLeft w:val="0"/>
                          <w:marRight w:val="0"/>
                          <w:marTop w:val="0"/>
                          <w:marBottom w:val="0"/>
                          <w:divBdr>
                            <w:top w:val="none" w:sz="0" w:space="0" w:color="auto"/>
                            <w:left w:val="none" w:sz="0" w:space="0" w:color="auto"/>
                            <w:bottom w:val="none" w:sz="0" w:space="0" w:color="auto"/>
                            <w:right w:val="none" w:sz="0" w:space="0" w:color="auto"/>
                          </w:divBdr>
                          <w:divsChild>
                            <w:div w:id="669724374">
                              <w:marLeft w:val="0"/>
                              <w:marRight w:val="0"/>
                              <w:marTop w:val="0"/>
                              <w:marBottom w:val="0"/>
                              <w:divBdr>
                                <w:top w:val="none" w:sz="0" w:space="0" w:color="auto"/>
                                <w:left w:val="none" w:sz="0" w:space="0" w:color="auto"/>
                                <w:bottom w:val="none" w:sz="0" w:space="0" w:color="auto"/>
                                <w:right w:val="none" w:sz="0" w:space="0" w:color="auto"/>
                              </w:divBdr>
                              <w:divsChild>
                                <w:div w:id="1333609842">
                                  <w:marLeft w:val="0"/>
                                  <w:marRight w:val="0"/>
                                  <w:marTop w:val="0"/>
                                  <w:marBottom w:val="0"/>
                                  <w:divBdr>
                                    <w:top w:val="none" w:sz="0" w:space="0" w:color="auto"/>
                                    <w:left w:val="none" w:sz="0" w:space="0" w:color="auto"/>
                                    <w:bottom w:val="none" w:sz="0" w:space="0" w:color="auto"/>
                                    <w:right w:val="none" w:sz="0" w:space="0" w:color="auto"/>
                                  </w:divBdr>
                                </w:div>
                                <w:div w:id="946739855">
                                  <w:marLeft w:val="0"/>
                                  <w:marRight w:val="0"/>
                                  <w:marTop w:val="0"/>
                                  <w:marBottom w:val="0"/>
                                  <w:divBdr>
                                    <w:top w:val="none" w:sz="0" w:space="0" w:color="auto"/>
                                    <w:left w:val="none" w:sz="0" w:space="0" w:color="auto"/>
                                    <w:bottom w:val="none" w:sz="0" w:space="0" w:color="auto"/>
                                    <w:right w:val="none" w:sz="0" w:space="0" w:color="auto"/>
                                  </w:divBdr>
                                </w:div>
                                <w:div w:id="2067293770">
                                  <w:marLeft w:val="0"/>
                                  <w:marRight w:val="0"/>
                                  <w:marTop w:val="0"/>
                                  <w:marBottom w:val="0"/>
                                  <w:divBdr>
                                    <w:top w:val="none" w:sz="0" w:space="0" w:color="auto"/>
                                    <w:left w:val="none" w:sz="0" w:space="0" w:color="auto"/>
                                    <w:bottom w:val="none" w:sz="0" w:space="0" w:color="auto"/>
                                    <w:right w:val="none" w:sz="0" w:space="0" w:color="auto"/>
                                  </w:divBdr>
                                </w:div>
                                <w:div w:id="1276862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E07DC9-CC01-4355-BDD8-38F1429022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10</Pages>
  <Words>5191</Words>
  <Characters>29590</Characters>
  <Application>Microsoft Office Word</Application>
  <DocSecurity>0</DocSecurity>
  <Lines>246</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c:creator>
  <cp:lastModifiedBy>Martin Kiselicki</cp:lastModifiedBy>
  <cp:revision>5</cp:revision>
  <cp:lastPrinted>2023-01-09T01:36:00Z</cp:lastPrinted>
  <dcterms:created xsi:type="dcterms:W3CDTF">2026-04-13T05:09:00Z</dcterms:created>
  <dcterms:modified xsi:type="dcterms:W3CDTF">2026-04-13T05:54:00Z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a54d92f36d79fb58f7796c5293d7da98f480abc1308b168d38d38af39752e279</vt:lpwstr>
  </property>
</Properties>
</file>