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D82" w:rsidRPr="001F2AA1" w:rsidRDefault="009855F0" w:rsidP="000A4D82">
      <w:pPr>
        <w:rPr>
          <w:rFonts w:ascii="Times New Roman" w:hAnsi="Times New Roman" w:cs="Times New Roman"/>
          <w:sz w:val="24"/>
          <w:szCs w:val="24"/>
          <w:lang w:val="mk-MK"/>
        </w:rPr>
      </w:pPr>
      <w:bookmarkStart w:id="0" w:name="_Toc359941028"/>
      <w:r>
        <w:rPr>
          <w:rFonts w:ascii="Times New Roman" w:hAnsi="Times New Roman" w:cs="Times New Roman"/>
          <w:sz w:val="24"/>
          <w:szCs w:val="24"/>
        </w:rPr>
        <w:t>Д</w:t>
      </w:r>
      <w:bookmarkStart w:id="1" w:name="_GoBack"/>
      <w:bookmarkEnd w:id="1"/>
      <w:r w:rsidR="001F2AA1" w:rsidRPr="001F2AA1">
        <w:rPr>
          <w:rFonts w:ascii="Times New Roman" w:hAnsi="Times New Roman" w:cs="Times New Roman"/>
          <w:sz w:val="24"/>
          <w:szCs w:val="24"/>
        </w:rPr>
        <w:t>-р Јелена Трајковска-Христовска</w:t>
      </w:r>
      <w:r w:rsidR="000A4D82" w:rsidRPr="001F2AA1">
        <w:rPr>
          <w:rFonts w:ascii="Times New Roman" w:hAnsi="Times New Roman" w:cs="Times New Roman"/>
          <w:sz w:val="24"/>
          <w:szCs w:val="24"/>
        </w:rPr>
        <w:tab/>
      </w:r>
      <w:bookmarkEnd w:id="0"/>
    </w:p>
    <w:p w:rsidR="00F06619" w:rsidRPr="001F2AA1" w:rsidRDefault="00F06619" w:rsidP="000A4D82">
      <w:pPr>
        <w:rPr>
          <w:rFonts w:ascii="Times New Roman" w:hAnsi="Times New Roman" w:cs="Times New Roman"/>
          <w:b/>
          <w:i/>
          <w:sz w:val="24"/>
          <w:szCs w:val="24"/>
        </w:rPr>
      </w:pPr>
    </w:p>
    <w:p w:rsidR="000A4D82" w:rsidRPr="001F2AA1" w:rsidRDefault="000A4D82" w:rsidP="000A4D82">
      <w:pPr>
        <w:pStyle w:val="Heading2"/>
        <w:rPr>
          <w:i/>
        </w:rPr>
      </w:pPr>
      <w:r w:rsidRPr="001F2AA1">
        <w:rPr>
          <w:i/>
        </w:rPr>
        <w:t>СИСТЕМОТ НА КОНТРОЛА НА УСТАВНОСТА НА ПРАВНИТЕ АКТИ ВО РЕПУБЛИКА ИТАЛИЈА</w:t>
      </w:r>
    </w:p>
    <w:p w:rsidR="00192778" w:rsidRPr="001F2AA1" w:rsidRDefault="00192778" w:rsidP="00A818C0">
      <w:pPr>
        <w:rPr>
          <w:rFonts w:ascii="Times New Roman" w:hAnsi="Times New Roman" w:cs="Times New Roman"/>
          <w:i/>
          <w:sz w:val="24"/>
          <w:szCs w:val="24"/>
        </w:rPr>
      </w:pPr>
    </w:p>
    <w:p w:rsidR="00A818C0" w:rsidRPr="001F2AA1" w:rsidRDefault="00A818C0" w:rsidP="00A818C0">
      <w:pPr>
        <w:ind w:firstLine="720"/>
        <w:rPr>
          <w:rFonts w:ascii="Times New Roman" w:hAnsi="Times New Roman" w:cs="Times New Roman"/>
          <w:i/>
          <w:sz w:val="24"/>
          <w:szCs w:val="24"/>
        </w:rPr>
      </w:pPr>
      <w:r w:rsidRPr="001F2AA1">
        <w:rPr>
          <w:rFonts w:ascii="Times New Roman" w:hAnsi="Times New Roman" w:cs="Times New Roman"/>
          <w:i/>
          <w:sz w:val="24"/>
          <w:szCs w:val="24"/>
        </w:rPr>
        <w:t>Вовед</w:t>
      </w:r>
    </w:p>
    <w:p w:rsidR="002C565B" w:rsidRPr="001F2AA1" w:rsidRDefault="002C565B" w:rsidP="002C565B">
      <w:pPr>
        <w:spacing w:line="360" w:lineRule="auto"/>
        <w:jc w:val="both"/>
        <w:rPr>
          <w:rFonts w:ascii="Times New Roman" w:hAnsi="Times New Roman" w:cs="Times New Roman"/>
          <w:sz w:val="24"/>
          <w:szCs w:val="24"/>
        </w:rPr>
      </w:pP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Системот на уставно судска контрола на уставноста и законитоста во Италија се воспоставува по Втората Светска Војна со донесување на Уставот на Република Италија од 1947 година. До донесувањето на новиот Устав, за Италија системот на контрола на уставноста од страна на специјален суд со ексклузивна надлежност да го заштитува принципот на уставност и законитост, ќе остане непознат.     Основниот мотив од кој се водел италијанскиот уствотворец при креирање на одредбите за Уставниот суд била неопходноста од заштита на уставниот поредок од повредите на кои дотогаш бил изложен. Лово потенцира дека ,, смелоста која во 1947 година ќе го стави уставното судство на хартија, првенствено се должи на п</w:t>
      </w:r>
      <w:r w:rsidR="00442C45" w:rsidRPr="001F2AA1">
        <w:rPr>
          <w:rFonts w:ascii="Times New Roman" w:hAnsi="Times New Roman" w:cs="Times New Roman"/>
          <w:sz w:val="24"/>
          <w:szCs w:val="24"/>
        </w:rPr>
        <w:t>ретпазливоста на уставотворецот</w:t>
      </w:r>
      <w:r w:rsidRPr="001F2AA1">
        <w:rPr>
          <w:rFonts w:ascii="Times New Roman" w:hAnsi="Times New Roman" w:cs="Times New Roman"/>
          <w:sz w:val="24"/>
          <w:szCs w:val="24"/>
        </w:rPr>
        <w:t>, како што впрочем и називот на уставната глава VI, каде е разработен Уставниот суд гласи ,,уставни гаранции’’</w:t>
      </w:r>
      <w:r w:rsidRPr="001F2AA1">
        <w:rPr>
          <w:rStyle w:val="FootnoteReference"/>
          <w:rFonts w:ascii="Times New Roman" w:hAnsi="Times New Roman" w:cs="Times New Roman"/>
          <w:sz w:val="24"/>
          <w:szCs w:val="24"/>
        </w:rPr>
        <w:footnoteReference w:id="1"/>
      </w:r>
      <w:r w:rsidRPr="001F2AA1">
        <w:rPr>
          <w:rFonts w:ascii="Times New Roman" w:hAnsi="Times New Roman" w:cs="Times New Roman"/>
          <w:sz w:val="24"/>
          <w:szCs w:val="24"/>
        </w:rPr>
        <w:t>.Кон споменатото треба да се потенцира дека конституирањето на Уставниот суд е последица на потребата и за зачувување на системот на државно уредување, што може да се констатира од структурата на Уставот во која одделот кој ја регулира материја</w:t>
      </w:r>
      <w:r w:rsidR="00442C45" w:rsidRPr="001F2AA1">
        <w:rPr>
          <w:rFonts w:ascii="Times New Roman" w:hAnsi="Times New Roman" w:cs="Times New Roman"/>
          <w:sz w:val="24"/>
          <w:szCs w:val="24"/>
        </w:rPr>
        <w:t>та</w:t>
      </w:r>
      <w:r w:rsidRPr="001F2AA1">
        <w:rPr>
          <w:rFonts w:ascii="Times New Roman" w:hAnsi="Times New Roman" w:cs="Times New Roman"/>
          <w:sz w:val="24"/>
          <w:szCs w:val="24"/>
        </w:rPr>
        <w:t xml:space="preserve"> за положбата на регионите непосредно претходи на одредбите за Уставниот суд, т.е уставните гаранции. Конечно, италијанските автори сублимираат три основни причини за конституирање на централизирана уставно судска контрола на уставноста и законитоста во Италија: 1) потреба да сезачува ,, цврстината” на уставот и истиот да се зачува од повреди сторени со усвојување на законите од парламентот, 2) заштитата на правата на граѓаните да се довери на независни судии и 3) потреба за идентификација на </w:t>
      </w:r>
      <w:r w:rsidRPr="001F2AA1">
        <w:rPr>
          <w:rFonts w:ascii="Times New Roman" w:hAnsi="Times New Roman" w:cs="Times New Roman"/>
          <w:sz w:val="24"/>
          <w:szCs w:val="24"/>
        </w:rPr>
        <w:lastRenderedPageBreak/>
        <w:t>орган со надлежност да ги разрешува контроверзиите помеѓу државните органни и органите на регионите</w:t>
      </w:r>
      <w:r w:rsidRPr="001F2AA1">
        <w:rPr>
          <w:rStyle w:val="FootnoteReference"/>
          <w:rFonts w:ascii="Times New Roman" w:hAnsi="Times New Roman" w:cs="Times New Roman"/>
          <w:sz w:val="24"/>
          <w:szCs w:val="24"/>
        </w:rPr>
        <w:footnoteReference w:id="2"/>
      </w:r>
      <w:r w:rsidRPr="001F2AA1">
        <w:rPr>
          <w:rFonts w:ascii="Times New Roman" w:hAnsi="Times New Roman" w:cs="Times New Roman"/>
          <w:sz w:val="24"/>
          <w:szCs w:val="24"/>
        </w:rPr>
        <w:t xml:space="preserve">.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Уставниот суд на РепубликаИталија е </w:t>
      </w:r>
      <w:r w:rsidRPr="001F2AA1">
        <w:rPr>
          <w:rFonts w:ascii="Times New Roman" w:hAnsi="Times New Roman" w:cs="Times New Roman"/>
          <w:i/>
          <w:sz w:val="24"/>
          <w:szCs w:val="24"/>
        </w:rPr>
        <w:t>materiaconstitutionis</w:t>
      </w:r>
      <w:r w:rsidRPr="001F2AA1">
        <w:rPr>
          <w:rFonts w:ascii="Times New Roman" w:hAnsi="Times New Roman" w:cs="Times New Roman"/>
          <w:sz w:val="24"/>
          <w:szCs w:val="24"/>
        </w:rPr>
        <w:t>и</w:t>
      </w:r>
      <w:r w:rsidRPr="001F2AA1">
        <w:rPr>
          <w:rFonts w:ascii="Times New Roman" w:hAnsi="Times New Roman" w:cs="Times New Roman"/>
          <w:i/>
          <w:sz w:val="24"/>
          <w:szCs w:val="24"/>
        </w:rPr>
        <w:t>materiа legis</w:t>
      </w:r>
      <w:r w:rsidRPr="001F2AA1">
        <w:rPr>
          <w:rFonts w:ascii="Times New Roman" w:hAnsi="Times New Roman" w:cs="Times New Roman"/>
          <w:sz w:val="24"/>
          <w:szCs w:val="24"/>
        </w:rPr>
        <w:t xml:space="preserve">. Така Уставот од 1947 година низ одредбите од членовите 127, и 134-137 го регулира Уставниот суд првично како орган со задача да ги разрешува прашањата  кои се однесуваат на  уставнoста и законитоста. Покрај со уставните одредби,  организацијата и постапката пред Уставниот суд се регулирани со Уставниот закон од 1948 година, Уставниот закон од 1953 година, Законот за состав и работа на Уставниот суд од 1953 година и Општиот деловник за работа на судот од 1958 година.  Иако,  уставниот закон за Уставен суд од 1953 година ја уредува постапката за избор на судите, потребни биле речиси 2 години за да се конститутира првиот Уставен суд во 1955 година. Причината за ова e изборот на 5 судии  на заедничка седница од страна на двата законодавни дома  со мнозинство од 3/5 од вкупниот број членови на парламентот. Така уставната историја потенцира дека првиот Уставен суд отпочнал со работа дури 8 години по стапувањето на Уставот во сила.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Денес судската контрола на уставноста во Италија е концентирана во еден уставен суд кој ја врши оваа функција за целата земја. Тоа е специјален суд кој не е дел од системот на редовното судство и спрема кого останатите судови не се во хиерархиски однос. Уставниот суд на Италија еусмерен на неговата функција која ,, е базирана на теоријата на контрола на уставноста, како гаранција на принципот на уставност, осносно како орган на кого  му е доверена заштитата на уставноста и законитоста”</w:t>
      </w:r>
      <w:r w:rsidRPr="001F2AA1">
        <w:rPr>
          <w:rStyle w:val="FootnoteReference"/>
          <w:rFonts w:ascii="Times New Roman" w:hAnsi="Times New Roman" w:cs="Times New Roman"/>
          <w:sz w:val="24"/>
          <w:szCs w:val="24"/>
        </w:rPr>
        <w:footnoteReference w:id="3"/>
      </w:r>
      <w:r w:rsidRPr="001F2AA1">
        <w:rPr>
          <w:rFonts w:ascii="Times New Roman" w:hAnsi="Times New Roman" w:cs="Times New Roman"/>
          <w:sz w:val="24"/>
          <w:szCs w:val="24"/>
        </w:rPr>
        <w:t xml:space="preserve">. </w:t>
      </w:r>
    </w:p>
    <w:p w:rsidR="002C565B" w:rsidRDefault="002C565B" w:rsidP="002C565B">
      <w:pPr>
        <w:spacing w:line="360" w:lineRule="auto"/>
        <w:ind w:firstLine="720"/>
        <w:jc w:val="both"/>
        <w:rPr>
          <w:rFonts w:ascii="Times New Roman" w:hAnsi="Times New Roman" w:cs="Times New Roman"/>
          <w:sz w:val="24"/>
          <w:szCs w:val="24"/>
        </w:rPr>
      </w:pPr>
    </w:p>
    <w:p w:rsidR="001F2AA1" w:rsidRDefault="001F2AA1" w:rsidP="002C565B">
      <w:pPr>
        <w:spacing w:line="360" w:lineRule="auto"/>
        <w:ind w:firstLine="720"/>
        <w:jc w:val="both"/>
        <w:rPr>
          <w:rFonts w:ascii="Times New Roman" w:hAnsi="Times New Roman" w:cs="Times New Roman"/>
          <w:sz w:val="24"/>
          <w:szCs w:val="24"/>
        </w:rPr>
      </w:pPr>
    </w:p>
    <w:p w:rsidR="001F2AA1" w:rsidRPr="001F2AA1" w:rsidRDefault="001F2AA1" w:rsidP="002C565B">
      <w:pPr>
        <w:spacing w:line="360" w:lineRule="auto"/>
        <w:ind w:firstLine="720"/>
        <w:jc w:val="both"/>
        <w:rPr>
          <w:rFonts w:ascii="Times New Roman" w:hAnsi="Times New Roman" w:cs="Times New Roman"/>
          <w:sz w:val="24"/>
          <w:szCs w:val="24"/>
        </w:rPr>
      </w:pPr>
    </w:p>
    <w:p w:rsidR="00A818C0" w:rsidRPr="001F2AA1" w:rsidRDefault="00A818C0" w:rsidP="002C565B">
      <w:pPr>
        <w:spacing w:line="360" w:lineRule="auto"/>
        <w:ind w:firstLine="720"/>
        <w:jc w:val="both"/>
        <w:rPr>
          <w:rFonts w:ascii="Times New Roman" w:hAnsi="Times New Roman" w:cs="Times New Roman"/>
          <w:sz w:val="24"/>
          <w:szCs w:val="24"/>
        </w:rPr>
      </w:pPr>
    </w:p>
    <w:p w:rsidR="002C565B" w:rsidRPr="001F2AA1" w:rsidRDefault="002C565B" w:rsidP="001F2AA1">
      <w:pPr>
        <w:pStyle w:val="Heading3"/>
        <w:ind w:left="720"/>
        <w:rPr>
          <w:rFonts w:ascii="Times New Roman" w:hAnsi="Times New Roman" w:cs="Times New Roman"/>
          <w:b w:val="0"/>
          <w:i/>
          <w:color w:val="auto"/>
          <w:sz w:val="24"/>
          <w:szCs w:val="24"/>
        </w:rPr>
      </w:pPr>
      <w:bookmarkStart w:id="2" w:name="_Toc359941031"/>
      <w:r w:rsidRPr="001F2AA1">
        <w:rPr>
          <w:rFonts w:ascii="Times New Roman" w:hAnsi="Times New Roman" w:cs="Times New Roman"/>
          <w:b w:val="0"/>
          <w:i/>
          <w:color w:val="auto"/>
          <w:sz w:val="24"/>
          <w:szCs w:val="24"/>
        </w:rPr>
        <w:lastRenderedPageBreak/>
        <w:t>Контрола на уставноста на нормативните акти</w:t>
      </w:r>
      <w:bookmarkEnd w:id="2"/>
    </w:p>
    <w:p w:rsidR="002C565B" w:rsidRPr="001F2AA1" w:rsidRDefault="002C565B" w:rsidP="002C565B">
      <w:pPr>
        <w:spacing w:line="360" w:lineRule="auto"/>
        <w:ind w:firstLine="720"/>
        <w:jc w:val="both"/>
        <w:rPr>
          <w:rFonts w:ascii="Times New Roman" w:hAnsi="Times New Roman" w:cs="Times New Roman"/>
          <w:i/>
          <w:sz w:val="24"/>
          <w:szCs w:val="24"/>
        </w:rPr>
      </w:pP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Контролата на уставноста на законите во Италија е концентрирана во Уставниот суд кој оваа функција ја врши за територијата на целата земја. Така,  основна карактеристика на уставното судство во Италија е функционирање на еден единствен суд кој е надлежен да одлучува во уставни спорови во сојузот и  регионите.</w:t>
      </w:r>
    </w:p>
    <w:p w:rsidR="002C565B" w:rsidRPr="001F2AA1" w:rsidRDefault="002C565B" w:rsidP="002C565B">
      <w:pPr>
        <w:spacing w:line="360" w:lineRule="auto"/>
        <w:ind w:firstLine="720"/>
        <w:jc w:val="both"/>
        <w:rPr>
          <w:rFonts w:ascii="Times New Roman" w:hAnsi="Times New Roman" w:cs="Times New Roman"/>
          <w:sz w:val="24"/>
          <w:szCs w:val="24"/>
        </w:rPr>
      </w:pPr>
    </w:p>
    <w:p w:rsidR="002C565B" w:rsidRPr="001F2AA1" w:rsidRDefault="002C565B" w:rsidP="001F2AA1">
      <w:pPr>
        <w:pStyle w:val="Heading4"/>
        <w:numPr>
          <w:ilvl w:val="0"/>
          <w:numId w:val="12"/>
        </w:numPr>
        <w:rPr>
          <w:rFonts w:ascii="Times New Roman" w:hAnsi="Times New Roman" w:cs="Times New Roman"/>
          <w:b w:val="0"/>
          <w:i w:val="0"/>
          <w:color w:val="auto"/>
          <w:sz w:val="24"/>
          <w:szCs w:val="24"/>
        </w:rPr>
      </w:pPr>
      <w:bookmarkStart w:id="3" w:name="_Toc359941032"/>
      <w:r w:rsidRPr="001F2AA1">
        <w:rPr>
          <w:rFonts w:ascii="Times New Roman" w:hAnsi="Times New Roman" w:cs="Times New Roman"/>
          <w:b w:val="0"/>
          <w:i w:val="0"/>
          <w:color w:val="auto"/>
          <w:sz w:val="24"/>
          <w:szCs w:val="24"/>
        </w:rPr>
        <w:t>Предмет на контрола на уставноста од страна на Уставниот суд</w:t>
      </w:r>
      <w:bookmarkEnd w:id="3"/>
    </w:p>
    <w:p w:rsidR="002C565B" w:rsidRPr="001F2AA1" w:rsidRDefault="002C565B" w:rsidP="002C565B">
      <w:pPr>
        <w:spacing w:line="360" w:lineRule="auto"/>
        <w:ind w:firstLine="720"/>
        <w:jc w:val="both"/>
        <w:rPr>
          <w:rFonts w:ascii="Times New Roman" w:hAnsi="Times New Roman" w:cs="Times New Roman"/>
          <w:sz w:val="24"/>
          <w:szCs w:val="24"/>
        </w:rPr>
      </w:pP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Надлежноста на Уставниот суд на Италија да врши контрола на уставноста ги опфаќа сите закони на државата и регионите и актите кои имаат законска сила. Предмет на контрола на уставноста се актите на парламентот кои се донесуваат врз основа на уставно овластување. Тоа значи дека италијанскиот систем на контрола на уставноста од страна на Уставниот суд ја исклучува контролата на уставноста на подзаконските правни акти, кои ги донесуваат државните власти или властите на регионите. Имено, Уставниот суд е надлежен да ја оценува само уставноста на законите и општите правни акти со законска сила, но не и законитоста на подзаконските прописи.  </w:t>
      </w:r>
    </w:p>
    <w:p w:rsidR="002C565B" w:rsidRPr="001F2AA1" w:rsidRDefault="001F2AA1" w:rsidP="002C565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1.1.</w:t>
      </w:r>
      <w:r w:rsidR="002C565B" w:rsidRPr="001F2AA1">
        <w:rPr>
          <w:rFonts w:ascii="Times New Roman" w:hAnsi="Times New Roman" w:cs="Times New Roman"/>
          <w:sz w:val="24"/>
          <w:szCs w:val="24"/>
        </w:rPr>
        <w:t xml:space="preserve"> Уставно судската книжевност  во поглед на предметот на контролата на уставноста ги издвојува законите како основен вид на правни акти кои подлежат на контролата на уставноста. Тоа се како сојузните закони така и законите на федералните единици</w:t>
      </w:r>
      <w:r w:rsidR="002C565B" w:rsidRPr="001F2AA1">
        <w:rPr>
          <w:rStyle w:val="FootnoteReference"/>
          <w:rFonts w:ascii="Times New Roman" w:hAnsi="Times New Roman" w:cs="Times New Roman"/>
          <w:sz w:val="24"/>
          <w:szCs w:val="24"/>
        </w:rPr>
        <w:footnoteReference w:id="4"/>
      </w:r>
      <w:r w:rsidR="002C565B" w:rsidRPr="001F2AA1">
        <w:rPr>
          <w:rFonts w:ascii="Times New Roman" w:hAnsi="Times New Roman" w:cs="Times New Roman"/>
          <w:sz w:val="24"/>
          <w:szCs w:val="24"/>
        </w:rPr>
        <w:t xml:space="preserve">. Во контекст на споменатото Уставот на Италија во чл. 134 јасно прецизира дека предмет на контрола на уставноста се сите државни закони и законите на регионите.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Сепак појавата на намалување (ограничување)  на предметот на контрола на уставноста, како начин на изземање на одреден вид на општи правни акти од контролата на уставноста е карактеристична и за Италија. Одредувањето на правните акти кои ќе </w:t>
      </w:r>
      <w:r w:rsidRPr="001F2AA1">
        <w:rPr>
          <w:rFonts w:ascii="Times New Roman" w:hAnsi="Times New Roman" w:cs="Times New Roman"/>
          <w:sz w:val="24"/>
          <w:szCs w:val="24"/>
        </w:rPr>
        <w:lastRenderedPageBreak/>
        <w:t xml:space="preserve">бидат иземени од контролата на уставноста се врши со уставот или многу почесто со воспоставување и негување на праксата на уставните судови. Во контекст на споменатото, специфичен е феноменот на изземање на контролата на уставноста на изборното законодавство во Италија. Имено, се чини дека недостатокот од правила и несоодветното регулирање на прашањата за начинот на покренување на постапка пред Судот, се причина да се исклучи можноста Уставниот суд одлучува за повреда на Уставот со  закони кои не се применуваат во конкретни спорови како што се законите кои го регулираат статусот на граѓаните или законите кои го регулираат односот држава- граѓанин иако и тие можат да бидат  противуставни.  Така, законите од изборното законодавство  како акти кои не ги тангираат односите помеѓу граѓаните  и како резултат на тоа како закони кои во конкретни судски спорови не се применуваат, речиси и да немаат можност да бидат предмет на оценка на уставноста.  Од друга страна специфична е карактеристиката на уставносудската контрола на уставноста во Италија која се однесува на покренување на постапка пред уставниот суд по предлог на некој од судовите на редовното судство (ex officio или по барање на некоја од странките на постапката). Имено во услови кога спорот пред надлежниот суд не би можел да се реши без преходно одлучување по прејудициелното прашање врзано за уставноста на законот кој треба да се примени, судот доставува предлог пред Уставниот суд за негова контрола. Со оглед дека законите од изборното законодавство најчесто не се основ за уредување на односите помеѓу граѓаните значително е минимизирана можноста истите да се јават како предмет на контрола пред Уставниот суд по иницијатива на некој од судовите на редовното судство.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Ограничување на уставносудската контрола на уставноста како појава е карактеристична  ако предмет на таа контрола бидат уставните закони. Во Италија Уставниот суд нема воспоставено пракса да ја оценува контролата на уставноста на уставните закони. Слично на австриското искуство и во Италија преовладува ставот дека предмет на оценка би можела да биде само формалната уставност на уставниот закон. Исклучок од споменатото и можност за оценка и на материјалната уставност на уставните закони би била возможна единствено ако е во прашање закон кој би противречел на изречната уставна забрана за менување на републиканскиот облик на  владеење.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lastRenderedPageBreak/>
        <w:t>За разлика од претходно споменатите закони,  законите кои биле донесени пред донесувањето на Уставот од 1947 година, можат да бидат предмет на оценка на уставноста пред Уставниот суд. Таказа</w:t>
      </w:r>
      <w:r w:rsidRPr="001F2AA1">
        <w:rPr>
          <w:rFonts w:ascii="Times New Roman" w:hAnsi="Times New Roman" w:cs="Times New Roman"/>
          <w:i/>
          <w:sz w:val="24"/>
          <w:szCs w:val="24"/>
        </w:rPr>
        <w:t>Francesco Biagi</w:t>
      </w:r>
      <w:r w:rsidRPr="001F2AA1">
        <w:rPr>
          <w:rFonts w:ascii="Times New Roman" w:hAnsi="Times New Roman" w:cs="Times New Roman"/>
          <w:sz w:val="24"/>
          <w:szCs w:val="24"/>
        </w:rPr>
        <w:t>прватапресудана Уставниот суд на Италија (no 1/1956 година) со која судот  ја прифаќа надлежноста да одлучува за уставноста на законите донесени пред усвојувањето на Уставот, претставува пресвртна точка кон демократизација државата</w:t>
      </w:r>
      <w:r w:rsidRPr="001F2AA1">
        <w:rPr>
          <w:rStyle w:val="FootnoteReference"/>
          <w:rFonts w:ascii="Times New Roman" w:hAnsi="Times New Roman" w:cs="Times New Roman"/>
          <w:sz w:val="24"/>
          <w:szCs w:val="24"/>
        </w:rPr>
        <w:footnoteReference w:id="5"/>
      </w:r>
      <w:r w:rsidRPr="001F2AA1">
        <w:rPr>
          <w:rFonts w:ascii="Times New Roman" w:hAnsi="Times New Roman" w:cs="Times New Roman"/>
          <w:sz w:val="24"/>
          <w:szCs w:val="24"/>
        </w:rPr>
        <w:t xml:space="preserve">. До крајот на 60-те години на минатиот век, судот ја фокусира севкупната своја активност на отстранување на законодавството од фашистичкиот период. </w:t>
      </w:r>
    </w:p>
    <w:p w:rsidR="002C565B" w:rsidRPr="001F2AA1" w:rsidRDefault="001F2AA1" w:rsidP="002C565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w:t>
      </w:r>
      <w:r w:rsidR="002C565B" w:rsidRPr="001F2AA1">
        <w:rPr>
          <w:rFonts w:ascii="Times New Roman" w:hAnsi="Times New Roman" w:cs="Times New Roman"/>
          <w:sz w:val="24"/>
          <w:szCs w:val="24"/>
        </w:rPr>
        <w:t xml:space="preserve">2 Покрај законите, предмет на контрола на уставноста во Италија се и актите со законска сила.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Уставно судската книжевност потенцира дека органите на егзекутивата со донесување на актите со законска сила го супституираат законодавниот орган во вршење на законодавната функција. Сепак поставеноста на актите со законска сила  во хиерархиската пирамида на правни акти не е идентична. </w:t>
      </w:r>
      <w:r w:rsidRPr="001F2AA1">
        <w:rPr>
          <w:rFonts w:ascii="Times New Roman" w:hAnsi="Times New Roman" w:cs="Times New Roman"/>
          <w:i/>
          <w:sz w:val="24"/>
          <w:szCs w:val="24"/>
        </w:rPr>
        <w:t>Иво Крбек</w:t>
      </w:r>
      <w:r w:rsidRPr="001F2AA1">
        <w:rPr>
          <w:rFonts w:ascii="Times New Roman" w:hAnsi="Times New Roman" w:cs="Times New Roman"/>
          <w:sz w:val="24"/>
          <w:szCs w:val="24"/>
        </w:rPr>
        <w:t xml:space="preserve"> истанува дека подзаконските акти со законска сила  (уредби, декрети) кои уредбодавецот може да ги донесе врз основа на изрично непосредно уставно овластување (уставни уредби),  се хиерархиски надредени во однос на актите кои уредбодавецот ги донесува врз основа на закон (законски уредби). Обата вида подзаконски акти на егзекутивата  имаат свој основ во уставот, со таа разлика што егзекутивата  правниот основ за донесување на првите  директно, неспоредно  го извекува од уставот, а за вторите на законот и  уставот. Прашањето што тука ќе се постави е, дали овие акти ќе подлежат директно на оценка на уставноста пред уставните судови, или за нив ќе постои можност да се реализира оценка на законитоста пред управните судови па во последна инстанца да се оценува нивната уставност пред уставниот суд.  Теоријата не дава прецизен одговор на ова прашање и констатира дека во различни системи се имплементираат различни решенија.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Во Италија, уставотворецот рестриктивно го уредил прашањето за овластувањето владата да донесува уредби со законска сила. Имено одредбите од членовите 76 и 77 од Уставот  утврдуваат дека  остварувањето на законодавната дејност не може да се делегира на Владата, освен доколку не се утврдени конкретни принципи и критериуми и тоа само за </w:t>
      </w:r>
      <w:r w:rsidRPr="001F2AA1">
        <w:rPr>
          <w:rFonts w:ascii="Times New Roman" w:hAnsi="Times New Roman" w:cs="Times New Roman"/>
          <w:sz w:val="24"/>
          <w:szCs w:val="24"/>
        </w:rPr>
        <w:lastRenderedPageBreak/>
        <w:t>определено време и за остварување на определени (конкретни) цели</w:t>
      </w:r>
      <w:r w:rsidRPr="001F2AA1">
        <w:rPr>
          <w:rStyle w:val="FootnoteReference"/>
          <w:rFonts w:ascii="Times New Roman" w:hAnsi="Times New Roman" w:cs="Times New Roman"/>
          <w:sz w:val="24"/>
          <w:szCs w:val="24"/>
        </w:rPr>
        <w:footnoteReference w:id="6"/>
      </w:r>
      <w:r w:rsidRPr="001F2AA1">
        <w:rPr>
          <w:rFonts w:ascii="Times New Roman" w:hAnsi="Times New Roman" w:cs="Times New Roman"/>
          <w:sz w:val="24"/>
          <w:szCs w:val="24"/>
        </w:rPr>
        <w:t>.  Уставната одредба не утврдува ниту таксативно набројува во кои конкретни услови и околности  владата би можела да го оствари овластувањето да донесува уредби со законска сила.  Тоа упатува на заклучокот дека  ,,критериумите и принципите” наведени во уставната одреба,  треба детално да бидат уредени со закон врз основа на кој владата ќе може да го реализира овластувањето да донесува акти (уредби) со законска сила.  Во следната уставна одредба доаѓа до израз  ригидниот однос на уставотворецот во однос на законодавната дејноста на владата што може да се констатира од фактот што уставот утврдува дека владата не може без обезбедување на акт на двата законодавни дома на уредбата да и обезбеди законска сила. Дури и во услови на итност, Уставот утврдува дека владата може на своја одговорност  да донесе времена мерка,но дека истата мора да му ја достави на парламентот да ја усвои во форма на закон</w:t>
      </w:r>
      <w:r w:rsidRPr="001F2AA1">
        <w:rPr>
          <w:rStyle w:val="FootnoteReference"/>
          <w:rFonts w:ascii="Times New Roman" w:hAnsi="Times New Roman" w:cs="Times New Roman"/>
          <w:sz w:val="24"/>
          <w:szCs w:val="24"/>
        </w:rPr>
        <w:footnoteReference w:id="7"/>
      </w:r>
      <w:r w:rsidRPr="001F2AA1">
        <w:rPr>
          <w:rFonts w:ascii="Times New Roman" w:hAnsi="Times New Roman" w:cs="Times New Roman"/>
          <w:sz w:val="24"/>
          <w:szCs w:val="24"/>
        </w:rPr>
        <w:t xml:space="preserve">.  Според Уставот на Република Италија, предмет на контрола на уставноста се актитесо сила на закон кои ги донесува владата остварувајќи ги овластувањата утврдени во уставот. Уставниот суд во врска со ова прашање, заземал став дека нормите по кои законодавецот го делегирал  овластувањето да се донесуваат уредби со законска сила, како и актите на извршување на овие одредби се  испреплетени и затоа обата вида акти  можат да претставуваат предмет на контрола на уставноста од страна на Судот.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1.3 Покрај законите и актите со законска силапредмет на контрола на уставноста во Италија претставуваат и меѓународните договори. Уставот на Италија во одредбите кои ја уредуваат материјата за Уставниот суд, не ја наведува прецизно надлежноста на судот да ја оценува уставноста на меѓународните договори. За разлика од системот на контрола на уставноста во Австрија, уставно судската контрола на меѓународните договори од страна на Уставниот суд во Италија не е изведена од уставните одредби туку од востановената пракса на Уставниот суд. Имено, толкувајќи ги уставните одредби од членовите 10 и 11 Уставниот суд го   воспоставил низ пракса овластувањето да се оценува уставноста на меѓународните договори.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lastRenderedPageBreak/>
        <w:t xml:space="preserve">Покрај споменатите,  сите останати акти согласно чл.134 од Уставот не подлежат на оценка на уставноста од страна на Уставниот суд.Така, од контрола на уставноста се исклучени сите подзаконски акти кои ги донесуваат органите на државната власт и регионите. Уставниот суд решава само за прашање на уставност, а не и за прашање на законитост на подзаконските правни акти. Тоа претставува надлженост на редовните судови чие овластување се ограничува на неприменување на незаконитиот подзаконски акт.  </w:t>
      </w:r>
    </w:p>
    <w:p w:rsidR="002C565B" w:rsidRPr="001F2AA1" w:rsidRDefault="002C565B" w:rsidP="002C565B">
      <w:pPr>
        <w:spacing w:line="360" w:lineRule="auto"/>
        <w:ind w:firstLine="720"/>
        <w:jc w:val="both"/>
        <w:rPr>
          <w:rFonts w:ascii="Times New Roman" w:hAnsi="Times New Roman" w:cs="Times New Roman"/>
          <w:sz w:val="24"/>
          <w:szCs w:val="24"/>
        </w:rPr>
      </w:pPr>
    </w:p>
    <w:p w:rsidR="002C565B" w:rsidRPr="001F2AA1" w:rsidRDefault="002C565B" w:rsidP="001F2AA1">
      <w:pPr>
        <w:pStyle w:val="Heading4"/>
        <w:numPr>
          <w:ilvl w:val="0"/>
          <w:numId w:val="12"/>
        </w:numPr>
        <w:rPr>
          <w:rFonts w:ascii="Times New Roman" w:hAnsi="Times New Roman" w:cs="Times New Roman"/>
          <w:b w:val="0"/>
          <w:i w:val="0"/>
          <w:color w:val="auto"/>
          <w:sz w:val="24"/>
          <w:szCs w:val="24"/>
        </w:rPr>
      </w:pPr>
      <w:bookmarkStart w:id="4" w:name="_Toc359941033"/>
      <w:r w:rsidRPr="001F2AA1">
        <w:rPr>
          <w:rFonts w:ascii="Times New Roman" w:hAnsi="Times New Roman" w:cs="Times New Roman"/>
          <w:b w:val="0"/>
          <w:i w:val="0"/>
          <w:color w:val="auto"/>
          <w:sz w:val="24"/>
          <w:szCs w:val="24"/>
        </w:rPr>
        <w:t>Предлагачи на постапката за контрола на уставноста на нормативните акти пред Уставниот суд</w:t>
      </w:r>
      <w:bookmarkEnd w:id="4"/>
    </w:p>
    <w:p w:rsidR="002C565B" w:rsidRPr="001F2AA1" w:rsidRDefault="002C565B" w:rsidP="002C565B">
      <w:pPr>
        <w:pStyle w:val="ListParagraph"/>
        <w:spacing w:line="360" w:lineRule="auto"/>
        <w:ind w:left="1080"/>
        <w:jc w:val="both"/>
        <w:rPr>
          <w:rFonts w:ascii="Times New Roman" w:hAnsi="Times New Roman" w:cs="Times New Roman"/>
          <w:sz w:val="24"/>
          <w:szCs w:val="24"/>
        </w:rPr>
      </w:pPr>
    </w:p>
    <w:p w:rsidR="002C565B" w:rsidRPr="001F2AA1" w:rsidRDefault="002C565B" w:rsidP="002C565B">
      <w:pPr>
        <w:spacing w:line="360" w:lineRule="auto"/>
        <w:jc w:val="both"/>
        <w:rPr>
          <w:rFonts w:ascii="Times New Roman" w:hAnsi="Times New Roman" w:cs="Times New Roman"/>
          <w:sz w:val="24"/>
          <w:szCs w:val="24"/>
        </w:rPr>
      </w:pPr>
      <w:r w:rsidRPr="001F2AA1">
        <w:rPr>
          <w:rFonts w:ascii="Times New Roman" w:hAnsi="Times New Roman" w:cs="Times New Roman"/>
          <w:i/>
          <w:sz w:val="24"/>
          <w:szCs w:val="24"/>
        </w:rPr>
        <w:tab/>
      </w:r>
      <w:r w:rsidRPr="001F2AA1">
        <w:rPr>
          <w:rFonts w:ascii="Times New Roman" w:hAnsi="Times New Roman" w:cs="Times New Roman"/>
          <w:sz w:val="24"/>
          <w:szCs w:val="24"/>
        </w:rPr>
        <w:t xml:space="preserve">Уставниот суд на Италија е надлежен да ја оценува уставноста на правните акти само доколку постапката е покрената од страна на точно определени субјекти. Прашањето за субјектите кои можат да поднесат предлог за отпочнување на постапката за оценка науставноста е </w:t>
      </w:r>
      <w:r w:rsidRPr="001F2AA1">
        <w:rPr>
          <w:rFonts w:ascii="Times New Roman" w:hAnsi="Times New Roman" w:cs="Times New Roman"/>
          <w:i/>
          <w:sz w:val="24"/>
          <w:szCs w:val="24"/>
        </w:rPr>
        <w:t>materialegis</w:t>
      </w:r>
      <w:r w:rsidRPr="001F2AA1">
        <w:rPr>
          <w:rFonts w:ascii="Times New Roman" w:hAnsi="Times New Roman" w:cs="Times New Roman"/>
          <w:sz w:val="24"/>
          <w:szCs w:val="24"/>
        </w:rPr>
        <w:t xml:space="preserve">и е уредено со уставните закони, односно Законот за Уставниот суд од 1948 година и Законот за Уставен суд од 1953 година.  </w:t>
      </w:r>
    </w:p>
    <w:p w:rsidR="002C565B" w:rsidRPr="001F2AA1" w:rsidRDefault="001F2AA1" w:rsidP="002C565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2C565B" w:rsidRPr="001F2AA1">
        <w:rPr>
          <w:rFonts w:ascii="Times New Roman" w:hAnsi="Times New Roman" w:cs="Times New Roman"/>
          <w:sz w:val="24"/>
          <w:szCs w:val="24"/>
        </w:rPr>
        <w:t xml:space="preserve">2.1 Во постапка на </w:t>
      </w:r>
      <w:r w:rsidR="002C565B" w:rsidRPr="001F2AA1">
        <w:rPr>
          <w:rFonts w:ascii="Times New Roman" w:hAnsi="Times New Roman" w:cs="Times New Roman"/>
          <w:i/>
          <w:sz w:val="24"/>
          <w:szCs w:val="24"/>
        </w:rPr>
        <w:t>апстрактна контрола на уставноста</w:t>
      </w:r>
      <w:r w:rsidR="002C565B" w:rsidRPr="001F2AA1">
        <w:rPr>
          <w:rFonts w:ascii="Times New Roman" w:hAnsi="Times New Roman" w:cs="Times New Roman"/>
          <w:sz w:val="24"/>
          <w:szCs w:val="24"/>
        </w:rPr>
        <w:t>, постапката за оценка на уставноста на правните акти можат да покренат извршните органи на државата, регионите и покраините, осносно јавно правните субјекти со егзекутивна функција. Притоа премиерот може да покрене постапка пред Уставниот суд за оценка на законите на регионите и покраините како и за сојузните закони</w:t>
      </w:r>
      <w:r w:rsidR="002C565B" w:rsidRPr="001F2AA1">
        <w:rPr>
          <w:rStyle w:val="FootnoteReference"/>
          <w:rFonts w:ascii="Times New Roman" w:hAnsi="Times New Roman" w:cs="Times New Roman"/>
          <w:sz w:val="24"/>
          <w:szCs w:val="24"/>
        </w:rPr>
        <w:footnoteReference w:id="8"/>
      </w:r>
      <w:r w:rsidR="002C565B" w:rsidRPr="001F2AA1">
        <w:rPr>
          <w:rFonts w:ascii="Times New Roman" w:hAnsi="Times New Roman" w:cs="Times New Roman"/>
          <w:sz w:val="24"/>
          <w:szCs w:val="24"/>
        </w:rPr>
        <w:t xml:space="preserve">. Од друга страна регионите и покраините можат да иницираат постапка пред Уставниот суд за оценка на уставноста на законот на државата, закон на некој друг регион и покраински акт.  Конечно согласно </w:t>
      </w:r>
      <w:r w:rsidR="002C565B" w:rsidRPr="001F2AA1">
        <w:rPr>
          <w:rFonts w:ascii="Times New Roman" w:hAnsi="Times New Roman" w:cs="Times New Roman"/>
          <w:sz w:val="24"/>
          <w:szCs w:val="24"/>
        </w:rPr>
        <w:lastRenderedPageBreak/>
        <w:t>одредбите  од чл.31 и 32 од Законот за уставен суд од 1953 година две покраини можат да покренат постапка за оценка на уставноста на државен закон или закон на регион</w:t>
      </w:r>
      <w:r w:rsidR="002C565B" w:rsidRPr="001F2AA1">
        <w:rPr>
          <w:rStyle w:val="FootnoteReference"/>
          <w:rFonts w:ascii="Times New Roman" w:hAnsi="Times New Roman" w:cs="Times New Roman"/>
          <w:sz w:val="24"/>
          <w:szCs w:val="24"/>
        </w:rPr>
        <w:footnoteReference w:id="9"/>
      </w:r>
      <w:r w:rsidR="002C565B" w:rsidRPr="001F2AA1">
        <w:rPr>
          <w:rFonts w:ascii="Times New Roman" w:hAnsi="Times New Roman" w:cs="Times New Roman"/>
          <w:sz w:val="24"/>
          <w:szCs w:val="24"/>
        </w:rPr>
        <w:t xml:space="preserve">.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Граѓаните како поединци не можат да покренат постапка за оценка на уставноста на законите и актите со законска сила  пред Уставниот суд. Тие не се означени како субјекти кои можат да поднесат предлог за отпочнување на постапката пред Уставниот суд.  Иако не како носители на правото да ја покренат постапката, граѓаните можат да иницираат покренување на постапка за оценка на уставноста на закон пред Уставниот суд, само во конкретен судски спор пред надлежниот суд. Спомената можност не значи дека доколку пред некој од судовите на редовното судство граѓаните предложат, односно иницираат постапка за оценка на уставноста пред Уставниот суд, барањето по автоматизам ќе резултира со отпочнување на постапка. Надлежниот редовен суд пред кој се води конкретен спор сепак го задржува правото да одлучи дали по иницијативата на конкретните субјекти во спорот ќе поднесе предлог за оценка на уставноста пред Уставниот суд, и прашањето за оценка на уставноста ќе го смета за прејудициелно прашање.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Споменатото претставува  предмет на се погласни критики упатени на решенијата од уставните закони кои минималистички го уредуваат прашањето врзано за субјектите кои можат да се јават во својство на покренувачи на постапката.  Уставно правната литература во Италија бележи настојувања правото на активна легитимација да се прошири на  граѓаните, група граѓани или определен број пратеници, но овие реформаторски иницијативи како што констатира </w:t>
      </w:r>
      <w:r w:rsidRPr="001F2AA1">
        <w:rPr>
          <w:rFonts w:ascii="Times New Roman" w:hAnsi="Times New Roman" w:cs="Times New Roman"/>
          <w:i/>
          <w:sz w:val="24"/>
          <w:szCs w:val="24"/>
        </w:rPr>
        <w:t xml:space="preserve">Славниќ </w:t>
      </w:r>
      <w:r w:rsidRPr="001F2AA1">
        <w:rPr>
          <w:rFonts w:ascii="Times New Roman" w:hAnsi="Times New Roman" w:cs="Times New Roman"/>
          <w:sz w:val="24"/>
          <w:szCs w:val="24"/>
        </w:rPr>
        <w:t xml:space="preserve">,,не се прифатени, а основна формална причина за тоа е менување на уставниот закон кој ова прашање го регулира низ постапка за уставна ревизија” </w:t>
      </w:r>
      <w:r w:rsidRPr="001F2AA1">
        <w:rPr>
          <w:rStyle w:val="FootnoteReference"/>
          <w:rFonts w:ascii="Times New Roman" w:hAnsi="Times New Roman" w:cs="Times New Roman"/>
          <w:sz w:val="24"/>
          <w:szCs w:val="24"/>
        </w:rPr>
        <w:footnoteReference w:id="10"/>
      </w:r>
      <w:r w:rsidRPr="001F2AA1">
        <w:rPr>
          <w:rFonts w:ascii="Times New Roman" w:hAnsi="Times New Roman" w:cs="Times New Roman"/>
          <w:sz w:val="24"/>
          <w:szCs w:val="24"/>
        </w:rPr>
        <w:t xml:space="preserve">. За потребата од воведување на индивидуална уставна жалба, како алтернативен механизам кој ќе обезбеди не само подобра заштита на уставно загаранитраните права, туку можност од покренување на механизамот за оценка  на </w:t>
      </w:r>
      <w:r w:rsidRPr="001F2AA1">
        <w:rPr>
          <w:rFonts w:ascii="Times New Roman" w:hAnsi="Times New Roman" w:cs="Times New Roman"/>
          <w:sz w:val="24"/>
          <w:szCs w:val="24"/>
        </w:rPr>
        <w:lastRenderedPageBreak/>
        <w:t>уставноста на законите, најсоодветно сведочат бројните обиди за нејзино имплементирање кои се јавуваат уште во периодот на усвојување на уставот. Така, во италијанската уставно правна книжевност предмет на  критика е начинот на кој одредбата, со која се утврдува правото на граѓаните да покренат постапка пред Уставниот суд  во рок од 1 година од денот на усвојување на законот, мистично исчезнала од уставниот текст во тек на постапката за усвојување на уставот. Науката денес прејудицира две основни причини за тоа: 1) предвиденото уставно решение за покренување на постапка за оценка на уставноста на актите  пред уставниот суд од страна на секој граѓанине премногу широко поставено и непрецизно поставено и 2) прашањето за титуларите на правото на покренување на постапка пред уставниот суд треба да биде детално уредено со закон. За тоа дека уште во постапката на моделирање на уставниот текст е препознаена потребата од инструмент преку кој граѓанинот би можел да се повика на уставниот суд, сведочат и двата амандманина</w:t>
      </w:r>
      <w:r w:rsidRPr="001F2AA1">
        <w:rPr>
          <w:rFonts w:ascii="Times New Roman" w:hAnsi="Times New Roman" w:cs="Times New Roman"/>
          <w:i/>
          <w:sz w:val="24"/>
          <w:szCs w:val="24"/>
        </w:rPr>
        <w:t>Giuseppe Pisanelli</w:t>
      </w:r>
      <w:r w:rsidRPr="001F2AA1">
        <w:rPr>
          <w:rFonts w:ascii="Times New Roman" w:hAnsi="Times New Roman" w:cs="Times New Roman"/>
          <w:sz w:val="24"/>
          <w:szCs w:val="24"/>
        </w:rPr>
        <w:t>и</w:t>
      </w:r>
      <w:r w:rsidRPr="001F2AA1">
        <w:rPr>
          <w:rFonts w:ascii="Times New Roman" w:hAnsi="Times New Roman" w:cs="Times New Roman"/>
          <w:i/>
          <w:sz w:val="24"/>
          <w:szCs w:val="24"/>
        </w:rPr>
        <w:t>ConstantinoMortati</w:t>
      </w:r>
      <w:r w:rsidRPr="001F2AA1">
        <w:rPr>
          <w:rFonts w:ascii="Times New Roman" w:hAnsi="Times New Roman" w:cs="Times New Roman"/>
          <w:sz w:val="24"/>
          <w:szCs w:val="24"/>
        </w:rPr>
        <w:t xml:space="preserve">. Имено, со уставните амандмани би се овозможило правото на секој граѓанин кој има интерес и на кого му се повредени уставно загарантираните права да покрене постапка пред Уставниот суд. Уставотворецот истите не ги прифатил, под обраложение дека тоа прашање треба да биде подетално законски уредено.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Ниту Уставот, ниту  подоцна донесените уставни закони за Уставниот суд  не ја предвидуваат можноста од воведување на индивидуална уставна жалба. Неуспешен обид за имплементирање на овој инструмент во системот на уставно судска контрола на уставноста во 50 години на минатиотвекнаправил</w:t>
      </w:r>
      <w:r w:rsidRPr="001F2AA1">
        <w:rPr>
          <w:rFonts w:ascii="Times New Roman" w:hAnsi="Times New Roman" w:cs="Times New Roman"/>
          <w:i/>
          <w:sz w:val="24"/>
          <w:szCs w:val="24"/>
        </w:rPr>
        <w:t>MaurroCappalletti.</w:t>
      </w:r>
      <w:r w:rsidRPr="001F2AA1">
        <w:rPr>
          <w:rFonts w:ascii="Times New Roman" w:hAnsi="Times New Roman" w:cs="Times New Roman"/>
          <w:sz w:val="24"/>
          <w:szCs w:val="24"/>
        </w:rPr>
        <w:t xml:space="preserve"> Слично искуство имале неколкумина професори по уставно право во 1965 година кога уставниот амандман со кој би се воспоставила правната основа за уставна жалба не бил усвоен. Потребата од воведување на индивидуална уставна жалба во италијанскиот модел на уставно судска контрола на уставноста, независно од јасните ставови на научната мисла или препознаените т. н ,,фиктивни случаи” пред редовните судови кои граѓаните ги покренуваат само за да можат да го покренат механизамот до Уставниот суд, италијанскиот уставотворец не ја препознал ниту во 1997 година</w:t>
      </w:r>
      <w:r w:rsidRPr="001F2AA1">
        <w:rPr>
          <w:rStyle w:val="FootnoteReference"/>
          <w:rFonts w:ascii="Times New Roman" w:hAnsi="Times New Roman" w:cs="Times New Roman"/>
          <w:sz w:val="24"/>
          <w:szCs w:val="24"/>
        </w:rPr>
        <w:footnoteReference w:id="11"/>
      </w:r>
      <w:r w:rsidRPr="001F2AA1">
        <w:rPr>
          <w:rFonts w:ascii="Times New Roman" w:hAnsi="Times New Roman" w:cs="Times New Roman"/>
          <w:sz w:val="24"/>
          <w:szCs w:val="24"/>
        </w:rPr>
        <w:t xml:space="preserve">.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lastRenderedPageBreak/>
        <w:t xml:space="preserve">Конечно, современиот модел на уставно судска контрола на уставноста, меѓу титуларите на правото за покренување на постапката пред Уставниот суд не ги препознава граѓаните. Може да се констатира дека минималистичните законски одредби многу ограничено го уредуваат ова прашање и дека т.н сиви зони кои уставотворецот ги оставил успешно би можеле да се отклонат преку воведување на инструментот на индивидуална уставна жалба во некоја од вариицаиите во кои истата се сретнува.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2.2 Во Италија,покрај апстрактна постои и </w:t>
      </w:r>
      <w:r w:rsidRPr="001F2AA1">
        <w:rPr>
          <w:rFonts w:ascii="Times New Roman" w:hAnsi="Times New Roman" w:cs="Times New Roman"/>
          <w:i/>
          <w:sz w:val="24"/>
          <w:szCs w:val="24"/>
        </w:rPr>
        <w:t>конкретна контрола на уставноста.</w:t>
      </w:r>
      <w:r w:rsidRPr="001F2AA1">
        <w:rPr>
          <w:rFonts w:ascii="Times New Roman" w:hAnsi="Times New Roman" w:cs="Times New Roman"/>
          <w:sz w:val="24"/>
          <w:szCs w:val="24"/>
        </w:rPr>
        <w:t xml:space="preserve"> Постапка на контрола на уставноста пред Уставниот суд, може да се поведе по конкретен спор по повод управна, кривична или граѓанска постaпка која се води пред редовните судови, кои треба да го применат спорниот закон. Оваа конкретна, посредна или инцидентна  постапка за оценка на уставноста во Италија е condition sine qua non за исходот на постапката пред редовниот суд.  Уставните закони предвидудваат дека редовниот суд може на своја иницијатива, на иницијатива на странките во спорот или на иницијатива на државниот правобранитeл да упати формален предлог до Уставниот суд, за оценка на уставноста на законот кој треба да го примени. Притоа, предлогот за оценка на уставноста мора да ги прецизира точните законски одредбите на кои прашањето за оценка на уставноста се однесува како и уставните одредби на кои спорните законски норми им противречат.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Ова обележје на италијанскиот модел на контрола на уставноста го издвојува од останатите. Имено</w:t>
      </w:r>
      <w:r w:rsidRPr="001F2AA1">
        <w:rPr>
          <w:rFonts w:ascii="Times New Roman" w:hAnsi="Times New Roman" w:cs="Times New Roman"/>
          <w:i/>
          <w:sz w:val="24"/>
          <w:szCs w:val="24"/>
        </w:rPr>
        <w:t>Groppi</w:t>
      </w:r>
      <w:r w:rsidRPr="001F2AA1">
        <w:rPr>
          <w:rFonts w:ascii="Times New Roman" w:hAnsi="Times New Roman" w:cs="Times New Roman"/>
          <w:sz w:val="24"/>
          <w:szCs w:val="24"/>
        </w:rPr>
        <w:t xml:space="preserve">истакнувадекасистемот на контрола на уставноста во Италија се разликува од чистиот австриски (келзенов) модел на уставно судска контрола кој се карактеризира со централизирана и апстрактна контрола на уставноста на актите од страна на уставниот суд, но истовремено го издвојува и од дифузниот конкретен модел на контрола на уставноста специфичен за САД.  Така, таа потенцира дека имплементацијата на италијанскиот модел на уставносудска контрола на уставноста не ја задржува чистината на келзеновиот модел и вметнува елементи на дифузна и децентрализирана контрола на уставноста. Тоа се забележува од два елементи: 1) можноста на судиите дискреционо да одлучат дали ќе покренат постапка за оценка на уставноста пред </w:t>
      </w:r>
      <w:r w:rsidRPr="001F2AA1">
        <w:rPr>
          <w:rFonts w:ascii="Times New Roman" w:hAnsi="Times New Roman" w:cs="Times New Roman"/>
          <w:sz w:val="24"/>
          <w:szCs w:val="24"/>
        </w:rPr>
        <w:lastRenderedPageBreak/>
        <w:t>уставниот суд (конкретна контрола на уставноста) и 2) надлежноста на редовното судтсво да ја оценува законитоста и уставноста на подзаконските правни акти</w:t>
      </w:r>
      <w:r w:rsidRPr="001F2AA1">
        <w:rPr>
          <w:rStyle w:val="FootnoteReference"/>
          <w:rFonts w:ascii="Times New Roman" w:hAnsi="Times New Roman" w:cs="Times New Roman"/>
          <w:sz w:val="24"/>
          <w:szCs w:val="24"/>
        </w:rPr>
        <w:footnoteReference w:id="12"/>
      </w:r>
      <w:r w:rsidRPr="001F2AA1">
        <w:rPr>
          <w:rFonts w:ascii="Times New Roman" w:hAnsi="Times New Roman" w:cs="Times New Roman"/>
          <w:sz w:val="24"/>
          <w:szCs w:val="24"/>
        </w:rPr>
        <w:t xml:space="preserve">.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На иста основа е и становиштетона</w:t>
      </w:r>
      <w:r w:rsidRPr="001F2AA1">
        <w:rPr>
          <w:rFonts w:ascii="Times New Roman" w:hAnsi="Times New Roman" w:cs="Times New Roman"/>
          <w:i/>
          <w:sz w:val="24"/>
          <w:szCs w:val="24"/>
        </w:rPr>
        <w:t>GianlucaGentili</w:t>
      </w:r>
      <w:r w:rsidRPr="001F2AA1">
        <w:rPr>
          <w:rFonts w:ascii="Times New Roman" w:hAnsi="Times New Roman" w:cs="Times New Roman"/>
          <w:sz w:val="24"/>
          <w:szCs w:val="24"/>
        </w:rPr>
        <w:t>којапотенцира дека моделот на уставно судска контрола на уставноста во Италија нема прецедент во времето на неговото воспоставување, и истиот може да се оцени како компромис помеѓу централизираните и децентрализираните модели на контрола на уставноста. Имено, прифаќањето на централизиран-келзеновски модел на контрола на уставноста е испреплетено со некои елементи на децентрализираните модели на контрола на уставноста, како можноста на судиите од редовното судство да го покренат прашањето за уставноста на нормите кои треба да ги применат во конкретен случај</w:t>
      </w:r>
      <w:r w:rsidRPr="001F2AA1">
        <w:rPr>
          <w:rStyle w:val="FootnoteReference"/>
          <w:rFonts w:ascii="Times New Roman" w:hAnsi="Times New Roman" w:cs="Times New Roman"/>
          <w:sz w:val="24"/>
          <w:szCs w:val="24"/>
        </w:rPr>
        <w:footnoteReference w:id="13"/>
      </w:r>
      <w:r w:rsidRPr="001F2AA1">
        <w:rPr>
          <w:rFonts w:ascii="Times New Roman" w:hAnsi="Times New Roman" w:cs="Times New Roman"/>
          <w:sz w:val="24"/>
          <w:szCs w:val="24"/>
        </w:rPr>
        <w:t xml:space="preserve">.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Конечно, италијанската научна мисла го истакнува како обележје на системот, коктелот од решенија кои се однесуваат на механизмите за покренување на постапката за оценка на уставноста во Италија.</w:t>
      </w:r>
      <w:r w:rsidR="00463B4B">
        <w:rPr>
          <w:rFonts w:ascii="Times New Roman" w:hAnsi="Times New Roman" w:cs="Times New Roman"/>
          <w:i/>
          <w:sz w:val="24"/>
          <w:szCs w:val="24"/>
        </w:rPr>
        <w:t>ElisabettaL</w:t>
      </w:r>
      <w:r w:rsidRPr="001F2AA1">
        <w:rPr>
          <w:rFonts w:ascii="Times New Roman" w:hAnsi="Times New Roman" w:cs="Times New Roman"/>
          <w:i/>
          <w:sz w:val="24"/>
          <w:szCs w:val="24"/>
        </w:rPr>
        <w:t>amarque</w:t>
      </w:r>
      <w:r w:rsidRPr="001F2AA1">
        <w:rPr>
          <w:rFonts w:ascii="Times New Roman" w:hAnsi="Times New Roman" w:cs="Times New Roman"/>
          <w:sz w:val="24"/>
          <w:szCs w:val="24"/>
        </w:rPr>
        <w:t>истакнувадека, иако несомнено моделот на контрола на уставноста на Италија е замислен да претставува централизиран модел, низата обележја кои се однесуваат на т.н ,,инцидентна’’ постапка за оценка на уставноста на законите, покрената од страна на редовните судови,го класифицира овој систем во т.н мешовити системи. Овој модел ,,идеолошки опстојува во просторот помеѓу европскиот централизиран модел и дифузниот американски модел’’</w:t>
      </w:r>
      <w:r w:rsidRPr="001F2AA1">
        <w:rPr>
          <w:rStyle w:val="FootnoteReference"/>
          <w:rFonts w:ascii="Times New Roman" w:hAnsi="Times New Roman" w:cs="Times New Roman"/>
          <w:sz w:val="24"/>
          <w:szCs w:val="24"/>
        </w:rPr>
        <w:footnoteReference w:id="14"/>
      </w:r>
      <w:r w:rsidRPr="001F2AA1">
        <w:rPr>
          <w:rFonts w:ascii="Times New Roman" w:hAnsi="Times New Roman" w:cs="Times New Roman"/>
          <w:sz w:val="24"/>
          <w:szCs w:val="24"/>
        </w:rPr>
        <w:t>.</w:t>
      </w:r>
    </w:p>
    <w:p w:rsidR="002C565B" w:rsidRPr="001F2AA1" w:rsidRDefault="002C565B" w:rsidP="002C565B">
      <w:pPr>
        <w:spacing w:line="360" w:lineRule="auto"/>
        <w:jc w:val="both"/>
        <w:rPr>
          <w:rFonts w:ascii="Times New Roman" w:hAnsi="Times New Roman" w:cs="Times New Roman"/>
          <w:sz w:val="24"/>
          <w:szCs w:val="24"/>
        </w:rPr>
      </w:pPr>
    </w:p>
    <w:p w:rsidR="002C565B" w:rsidRPr="001F2AA1" w:rsidRDefault="001F2AA1" w:rsidP="002C565B">
      <w:pPr>
        <w:pStyle w:val="Heading4"/>
        <w:ind w:left="720"/>
        <w:rPr>
          <w:rFonts w:ascii="Times New Roman" w:hAnsi="Times New Roman" w:cs="Times New Roman"/>
          <w:b w:val="0"/>
          <w:i w:val="0"/>
          <w:color w:val="auto"/>
          <w:sz w:val="24"/>
          <w:szCs w:val="24"/>
        </w:rPr>
      </w:pPr>
      <w:bookmarkStart w:id="5" w:name="_Toc359941034"/>
      <w:r>
        <w:rPr>
          <w:rFonts w:ascii="Times New Roman" w:hAnsi="Times New Roman" w:cs="Times New Roman"/>
          <w:b w:val="0"/>
          <w:i w:val="0"/>
          <w:color w:val="auto"/>
          <w:sz w:val="24"/>
          <w:szCs w:val="24"/>
        </w:rPr>
        <w:lastRenderedPageBreak/>
        <w:t>3.</w:t>
      </w:r>
      <w:r w:rsidR="002C565B" w:rsidRPr="001F2AA1">
        <w:rPr>
          <w:rFonts w:ascii="Times New Roman" w:hAnsi="Times New Roman" w:cs="Times New Roman"/>
          <w:b w:val="0"/>
          <w:i w:val="0"/>
          <w:color w:val="auto"/>
          <w:sz w:val="24"/>
          <w:szCs w:val="24"/>
        </w:rPr>
        <w:t xml:space="preserve"> Начини на покренување на постапката за оценка на уставноста пред Уставниот суд</w:t>
      </w:r>
      <w:bookmarkEnd w:id="5"/>
    </w:p>
    <w:p w:rsidR="002C565B" w:rsidRPr="001F2AA1" w:rsidRDefault="002C565B" w:rsidP="002C565B">
      <w:pPr>
        <w:rPr>
          <w:rFonts w:ascii="Times New Roman" w:hAnsi="Times New Roman" w:cs="Times New Roman"/>
          <w:sz w:val="24"/>
          <w:szCs w:val="24"/>
        </w:rPr>
      </w:pP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Прецизното нормативно уредување на прашањето за постапката за оценка на уставноста пред уставните судови, предвидува детално регулирање на елементите на оваа постапка. Тоа значи прецизирање на </w:t>
      </w:r>
      <w:r w:rsidRPr="001F2AA1">
        <w:rPr>
          <w:rFonts w:ascii="Times New Roman" w:hAnsi="Times New Roman" w:cs="Times New Roman"/>
          <w:i/>
          <w:sz w:val="24"/>
          <w:szCs w:val="24"/>
        </w:rPr>
        <w:t>предлагачите</w:t>
      </w:r>
      <w:r w:rsidRPr="001F2AA1">
        <w:rPr>
          <w:rFonts w:ascii="Times New Roman" w:hAnsi="Times New Roman" w:cs="Times New Roman"/>
          <w:sz w:val="24"/>
          <w:szCs w:val="24"/>
        </w:rPr>
        <w:t xml:space="preserve"> на постапката за оценка на уставноста и </w:t>
      </w:r>
      <w:r w:rsidRPr="001F2AA1">
        <w:rPr>
          <w:rFonts w:ascii="Times New Roman" w:hAnsi="Times New Roman" w:cs="Times New Roman"/>
          <w:i/>
          <w:sz w:val="24"/>
          <w:szCs w:val="24"/>
        </w:rPr>
        <w:t>начините</w:t>
      </w:r>
      <w:r w:rsidRPr="001F2AA1">
        <w:rPr>
          <w:rFonts w:ascii="Times New Roman" w:hAnsi="Times New Roman" w:cs="Times New Roman"/>
          <w:sz w:val="24"/>
          <w:szCs w:val="24"/>
        </w:rPr>
        <w:t xml:space="preserve"> за нејзино покренување.  Обата споменати елементи, се исклучително важни зошто конечно од истите зависи колку ќе биде ефикасен системот на контрола на уставноста. Имено, од изнаоѓањето на вистинска мерка во определувањето на субјектите кои ќе бидат овластени да ја покренат постапката,  од достапноста на граѓаните да покренат постапка пред судот, и ширината на оваластувањата на самиот суд да покрене постапка ex officio, директно e детерминиран одговорот на тоа дали системот ќе хибернира и ,,инцидентно”    ќе одлучува по уставни спорови или ќе има простор за активистички пристап кој ќе го постави прашањето за демократска легитимација на судот да креира полтика.  Затоа воспоставувањето на јасни и прецизни решенија кои го конкретизираат покренувањето на механизмот за оценка на уставноста, е неопходно за конструирање на систем кој ќе може да одговори на целите за кои е воспоставен.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Во врска со прашањето за начинот на покренување на постапката пред Уставниот суд во Италија, Уставот и уставните закони упатуваат на прифаќање на конвенционалното решение постапката пред судот да ја покренат точно определни овластени предлагачи од една страна без можност на Уставниот суд да покрене постапка за оценка на уставноста ex officio, од друга.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Првиот начин на покренување на постапката предвидува автоматизам во постапувањето на Судот, зошто истиот мора на предлог на овластените предлагачи да ја покрене постапката за оценка на уставноста на законот.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Вториот модалитет предвидудва можностуставните судови по службена должност да покренат постапка за оценка на уставноста.  Постапката пред Уставниот суд во Италија се заснова напринципот no </w:t>
      </w:r>
      <w:r w:rsidRPr="001F2AA1">
        <w:rPr>
          <w:rFonts w:ascii="Times New Roman" w:hAnsi="Times New Roman" w:cs="Times New Roman"/>
          <w:i/>
          <w:sz w:val="24"/>
          <w:szCs w:val="24"/>
        </w:rPr>
        <w:t xml:space="preserve">precеdatiudex ex officio. </w:t>
      </w:r>
      <w:r w:rsidRPr="001F2AA1">
        <w:rPr>
          <w:rFonts w:ascii="Times New Roman" w:hAnsi="Times New Roman" w:cs="Times New Roman"/>
          <w:sz w:val="24"/>
          <w:szCs w:val="24"/>
        </w:rPr>
        <w:t xml:space="preserve">Италијанскиот Уставен суд не ја покренува постапката за контрола на уставноста на законите по службена должност.  Италијанскиот уставотворец тргнал од претпоставката дека природата на постапките пред </w:t>
      </w:r>
      <w:r w:rsidRPr="001F2AA1">
        <w:rPr>
          <w:rFonts w:ascii="Times New Roman" w:hAnsi="Times New Roman" w:cs="Times New Roman"/>
          <w:sz w:val="24"/>
          <w:szCs w:val="24"/>
        </w:rPr>
        <w:lastRenderedPageBreak/>
        <w:t>уставниот суд наложува истите да се реализираат само по претходно поднесен предлог од страна на овластенитепредлагачи (</w:t>
      </w:r>
      <w:r w:rsidRPr="001F2AA1">
        <w:rPr>
          <w:rFonts w:ascii="Times New Roman" w:hAnsi="Times New Roman" w:cs="Times New Roman"/>
          <w:i/>
          <w:sz w:val="24"/>
          <w:szCs w:val="24"/>
        </w:rPr>
        <w:t>juridiccionvoluntaria</w:t>
      </w:r>
      <w:r w:rsidRPr="001F2AA1">
        <w:rPr>
          <w:rFonts w:ascii="Times New Roman" w:hAnsi="Times New Roman" w:cs="Times New Roman"/>
          <w:sz w:val="24"/>
          <w:szCs w:val="24"/>
        </w:rPr>
        <w:t xml:space="preserve">). Ниту Уставот, ниту уставните закони кои ја уредуваат оваа материја, не предвидуваат можност Уставниот суд на Италија да покрене постапка за оценка на уставноста ex officio.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Компаративното искуство посочува дека, најчесто со цел да се избегне можноста од активистичко постапување на судот, не се прифаќаат решенијата кои овозможуваат покренување на постапката за оценка на уставноста </w:t>
      </w:r>
      <w:r w:rsidRPr="001F2AA1">
        <w:rPr>
          <w:rFonts w:ascii="Times New Roman" w:hAnsi="Times New Roman" w:cs="Times New Roman"/>
          <w:i/>
          <w:sz w:val="24"/>
          <w:szCs w:val="24"/>
        </w:rPr>
        <w:t>ex officio.</w:t>
      </w:r>
      <w:r w:rsidRPr="001F2AA1">
        <w:rPr>
          <w:rFonts w:ascii="Times New Roman" w:hAnsi="Times New Roman" w:cs="Times New Roman"/>
          <w:sz w:val="24"/>
          <w:szCs w:val="24"/>
        </w:rPr>
        <w:t xml:space="preserve">Затоа со исклучок на неколку земји кои го прифаќаат европскиот модел на контрола на уставноста, најчесто практикувано решение врзано за механизмите на покренување на постапката за оценка на уставноста, е прецизното определување на предлагачите на постапката.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Во контекст на споменатото треба да се потенцира неопходноста дека  дури и кога постои правен основ Судот по своја иницијатива да покрене постапка за оценка на уставноста, истиот треба да биде прецизиран со точно определени услови и критериуми, објаснети со прецизни и недвосмислени термини. Имено, уставно судската книжевност упатува на неопходноста од јасно определување на условите кога судот би го остварил овластувањето да покрене постака за оценка на уставноста ex officio. Затоа,  примерот на австрискиот модел на контрола на уставноста на законите кој ја предвидува можноста судот ex officio  да покрене постапка за оценка на уставноста ,,кога треба да примени некој закон во постапка која е во тек или, кога законот е претпоставка за одлуката која судот треба да ја донесе</w:t>
      </w:r>
      <w:r w:rsidRPr="001F2AA1">
        <w:rPr>
          <w:rStyle w:val="FootnoteReference"/>
          <w:rFonts w:ascii="Times New Roman" w:hAnsi="Times New Roman" w:cs="Times New Roman"/>
          <w:sz w:val="24"/>
          <w:szCs w:val="24"/>
        </w:rPr>
        <w:footnoteReference w:id="15"/>
      </w:r>
      <w:r w:rsidRPr="001F2AA1">
        <w:rPr>
          <w:rFonts w:ascii="Times New Roman" w:hAnsi="Times New Roman" w:cs="Times New Roman"/>
          <w:sz w:val="24"/>
          <w:szCs w:val="24"/>
        </w:rPr>
        <w:t xml:space="preserve">’’ се оценува како ,,објективна форма’’ на контрола на уставноста.  Употребата на недоволно јасни и непрецизни решенија како ,,покренување на постапкапо иницијатива на самиот уставен суд,  кога постои сомневање во уставноста на законот” или ,, покренување постапка од страна на Судот ex officio  кога тоа е правно фундирано”,  оставаат простор за манипулација на судот при толкувањето на овие одредби и можност истиот да ги пречекори границите на своите овластувања. </w:t>
      </w:r>
    </w:p>
    <w:p w:rsidR="002C565B" w:rsidRPr="001F2AA1" w:rsidRDefault="002C565B" w:rsidP="002C565B">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Во контекст на споменатото, прифаќањето на генерално овластување на судот секогаш кога смета дека тоа е основано да покрене постапка ex officio без конкретен услов кога тоа може да го стори, во уставното судство се оценува дека остава неограничено </w:t>
      </w:r>
      <w:r w:rsidRPr="001F2AA1">
        <w:rPr>
          <w:rFonts w:ascii="Times New Roman" w:hAnsi="Times New Roman" w:cs="Times New Roman"/>
          <w:sz w:val="24"/>
          <w:szCs w:val="24"/>
        </w:rPr>
        <w:lastRenderedPageBreak/>
        <w:t xml:space="preserve">овластување на судот кое може да биде злоупотребено во услови кога судот ќе развие активистички амбиции.  Затоа, во правната теорија и уставно судската пракса овој начин на покренување на постапката се смета за дискутабилени во врска со него се изразуваат критички гледишта. </w:t>
      </w:r>
    </w:p>
    <w:p w:rsidR="002C565B" w:rsidRPr="001F2AA1" w:rsidRDefault="002C565B" w:rsidP="002C565B">
      <w:pPr>
        <w:spacing w:line="360" w:lineRule="auto"/>
        <w:ind w:firstLine="720"/>
        <w:jc w:val="both"/>
        <w:rPr>
          <w:rFonts w:ascii="Times New Roman" w:hAnsi="Times New Roman" w:cs="Times New Roman"/>
          <w:i/>
          <w:sz w:val="24"/>
          <w:szCs w:val="24"/>
        </w:rPr>
      </w:pPr>
    </w:p>
    <w:p w:rsidR="002C565B" w:rsidRPr="001F2AA1" w:rsidRDefault="002C565B" w:rsidP="001F2AA1">
      <w:pPr>
        <w:pStyle w:val="Heading3"/>
        <w:ind w:firstLine="720"/>
        <w:rPr>
          <w:rFonts w:ascii="Times New Roman" w:hAnsi="Times New Roman" w:cs="Times New Roman"/>
          <w:b w:val="0"/>
          <w:i/>
          <w:color w:val="auto"/>
          <w:sz w:val="24"/>
          <w:szCs w:val="24"/>
        </w:rPr>
      </w:pPr>
      <w:bookmarkStart w:id="6" w:name="_Toc359941037"/>
      <w:r w:rsidRPr="001F2AA1">
        <w:rPr>
          <w:rFonts w:ascii="Times New Roman" w:hAnsi="Times New Roman" w:cs="Times New Roman"/>
          <w:b w:val="0"/>
          <w:i/>
          <w:color w:val="auto"/>
          <w:sz w:val="24"/>
          <w:szCs w:val="24"/>
        </w:rPr>
        <w:t>Заклучно за италијанскиот модел на контрола на уставноста</w:t>
      </w:r>
      <w:bookmarkEnd w:id="6"/>
    </w:p>
    <w:p w:rsidR="00D61DF2" w:rsidRPr="001F2AA1" w:rsidRDefault="00D61DF2" w:rsidP="00D61DF2">
      <w:pPr>
        <w:pStyle w:val="ListParagraph"/>
        <w:rPr>
          <w:rFonts w:ascii="Times New Roman" w:hAnsi="Times New Roman" w:cs="Times New Roman"/>
          <w:sz w:val="24"/>
          <w:szCs w:val="24"/>
        </w:rPr>
      </w:pPr>
    </w:p>
    <w:p w:rsidR="002C565B" w:rsidRPr="001F2AA1" w:rsidRDefault="002C565B" w:rsidP="00132950">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Моделот на контрола на уставноста, иако првично замислен да ја продолжи традицијата на ,, чистиот’’ келзенов (австриски) модел на контрола на уставноста, во многу елементи отстапува од него. Ова, особено заради, 1) можнос</w:t>
      </w:r>
      <w:r w:rsidR="00EB0462" w:rsidRPr="001F2AA1">
        <w:rPr>
          <w:rFonts w:ascii="Times New Roman" w:hAnsi="Times New Roman" w:cs="Times New Roman"/>
          <w:sz w:val="24"/>
          <w:szCs w:val="24"/>
        </w:rPr>
        <w:t>та на судиите од редовното судст</w:t>
      </w:r>
      <w:r w:rsidRPr="001F2AA1">
        <w:rPr>
          <w:rFonts w:ascii="Times New Roman" w:hAnsi="Times New Roman" w:cs="Times New Roman"/>
          <w:sz w:val="24"/>
          <w:szCs w:val="24"/>
        </w:rPr>
        <w:t xml:space="preserve">во дискреционо да одлучат дали ќе покренат постапка за оценка на уставноста пред уставниот суд (конкретна контрола на уставноста), 2) надлежноста на редовното судтсво да ја оценува законитоста и уставноста на подзаконските правни акти и 3) видот на одлуки кои судот ги донесува –интерпретативните одлуки за уставноста на законите.  Последните, не само што ги детерминираат односите со легислативата, туку  отстапуваат од келзеновата замисла на уставниот суд како негативен законодавец, односно како орган кој ја продолжува нормотворната дејност само тогаш кога законодавниот орган тоа нема да го постигне.  Затоа италијанскиот модел се вели идеолошки опстојува во просторот помеѓу европскиот централизиран модел и дифузниот американски модел. Моделот на контрола на уставноста во Италија ги обединува не само кокретната и апстрактната контрола на уставноста, туку и превентивната и репресивната контрола на уставноста. </w:t>
      </w:r>
    </w:p>
    <w:p w:rsidR="002C565B" w:rsidRPr="001F2AA1" w:rsidRDefault="002C565B" w:rsidP="00EB0462">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Конечно, како обележја на италијанскиот модел на контрола на уставноста, за кој се заклучува дека отстапува од централизираниот модел чија асоцијација е европскиот (австриски) модел на контрола на уставноста, се наведуваат не само структурните обележја на моделот и коктелот од апстрактна и инцидентна (конкретна) контрола на уставноста, субјектите легитимирани да ја покренат постапката за оценка на уставноста или дејството на одлуките на италијанскиот Уставен суд.  Можеби, конечната претстава за овој европски модел на контрола на уставноста би се добила кога истиот би се анализирал низ призмата на Бикеловата теорија, односно низ обидот да се објективизира системот низ </w:t>
      </w:r>
      <w:r w:rsidRPr="001F2AA1">
        <w:rPr>
          <w:rFonts w:ascii="Times New Roman" w:hAnsi="Times New Roman" w:cs="Times New Roman"/>
          <w:sz w:val="24"/>
          <w:szCs w:val="24"/>
        </w:rPr>
        <w:lastRenderedPageBreak/>
        <w:t xml:space="preserve">прашањата: </w:t>
      </w:r>
      <w:r w:rsidRPr="001F2AA1">
        <w:rPr>
          <w:rFonts w:ascii="Times New Roman" w:hAnsi="Times New Roman" w:cs="Times New Roman"/>
          <w:i/>
          <w:sz w:val="24"/>
          <w:szCs w:val="24"/>
        </w:rPr>
        <w:t xml:space="preserve">до кој степен постои можност Уставниот суд да го избегне одлучувањето за уставни прашања </w:t>
      </w:r>
      <w:r w:rsidRPr="001F2AA1">
        <w:rPr>
          <w:rFonts w:ascii="Times New Roman" w:hAnsi="Times New Roman" w:cs="Times New Roman"/>
          <w:sz w:val="24"/>
          <w:szCs w:val="24"/>
        </w:rPr>
        <w:t xml:space="preserve">и </w:t>
      </w:r>
      <w:r w:rsidRPr="001F2AA1">
        <w:rPr>
          <w:rFonts w:ascii="Times New Roman" w:hAnsi="Times New Roman" w:cs="Times New Roman"/>
          <w:i/>
          <w:sz w:val="24"/>
          <w:szCs w:val="24"/>
        </w:rPr>
        <w:t>во кој обем Уставниот суд ќе навлезе во прашањето за уставност на законот, односно дали ќе сеограничинаthemadecidedumилиќе има поголема дискреција во одлучувањето.</w:t>
      </w:r>
      <w:r w:rsidRPr="001F2AA1">
        <w:rPr>
          <w:rFonts w:ascii="Times New Roman" w:hAnsi="Times New Roman" w:cs="Times New Roman"/>
          <w:sz w:val="24"/>
          <w:szCs w:val="24"/>
        </w:rPr>
        <w:t xml:space="preserve"> Имено, </w:t>
      </w:r>
      <w:r w:rsidR="00132950" w:rsidRPr="001F2AA1">
        <w:rPr>
          <w:rFonts w:ascii="Times New Roman" w:hAnsi="Times New Roman" w:cs="Times New Roman"/>
          <w:sz w:val="24"/>
          <w:szCs w:val="24"/>
        </w:rPr>
        <w:t>Бикеловата теорија во ,,</w:t>
      </w:r>
      <w:r w:rsidRPr="001F2AA1">
        <w:rPr>
          <w:rFonts w:ascii="Times New Roman" w:hAnsi="Times New Roman" w:cs="Times New Roman"/>
          <w:sz w:val="24"/>
          <w:szCs w:val="24"/>
        </w:rPr>
        <w:t xml:space="preserve">американски контекст’’ се однесува на т.н </w:t>
      </w:r>
      <w:r w:rsidRPr="001F2AA1">
        <w:rPr>
          <w:rFonts w:ascii="Times New Roman" w:hAnsi="Times New Roman" w:cs="Times New Roman"/>
          <w:i/>
          <w:sz w:val="24"/>
          <w:szCs w:val="24"/>
        </w:rPr>
        <w:t>passive virtue</w:t>
      </w:r>
      <w:r w:rsidRPr="001F2AA1">
        <w:rPr>
          <w:rFonts w:ascii="Times New Roman" w:hAnsi="Times New Roman" w:cs="Times New Roman"/>
          <w:sz w:val="24"/>
          <w:szCs w:val="24"/>
        </w:rPr>
        <w:t xml:space="preserve"> на судот, односно на можноста Врховниот суд на САД за контроверзни уставни прашања да одбие да одлучува освен ако за тоа нема поволни услови односно доколку постои т.н уставен </w:t>
      </w:r>
      <w:r w:rsidRPr="001F2AA1">
        <w:rPr>
          <w:rFonts w:ascii="Times New Roman" w:hAnsi="Times New Roman" w:cs="Times New Roman"/>
          <w:i/>
          <w:sz w:val="24"/>
          <w:szCs w:val="24"/>
        </w:rPr>
        <w:t>momentum</w:t>
      </w:r>
      <w:r w:rsidRPr="001F2AA1">
        <w:rPr>
          <w:rFonts w:ascii="Times New Roman" w:hAnsi="Times New Roman" w:cs="Times New Roman"/>
          <w:sz w:val="24"/>
          <w:szCs w:val="24"/>
        </w:rPr>
        <w:t xml:space="preserve">. Тоа значи дека судот може да одлучи да не постапува во случајот или да се задржи само на правната но не и уставната основа при одлучување во конкретен спор или при одлучувањето да избегне донесување на одлука која би се однесувала на уставните вредности. Во случајот со уставните судови во ,, европски контекст’’ се чини како да е исклучена можноста за примена на т.н passive virtue особено заради: 1) централизираниот модел на контрола на уставноста, 2) уставната позиционираност на уставниот суд  во системот, 3) имплементирањето и практикувањето првично на апстрактната контрола на уставноста 4) прецизното детерминирање на субјектите-покренувачи на постапката  и неможноста дискреционо да се одлучи да не се постапува 5) видот на одлуките (особено касаторните одлуки) содејствоergaomnes.   Затоа европските уставни судови по природа се ,, </w:t>
      </w:r>
      <w:r w:rsidRPr="001F2AA1">
        <w:rPr>
          <w:rFonts w:ascii="Times New Roman" w:hAnsi="Times New Roman" w:cs="Times New Roman"/>
          <w:i/>
          <w:sz w:val="24"/>
          <w:szCs w:val="24"/>
          <w:u w:val="single"/>
        </w:rPr>
        <w:t>анти-Бикеловски’’</w:t>
      </w:r>
      <w:r w:rsidRPr="001F2AA1">
        <w:rPr>
          <w:rFonts w:ascii="Times New Roman" w:hAnsi="Times New Roman" w:cs="Times New Roman"/>
          <w:sz w:val="24"/>
          <w:szCs w:val="24"/>
        </w:rPr>
        <w:t>. Италијанскиот Уставен суд  отстапува од споменатата перцепција. Во прилог би можеле да се разгледаат две прашања:</w:t>
      </w:r>
    </w:p>
    <w:p w:rsidR="002C565B" w:rsidRPr="001F2AA1" w:rsidRDefault="002C565B" w:rsidP="00D941F1">
      <w:pPr>
        <w:pStyle w:val="ListParagraph"/>
        <w:numPr>
          <w:ilvl w:val="0"/>
          <w:numId w:val="8"/>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Дали Уставниот суд има овластување дискреционо да одлучи да не постапува по прашање за уставноста на законите, и дали има воопшто дискрециони овластувања при одлучувањето?  Италијанскиот, како воопшто сите европски уставни судови од централизираниот модел на контрола на уставноста, е врзан со правната сигурност како вредност.Дисперзираните, децентрализирани модели  на контрола на уставноста каде сите судови ја оценуваат уставноста на законите се соочуваат со можноста од појава на спротивставени правни становишта и одлуки кои ,,раѓаат” правна несигурност. Тоа не е случај кога еден специјализиран орган (суд) би ја имал надлежноста да ја врши контролата на уставноста.  Оттука, како негова оригинерна и изворна надлежност, уставниот суд нема можност  по некој основ да одбие оценка на уставноста на правниот акт (законот). Теоријата потенцира дека за да се обезбеди дополнителна гаранција за споменатото,  уставните системи </w:t>
      </w:r>
      <w:r w:rsidRPr="001F2AA1">
        <w:rPr>
          <w:rFonts w:ascii="Times New Roman" w:hAnsi="Times New Roman" w:cs="Times New Roman"/>
          <w:sz w:val="24"/>
          <w:szCs w:val="24"/>
        </w:rPr>
        <w:lastRenderedPageBreak/>
        <w:t>прецизно ги определуваат субјектите –покренувачи активно легитимирани да покренат постапка за оценка на уставноста, по чиј предлогсудот ex constitutionemмора</w:t>
      </w:r>
      <w:r w:rsidR="00132950" w:rsidRPr="001F2AA1">
        <w:rPr>
          <w:rFonts w:ascii="Times New Roman" w:hAnsi="Times New Roman" w:cs="Times New Roman"/>
          <w:sz w:val="24"/>
          <w:szCs w:val="24"/>
        </w:rPr>
        <w:t>да</w:t>
      </w:r>
      <w:r w:rsidRPr="001F2AA1">
        <w:rPr>
          <w:rFonts w:ascii="Times New Roman" w:hAnsi="Times New Roman" w:cs="Times New Roman"/>
          <w:sz w:val="24"/>
          <w:szCs w:val="24"/>
        </w:rPr>
        <w:t xml:space="preserve">постапи. Сето споменато се однесува на Уставниот суд на Италија  особено кога треба да се реализира апстрактна контрола на уставноста.  Во поглед на тоа дека Уставниот суд  нема можност да одбие одлучување во уставен спор потврудва и фактот што уставниот систем не ја препознава уставната жалба како инструмент за заштита на правата на граѓаните, преку кој индиректно би можало да се покрене прашањето за оценка на уставноста на законите. Имено, во системите кои го имплементираат овој механизам, теоријата препознава можност одпримена на американскиот writ of certiorari и избегнување да се покрене постапка што не значи дека системот нема никаков outcome од  поднесеното барање, зошто судскиот систем во конкретниот спор веќе одлучувал за барањето за заштита на конкретното право на граѓанинот.  Во Италија, системот не ги препознава граѓаните како активо легитимирани субјекти да покренат постапка пред Уставниот суд ниту го препознава инструментот на уставна жалба.  Сепак, дискреција во постапувањето на Уставниот суд на Италија се препознава во манифестираната активност да донесува интерпретативни одлуки особено </w:t>
      </w:r>
      <w:r w:rsidRPr="001F2AA1">
        <w:rPr>
          <w:rFonts w:ascii="Times New Roman" w:hAnsi="Times New Roman" w:cs="Times New Roman"/>
          <w:i/>
          <w:sz w:val="24"/>
          <w:szCs w:val="24"/>
        </w:rPr>
        <w:t>Интерпретативните пресуди за уставноста на законот односно т.н  корективни одлуки.</w:t>
      </w:r>
      <w:r w:rsidRPr="001F2AA1">
        <w:rPr>
          <w:rFonts w:ascii="Times New Roman" w:hAnsi="Times New Roman" w:cs="Times New Roman"/>
          <w:sz w:val="24"/>
          <w:szCs w:val="24"/>
        </w:rPr>
        <w:t xml:space="preserve"> Со нив Судот го одбива предлогот за поништување на спорниот закон,  притоа давајќи им  прецизно значење на спорните одлуки. Показател за дискрецијата во постапувањето се и </w:t>
      </w:r>
      <w:r w:rsidRPr="001F2AA1">
        <w:rPr>
          <w:rFonts w:ascii="Times New Roman" w:hAnsi="Times New Roman" w:cs="Times New Roman"/>
          <w:i/>
          <w:sz w:val="24"/>
          <w:szCs w:val="24"/>
        </w:rPr>
        <w:t>дополнителните одлуки</w:t>
      </w:r>
      <w:r w:rsidRPr="001F2AA1">
        <w:rPr>
          <w:rFonts w:ascii="Times New Roman" w:hAnsi="Times New Roman" w:cs="Times New Roman"/>
          <w:sz w:val="24"/>
          <w:szCs w:val="24"/>
        </w:rPr>
        <w:t xml:space="preserve">, со кои судот го прогласува законот како неуставен, не заради целите кои актот ги постигнува, туку заради тоа целите кои законот не ги постигнува. Со овие одлуки Судот ги пречекорува своите ограничувања на негативен законодавец и суптилно навлегува во изворната создавачка надлежност на парламентот да ги уредува општествените односи со норми.  Како пример за дискреција би се споменале и т.н </w:t>
      </w:r>
      <w:r w:rsidRPr="001F2AA1">
        <w:rPr>
          <w:rFonts w:ascii="Times New Roman" w:hAnsi="Times New Roman" w:cs="Times New Roman"/>
          <w:i/>
          <w:sz w:val="24"/>
          <w:szCs w:val="24"/>
        </w:rPr>
        <w:t>дополнителни принципи</w:t>
      </w:r>
      <w:r w:rsidRPr="001F2AA1">
        <w:rPr>
          <w:rFonts w:ascii="Times New Roman" w:hAnsi="Times New Roman" w:cs="Times New Roman"/>
          <w:sz w:val="24"/>
          <w:szCs w:val="24"/>
        </w:rPr>
        <w:t>и</w:t>
      </w:r>
      <w:r w:rsidRPr="001F2AA1">
        <w:rPr>
          <w:rFonts w:ascii="Times New Roman" w:hAnsi="Times New Roman" w:cs="Times New Roman"/>
          <w:i/>
          <w:sz w:val="24"/>
          <w:szCs w:val="24"/>
        </w:rPr>
        <w:t xml:space="preserve"> опоменувачките одлуки.</w:t>
      </w:r>
    </w:p>
    <w:p w:rsidR="002C565B" w:rsidRPr="001F2AA1" w:rsidRDefault="002C565B" w:rsidP="00D941F1">
      <w:pPr>
        <w:pStyle w:val="ListParagraph"/>
        <w:numPr>
          <w:ilvl w:val="0"/>
          <w:numId w:val="9"/>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Второто прашање се однесува на утврдување на можноста од примена на техниките на судски минимализам, односно </w:t>
      </w:r>
      <w:r w:rsidR="00132950" w:rsidRPr="001F2AA1">
        <w:rPr>
          <w:rFonts w:ascii="Times New Roman" w:hAnsi="Times New Roman" w:cs="Times New Roman"/>
          <w:sz w:val="24"/>
          <w:szCs w:val="24"/>
        </w:rPr>
        <w:t>разгледување на споровите ,,</w:t>
      </w:r>
      <w:r w:rsidRPr="001F2AA1">
        <w:rPr>
          <w:rFonts w:ascii="Times New Roman" w:hAnsi="Times New Roman" w:cs="Times New Roman"/>
          <w:sz w:val="24"/>
          <w:szCs w:val="24"/>
        </w:rPr>
        <w:t xml:space="preserve">еден-по- еден”, одлучување со примена на техниката конкретниот спор да не се издигнува на ниво на уставно прашање и донесување на одлуки кои ќе се однесуваат само на </w:t>
      </w:r>
      <w:r w:rsidRPr="001F2AA1">
        <w:rPr>
          <w:rFonts w:ascii="Times New Roman" w:hAnsi="Times New Roman" w:cs="Times New Roman"/>
          <w:sz w:val="24"/>
          <w:szCs w:val="24"/>
        </w:rPr>
        <w:lastRenderedPageBreak/>
        <w:t xml:space="preserve">конкретниот спор.  Во контекст на ова потребно е да се потенцира дека централизираниот модел на контрола на уставноста  се поврзува изворно со апстрактната контрола на уставноста, што подразбира не само неможност да се постапи по предлогот на предлагачот, туку неопходност да се одлучи за уставноста на законот, некој негов дел или одредби и тоа со посочување на неговата спротивност со конкретни уставни одредби и преку рагледување на последиците кои можат да се очекуваат од примената на неуставната одредба. Во Италија, недостатокот од уставна жалба и релативно ограничениот број субјекти кои можат да го покренат прашањето за оценка на уставноста се чини како да е избалансиран со можноста судовите од редовното судство сами или на барање на конкретни субјекти во врска со конкретен судски спор да побараат оценка на уставноста на законот кој треба да го применат. Оваа, иако првично замислена како  инцидентна –конкретна контрола на уставноста, се чини во Италија претставува основно обележје на нејзиниот  модел. </w:t>
      </w:r>
      <w:r w:rsidRPr="001F2AA1">
        <w:rPr>
          <w:rFonts w:ascii="Times New Roman" w:hAnsi="Times New Roman" w:cs="Times New Roman"/>
          <w:i/>
          <w:sz w:val="24"/>
          <w:szCs w:val="24"/>
        </w:rPr>
        <w:t>Groopi</w:t>
      </w:r>
      <w:r w:rsidRPr="001F2AA1">
        <w:rPr>
          <w:rFonts w:ascii="Times New Roman" w:hAnsi="Times New Roman" w:cs="Times New Roman"/>
          <w:sz w:val="24"/>
          <w:szCs w:val="24"/>
        </w:rPr>
        <w:t>посочувадекапричината од преовладување на инцидентната за сметка на апстрактната контрола на уставноста треба да се бара во охрабрувањето на судовите од страна Уставниот суд повеќе и подлабоко да се инволвираат во уставната контрола на законите и заедно со него да ја остваруваат улогата на чувар на уставноста, но и како резултат на неоходноста судовите се почесто да се повикуваат не само на националното, туку и наднационалното право при одлучувањето</w:t>
      </w:r>
      <w:r w:rsidRPr="001F2AA1">
        <w:rPr>
          <w:rStyle w:val="FootnoteReference"/>
          <w:rFonts w:ascii="Times New Roman" w:hAnsi="Times New Roman" w:cs="Times New Roman"/>
          <w:sz w:val="24"/>
          <w:szCs w:val="24"/>
        </w:rPr>
        <w:footnoteReference w:id="16"/>
      </w:r>
      <w:r w:rsidRPr="001F2AA1">
        <w:rPr>
          <w:rFonts w:ascii="Times New Roman" w:hAnsi="Times New Roman" w:cs="Times New Roman"/>
          <w:sz w:val="24"/>
          <w:szCs w:val="24"/>
        </w:rPr>
        <w:t>.   Доминацијата на инцидиентната контрола на уставноста остава простор како штопосочува</w:t>
      </w:r>
      <w:r w:rsidRPr="001F2AA1">
        <w:rPr>
          <w:rFonts w:ascii="Times New Roman" w:hAnsi="Times New Roman" w:cs="Times New Roman"/>
          <w:i/>
          <w:sz w:val="24"/>
          <w:szCs w:val="24"/>
        </w:rPr>
        <w:t>Victor Ferreres</w:t>
      </w:r>
      <w:r w:rsidRPr="001F2AA1">
        <w:rPr>
          <w:rFonts w:ascii="Times New Roman" w:hAnsi="Times New Roman" w:cs="Times New Roman"/>
          <w:sz w:val="24"/>
          <w:szCs w:val="24"/>
        </w:rPr>
        <w:t xml:space="preserve"> ,,уставнитесудовида ја играат минималистичката игра”</w:t>
      </w:r>
      <w:r w:rsidRPr="001F2AA1">
        <w:rPr>
          <w:rStyle w:val="FootnoteReference"/>
          <w:rFonts w:ascii="Times New Roman" w:hAnsi="Times New Roman" w:cs="Times New Roman"/>
          <w:sz w:val="24"/>
          <w:szCs w:val="24"/>
        </w:rPr>
        <w:footnoteReference w:id="17"/>
      </w:r>
      <w:r w:rsidRPr="001F2AA1">
        <w:rPr>
          <w:rFonts w:ascii="Times New Roman" w:hAnsi="Times New Roman" w:cs="Times New Roman"/>
          <w:sz w:val="24"/>
          <w:szCs w:val="24"/>
        </w:rPr>
        <w:t xml:space="preserve">. Така Судот не ги разгледува сите аспекти и последици од спорниот закон, туку само оние кои се релевантни за конкретниот случај по повод кој била покрената постапката за оценка на уставноста. Иако во италијанскиот случај,Судот ретко отстапува од наводите во предлогот за оценка на уставноста што претставува дискреционо пречекорување на одредбата за </w:t>
      </w:r>
      <w:r w:rsidRPr="001F2AA1">
        <w:rPr>
          <w:rFonts w:ascii="Times New Roman" w:hAnsi="Times New Roman" w:cs="Times New Roman"/>
          <w:sz w:val="24"/>
          <w:szCs w:val="24"/>
        </w:rPr>
        <w:lastRenderedPageBreak/>
        <w:t xml:space="preserve">одлучување во рамките на поднесениот предлог, тој не ретко прибегнува и кон примената на минималистичките техники  кои доаѓаат до израз при т.н корективни одлуки на Уставниот суд како облик на интерпретативни одлуки а особено интерпретативните одлуки за поништување на законоткоинемаатergaomnesефект, туку се однесуваат само на конкретниот случај кој ја иницирал постапката за оценка на уставноста. </w:t>
      </w:r>
    </w:p>
    <w:p w:rsidR="002C565B" w:rsidRPr="001F2AA1" w:rsidRDefault="002C565B" w:rsidP="00EB0462">
      <w:pPr>
        <w:spacing w:line="360" w:lineRule="auto"/>
        <w:ind w:firstLine="720"/>
        <w:jc w:val="both"/>
        <w:rPr>
          <w:rFonts w:ascii="Times New Roman" w:hAnsi="Times New Roman" w:cs="Times New Roman"/>
          <w:sz w:val="24"/>
          <w:szCs w:val="24"/>
        </w:rPr>
      </w:pPr>
      <w:r w:rsidRPr="001F2AA1">
        <w:rPr>
          <w:rFonts w:ascii="Times New Roman" w:hAnsi="Times New Roman" w:cs="Times New Roman"/>
          <w:sz w:val="24"/>
          <w:szCs w:val="24"/>
        </w:rPr>
        <w:t xml:space="preserve">Затоа конечно може да се заклучи дека обележјата на италијанскиот модел на контрола на уставноста  не претставуваат рефлексија на чистиот келзенов модел.  Анализата на споменатите елементи не го чинат италијанскиот модел анти–Бикеловски.  Затоа, останува потврдена импресијата дека овој модел опстојува во просторот помеѓу европскиот и американскиот модел на контрола на уставноста. </w:t>
      </w:r>
    </w:p>
    <w:p w:rsidR="00132950" w:rsidRPr="001F2AA1" w:rsidRDefault="00132950" w:rsidP="00EB0462">
      <w:pPr>
        <w:spacing w:line="360" w:lineRule="auto"/>
        <w:ind w:firstLine="720"/>
        <w:jc w:val="both"/>
        <w:rPr>
          <w:rFonts w:ascii="Times New Roman" w:hAnsi="Times New Roman" w:cs="Times New Roman"/>
          <w:sz w:val="24"/>
          <w:szCs w:val="24"/>
        </w:rPr>
      </w:pPr>
    </w:p>
    <w:p w:rsidR="008A1AC0" w:rsidRPr="001F2AA1" w:rsidRDefault="00132950" w:rsidP="008A1AC0">
      <w:pPr>
        <w:spacing w:line="360" w:lineRule="auto"/>
        <w:ind w:firstLine="720"/>
        <w:jc w:val="both"/>
        <w:rPr>
          <w:rStyle w:val="HTMLCite"/>
          <w:rFonts w:ascii="Times New Roman" w:hAnsi="Times New Roman" w:cs="Times New Roman"/>
          <w:b/>
          <w:i w:val="0"/>
          <w:iCs w:val="0"/>
          <w:sz w:val="24"/>
          <w:szCs w:val="24"/>
        </w:rPr>
      </w:pPr>
      <w:r w:rsidRPr="001F2AA1">
        <w:rPr>
          <w:rFonts w:ascii="Times New Roman" w:hAnsi="Times New Roman" w:cs="Times New Roman"/>
          <w:b/>
          <w:sz w:val="24"/>
          <w:szCs w:val="24"/>
        </w:rPr>
        <w:t>Користена литератур</w:t>
      </w:r>
      <w:r w:rsidR="008A1AC0" w:rsidRPr="001F2AA1">
        <w:rPr>
          <w:rFonts w:ascii="Times New Roman" w:hAnsi="Times New Roman" w:cs="Times New Roman"/>
          <w:b/>
          <w:sz w:val="24"/>
          <w:szCs w:val="24"/>
        </w:rPr>
        <w:t>а</w:t>
      </w:r>
    </w:p>
    <w:p w:rsidR="008A1AC0" w:rsidRPr="001F2AA1" w:rsidRDefault="008A1AC0" w:rsidP="008A1AC0">
      <w:pPr>
        <w:pStyle w:val="FootnoteText"/>
        <w:spacing w:line="360" w:lineRule="auto"/>
        <w:jc w:val="both"/>
        <w:rPr>
          <w:rFonts w:ascii="Times New Roman" w:hAnsi="Times New Roman" w:cs="Times New Roman"/>
          <w:sz w:val="24"/>
          <w:szCs w:val="24"/>
        </w:rPr>
      </w:pPr>
    </w:p>
    <w:p w:rsidR="008A1AC0" w:rsidRPr="001F2AA1" w:rsidRDefault="008A1AC0" w:rsidP="00D941F1">
      <w:pPr>
        <w:pStyle w:val="ListParagraph"/>
        <w:numPr>
          <w:ilvl w:val="0"/>
          <w:numId w:val="10"/>
        </w:numPr>
        <w:spacing w:line="360" w:lineRule="auto"/>
        <w:jc w:val="both"/>
        <w:rPr>
          <w:rStyle w:val="HTMLCite"/>
          <w:rFonts w:ascii="Times New Roman" w:hAnsi="Times New Roman" w:cs="Times New Roman"/>
          <w:b/>
          <w:bCs/>
          <w:sz w:val="24"/>
          <w:szCs w:val="24"/>
        </w:rPr>
      </w:pPr>
      <w:r w:rsidRPr="001F2AA1">
        <w:rPr>
          <w:rFonts w:ascii="Times New Roman" w:hAnsi="Times New Roman" w:cs="Times New Roman"/>
          <w:sz w:val="24"/>
          <w:szCs w:val="24"/>
        </w:rPr>
        <w:t>FerreresVictor .</w:t>
      </w:r>
      <w:r w:rsidRPr="001F2AA1">
        <w:rPr>
          <w:rFonts w:ascii="Times New Roman" w:hAnsi="Times New Roman" w:cs="Times New Roman"/>
          <w:i/>
          <w:sz w:val="24"/>
          <w:szCs w:val="24"/>
        </w:rPr>
        <w:t>The Consequences  of Centralizing Constitutional Review in a Special Court.Sometoughts on Judicial Activism.</w:t>
      </w:r>
      <w:r w:rsidRPr="001F2AA1">
        <w:rPr>
          <w:rFonts w:ascii="Times New Roman" w:hAnsi="Times New Roman" w:cs="Times New Roman"/>
          <w:sz w:val="24"/>
          <w:szCs w:val="24"/>
        </w:rPr>
        <w:t xml:space="preserve"> Yale Law School SELA papers. 2004.  </w:t>
      </w:r>
      <w:r w:rsidRPr="001F2AA1">
        <w:rPr>
          <w:rStyle w:val="HTMLCite"/>
          <w:rFonts w:ascii="Times New Roman" w:hAnsi="Times New Roman" w:cs="Times New Roman"/>
          <w:sz w:val="24"/>
          <w:szCs w:val="24"/>
        </w:rPr>
        <w:t>digitalcommons.</w:t>
      </w:r>
      <w:r w:rsidRPr="001F2AA1">
        <w:rPr>
          <w:rStyle w:val="HTMLCite"/>
          <w:rFonts w:ascii="Times New Roman" w:hAnsi="Times New Roman" w:cs="Times New Roman"/>
          <w:bCs/>
          <w:sz w:val="24"/>
          <w:szCs w:val="24"/>
        </w:rPr>
        <w:t>law</w:t>
      </w:r>
      <w:r w:rsidRPr="001F2AA1">
        <w:rPr>
          <w:rStyle w:val="HTMLCite"/>
          <w:rFonts w:ascii="Times New Roman" w:hAnsi="Times New Roman" w:cs="Times New Roman"/>
          <w:sz w:val="24"/>
          <w:szCs w:val="24"/>
        </w:rPr>
        <w:t>.</w:t>
      </w:r>
      <w:r w:rsidRPr="001F2AA1">
        <w:rPr>
          <w:rStyle w:val="HTMLCite"/>
          <w:rFonts w:ascii="Times New Roman" w:hAnsi="Times New Roman" w:cs="Times New Roman"/>
          <w:bCs/>
          <w:sz w:val="24"/>
          <w:szCs w:val="24"/>
        </w:rPr>
        <w:t>yale</w:t>
      </w:r>
      <w:r w:rsidRPr="001F2AA1">
        <w:rPr>
          <w:rStyle w:val="HTMLCite"/>
          <w:rFonts w:ascii="Times New Roman" w:hAnsi="Times New Roman" w:cs="Times New Roman"/>
          <w:sz w:val="24"/>
          <w:szCs w:val="24"/>
        </w:rPr>
        <w:t>.edu/cgi/viewcontent.cgi?article...yls_</w:t>
      </w:r>
      <w:r w:rsidRPr="001F2AA1">
        <w:rPr>
          <w:rStyle w:val="HTMLCite"/>
          <w:rFonts w:ascii="Times New Roman" w:hAnsi="Times New Roman" w:cs="Times New Roman"/>
          <w:bCs/>
          <w:sz w:val="24"/>
          <w:szCs w:val="24"/>
        </w:rPr>
        <w:t>sela</w:t>
      </w:r>
    </w:p>
    <w:p w:rsidR="008A1AC0" w:rsidRPr="001F2AA1" w:rsidRDefault="008A1AC0" w:rsidP="00D941F1">
      <w:pPr>
        <w:pStyle w:val="FootnoteText"/>
        <w:numPr>
          <w:ilvl w:val="0"/>
          <w:numId w:val="10"/>
        </w:numPr>
        <w:spacing w:line="360" w:lineRule="auto"/>
        <w:jc w:val="both"/>
        <w:rPr>
          <w:rStyle w:val="HTMLCite"/>
          <w:rFonts w:ascii="Times New Roman" w:hAnsi="Times New Roman" w:cs="Times New Roman"/>
          <w:i w:val="0"/>
          <w:iCs w:val="0"/>
          <w:sz w:val="24"/>
          <w:szCs w:val="24"/>
        </w:rPr>
      </w:pPr>
      <w:r w:rsidRPr="001F2AA1">
        <w:rPr>
          <w:rFonts w:ascii="Times New Roman" w:hAnsi="Times New Roman" w:cs="Times New Roman"/>
          <w:sz w:val="24"/>
          <w:szCs w:val="24"/>
        </w:rPr>
        <w:t xml:space="preserve">Francesco Biagi.  </w:t>
      </w:r>
      <w:r w:rsidRPr="001F2AA1">
        <w:rPr>
          <w:rFonts w:ascii="Times New Roman" w:hAnsi="Times New Roman" w:cs="Times New Roman"/>
          <w:i/>
          <w:sz w:val="24"/>
          <w:szCs w:val="24"/>
        </w:rPr>
        <w:t>The Constituttional Courts as Guardians of ,,Substantive” Transitions: The case of Italy, Spain and Czech Republic</w:t>
      </w:r>
      <w:r w:rsidRPr="001F2AA1">
        <w:rPr>
          <w:rFonts w:ascii="Times New Roman" w:hAnsi="Times New Roman" w:cs="Times New Roman"/>
          <w:sz w:val="24"/>
          <w:szCs w:val="24"/>
        </w:rPr>
        <w:t xml:space="preserve">. 2010. p.5 </w:t>
      </w:r>
      <w:hyperlink r:id="rId8" w:history="1">
        <w:r w:rsidRPr="001F2AA1">
          <w:rPr>
            <w:rStyle w:val="Hyperlink"/>
            <w:rFonts w:ascii="Times New Roman" w:hAnsi="Times New Roman" w:cs="Times New Roman"/>
            <w:sz w:val="24"/>
            <w:szCs w:val="24"/>
          </w:rPr>
          <w:t>www.juridicas.unam.mx/wccl/ponencias/16/281.pdf</w:t>
        </w:r>
      </w:hyperlink>
    </w:p>
    <w:p w:rsidR="008A1AC0" w:rsidRPr="001F2AA1" w:rsidRDefault="008A1AC0" w:rsidP="00D941F1">
      <w:pPr>
        <w:pStyle w:val="FootnoteText"/>
        <w:numPr>
          <w:ilvl w:val="0"/>
          <w:numId w:val="10"/>
        </w:numPr>
        <w:spacing w:line="360" w:lineRule="auto"/>
        <w:jc w:val="both"/>
        <w:rPr>
          <w:rStyle w:val="HTMLCite"/>
          <w:rFonts w:ascii="Times New Roman" w:hAnsi="Times New Roman" w:cs="Times New Roman"/>
          <w:sz w:val="24"/>
          <w:szCs w:val="24"/>
        </w:rPr>
      </w:pPr>
      <w:r w:rsidRPr="001F2AA1">
        <w:rPr>
          <w:rFonts w:ascii="Times New Roman" w:hAnsi="Times New Roman" w:cs="Times New Roman"/>
          <w:sz w:val="24"/>
          <w:szCs w:val="24"/>
        </w:rPr>
        <w:t xml:space="preserve">GentiliGianluca.  </w:t>
      </w:r>
      <w:r w:rsidRPr="001F2AA1">
        <w:rPr>
          <w:rFonts w:ascii="Times New Roman" w:hAnsi="Times New Roman" w:cs="Times New Roman"/>
          <w:i/>
          <w:sz w:val="24"/>
          <w:szCs w:val="24"/>
        </w:rPr>
        <w:t>A Comparison of European Systems of Direct Access to Constitutional Judges: Exploring Advantages for The Italian Constitutional Court.</w:t>
      </w:r>
      <w:r w:rsidRPr="001F2AA1">
        <w:rPr>
          <w:rFonts w:ascii="Times New Roman" w:hAnsi="Times New Roman" w:cs="Times New Roman"/>
          <w:sz w:val="24"/>
          <w:szCs w:val="24"/>
        </w:rPr>
        <w:t xml:space="preserve"> Italian journal of public law. Vol 4.2012 </w:t>
      </w:r>
      <w:hyperlink r:id="rId9" w:history="1">
        <w:r w:rsidRPr="001F2AA1">
          <w:rPr>
            <w:rStyle w:val="Hyperlink"/>
            <w:rFonts w:ascii="Times New Roman" w:hAnsi="Times New Roman" w:cs="Times New Roman"/>
            <w:sz w:val="24"/>
            <w:szCs w:val="24"/>
          </w:rPr>
          <w:t>www.ijpl.</w:t>
        </w:r>
        <w:r w:rsidRPr="001F2AA1">
          <w:rPr>
            <w:rStyle w:val="Hyperlink"/>
            <w:rFonts w:ascii="Times New Roman" w:hAnsi="Times New Roman" w:cs="Times New Roman"/>
            <w:bCs/>
            <w:sz w:val="24"/>
            <w:szCs w:val="24"/>
          </w:rPr>
          <w:t>eu</w:t>
        </w:r>
        <w:r w:rsidRPr="001F2AA1">
          <w:rPr>
            <w:rStyle w:val="Hyperlink"/>
            <w:rFonts w:ascii="Times New Roman" w:hAnsi="Times New Roman" w:cs="Times New Roman"/>
            <w:sz w:val="24"/>
            <w:szCs w:val="24"/>
          </w:rPr>
          <w:t>/assets/files/pdf/2012_volume_1/7.</w:t>
        </w:r>
        <w:r w:rsidRPr="001F2AA1">
          <w:rPr>
            <w:rStyle w:val="Hyperlink"/>
            <w:rFonts w:ascii="Times New Roman" w:hAnsi="Times New Roman" w:cs="Times New Roman"/>
            <w:bCs/>
            <w:sz w:val="24"/>
            <w:szCs w:val="24"/>
          </w:rPr>
          <w:t>Gentili</w:t>
        </w:r>
        <w:r w:rsidRPr="001F2AA1">
          <w:rPr>
            <w:rStyle w:val="Hyperlink"/>
            <w:rFonts w:ascii="Times New Roman" w:hAnsi="Times New Roman" w:cs="Times New Roman"/>
            <w:sz w:val="24"/>
            <w:szCs w:val="24"/>
          </w:rPr>
          <w:t>.pdf</w:t>
        </w:r>
      </w:hyperlink>
    </w:p>
    <w:p w:rsidR="008A1AC0" w:rsidRPr="001F2AA1" w:rsidRDefault="008A1AC0" w:rsidP="00D941F1">
      <w:pPr>
        <w:pStyle w:val="ListParagraph"/>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Giancarlo Rolla&amp;TaniaGroppi.   </w:t>
      </w:r>
      <w:r w:rsidRPr="001F2AA1">
        <w:rPr>
          <w:rFonts w:ascii="Times New Roman" w:hAnsi="Times New Roman" w:cs="Times New Roman"/>
          <w:i/>
          <w:sz w:val="24"/>
          <w:szCs w:val="24"/>
        </w:rPr>
        <w:t>Between Politics and Law: The development of the Constitutional Review in Italy. Constitutional Justice, East and West</w:t>
      </w:r>
      <w:r w:rsidRPr="001F2AA1">
        <w:rPr>
          <w:rFonts w:ascii="Times New Roman" w:hAnsi="Times New Roman" w:cs="Times New Roman"/>
          <w:sz w:val="24"/>
          <w:szCs w:val="24"/>
        </w:rPr>
        <w:t xml:space="preserve">. Edited by WojciechSadurski. Kluwer Law International.2002. </w:t>
      </w:r>
    </w:p>
    <w:p w:rsidR="008A1AC0" w:rsidRPr="001F2AA1" w:rsidRDefault="008A1AC0" w:rsidP="00D941F1">
      <w:pPr>
        <w:pStyle w:val="FootnoteText"/>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Groopi Tania. </w:t>
      </w:r>
      <w:r w:rsidRPr="001F2AA1">
        <w:rPr>
          <w:rFonts w:ascii="Times New Roman" w:hAnsi="Times New Roman" w:cs="Times New Roman"/>
          <w:i/>
          <w:sz w:val="24"/>
          <w:szCs w:val="24"/>
        </w:rPr>
        <w:t xml:space="preserve">The Relationship between Constitutional Courts, Legislators, and Judicial power in the European System of Judicial Review.- Towards a Decentralized System as </w:t>
      </w:r>
      <w:r w:rsidRPr="001F2AA1">
        <w:rPr>
          <w:rFonts w:ascii="Times New Roman" w:hAnsi="Times New Roman" w:cs="Times New Roman"/>
          <w:i/>
          <w:sz w:val="24"/>
          <w:szCs w:val="24"/>
        </w:rPr>
        <w:lastRenderedPageBreak/>
        <w:t>an alternative to Judicial Activism.</w:t>
      </w:r>
      <w:r w:rsidRPr="001F2AA1">
        <w:rPr>
          <w:rFonts w:ascii="Times New Roman" w:hAnsi="Times New Roman" w:cs="Times New Roman"/>
          <w:sz w:val="24"/>
          <w:szCs w:val="24"/>
        </w:rPr>
        <w:t xml:space="preserve"> Conference on Judicial Activism and restraint theory and practice of constitutional rights. (European Commission for democracy through law) Strasbourg. july.2010.</w:t>
      </w:r>
    </w:p>
    <w:p w:rsidR="008A1AC0" w:rsidRPr="001F2AA1" w:rsidRDefault="008A1AC0" w:rsidP="00D941F1">
      <w:pPr>
        <w:pStyle w:val="ListParagraph"/>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KulicDimitrije. </w:t>
      </w:r>
      <w:r w:rsidRPr="001F2AA1">
        <w:rPr>
          <w:rFonts w:ascii="Times New Roman" w:hAnsi="Times New Roman" w:cs="Times New Roman"/>
          <w:i/>
          <w:sz w:val="24"/>
          <w:szCs w:val="24"/>
        </w:rPr>
        <w:t>Ustavosudstvo u svetu</w:t>
      </w:r>
      <w:r w:rsidRPr="001F2AA1">
        <w:rPr>
          <w:rFonts w:ascii="Times New Roman" w:hAnsi="Times New Roman" w:cs="Times New Roman"/>
          <w:sz w:val="24"/>
          <w:szCs w:val="24"/>
        </w:rPr>
        <w:t>. 1969.</w:t>
      </w:r>
    </w:p>
    <w:p w:rsidR="008A1AC0" w:rsidRPr="001F2AA1" w:rsidRDefault="008A1AC0" w:rsidP="00D941F1">
      <w:pPr>
        <w:pStyle w:val="FootnoteText"/>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LamarqueElisabetta.  </w:t>
      </w:r>
      <w:r w:rsidRPr="001F2AA1">
        <w:rPr>
          <w:rFonts w:ascii="Times New Roman" w:hAnsi="Times New Roman" w:cs="Times New Roman"/>
          <w:i/>
          <w:sz w:val="24"/>
          <w:szCs w:val="24"/>
        </w:rPr>
        <w:t>Interpreting Statutes in Conformity with the Constitution: The Role of the Constitutional Court and Ordinary Judges</w:t>
      </w:r>
      <w:r w:rsidRPr="001F2AA1">
        <w:rPr>
          <w:rFonts w:ascii="Times New Roman" w:hAnsi="Times New Roman" w:cs="Times New Roman"/>
          <w:sz w:val="24"/>
          <w:szCs w:val="24"/>
        </w:rPr>
        <w:t>. Italian Journal of Public Law. Vol 1.No1.2010.p. 96.http://www.ijpl.eu/archive/2010/issues-11/interpreting-statutes-in-conformity-with-the-constitution-the-role-of-the-constitutional-court-and-ordinary-judges</w:t>
      </w:r>
    </w:p>
    <w:p w:rsidR="008A1AC0" w:rsidRPr="001F2AA1" w:rsidRDefault="008A1AC0" w:rsidP="00D941F1">
      <w:pPr>
        <w:pStyle w:val="FootnoteText"/>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Stankovic Marko. </w:t>
      </w:r>
      <w:r w:rsidRPr="001F2AA1">
        <w:rPr>
          <w:rFonts w:ascii="Times New Roman" w:hAnsi="Times New Roman" w:cs="Times New Roman"/>
          <w:i/>
          <w:sz w:val="24"/>
          <w:szCs w:val="24"/>
        </w:rPr>
        <w:t>Ustavnisudkaoaktivninormotvorac. –o interpretativnimodlukataustavnihsudova</w:t>
      </w:r>
      <w:r w:rsidRPr="001F2AA1">
        <w:rPr>
          <w:rFonts w:ascii="Times New Roman" w:hAnsi="Times New Roman" w:cs="Times New Roman"/>
          <w:sz w:val="24"/>
          <w:szCs w:val="24"/>
        </w:rPr>
        <w:t xml:space="preserve">. Pravnizivot-casopiszapravnuteoriju I praksu. Br.12/2011/Kniga 550 1-984 Beograd. </w:t>
      </w:r>
    </w:p>
    <w:p w:rsidR="008A1AC0" w:rsidRPr="001F2AA1" w:rsidRDefault="008A1AC0" w:rsidP="00D941F1">
      <w:pPr>
        <w:pStyle w:val="ListParagraph"/>
        <w:numPr>
          <w:ilvl w:val="0"/>
          <w:numId w:val="10"/>
        </w:numPr>
        <w:spacing w:line="360" w:lineRule="auto"/>
        <w:jc w:val="both"/>
        <w:rPr>
          <w:rStyle w:val="HTMLCite"/>
          <w:rFonts w:ascii="Times New Roman" w:hAnsi="Times New Roman" w:cs="Times New Roman"/>
          <w:sz w:val="24"/>
          <w:szCs w:val="24"/>
        </w:rPr>
      </w:pPr>
      <w:r w:rsidRPr="001F2AA1">
        <w:rPr>
          <w:rFonts w:ascii="Times New Roman" w:hAnsi="Times New Roman" w:cs="Times New Roman"/>
          <w:sz w:val="24"/>
          <w:szCs w:val="24"/>
        </w:rPr>
        <w:t xml:space="preserve">Tania Groppi. </w:t>
      </w:r>
      <w:r w:rsidRPr="001F2AA1">
        <w:rPr>
          <w:rFonts w:ascii="Times New Roman" w:hAnsi="Times New Roman" w:cs="Times New Roman"/>
          <w:i/>
          <w:sz w:val="24"/>
          <w:szCs w:val="24"/>
        </w:rPr>
        <w:t>The Italian Constitutional Court: Towards a Multilevel System of Constitutional review.</w:t>
      </w:r>
      <w:r w:rsidRPr="001F2AA1">
        <w:rPr>
          <w:rFonts w:ascii="Times New Roman" w:hAnsi="Times New Roman" w:cs="Times New Roman"/>
          <w:sz w:val="24"/>
          <w:szCs w:val="24"/>
        </w:rPr>
        <w:t xml:space="preserve"> 2010. </w:t>
      </w:r>
      <w:r w:rsidRPr="001F2AA1">
        <w:rPr>
          <w:rStyle w:val="HTMLCite"/>
          <w:rFonts w:ascii="Times New Roman" w:hAnsi="Times New Roman" w:cs="Times New Roman"/>
          <w:sz w:val="24"/>
          <w:szCs w:val="24"/>
        </w:rPr>
        <w:t>www.astrid-online.it/.../</w:t>
      </w:r>
      <w:r w:rsidRPr="001F2AA1">
        <w:rPr>
          <w:rStyle w:val="HTMLCite"/>
          <w:rFonts w:ascii="Times New Roman" w:hAnsi="Times New Roman" w:cs="Times New Roman"/>
          <w:bCs/>
          <w:sz w:val="24"/>
          <w:szCs w:val="24"/>
        </w:rPr>
        <w:t>Italy</w:t>
      </w:r>
      <w:r w:rsidRPr="001F2AA1">
        <w:rPr>
          <w:rStyle w:val="HTMLCite"/>
          <w:rFonts w:ascii="Times New Roman" w:hAnsi="Times New Roman" w:cs="Times New Roman"/>
          <w:sz w:val="24"/>
          <w:szCs w:val="24"/>
        </w:rPr>
        <w:t>-</w:t>
      </w:r>
      <w:r w:rsidRPr="001F2AA1">
        <w:rPr>
          <w:rStyle w:val="HTMLCite"/>
          <w:rFonts w:ascii="Times New Roman" w:hAnsi="Times New Roman" w:cs="Times New Roman"/>
          <w:bCs/>
          <w:sz w:val="24"/>
          <w:szCs w:val="24"/>
        </w:rPr>
        <w:t>constitutional</w:t>
      </w:r>
      <w:r w:rsidRPr="001F2AA1">
        <w:rPr>
          <w:rStyle w:val="HTMLCite"/>
          <w:rFonts w:ascii="Times New Roman" w:hAnsi="Times New Roman" w:cs="Times New Roman"/>
          <w:sz w:val="24"/>
          <w:szCs w:val="24"/>
        </w:rPr>
        <w:t>-</w:t>
      </w:r>
      <w:r w:rsidRPr="001F2AA1">
        <w:rPr>
          <w:rStyle w:val="HTMLCite"/>
          <w:rFonts w:ascii="Times New Roman" w:hAnsi="Times New Roman" w:cs="Times New Roman"/>
          <w:bCs/>
          <w:sz w:val="24"/>
          <w:szCs w:val="24"/>
        </w:rPr>
        <w:t>Court</w:t>
      </w:r>
      <w:r w:rsidRPr="001F2AA1">
        <w:rPr>
          <w:rStyle w:val="HTMLCite"/>
          <w:rFonts w:ascii="Times New Roman" w:hAnsi="Times New Roman" w:cs="Times New Roman"/>
          <w:sz w:val="24"/>
          <w:szCs w:val="24"/>
        </w:rPr>
        <w:t>-JCL_T_</w:t>
      </w:r>
      <w:r w:rsidRPr="001F2AA1">
        <w:rPr>
          <w:rStyle w:val="HTMLCite"/>
          <w:rFonts w:ascii="Times New Roman" w:hAnsi="Times New Roman" w:cs="Times New Roman"/>
          <w:bCs/>
          <w:sz w:val="24"/>
          <w:szCs w:val="24"/>
        </w:rPr>
        <w:t>Groppi</w:t>
      </w:r>
      <w:r w:rsidRPr="001F2AA1">
        <w:rPr>
          <w:rStyle w:val="HTMLCite"/>
          <w:rFonts w:ascii="Times New Roman" w:hAnsi="Times New Roman" w:cs="Times New Roman"/>
          <w:sz w:val="24"/>
          <w:szCs w:val="24"/>
        </w:rPr>
        <w:t>.pdf</w:t>
      </w:r>
    </w:p>
    <w:p w:rsidR="008A1AC0" w:rsidRPr="001F2AA1" w:rsidRDefault="008A1AC0" w:rsidP="00D941F1">
      <w:pPr>
        <w:pStyle w:val="ListParagraph"/>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Лово Филип. </w:t>
      </w:r>
      <w:r w:rsidRPr="001F2AA1">
        <w:rPr>
          <w:rFonts w:ascii="Times New Roman" w:hAnsi="Times New Roman" w:cs="Times New Roman"/>
          <w:i/>
          <w:sz w:val="24"/>
          <w:szCs w:val="24"/>
        </w:rPr>
        <w:t>Велике савремене демократије.</w:t>
      </w:r>
      <w:r w:rsidRPr="001F2AA1">
        <w:rPr>
          <w:rFonts w:ascii="Times New Roman" w:hAnsi="Times New Roman" w:cs="Times New Roman"/>
          <w:sz w:val="24"/>
          <w:szCs w:val="24"/>
        </w:rPr>
        <w:t xml:space="preserve"> Нови Сад. 1999. </w:t>
      </w:r>
    </w:p>
    <w:p w:rsidR="008A1AC0" w:rsidRPr="001F2AA1" w:rsidRDefault="008A1AC0" w:rsidP="00D941F1">
      <w:pPr>
        <w:pStyle w:val="FootnoteText"/>
        <w:numPr>
          <w:ilvl w:val="0"/>
          <w:numId w:val="10"/>
        </w:numPr>
        <w:spacing w:line="360" w:lineRule="auto"/>
        <w:jc w:val="both"/>
        <w:rPr>
          <w:rFonts w:ascii="Times New Roman" w:hAnsi="Times New Roman" w:cs="Times New Roman"/>
          <w:sz w:val="24"/>
          <w:szCs w:val="24"/>
        </w:rPr>
      </w:pPr>
      <w:r w:rsidRPr="001F2AA1">
        <w:rPr>
          <w:rFonts w:ascii="Times New Roman" w:hAnsi="Times New Roman" w:cs="Times New Roman"/>
          <w:sz w:val="24"/>
          <w:szCs w:val="24"/>
        </w:rPr>
        <w:t xml:space="preserve">Славнић Љиљана. </w:t>
      </w:r>
      <w:r w:rsidRPr="001F2AA1">
        <w:rPr>
          <w:rFonts w:ascii="Times New Roman" w:hAnsi="Times New Roman" w:cs="Times New Roman"/>
          <w:i/>
          <w:sz w:val="24"/>
          <w:szCs w:val="24"/>
        </w:rPr>
        <w:t>Од државе која одумире ка правној држави</w:t>
      </w:r>
      <w:r w:rsidRPr="001F2AA1">
        <w:rPr>
          <w:rFonts w:ascii="Times New Roman" w:hAnsi="Times New Roman" w:cs="Times New Roman"/>
          <w:sz w:val="24"/>
          <w:szCs w:val="24"/>
        </w:rPr>
        <w:t>. Службени гласник. Београд.1994.</w:t>
      </w:r>
    </w:p>
    <w:p w:rsidR="001F2AA1" w:rsidRPr="001F2AA1" w:rsidRDefault="001F2AA1" w:rsidP="001F2AA1">
      <w:pPr>
        <w:pStyle w:val="ListParagraph"/>
        <w:rPr>
          <w:rFonts w:ascii="Times New Roman" w:hAnsi="Times New Roman" w:cs="Times New Roman"/>
          <w:b/>
          <w:i/>
          <w:sz w:val="24"/>
          <w:szCs w:val="24"/>
        </w:rPr>
      </w:pPr>
    </w:p>
    <w:p w:rsidR="001F2AA1" w:rsidRPr="001F2AA1" w:rsidRDefault="001F2AA1" w:rsidP="001F2AA1">
      <w:pPr>
        <w:pStyle w:val="ListParagraph"/>
        <w:rPr>
          <w:rFonts w:ascii="Times New Roman" w:hAnsi="Times New Roman" w:cs="Times New Roman"/>
          <w:b/>
          <w:i/>
          <w:sz w:val="24"/>
          <w:szCs w:val="24"/>
        </w:rPr>
      </w:pPr>
    </w:p>
    <w:p w:rsidR="001F2AA1" w:rsidRPr="001F2AA1" w:rsidRDefault="001F2AA1" w:rsidP="001F2AA1">
      <w:pPr>
        <w:pStyle w:val="ListParagraph"/>
        <w:jc w:val="center"/>
        <w:rPr>
          <w:rFonts w:ascii="Times New Roman" w:hAnsi="Times New Roman" w:cs="Times New Roman"/>
          <w:b/>
          <w:i/>
          <w:sz w:val="24"/>
          <w:szCs w:val="24"/>
        </w:rPr>
      </w:pPr>
      <w:r w:rsidRPr="001F2AA1">
        <w:rPr>
          <w:rFonts w:ascii="Times New Roman" w:hAnsi="Times New Roman" w:cs="Times New Roman"/>
          <w:b/>
          <w:i/>
          <w:sz w:val="24"/>
          <w:szCs w:val="24"/>
        </w:rPr>
        <w:t>THE SYSTEM OF CONTROL OF CONSTITUTIONALITY OF LEGAL ACTS IN ITALY</w:t>
      </w:r>
    </w:p>
    <w:p w:rsidR="001F2AA1" w:rsidRPr="001F2AA1" w:rsidRDefault="001F2AA1" w:rsidP="001F2AA1">
      <w:pPr>
        <w:pStyle w:val="ListParagraph"/>
        <w:tabs>
          <w:tab w:val="left" w:pos="4035"/>
          <w:tab w:val="center" w:pos="4680"/>
        </w:tabs>
        <w:jc w:val="center"/>
        <w:rPr>
          <w:rFonts w:ascii="Times New Roman" w:hAnsi="Times New Roman" w:cs="Times New Roman"/>
          <w:b/>
          <w:i/>
          <w:sz w:val="24"/>
          <w:szCs w:val="24"/>
        </w:rPr>
      </w:pPr>
      <w:r w:rsidRPr="001F2AA1">
        <w:rPr>
          <w:rFonts w:ascii="Times New Roman" w:hAnsi="Times New Roman" w:cs="Times New Roman"/>
          <w:b/>
          <w:i/>
          <w:sz w:val="24"/>
          <w:szCs w:val="24"/>
        </w:rPr>
        <w:t>(Abstract)</w:t>
      </w:r>
    </w:p>
    <w:p w:rsidR="001F2AA1" w:rsidRPr="001F2AA1" w:rsidRDefault="001F2AA1" w:rsidP="001F2AA1">
      <w:pPr>
        <w:pStyle w:val="ListParagraph"/>
        <w:rPr>
          <w:rFonts w:ascii="Times New Roman" w:hAnsi="Times New Roman" w:cs="Times New Roman"/>
          <w:i/>
          <w:sz w:val="24"/>
          <w:szCs w:val="24"/>
        </w:rPr>
      </w:pPr>
    </w:p>
    <w:p w:rsidR="001F2AA1" w:rsidRPr="001F2AA1" w:rsidRDefault="001F2AA1" w:rsidP="001F2AA1">
      <w:pPr>
        <w:pStyle w:val="ListParagraph"/>
        <w:spacing w:after="0" w:line="240" w:lineRule="auto"/>
        <w:ind w:firstLine="720"/>
        <w:jc w:val="both"/>
        <w:rPr>
          <w:rFonts w:ascii="Times New Roman" w:eastAsia="Times New Roman" w:hAnsi="Times New Roman" w:cs="Times New Roman"/>
          <w:sz w:val="24"/>
          <w:szCs w:val="24"/>
        </w:rPr>
      </w:pPr>
      <w:r w:rsidRPr="001F2AA1">
        <w:rPr>
          <w:rFonts w:ascii="Times New Roman" w:eastAsia="Times New Roman" w:hAnsi="Times New Roman" w:cs="Times New Roman"/>
          <w:sz w:val="24"/>
          <w:szCs w:val="24"/>
        </w:rPr>
        <w:t>This paper analyzes the system of control of constitutionality in Italy.  I</w:t>
      </w:r>
      <w:r>
        <w:rPr>
          <w:rFonts w:ascii="Times New Roman" w:eastAsia="Times New Roman" w:hAnsi="Times New Roman" w:cs="Times New Roman"/>
          <w:sz w:val="24"/>
          <w:szCs w:val="24"/>
        </w:rPr>
        <w:t xml:space="preserve">t provides a detailed review of the system of </w:t>
      </w:r>
      <w:r w:rsidRPr="001F2AA1">
        <w:rPr>
          <w:rFonts w:ascii="Times New Roman" w:eastAsia="Times New Roman" w:hAnsi="Times New Roman" w:cs="Times New Roman"/>
          <w:sz w:val="24"/>
          <w:szCs w:val="24"/>
        </w:rPr>
        <w:t>control of the constitutionality of legal acts, the subject of control of constitutionality, and</w:t>
      </w:r>
      <w:r>
        <w:rPr>
          <w:rFonts w:ascii="Times New Roman" w:eastAsia="Times New Roman" w:hAnsi="Times New Roman" w:cs="Times New Roman"/>
          <w:sz w:val="24"/>
          <w:szCs w:val="24"/>
        </w:rPr>
        <w:t xml:space="preserve"> the mechanisms for triggering the procedure for control of constitutionality </w:t>
      </w:r>
      <w:r w:rsidRPr="001F2AA1">
        <w:rPr>
          <w:rFonts w:ascii="Times New Roman" w:eastAsia="Times New Roman" w:hAnsi="Times New Roman" w:cs="Times New Roman"/>
          <w:sz w:val="24"/>
          <w:szCs w:val="24"/>
        </w:rPr>
        <w:t>.  The model of control of constitutionality in Italy unites not only concrete and abstract control of constitutionality, but also preventive and repressive control of constitutionality.</w:t>
      </w:r>
      <w:r w:rsidRPr="001F2AA1">
        <w:rPr>
          <w:rFonts w:ascii="Times New Roman" w:eastAsia="Times New Roman" w:hAnsi="Times New Roman" w:cs="Times New Roman"/>
          <w:sz w:val="24"/>
          <w:szCs w:val="24"/>
        </w:rPr>
        <w:br/>
      </w:r>
    </w:p>
    <w:p w:rsidR="002C565B" w:rsidRPr="001F2AA1" w:rsidRDefault="001F2AA1" w:rsidP="001F2AA1">
      <w:pPr>
        <w:pStyle w:val="ListParagraph"/>
        <w:spacing w:after="0" w:line="240" w:lineRule="auto"/>
        <w:ind w:firstLine="720"/>
        <w:jc w:val="both"/>
        <w:rPr>
          <w:rFonts w:ascii="Times New Roman" w:eastAsia="Times New Roman" w:hAnsi="Times New Roman" w:cs="Times New Roman"/>
          <w:sz w:val="24"/>
          <w:szCs w:val="24"/>
        </w:rPr>
      </w:pPr>
      <w:r w:rsidRPr="001F2AA1">
        <w:rPr>
          <w:rFonts w:ascii="Times New Roman" w:eastAsia="Times New Roman" w:hAnsi="Times New Roman" w:cs="Times New Roman"/>
          <w:sz w:val="24"/>
          <w:szCs w:val="24"/>
        </w:rPr>
        <w:t xml:space="preserve">The author concludes that the Italian model of control of constitutionality,  deviates from the centralized, European (Austrian) model of control constitutionality, and as arguments cite structural features of this model and the cocktail of abstract and incidental (specific) control constitutionality,  or the effect of the decisions of the Italian Constitutional Court. The author concludes that this model of control of constitutionality </w:t>
      </w:r>
      <w:r w:rsidRPr="001F2AA1">
        <w:rPr>
          <w:rFonts w:ascii="Times New Roman" w:eastAsia="Times New Roman" w:hAnsi="Times New Roman" w:cs="Times New Roman"/>
          <w:sz w:val="24"/>
          <w:szCs w:val="24"/>
        </w:rPr>
        <w:lastRenderedPageBreak/>
        <w:t>is not a reflection of pure Kelzenian model. Therefore Italian model  ideologically exists in the space between centralized European m</w:t>
      </w:r>
      <w:r>
        <w:rPr>
          <w:rFonts w:ascii="Times New Roman" w:eastAsia="Times New Roman" w:hAnsi="Times New Roman" w:cs="Times New Roman"/>
          <w:sz w:val="24"/>
          <w:szCs w:val="24"/>
        </w:rPr>
        <w:t>odel and diffuse American model.</w:t>
      </w:r>
    </w:p>
    <w:sectPr w:rsidR="002C565B" w:rsidRPr="001F2AA1" w:rsidSect="00A94B4F">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C43" w:rsidRDefault="00A56C43" w:rsidP="002C565B">
      <w:pPr>
        <w:spacing w:after="0" w:line="240" w:lineRule="auto"/>
      </w:pPr>
      <w:r>
        <w:separator/>
      </w:r>
    </w:p>
  </w:endnote>
  <w:endnote w:type="continuationSeparator" w:id="0">
    <w:p w:rsidR="00A56C43" w:rsidRDefault="00A56C43" w:rsidP="002C56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5504"/>
      <w:docPartObj>
        <w:docPartGallery w:val="Page Numbers (Bottom of Page)"/>
        <w:docPartUnique/>
      </w:docPartObj>
    </w:sdtPr>
    <w:sdtEndPr/>
    <w:sdtContent>
      <w:p w:rsidR="000A4D82" w:rsidRDefault="0094719C">
        <w:pPr>
          <w:pStyle w:val="Footer"/>
          <w:jc w:val="right"/>
        </w:pPr>
        <w:r>
          <w:fldChar w:fldCharType="begin"/>
        </w:r>
        <w:r w:rsidR="005D0249">
          <w:instrText xml:space="preserve"> PAGE   \* MERGEFORMAT </w:instrText>
        </w:r>
        <w:r>
          <w:fldChar w:fldCharType="separate"/>
        </w:r>
        <w:r w:rsidR="009855F0">
          <w:rPr>
            <w:noProof/>
          </w:rPr>
          <w:t>1</w:t>
        </w:r>
        <w:r>
          <w:rPr>
            <w:noProof/>
          </w:rPr>
          <w:fldChar w:fldCharType="end"/>
        </w:r>
      </w:p>
    </w:sdtContent>
  </w:sdt>
  <w:p w:rsidR="000A4D82" w:rsidRDefault="000A4D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C43" w:rsidRDefault="00A56C43" w:rsidP="002C565B">
      <w:pPr>
        <w:spacing w:after="0" w:line="240" w:lineRule="auto"/>
      </w:pPr>
      <w:r>
        <w:separator/>
      </w:r>
    </w:p>
  </w:footnote>
  <w:footnote w:type="continuationSeparator" w:id="0">
    <w:p w:rsidR="00A56C43" w:rsidRDefault="00A56C43" w:rsidP="002C565B">
      <w:pPr>
        <w:spacing w:after="0" w:line="240" w:lineRule="auto"/>
      </w:pPr>
      <w:r>
        <w:continuationSeparator/>
      </w:r>
    </w:p>
  </w:footnote>
  <w:footnote w:id="1">
    <w:p w:rsidR="000A4D82" w:rsidRDefault="000A4D82" w:rsidP="002C565B">
      <w:pPr>
        <w:pStyle w:val="FootnoteText"/>
      </w:pPr>
      <w:r>
        <w:rPr>
          <w:rStyle w:val="FootnoteReference"/>
        </w:rPr>
        <w:footnoteRef/>
      </w:r>
      <w:r w:rsidRPr="000A7D13">
        <w:rPr>
          <w:i/>
        </w:rPr>
        <w:t>Велике савремене демократије</w:t>
      </w:r>
      <w:r>
        <w:t>. Филип Лово. Нoви Сад 1999.p.446.</w:t>
      </w:r>
    </w:p>
  </w:footnote>
  <w:footnote w:id="2">
    <w:p w:rsidR="000A4D82" w:rsidRPr="00864165" w:rsidRDefault="000A4D82" w:rsidP="002C565B">
      <w:pPr>
        <w:pStyle w:val="FootnoteText"/>
      </w:pPr>
      <w:r>
        <w:rPr>
          <w:rStyle w:val="FootnoteReference"/>
        </w:rPr>
        <w:footnoteRef/>
      </w:r>
      <w:r w:rsidRPr="00864165">
        <w:rPr>
          <w:i/>
        </w:rPr>
        <w:t>A Comaprison of the European Systems of Direct AcsessTo Constitutional Judges: Exploring Advantages of for the Italian Constitutional Court.</w:t>
      </w:r>
      <w:r>
        <w:t xml:space="preserve">GianculaGentili. P.183 </w:t>
      </w:r>
      <w:r w:rsidRPr="00864165">
        <w:t>http://www.ijpl.eu/assets/files/pdf/2012_volume_1/7.Gentili.pdf</w:t>
      </w:r>
    </w:p>
  </w:footnote>
  <w:footnote w:id="3">
    <w:p w:rsidR="000A4D82" w:rsidRPr="00C56E50" w:rsidRDefault="000A4D82" w:rsidP="002C565B">
      <w:pPr>
        <w:pStyle w:val="FootnoteText"/>
      </w:pPr>
      <w:r>
        <w:rPr>
          <w:rStyle w:val="FootnoteReference"/>
        </w:rPr>
        <w:footnoteRef/>
      </w:r>
      <w:r w:rsidRPr="00C56E50">
        <w:rPr>
          <w:i/>
        </w:rPr>
        <w:t>Ustavosudstvo u svetu</w:t>
      </w:r>
      <w:r>
        <w:t>.KulicDimitrije. 1969.p.77</w:t>
      </w:r>
    </w:p>
  </w:footnote>
  <w:footnote w:id="4">
    <w:p w:rsidR="000A4D82" w:rsidRPr="00741688" w:rsidRDefault="000A4D82" w:rsidP="002C565B">
      <w:pPr>
        <w:pStyle w:val="FootnoteText"/>
        <w:jc w:val="both"/>
      </w:pPr>
      <w:r>
        <w:rPr>
          <w:rStyle w:val="FootnoteReference"/>
        </w:rPr>
        <w:footnoteRef/>
      </w:r>
      <w:r>
        <w:t xml:space="preserve"> Славниќ истакнува дека покрај законите (сојузни и оние на федералните единици) предмет на контрола на уставноста се и </w:t>
      </w:r>
      <w:r w:rsidRPr="008735CD">
        <w:rPr>
          <w:i/>
        </w:rPr>
        <w:t>законите кои се изгласуваат со референдум</w:t>
      </w:r>
      <w:r>
        <w:t xml:space="preserve"> во чија постапка на донесува учествува и претставничкото тело пред или по одржувањето на референдумот, </w:t>
      </w:r>
      <w:r w:rsidRPr="008735CD">
        <w:rPr>
          <w:i/>
        </w:rPr>
        <w:t xml:space="preserve">автентичното толкување на законите </w:t>
      </w:r>
      <w:r>
        <w:t xml:space="preserve">кое го донесува законодавниот орган во форма на закон, и т.н </w:t>
      </w:r>
      <w:r w:rsidRPr="008735CD">
        <w:rPr>
          <w:i/>
        </w:rPr>
        <w:t>интерпретативни закони</w:t>
      </w:r>
      <w:r>
        <w:t xml:space="preserve"> кои имаат карактер на автентично толкување со кои се толкува некоја законска одредба од друг закон. Подетално за ова </w:t>
      </w:r>
      <w:r w:rsidRPr="008735CD">
        <w:rPr>
          <w:i/>
        </w:rPr>
        <w:t>Од државе која умире ка правној држави</w:t>
      </w:r>
      <w:r>
        <w:t>. Слави</w:t>
      </w:r>
      <w:r>
        <w:rPr>
          <w:rFonts w:cstheme="minorHAnsi"/>
        </w:rPr>
        <w:t>ћ</w:t>
      </w:r>
      <w:r>
        <w:t xml:space="preserve"> Љиљана. Београд. 1994. p.42-48.</w:t>
      </w:r>
    </w:p>
  </w:footnote>
  <w:footnote w:id="5">
    <w:p w:rsidR="000A4D82" w:rsidRPr="009C2170" w:rsidRDefault="000A4D82" w:rsidP="002C565B">
      <w:pPr>
        <w:pStyle w:val="FootnoteText"/>
      </w:pPr>
      <w:r>
        <w:rPr>
          <w:rStyle w:val="FootnoteReference"/>
        </w:rPr>
        <w:footnoteRef/>
      </w:r>
      <w:r w:rsidRPr="00353A53">
        <w:rPr>
          <w:i/>
        </w:rPr>
        <w:t>The Constituttional Courts as Guardians of ,,Substantive” Transitions: The case of Italy, Spain and Czech Republic</w:t>
      </w:r>
      <w:r>
        <w:t xml:space="preserve">. Francesco Biagi. 2010. p.5 </w:t>
      </w:r>
      <w:r>
        <w:rPr>
          <w:rStyle w:val="HTMLCite"/>
        </w:rPr>
        <w:t>www.juridicas.unam.mx/wccl/ponencias/16/281.pdf</w:t>
      </w:r>
    </w:p>
  </w:footnote>
  <w:footnote w:id="6">
    <w:p w:rsidR="000A4D82" w:rsidRDefault="000A4D82" w:rsidP="002C565B">
      <w:pPr>
        <w:pStyle w:val="FootnoteText"/>
      </w:pPr>
      <w:r>
        <w:rPr>
          <w:rStyle w:val="FootnoteReference"/>
        </w:rPr>
        <w:footnoteRef/>
      </w:r>
      <w:r>
        <w:t xml:space="preserve"> Чл.76 Устав на Италија</w:t>
      </w:r>
    </w:p>
  </w:footnote>
  <w:footnote w:id="7">
    <w:p w:rsidR="000A4D82" w:rsidRDefault="000A4D82" w:rsidP="002C565B">
      <w:pPr>
        <w:pStyle w:val="FootnoteText"/>
      </w:pPr>
      <w:r>
        <w:rPr>
          <w:rStyle w:val="FootnoteReference"/>
        </w:rPr>
        <w:footnoteRef/>
      </w:r>
      <w:r>
        <w:t xml:space="preserve"> Чл.77 Устав на Италија</w:t>
      </w:r>
    </w:p>
  </w:footnote>
  <w:footnote w:id="8">
    <w:p w:rsidR="000A4D82" w:rsidRDefault="000A4D82" w:rsidP="002C565B">
      <w:pPr>
        <w:pStyle w:val="FootnoteText"/>
        <w:jc w:val="both"/>
      </w:pPr>
      <w:r>
        <w:rPr>
          <w:rStyle w:val="FootnoteReference"/>
        </w:rPr>
        <w:footnoteRef/>
      </w:r>
      <w:r>
        <w:t xml:space="preserve">  Прашањето за уставноста на законите на регионите може да биде покренато пред уставниот суд од страна на премиерот во рок од 15 дена од денот на неговото известување од страна на претседателот на регионот дека законот е по вотр пат усвоен од страна на советот на регионот. </w:t>
      </w:r>
    </w:p>
    <w:p w:rsidR="000A4D82" w:rsidRDefault="000A4D82" w:rsidP="002C565B">
      <w:pPr>
        <w:pStyle w:val="FootnoteText"/>
      </w:pPr>
      <w:r>
        <w:t xml:space="preserve">Чл 31. Закон за Уставен суд no 87. од 1953 година. </w:t>
      </w:r>
      <w:r w:rsidRPr="00A8653B">
        <w:t>http://www.codices.coe.int/NXT/gateway.dll/CODICES/laws/eng/eur/ita?fn=document-frame.htm$f=templates$3.0</w:t>
      </w:r>
    </w:p>
  </w:footnote>
  <w:footnote w:id="9">
    <w:p w:rsidR="000A4D82" w:rsidRPr="00A8653B" w:rsidRDefault="000A4D82" w:rsidP="002C565B">
      <w:pPr>
        <w:pStyle w:val="FootnoteText"/>
        <w:jc w:val="both"/>
      </w:pPr>
      <w:r>
        <w:rPr>
          <w:rStyle w:val="FootnoteReference"/>
        </w:rPr>
        <w:footnoteRef/>
      </w:r>
      <w:r>
        <w:t xml:space="preserve"> Прашањето за оценка на уставноста на актите на регионите согласно одредбите од Законот за Уставен суд во 1948 година, може да биде покренато од властите на останатите региони. Прашањето може да се постави со поднесување на предлог до уставниот суд од страна на претседателот  на регионалната влада на некој друг регион, со задолжително известување на претседателот на регионот кој го донел неуставниот акт и до премиерот во рок од 60 дена од денот на објавувањето на законот. Чл.33 Закон за Уставен суд no 87. од 1953 година.</w:t>
      </w:r>
      <w:r w:rsidRPr="00A8653B">
        <w:t xml:space="preserve"> http://www.codices.coe.int/NXT/gateway.dll/CODICES/laws/eng/eur/ita?fn=document-frame.htm$f=templates$3.0</w:t>
      </w:r>
    </w:p>
  </w:footnote>
  <w:footnote w:id="10">
    <w:p w:rsidR="000A4D82" w:rsidRPr="006271E7" w:rsidRDefault="000A4D82" w:rsidP="002C565B">
      <w:pPr>
        <w:pStyle w:val="FootnoteText"/>
      </w:pPr>
      <w:r>
        <w:rPr>
          <w:rStyle w:val="FootnoteReference"/>
        </w:rPr>
        <w:footnoteRef/>
      </w:r>
      <w:r w:rsidRPr="00FE3B56">
        <w:rPr>
          <w:i/>
        </w:rPr>
        <w:t>Од државе која одумире ка правној држави</w:t>
      </w:r>
      <w:r>
        <w:t>. Слави</w:t>
      </w:r>
      <w:r>
        <w:rPr>
          <w:rFonts w:cstheme="minorHAnsi"/>
        </w:rPr>
        <w:t>ћ</w:t>
      </w:r>
      <w:r>
        <w:t xml:space="preserve"> Љиљана. Београд. 1994.p110</w:t>
      </w:r>
    </w:p>
  </w:footnote>
  <w:footnote w:id="11">
    <w:p w:rsidR="000A4D82" w:rsidRPr="000A591B" w:rsidRDefault="000A4D82" w:rsidP="002C565B">
      <w:pPr>
        <w:pStyle w:val="FootnoteText"/>
        <w:jc w:val="both"/>
      </w:pPr>
      <w:r>
        <w:rPr>
          <w:rStyle w:val="FootnoteReference"/>
        </w:rPr>
        <w:footnoteRef/>
      </w:r>
      <w:r>
        <w:t>Подетално за обидите за имплементирање на индивидуална уставна жалба во италијанскиот системoт на контрола на уставноста на законите види во:</w:t>
      </w:r>
      <w:r w:rsidRPr="00115B27">
        <w:rPr>
          <w:i/>
        </w:rPr>
        <w:t>A Comparison of European Systems of Direct Access to Constitutional Judges: Exploring Advantages for The Italian Constitutional Court.</w:t>
      </w:r>
      <w:r>
        <w:t xml:space="preserve">GentiliGianluca.Italian journal of public law. Vol 4.2012 p.188-197  </w:t>
      </w:r>
      <w:r>
        <w:rPr>
          <w:rStyle w:val="HTMLCite"/>
        </w:rPr>
        <w:t>www.ijpl.</w:t>
      </w:r>
      <w:r>
        <w:rPr>
          <w:rStyle w:val="HTMLCite"/>
          <w:b/>
          <w:bCs/>
        </w:rPr>
        <w:t>eu</w:t>
      </w:r>
      <w:r>
        <w:rPr>
          <w:rStyle w:val="HTMLCite"/>
        </w:rPr>
        <w:t>/assets/files/pdf/2012_volume_1/7.</w:t>
      </w:r>
      <w:r>
        <w:rPr>
          <w:rStyle w:val="HTMLCite"/>
          <w:b/>
          <w:bCs/>
        </w:rPr>
        <w:t>Gentili</w:t>
      </w:r>
      <w:r>
        <w:rPr>
          <w:rStyle w:val="HTMLCite"/>
        </w:rPr>
        <w:t>.pdf</w:t>
      </w:r>
    </w:p>
  </w:footnote>
  <w:footnote w:id="12">
    <w:p w:rsidR="000A4D82" w:rsidRPr="00AC05DD" w:rsidRDefault="000A4D82" w:rsidP="002C565B">
      <w:pPr>
        <w:pStyle w:val="FootnoteText"/>
      </w:pPr>
      <w:r>
        <w:rPr>
          <w:rStyle w:val="FootnoteReference"/>
        </w:rPr>
        <w:footnoteRef/>
      </w:r>
      <w:r>
        <w:t xml:space="preserve"> Види подетално:</w:t>
      </w:r>
      <w:r w:rsidRPr="00C23A41">
        <w:rPr>
          <w:i/>
        </w:rPr>
        <w:t>The Italian Constitutional Court: Towards a Multilevel System of Constitutional review.</w:t>
      </w:r>
      <w:r>
        <w:t xml:space="preserve"> Tania Groppi. 2010. p. 104.</w:t>
      </w:r>
      <w:r>
        <w:rPr>
          <w:rStyle w:val="HTMLCite"/>
        </w:rPr>
        <w:t>www.astrid-online.it/.../</w:t>
      </w:r>
      <w:r w:rsidRPr="00AC05DD">
        <w:rPr>
          <w:rStyle w:val="HTMLCite"/>
          <w:bCs/>
        </w:rPr>
        <w:t>Italy</w:t>
      </w:r>
      <w:r w:rsidRPr="00AC05DD">
        <w:rPr>
          <w:rStyle w:val="HTMLCite"/>
        </w:rPr>
        <w:t>-</w:t>
      </w:r>
      <w:r w:rsidRPr="00AC05DD">
        <w:rPr>
          <w:rStyle w:val="HTMLCite"/>
          <w:bCs/>
        </w:rPr>
        <w:t>constitutional</w:t>
      </w:r>
      <w:r w:rsidRPr="00AC05DD">
        <w:rPr>
          <w:rStyle w:val="HTMLCite"/>
        </w:rPr>
        <w:t>-</w:t>
      </w:r>
      <w:r w:rsidRPr="00AC05DD">
        <w:rPr>
          <w:rStyle w:val="HTMLCite"/>
          <w:bCs/>
        </w:rPr>
        <w:t>Court</w:t>
      </w:r>
      <w:r w:rsidRPr="00AC05DD">
        <w:rPr>
          <w:rStyle w:val="HTMLCite"/>
        </w:rPr>
        <w:t>-JCL_T_</w:t>
      </w:r>
      <w:r w:rsidRPr="00AC05DD">
        <w:rPr>
          <w:rStyle w:val="HTMLCite"/>
          <w:bCs/>
        </w:rPr>
        <w:t>Groppi</w:t>
      </w:r>
      <w:r w:rsidRPr="00AC05DD">
        <w:rPr>
          <w:rStyle w:val="HTMLCite"/>
        </w:rPr>
        <w:t>.pdf</w:t>
      </w:r>
    </w:p>
  </w:footnote>
  <w:footnote w:id="13">
    <w:p w:rsidR="000A4D82" w:rsidRPr="00AC05DD" w:rsidRDefault="000A4D82" w:rsidP="002C565B">
      <w:pPr>
        <w:pStyle w:val="FootnoteText"/>
      </w:pPr>
      <w:r w:rsidRPr="00AC05DD">
        <w:rPr>
          <w:rStyle w:val="FootnoteReference"/>
        </w:rPr>
        <w:footnoteRef/>
      </w:r>
      <w:r w:rsidRPr="00AC05DD">
        <w:rPr>
          <w:i/>
        </w:rPr>
        <w:t>A Comparison of European Systems of Direct Access to Constitutional Judges: Exploring Advantages for The Italian Constitutional Court.</w:t>
      </w:r>
      <w:r w:rsidRPr="00AC05DD">
        <w:t xml:space="preserve">GentiliGianluca.Italian journal of public law. Vol 4.2012 p.186-189 </w:t>
      </w:r>
      <w:r w:rsidRPr="00AC05DD">
        <w:rPr>
          <w:rStyle w:val="HTMLCite"/>
        </w:rPr>
        <w:t>www.ijpl.</w:t>
      </w:r>
      <w:r w:rsidRPr="00AC05DD">
        <w:rPr>
          <w:rStyle w:val="HTMLCite"/>
          <w:bCs/>
        </w:rPr>
        <w:t>eu</w:t>
      </w:r>
      <w:r w:rsidRPr="00AC05DD">
        <w:rPr>
          <w:rStyle w:val="HTMLCite"/>
        </w:rPr>
        <w:t>/assets/files/pdf/2012_volume_1/7.</w:t>
      </w:r>
      <w:r w:rsidRPr="00AC05DD">
        <w:rPr>
          <w:rStyle w:val="HTMLCite"/>
          <w:bCs/>
        </w:rPr>
        <w:t>Gentili</w:t>
      </w:r>
      <w:r w:rsidRPr="00AC05DD">
        <w:rPr>
          <w:rStyle w:val="HTMLCite"/>
        </w:rPr>
        <w:t>.pdf</w:t>
      </w:r>
    </w:p>
  </w:footnote>
  <w:footnote w:id="14">
    <w:p w:rsidR="000A4D82" w:rsidRPr="00777028" w:rsidRDefault="000A4D82" w:rsidP="002C565B">
      <w:pPr>
        <w:pStyle w:val="FootnoteText"/>
        <w:jc w:val="both"/>
      </w:pPr>
      <w:r>
        <w:rPr>
          <w:rStyle w:val="FootnoteReference"/>
        </w:rPr>
        <w:footnoteRef/>
      </w:r>
      <w:r w:rsidRPr="00DC1A04">
        <w:t xml:space="preserve">Моделот на контрола на уставноста </w:t>
      </w:r>
      <w:r>
        <w:t xml:space="preserve">во Италија </w:t>
      </w:r>
      <w:r w:rsidRPr="00DC1A04">
        <w:t xml:space="preserve">предвидува постоење на специјализиран орган со надлежност да ја оценува уставноста на законите </w:t>
      </w:r>
      <w:r>
        <w:t>(Уставен суд), а</w:t>
      </w:r>
      <w:r w:rsidRPr="00DC1A04">
        <w:t xml:space="preserve"> им оневозможува на судовите од редовниот суд</w:t>
      </w:r>
      <w:r>
        <w:t>ск</w:t>
      </w:r>
      <w:r w:rsidRPr="00DC1A04">
        <w:t>и систем тоа да го чинат. Сепак обележје кое е differentia specificaнаиталијанскиотмодел на контрола на уста</w:t>
      </w:r>
      <w:r>
        <w:t>в</w:t>
      </w:r>
      <w:r w:rsidRPr="00DC1A04">
        <w:t xml:space="preserve">носта е  можноста од т.н </w:t>
      </w:r>
      <w:r w:rsidRPr="00873172">
        <w:rPr>
          <w:i/>
        </w:rPr>
        <w:t>прелиминарна</w:t>
      </w:r>
      <w:r w:rsidRPr="00DC1A04">
        <w:t xml:space="preserve"> оценка на уставн</w:t>
      </w:r>
      <w:r>
        <w:t>о</w:t>
      </w:r>
      <w:r w:rsidRPr="00DC1A04">
        <w:t>ста на законите</w:t>
      </w:r>
      <w:r>
        <w:t>,</w:t>
      </w:r>
      <w:r w:rsidRPr="00DC1A04">
        <w:t xml:space="preserve"> кои редовните судови треба да ги применат во конкретни случаи и за кои можат да се јават како покренувачи на постапката пред Судот. Види подетално:</w:t>
      </w:r>
      <w:r w:rsidRPr="00777028">
        <w:rPr>
          <w:i/>
        </w:rPr>
        <w:t>Interpreting Statutes in Conformity with the Constitution: The Role of the Constitutional Court and Ordinary Judges</w:t>
      </w:r>
      <w:r>
        <w:t>. LamarqueElisabetta.  Italian Journal of Public Law.Vol 1.No1.2010.p. 96.</w:t>
      </w:r>
      <w:r w:rsidRPr="00777028">
        <w:t>http://www.ijpl.eu/archive/2010/issues-11/interpreting-statutes-in-conformity-with-the-constitution-the-role-of-the-constitutional-court-and-ordinary-judges</w:t>
      </w:r>
    </w:p>
  </w:footnote>
  <w:footnote w:id="15">
    <w:p w:rsidR="000A4D82" w:rsidRPr="000067E8" w:rsidRDefault="000A4D82" w:rsidP="002C565B">
      <w:pPr>
        <w:pStyle w:val="FootnoteText"/>
      </w:pPr>
      <w:r>
        <w:rPr>
          <w:rStyle w:val="FootnoteReference"/>
        </w:rPr>
        <w:footnoteRef/>
      </w:r>
      <w:r>
        <w:t xml:space="preserve"> Чл. 140 Устав на Австрија</w:t>
      </w:r>
    </w:p>
  </w:footnote>
  <w:footnote w:id="16">
    <w:p w:rsidR="000A4D82" w:rsidRPr="00AB2F5D" w:rsidRDefault="000A4D82" w:rsidP="002C565B">
      <w:pPr>
        <w:pStyle w:val="FootnoteText"/>
        <w:jc w:val="both"/>
      </w:pPr>
      <w:r>
        <w:rPr>
          <w:rStyle w:val="FootnoteReference"/>
        </w:rPr>
        <w:footnoteRef/>
      </w:r>
      <w:r w:rsidRPr="006C42E4">
        <w:rPr>
          <w:i/>
        </w:rPr>
        <w:t>The Relationship between Constitutional Courts, Legislators, and Judicial power in the European System of Judicial Review.- Towards a Decentralized System as an alternative to Judicial Activism</w:t>
      </w:r>
      <w:r>
        <w:t>. Groopi Tania. Conference on Judicial Activism and restraint theory and practice of constitutional rights. (European Commission for democracy through law) Strasbourg. july.2010.p 4</w:t>
      </w:r>
    </w:p>
  </w:footnote>
  <w:footnote w:id="17">
    <w:p w:rsidR="000A4D82" w:rsidRPr="00F462DC" w:rsidRDefault="000A4D82" w:rsidP="002C565B">
      <w:pPr>
        <w:pStyle w:val="FootnoteText"/>
      </w:pPr>
      <w:r>
        <w:rPr>
          <w:rStyle w:val="FootnoteReference"/>
        </w:rPr>
        <w:footnoteRef/>
      </w:r>
      <w:r w:rsidRPr="00F462DC">
        <w:rPr>
          <w:i/>
        </w:rPr>
        <w:t>The Consequences  of Centralizing Constitutional Review in a Special Court.Sometoughts on Judicial Activism.</w:t>
      </w:r>
      <w:r>
        <w:t xml:space="preserve">FerreresVictor .Yale Law School SELA papers. 2004.  </w:t>
      </w:r>
      <w:r>
        <w:rPr>
          <w:rStyle w:val="HTMLCite"/>
        </w:rPr>
        <w:t>digitalcommons.</w:t>
      </w:r>
      <w:r>
        <w:rPr>
          <w:rStyle w:val="HTMLCite"/>
          <w:b/>
          <w:bCs/>
        </w:rPr>
        <w:t>law</w:t>
      </w:r>
      <w:r>
        <w:rPr>
          <w:rStyle w:val="HTMLCite"/>
        </w:rPr>
        <w:t>.</w:t>
      </w:r>
      <w:r>
        <w:rPr>
          <w:rStyle w:val="HTMLCite"/>
          <w:b/>
          <w:bCs/>
        </w:rPr>
        <w:t>yale</w:t>
      </w:r>
      <w:r>
        <w:rPr>
          <w:rStyle w:val="HTMLCite"/>
        </w:rPr>
        <w:t>.edu/cgi/viewcontent.cgi?article...yls_</w:t>
      </w:r>
      <w:r>
        <w:rPr>
          <w:rStyle w:val="HTMLCite"/>
          <w:b/>
          <w:bCs/>
        </w:rPr>
        <w:t>sela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22955"/>
    <w:multiLevelType w:val="hybridMultilevel"/>
    <w:tmpl w:val="C16E1FD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2A55FB"/>
    <w:multiLevelType w:val="hybridMultilevel"/>
    <w:tmpl w:val="F9444548"/>
    <w:lvl w:ilvl="0" w:tplc="96CA27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1F441A"/>
    <w:multiLevelType w:val="hybridMultilevel"/>
    <w:tmpl w:val="D07A4F3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4FB3661"/>
    <w:multiLevelType w:val="multilevel"/>
    <w:tmpl w:val="CD6C5E2C"/>
    <w:lvl w:ilvl="0">
      <w:start w:val="1"/>
      <w:numFmt w:val="decimal"/>
      <w:lvlText w:val="%1."/>
      <w:lvlJc w:val="left"/>
      <w:pPr>
        <w:ind w:left="720" w:hanging="360"/>
      </w:pPr>
      <w:rPr>
        <w:rFonts w:hint="default"/>
        <w:b w:val="0"/>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47EA2BE3"/>
    <w:multiLevelType w:val="hybridMultilevel"/>
    <w:tmpl w:val="42E6FA7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5B6C7E58"/>
    <w:multiLevelType w:val="hybridMultilevel"/>
    <w:tmpl w:val="87D67D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CB31330"/>
    <w:multiLevelType w:val="hybridMultilevel"/>
    <w:tmpl w:val="B8C4E7C4"/>
    <w:lvl w:ilvl="0" w:tplc="042F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E442A86"/>
    <w:multiLevelType w:val="hybridMultilevel"/>
    <w:tmpl w:val="1194C5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1983E1C"/>
    <w:multiLevelType w:val="hybridMultilevel"/>
    <w:tmpl w:val="D764DA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2157AF3"/>
    <w:multiLevelType w:val="hybridMultilevel"/>
    <w:tmpl w:val="186E89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A632F5D"/>
    <w:multiLevelType w:val="hybridMultilevel"/>
    <w:tmpl w:val="937207CC"/>
    <w:lvl w:ilvl="0" w:tplc="042F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803670D"/>
    <w:multiLevelType w:val="hybridMultilevel"/>
    <w:tmpl w:val="4CCCB65C"/>
    <w:lvl w:ilvl="0" w:tplc="042F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1"/>
  </w:num>
  <w:num w:numId="4">
    <w:abstractNumId w:val="8"/>
  </w:num>
  <w:num w:numId="5">
    <w:abstractNumId w:val="2"/>
  </w:num>
  <w:num w:numId="6">
    <w:abstractNumId w:val="4"/>
  </w:num>
  <w:num w:numId="7">
    <w:abstractNumId w:val="3"/>
  </w:num>
  <w:num w:numId="8">
    <w:abstractNumId w:val="7"/>
  </w:num>
  <w:num w:numId="9">
    <w:abstractNumId w:val="5"/>
  </w:num>
  <w:num w:numId="10">
    <w:abstractNumId w:val="9"/>
  </w:num>
  <w:num w:numId="11">
    <w:abstractNumId w:val="0"/>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C565B"/>
    <w:rsid w:val="000A4D82"/>
    <w:rsid w:val="00131296"/>
    <w:rsid w:val="00132950"/>
    <w:rsid w:val="00190393"/>
    <w:rsid w:val="00192778"/>
    <w:rsid w:val="001D34CC"/>
    <w:rsid w:val="001F2AA1"/>
    <w:rsid w:val="002C565B"/>
    <w:rsid w:val="0031762C"/>
    <w:rsid w:val="00331EF0"/>
    <w:rsid w:val="00442C45"/>
    <w:rsid w:val="00463B4B"/>
    <w:rsid w:val="0049528C"/>
    <w:rsid w:val="004A35CB"/>
    <w:rsid w:val="004F2251"/>
    <w:rsid w:val="005108C7"/>
    <w:rsid w:val="005D0249"/>
    <w:rsid w:val="00644826"/>
    <w:rsid w:val="00682BF5"/>
    <w:rsid w:val="0077653E"/>
    <w:rsid w:val="008229A4"/>
    <w:rsid w:val="00853F1A"/>
    <w:rsid w:val="008864A8"/>
    <w:rsid w:val="008A1AC0"/>
    <w:rsid w:val="0094719C"/>
    <w:rsid w:val="009855F0"/>
    <w:rsid w:val="00A56C43"/>
    <w:rsid w:val="00A818C0"/>
    <w:rsid w:val="00A94B4F"/>
    <w:rsid w:val="00C470FD"/>
    <w:rsid w:val="00C74220"/>
    <w:rsid w:val="00D5516D"/>
    <w:rsid w:val="00D61DF2"/>
    <w:rsid w:val="00D941F1"/>
    <w:rsid w:val="00DA6EDF"/>
    <w:rsid w:val="00EB0462"/>
    <w:rsid w:val="00EB0747"/>
    <w:rsid w:val="00EC559C"/>
    <w:rsid w:val="00F0661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719C"/>
  </w:style>
  <w:style w:type="paragraph" w:styleId="Heading1">
    <w:name w:val="heading 1"/>
    <w:basedOn w:val="Normal"/>
    <w:next w:val="Normal"/>
    <w:link w:val="Heading1Char"/>
    <w:qFormat/>
    <w:rsid w:val="002C565B"/>
    <w:pPr>
      <w:keepNext/>
      <w:spacing w:after="0" w:line="360" w:lineRule="auto"/>
      <w:ind w:left="360"/>
      <w:jc w:val="center"/>
      <w:outlineLvl w:val="0"/>
    </w:pPr>
    <w:rPr>
      <w:rFonts w:ascii="Times New Roman" w:eastAsia="Times New Roman" w:hAnsi="Times New Roman" w:cs="Times New Roman"/>
      <w:b/>
      <w:bCs/>
      <w:sz w:val="28"/>
      <w:szCs w:val="24"/>
    </w:rPr>
  </w:style>
  <w:style w:type="paragraph" w:styleId="Heading2">
    <w:name w:val="heading 2"/>
    <w:basedOn w:val="Normal"/>
    <w:next w:val="Normal"/>
    <w:link w:val="Heading2Char"/>
    <w:qFormat/>
    <w:rsid w:val="002C565B"/>
    <w:pPr>
      <w:keepNext/>
      <w:spacing w:after="0" w:line="360" w:lineRule="auto"/>
      <w:ind w:left="360"/>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uiPriority w:val="9"/>
    <w:unhideWhenUsed/>
    <w:qFormat/>
    <w:rsid w:val="002C565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C565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C565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C565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C565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C565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C565B"/>
    <w:rPr>
      <w:rFonts w:ascii="Times New Roman" w:eastAsia="Times New Roman" w:hAnsi="Times New Roman" w:cs="Times New Roman"/>
      <w:b/>
      <w:bCs/>
      <w:sz w:val="28"/>
      <w:szCs w:val="24"/>
      <w:lang w:eastAsia="mk-MK"/>
    </w:rPr>
  </w:style>
  <w:style w:type="character" w:customStyle="1" w:styleId="Heading2Char">
    <w:name w:val="Heading 2 Char"/>
    <w:basedOn w:val="DefaultParagraphFont"/>
    <w:link w:val="Heading2"/>
    <w:rsid w:val="002C565B"/>
    <w:rPr>
      <w:rFonts w:ascii="Times New Roman" w:eastAsia="Times New Roman" w:hAnsi="Times New Roman" w:cs="Times New Roman"/>
      <w:b/>
      <w:bCs/>
      <w:sz w:val="24"/>
      <w:szCs w:val="24"/>
      <w:lang w:eastAsia="mk-MK"/>
    </w:rPr>
  </w:style>
  <w:style w:type="character" w:customStyle="1" w:styleId="Heading3Char">
    <w:name w:val="Heading 3 Char"/>
    <w:basedOn w:val="DefaultParagraphFont"/>
    <w:link w:val="Heading3"/>
    <w:uiPriority w:val="9"/>
    <w:rsid w:val="002C565B"/>
    <w:rPr>
      <w:rFonts w:asciiTheme="majorHAnsi" w:eastAsiaTheme="majorEastAsia" w:hAnsiTheme="majorHAnsi" w:cstheme="majorBidi"/>
      <w:b/>
      <w:bCs/>
      <w:color w:val="4F81BD" w:themeColor="accent1"/>
      <w:lang w:val="mk-MK" w:eastAsia="mk-MK"/>
    </w:rPr>
  </w:style>
  <w:style w:type="character" w:customStyle="1" w:styleId="Heading4Char">
    <w:name w:val="Heading 4 Char"/>
    <w:basedOn w:val="DefaultParagraphFont"/>
    <w:link w:val="Heading4"/>
    <w:uiPriority w:val="9"/>
    <w:rsid w:val="002C565B"/>
    <w:rPr>
      <w:rFonts w:asciiTheme="majorHAnsi" w:eastAsiaTheme="majorEastAsia" w:hAnsiTheme="majorHAnsi" w:cstheme="majorBidi"/>
      <w:b/>
      <w:bCs/>
      <w:i/>
      <w:iCs/>
      <w:color w:val="4F81BD" w:themeColor="accent1"/>
      <w:lang w:val="mk-MK" w:eastAsia="mk-MK"/>
    </w:rPr>
  </w:style>
  <w:style w:type="character" w:customStyle="1" w:styleId="Heading5Char">
    <w:name w:val="Heading 5 Char"/>
    <w:basedOn w:val="DefaultParagraphFont"/>
    <w:link w:val="Heading5"/>
    <w:uiPriority w:val="9"/>
    <w:rsid w:val="002C565B"/>
    <w:rPr>
      <w:rFonts w:asciiTheme="majorHAnsi" w:eastAsiaTheme="majorEastAsia" w:hAnsiTheme="majorHAnsi" w:cstheme="majorBidi"/>
      <w:color w:val="243F60" w:themeColor="accent1" w:themeShade="7F"/>
      <w:lang w:val="mk-MK" w:eastAsia="mk-MK"/>
    </w:rPr>
  </w:style>
  <w:style w:type="character" w:customStyle="1" w:styleId="Heading6Char">
    <w:name w:val="Heading 6 Char"/>
    <w:basedOn w:val="DefaultParagraphFont"/>
    <w:link w:val="Heading6"/>
    <w:uiPriority w:val="9"/>
    <w:rsid w:val="002C565B"/>
    <w:rPr>
      <w:rFonts w:asciiTheme="majorHAnsi" w:eastAsiaTheme="majorEastAsia" w:hAnsiTheme="majorHAnsi" w:cstheme="majorBidi"/>
      <w:i/>
      <w:iCs/>
      <w:color w:val="243F60" w:themeColor="accent1" w:themeShade="7F"/>
      <w:lang w:val="mk-MK" w:eastAsia="mk-MK"/>
    </w:rPr>
  </w:style>
  <w:style w:type="character" w:customStyle="1" w:styleId="Heading7Char">
    <w:name w:val="Heading 7 Char"/>
    <w:basedOn w:val="DefaultParagraphFont"/>
    <w:link w:val="Heading7"/>
    <w:uiPriority w:val="9"/>
    <w:rsid w:val="002C565B"/>
    <w:rPr>
      <w:rFonts w:asciiTheme="majorHAnsi" w:eastAsiaTheme="majorEastAsia" w:hAnsiTheme="majorHAnsi" w:cstheme="majorBidi"/>
      <w:i/>
      <w:iCs/>
      <w:color w:val="404040" w:themeColor="text1" w:themeTint="BF"/>
      <w:lang w:val="mk-MK" w:eastAsia="mk-MK"/>
    </w:rPr>
  </w:style>
  <w:style w:type="character" w:customStyle="1" w:styleId="Heading8Char">
    <w:name w:val="Heading 8 Char"/>
    <w:basedOn w:val="DefaultParagraphFont"/>
    <w:link w:val="Heading8"/>
    <w:uiPriority w:val="9"/>
    <w:rsid w:val="002C565B"/>
    <w:rPr>
      <w:rFonts w:asciiTheme="majorHAnsi" w:eastAsiaTheme="majorEastAsia" w:hAnsiTheme="majorHAnsi" w:cstheme="majorBidi"/>
      <w:color w:val="404040" w:themeColor="text1" w:themeTint="BF"/>
      <w:sz w:val="20"/>
      <w:szCs w:val="20"/>
      <w:lang w:val="mk-MK" w:eastAsia="mk-MK"/>
    </w:rPr>
  </w:style>
  <w:style w:type="paragraph" w:styleId="ListParagraph">
    <w:name w:val="List Paragraph"/>
    <w:basedOn w:val="Normal"/>
    <w:uiPriority w:val="34"/>
    <w:qFormat/>
    <w:rsid w:val="002C565B"/>
    <w:pPr>
      <w:ind w:left="720"/>
      <w:contextualSpacing/>
    </w:pPr>
  </w:style>
  <w:style w:type="paragraph" w:styleId="Header">
    <w:name w:val="header"/>
    <w:basedOn w:val="Normal"/>
    <w:link w:val="HeaderChar"/>
    <w:uiPriority w:val="99"/>
    <w:semiHidden/>
    <w:unhideWhenUsed/>
    <w:rsid w:val="002C565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C565B"/>
    <w:rPr>
      <w:rFonts w:eastAsiaTheme="minorEastAsia"/>
      <w:lang w:val="mk-MK" w:eastAsia="mk-MK"/>
    </w:rPr>
  </w:style>
  <w:style w:type="paragraph" w:styleId="Footer">
    <w:name w:val="footer"/>
    <w:basedOn w:val="Normal"/>
    <w:link w:val="FooterChar"/>
    <w:uiPriority w:val="99"/>
    <w:unhideWhenUsed/>
    <w:rsid w:val="002C56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565B"/>
    <w:rPr>
      <w:rFonts w:eastAsiaTheme="minorEastAsia"/>
      <w:lang w:val="mk-MK" w:eastAsia="mk-MK"/>
    </w:rPr>
  </w:style>
  <w:style w:type="paragraph" w:styleId="BalloonText">
    <w:name w:val="Balloon Text"/>
    <w:basedOn w:val="Normal"/>
    <w:link w:val="BalloonTextChar"/>
    <w:uiPriority w:val="99"/>
    <w:semiHidden/>
    <w:unhideWhenUsed/>
    <w:rsid w:val="002C56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565B"/>
    <w:rPr>
      <w:rFonts w:ascii="Tahoma" w:eastAsiaTheme="minorEastAsia" w:hAnsi="Tahoma" w:cs="Tahoma"/>
      <w:sz w:val="16"/>
      <w:szCs w:val="16"/>
      <w:lang w:val="mk-MK" w:eastAsia="mk-MK"/>
    </w:rPr>
  </w:style>
  <w:style w:type="paragraph" w:styleId="FootnoteText">
    <w:name w:val="footnote text"/>
    <w:basedOn w:val="Normal"/>
    <w:link w:val="FootnoteTextChar"/>
    <w:uiPriority w:val="99"/>
    <w:unhideWhenUsed/>
    <w:rsid w:val="002C565B"/>
    <w:pPr>
      <w:spacing w:after="0" w:line="240" w:lineRule="auto"/>
    </w:pPr>
    <w:rPr>
      <w:sz w:val="20"/>
      <w:szCs w:val="20"/>
    </w:rPr>
  </w:style>
  <w:style w:type="character" w:customStyle="1" w:styleId="FootnoteTextChar">
    <w:name w:val="Footnote Text Char"/>
    <w:basedOn w:val="DefaultParagraphFont"/>
    <w:link w:val="FootnoteText"/>
    <w:uiPriority w:val="99"/>
    <w:rsid w:val="002C565B"/>
    <w:rPr>
      <w:rFonts w:eastAsiaTheme="minorEastAsia"/>
      <w:sz w:val="20"/>
      <w:szCs w:val="20"/>
      <w:lang w:val="mk-MK" w:eastAsia="mk-MK"/>
    </w:rPr>
  </w:style>
  <w:style w:type="character" w:styleId="FootnoteReference">
    <w:name w:val="footnote reference"/>
    <w:basedOn w:val="DefaultParagraphFont"/>
    <w:uiPriority w:val="99"/>
    <w:semiHidden/>
    <w:unhideWhenUsed/>
    <w:rsid w:val="002C565B"/>
    <w:rPr>
      <w:vertAlign w:val="superscript"/>
    </w:rPr>
  </w:style>
  <w:style w:type="paragraph" w:customStyle="1" w:styleId="Default">
    <w:name w:val="Default"/>
    <w:rsid w:val="002C565B"/>
    <w:pPr>
      <w:autoSpaceDE w:val="0"/>
      <w:autoSpaceDN w:val="0"/>
      <w:adjustRightInd w:val="0"/>
      <w:spacing w:after="0" w:line="240" w:lineRule="auto"/>
    </w:pPr>
    <w:rPr>
      <w:rFonts w:ascii="Garamond" w:hAnsi="Garamond" w:cs="Garamond"/>
      <w:color w:val="000000"/>
      <w:sz w:val="24"/>
      <w:szCs w:val="24"/>
      <w:lang w:val="mk-MK" w:eastAsia="mk-MK"/>
    </w:rPr>
  </w:style>
  <w:style w:type="paragraph" w:styleId="EndnoteText">
    <w:name w:val="endnote text"/>
    <w:basedOn w:val="Normal"/>
    <w:link w:val="EndnoteTextChar"/>
    <w:uiPriority w:val="99"/>
    <w:unhideWhenUsed/>
    <w:rsid w:val="002C565B"/>
    <w:pPr>
      <w:spacing w:after="0" w:line="240" w:lineRule="auto"/>
    </w:pPr>
    <w:rPr>
      <w:sz w:val="20"/>
      <w:szCs w:val="20"/>
    </w:rPr>
  </w:style>
  <w:style w:type="character" w:customStyle="1" w:styleId="EndnoteTextChar">
    <w:name w:val="Endnote Text Char"/>
    <w:basedOn w:val="DefaultParagraphFont"/>
    <w:link w:val="EndnoteText"/>
    <w:uiPriority w:val="99"/>
    <w:rsid w:val="002C565B"/>
    <w:rPr>
      <w:rFonts w:eastAsiaTheme="minorEastAsia"/>
      <w:sz w:val="20"/>
      <w:szCs w:val="20"/>
      <w:lang w:val="mk-MK" w:eastAsia="mk-MK"/>
    </w:rPr>
  </w:style>
  <w:style w:type="character" w:styleId="EndnoteReference">
    <w:name w:val="endnote reference"/>
    <w:basedOn w:val="DefaultParagraphFont"/>
    <w:uiPriority w:val="99"/>
    <w:semiHidden/>
    <w:unhideWhenUsed/>
    <w:rsid w:val="002C565B"/>
    <w:rPr>
      <w:vertAlign w:val="superscript"/>
    </w:rPr>
  </w:style>
  <w:style w:type="character" w:styleId="HTMLCite">
    <w:name w:val="HTML Cite"/>
    <w:basedOn w:val="DefaultParagraphFont"/>
    <w:uiPriority w:val="99"/>
    <w:unhideWhenUsed/>
    <w:rsid w:val="002C565B"/>
    <w:rPr>
      <w:i/>
      <w:iCs/>
    </w:rPr>
  </w:style>
  <w:style w:type="character" w:styleId="Hyperlink">
    <w:name w:val="Hyperlink"/>
    <w:basedOn w:val="DefaultParagraphFont"/>
    <w:uiPriority w:val="99"/>
    <w:unhideWhenUsed/>
    <w:rsid w:val="002C565B"/>
    <w:rPr>
      <w:color w:val="0000FF" w:themeColor="hyperlink"/>
      <w:u w:val="single"/>
    </w:rPr>
  </w:style>
  <w:style w:type="character" w:styleId="Emphasis">
    <w:name w:val="Emphasis"/>
    <w:basedOn w:val="DefaultParagraphFont"/>
    <w:uiPriority w:val="20"/>
    <w:qFormat/>
    <w:rsid w:val="002C565B"/>
    <w:rPr>
      <w:i/>
      <w:iCs/>
    </w:rPr>
  </w:style>
  <w:style w:type="character" w:customStyle="1" w:styleId="searchword">
    <w:name w:val="searchword"/>
    <w:basedOn w:val="DefaultParagraphFont"/>
    <w:rsid w:val="002C565B"/>
  </w:style>
  <w:style w:type="paragraph" w:customStyle="1" w:styleId="ALTZ">
    <w:name w:val="ALT Z"/>
    <w:basedOn w:val="Normal"/>
    <w:next w:val="BodyText"/>
    <w:rsid w:val="002C565B"/>
    <w:pPr>
      <w:widowControl w:val="0"/>
      <w:autoSpaceDE w:val="0"/>
      <w:autoSpaceDN w:val="0"/>
      <w:adjustRightInd w:val="0"/>
      <w:spacing w:before="60" w:after="0" w:line="240" w:lineRule="auto"/>
      <w:ind w:firstLine="720"/>
      <w:jc w:val="both"/>
    </w:pPr>
    <w:rPr>
      <w:rFonts w:ascii="Times New Roman" w:eastAsia="Times New Roman" w:hAnsi="Times New Roman" w:cs="Times New Roman"/>
      <w:szCs w:val="20"/>
      <w:lang w:val="en-GB" w:eastAsia="en-GB"/>
    </w:rPr>
  </w:style>
  <w:style w:type="paragraph" w:styleId="BodyText">
    <w:name w:val="Body Text"/>
    <w:basedOn w:val="Normal"/>
    <w:link w:val="BodyTextChar"/>
    <w:uiPriority w:val="99"/>
    <w:semiHidden/>
    <w:unhideWhenUsed/>
    <w:rsid w:val="002C565B"/>
    <w:pPr>
      <w:spacing w:after="120"/>
    </w:pPr>
  </w:style>
  <w:style w:type="character" w:customStyle="1" w:styleId="BodyTextChar">
    <w:name w:val="Body Text Char"/>
    <w:basedOn w:val="DefaultParagraphFont"/>
    <w:link w:val="BodyText"/>
    <w:uiPriority w:val="99"/>
    <w:semiHidden/>
    <w:rsid w:val="002C565B"/>
    <w:rPr>
      <w:rFonts w:eastAsiaTheme="minorEastAsia"/>
      <w:lang w:val="mk-MK" w:eastAsia="mk-MK"/>
    </w:rPr>
  </w:style>
  <w:style w:type="paragraph" w:styleId="TOCHeading">
    <w:name w:val="TOC Heading"/>
    <w:basedOn w:val="Heading1"/>
    <w:next w:val="Normal"/>
    <w:uiPriority w:val="39"/>
    <w:semiHidden/>
    <w:unhideWhenUsed/>
    <w:qFormat/>
    <w:rsid w:val="002C565B"/>
    <w:pPr>
      <w:keepLines/>
      <w:spacing w:before="480" w:line="276" w:lineRule="auto"/>
      <w:ind w:left="0"/>
      <w:jc w:val="left"/>
      <w:outlineLvl w:val="9"/>
    </w:pPr>
    <w:rPr>
      <w:rFonts w:asciiTheme="majorHAnsi" w:eastAsiaTheme="majorEastAsia" w:hAnsiTheme="majorHAnsi" w:cstheme="majorBidi"/>
      <w:color w:val="365F91" w:themeColor="accent1" w:themeShade="BF"/>
      <w:szCs w:val="28"/>
    </w:rPr>
  </w:style>
  <w:style w:type="paragraph" w:styleId="TOC1">
    <w:name w:val="toc 1"/>
    <w:basedOn w:val="Normal"/>
    <w:next w:val="Normal"/>
    <w:autoRedefine/>
    <w:uiPriority w:val="39"/>
    <w:unhideWhenUsed/>
    <w:qFormat/>
    <w:rsid w:val="002C565B"/>
    <w:pPr>
      <w:spacing w:after="100"/>
    </w:pPr>
  </w:style>
  <w:style w:type="paragraph" w:styleId="TOC2">
    <w:name w:val="toc 2"/>
    <w:basedOn w:val="Normal"/>
    <w:next w:val="Normal"/>
    <w:autoRedefine/>
    <w:uiPriority w:val="39"/>
    <w:unhideWhenUsed/>
    <w:qFormat/>
    <w:rsid w:val="002C565B"/>
    <w:pPr>
      <w:spacing w:after="100"/>
      <w:ind w:left="220"/>
    </w:pPr>
  </w:style>
  <w:style w:type="paragraph" w:styleId="TOC3">
    <w:name w:val="toc 3"/>
    <w:basedOn w:val="Normal"/>
    <w:next w:val="Normal"/>
    <w:autoRedefine/>
    <w:uiPriority w:val="39"/>
    <w:unhideWhenUsed/>
    <w:qFormat/>
    <w:rsid w:val="002C565B"/>
    <w:pPr>
      <w:spacing w:after="100"/>
      <w:ind w:left="440"/>
    </w:pPr>
  </w:style>
  <w:style w:type="paragraph" w:styleId="TOC4">
    <w:name w:val="toc 4"/>
    <w:basedOn w:val="Normal"/>
    <w:next w:val="Normal"/>
    <w:autoRedefine/>
    <w:uiPriority w:val="39"/>
    <w:unhideWhenUsed/>
    <w:rsid w:val="002C565B"/>
    <w:pPr>
      <w:spacing w:after="100"/>
      <w:ind w:left="660"/>
    </w:pPr>
  </w:style>
  <w:style w:type="paragraph" w:styleId="TOC5">
    <w:name w:val="toc 5"/>
    <w:basedOn w:val="Normal"/>
    <w:next w:val="Normal"/>
    <w:autoRedefine/>
    <w:uiPriority w:val="39"/>
    <w:unhideWhenUsed/>
    <w:rsid w:val="002C565B"/>
    <w:pPr>
      <w:spacing w:after="100"/>
      <w:ind w:left="880"/>
    </w:pPr>
  </w:style>
  <w:style w:type="paragraph" w:styleId="TOC6">
    <w:name w:val="toc 6"/>
    <w:basedOn w:val="Normal"/>
    <w:next w:val="Normal"/>
    <w:autoRedefine/>
    <w:uiPriority w:val="39"/>
    <w:unhideWhenUsed/>
    <w:rsid w:val="002C565B"/>
    <w:pPr>
      <w:spacing w:after="100"/>
      <w:ind w:left="1100"/>
    </w:pPr>
  </w:style>
  <w:style w:type="paragraph" w:styleId="TOC7">
    <w:name w:val="toc 7"/>
    <w:basedOn w:val="Normal"/>
    <w:next w:val="Normal"/>
    <w:autoRedefine/>
    <w:uiPriority w:val="39"/>
    <w:unhideWhenUsed/>
    <w:rsid w:val="002C565B"/>
    <w:pPr>
      <w:spacing w:after="100"/>
      <w:ind w:left="1320"/>
    </w:pPr>
  </w:style>
  <w:style w:type="paragraph" w:styleId="TOC8">
    <w:name w:val="toc 8"/>
    <w:basedOn w:val="Normal"/>
    <w:next w:val="Normal"/>
    <w:autoRedefine/>
    <w:uiPriority w:val="39"/>
    <w:unhideWhenUsed/>
    <w:rsid w:val="002C565B"/>
    <w:pPr>
      <w:spacing w:after="100"/>
      <w:ind w:left="1540"/>
    </w:pPr>
  </w:style>
  <w:style w:type="character" w:styleId="Strong">
    <w:name w:val="Strong"/>
    <w:basedOn w:val="DefaultParagraphFont"/>
    <w:uiPriority w:val="22"/>
    <w:qFormat/>
    <w:rsid w:val="002C565B"/>
    <w:rPr>
      <w:b/>
      <w:bCs/>
    </w:rPr>
  </w:style>
  <w:style w:type="character" w:customStyle="1" w:styleId="st">
    <w:name w:val="st"/>
    <w:basedOn w:val="DefaultParagraphFont"/>
    <w:rsid w:val="002C565B"/>
  </w:style>
  <w:style w:type="paragraph" w:styleId="NormalWeb">
    <w:name w:val="Normal (Web)"/>
    <w:basedOn w:val="Normal"/>
    <w:uiPriority w:val="99"/>
    <w:unhideWhenUsed/>
    <w:rsid w:val="002C565B"/>
    <w:pPr>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Normal"/>
    <w:next w:val="Normal"/>
    <w:autoRedefine/>
    <w:uiPriority w:val="39"/>
    <w:unhideWhenUsed/>
    <w:rsid w:val="002C565B"/>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2C565B"/>
    <w:pPr>
      <w:keepNext/>
      <w:spacing w:after="0" w:line="360" w:lineRule="auto"/>
      <w:ind w:left="360"/>
      <w:jc w:val="center"/>
      <w:outlineLvl w:val="0"/>
    </w:pPr>
    <w:rPr>
      <w:rFonts w:ascii="Times New Roman" w:eastAsia="Times New Roman" w:hAnsi="Times New Roman" w:cs="Times New Roman"/>
      <w:b/>
      <w:bCs/>
      <w:sz w:val="28"/>
      <w:szCs w:val="24"/>
    </w:rPr>
  </w:style>
  <w:style w:type="paragraph" w:styleId="Heading2">
    <w:name w:val="heading 2"/>
    <w:basedOn w:val="Normal"/>
    <w:next w:val="Normal"/>
    <w:link w:val="Heading2Char"/>
    <w:qFormat/>
    <w:rsid w:val="002C565B"/>
    <w:pPr>
      <w:keepNext/>
      <w:spacing w:after="0" w:line="360" w:lineRule="auto"/>
      <w:ind w:left="360"/>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uiPriority w:val="9"/>
    <w:unhideWhenUsed/>
    <w:qFormat/>
    <w:rsid w:val="002C565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C565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C565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C565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C565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C565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C565B"/>
    <w:rPr>
      <w:rFonts w:ascii="Times New Roman" w:eastAsia="Times New Roman" w:hAnsi="Times New Roman" w:cs="Times New Roman"/>
      <w:b/>
      <w:bCs/>
      <w:sz w:val="28"/>
      <w:szCs w:val="24"/>
      <w:lang w:eastAsia="mk-MK"/>
    </w:rPr>
  </w:style>
  <w:style w:type="character" w:customStyle="1" w:styleId="Heading2Char">
    <w:name w:val="Heading 2 Char"/>
    <w:basedOn w:val="DefaultParagraphFont"/>
    <w:link w:val="Heading2"/>
    <w:rsid w:val="002C565B"/>
    <w:rPr>
      <w:rFonts w:ascii="Times New Roman" w:eastAsia="Times New Roman" w:hAnsi="Times New Roman" w:cs="Times New Roman"/>
      <w:b/>
      <w:bCs/>
      <w:sz w:val="24"/>
      <w:szCs w:val="24"/>
      <w:lang w:eastAsia="mk-MK"/>
    </w:rPr>
  </w:style>
  <w:style w:type="character" w:customStyle="1" w:styleId="Heading3Char">
    <w:name w:val="Heading 3 Char"/>
    <w:basedOn w:val="DefaultParagraphFont"/>
    <w:link w:val="Heading3"/>
    <w:uiPriority w:val="9"/>
    <w:rsid w:val="002C565B"/>
    <w:rPr>
      <w:rFonts w:asciiTheme="majorHAnsi" w:eastAsiaTheme="majorEastAsia" w:hAnsiTheme="majorHAnsi" w:cstheme="majorBidi"/>
      <w:b/>
      <w:bCs/>
      <w:color w:val="4F81BD" w:themeColor="accent1"/>
      <w:lang w:val="mk-MK" w:eastAsia="mk-MK"/>
    </w:rPr>
  </w:style>
  <w:style w:type="character" w:customStyle="1" w:styleId="Heading4Char">
    <w:name w:val="Heading 4 Char"/>
    <w:basedOn w:val="DefaultParagraphFont"/>
    <w:link w:val="Heading4"/>
    <w:uiPriority w:val="9"/>
    <w:rsid w:val="002C565B"/>
    <w:rPr>
      <w:rFonts w:asciiTheme="majorHAnsi" w:eastAsiaTheme="majorEastAsia" w:hAnsiTheme="majorHAnsi" w:cstheme="majorBidi"/>
      <w:b/>
      <w:bCs/>
      <w:i/>
      <w:iCs/>
      <w:color w:val="4F81BD" w:themeColor="accent1"/>
      <w:lang w:val="mk-MK" w:eastAsia="mk-MK"/>
    </w:rPr>
  </w:style>
  <w:style w:type="character" w:customStyle="1" w:styleId="Heading5Char">
    <w:name w:val="Heading 5 Char"/>
    <w:basedOn w:val="DefaultParagraphFont"/>
    <w:link w:val="Heading5"/>
    <w:uiPriority w:val="9"/>
    <w:rsid w:val="002C565B"/>
    <w:rPr>
      <w:rFonts w:asciiTheme="majorHAnsi" w:eastAsiaTheme="majorEastAsia" w:hAnsiTheme="majorHAnsi" w:cstheme="majorBidi"/>
      <w:color w:val="243F60" w:themeColor="accent1" w:themeShade="7F"/>
      <w:lang w:val="mk-MK" w:eastAsia="mk-MK"/>
    </w:rPr>
  </w:style>
  <w:style w:type="character" w:customStyle="1" w:styleId="Heading6Char">
    <w:name w:val="Heading 6 Char"/>
    <w:basedOn w:val="DefaultParagraphFont"/>
    <w:link w:val="Heading6"/>
    <w:uiPriority w:val="9"/>
    <w:rsid w:val="002C565B"/>
    <w:rPr>
      <w:rFonts w:asciiTheme="majorHAnsi" w:eastAsiaTheme="majorEastAsia" w:hAnsiTheme="majorHAnsi" w:cstheme="majorBidi"/>
      <w:i/>
      <w:iCs/>
      <w:color w:val="243F60" w:themeColor="accent1" w:themeShade="7F"/>
      <w:lang w:val="mk-MK" w:eastAsia="mk-MK"/>
    </w:rPr>
  </w:style>
  <w:style w:type="character" w:customStyle="1" w:styleId="Heading7Char">
    <w:name w:val="Heading 7 Char"/>
    <w:basedOn w:val="DefaultParagraphFont"/>
    <w:link w:val="Heading7"/>
    <w:uiPriority w:val="9"/>
    <w:rsid w:val="002C565B"/>
    <w:rPr>
      <w:rFonts w:asciiTheme="majorHAnsi" w:eastAsiaTheme="majorEastAsia" w:hAnsiTheme="majorHAnsi" w:cstheme="majorBidi"/>
      <w:i/>
      <w:iCs/>
      <w:color w:val="404040" w:themeColor="text1" w:themeTint="BF"/>
      <w:lang w:val="mk-MK" w:eastAsia="mk-MK"/>
    </w:rPr>
  </w:style>
  <w:style w:type="character" w:customStyle="1" w:styleId="Heading8Char">
    <w:name w:val="Heading 8 Char"/>
    <w:basedOn w:val="DefaultParagraphFont"/>
    <w:link w:val="Heading8"/>
    <w:uiPriority w:val="9"/>
    <w:rsid w:val="002C565B"/>
    <w:rPr>
      <w:rFonts w:asciiTheme="majorHAnsi" w:eastAsiaTheme="majorEastAsia" w:hAnsiTheme="majorHAnsi" w:cstheme="majorBidi"/>
      <w:color w:val="404040" w:themeColor="text1" w:themeTint="BF"/>
      <w:sz w:val="20"/>
      <w:szCs w:val="20"/>
      <w:lang w:val="mk-MK" w:eastAsia="mk-MK"/>
    </w:rPr>
  </w:style>
  <w:style w:type="paragraph" w:styleId="ListParagraph">
    <w:name w:val="List Paragraph"/>
    <w:basedOn w:val="Normal"/>
    <w:uiPriority w:val="34"/>
    <w:qFormat/>
    <w:rsid w:val="002C565B"/>
    <w:pPr>
      <w:ind w:left="720"/>
      <w:contextualSpacing/>
    </w:pPr>
  </w:style>
  <w:style w:type="paragraph" w:styleId="Header">
    <w:name w:val="header"/>
    <w:basedOn w:val="Normal"/>
    <w:link w:val="HeaderChar"/>
    <w:uiPriority w:val="99"/>
    <w:semiHidden/>
    <w:unhideWhenUsed/>
    <w:rsid w:val="002C565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2C565B"/>
    <w:rPr>
      <w:rFonts w:eastAsiaTheme="minorEastAsia"/>
      <w:lang w:val="mk-MK" w:eastAsia="mk-MK"/>
    </w:rPr>
  </w:style>
  <w:style w:type="paragraph" w:styleId="Footer">
    <w:name w:val="footer"/>
    <w:basedOn w:val="Normal"/>
    <w:link w:val="FooterChar"/>
    <w:uiPriority w:val="99"/>
    <w:unhideWhenUsed/>
    <w:rsid w:val="002C56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565B"/>
    <w:rPr>
      <w:rFonts w:eastAsiaTheme="minorEastAsia"/>
      <w:lang w:val="mk-MK" w:eastAsia="mk-MK"/>
    </w:rPr>
  </w:style>
  <w:style w:type="paragraph" w:styleId="BalloonText">
    <w:name w:val="Balloon Text"/>
    <w:basedOn w:val="Normal"/>
    <w:link w:val="BalloonTextChar"/>
    <w:uiPriority w:val="99"/>
    <w:semiHidden/>
    <w:unhideWhenUsed/>
    <w:rsid w:val="002C56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565B"/>
    <w:rPr>
      <w:rFonts w:ascii="Tahoma" w:eastAsiaTheme="minorEastAsia" w:hAnsi="Tahoma" w:cs="Tahoma"/>
      <w:sz w:val="16"/>
      <w:szCs w:val="16"/>
      <w:lang w:val="mk-MK" w:eastAsia="mk-MK"/>
    </w:rPr>
  </w:style>
  <w:style w:type="paragraph" w:styleId="FootnoteText">
    <w:name w:val="footnote text"/>
    <w:basedOn w:val="Normal"/>
    <w:link w:val="FootnoteTextChar"/>
    <w:uiPriority w:val="99"/>
    <w:unhideWhenUsed/>
    <w:rsid w:val="002C565B"/>
    <w:pPr>
      <w:spacing w:after="0" w:line="240" w:lineRule="auto"/>
    </w:pPr>
    <w:rPr>
      <w:sz w:val="20"/>
      <w:szCs w:val="20"/>
    </w:rPr>
  </w:style>
  <w:style w:type="character" w:customStyle="1" w:styleId="FootnoteTextChar">
    <w:name w:val="Footnote Text Char"/>
    <w:basedOn w:val="DefaultParagraphFont"/>
    <w:link w:val="FootnoteText"/>
    <w:uiPriority w:val="99"/>
    <w:rsid w:val="002C565B"/>
    <w:rPr>
      <w:rFonts w:eastAsiaTheme="minorEastAsia"/>
      <w:sz w:val="20"/>
      <w:szCs w:val="20"/>
      <w:lang w:val="mk-MK" w:eastAsia="mk-MK"/>
    </w:rPr>
  </w:style>
  <w:style w:type="character" w:styleId="FootnoteReference">
    <w:name w:val="footnote reference"/>
    <w:basedOn w:val="DefaultParagraphFont"/>
    <w:uiPriority w:val="99"/>
    <w:semiHidden/>
    <w:unhideWhenUsed/>
    <w:rsid w:val="002C565B"/>
    <w:rPr>
      <w:vertAlign w:val="superscript"/>
    </w:rPr>
  </w:style>
  <w:style w:type="paragraph" w:customStyle="1" w:styleId="Default">
    <w:name w:val="Default"/>
    <w:rsid w:val="002C565B"/>
    <w:pPr>
      <w:autoSpaceDE w:val="0"/>
      <w:autoSpaceDN w:val="0"/>
      <w:adjustRightInd w:val="0"/>
      <w:spacing w:after="0" w:line="240" w:lineRule="auto"/>
    </w:pPr>
    <w:rPr>
      <w:rFonts w:ascii="Garamond" w:hAnsi="Garamond" w:cs="Garamond"/>
      <w:color w:val="000000"/>
      <w:sz w:val="24"/>
      <w:szCs w:val="24"/>
      <w:lang w:val="mk-MK" w:eastAsia="mk-MK"/>
    </w:rPr>
  </w:style>
  <w:style w:type="paragraph" w:styleId="EndnoteText">
    <w:name w:val="endnote text"/>
    <w:basedOn w:val="Normal"/>
    <w:link w:val="EndnoteTextChar"/>
    <w:uiPriority w:val="99"/>
    <w:unhideWhenUsed/>
    <w:rsid w:val="002C565B"/>
    <w:pPr>
      <w:spacing w:after="0" w:line="240" w:lineRule="auto"/>
    </w:pPr>
    <w:rPr>
      <w:sz w:val="20"/>
      <w:szCs w:val="20"/>
    </w:rPr>
  </w:style>
  <w:style w:type="character" w:customStyle="1" w:styleId="EndnoteTextChar">
    <w:name w:val="Endnote Text Char"/>
    <w:basedOn w:val="DefaultParagraphFont"/>
    <w:link w:val="EndnoteText"/>
    <w:uiPriority w:val="99"/>
    <w:rsid w:val="002C565B"/>
    <w:rPr>
      <w:rFonts w:eastAsiaTheme="minorEastAsia"/>
      <w:sz w:val="20"/>
      <w:szCs w:val="20"/>
      <w:lang w:val="mk-MK" w:eastAsia="mk-MK"/>
    </w:rPr>
  </w:style>
  <w:style w:type="character" w:styleId="EndnoteReference">
    <w:name w:val="endnote reference"/>
    <w:basedOn w:val="DefaultParagraphFont"/>
    <w:uiPriority w:val="99"/>
    <w:semiHidden/>
    <w:unhideWhenUsed/>
    <w:rsid w:val="002C565B"/>
    <w:rPr>
      <w:vertAlign w:val="superscript"/>
    </w:rPr>
  </w:style>
  <w:style w:type="character" w:styleId="HTMLCite">
    <w:name w:val="HTML Cite"/>
    <w:basedOn w:val="DefaultParagraphFont"/>
    <w:uiPriority w:val="99"/>
    <w:unhideWhenUsed/>
    <w:rsid w:val="002C565B"/>
    <w:rPr>
      <w:i/>
      <w:iCs/>
    </w:rPr>
  </w:style>
  <w:style w:type="character" w:styleId="Hyperlink">
    <w:name w:val="Hyperlink"/>
    <w:basedOn w:val="DefaultParagraphFont"/>
    <w:uiPriority w:val="99"/>
    <w:unhideWhenUsed/>
    <w:rsid w:val="002C565B"/>
    <w:rPr>
      <w:color w:val="0000FF" w:themeColor="hyperlink"/>
      <w:u w:val="single"/>
    </w:rPr>
  </w:style>
  <w:style w:type="character" w:styleId="Emphasis">
    <w:name w:val="Emphasis"/>
    <w:basedOn w:val="DefaultParagraphFont"/>
    <w:uiPriority w:val="20"/>
    <w:qFormat/>
    <w:rsid w:val="002C565B"/>
    <w:rPr>
      <w:i/>
      <w:iCs/>
    </w:rPr>
  </w:style>
  <w:style w:type="character" w:customStyle="1" w:styleId="searchword">
    <w:name w:val="searchword"/>
    <w:basedOn w:val="DefaultParagraphFont"/>
    <w:rsid w:val="002C565B"/>
  </w:style>
  <w:style w:type="paragraph" w:customStyle="1" w:styleId="ALTZ">
    <w:name w:val="ALT Z"/>
    <w:basedOn w:val="Normal"/>
    <w:next w:val="BodyText"/>
    <w:rsid w:val="002C565B"/>
    <w:pPr>
      <w:widowControl w:val="0"/>
      <w:autoSpaceDE w:val="0"/>
      <w:autoSpaceDN w:val="0"/>
      <w:adjustRightInd w:val="0"/>
      <w:spacing w:before="60" w:after="0" w:line="240" w:lineRule="auto"/>
      <w:ind w:firstLine="720"/>
      <w:jc w:val="both"/>
    </w:pPr>
    <w:rPr>
      <w:rFonts w:ascii="Times New Roman" w:eastAsia="Times New Roman" w:hAnsi="Times New Roman" w:cs="Times New Roman"/>
      <w:szCs w:val="20"/>
      <w:lang w:val="en-GB" w:eastAsia="en-GB"/>
    </w:rPr>
  </w:style>
  <w:style w:type="paragraph" w:styleId="BodyText">
    <w:name w:val="Body Text"/>
    <w:basedOn w:val="Normal"/>
    <w:link w:val="BodyTextChar"/>
    <w:uiPriority w:val="99"/>
    <w:semiHidden/>
    <w:unhideWhenUsed/>
    <w:rsid w:val="002C565B"/>
    <w:pPr>
      <w:spacing w:after="120"/>
    </w:pPr>
  </w:style>
  <w:style w:type="character" w:customStyle="1" w:styleId="BodyTextChar">
    <w:name w:val="Body Text Char"/>
    <w:basedOn w:val="DefaultParagraphFont"/>
    <w:link w:val="BodyText"/>
    <w:uiPriority w:val="99"/>
    <w:semiHidden/>
    <w:rsid w:val="002C565B"/>
    <w:rPr>
      <w:rFonts w:eastAsiaTheme="minorEastAsia"/>
      <w:lang w:val="mk-MK" w:eastAsia="mk-MK"/>
    </w:rPr>
  </w:style>
  <w:style w:type="paragraph" w:styleId="TOCHeading">
    <w:name w:val="TOC Heading"/>
    <w:basedOn w:val="Heading1"/>
    <w:next w:val="Normal"/>
    <w:uiPriority w:val="39"/>
    <w:semiHidden/>
    <w:unhideWhenUsed/>
    <w:qFormat/>
    <w:rsid w:val="002C565B"/>
    <w:pPr>
      <w:keepLines/>
      <w:spacing w:before="480" w:line="276" w:lineRule="auto"/>
      <w:ind w:left="0"/>
      <w:jc w:val="left"/>
      <w:outlineLvl w:val="9"/>
    </w:pPr>
    <w:rPr>
      <w:rFonts w:asciiTheme="majorHAnsi" w:eastAsiaTheme="majorEastAsia" w:hAnsiTheme="majorHAnsi" w:cstheme="majorBidi"/>
      <w:color w:val="365F91" w:themeColor="accent1" w:themeShade="BF"/>
      <w:szCs w:val="28"/>
    </w:rPr>
  </w:style>
  <w:style w:type="paragraph" w:styleId="TOC1">
    <w:name w:val="toc 1"/>
    <w:basedOn w:val="Normal"/>
    <w:next w:val="Normal"/>
    <w:autoRedefine/>
    <w:uiPriority w:val="39"/>
    <w:unhideWhenUsed/>
    <w:qFormat/>
    <w:rsid w:val="002C565B"/>
    <w:pPr>
      <w:spacing w:after="100"/>
    </w:pPr>
  </w:style>
  <w:style w:type="paragraph" w:styleId="TOC2">
    <w:name w:val="toc 2"/>
    <w:basedOn w:val="Normal"/>
    <w:next w:val="Normal"/>
    <w:autoRedefine/>
    <w:uiPriority w:val="39"/>
    <w:unhideWhenUsed/>
    <w:qFormat/>
    <w:rsid w:val="002C565B"/>
    <w:pPr>
      <w:spacing w:after="100"/>
      <w:ind w:left="220"/>
    </w:pPr>
  </w:style>
  <w:style w:type="paragraph" w:styleId="TOC3">
    <w:name w:val="toc 3"/>
    <w:basedOn w:val="Normal"/>
    <w:next w:val="Normal"/>
    <w:autoRedefine/>
    <w:uiPriority w:val="39"/>
    <w:unhideWhenUsed/>
    <w:qFormat/>
    <w:rsid w:val="002C565B"/>
    <w:pPr>
      <w:spacing w:after="100"/>
      <w:ind w:left="440"/>
    </w:pPr>
  </w:style>
  <w:style w:type="paragraph" w:styleId="TOC4">
    <w:name w:val="toc 4"/>
    <w:basedOn w:val="Normal"/>
    <w:next w:val="Normal"/>
    <w:autoRedefine/>
    <w:uiPriority w:val="39"/>
    <w:unhideWhenUsed/>
    <w:rsid w:val="002C565B"/>
    <w:pPr>
      <w:spacing w:after="100"/>
      <w:ind w:left="660"/>
    </w:pPr>
  </w:style>
  <w:style w:type="paragraph" w:styleId="TOC5">
    <w:name w:val="toc 5"/>
    <w:basedOn w:val="Normal"/>
    <w:next w:val="Normal"/>
    <w:autoRedefine/>
    <w:uiPriority w:val="39"/>
    <w:unhideWhenUsed/>
    <w:rsid w:val="002C565B"/>
    <w:pPr>
      <w:spacing w:after="100"/>
      <w:ind w:left="880"/>
    </w:pPr>
  </w:style>
  <w:style w:type="paragraph" w:styleId="TOC6">
    <w:name w:val="toc 6"/>
    <w:basedOn w:val="Normal"/>
    <w:next w:val="Normal"/>
    <w:autoRedefine/>
    <w:uiPriority w:val="39"/>
    <w:unhideWhenUsed/>
    <w:rsid w:val="002C565B"/>
    <w:pPr>
      <w:spacing w:after="100"/>
      <w:ind w:left="1100"/>
    </w:pPr>
  </w:style>
  <w:style w:type="paragraph" w:styleId="TOC7">
    <w:name w:val="toc 7"/>
    <w:basedOn w:val="Normal"/>
    <w:next w:val="Normal"/>
    <w:autoRedefine/>
    <w:uiPriority w:val="39"/>
    <w:unhideWhenUsed/>
    <w:rsid w:val="002C565B"/>
    <w:pPr>
      <w:spacing w:after="100"/>
      <w:ind w:left="1320"/>
    </w:pPr>
  </w:style>
  <w:style w:type="paragraph" w:styleId="TOC8">
    <w:name w:val="toc 8"/>
    <w:basedOn w:val="Normal"/>
    <w:next w:val="Normal"/>
    <w:autoRedefine/>
    <w:uiPriority w:val="39"/>
    <w:unhideWhenUsed/>
    <w:rsid w:val="002C565B"/>
    <w:pPr>
      <w:spacing w:after="100"/>
      <w:ind w:left="1540"/>
    </w:pPr>
  </w:style>
  <w:style w:type="character" w:styleId="Strong">
    <w:name w:val="Strong"/>
    <w:basedOn w:val="DefaultParagraphFont"/>
    <w:uiPriority w:val="22"/>
    <w:qFormat/>
    <w:rsid w:val="002C565B"/>
    <w:rPr>
      <w:b/>
      <w:bCs/>
    </w:rPr>
  </w:style>
  <w:style w:type="character" w:customStyle="1" w:styleId="st">
    <w:name w:val="st"/>
    <w:basedOn w:val="DefaultParagraphFont"/>
    <w:rsid w:val="002C565B"/>
  </w:style>
  <w:style w:type="paragraph" w:styleId="NormalWeb">
    <w:name w:val="Normal (Web)"/>
    <w:basedOn w:val="Normal"/>
    <w:uiPriority w:val="99"/>
    <w:unhideWhenUsed/>
    <w:rsid w:val="002C565B"/>
    <w:pPr>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Normal"/>
    <w:next w:val="Normal"/>
    <w:autoRedefine/>
    <w:uiPriority w:val="39"/>
    <w:unhideWhenUsed/>
    <w:rsid w:val="002C565B"/>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3407376">
      <w:bodyDiv w:val="1"/>
      <w:marLeft w:val="0"/>
      <w:marRight w:val="0"/>
      <w:marTop w:val="0"/>
      <w:marBottom w:val="0"/>
      <w:divBdr>
        <w:top w:val="none" w:sz="0" w:space="0" w:color="auto"/>
        <w:left w:val="none" w:sz="0" w:space="0" w:color="auto"/>
        <w:bottom w:val="none" w:sz="0" w:space="0" w:color="auto"/>
        <w:right w:val="none" w:sz="0" w:space="0" w:color="auto"/>
      </w:divBdr>
      <w:divsChild>
        <w:div w:id="423303732">
          <w:marLeft w:val="0"/>
          <w:marRight w:val="0"/>
          <w:marTop w:val="0"/>
          <w:marBottom w:val="0"/>
          <w:divBdr>
            <w:top w:val="none" w:sz="0" w:space="0" w:color="auto"/>
            <w:left w:val="none" w:sz="0" w:space="0" w:color="auto"/>
            <w:bottom w:val="none" w:sz="0" w:space="0" w:color="auto"/>
            <w:right w:val="none" w:sz="0" w:space="0" w:color="auto"/>
          </w:divBdr>
          <w:divsChild>
            <w:div w:id="1230461642">
              <w:marLeft w:val="0"/>
              <w:marRight w:val="0"/>
              <w:marTop w:val="0"/>
              <w:marBottom w:val="0"/>
              <w:divBdr>
                <w:top w:val="none" w:sz="0" w:space="0" w:color="auto"/>
                <w:left w:val="none" w:sz="0" w:space="0" w:color="auto"/>
                <w:bottom w:val="none" w:sz="0" w:space="0" w:color="auto"/>
                <w:right w:val="none" w:sz="0" w:space="0" w:color="auto"/>
              </w:divBdr>
              <w:divsChild>
                <w:div w:id="235557021">
                  <w:marLeft w:val="0"/>
                  <w:marRight w:val="0"/>
                  <w:marTop w:val="0"/>
                  <w:marBottom w:val="0"/>
                  <w:divBdr>
                    <w:top w:val="none" w:sz="0" w:space="0" w:color="auto"/>
                    <w:left w:val="none" w:sz="0" w:space="0" w:color="auto"/>
                    <w:bottom w:val="none" w:sz="0" w:space="0" w:color="auto"/>
                    <w:right w:val="none" w:sz="0" w:space="0" w:color="auto"/>
                  </w:divBdr>
                  <w:divsChild>
                    <w:div w:id="43216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087650">
          <w:marLeft w:val="0"/>
          <w:marRight w:val="0"/>
          <w:marTop w:val="0"/>
          <w:marBottom w:val="0"/>
          <w:divBdr>
            <w:top w:val="none" w:sz="0" w:space="0" w:color="auto"/>
            <w:left w:val="none" w:sz="0" w:space="0" w:color="auto"/>
            <w:bottom w:val="none" w:sz="0" w:space="0" w:color="auto"/>
            <w:right w:val="none" w:sz="0" w:space="0" w:color="auto"/>
          </w:divBdr>
          <w:divsChild>
            <w:div w:id="1419908984">
              <w:marLeft w:val="0"/>
              <w:marRight w:val="0"/>
              <w:marTop w:val="0"/>
              <w:marBottom w:val="0"/>
              <w:divBdr>
                <w:top w:val="none" w:sz="0" w:space="0" w:color="auto"/>
                <w:left w:val="none" w:sz="0" w:space="0" w:color="auto"/>
                <w:bottom w:val="none" w:sz="0" w:space="0" w:color="auto"/>
                <w:right w:val="none" w:sz="0" w:space="0" w:color="auto"/>
              </w:divBdr>
            </w:div>
          </w:divsChild>
        </w:div>
        <w:div w:id="327829597">
          <w:marLeft w:val="0"/>
          <w:marRight w:val="0"/>
          <w:marTop w:val="0"/>
          <w:marBottom w:val="0"/>
          <w:divBdr>
            <w:top w:val="none" w:sz="0" w:space="0" w:color="auto"/>
            <w:left w:val="none" w:sz="0" w:space="0" w:color="auto"/>
            <w:bottom w:val="none" w:sz="0" w:space="0" w:color="auto"/>
            <w:right w:val="none" w:sz="0" w:space="0" w:color="auto"/>
          </w:divBdr>
          <w:divsChild>
            <w:div w:id="817258790">
              <w:marLeft w:val="0"/>
              <w:marRight w:val="0"/>
              <w:marTop w:val="0"/>
              <w:marBottom w:val="0"/>
              <w:divBdr>
                <w:top w:val="none" w:sz="0" w:space="0" w:color="auto"/>
                <w:left w:val="none" w:sz="0" w:space="0" w:color="auto"/>
                <w:bottom w:val="none" w:sz="0" w:space="0" w:color="auto"/>
                <w:right w:val="none" w:sz="0" w:space="0" w:color="auto"/>
              </w:divBdr>
              <w:divsChild>
                <w:div w:id="418068201">
                  <w:marLeft w:val="0"/>
                  <w:marRight w:val="0"/>
                  <w:marTop w:val="0"/>
                  <w:marBottom w:val="0"/>
                  <w:divBdr>
                    <w:top w:val="none" w:sz="0" w:space="0" w:color="auto"/>
                    <w:left w:val="none" w:sz="0" w:space="0" w:color="auto"/>
                    <w:bottom w:val="none" w:sz="0" w:space="0" w:color="auto"/>
                    <w:right w:val="none" w:sz="0" w:space="0" w:color="auto"/>
                  </w:divBdr>
                  <w:divsChild>
                    <w:div w:id="1265846428">
                      <w:marLeft w:val="0"/>
                      <w:marRight w:val="0"/>
                      <w:marTop w:val="0"/>
                      <w:marBottom w:val="0"/>
                      <w:divBdr>
                        <w:top w:val="none" w:sz="0" w:space="0" w:color="auto"/>
                        <w:left w:val="none" w:sz="0" w:space="0" w:color="auto"/>
                        <w:bottom w:val="none" w:sz="0" w:space="0" w:color="auto"/>
                        <w:right w:val="none" w:sz="0" w:space="0" w:color="auto"/>
                      </w:divBdr>
                      <w:divsChild>
                        <w:div w:id="1213692678">
                          <w:marLeft w:val="0"/>
                          <w:marRight w:val="0"/>
                          <w:marTop w:val="0"/>
                          <w:marBottom w:val="0"/>
                          <w:divBdr>
                            <w:top w:val="none" w:sz="0" w:space="0" w:color="auto"/>
                            <w:left w:val="none" w:sz="0" w:space="0" w:color="auto"/>
                            <w:bottom w:val="none" w:sz="0" w:space="0" w:color="auto"/>
                            <w:right w:val="none" w:sz="0" w:space="0" w:color="auto"/>
                          </w:divBdr>
                          <w:divsChild>
                            <w:div w:id="7598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ridicas.unam.mx/wccl/ponencias/16/281.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ijpl.eu/assets/files/pdf/2012_volume_1/7.Gentili.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5813</Words>
  <Characters>33137</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Jelena</dc:creator>
  <cp:lastModifiedBy>AdvSH2</cp:lastModifiedBy>
  <cp:revision>3</cp:revision>
  <dcterms:created xsi:type="dcterms:W3CDTF">2017-10-10T11:27:00Z</dcterms:created>
  <dcterms:modified xsi:type="dcterms:W3CDTF">2023-07-14T10:17:00Z</dcterms:modified>
</cp:coreProperties>
</file>