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6D6" w:rsidRDefault="00C726D6" w:rsidP="00C726D6">
      <w:r>
        <w:t>255. D-dimer as a prognostic</w:t>
      </w:r>
      <w:r>
        <w:rPr>
          <w:lang w:val="en-US"/>
        </w:rPr>
        <w:t xml:space="preserve"> </w:t>
      </w:r>
      <w:r>
        <w:t>biomarker of the outcome in acute</w:t>
      </w:r>
      <w:r>
        <w:rPr>
          <w:lang w:val="en-US"/>
        </w:rPr>
        <w:t xml:space="preserve"> </w:t>
      </w:r>
      <w:r>
        <w:t>corrosive poisoning</w:t>
      </w:r>
    </w:p>
    <w:p w:rsidR="00C726D6" w:rsidRDefault="00C726D6" w:rsidP="00C726D6">
      <w:r>
        <w:t>Zanina Pereska, Niko Bekjarovski, Lidija</w:t>
      </w:r>
      <w:r>
        <w:rPr>
          <w:lang w:val="en-US"/>
        </w:rPr>
        <w:t xml:space="preserve"> </w:t>
      </w:r>
      <w:r>
        <w:t>Petkovska, Andon Chibishev, Natasha</w:t>
      </w:r>
      <w:r>
        <w:rPr>
          <w:lang w:val="en-US"/>
        </w:rPr>
        <w:t xml:space="preserve"> </w:t>
      </w:r>
      <w:r>
        <w:t>Simonovska, Aleksandra Babulovska, Kiril</w:t>
      </w:r>
      <w:r>
        <w:rPr>
          <w:lang w:val="en-US"/>
        </w:rPr>
        <w:t xml:space="preserve"> </w:t>
      </w:r>
      <w:r>
        <w:t>Naumoski and Kristin Kostadinoski</w:t>
      </w:r>
    </w:p>
    <w:p w:rsidR="00C726D6" w:rsidRDefault="00C726D6" w:rsidP="00C726D6">
      <w:r>
        <w:t>University Clinic of Toxicology, Ss Cyril and Methodius University,</w:t>
      </w:r>
    </w:p>
    <w:p w:rsidR="00C726D6" w:rsidRDefault="00C726D6" w:rsidP="00C726D6">
      <w:r>
        <w:t>Skopje, Republic of North Macedonia</w:t>
      </w:r>
    </w:p>
    <w:p w:rsidR="00C726D6" w:rsidRDefault="00C726D6" w:rsidP="00C726D6">
      <w:pPr>
        <w:rPr>
          <w:lang w:val="en-US"/>
        </w:rPr>
      </w:pPr>
      <w:r>
        <w:t>Objective: D-dimer (DD) is a fibrin degradation product with high</w:t>
      </w:r>
      <w:r>
        <w:rPr>
          <w:lang w:val="en-US"/>
        </w:rPr>
        <w:t xml:space="preserve"> </w:t>
      </w:r>
      <w:r>
        <w:t>sensitivity for thromboembolism but low specificity and it is</w:t>
      </w:r>
      <w:r>
        <w:rPr>
          <w:lang w:val="en-US"/>
        </w:rPr>
        <w:t xml:space="preserve"> </w:t>
      </w:r>
      <w:r>
        <w:t>increased in other conditions including inflammation [1]. Acute</w:t>
      </w:r>
      <w:r>
        <w:rPr>
          <w:lang w:val="en-US"/>
        </w:rPr>
        <w:t xml:space="preserve"> </w:t>
      </w:r>
      <w:r>
        <w:t>corrosive poisoning induces activation of coagulation system and</w:t>
      </w:r>
      <w:r>
        <w:rPr>
          <w:lang w:val="en-US"/>
        </w:rPr>
        <w:t xml:space="preserve"> </w:t>
      </w:r>
      <w:r>
        <w:t>inflammation [2] and DD can be used as a biomarker of poisoning</w:t>
      </w:r>
      <w:r>
        <w:rPr>
          <w:lang w:val="en-US"/>
        </w:rPr>
        <w:t xml:space="preserve"> </w:t>
      </w:r>
      <w:r>
        <w:t>severity/outcome. The aim of this study was to assess the</w:t>
      </w:r>
      <w:r>
        <w:rPr>
          <w:lang w:val="en-US"/>
        </w:rPr>
        <w:t xml:space="preserve"> </w:t>
      </w:r>
      <w:r>
        <w:t>association of DD concentrations with corrosive poisoning</w:t>
      </w:r>
      <w:r>
        <w:rPr>
          <w:lang w:val="en-US"/>
        </w:rPr>
        <w:t xml:space="preserve"> </w:t>
      </w:r>
      <w:r>
        <w:t>outcome and inflammatory biomarkers.</w:t>
      </w:r>
      <w:r>
        <w:rPr>
          <w:lang w:val="en-US"/>
        </w:rPr>
        <w:t xml:space="preserve"> </w:t>
      </w:r>
      <w:r>
        <w:t>Methods: The study was retrospective and observational including</w:t>
      </w:r>
      <w:r>
        <w:rPr>
          <w:lang w:val="en-US"/>
        </w:rPr>
        <w:t xml:space="preserve"> </w:t>
      </w:r>
      <w:r>
        <w:t>17 patients with corrosive poisoning over 1 year period. The DD</w:t>
      </w:r>
      <w:r>
        <w:rPr>
          <w:lang w:val="en-US"/>
        </w:rPr>
        <w:t xml:space="preserve"> </w:t>
      </w:r>
      <w:r>
        <w:t>concentration (enzyme-linked fluorescent assay (Mini VIDAS)) and</w:t>
      </w:r>
      <w:r>
        <w:rPr>
          <w:lang w:val="en-US"/>
        </w:rPr>
        <w:t xml:space="preserve"> </w:t>
      </w:r>
      <w:r>
        <w:t>complete laboratory analysis were obtained within the first</w:t>
      </w:r>
      <w:r>
        <w:rPr>
          <w:lang w:val="en-US"/>
        </w:rPr>
        <w:t xml:space="preserve"> </w:t>
      </w:r>
      <w:r>
        <w:t>24hours of the poisoning.</w:t>
      </w:r>
      <w:r>
        <w:rPr>
          <w:lang w:val="en-US"/>
        </w:rPr>
        <w:t xml:space="preserve"> </w:t>
      </w:r>
    </w:p>
    <w:p w:rsidR="00C726D6" w:rsidRDefault="00C726D6" w:rsidP="00C726D6">
      <w:r>
        <w:t>Results: Both genders were equally represented, with average age</w:t>
      </w:r>
      <w:r>
        <w:rPr>
          <w:lang w:val="en-US"/>
        </w:rPr>
        <w:t xml:space="preserve"> </w:t>
      </w:r>
      <w:r>
        <w:t>53.2±17.6 years and DD 18611.4±17608ng/mL. Poisoning with</w:t>
      </w:r>
      <w:r>
        <w:rPr>
          <w:lang w:val="en-US"/>
        </w:rPr>
        <w:t xml:space="preserve"> </w:t>
      </w:r>
      <w:r>
        <w:t>acids was registered in 58.8%, 29.4% ingested bases, base salts</w:t>
      </w:r>
      <w:r>
        <w:rPr>
          <w:lang w:val="en-US"/>
        </w:rPr>
        <w:t xml:space="preserve"> </w:t>
      </w:r>
      <w:r>
        <w:t>and other corrosives represented 5.8% each. Fatal outcome</w:t>
      </w:r>
      <w:r>
        <w:rPr>
          <w:lang w:val="en-US"/>
        </w:rPr>
        <w:t xml:space="preserve"> </w:t>
      </w:r>
      <w:r>
        <w:t>occurred in 8 patients (44.4%) within the first 24hours. Stenosis of</w:t>
      </w:r>
      <w:r>
        <w:rPr>
          <w:lang w:val="en-US"/>
        </w:rPr>
        <w:t xml:space="preserve"> </w:t>
      </w:r>
      <w:r>
        <w:t>the esophagus and/or stomach developed in 35.3%. There was</w:t>
      </w:r>
      <w:r>
        <w:rPr>
          <w:lang w:val="en-US"/>
        </w:rPr>
        <w:t xml:space="preserve"> </w:t>
      </w:r>
      <w:r>
        <w:t>significantly higher DD (27067±18416.4ng/mL) in patients who</w:t>
      </w:r>
      <w:r>
        <w:rPr>
          <w:lang w:val="en-US"/>
        </w:rPr>
        <w:t xml:space="preserve"> </w:t>
      </w:r>
      <w:r>
        <w:t>died (Z=−0.2134, P&lt;0.001) compared to the survivors (DD=</w:t>
      </w:r>
      <w:r>
        <w:rPr>
          <w:lang w:val="en-US"/>
        </w:rPr>
        <w:t xml:space="preserve"> </w:t>
      </w:r>
      <w:r>
        <w:t>11847±14402.99ng/mL). DD correlated significantly with</w:t>
      </w:r>
      <w:r>
        <w:rPr>
          <w:lang w:val="en-US"/>
        </w:rPr>
        <w:t xml:space="preserve"> </w:t>
      </w:r>
      <w:r>
        <w:t>leucocytes (ρ=0.743, P&gt;0.001) but insignificantly with C-reactive</w:t>
      </w:r>
      <w:r>
        <w:rPr>
          <w:lang w:val="en-US"/>
        </w:rPr>
        <w:t xml:space="preserve"> </w:t>
      </w:r>
      <w:r>
        <w:t>protein (CRP) (ρ=0.324, P=0.89), due to analyzing early CRP</w:t>
      </w:r>
      <w:r>
        <w:rPr>
          <w:lang w:val="en-US"/>
        </w:rPr>
        <w:t xml:space="preserve"> </w:t>
      </w:r>
      <w:r>
        <w:t>values. The prognostic power of DD in predicating fatal outcome</w:t>
      </w:r>
      <w:r>
        <w:rPr>
          <w:lang w:val="en-US"/>
        </w:rPr>
        <w:t xml:space="preserve"> </w:t>
      </w:r>
      <w:r>
        <w:t>was significant and moderate (AUROC (DD)=0.800, 95%CI 0.595–1.000, P=0.033). Diseased patients had significantly lower</w:t>
      </w:r>
      <w:r>
        <w:rPr>
          <w:lang w:val="en-US"/>
        </w:rPr>
        <w:t xml:space="preserve"> </w:t>
      </w:r>
      <w:r>
        <w:t>hemoglobin (Z=−2.711, P=0.007) and platelets (Z=−2.090,</w:t>
      </w:r>
      <w:r>
        <w:rPr>
          <w:lang w:val="en-US"/>
        </w:rPr>
        <w:t xml:space="preserve"> </w:t>
      </w:r>
      <w:r>
        <w:t>P=0.34), and increased urea (Z=−2.310, P=0.021), creatinine</w:t>
      </w:r>
      <w:r>
        <w:rPr>
          <w:lang w:val="en-US"/>
        </w:rPr>
        <w:t xml:space="preserve"> </w:t>
      </w:r>
      <w:r>
        <w:t>(Z=−2.845, P=0.04), activated partial thromboplastin time (aPTT)</w:t>
      </w:r>
      <w:r>
        <w:rPr>
          <w:lang w:val="en-US"/>
        </w:rPr>
        <w:t xml:space="preserve"> </w:t>
      </w:r>
      <w:r>
        <w:t>(Z=−2.711, P=0.007), DD (Z= −2.134, P=0.033) and lactate</w:t>
      </w:r>
      <w:r>
        <w:rPr>
          <w:lang w:val="en-US"/>
        </w:rPr>
        <w:t xml:space="preserve"> </w:t>
      </w:r>
      <w:r>
        <w:t>dehydrogenase (LDH) (Z=−3.288, P=0.001).</w:t>
      </w:r>
    </w:p>
    <w:p w:rsidR="00C726D6" w:rsidRDefault="00C726D6" w:rsidP="00C726D6">
      <w:r>
        <w:t>Conclusion: The DD was significantly increased in acute corrosive</w:t>
      </w:r>
      <w:r>
        <w:rPr>
          <w:lang w:val="en-US"/>
        </w:rPr>
        <w:t xml:space="preserve"> </w:t>
      </w:r>
      <w:r>
        <w:t>poisoning with fatal outcome and associated with leucocytes as</w:t>
      </w:r>
      <w:r>
        <w:rPr>
          <w:lang w:val="en-US"/>
        </w:rPr>
        <w:t xml:space="preserve"> </w:t>
      </w:r>
      <w:r>
        <w:t>inflammatory biomarkers. Further studies with more participants</w:t>
      </w:r>
      <w:r>
        <w:rPr>
          <w:lang w:val="en-US"/>
        </w:rPr>
        <w:t xml:space="preserve"> </w:t>
      </w:r>
      <w:r>
        <w:t>are needed to assess the usefulness of DD as a prognostic</w:t>
      </w:r>
      <w:r>
        <w:rPr>
          <w:lang w:val="en-US"/>
        </w:rPr>
        <w:t xml:space="preserve"> </w:t>
      </w:r>
      <w:r>
        <w:t>biomarker and its cut off levels as well as its role in the mechanism</w:t>
      </w:r>
      <w:r>
        <w:rPr>
          <w:lang w:val="en-US"/>
        </w:rPr>
        <w:t xml:space="preserve"> </w:t>
      </w:r>
      <w:r>
        <w:t>of corrosive injury.</w:t>
      </w:r>
    </w:p>
    <w:p w:rsidR="00C726D6" w:rsidRDefault="00C726D6" w:rsidP="00C726D6">
      <w:r>
        <w:t>References</w:t>
      </w:r>
    </w:p>
    <w:p w:rsidR="00C726D6" w:rsidRDefault="00C726D6" w:rsidP="00C726D6">
      <w:r>
        <w:t>[1] Shorr AF, Thomas SJ, Alkins SA, et al. D-dimer correlates with</w:t>
      </w:r>
      <w:r>
        <w:rPr>
          <w:lang w:val="en-US"/>
        </w:rPr>
        <w:t xml:space="preserve"> </w:t>
      </w:r>
      <w:r>
        <w:t>proinflammatory cytokine levels and outcomes in critically ill pa-</w:t>
      </w:r>
      <w:r>
        <w:rPr>
          <w:lang w:val="en-US"/>
        </w:rPr>
        <w:t xml:space="preserve"> </w:t>
      </w:r>
      <w:r>
        <w:t>tients. Chest. 2002;121:1262–1268.</w:t>
      </w:r>
    </w:p>
    <w:p w:rsidR="00FD6294" w:rsidRDefault="00C726D6" w:rsidP="00C726D6">
      <w:r>
        <w:t>[2] Shah J, Jena A, Shweta S, et al. Corrosive induced esophageal and</w:t>
      </w:r>
      <w:r>
        <w:rPr>
          <w:lang w:val="en-US"/>
        </w:rPr>
        <w:t xml:space="preserve"> </w:t>
      </w:r>
      <w:r>
        <w:t>gastric injury: Histopathological evaluation of surgically resected</w:t>
      </w:r>
      <w:r>
        <w:rPr>
          <w:lang w:val="en-US"/>
        </w:rPr>
        <w:t xml:space="preserve"> </w:t>
      </w:r>
      <w:r>
        <w:t>specimens over a decade in a tertiary care center. Indian J Pathol</w:t>
      </w:r>
      <w:r>
        <w:rPr>
          <w:lang w:val="en-US"/>
        </w:rPr>
        <w:t xml:space="preserve"> </w:t>
      </w:r>
      <w:r>
        <w:t>Microbiol. 2024;67:379–384.</w:t>
      </w:r>
    </w:p>
    <w:p w:rsidR="00C726D6" w:rsidRDefault="00C726D6" w:rsidP="00C726D6"/>
    <w:p w:rsidR="00C726D6" w:rsidRDefault="00C726D6" w:rsidP="00C726D6"/>
    <w:p w:rsidR="00C726D6" w:rsidRDefault="00C726D6" w:rsidP="00C726D6"/>
    <w:p w:rsidR="00C726D6" w:rsidRPr="00C726D6" w:rsidRDefault="00C726D6" w:rsidP="00C726D6">
      <w:bookmarkStart w:id="0" w:name="_GoBack"/>
      <w:bookmarkEnd w:id="0"/>
    </w:p>
    <w:sectPr w:rsidR="00C726D6" w:rsidRPr="00C726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6D6"/>
    <w:rsid w:val="00074E79"/>
    <w:rsid w:val="001250C4"/>
    <w:rsid w:val="00801DBE"/>
    <w:rsid w:val="00C726D6"/>
    <w:rsid w:val="00FD6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D3C958"/>
  <w15:chartTrackingRefBased/>
  <w15:docId w15:val="{19492CE6-214E-41E3-BBEF-67A44A222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mk-MK" w:eastAsia="mk-M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01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Aleksandra Babulovska</cp:lastModifiedBy>
  <cp:revision>3</cp:revision>
  <dcterms:created xsi:type="dcterms:W3CDTF">2026-07-23T11:15:00Z</dcterms:created>
  <dcterms:modified xsi:type="dcterms:W3CDTF">2026-07-23T11:16:00Z</dcterms:modified>
</cp:coreProperties>
</file>