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5CDBF3">
      <w:pPr>
        <w:pStyle w:val="2"/>
        <w:keepLines/>
      </w:pPr>
      <w:r>
        <w:t xml:space="preserve">Evaluating VMAT delivery accuracy using </w:t>
      </w:r>
      <w:r>
        <w:br w:type="textWrapping"/>
      </w:r>
      <w:r>
        <w:t>end-to-end test for different types of VMAT plans</w:t>
      </w:r>
    </w:p>
    <w:p w14:paraId="686ECC5F">
      <w:pPr>
        <w:pStyle w:val="3"/>
      </w:pPr>
      <w:r>
        <w:t>Angela Dameska</w:t>
      </w:r>
      <w:r>
        <w:rPr>
          <w:szCs w:val="20"/>
          <w:vertAlign w:val="superscript"/>
        </w:rPr>
        <w:t>1</w:t>
      </w:r>
      <w:r>
        <w:rPr>
          <w:rStyle w:val="22"/>
          <w:szCs w:val="20"/>
        </w:rPr>
        <w:footnoteReference w:id="0"/>
      </w:r>
      <w:r>
        <w:t>, Milena Teodosievska Dilindarski</w:t>
      </w:r>
      <w:r>
        <w:rPr>
          <w:szCs w:val="20"/>
          <w:vertAlign w:val="superscript"/>
        </w:rPr>
        <w:t>1</w:t>
      </w:r>
      <w:r>
        <w:rPr>
          <w:szCs w:val="20"/>
        </w:rPr>
        <w:t xml:space="preserve">, </w:t>
      </w:r>
      <w:r>
        <w:t>Dushko Lukarski</w:t>
      </w:r>
      <w:r>
        <w:rPr>
          <w:szCs w:val="20"/>
          <w:vertAlign w:val="superscript"/>
        </w:rPr>
        <w:t>1,2</w:t>
      </w:r>
    </w:p>
    <w:p w14:paraId="7DA34335">
      <w:pPr>
        <w:pStyle w:val="48"/>
      </w:pPr>
      <w:r>
        <w:rPr>
          <w:vertAlign w:val="superscript"/>
        </w:rPr>
        <w:t>1</w:t>
      </w:r>
      <w:r>
        <w:t>University Clinic for Oncology and Radiotherapy, Skopje, N. Macedonia</w:t>
      </w:r>
    </w:p>
    <w:p w14:paraId="7B563B44">
      <w:pPr>
        <w:pStyle w:val="48"/>
      </w:pPr>
      <w:r>
        <w:rPr>
          <w:vertAlign w:val="superscript"/>
        </w:rPr>
        <w:t>2</w:t>
      </w:r>
      <w:r>
        <w:t>Faculty of Medicine, Ss. Cyril and Methodius University, Skopje, N. Macedonia</w:t>
      </w:r>
    </w:p>
    <w:p w14:paraId="362C9903">
      <w:pPr>
        <w:pStyle w:val="35"/>
      </w:pPr>
      <w:r>
        <w:rPr>
          <w:rStyle w:val="74"/>
          <w:b/>
          <w:bCs/>
          <w:i/>
          <w:iCs/>
        </w:rPr>
        <w:t>Abstract</w:t>
      </w:r>
      <w:r>
        <w:rPr>
          <w:b/>
        </w:rPr>
        <w:t>.</w:t>
      </w:r>
      <w:r>
        <w:t xml:space="preserve"> Volumetric modulated arc therapy (VMAT) is the next step in the improvement of the dynamic intensity modulated radiotherapy by improving the delivery efficiency and reducing the treatment time. In this study we have evaluated the delivery accuracy of different types of VMAT plans by performing an end-to-end test using the CIRS IMRT Thorax 002LFC phantom on two different radiotherapy units, a Varian iX Clinac and a Halcyon unit. We have created 10 different VMAT plans and measured the dose in different points according to a modified IAEA CRP E24017 protocol. For the measurement points representing the target volumes we have found that using two or three arcs gives acceptable results, but for single arc treatments the results were suboptimal. For low-dose regions, field size was found to have a more pronounced effect especially on the iX unit, with larger fields leading to slightly reduced accuracy. Inaccuracies are usually highest where the inhomogeneity of the body is greatest, such as the points representing the lungs and the spinal cord regions, where the computational algorithms themselves also contribute to the overall inaccuracy. In conclusion, the end-to-end test showed that the plans are clinically acceptable, but the recommendations for these particular machines would be not to use single arc treatments and to consider algorithm inaccuracies in regions of greater inhomogeneity during the treatment planning process.</w:t>
      </w:r>
    </w:p>
    <w:p w14:paraId="67F6E4ED">
      <w:pPr>
        <w:pStyle w:val="53"/>
      </w:pPr>
      <w:r>
        <w:rPr>
          <w:rStyle w:val="77"/>
          <w:b/>
          <w:bCs/>
          <w:i/>
          <w:iCs/>
        </w:rPr>
        <w:t>Keywords</w:t>
      </w:r>
      <w:r>
        <w:rPr>
          <w:b/>
          <w:iCs w:val="0"/>
        </w:rPr>
        <w:t>:</w:t>
      </w:r>
      <w:r>
        <w:rPr>
          <w:i w:val="0"/>
          <w:iCs w:val="0"/>
        </w:rPr>
        <w:t xml:space="preserve"> </w:t>
      </w:r>
      <w:r>
        <w:rPr>
          <w:iCs w:val="0"/>
        </w:rPr>
        <w:t>VMAT, end-to-end test, CIRS IMRT thorax phantom</w:t>
      </w:r>
    </w:p>
    <w:p w14:paraId="05B933F7">
      <w:pPr>
        <w:pStyle w:val="4"/>
        <w:spacing w:before="120" w:after="240"/>
        <w:sectPr>
          <w:headerReference r:id="rId6" w:type="first"/>
          <w:headerReference r:id="rId4" w:type="default"/>
          <w:footerReference r:id="rId7" w:type="default"/>
          <w:headerReference r:id="rId5" w:type="even"/>
          <w:footerReference r:id="rId8" w:type="even"/>
          <w:footnotePr>
            <w:numFmt w:val="chicago"/>
          </w:footnotePr>
          <w:type w:val="continuous"/>
          <w:pgSz w:w="11909" w:h="16834"/>
          <w:pgMar w:top="1462" w:right="1134" w:bottom="1418" w:left="1418" w:header="851" w:footer="1418" w:gutter="0"/>
          <w:paperSrc w:first="7" w:other="7"/>
          <w:pgNumType w:start="1"/>
          <w:cols w:space="709" w:num="1"/>
          <w:titlePg/>
        </w:sectPr>
      </w:pPr>
    </w:p>
    <w:p w14:paraId="2D0B325E">
      <w:pPr>
        <w:pStyle w:val="4"/>
      </w:pPr>
      <w:r>
        <w:t>1. Introduction</w:t>
      </w:r>
    </w:p>
    <w:p w14:paraId="25391218">
      <w:pPr>
        <w:pStyle w:val="70"/>
      </w:pPr>
      <w:r>
        <w:t>The current gold standard of the external beam radiotherapy is the three dimensional conformal radiotherapy (3D CRT). In the classical form of the 3D CRT static flat fields are used, meaning that the beam intensity in all the points of the beam is the same, within 5%. Compared to the previously used 1D and 2D radiotherapy, the classical uniform beam 3D CRT provided better dose homogeneity and generally less hot spots in the target. With the technological development the past couple of decades, the 3D CRT further evolved into static gantry intensity modulated radiotherapy (IMRT) where multiple beams at different fixed gantry angles are irradiated and each of these beams has optimized intensity modulated fluence distributions. The introduction of static gantry IMRT further evolved into the development of volumetric modulated arc therapy (VMAT) in the late 20th century [1, 2]. The new technique was developed as a solution to some limitations of previous rotational techniques, and provided comparable and even superior target coverage at the cost of slightly greater low dose bath. But the numerous practical advantages contributed to the VMAT's popularity and widespread use in the clinical practice. With VMAT [3], the delivery times are reduced, leading to a greater patient throughput in a busy clinic, the dose conformity to the target volumes is improved, healthy tissues surrounding the tumor are sparred usually to a greater extent compared with static gantry IMRT, and the treatment parameters (rotation speed, dose rate, and multileaf collimator movement) can all be simultaneously optimized. The ongoing research and technological achievements continue to advance the field of VMAT. Techniques such as single-arc VMAT, multiple-arc VMAT and hybrid VMAT have been developed to further refine treatment delivery [4, 5]. Additionally, efforts are being made to integrate imaging technologies, such as cone-beam computed tomography (CBCT) and magnetic resonance imaging (MRI) into VMAT workflows for improved treatment accuracy [6, 7]. Today, VMAT is steadily becoming the treatment technique of choice in radiation oncology departments worldwide, offering improved treatment outcomes and enhanced patient comfort. Its development and continuous refinement have revolutionized radiation therapy, providing clinicians with a powerful tool to effectively treat cancer while minimizing the damaging impact on the healthy tissues.</w:t>
      </w:r>
    </w:p>
    <w:p w14:paraId="1977E422">
      <w:pPr>
        <w:pStyle w:val="70"/>
      </w:pPr>
      <w:r>
        <w:t>However, these technological developments leading to better cancer patient care come with increasing complexity of both the machines used to deliver the treatment and also the treatment planning systems and algorithms used to calculate the dose distribution in the specific patient anatomy. Unlike the uniform fluence 3D CRT, these techniques are usually based on inverse planning, where the planner sets the desired goals in the treatment planning system and then the computer system/algorithm calculates all the necessary motions of the different parts of the irradiation system (gantry, mlc, dose rate etc.) in order to fulfill the set goals as best as it can. Since the optimization algorithms usually involve complex cost function minimization calculations, it is not really straightforward for the planner to assume the end result in advance. Therefore, the need for additional quality control procedures has been identified and relevant international bodies have provided additional guidelines for both machine specific and patient specific quality assurance procedures [8-11].</w:t>
      </w:r>
    </w:p>
    <w:p w14:paraId="2777B5C8">
      <w:pPr>
        <w:pStyle w:val="70"/>
      </w:pPr>
      <w:r>
        <w:t xml:space="preserve">One of the tools in the quality assurance system providing greater confidence in the accurate delivery of the dose to the patient is the end-to-end (E2E) test of the process. E2E testing is used to evaluate the functionality and performance of a system as a whole, from start to finish, by simulating real-world scenarios. It is a comprehensive testing approach that verifies the interactions between various components of a system to ensure that they work together seamlessly and meet the desired requirements. By executing E2E test scenarios, a radiotherapy department can identify functional defects or issues that may arise due to the interaction between multiple components. It helps ensure that all functionalities of the system are working as expected. </w:t>
      </w:r>
    </w:p>
    <w:p w14:paraId="368593CC">
      <w:pPr>
        <w:pStyle w:val="70"/>
      </w:pPr>
      <w:r>
        <w:t xml:space="preserve">The E2E tests are widely used in radiotherapy, especially for intensity modulated techniques [12-16]. In this work we have performed an E2E testing to assess the VMAT delivery accuracy for various VMAT plans on two different treatment machines, one older Varian Clinac iX, commissioned in 2013 and a new Halcyon system, commissioned in 2022. For the purposes of the E2E testing we created and irradiated 10 different VMAT plans on an anthropomorphic phantom in order to evaluate the behavior of the systems under different conditions. </w:t>
      </w:r>
    </w:p>
    <w:p w14:paraId="3D83C04B">
      <w:pPr>
        <w:pStyle w:val="4"/>
      </w:pPr>
      <w:r>
        <w:t>2. Materials and methods</w:t>
      </w:r>
    </w:p>
    <w:p w14:paraId="0274C628">
      <w:pPr>
        <w:pStyle w:val="70"/>
        <w:rPr>
          <w:bCs/>
        </w:rPr>
      </w:pPr>
      <w:r>
        <w:rPr>
          <w:bCs/>
        </w:rPr>
        <w:t>The E2E test tests the cumulative influence of different steps of the process on the realistic treatment plan delivery accuracy. Implicitly, in the first step, the E2E test actually tests the CT simulation subsystem - whether the CT scanner is operating properly, including scanner components, techniques of reconstruction, image processor, generator, scanning unit (gantry), patient table etc. After the data has been transferred to the treatment planning system, the target volumes and organs at risk (OAR) were contoured and several treatment plans were created, thus testing the planning stage as well, namely the operation of the treatment planning system including parameters such as beam positions, directions, energy, monitoring units, MLC shapes, optimization and dose calculation algorithms. The calculated treatment plans were then transferred to the irradiation machine and made ready for delivery. In this step the E2E test checks whether the data transfer is complete and correct. The E2E testing ends with irradiation of the phantom, measuring the dose at certain points and analysis of the obtained data.</w:t>
      </w:r>
    </w:p>
    <w:p w14:paraId="592FABAD">
      <w:pPr>
        <w:pStyle w:val="70"/>
        <w:rPr>
          <w:bCs/>
        </w:rPr>
      </w:pPr>
      <w:r>
        <w:rPr>
          <w:bCs/>
        </w:rPr>
        <w:t>The treatment planning system used in this study is Varian’s Eclipse ver.16.1. The calculation grid size was 2.5 mm. Two radiotherapy units were investigated in this study. The older Clinac iX is equipped with a MV portal imager and a kV on-board imager. The maximum field size is 40×40 cm and has 6 MV and 15 MV nominal photon energies. For VMAT we use only the 6 MV energy, which is the current standard practice. The most important part of the beam intensity modulation system is the Milenium 120</w:t>
      </w:r>
      <w:r>
        <w:rPr>
          <w:rFonts w:ascii="Times New Roman" w:hAnsi="Times New Roman"/>
          <w:bCs/>
        </w:rPr>
        <w:t>‐</w:t>
      </w:r>
      <w:r>
        <w:rPr>
          <w:bCs/>
        </w:rPr>
        <w:t>leaf multileaf collimator which features two banks of 60 tungsten leaves. The maximal dose rate of the unit is 600 MU/min. For this linac we usually employ the AAA algorithm for dose calculations.</w:t>
      </w:r>
    </w:p>
    <w:p w14:paraId="139D2FDD">
      <w:pPr>
        <w:pStyle w:val="70"/>
        <w:rPr>
          <w:bCs/>
        </w:rPr>
      </w:pPr>
      <w:r>
        <w:rPr>
          <w:bCs/>
        </w:rPr>
        <w:t xml:space="preserve"> The second linac investigated in this study was a new Halcyon unit, which is designed with a ring-mounted gantry. This machine is equipped with an MV imager that allows an IGRT treatment based on orthogonal pair of images or a CBCT. The IGRT is incorporated in the concept of a Halcyon linac making the imaging mandatory before any treatment delivery. The maximum field size is 28×28 cm and the nominal photon energy is 6 MV flattening-filter-free. The unit has a new for Varian, jawless design that features a new dual layer multileaf collimator system with faster speed and reduced transmission, and enables dose rates of up to 800 MU/min. For the Halcyon we use the advanced Accuros XB algorithm for dose calculation.</w:t>
      </w:r>
    </w:p>
    <w:p w14:paraId="1041E836">
      <w:pPr>
        <w:pStyle w:val="70"/>
        <w:rPr>
          <w:bCs/>
        </w:rPr>
      </w:pPr>
      <w:r>
        <w:rPr>
          <w:bCs/>
        </w:rPr>
        <w:t xml:space="preserve">The E2E test is based on a modified IAEA CRP E24017 protocol [15]. In line with this protocol and with other relevant studies [16, 17, 18] we have used the CIRS IMRT Thorax Model 002LFC phantom, which we scanned with our CT Scanner General Electric Discovery 590RT with slice thickness of 2.5 mm. We have contoured the CT image in line with the modified IAEA CRP E24017 protocol, as is shown in Figure 1. </w:t>
      </w:r>
    </w:p>
    <w:p w14:paraId="4B761890">
      <w:pPr>
        <w:pStyle w:val="51"/>
        <w:rPr>
          <w:lang w:val="en-US"/>
        </w:rPr>
      </w:pPr>
      <w:r>
        <w:rPr>
          <w:lang w:val="en-US"/>
        </w:rPr>
        <w:drawing>
          <wp:inline distT="0" distB="0" distL="0" distR="0">
            <wp:extent cx="2435860" cy="170434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36471" cy="1704698"/>
                    </a:xfrm>
                    <a:prstGeom prst="rect">
                      <a:avLst/>
                    </a:prstGeom>
                  </pic:spPr>
                </pic:pic>
              </a:graphicData>
            </a:graphic>
          </wp:inline>
        </w:drawing>
      </w:r>
      <w:r>
        <w:rPr>
          <w:lang w:val="en-US"/>
        </w:rPr>
        <w:t xml:space="preserve"> </w:t>
      </w:r>
    </w:p>
    <w:p w14:paraId="0C9927F4">
      <w:pPr>
        <w:pStyle w:val="52"/>
        <w:widowControl/>
      </w:pPr>
      <w:r>
        <w:t>Figure 1. Representative scan of the CIRS IMRT Thorax phantom with contours and calculation points where the calculated and the measured dose was compared. The red contour represents the target volume and is represented by points 1 and 2. The yellow contour with point 4 in its center represents the heart which is a low dose region with electron density similar to water. Point 5 represents the esophagus, also in low dose region, while point 6 represents the lung. Point 10 represents the spinal cord and is characterized by electron density similar to bone.</w:t>
      </w:r>
    </w:p>
    <w:p w14:paraId="6A9E74BC">
      <w:pPr>
        <w:pStyle w:val="70"/>
      </w:pPr>
      <w:r>
        <w:rPr>
          <w:bCs/>
        </w:rPr>
        <w:t>The red contour represents the target volume, the yellow contour represents the heart, the green contour the esophagus, the blue contour the lung and the magenta contour the spinal cord together with the boney structure around it. Figure 1 also shows the representative points where we compared the calculation with the measurements. The target volume  is represented by points 1 and 2. Points 4 and 5 are in the low dose region where the electron density is similar to that of water, with point 5 being in a higher gradient area because it is closer to the target volume. Point 6 represents the lung tissue wi</w:t>
      </w:r>
      <w:bookmarkStart w:id="0" w:name="_GoBack"/>
      <w:bookmarkEnd w:id="0"/>
      <w:r>
        <w:rPr>
          <w:bCs/>
        </w:rPr>
        <w:t>th low electron density while point 10, which is located in the spinal cord and surrounding bone tissue, is in an area of the phantom characterized by a higher electron density close to that of bone.</w:t>
      </w:r>
    </w:p>
    <w:p w14:paraId="5BF139DF">
      <w:pPr>
        <w:pStyle w:val="70"/>
      </w:pPr>
      <w:r>
        <w:rPr>
          <w:bCs/>
        </w:rPr>
        <w:t>The prescribed dose for this test was 50.4 Gy in 28 fractions. The VMAT planning objective was 95% coverage of the target volume with 100% of the prescribed dose while meeting the dose limits for OARs according to the IAEA CRP E24017 guidelines, as presented in Table 1.</w:t>
      </w:r>
    </w:p>
    <w:p w14:paraId="5045F73A">
      <w:pPr>
        <w:pStyle w:val="59"/>
      </w:pPr>
      <w:r>
        <w:t xml:space="preserve">Table 1. OAR dose limits according to </w:t>
      </w:r>
      <w:r>
        <w:br w:type="textWrapping"/>
      </w:r>
      <w:r>
        <w:t>the modified IAEA CRP E20417 guidelines.</w:t>
      </w:r>
    </w:p>
    <w:tbl>
      <w:tblPr>
        <w:tblStyle w:val="2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259"/>
        <w:gridCol w:w="1024"/>
        <w:gridCol w:w="1257"/>
        <w:gridCol w:w="1071"/>
      </w:tblGrid>
      <w:tr w14:paraId="57D13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tcBorders>
              <w:top w:val="single" w:color="auto" w:sz="4" w:space="0"/>
              <w:bottom w:val="single" w:color="auto" w:sz="4" w:space="0"/>
            </w:tcBorders>
            <w:vAlign w:val="center"/>
          </w:tcPr>
          <w:p w14:paraId="272A5665">
            <w:pPr>
              <w:jc w:val="center"/>
              <w:rPr>
                <w:rFonts w:ascii="Georgia" w:hAnsi="Georgia"/>
                <w:b/>
                <w:sz w:val="18"/>
                <w:szCs w:val="18"/>
              </w:rPr>
            </w:pPr>
            <w:r>
              <w:rPr>
                <w:rFonts w:ascii="Georgia" w:hAnsi="Georgia"/>
                <w:b/>
                <w:sz w:val="18"/>
                <w:szCs w:val="18"/>
              </w:rPr>
              <w:t>Structure</w:t>
            </w:r>
          </w:p>
        </w:tc>
        <w:tc>
          <w:tcPr>
            <w:tcW w:w="1024" w:type="dxa"/>
            <w:tcBorders>
              <w:top w:val="single" w:color="auto" w:sz="4" w:space="0"/>
              <w:bottom w:val="single" w:color="auto" w:sz="4" w:space="0"/>
            </w:tcBorders>
            <w:vAlign w:val="center"/>
          </w:tcPr>
          <w:p w14:paraId="1E4130DE">
            <w:pPr>
              <w:jc w:val="center"/>
              <w:rPr>
                <w:rFonts w:ascii="Georgia" w:hAnsi="Georgia"/>
                <w:b/>
                <w:sz w:val="18"/>
                <w:szCs w:val="18"/>
              </w:rPr>
            </w:pPr>
            <w:r>
              <w:rPr>
                <w:rFonts w:ascii="Georgia" w:hAnsi="Georgia"/>
                <w:b/>
                <w:sz w:val="18"/>
                <w:szCs w:val="18"/>
              </w:rPr>
              <w:t>Volume (cc)</w:t>
            </w:r>
          </w:p>
        </w:tc>
        <w:tc>
          <w:tcPr>
            <w:tcW w:w="0" w:type="auto"/>
            <w:tcBorders>
              <w:top w:val="single" w:color="auto" w:sz="4" w:space="0"/>
              <w:bottom w:val="single" w:color="auto" w:sz="4" w:space="0"/>
            </w:tcBorders>
            <w:vAlign w:val="center"/>
          </w:tcPr>
          <w:p w14:paraId="45FC75C3">
            <w:pPr>
              <w:jc w:val="center"/>
              <w:rPr>
                <w:rFonts w:ascii="Georgia" w:hAnsi="Georgia"/>
                <w:b/>
                <w:sz w:val="18"/>
                <w:szCs w:val="18"/>
              </w:rPr>
            </w:pPr>
            <w:r>
              <w:rPr>
                <w:rFonts w:ascii="Georgia" w:hAnsi="Georgia"/>
                <w:b/>
                <w:sz w:val="18"/>
                <w:szCs w:val="18"/>
              </w:rPr>
              <w:t>Max volume dose (cGy)</w:t>
            </w:r>
          </w:p>
        </w:tc>
        <w:tc>
          <w:tcPr>
            <w:tcW w:w="0" w:type="auto"/>
            <w:tcBorders>
              <w:top w:val="single" w:color="auto" w:sz="4" w:space="0"/>
              <w:bottom w:val="single" w:color="auto" w:sz="4" w:space="0"/>
            </w:tcBorders>
            <w:vAlign w:val="center"/>
          </w:tcPr>
          <w:p w14:paraId="013E8DC4">
            <w:pPr>
              <w:jc w:val="center"/>
              <w:rPr>
                <w:rFonts w:ascii="Georgia" w:hAnsi="Georgia"/>
                <w:b/>
                <w:sz w:val="18"/>
                <w:szCs w:val="18"/>
              </w:rPr>
            </w:pPr>
            <w:r>
              <w:rPr>
                <w:rFonts w:ascii="Georgia" w:hAnsi="Georgia"/>
                <w:b/>
                <w:sz w:val="18"/>
                <w:szCs w:val="18"/>
              </w:rPr>
              <w:t>Max point dose (cGy)</w:t>
            </w:r>
          </w:p>
        </w:tc>
      </w:tr>
      <w:tr w14:paraId="01877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tcBorders>
              <w:top w:val="single" w:color="auto" w:sz="4" w:space="0"/>
            </w:tcBorders>
            <w:vAlign w:val="center"/>
          </w:tcPr>
          <w:p w14:paraId="10154922">
            <w:pPr>
              <w:jc w:val="left"/>
              <w:rPr>
                <w:rFonts w:ascii="Georgia" w:hAnsi="Georgia" w:eastAsiaTheme="minorEastAsia"/>
                <w:sz w:val="18"/>
                <w:szCs w:val="18"/>
                <w:lang w:eastAsia="ja-JP"/>
              </w:rPr>
            </w:pPr>
            <w:r>
              <w:rPr>
                <w:rFonts w:ascii="Georgia" w:hAnsi="Georgia" w:eastAsiaTheme="minorEastAsia"/>
                <w:sz w:val="18"/>
                <w:szCs w:val="18"/>
                <w:lang w:eastAsia="ja-JP"/>
              </w:rPr>
              <w:t>Spinal Cord</w:t>
            </w:r>
          </w:p>
        </w:tc>
        <w:tc>
          <w:tcPr>
            <w:tcW w:w="1024" w:type="dxa"/>
            <w:tcBorders>
              <w:top w:val="single" w:color="auto" w:sz="4" w:space="0"/>
            </w:tcBorders>
            <w:vAlign w:val="center"/>
          </w:tcPr>
          <w:p w14:paraId="1BA35972">
            <w:pPr>
              <w:jc w:val="center"/>
              <w:rPr>
                <w:rFonts w:ascii="Georgia" w:hAnsi="Georgia" w:eastAsiaTheme="minorEastAsia"/>
                <w:sz w:val="18"/>
                <w:szCs w:val="18"/>
                <w:lang w:eastAsia="ja-JP"/>
              </w:rPr>
            </w:pPr>
            <w:r>
              <w:rPr>
                <w:rFonts w:ascii="Georgia" w:hAnsi="Georgia" w:eastAsiaTheme="minorEastAsia"/>
                <w:sz w:val="18"/>
                <w:szCs w:val="18"/>
                <w:lang w:eastAsia="ja-JP"/>
              </w:rPr>
              <w:t>&lt;1</w:t>
            </w:r>
          </w:p>
        </w:tc>
        <w:tc>
          <w:tcPr>
            <w:tcW w:w="0" w:type="auto"/>
            <w:tcBorders>
              <w:top w:val="single" w:color="auto" w:sz="4" w:space="0"/>
            </w:tcBorders>
            <w:vAlign w:val="center"/>
          </w:tcPr>
          <w:p w14:paraId="64AB37D0">
            <w:pPr>
              <w:jc w:val="center"/>
              <w:rPr>
                <w:rFonts w:ascii="Georgia" w:hAnsi="Georgia" w:eastAsiaTheme="minorEastAsia"/>
                <w:sz w:val="18"/>
                <w:szCs w:val="18"/>
                <w:lang w:eastAsia="ja-JP"/>
              </w:rPr>
            </w:pPr>
            <w:r>
              <w:rPr>
                <w:rFonts w:ascii="Georgia" w:hAnsi="Georgia" w:eastAsiaTheme="minorEastAsia"/>
                <w:sz w:val="18"/>
                <w:szCs w:val="18"/>
                <w:lang w:eastAsia="ja-JP"/>
              </w:rPr>
              <w:t>1550</w:t>
            </w:r>
          </w:p>
        </w:tc>
        <w:tc>
          <w:tcPr>
            <w:tcW w:w="0" w:type="auto"/>
            <w:tcBorders>
              <w:top w:val="single" w:color="auto" w:sz="4" w:space="0"/>
            </w:tcBorders>
            <w:vAlign w:val="center"/>
          </w:tcPr>
          <w:p w14:paraId="178918C2">
            <w:pPr>
              <w:jc w:val="center"/>
              <w:rPr>
                <w:rFonts w:ascii="Georgia" w:hAnsi="Georgia" w:eastAsiaTheme="minorEastAsia"/>
                <w:sz w:val="18"/>
                <w:szCs w:val="18"/>
                <w:lang w:eastAsia="ja-JP"/>
              </w:rPr>
            </w:pPr>
            <w:r>
              <w:rPr>
                <w:rFonts w:ascii="Georgia" w:hAnsi="Georgia" w:eastAsiaTheme="minorEastAsia"/>
                <w:sz w:val="18"/>
                <w:szCs w:val="18"/>
                <w:lang w:eastAsia="ja-JP"/>
              </w:rPr>
              <w:t>1700</w:t>
            </w:r>
          </w:p>
        </w:tc>
      </w:tr>
      <w:tr w14:paraId="3B77F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vAlign w:val="center"/>
          </w:tcPr>
          <w:p w14:paraId="44EF5736">
            <w:pPr>
              <w:jc w:val="left"/>
              <w:rPr>
                <w:rFonts w:ascii="Georgia" w:hAnsi="Georgia" w:eastAsiaTheme="minorEastAsia"/>
                <w:sz w:val="18"/>
                <w:szCs w:val="18"/>
                <w:lang w:eastAsia="ja-JP"/>
              </w:rPr>
            </w:pPr>
          </w:p>
        </w:tc>
        <w:tc>
          <w:tcPr>
            <w:tcW w:w="1024" w:type="dxa"/>
            <w:vAlign w:val="center"/>
          </w:tcPr>
          <w:p w14:paraId="2CF18783">
            <w:pPr>
              <w:jc w:val="center"/>
              <w:rPr>
                <w:rFonts w:ascii="Georgia" w:hAnsi="Georgia" w:eastAsiaTheme="minorEastAsia"/>
                <w:sz w:val="18"/>
                <w:szCs w:val="18"/>
                <w:lang w:eastAsia="ja-JP"/>
              </w:rPr>
            </w:pPr>
            <w:r>
              <w:rPr>
                <w:rFonts w:ascii="Georgia" w:hAnsi="Georgia" w:eastAsiaTheme="minorEastAsia"/>
                <w:sz w:val="18"/>
                <w:szCs w:val="18"/>
                <w:lang w:eastAsia="ja-JP"/>
              </w:rPr>
              <w:t>&lt;5</w:t>
            </w:r>
          </w:p>
        </w:tc>
        <w:tc>
          <w:tcPr>
            <w:tcW w:w="0" w:type="auto"/>
            <w:vAlign w:val="center"/>
          </w:tcPr>
          <w:p w14:paraId="48E88A2D">
            <w:pPr>
              <w:jc w:val="center"/>
              <w:rPr>
                <w:rFonts w:ascii="Georgia" w:hAnsi="Georgia" w:eastAsiaTheme="minorEastAsia"/>
                <w:sz w:val="18"/>
                <w:szCs w:val="18"/>
                <w:lang w:eastAsia="ja-JP"/>
              </w:rPr>
            </w:pPr>
            <w:r>
              <w:rPr>
                <w:rFonts w:ascii="Georgia" w:hAnsi="Georgia" w:eastAsiaTheme="minorEastAsia"/>
                <w:sz w:val="18"/>
                <w:szCs w:val="18"/>
                <w:lang w:eastAsia="ja-JP"/>
              </w:rPr>
              <w:t>1450</w:t>
            </w:r>
          </w:p>
        </w:tc>
        <w:tc>
          <w:tcPr>
            <w:tcW w:w="0" w:type="auto"/>
            <w:vAlign w:val="center"/>
          </w:tcPr>
          <w:p w14:paraId="1C09B52B">
            <w:pPr>
              <w:jc w:val="center"/>
              <w:rPr>
                <w:rFonts w:ascii="Georgia" w:hAnsi="Georgia" w:eastAsiaTheme="minorEastAsia"/>
                <w:sz w:val="18"/>
                <w:szCs w:val="18"/>
                <w:lang w:eastAsia="ja-JP"/>
              </w:rPr>
            </w:pPr>
          </w:p>
        </w:tc>
      </w:tr>
      <w:tr w14:paraId="148EEC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vAlign w:val="center"/>
          </w:tcPr>
          <w:p w14:paraId="054F75E4">
            <w:pPr>
              <w:jc w:val="left"/>
              <w:rPr>
                <w:rFonts w:ascii="Georgia" w:hAnsi="Georgia" w:eastAsiaTheme="minorEastAsia"/>
                <w:sz w:val="18"/>
                <w:szCs w:val="18"/>
                <w:lang w:eastAsia="ja-JP"/>
              </w:rPr>
            </w:pPr>
            <w:r>
              <w:rPr>
                <w:rFonts w:ascii="Georgia" w:hAnsi="Georgia" w:eastAsiaTheme="minorEastAsia"/>
                <w:sz w:val="18"/>
                <w:szCs w:val="18"/>
                <w:lang w:eastAsia="ja-JP"/>
              </w:rPr>
              <w:t>Heart</w:t>
            </w:r>
          </w:p>
        </w:tc>
        <w:tc>
          <w:tcPr>
            <w:tcW w:w="1024" w:type="dxa"/>
            <w:vAlign w:val="center"/>
          </w:tcPr>
          <w:p w14:paraId="546A60F4">
            <w:pPr>
              <w:jc w:val="center"/>
              <w:rPr>
                <w:rFonts w:ascii="Georgia" w:hAnsi="Georgia" w:eastAsiaTheme="minorEastAsia"/>
                <w:sz w:val="18"/>
                <w:szCs w:val="18"/>
                <w:lang w:eastAsia="ja-JP"/>
              </w:rPr>
            </w:pPr>
            <w:r>
              <w:rPr>
                <w:rFonts w:ascii="Georgia" w:hAnsi="Georgia" w:eastAsiaTheme="minorEastAsia"/>
                <w:sz w:val="18"/>
                <w:szCs w:val="18"/>
                <w:lang w:eastAsia="ja-JP"/>
              </w:rPr>
              <w:t>&lt;15</w:t>
            </w:r>
          </w:p>
        </w:tc>
        <w:tc>
          <w:tcPr>
            <w:tcW w:w="0" w:type="auto"/>
            <w:vAlign w:val="center"/>
          </w:tcPr>
          <w:p w14:paraId="1016422A">
            <w:pPr>
              <w:jc w:val="center"/>
              <w:rPr>
                <w:rFonts w:ascii="Georgia" w:hAnsi="Georgia" w:eastAsiaTheme="minorEastAsia"/>
                <w:sz w:val="18"/>
                <w:szCs w:val="18"/>
                <w:lang w:eastAsia="ja-JP"/>
              </w:rPr>
            </w:pPr>
            <w:r>
              <w:rPr>
                <w:rFonts w:ascii="Georgia" w:hAnsi="Georgia" w:eastAsiaTheme="minorEastAsia"/>
                <w:sz w:val="18"/>
                <w:szCs w:val="18"/>
                <w:lang w:eastAsia="ja-JP"/>
              </w:rPr>
              <w:t>1800</w:t>
            </w:r>
          </w:p>
        </w:tc>
        <w:tc>
          <w:tcPr>
            <w:tcW w:w="0" w:type="auto"/>
            <w:vAlign w:val="center"/>
          </w:tcPr>
          <w:p w14:paraId="40F510B6">
            <w:pPr>
              <w:jc w:val="center"/>
              <w:rPr>
                <w:rFonts w:ascii="Georgia" w:hAnsi="Georgia" w:eastAsiaTheme="minorEastAsia"/>
                <w:sz w:val="18"/>
                <w:szCs w:val="18"/>
                <w:lang w:eastAsia="ja-JP"/>
              </w:rPr>
            </w:pPr>
            <w:r>
              <w:rPr>
                <w:rFonts w:ascii="Georgia" w:hAnsi="Georgia" w:eastAsiaTheme="minorEastAsia"/>
                <w:sz w:val="18"/>
                <w:szCs w:val="18"/>
                <w:lang w:eastAsia="ja-JP"/>
              </w:rPr>
              <w:t>2350</w:t>
            </w:r>
          </w:p>
        </w:tc>
      </w:tr>
      <w:tr w14:paraId="350420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vAlign w:val="center"/>
          </w:tcPr>
          <w:p w14:paraId="4BE2B7D8">
            <w:pPr>
              <w:jc w:val="left"/>
              <w:rPr>
                <w:rFonts w:ascii="Georgia" w:hAnsi="Georgia" w:eastAsiaTheme="minorEastAsia"/>
                <w:sz w:val="18"/>
                <w:szCs w:val="18"/>
                <w:lang w:eastAsia="ja-JP"/>
              </w:rPr>
            </w:pPr>
            <w:r>
              <w:rPr>
                <w:rFonts w:ascii="Georgia" w:hAnsi="Georgia" w:eastAsiaTheme="minorEastAsia"/>
                <w:sz w:val="18"/>
                <w:szCs w:val="18"/>
                <w:lang w:eastAsia="ja-JP"/>
              </w:rPr>
              <w:t>Esophagus</w:t>
            </w:r>
          </w:p>
        </w:tc>
        <w:tc>
          <w:tcPr>
            <w:tcW w:w="1024" w:type="dxa"/>
            <w:vAlign w:val="center"/>
          </w:tcPr>
          <w:p w14:paraId="53B3C9B6">
            <w:pPr>
              <w:jc w:val="center"/>
              <w:rPr>
                <w:rFonts w:ascii="Georgia" w:hAnsi="Georgia" w:eastAsiaTheme="minorEastAsia"/>
                <w:sz w:val="18"/>
                <w:szCs w:val="18"/>
                <w:lang w:eastAsia="ja-JP"/>
              </w:rPr>
            </w:pPr>
            <w:r>
              <w:rPr>
                <w:rFonts w:ascii="Georgia" w:hAnsi="Georgia" w:eastAsiaTheme="minorEastAsia"/>
                <w:sz w:val="18"/>
                <w:szCs w:val="18"/>
                <w:lang w:eastAsia="ja-JP"/>
              </w:rPr>
              <w:t>&lt;5</w:t>
            </w:r>
          </w:p>
        </w:tc>
        <w:tc>
          <w:tcPr>
            <w:tcW w:w="0" w:type="auto"/>
            <w:vAlign w:val="center"/>
          </w:tcPr>
          <w:p w14:paraId="334E28B4">
            <w:pPr>
              <w:jc w:val="center"/>
              <w:rPr>
                <w:rFonts w:ascii="Georgia" w:hAnsi="Georgia" w:eastAsiaTheme="minorEastAsia"/>
                <w:sz w:val="18"/>
                <w:szCs w:val="18"/>
                <w:lang w:eastAsia="ja-JP"/>
              </w:rPr>
            </w:pPr>
            <w:r>
              <w:rPr>
                <w:rFonts w:ascii="Georgia" w:hAnsi="Georgia" w:eastAsiaTheme="minorEastAsia"/>
                <w:sz w:val="18"/>
                <w:szCs w:val="18"/>
                <w:lang w:eastAsia="ja-JP"/>
              </w:rPr>
              <w:t>4400</w:t>
            </w:r>
          </w:p>
        </w:tc>
        <w:tc>
          <w:tcPr>
            <w:tcW w:w="0" w:type="auto"/>
            <w:vAlign w:val="center"/>
          </w:tcPr>
          <w:p w14:paraId="587C5635">
            <w:pPr>
              <w:jc w:val="center"/>
              <w:rPr>
                <w:rFonts w:ascii="Georgia" w:hAnsi="Georgia" w:eastAsiaTheme="minorEastAsia"/>
                <w:sz w:val="18"/>
                <w:szCs w:val="18"/>
                <w:lang w:eastAsia="ja-JP"/>
              </w:rPr>
            </w:pPr>
            <w:r>
              <w:rPr>
                <w:rFonts w:ascii="Georgia" w:hAnsi="Georgia" w:eastAsiaTheme="minorEastAsia"/>
                <w:sz w:val="18"/>
                <w:szCs w:val="18"/>
                <w:lang w:eastAsia="ja-JP"/>
              </w:rPr>
              <w:t>5050</w:t>
            </w:r>
          </w:p>
        </w:tc>
      </w:tr>
      <w:tr w14:paraId="7B970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vAlign w:val="center"/>
          </w:tcPr>
          <w:p w14:paraId="7A6A0685">
            <w:pPr>
              <w:jc w:val="left"/>
              <w:rPr>
                <w:rFonts w:ascii="Georgia" w:hAnsi="Georgia" w:eastAsiaTheme="minorEastAsia"/>
                <w:sz w:val="18"/>
                <w:szCs w:val="18"/>
                <w:lang w:eastAsia="ja-JP"/>
              </w:rPr>
            </w:pPr>
            <w:r>
              <w:rPr>
                <w:rFonts w:ascii="Georgia" w:hAnsi="Georgia" w:eastAsiaTheme="minorEastAsia"/>
                <w:sz w:val="18"/>
                <w:szCs w:val="18"/>
                <w:lang w:eastAsia="ja-JP"/>
              </w:rPr>
              <w:t>Skin</w:t>
            </w:r>
          </w:p>
        </w:tc>
        <w:tc>
          <w:tcPr>
            <w:tcW w:w="1024" w:type="dxa"/>
            <w:vAlign w:val="center"/>
          </w:tcPr>
          <w:p w14:paraId="50891E2B">
            <w:pPr>
              <w:jc w:val="center"/>
              <w:rPr>
                <w:rFonts w:ascii="Georgia" w:hAnsi="Georgia" w:eastAsiaTheme="minorEastAsia"/>
                <w:sz w:val="18"/>
                <w:szCs w:val="18"/>
                <w:lang w:eastAsia="ja-JP"/>
              </w:rPr>
            </w:pPr>
            <w:r>
              <w:rPr>
                <w:rFonts w:ascii="Georgia" w:hAnsi="Georgia" w:eastAsiaTheme="minorEastAsia"/>
                <w:sz w:val="18"/>
                <w:szCs w:val="18"/>
                <w:lang w:eastAsia="ja-JP"/>
              </w:rPr>
              <w:t>&lt;10</w:t>
            </w:r>
          </w:p>
        </w:tc>
        <w:tc>
          <w:tcPr>
            <w:tcW w:w="0" w:type="auto"/>
            <w:vAlign w:val="center"/>
          </w:tcPr>
          <w:p w14:paraId="37572938">
            <w:pPr>
              <w:jc w:val="center"/>
              <w:rPr>
                <w:rFonts w:ascii="Georgia" w:hAnsi="Georgia" w:eastAsiaTheme="minorEastAsia"/>
                <w:sz w:val="18"/>
                <w:szCs w:val="18"/>
                <w:lang w:eastAsia="ja-JP"/>
              </w:rPr>
            </w:pPr>
            <w:r>
              <w:rPr>
                <w:rFonts w:ascii="Georgia" w:hAnsi="Georgia" w:eastAsiaTheme="minorEastAsia"/>
                <w:sz w:val="18"/>
                <w:szCs w:val="18"/>
                <w:lang w:eastAsia="ja-JP"/>
              </w:rPr>
              <w:t>1600</w:t>
            </w:r>
          </w:p>
        </w:tc>
        <w:tc>
          <w:tcPr>
            <w:tcW w:w="0" w:type="auto"/>
            <w:vAlign w:val="center"/>
          </w:tcPr>
          <w:p w14:paraId="25D51BC4">
            <w:pPr>
              <w:jc w:val="center"/>
              <w:rPr>
                <w:rFonts w:ascii="Georgia" w:hAnsi="Georgia" w:eastAsiaTheme="minorEastAsia"/>
                <w:sz w:val="18"/>
                <w:szCs w:val="18"/>
                <w:lang w:eastAsia="ja-JP"/>
              </w:rPr>
            </w:pPr>
            <w:r>
              <w:rPr>
                <w:rFonts w:ascii="Georgia" w:hAnsi="Georgia" w:eastAsiaTheme="minorEastAsia"/>
                <w:sz w:val="18"/>
                <w:szCs w:val="18"/>
                <w:lang w:eastAsia="ja-JP"/>
              </w:rPr>
              <w:t>2400</w:t>
            </w:r>
          </w:p>
        </w:tc>
      </w:tr>
      <w:tr w14:paraId="217D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259" w:type="dxa"/>
            <w:tcBorders>
              <w:bottom w:val="single" w:color="auto" w:sz="4" w:space="0"/>
            </w:tcBorders>
            <w:vAlign w:val="center"/>
          </w:tcPr>
          <w:p w14:paraId="6AFCEC99">
            <w:pPr>
              <w:jc w:val="left"/>
              <w:rPr>
                <w:rFonts w:ascii="Georgia" w:hAnsi="Georgia" w:eastAsiaTheme="minorEastAsia"/>
                <w:sz w:val="18"/>
                <w:szCs w:val="18"/>
                <w:lang w:eastAsia="ja-JP"/>
              </w:rPr>
            </w:pPr>
            <w:r>
              <w:rPr>
                <w:rFonts w:ascii="Georgia" w:hAnsi="Georgia" w:eastAsiaTheme="minorEastAsia"/>
                <w:sz w:val="18"/>
                <w:szCs w:val="18"/>
                <w:lang w:eastAsia="ja-JP"/>
              </w:rPr>
              <w:t>Total lungs</w:t>
            </w:r>
          </w:p>
        </w:tc>
        <w:tc>
          <w:tcPr>
            <w:tcW w:w="1024" w:type="dxa"/>
            <w:tcBorders>
              <w:bottom w:val="single" w:color="auto" w:sz="4" w:space="0"/>
            </w:tcBorders>
            <w:vAlign w:val="center"/>
          </w:tcPr>
          <w:p w14:paraId="040D9F99">
            <w:pPr>
              <w:jc w:val="center"/>
              <w:rPr>
                <w:rFonts w:ascii="Georgia" w:hAnsi="Georgia" w:eastAsiaTheme="minorEastAsia"/>
                <w:sz w:val="18"/>
                <w:szCs w:val="18"/>
                <w:lang w:eastAsia="ja-JP"/>
              </w:rPr>
            </w:pPr>
            <w:r>
              <w:rPr>
                <w:rFonts w:ascii="Georgia" w:hAnsi="Georgia" w:eastAsiaTheme="minorEastAsia"/>
                <w:sz w:val="18"/>
                <w:szCs w:val="18"/>
                <w:lang w:eastAsia="ja-JP"/>
              </w:rPr>
              <w:t>500</w:t>
            </w:r>
          </w:p>
        </w:tc>
        <w:tc>
          <w:tcPr>
            <w:tcW w:w="0" w:type="auto"/>
            <w:tcBorders>
              <w:bottom w:val="single" w:color="auto" w:sz="4" w:space="0"/>
            </w:tcBorders>
            <w:vAlign w:val="center"/>
          </w:tcPr>
          <w:p w14:paraId="19B0675B">
            <w:pPr>
              <w:jc w:val="center"/>
              <w:rPr>
                <w:rFonts w:ascii="Georgia" w:hAnsi="Georgia" w:eastAsiaTheme="minorEastAsia"/>
                <w:sz w:val="18"/>
                <w:szCs w:val="18"/>
                <w:lang w:eastAsia="ja-JP"/>
              </w:rPr>
            </w:pPr>
            <w:r>
              <w:rPr>
                <w:rFonts w:ascii="Georgia" w:hAnsi="Georgia" w:eastAsiaTheme="minorEastAsia"/>
                <w:sz w:val="18"/>
                <w:szCs w:val="18"/>
                <w:lang w:eastAsia="ja-JP"/>
              </w:rPr>
              <w:t>1650</w:t>
            </w:r>
          </w:p>
        </w:tc>
        <w:tc>
          <w:tcPr>
            <w:tcW w:w="0" w:type="auto"/>
            <w:tcBorders>
              <w:bottom w:val="single" w:color="auto" w:sz="4" w:space="0"/>
            </w:tcBorders>
            <w:vAlign w:val="center"/>
          </w:tcPr>
          <w:p w14:paraId="1F79DF6F">
            <w:pPr>
              <w:jc w:val="center"/>
              <w:rPr>
                <w:rFonts w:ascii="Georgia" w:hAnsi="Georgia" w:eastAsiaTheme="minorEastAsia"/>
                <w:sz w:val="18"/>
                <w:szCs w:val="18"/>
                <w:lang w:eastAsia="ja-JP"/>
              </w:rPr>
            </w:pPr>
            <w:r>
              <w:rPr>
                <w:rFonts w:ascii="Georgia" w:hAnsi="Georgia" w:eastAsiaTheme="minorEastAsia"/>
                <w:sz w:val="18"/>
                <w:szCs w:val="18"/>
                <w:lang w:eastAsia="ja-JP"/>
              </w:rPr>
              <w:t>500</w:t>
            </w:r>
          </w:p>
        </w:tc>
      </w:tr>
    </w:tbl>
    <w:p w14:paraId="6245B0D0">
      <w:pPr>
        <w:pStyle w:val="70"/>
        <w:rPr>
          <w:sz w:val="12"/>
          <w:szCs w:val="12"/>
        </w:rPr>
      </w:pPr>
    </w:p>
    <w:p w14:paraId="269D0C2E">
      <w:pPr>
        <w:pStyle w:val="70"/>
      </w:pPr>
      <w:r>
        <w:t>We have created 10 different VMAT plans. For the plans with two or three arcs, we used two different target volumes, one with a cranio-caudal dimension of 10 cm and one with 20 cm. This was done in order to check if there is any effect of the field size on the delivery accuracy. For these two targets we created full and partial arc plans, eight in total. For the plans with one arc, only one central rounder target was used because this is usually the only clinical case where one would use only one arc. In Figure 2, we present one of the two full arcs plans (Fig.2 (a)) and one of the two partial arcs plans (Fig. 2 (b)).</w:t>
      </w:r>
    </w:p>
    <w:p w14:paraId="5FD899B5">
      <w:pPr>
        <w:pStyle w:val="70"/>
      </w:pPr>
      <w:r>
        <w:t>The measurements were performed using PTW Dosimetry equipment including Farmer type ionization chamber and Romeo electrometer. The measurements were corrected for the daily dose output, which was measured in the CIRS phantom with field size 10x10cm at depth of 3cm, in position of point 1.</w:t>
      </w:r>
    </w:p>
    <w:p w14:paraId="16B50482">
      <w:pPr>
        <w:pStyle w:val="51"/>
        <w:rPr>
          <w:lang w:val="en-US"/>
        </w:rPr>
      </w:pPr>
      <w:r>
        <w:rPr>
          <w:lang w:val="en-US"/>
        </w:rPr>
        <w:drawing>
          <wp:inline distT="0" distB="0" distL="0" distR="0">
            <wp:extent cx="2790825" cy="111125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90825" cy="1111250"/>
                    </a:xfrm>
                    <a:prstGeom prst="rect">
                      <a:avLst/>
                    </a:prstGeom>
                  </pic:spPr>
                </pic:pic>
              </a:graphicData>
            </a:graphic>
          </wp:inline>
        </w:drawing>
      </w:r>
    </w:p>
    <w:p w14:paraId="397ABC54">
      <w:pPr>
        <w:pStyle w:val="52"/>
        <w:widowControl/>
      </w:pPr>
      <w:r>
        <w:t>Figure 2. a) Treatment plan with two full arcs, b) treatment plan with two partial arcs</w:t>
      </w:r>
    </w:p>
    <w:p w14:paraId="3B9AA6CF">
      <w:pPr>
        <w:pStyle w:val="4"/>
      </w:pPr>
      <w:r>
        <w:t>3. Results</w:t>
      </w:r>
    </w:p>
    <w:p w14:paraId="36FE2E76">
      <w:pPr>
        <w:pStyle w:val="70"/>
      </w:pPr>
      <w:r>
        <w:t>The results for the Clinac iX are given in Table 2. As we can see from points 1 and 2, the target volumes are adequately covered, with a deviation of less than 3% for both two and three full arcs at both small and large target volumes. The partial arc cases show a slightly larger deviation, but still within 5% tolerance. However, if we use only one arc, the deviations are larger and even go beyond the limits of what is considered acceptable.</w:t>
      </w:r>
    </w:p>
    <w:p w14:paraId="21981D5D">
      <w:pPr>
        <w:pStyle w:val="70"/>
      </w:pPr>
      <w:r>
        <w:t>It can also be seen in Table 2 that sometimes in the low dose regions like the heart and esophagus, the deviations are greater, going up to 7.5%. In point 10, representing the bones around the spinal cord, where the density is greatest, we see deviations up to 10%, which should be taken into consideration within the treatment planning process</w:t>
      </w:r>
    </w:p>
    <w:p w14:paraId="40BB4D26">
      <w:pPr>
        <w:pStyle w:val="70"/>
        <w:rPr>
          <w:highlight w:val="magenta"/>
        </w:rPr>
        <w:sectPr>
          <w:footerReference r:id="rId9" w:type="even"/>
          <w:type w:val="continuous"/>
          <w:pgSz w:w="11909" w:h="16834"/>
          <w:pgMar w:top="1134" w:right="1134" w:bottom="1276" w:left="1418" w:header="993" w:footer="1005" w:gutter="0"/>
          <w:paperSrc w:first="7" w:other="7"/>
          <w:pgNumType w:start="1"/>
          <w:cols w:space="567" w:num="2"/>
          <w:titlePg/>
          <w:docGrid w:linePitch="272" w:charSpace="0"/>
        </w:sectPr>
      </w:pPr>
    </w:p>
    <w:p w14:paraId="4BCFE922">
      <w:pPr>
        <w:pStyle w:val="59"/>
        <w:rPr>
          <w:highlight w:val="magenta"/>
        </w:rPr>
      </w:pPr>
      <w:r>
        <w:t>Table 2. Comparison of the measured dose to the calculated dose at specific points for the Clinac iX unit</w:t>
      </w:r>
    </w:p>
    <w:tbl>
      <w:tblPr>
        <w:tblStyle w:val="89"/>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1"/>
        <w:gridCol w:w="607"/>
        <w:gridCol w:w="646"/>
        <w:gridCol w:w="646"/>
        <w:gridCol w:w="644"/>
        <w:gridCol w:w="636"/>
        <w:gridCol w:w="733"/>
      </w:tblGrid>
      <w:tr w14:paraId="098F2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bottom w:val="single" w:color="auto" w:sz="4" w:space="0"/>
            </w:tcBorders>
            <w:vAlign w:val="center"/>
          </w:tcPr>
          <w:p w14:paraId="7DCAD983">
            <w:pPr>
              <w:spacing w:before="60" w:after="60"/>
              <w:rPr>
                <w:rFonts w:ascii="Georgia" w:hAnsi="Georgia" w:eastAsiaTheme="minorHAnsi" w:cstheme="minorBidi"/>
                <w:b/>
                <w:sz w:val="18"/>
                <w:szCs w:val="18"/>
              </w:rPr>
            </w:pPr>
            <w:r>
              <w:rPr>
                <w:rFonts w:ascii="Georgia" w:hAnsi="Georgia" w:eastAsiaTheme="minorHAnsi" w:cstheme="minorBidi"/>
                <w:b/>
                <w:sz w:val="18"/>
                <w:szCs w:val="18"/>
              </w:rPr>
              <w:t>Deviation (%)</w:t>
            </w:r>
          </w:p>
        </w:tc>
        <w:tc>
          <w:tcPr>
            <w:tcW w:w="0" w:type="auto"/>
            <w:tcBorders>
              <w:top w:val="single" w:color="auto" w:sz="4" w:space="0"/>
              <w:bottom w:val="single" w:color="auto" w:sz="4" w:space="0"/>
            </w:tcBorders>
            <w:vAlign w:val="center"/>
          </w:tcPr>
          <w:p w14:paraId="6A0761BC">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1</w:t>
            </w:r>
          </w:p>
        </w:tc>
        <w:tc>
          <w:tcPr>
            <w:tcW w:w="0" w:type="auto"/>
            <w:tcBorders>
              <w:top w:val="single" w:color="auto" w:sz="4" w:space="0"/>
              <w:bottom w:val="single" w:color="auto" w:sz="4" w:space="0"/>
            </w:tcBorders>
            <w:vAlign w:val="center"/>
          </w:tcPr>
          <w:p w14:paraId="383D5FE9">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2</w:t>
            </w:r>
          </w:p>
        </w:tc>
        <w:tc>
          <w:tcPr>
            <w:tcW w:w="0" w:type="auto"/>
            <w:tcBorders>
              <w:top w:val="single" w:color="auto" w:sz="4" w:space="0"/>
              <w:bottom w:val="single" w:color="auto" w:sz="4" w:space="0"/>
            </w:tcBorders>
            <w:vAlign w:val="center"/>
          </w:tcPr>
          <w:p w14:paraId="259535BA">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4</w:t>
            </w:r>
          </w:p>
        </w:tc>
        <w:tc>
          <w:tcPr>
            <w:tcW w:w="0" w:type="auto"/>
            <w:tcBorders>
              <w:top w:val="single" w:color="auto" w:sz="4" w:space="0"/>
              <w:bottom w:val="single" w:color="auto" w:sz="4" w:space="0"/>
            </w:tcBorders>
            <w:vAlign w:val="center"/>
          </w:tcPr>
          <w:p w14:paraId="683AF05E">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5</w:t>
            </w:r>
          </w:p>
        </w:tc>
        <w:tc>
          <w:tcPr>
            <w:tcW w:w="0" w:type="auto"/>
            <w:tcBorders>
              <w:top w:val="single" w:color="auto" w:sz="4" w:space="0"/>
              <w:bottom w:val="single" w:color="auto" w:sz="4" w:space="0"/>
            </w:tcBorders>
            <w:vAlign w:val="center"/>
          </w:tcPr>
          <w:p w14:paraId="38243126">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6</w:t>
            </w:r>
          </w:p>
        </w:tc>
        <w:tc>
          <w:tcPr>
            <w:tcW w:w="0" w:type="auto"/>
            <w:tcBorders>
              <w:top w:val="single" w:color="auto" w:sz="4" w:space="0"/>
              <w:bottom w:val="single" w:color="auto" w:sz="4" w:space="0"/>
            </w:tcBorders>
            <w:vAlign w:val="center"/>
          </w:tcPr>
          <w:p w14:paraId="5F7E40F7">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10</w:t>
            </w:r>
          </w:p>
        </w:tc>
      </w:tr>
      <w:tr w14:paraId="27306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tcBorders>
            <w:vAlign w:val="center"/>
          </w:tcPr>
          <w:p w14:paraId="54AA41F9">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full arcs CW and CCW, </w:t>
            </w:r>
          </w:p>
          <w:p w14:paraId="22B1DEC0">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small target volume</w:t>
            </w:r>
          </w:p>
        </w:tc>
        <w:tc>
          <w:tcPr>
            <w:tcW w:w="0" w:type="auto"/>
            <w:tcBorders>
              <w:top w:val="single" w:color="auto" w:sz="4" w:space="0"/>
            </w:tcBorders>
            <w:vAlign w:val="center"/>
          </w:tcPr>
          <w:p w14:paraId="1CBB37C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2.31</w:t>
            </w:r>
          </w:p>
        </w:tc>
        <w:tc>
          <w:tcPr>
            <w:tcW w:w="0" w:type="auto"/>
            <w:tcBorders>
              <w:top w:val="single" w:color="auto" w:sz="4" w:space="0"/>
            </w:tcBorders>
            <w:vAlign w:val="center"/>
          </w:tcPr>
          <w:p w14:paraId="55589B5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0.56</w:t>
            </w:r>
          </w:p>
        </w:tc>
        <w:tc>
          <w:tcPr>
            <w:tcW w:w="0" w:type="auto"/>
            <w:tcBorders>
              <w:top w:val="single" w:color="auto" w:sz="4" w:space="0"/>
            </w:tcBorders>
            <w:vAlign w:val="center"/>
          </w:tcPr>
          <w:p w14:paraId="434B8F8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tcBorders>
              <w:top w:val="single" w:color="auto" w:sz="4" w:space="0"/>
            </w:tcBorders>
            <w:vAlign w:val="center"/>
          </w:tcPr>
          <w:p w14:paraId="44CEEA3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-2.16</w:t>
            </w:r>
          </w:p>
        </w:tc>
        <w:tc>
          <w:tcPr>
            <w:tcW w:w="0" w:type="auto"/>
            <w:tcBorders>
              <w:top w:val="single" w:color="auto" w:sz="4" w:space="0"/>
            </w:tcBorders>
            <w:vAlign w:val="center"/>
          </w:tcPr>
          <w:p w14:paraId="50FD141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4.93</w:t>
            </w:r>
          </w:p>
        </w:tc>
        <w:tc>
          <w:tcPr>
            <w:tcW w:w="0" w:type="auto"/>
            <w:tcBorders>
              <w:top w:val="single" w:color="auto" w:sz="4" w:space="0"/>
            </w:tcBorders>
            <w:vAlign w:val="center"/>
          </w:tcPr>
          <w:p w14:paraId="17F82F0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2.68</w:t>
            </w:r>
          </w:p>
        </w:tc>
      </w:tr>
      <w:tr w14:paraId="7DB9A1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070231F2">
            <w:pPr>
              <w:spacing w:before="40" w:after="40"/>
              <w:ind w:right="-41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full arcs CW and CCW, </w:t>
            </w:r>
          </w:p>
          <w:p w14:paraId="7A42C596">
            <w:pPr>
              <w:spacing w:before="40" w:after="40"/>
              <w:ind w:right="-410"/>
              <w:rPr>
                <w:rFonts w:ascii="Georgia" w:hAnsi="Georgia" w:eastAsia="Times New Roman" w:cstheme="minorBidi"/>
                <w:sz w:val="18"/>
                <w:szCs w:val="18"/>
              </w:rPr>
            </w:pPr>
            <w:r>
              <w:rPr>
                <w:rFonts w:ascii="Georgia" w:hAnsi="Georgia" w:eastAsia="Times New Roman" w:cstheme="minorBidi"/>
                <w:kern w:val="24"/>
                <w:sz w:val="18"/>
                <w:szCs w:val="18"/>
              </w:rPr>
              <w:t>large target volume</w:t>
            </w:r>
          </w:p>
        </w:tc>
        <w:tc>
          <w:tcPr>
            <w:tcW w:w="0" w:type="auto"/>
            <w:vAlign w:val="center"/>
          </w:tcPr>
          <w:p w14:paraId="6EA2FFE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2.91</w:t>
            </w:r>
          </w:p>
        </w:tc>
        <w:tc>
          <w:tcPr>
            <w:tcW w:w="0" w:type="auto"/>
            <w:vAlign w:val="center"/>
          </w:tcPr>
          <w:p w14:paraId="7E4131C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-0.49</w:t>
            </w:r>
          </w:p>
        </w:tc>
        <w:tc>
          <w:tcPr>
            <w:tcW w:w="0" w:type="auto"/>
            <w:vAlign w:val="center"/>
          </w:tcPr>
          <w:p w14:paraId="261FF49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4.13</w:t>
            </w:r>
          </w:p>
        </w:tc>
        <w:tc>
          <w:tcPr>
            <w:tcW w:w="0" w:type="auto"/>
            <w:vAlign w:val="center"/>
          </w:tcPr>
          <w:p w14:paraId="32F809F8">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-6.05</w:t>
            </w:r>
          </w:p>
        </w:tc>
        <w:tc>
          <w:tcPr>
            <w:tcW w:w="0" w:type="auto"/>
            <w:vAlign w:val="center"/>
          </w:tcPr>
          <w:p w14:paraId="70A34E4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4.11</w:t>
            </w:r>
          </w:p>
        </w:tc>
        <w:tc>
          <w:tcPr>
            <w:tcW w:w="0" w:type="auto"/>
            <w:vAlign w:val="center"/>
          </w:tcPr>
          <w:p w14:paraId="43FDE15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-2.36</w:t>
            </w:r>
          </w:p>
        </w:tc>
      </w:tr>
      <w:tr w14:paraId="066C4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55827E89">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 xml:space="preserve">3 full arcs CW, CCW and CW, </w:t>
            </w:r>
          </w:p>
          <w:p w14:paraId="0A3D27E9">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small target volume</w:t>
            </w:r>
          </w:p>
        </w:tc>
        <w:tc>
          <w:tcPr>
            <w:tcW w:w="0" w:type="auto"/>
            <w:vAlign w:val="center"/>
          </w:tcPr>
          <w:p w14:paraId="6730DCD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2.51</w:t>
            </w:r>
          </w:p>
        </w:tc>
        <w:tc>
          <w:tcPr>
            <w:tcW w:w="0" w:type="auto"/>
            <w:vAlign w:val="center"/>
          </w:tcPr>
          <w:p w14:paraId="589479E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2.94</w:t>
            </w:r>
          </w:p>
        </w:tc>
        <w:tc>
          <w:tcPr>
            <w:tcW w:w="0" w:type="auto"/>
            <w:vAlign w:val="center"/>
          </w:tcPr>
          <w:p w14:paraId="5316227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1.31</w:t>
            </w:r>
          </w:p>
        </w:tc>
        <w:tc>
          <w:tcPr>
            <w:tcW w:w="0" w:type="auto"/>
            <w:vAlign w:val="center"/>
          </w:tcPr>
          <w:p w14:paraId="1334C68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vAlign w:val="center"/>
          </w:tcPr>
          <w:p w14:paraId="6AB13C0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5.48</w:t>
            </w:r>
          </w:p>
        </w:tc>
        <w:tc>
          <w:tcPr>
            <w:tcW w:w="0" w:type="auto"/>
            <w:vAlign w:val="center"/>
          </w:tcPr>
          <w:p w14:paraId="2C59A71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1.81</w:t>
            </w:r>
          </w:p>
        </w:tc>
      </w:tr>
      <w:tr w14:paraId="32168D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029BE4BB">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3 full arcs CW,CCW and CW, large target volume</w:t>
            </w:r>
          </w:p>
        </w:tc>
        <w:tc>
          <w:tcPr>
            <w:tcW w:w="0" w:type="auto"/>
            <w:vAlign w:val="center"/>
          </w:tcPr>
          <w:p w14:paraId="31A27DC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2.19</w:t>
            </w:r>
          </w:p>
        </w:tc>
        <w:tc>
          <w:tcPr>
            <w:tcW w:w="0" w:type="auto"/>
            <w:vAlign w:val="center"/>
          </w:tcPr>
          <w:p w14:paraId="41BF01D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1.49</w:t>
            </w:r>
          </w:p>
        </w:tc>
        <w:tc>
          <w:tcPr>
            <w:tcW w:w="0" w:type="auto"/>
            <w:vAlign w:val="center"/>
          </w:tcPr>
          <w:p w14:paraId="57B6BD2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-7.43</w:t>
            </w:r>
          </w:p>
        </w:tc>
        <w:tc>
          <w:tcPr>
            <w:tcW w:w="0" w:type="auto"/>
            <w:vAlign w:val="center"/>
          </w:tcPr>
          <w:p w14:paraId="1884049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1.17</w:t>
            </w:r>
          </w:p>
        </w:tc>
        <w:tc>
          <w:tcPr>
            <w:tcW w:w="0" w:type="auto"/>
            <w:vAlign w:val="center"/>
          </w:tcPr>
          <w:p w14:paraId="1BB028B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4.88</w:t>
            </w:r>
          </w:p>
        </w:tc>
        <w:tc>
          <w:tcPr>
            <w:tcW w:w="0" w:type="auto"/>
            <w:vAlign w:val="center"/>
          </w:tcPr>
          <w:p w14:paraId="50178A0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10.39</w:t>
            </w:r>
          </w:p>
        </w:tc>
      </w:tr>
      <w:tr w14:paraId="7E3E1A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263F3D5F">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part arcs CW and  CCW, </w:t>
            </w:r>
          </w:p>
          <w:p w14:paraId="63221F21">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small target volume</w:t>
            </w:r>
          </w:p>
        </w:tc>
        <w:tc>
          <w:tcPr>
            <w:tcW w:w="0" w:type="auto"/>
            <w:vAlign w:val="center"/>
          </w:tcPr>
          <w:p w14:paraId="2F1128F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3.93</w:t>
            </w:r>
          </w:p>
        </w:tc>
        <w:tc>
          <w:tcPr>
            <w:tcW w:w="0" w:type="auto"/>
            <w:vAlign w:val="center"/>
          </w:tcPr>
          <w:p w14:paraId="405DDF8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3.18</w:t>
            </w:r>
          </w:p>
        </w:tc>
        <w:tc>
          <w:tcPr>
            <w:tcW w:w="0" w:type="auto"/>
            <w:vAlign w:val="center"/>
          </w:tcPr>
          <w:p w14:paraId="6C56112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2.66</w:t>
            </w:r>
          </w:p>
        </w:tc>
        <w:tc>
          <w:tcPr>
            <w:tcW w:w="0" w:type="auto"/>
            <w:vAlign w:val="center"/>
          </w:tcPr>
          <w:p w14:paraId="3CDD7C8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-2.02</w:t>
            </w:r>
          </w:p>
        </w:tc>
        <w:tc>
          <w:tcPr>
            <w:tcW w:w="0" w:type="auto"/>
            <w:vAlign w:val="center"/>
          </w:tcPr>
          <w:p w14:paraId="17FE51A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1.2</w:t>
            </w:r>
          </w:p>
        </w:tc>
        <w:tc>
          <w:tcPr>
            <w:tcW w:w="0" w:type="auto"/>
            <w:vAlign w:val="center"/>
          </w:tcPr>
          <w:p w14:paraId="128E757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1.06</w:t>
            </w:r>
          </w:p>
        </w:tc>
      </w:tr>
      <w:tr w14:paraId="2CC22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2F94DF2A">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2 part arcs</w:t>
            </w:r>
            <w:r>
              <w:rPr>
                <w:rFonts w:ascii="Georgia" w:hAnsi="Georgia" w:eastAsia="Times New Roman" w:cstheme="minorBidi"/>
                <w:sz w:val="18"/>
                <w:szCs w:val="18"/>
              </w:rPr>
              <w:t xml:space="preserve"> </w:t>
            </w:r>
            <w:r>
              <w:rPr>
                <w:rFonts w:ascii="Georgia" w:hAnsi="Georgia" w:eastAsia="Times New Roman" w:cstheme="minorBidi"/>
                <w:kern w:val="24"/>
                <w:sz w:val="18"/>
                <w:szCs w:val="18"/>
              </w:rPr>
              <w:t xml:space="preserve">CW and CCW, </w:t>
            </w:r>
          </w:p>
          <w:p w14:paraId="7D4216B6">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large target volume</w:t>
            </w:r>
          </w:p>
        </w:tc>
        <w:tc>
          <w:tcPr>
            <w:tcW w:w="0" w:type="auto"/>
            <w:vAlign w:val="center"/>
          </w:tcPr>
          <w:p w14:paraId="6B6E36C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4.43</w:t>
            </w:r>
          </w:p>
        </w:tc>
        <w:tc>
          <w:tcPr>
            <w:tcW w:w="0" w:type="auto"/>
            <w:vAlign w:val="center"/>
          </w:tcPr>
          <w:p w14:paraId="7E37870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1.89</w:t>
            </w:r>
          </w:p>
        </w:tc>
        <w:tc>
          <w:tcPr>
            <w:tcW w:w="0" w:type="auto"/>
            <w:vAlign w:val="center"/>
          </w:tcPr>
          <w:p w14:paraId="33439CD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4.08</w:t>
            </w:r>
          </w:p>
        </w:tc>
        <w:tc>
          <w:tcPr>
            <w:tcW w:w="0" w:type="auto"/>
            <w:vAlign w:val="center"/>
          </w:tcPr>
          <w:p w14:paraId="43E5A03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-4.15</w:t>
            </w:r>
          </w:p>
        </w:tc>
        <w:tc>
          <w:tcPr>
            <w:tcW w:w="0" w:type="auto"/>
            <w:vAlign w:val="center"/>
          </w:tcPr>
          <w:p w14:paraId="5B40B80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2.64</w:t>
            </w:r>
          </w:p>
        </w:tc>
        <w:tc>
          <w:tcPr>
            <w:tcW w:w="0" w:type="auto"/>
            <w:vAlign w:val="center"/>
          </w:tcPr>
          <w:p w14:paraId="5CE087A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9.43</w:t>
            </w:r>
          </w:p>
        </w:tc>
      </w:tr>
      <w:tr w14:paraId="01D667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2F2C6DA3">
            <w:pPr>
              <w:spacing w:before="40" w:after="40"/>
              <w:rPr>
                <w:rFonts w:ascii="Georgia" w:hAnsi="Georgia" w:eastAsia="Calibri" w:cstheme="minorBidi"/>
                <w:kern w:val="24"/>
                <w:sz w:val="18"/>
                <w:szCs w:val="18"/>
              </w:rPr>
            </w:pPr>
            <w:r>
              <w:rPr>
                <w:rFonts w:ascii="Georgia" w:hAnsi="Georgia" w:eastAsia="Times New Roman" w:cstheme="minorBidi"/>
                <w:kern w:val="24"/>
                <w:sz w:val="18"/>
                <w:szCs w:val="18"/>
              </w:rPr>
              <w:t>3 part arcs CW, CCW and CW</w:t>
            </w:r>
            <w:r>
              <w:rPr>
                <w:rFonts w:ascii="Georgia" w:hAnsi="Georgia" w:eastAsia="Times New Roman" w:cstheme="minorBidi"/>
                <w:sz w:val="18"/>
                <w:szCs w:val="18"/>
              </w:rPr>
              <w:t xml:space="preserve">, </w:t>
            </w:r>
            <w:r>
              <w:rPr>
                <w:rFonts w:ascii="Georgia" w:hAnsi="Georgia" w:eastAsia="Calibri" w:cstheme="minorBidi"/>
                <w:kern w:val="24"/>
                <w:sz w:val="18"/>
                <w:szCs w:val="18"/>
              </w:rPr>
              <w:t xml:space="preserve">small </w:t>
            </w:r>
            <w:r>
              <w:rPr>
                <w:rFonts w:ascii="Georgia" w:hAnsi="Georgia" w:eastAsia="Times New Roman" w:cstheme="minorBidi"/>
                <w:kern w:val="24"/>
                <w:sz w:val="18"/>
                <w:szCs w:val="18"/>
              </w:rPr>
              <w:t xml:space="preserve">target </w:t>
            </w:r>
            <w:r>
              <w:rPr>
                <w:rFonts w:ascii="Georgia" w:hAnsi="Georgia" w:eastAsia="Calibri" w:cstheme="minorBidi"/>
                <w:kern w:val="24"/>
                <w:sz w:val="18"/>
                <w:szCs w:val="18"/>
              </w:rPr>
              <w:t>volume</w:t>
            </w:r>
          </w:p>
        </w:tc>
        <w:tc>
          <w:tcPr>
            <w:tcW w:w="0" w:type="auto"/>
            <w:vAlign w:val="center"/>
          </w:tcPr>
          <w:p w14:paraId="5676CF7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2.54</w:t>
            </w:r>
          </w:p>
        </w:tc>
        <w:tc>
          <w:tcPr>
            <w:tcW w:w="0" w:type="auto"/>
            <w:vAlign w:val="center"/>
          </w:tcPr>
          <w:p w14:paraId="2703075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2.64</w:t>
            </w:r>
          </w:p>
        </w:tc>
        <w:tc>
          <w:tcPr>
            <w:tcW w:w="0" w:type="auto"/>
            <w:vAlign w:val="center"/>
          </w:tcPr>
          <w:p w14:paraId="3A3D6408">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-3.72</w:t>
            </w:r>
          </w:p>
        </w:tc>
        <w:tc>
          <w:tcPr>
            <w:tcW w:w="0" w:type="auto"/>
            <w:vAlign w:val="center"/>
          </w:tcPr>
          <w:p w14:paraId="60334F1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-4.01</w:t>
            </w:r>
          </w:p>
        </w:tc>
        <w:tc>
          <w:tcPr>
            <w:tcW w:w="0" w:type="auto"/>
            <w:vAlign w:val="center"/>
          </w:tcPr>
          <w:p w14:paraId="2B6CEF9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2.83</w:t>
            </w:r>
          </w:p>
        </w:tc>
        <w:tc>
          <w:tcPr>
            <w:tcW w:w="0" w:type="auto"/>
            <w:vAlign w:val="center"/>
          </w:tcPr>
          <w:p w14:paraId="0D2FE7A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-0.77</w:t>
            </w:r>
          </w:p>
        </w:tc>
      </w:tr>
      <w:tr w14:paraId="099603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194C988D">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3 part arc CW, CCW and CW</w:t>
            </w:r>
            <w:r>
              <w:rPr>
                <w:rFonts w:ascii="Georgia" w:hAnsi="Georgia" w:eastAsia="Times New Roman" w:cstheme="minorBidi"/>
                <w:sz w:val="18"/>
                <w:szCs w:val="18"/>
              </w:rPr>
              <w:t xml:space="preserve">, </w:t>
            </w:r>
          </w:p>
          <w:p w14:paraId="2A851BEA">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large target volume </w:t>
            </w:r>
          </w:p>
        </w:tc>
        <w:tc>
          <w:tcPr>
            <w:tcW w:w="0" w:type="auto"/>
            <w:vAlign w:val="center"/>
          </w:tcPr>
          <w:p w14:paraId="4F8C9D7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0.38</w:t>
            </w:r>
          </w:p>
        </w:tc>
        <w:tc>
          <w:tcPr>
            <w:tcW w:w="0" w:type="auto"/>
            <w:vAlign w:val="center"/>
          </w:tcPr>
          <w:p w14:paraId="60811C8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2.89</w:t>
            </w:r>
          </w:p>
        </w:tc>
        <w:tc>
          <w:tcPr>
            <w:tcW w:w="0" w:type="auto"/>
            <w:vAlign w:val="center"/>
          </w:tcPr>
          <w:p w14:paraId="542FE8B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-4.95</w:t>
            </w:r>
          </w:p>
        </w:tc>
        <w:tc>
          <w:tcPr>
            <w:tcW w:w="0" w:type="auto"/>
            <w:vAlign w:val="center"/>
          </w:tcPr>
          <w:p w14:paraId="4CFEA7F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5.08</w:t>
            </w:r>
          </w:p>
        </w:tc>
        <w:tc>
          <w:tcPr>
            <w:tcW w:w="0" w:type="auto"/>
            <w:vAlign w:val="center"/>
          </w:tcPr>
          <w:p w14:paraId="607F7F0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4.34</w:t>
            </w:r>
          </w:p>
        </w:tc>
        <w:tc>
          <w:tcPr>
            <w:tcW w:w="0" w:type="auto"/>
            <w:vAlign w:val="center"/>
          </w:tcPr>
          <w:p w14:paraId="1638515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6.49</w:t>
            </w:r>
          </w:p>
        </w:tc>
      </w:tr>
      <w:tr w14:paraId="11978C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5B206159">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1 full arc CCW</w:t>
            </w:r>
            <w:r>
              <w:rPr>
                <w:rFonts w:ascii="Georgia" w:hAnsi="Georgia" w:eastAsia="Times New Roman" w:cstheme="minorBidi"/>
                <w:sz w:val="18"/>
                <w:szCs w:val="18"/>
              </w:rPr>
              <w:t xml:space="preserve">, </w:t>
            </w:r>
          </w:p>
          <w:p w14:paraId="04438886">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center target volume</w:t>
            </w:r>
          </w:p>
        </w:tc>
        <w:tc>
          <w:tcPr>
            <w:tcW w:w="0" w:type="auto"/>
            <w:vAlign w:val="center"/>
          </w:tcPr>
          <w:p w14:paraId="2DD9337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0.54</w:t>
            </w:r>
          </w:p>
        </w:tc>
        <w:tc>
          <w:tcPr>
            <w:tcW w:w="0" w:type="auto"/>
            <w:vAlign w:val="center"/>
          </w:tcPr>
          <w:p w14:paraId="0097BA8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-9.34</w:t>
            </w:r>
          </w:p>
        </w:tc>
        <w:tc>
          <w:tcPr>
            <w:tcW w:w="0" w:type="auto"/>
            <w:vAlign w:val="center"/>
          </w:tcPr>
          <w:p w14:paraId="57DB1778">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2.44</w:t>
            </w:r>
          </w:p>
        </w:tc>
        <w:tc>
          <w:tcPr>
            <w:tcW w:w="0" w:type="auto"/>
            <w:vAlign w:val="center"/>
          </w:tcPr>
          <w:p w14:paraId="0B20354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1.58</w:t>
            </w:r>
          </w:p>
        </w:tc>
        <w:tc>
          <w:tcPr>
            <w:tcW w:w="0" w:type="auto"/>
            <w:vAlign w:val="center"/>
          </w:tcPr>
          <w:p w14:paraId="6DA9C70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2.75</w:t>
            </w:r>
          </w:p>
        </w:tc>
        <w:tc>
          <w:tcPr>
            <w:tcW w:w="0" w:type="auto"/>
            <w:vAlign w:val="center"/>
          </w:tcPr>
          <w:p w14:paraId="2546362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1.55</w:t>
            </w:r>
          </w:p>
        </w:tc>
      </w:tr>
      <w:tr w14:paraId="35071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bottom w:val="single" w:color="auto" w:sz="4" w:space="0"/>
            </w:tcBorders>
            <w:vAlign w:val="center"/>
          </w:tcPr>
          <w:p w14:paraId="7DEE0032">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1 full arc CW</w:t>
            </w:r>
            <w:r>
              <w:rPr>
                <w:rFonts w:ascii="Georgia" w:hAnsi="Georgia" w:eastAsia="Times New Roman" w:cstheme="minorBidi"/>
                <w:sz w:val="18"/>
                <w:szCs w:val="18"/>
              </w:rPr>
              <w:t xml:space="preserve">, </w:t>
            </w:r>
          </w:p>
          <w:p w14:paraId="2E8A6E09">
            <w:pPr>
              <w:spacing w:before="40" w:after="40"/>
              <w:rPr>
                <w:rFonts w:ascii="Georgia" w:hAnsi="Georgia" w:eastAsia="Times New Roman" w:cstheme="minorBidi"/>
                <w:sz w:val="18"/>
                <w:szCs w:val="18"/>
              </w:rPr>
            </w:pPr>
            <w:r>
              <w:rPr>
                <w:rFonts w:ascii="Georgia" w:hAnsi="Georgia" w:eastAsia="Calibri" w:cstheme="minorBidi"/>
                <w:kern w:val="24"/>
                <w:sz w:val="18"/>
                <w:szCs w:val="18"/>
              </w:rPr>
              <w:t xml:space="preserve">center </w:t>
            </w:r>
            <w:r>
              <w:rPr>
                <w:rFonts w:ascii="Georgia" w:hAnsi="Georgia" w:eastAsia="Times New Roman" w:cstheme="minorBidi"/>
                <w:kern w:val="24"/>
                <w:sz w:val="18"/>
                <w:szCs w:val="18"/>
              </w:rPr>
              <w:t xml:space="preserve">target </w:t>
            </w:r>
            <w:r>
              <w:rPr>
                <w:rFonts w:ascii="Georgia" w:hAnsi="Georgia" w:eastAsia="Calibri" w:cstheme="minorBidi"/>
                <w:kern w:val="24"/>
                <w:sz w:val="18"/>
                <w:szCs w:val="18"/>
              </w:rPr>
              <w:t>volume</w:t>
            </w:r>
          </w:p>
        </w:tc>
        <w:tc>
          <w:tcPr>
            <w:tcW w:w="0" w:type="auto"/>
            <w:tcBorders>
              <w:bottom w:val="single" w:color="auto" w:sz="4" w:space="0"/>
            </w:tcBorders>
            <w:vAlign w:val="center"/>
          </w:tcPr>
          <w:p w14:paraId="0FAC0A1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5.89</w:t>
            </w:r>
          </w:p>
        </w:tc>
        <w:tc>
          <w:tcPr>
            <w:tcW w:w="0" w:type="auto"/>
            <w:tcBorders>
              <w:bottom w:val="single" w:color="auto" w:sz="4" w:space="0"/>
            </w:tcBorders>
            <w:vAlign w:val="center"/>
          </w:tcPr>
          <w:p w14:paraId="560BDE6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0.23</w:t>
            </w:r>
          </w:p>
        </w:tc>
        <w:tc>
          <w:tcPr>
            <w:tcW w:w="0" w:type="auto"/>
            <w:tcBorders>
              <w:bottom w:val="single" w:color="auto" w:sz="4" w:space="0"/>
            </w:tcBorders>
            <w:vAlign w:val="center"/>
          </w:tcPr>
          <w:p w14:paraId="205F412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-4.04</w:t>
            </w:r>
          </w:p>
        </w:tc>
        <w:tc>
          <w:tcPr>
            <w:tcW w:w="0" w:type="auto"/>
            <w:tcBorders>
              <w:bottom w:val="single" w:color="auto" w:sz="4" w:space="0"/>
            </w:tcBorders>
            <w:vAlign w:val="center"/>
          </w:tcPr>
          <w:p w14:paraId="0152353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1.98</w:t>
            </w:r>
          </w:p>
        </w:tc>
        <w:tc>
          <w:tcPr>
            <w:tcW w:w="0" w:type="auto"/>
            <w:tcBorders>
              <w:bottom w:val="single" w:color="auto" w:sz="4" w:space="0"/>
            </w:tcBorders>
            <w:vAlign w:val="center"/>
          </w:tcPr>
          <w:p w14:paraId="49CFD7C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3.58</w:t>
            </w:r>
          </w:p>
        </w:tc>
        <w:tc>
          <w:tcPr>
            <w:tcW w:w="0" w:type="auto"/>
            <w:tcBorders>
              <w:bottom w:val="single" w:color="auto" w:sz="4" w:space="0"/>
            </w:tcBorders>
            <w:vAlign w:val="center"/>
          </w:tcPr>
          <w:p w14:paraId="459660A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-5.89</w:t>
            </w:r>
          </w:p>
        </w:tc>
      </w:tr>
      <w:tr w14:paraId="33043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tcBorders>
            <w:vAlign w:val="center"/>
          </w:tcPr>
          <w:p w14:paraId="6C1D56C0">
            <w:pPr>
              <w:spacing w:before="40" w:after="40"/>
              <w:rPr>
                <w:rFonts w:ascii="Georgia" w:hAnsi="Georgia" w:eastAsiaTheme="minorHAnsi" w:cstheme="minorBidi"/>
                <w:sz w:val="18"/>
                <w:szCs w:val="18"/>
              </w:rPr>
            </w:pPr>
            <w:r>
              <w:rPr>
                <w:rFonts w:ascii="Georgia" w:hAnsi="Georgia" w:eastAsiaTheme="minorHAnsi" w:cstheme="minorBidi"/>
                <w:sz w:val="18"/>
                <w:szCs w:val="18"/>
              </w:rPr>
              <w:t xml:space="preserve">Mean </w:t>
            </w:r>
          </w:p>
        </w:tc>
        <w:tc>
          <w:tcPr>
            <w:tcW w:w="0" w:type="auto"/>
            <w:tcBorders>
              <w:top w:val="single" w:color="auto" w:sz="4" w:space="0"/>
            </w:tcBorders>
            <w:vAlign w:val="center"/>
          </w:tcPr>
          <w:p w14:paraId="3C95E80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2.76</w:t>
            </w:r>
          </w:p>
        </w:tc>
        <w:tc>
          <w:tcPr>
            <w:tcW w:w="0" w:type="auto"/>
            <w:tcBorders>
              <w:top w:val="single" w:color="auto" w:sz="4" w:space="0"/>
            </w:tcBorders>
            <w:vAlign w:val="center"/>
          </w:tcPr>
          <w:p w14:paraId="5DF249B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0.60</w:t>
            </w:r>
          </w:p>
        </w:tc>
        <w:tc>
          <w:tcPr>
            <w:tcW w:w="0" w:type="auto"/>
            <w:tcBorders>
              <w:top w:val="single" w:color="auto" w:sz="4" w:space="0"/>
            </w:tcBorders>
            <w:vAlign w:val="center"/>
          </w:tcPr>
          <w:p w14:paraId="330241F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-0.72</w:t>
            </w:r>
          </w:p>
        </w:tc>
        <w:tc>
          <w:tcPr>
            <w:tcW w:w="0" w:type="auto"/>
            <w:tcBorders>
              <w:top w:val="single" w:color="auto" w:sz="4" w:space="0"/>
            </w:tcBorders>
            <w:vAlign w:val="center"/>
          </w:tcPr>
          <w:p w14:paraId="78A9E78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-1.03</w:t>
            </w:r>
          </w:p>
        </w:tc>
        <w:tc>
          <w:tcPr>
            <w:tcW w:w="0" w:type="auto"/>
            <w:tcBorders>
              <w:top w:val="single" w:color="auto" w:sz="4" w:space="0"/>
            </w:tcBorders>
            <w:vAlign w:val="center"/>
          </w:tcPr>
          <w:p w14:paraId="292388A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3.67</w:t>
            </w:r>
          </w:p>
        </w:tc>
        <w:tc>
          <w:tcPr>
            <w:tcW w:w="0" w:type="auto"/>
            <w:tcBorders>
              <w:top w:val="single" w:color="auto" w:sz="4" w:space="0"/>
            </w:tcBorders>
            <w:vAlign w:val="center"/>
          </w:tcPr>
          <w:p w14:paraId="533F0088">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2.44</w:t>
            </w:r>
          </w:p>
        </w:tc>
      </w:tr>
      <w:tr w14:paraId="445C9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bottom w:val="single" w:color="auto" w:sz="4" w:space="0"/>
            </w:tcBorders>
            <w:vAlign w:val="center"/>
          </w:tcPr>
          <w:p w14:paraId="43C9586A">
            <w:pPr>
              <w:spacing w:before="40" w:after="40"/>
              <w:rPr>
                <w:rFonts w:ascii="Georgia" w:hAnsi="Georgia" w:eastAsiaTheme="minorHAnsi" w:cstheme="minorBidi"/>
                <w:sz w:val="18"/>
                <w:szCs w:val="18"/>
              </w:rPr>
            </w:pPr>
            <w:r>
              <w:rPr>
                <w:rFonts w:ascii="Georgia" w:hAnsi="Georgia" w:eastAsiaTheme="minorHAnsi" w:cstheme="minorBidi"/>
                <w:sz w:val="18"/>
                <w:szCs w:val="18"/>
              </w:rPr>
              <w:t>SD</w:t>
            </w:r>
          </w:p>
        </w:tc>
        <w:tc>
          <w:tcPr>
            <w:tcW w:w="0" w:type="auto"/>
            <w:tcBorders>
              <w:bottom w:val="single" w:color="auto" w:sz="4" w:space="0"/>
            </w:tcBorders>
            <w:vAlign w:val="center"/>
          </w:tcPr>
          <w:p w14:paraId="1E51A82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tcBorders>
              <w:bottom w:val="single" w:color="auto" w:sz="4" w:space="0"/>
            </w:tcBorders>
            <w:vAlign w:val="center"/>
          </w:tcPr>
          <w:p w14:paraId="3DAC011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3.71</w:t>
            </w:r>
          </w:p>
        </w:tc>
        <w:tc>
          <w:tcPr>
            <w:tcW w:w="0" w:type="auto"/>
            <w:tcBorders>
              <w:bottom w:val="single" w:color="auto" w:sz="4" w:space="0"/>
            </w:tcBorders>
            <w:vAlign w:val="center"/>
          </w:tcPr>
          <w:p w14:paraId="0AB26F9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4.16</w:t>
            </w:r>
          </w:p>
        </w:tc>
        <w:tc>
          <w:tcPr>
            <w:tcW w:w="0" w:type="auto"/>
            <w:tcBorders>
              <w:bottom w:val="single" w:color="auto" w:sz="4" w:space="0"/>
            </w:tcBorders>
            <w:vAlign w:val="center"/>
          </w:tcPr>
          <w:p w14:paraId="7A6F384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3.41</w:t>
            </w:r>
          </w:p>
        </w:tc>
        <w:tc>
          <w:tcPr>
            <w:tcW w:w="0" w:type="auto"/>
            <w:tcBorders>
              <w:bottom w:val="single" w:color="auto" w:sz="4" w:space="0"/>
            </w:tcBorders>
            <w:vAlign w:val="center"/>
          </w:tcPr>
          <w:p w14:paraId="17CF393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1.32</w:t>
            </w:r>
          </w:p>
        </w:tc>
        <w:tc>
          <w:tcPr>
            <w:tcW w:w="0" w:type="auto"/>
            <w:tcBorders>
              <w:bottom w:val="single" w:color="auto" w:sz="4" w:space="0"/>
            </w:tcBorders>
            <w:vAlign w:val="center"/>
          </w:tcPr>
          <w:p w14:paraId="03D2ADA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5.10</w:t>
            </w:r>
          </w:p>
        </w:tc>
      </w:tr>
    </w:tbl>
    <w:p w14:paraId="7F6067A0">
      <w:pPr>
        <w:pStyle w:val="70"/>
      </w:pPr>
    </w:p>
    <w:p w14:paraId="5A2DE999">
      <w:pPr>
        <w:pStyle w:val="70"/>
      </w:pPr>
    </w:p>
    <w:p w14:paraId="52580A27">
      <w:pPr>
        <w:pStyle w:val="70"/>
      </w:pPr>
    </w:p>
    <w:p w14:paraId="6C8B8E02">
      <w:pPr>
        <w:pStyle w:val="70"/>
        <w:sectPr>
          <w:type w:val="continuous"/>
          <w:pgSz w:w="11909" w:h="16834"/>
          <w:pgMar w:top="1134" w:right="1134" w:bottom="1276" w:left="1418" w:header="993" w:footer="1005" w:gutter="0"/>
          <w:paperSrc w:first="7" w:other="7"/>
          <w:pgNumType w:start="3"/>
          <w:cols w:space="567" w:num="1"/>
          <w:titlePg/>
          <w:docGrid w:linePitch="272" w:charSpace="0"/>
        </w:sectPr>
      </w:pPr>
    </w:p>
    <w:p w14:paraId="47C89FDB">
      <w:pPr>
        <w:pStyle w:val="70"/>
      </w:pPr>
      <w:r>
        <w:t>Bearing in mind that the AAA algorithm does not give the best results in big heterogeneity region, like the spinal cord, the results show that VMAT with more than one arc can be safely used in clinical practice.</w:t>
      </w:r>
    </w:p>
    <w:p w14:paraId="76A97464">
      <w:pPr>
        <w:pStyle w:val="70"/>
      </w:pPr>
      <w:r>
        <w:t xml:space="preserve">In Table 3, we present the results obtained for the Acuros XB algorithm on the Halcyon unit. </w:t>
      </w:r>
    </w:p>
    <w:p w14:paraId="38945A99">
      <w:pPr>
        <w:pStyle w:val="70"/>
      </w:pPr>
      <w:r>
        <w:t>In terms of the target volumes, we again can see acceptable coverage, this time with deviations less than 5% for both two and three partial or full arcs. And again, for single arc treatments the deviations are over 5% which is considered unacceptable. The Halcyon results are significantly better in the point 6, which represents the lungs, which is characterized by small electron or mass density. But in the high density region of the bones around the spinal cord, represented by point 10, we again see large deviations which should be taken into account during the treatment planning process even with the more advanced Accuros algorithm.</w:t>
      </w:r>
    </w:p>
    <w:p w14:paraId="6348CA10">
      <w:pPr>
        <w:pStyle w:val="4"/>
        <w:spacing w:before="240"/>
        <w:ind w:left="288"/>
      </w:pPr>
      <w:r>
        <w:t>4. Discussion</w:t>
      </w:r>
    </w:p>
    <w:p w14:paraId="7A7CA253">
      <w:pPr>
        <w:pStyle w:val="70"/>
        <w:rPr>
          <w:bCs/>
        </w:rPr>
      </w:pPr>
      <w:r>
        <w:rPr>
          <w:bCs/>
        </w:rPr>
        <w:t xml:space="preserve">In this work we used the end-to-end test to assess the VMAT delivery accuracy for different types of VMAT plans. As a result of the presence of detectable deviations in the VMAT treatment pattern, which are associated with the heterogeneities often observed in patients in clinical settings, improved outcomes could be possible. The investigation was performed on the department's two VMAT-capable radiotherapy units using commercial anthropomorphic torso phantom. We used previously published guidelines (Tuntipumiamorn et al., 2019, Schiefer et al., 2010) and adapted them to the equipment at our disposal in order to see if different types of VMAT plans were delivered with different accuracy on our linacs. </w:t>
      </w:r>
    </w:p>
    <w:p w14:paraId="0106DCB4">
      <w:pPr>
        <w:pStyle w:val="70"/>
        <w:rPr>
          <w:highlight w:val="magenta"/>
        </w:rPr>
        <w:sectPr>
          <w:type w:val="continuous"/>
          <w:pgSz w:w="11909" w:h="16834"/>
          <w:pgMar w:top="1134" w:right="1134" w:bottom="1276" w:left="1418" w:header="993" w:footer="1005" w:gutter="0"/>
          <w:paperSrc w:first="7" w:other="7"/>
          <w:pgNumType w:start="1"/>
          <w:cols w:space="567" w:num="2"/>
          <w:titlePg/>
          <w:docGrid w:linePitch="272" w:charSpace="0"/>
        </w:sectPr>
      </w:pPr>
    </w:p>
    <w:p w14:paraId="48A867AF">
      <w:pPr>
        <w:pStyle w:val="59"/>
      </w:pPr>
      <w:r>
        <w:t>Table 3. Comparison of the measured dose to the calculated dose at specific points for the Halcyon unit</w:t>
      </w:r>
    </w:p>
    <w:tbl>
      <w:tblPr>
        <w:tblStyle w:val="90"/>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31"/>
        <w:gridCol w:w="607"/>
        <w:gridCol w:w="646"/>
        <w:gridCol w:w="646"/>
        <w:gridCol w:w="644"/>
        <w:gridCol w:w="636"/>
        <w:gridCol w:w="733"/>
      </w:tblGrid>
      <w:tr w14:paraId="6A56E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bottom w:val="single" w:color="auto" w:sz="4" w:space="0"/>
            </w:tcBorders>
            <w:vAlign w:val="center"/>
          </w:tcPr>
          <w:p w14:paraId="572115C8">
            <w:pPr>
              <w:spacing w:before="60" w:after="60"/>
              <w:rPr>
                <w:rFonts w:ascii="Georgia" w:hAnsi="Georgia" w:eastAsiaTheme="minorHAnsi" w:cstheme="minorBidi"/>
                <w:b/>
                <w:sz w:val="18"/>
                <w:szCs w:val="18"/>
              </w:rPr>
            </w:pPr>
            <w:r>
              <w:rPr>
                <w:rFonts w:ascii="Georgia" w:hAnsi="Georgia" w:eastAsiaTheme="minorHAnsi" w:cstheme="minorBidi"/>
                <w:b/>
                <w:sz w:val="18"/>
                <w:szCs w:val="18"/>
              </w:rPr>
              <w:t>Deviation (%)</w:t>
            </w:r>
          </w:p>
        </w:tc>
        <w:tc>
          <w:tcPr>
            <w:tcW w:w="0" w:type="auto"/>
            <w:tcBorders>
              <w:top w:val="single" w:color="auto" w:sz="4" w:space="0"/>
              <w:bottom w:val="single" w:color="auto" w:sz="4" w:space="0"/>
            </w:tcBorders>
            <w:vAlign w:val="center"/>
          </w:tcPr>
          <w:p w14:paraId="2B4D90F2">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1</w:t>
            </w:r>
          </w:p>
        </w:tc>
        <w:tc>
          <w:tcPr>
            <w:tcW w:w="0" w:type="auto"/>
            <w:tcBorders>
              <w:top w:val="single" w:color="auto" w:sz="4" w:space="0"/>
              <w:bottom w:val="single" w:color="auto" w:sz="4" w:space="0"/>
            </w:tcBorders>
            <w:vAlign w:val="center"/>
          </w:tcPr>
          <w:p w14:paraId="59BE4DFB">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2</w:t>
            </w:r>
          </w:p>
        </w:tc>
        <w:tc>
          <w:tcPr>
            <w:tcW w:w="0" w:type="auto"/>
            <w:tcBorders>
              <w:top w:val="single" w:color="auto" w:sz="4" w:space="0"/>
              <w:bottom w:val="single" w:color="auto" w:sz="4" w:space="0"/>
            </w:tcBorders>
            <w:vAlign w:val="center"/>
          </w:tcPr>
          <w:p w14:paraId="74C28D9E">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4</w:t>
            </w:r>
          </w:p>
        </w:tc>
        <w:tc>
          <w:tcPr>
            <w:tcW w:w="0" w:type="auto"/>
            <w:tcBorders>
              <w:top w:val="single" w:color="auto" w:sz="4" w:space="0"/>
              <w:bottom w:val="single" w:color="auto" w:sz="4" w:space="0"/>
            </w:tcBorders>
            <w:vAlign w:val="center"/>
          </w:tcPr>
          <w:p w14:paraId="66BFD4C4">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5</w:t>
            </w:r>
          </w:p>
        </w:tc>
        <w:tc>
          <w:tcPr>
            <w:tcW w:w="0" w:type="auto"/>
            <w:tcBorders>
              <w:top w:val="single" w:color="auto" w:sz="4" w:space="0"/>
              <w:bottom w:val="single" w:color="auto" w:sz="4" w:space="0"/>
            </w:tcBorders>
            <w:vAlign w:val="center"/>
          </w:tcPr>
          <w:p w14:paraId="68525278">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6</w:t>
            </w:r>
          </w:p>
        </w:tc>
        <w:tc>
          <w:tcPr>
            <w:tcW w:w="0" w:type="auto"/>
            <w:tcBorders>
              <w:top w:val="single" w:color="auto" w:sz="4" w:space="0"/>
              <w:bottom w:val="single" w:color="auto" w:sz="4" w:space="0"/>
            </w:tcBorders>
            <w:vAlign w:val="center"/>
          </w:tcPr>
          <w:p w14:paraId="3932BBAE">
            <w:pPr>
              <w:spacing w:before="60" w:after="60"/>
              <w:jc w:val="center"/>
              <w:rPr>
                <w:rFonts w:ascii="Georgia" w:hAnsi="Georgia" w:eastAsiaTheme="minorHAnsi" w:cstheme="minorBidi"/>
                <w:b/>
                <w:sz w:val="18"/>
                <w:szCs w:val="18"/>
              </w:rPr>
            </w:pPr>
            <w:r>
              <w:rPr>
                <w:rFonts w:ascii="Georgia" w:hAnsi="Georgia" w:eastAsiaTheme="minorHAnsi" w:cstheme="minorBidi"/>
                <w:b/>
                <w:sz w:val="18"/>
                <w:szCs w:val="18"/>
              </w:rPr>
              <w:t>Pt. 10</w:t>
            </w:r>
          </w:p>
        </w:tc>
      </w:tr>
      <w:tr w14:paraId="7CEED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tcBorders>
            <w:vAlign w:val="center"/>
          </w:tcPr>
          <w:p w14:paraId="22CB9ECF">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full arcs CW and CCW, </w:t>
            </w:r>
          </w:p>
          <w:p w14:paraId="78982D35">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small target volume</w:t>
            </w:r>
          </w:p>
        </w:tc>
        <w:tc>
          <w:tcPr>
            <w:tcW w:w="0" w:type="auto"/>
            <w:tcBorders>
              <w:top w:val="single" w:color="auto" w:sz="4" w:space="0"/>
            </w:tcBorders>
            <w:vAlign w:val="center"/>
          </w:tcPr>
          <w:p w14:paraId="010B4B6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2.31</w:t>
            </w:r>
          </w:p>
        </w:tc>
        <w:tc>
          <w:tcPr>
            <w:tcW w:w="0" w:type="auto"/>
            <w:tcBorders>
              <w:top w:val="single" w:color="auto" w:sz="4" w:space="0"/>
            </w:tcBorders>
            <w:vAlign w:val="center"/>
          </w:tcPr>
          <w:p w14:paraId="29599A7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0.56</w:t>
            </w:r>
          </w:p>
        </w:tc>
        <w:tc>
          <w:tcPr>
            <w:tcW w:w="0" w:type="auto"/>
            <w:tcBorders>
              <w:top w:val="single" w:color="auto" w:sz="4" w:space="0"/>
            </w:tcBorders>
            <w:vAlign w:val="center"/>
          </w:tcPr>
          <w:p w14:paraId="6D88C45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tcBorders>
              <w:top w:val="single" w:color="auto" w:sz="4" w:space="0"/>
            </w:tcBorders>
            <w:vAlign w:val="center"/>
          </w:tcPr>
          <w:p w14:paraId="32E0360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-2.16</w:t>
            </w:r>
          </w:p>
        </w:tc>
        <w:tc>
          <w:tcPr>
            <w:tcW w:w="0" w:type="auto"/>
            <w:tcBorders>
              <w:top w:val="single" w:color="auto" w:sz="4" w:space="0"/>
            </w:tcBorders>
            <w:vAlign w:val="center"/>
          </w:tcPr>
          <w:p w14:paraId="5E85574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4.93</w:t>
            </w:r>
          </w:p>
        </w:tc>
        <w:tc>
          <w:tcPr>
            <w:tcW w:w="0" w:type="auto"/>
            <w:tcBorders>
              <w:top w:val="single" w:color="auto" w:sz="4" w:space="0"/>
            </w:tcBorders>
            <w:vAlign w:val="center"/>
          </w:tcPr>
          <w:p w14:paraId="3C72032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2.68</w:t>
            </w:r>
          </w:p>
        </w:tc>
      </w:tr>
      <w:tr w14:paraId="01A47C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7186C772">
            <w:pPr>
              <w:spacing w:before="40" w:after="40"/>
              <w:ind w:right="-41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full arcs CW and CCW, </w:t>
            </w:r>
          </w:p>
          <w:p w14:paraId="5A9E5CB8">
            <w:pPr>
              <w:spacing w:before="40" w:after="40"/>
              <w:ind w:right="-410"/>
              <w:rPr>
                <w:rFonts w:ascii="Georgia" w:hAnsi="Georgia" w:eastAsia="Times New Roman" w:cstheme="minorBidi"/>
                <w:sz w:val="18"/>
                <w:szCs w:val="18"/>
              </w:rPr>
            </w:pPr>
            <w:r>
              <w:rPr>
                <w:rFonts w:ascii="Georgia" w:hAnsi="Georgia" w:eastAsia="Times New Roman" w:cstheme="minorBidi"/>
                <w:kern w:val="24"/>
                <w:sz w:val="18"/>
                <w:szCs w:val="18"/>
              </w:rPr>
              <w:t>large target volume</w:t>
            </w:r>
          </w:p>
        </w:tc>
        <w:tc>
          <w:tcPr>
            <w:tcW w:w="0" w:type="auto"/>
            <w:vAlign w:val="center"/>
          </w:tcPr>
          <w:p w14:paraId="0857E5E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2.91</w:t>
            </w:r>
          </w:p>
        </w:tc>
        <w:tc>
          <w:tcPr>
            <w:tcW w:w="0" w:type="auto"/>
            <w:vAlign w:val="center"/>
          </w:tcPr>
          <w:p w14:paraId="2F1A6C7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-0.49</w:t>
            </w:r>
          </w:p>
        </w:tc>
        <w:tc>
          <w:tcPr>
            <w:tcW w:w="0" w:type="auto"/>
            <w:vAlign w:val="center"/>
          </w:tcPr>
          <w:p w14:paraId="23C0AE0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4.13</w:t>
            </w:r>
          </w:p>
        </w:tc>
        <w:tc>
          <w:tcPr>
            <w:tcW w:w="0" w:type="auto"/>
            <w:vAlign w:val="center"/>
          </w:tcPr>
          <w:p w14:paraId="31E152B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-6.05</w:t>
            </w:r>
          </w:p>
        </w:tc>
        <w:tc>
          <w:tcPr>
            <w:tcW w:w="0" w:type="auto"/>
            <w:vAlign w:val="center"/>
          </w:tcPr>
          <w:p w14:paraId="2C2EAF8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4.11</w:t>
            </w:r>
          </w:p>
        </w:tc>
        <w:tc>
          <w:tcPr>
            <w:tcW w:w="0" w:type="auto"/>
            <w:vAlign w:val="center"/>
          </w:tcPr>
          <w:p w14:paraId="1610128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-2.36</w:t>
            </w:r>
          </w:p>
        </w:tc>
      </w:tr>
      <w:tr w14:paraId="16856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1E49D73B">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 xml:space="preserve">3 full arcs CW, CCW and CW, </w:t>
            </w:r>
          </w:p>
          <w:p w14:paraId="11D2AEE8">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small target volume</w:t>
            </w:r>
          </w:p>
        </w:tc>
        <w:tc>
          <w:tcPr>
            <w:tcW w:w="0" w:type="auto"/>
            <w:vAlign w:val="center"/>
          </w:tcPr>
          <w:p w14:paraId="5A8CA94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2.51</w:t>
            </w:r>
          </w:p>
        </w:tc>
        <w:tc>
          <w:tcPr>
            <w:tcW w:w="0" w:type="auto"/>
            <w:vAlign w:val="center"/>
          </w:tcPr>
          <w:p w14:paraId="6147B4D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2.94</w:t>
            </w:r>
          </w:p>
        </w:tc>
        <w:tc>
          <w:tcPr>
            <w:tcW w:w="0" w:type="auto"/>
            <w:vAlign w:val="center"/>
          </w:tcPr>
          <w:p w14:paraId="16F197B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1.31</w:t>
            </w:r>
          </w:p>
        </w:tc>
        <w:tc>
          <w:tcPr>
            <w:tcW w:w="0" w:type="auto"/>
            <w:vAlign w:val="center"/>
          </w:tcPr>
          <w:p w14:paraId="4D56FC4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vAlign w:val="center"/>
          </w:tcPr>
          <w:p w14:paraId="1D185E9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5.48</w:t>
            </w:r>
          </w:p>
        </w:tc>
        <w:tc>
          <w:tcPr>
            <w:tcW w:w="0" w:type="auto"/>
            <w:vAlign w:val="center"/>
          </w:tcPr>
          <w:p w14:paraId="4AF0E4C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1.81</w:t>
            </w:r>
          </w:p>
        </w:tc>
      </w:tr>
      <w:tr w14:paraId="7F524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1627BCDA">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3 full arcs CW, CCW and CW, large target volume</w:t>
            </w:r>
          </w:p>
        </w:tc>
        <w:tc>
          <w:tcPr>
            <w:tcW w:w="0" w:type="auto"/>
            <w:vAlign w:val="center"/>
          </w:tcPr>
          <w:p w14:paraId="0D84B28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2.19</w:t>
            </w:r>
          </w:p>
        </w:tc>
        <w:tc>
          <w:tcPr>
            <w:tcW w:w="0" w:type="auto"/>
            <w:vAlign w:val="center"/>
          </w:tcPr>
          <w:p w14:paraId="36C22C94">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1.49</w:t>
            </w:r>
          </w:p>
        </w:tc>
        <w:tc>
          <w:tcPr>
            <w:tcW w:w="0" w:type="auto"/>
            <w:vAlign w:val="center"/>
          </w:tcPr>
          <w:p w14:paraId="5234F87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-7.43</w:t>
            </w:r>
          </w:p>
        </w:tc>
        <w:tc>
          <w:tcPr>
            <w:tcW w:w="0" w:type="auto"/>
            <w:vAlign w:val="center"/>
          </w:tcPr>
          <w:p w14:paraId="552BD64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1.17</w:t>
            </w:r>
          </w:p>
        </w:tc>
        <w:tc>
          <w:tcPr>
            <w:tcW w:w="0" w:type="auto"/>
            <w:vAlign w:val="center"/>
          </w:tcPr>
          <w:p w14:paraId="0DC72ED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4.88</w:t>
            </w:r>
          </w:p>
        </w:tc>
        <w:tc>
          <w:tcPr>
            <w:tcW w:w="0" w:type="auto"/>
            <w:vAlign w:val="center"/>
          </w:tcPr>
          <w:p w14:paraId="2D5DB76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10.39</w:t>
            </w:r>
          </w:p>
        </w:tc>
      </w:tr>
      <w:tr w14:paraId="6F46D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11EB2E72">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 xml:space="preserve">2 part arcs CW and CCW, </w:t>
            </w:r>
          </w:p>
          <w:p w14:paraId="06617B72">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small target volume</w:t>
            </w:r>
          </w:p>
        </w:tc>
        <w:tc>
          <w:tcPr>
            <w:tcW w:w="0" w:type="auto"/>
            <w:vAlign w:val="center"/>
          </w:tcPr>
          <w:p w14:paraId="64C9887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3.93</w:t>
            </w:r>
          </w:p>
        </w:tc>
        <w:tc>
          <w:tcPr>
            <w:tcW w:w="0" w:type="auto"/>
            <w:vAlign w:val="center"/>
          </w:tcPr>
          <w:p w14:paraId="22847AE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3.18</w:t>
            </w:r>
          </w:p>
        </w:tc>
        <w:tc>
          <w:tcPr>
            <w:tcW w:w="0" w:type="auto"/>
            <w:vAlign w:val="center"/>
          </w:tcPr>
          <w:p w14:paraId="4F6C6CB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2.66</w:t>
            </w:r>
          </w:p>
        </w:tc>
        <w:tc>
          <w:tcPr>
            <w:tcW w:w="0" w:type="auto"/>
            <w:vAlign w:val="center"/>
          </w:tcPr>
          <w:p w14:paraId="0D93EFD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-2.02</w:t>
            </w:r>
          </w:p>
        </w:tc>
        <w:tc>
          <w:tcPr>
            <w:tcW w:w="0" w:type="auto"/>
            <w:vAlign w:val="center"/>
          </w:tcPr>
          <w:p w14:paraId="7F65D86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1.2</w:t>
            </w:r>
          </w:p>
        </w:tc>
        <w:tc>
          <w:tcPr>
            <w:tcW w:w="0" w:type="auto"/>
            <w:vAlign w:val="center"/>
          </w:tcPr>
          <w:p w14:paraId="012B256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1.06</w:t>
            </w:r>
          </w:p>
        </w:tc>
      </w:tr>
      <w:tr w14:paraId="174DDA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0D0186FD">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2 part arcs</w:t>
            </w:r>
            <w:r>
              <w:rPr>
                <w:rFonts w:ascii="Georgia" w:hAnsi="Georgia" w:eastAsia="Times New Roman" w:cstheme="minorBidi"/>
                <w:sz w:val="18"/>
                <w:szCs w:val="18"/>
              </w:rPr>
              <w:t xml:space="preserve"> </w:t>
            </w:r>
            <w:r>
              <w:rPr>
                <w:rFonts w:ascii="Georgia" w:hAnsi="Georgia" w:eastAsia="Times New Roman" w:cstheme="minorBidi"/>
                <w:kern w:val="24"/>
                <w:sz w:val="18"/>
                <w:szCs w:val="18"/>
              </w:rPr>
              <w:t xml:space="preserve">CW and CCW, </w:t>
            </w:r>
          </w:p>
          <w:p w14:paraId="0EA46191">
            <w:pPr>
              <w:spacing w:before="40" w:after="40"/>
              <w:rPr>
                <w:rFonts w:ascii="Georgia" w:hAnsi="Georgia" w:eastAsia="Times New Roman" w:cstheme="minorBidi"/>
                <w:kern w:val="24"/>
                <w:sz w:val="18"/>
                <w:szCs w:val="18"/>
              </w:rPr>
            </w:pPr>
            <w:r>
              <w:rPr>
                <w:rFonts w:ascii="Georgia" w:hAnsi="Georgia" w:eastAsia="Times New Roman" w:cstheme="minorBidi"/>
                <w:kern w:val="24"/>
                <w:sz w:val="18"/>
                <w:szCs w:val="18"/>
              </w:rPr>
              <w:t>large target volume</w:t>
            </w:r>
          </w:p>
        </w:tc>
        <w:tc>
          <w:tcPr>
            <w:tcW w:w="0" w:type="auto"/>
            <w:vAlign w:val="center"/>
          </w:tcPr>
          <w:p w14:paraId="533FC05B">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4.43</w:t>
            </w:r>
          </w:p>
        </w:tc>
        <w:tc>
          <w:tcPr>
            <w:tcW w:w="0" w:type="auto"/>
            <w:vAlign w:val="center"/>
          </w:tcPr>
          <w:p w14:paraId="4FC3443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1.89</w:t>
            </w:r>
          </w:p>
        </w:tc>
        <w:tc>
          <w:tcPr>
            <w:tcW w:w="0" w:type="auto"/>
            <w:vAlign w:val="center"/>
          </w:tcPr>
          <w:p w14:paraId="111DC88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4.08</w:t>
            </w:r>
          </w:p>
        </w:tc>
        <w:tc>
          <w:tcPr>
            <w:tcW w:w="0" w:type="auto"/>
            <w:vAlign w:val="center"/>
          </w:tcPr>
          <w:p w14:paraId="3EA3B4B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-4.15</w:t>
            </w:r>
          </w:p>
        </w:tc>
        <w:tc>
          <w:tcPr>
            <w:tcW w:w="0" w:type="auto"/>
            <w:vAlign w:val="center"/>
          </w:tcPr>
          <w:p w14:paraId="2959CFF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2.64</w:t>
            </w:r>
          </w:p>
        </w:tc>
        <w:tc>
          <w:tcPr>
            <w:tcW w:w="0" w:type="auto"/>
            <w:vAlign w:val="center"/>
          </w:tcPr>
          <w:p w14:paraId="758C02A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9.43</w:t>
            </w:r>
          </w:p>
        </w:tc>
      </w:tr>
      <w:tr w14:paraId="55724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20CE69D8">
            <w:pPr>
              <w:spacing w:before="40" w:after="40"/>
              <w:rPr>
                <w:rFonts w:ascii="Georgia" w:hAnsi="Georgia" w:eastAsia="Calibri" w:cstheme="minorBidi"/>
                <w:kern w:val="24"/>
                <w:sz w:val="18"/>
                <w:szCs w:val="18"/>
              </w:rPr>
            </w:pPr>
            <w:r>
              <w:rPr>
                <w:rFonts w:ascii="Georgia" w:hAnsi="Georgia" w:eastAsia="Times New Roman" w:cstheme="minorBidi"/>
                <w:kern w:val="24"/>
                <w:sz w:val="18"/>
                <w:szCs w:val="18"/>
              </w:rPr>
              <w:t>3 part arcs CW, CCW and CW</w:t>
            </w:r>
            <w:r>
              <w:rPr>
                <w:rFonts w:ascii="Georgia" w:hAnsi="Georgia" w:eastAsia="Times New Roman" w:cstheme="minorBidi"/>
                <w:sz w:val="18"/>
                <w:szCs w:val="18"/>
              </w:rPr>
              <w:t xml:space="preserve">, </w:t>
            </w:r>
            <w:r>
              <w:rPr>
                <w:rFonts w:ascii="Georgia" w:hAnsi="Georgia" w:eastAsia="Calibri" w:cstheme="minorBidi"/>
                <w:kern w:val="24"/>
                <w:sz w:val="18"/>
                <w:szCs w:val="18"/>
              </w:rPr>
              <w:t xml:space="preserve">small </w:t>
            </w:r>
            <w:r>
              <w:rPr>
                <w:rFonts w:ascii="Georgia" w:hAnsi="Georgia" w:eastAsia="Times New Roman" w:cstheme="minorBidi"/>
                <w:kern w:val="24"/>
                <w:sz w:val="18"/>
                <w:szCs w:val="18"/>
              </w:rPr>
              <w:t xml:space="preserve">target </w:t>
            </w:r>
            <w:r>
              <w:rPr>
                <w:rFonts w:ascii="Georgia" w:hAnsi="Georgia" w:eastAsia="Calibri" w:cstheme="minorBidi"/>
                <w:kern w:val="24"/>
                <w:sz w:val="18"/>
                <w:szCs w:val="18"/>
              </w:rPr>
              <w:t>volume</w:t>
            </w:r>
          </w:p>
        </w:tc>
        <w:tc>
          <w:tcPr>
            <w:tcW w:w="0" w:type="auto"/>
            <w:vAlign w:val="center"/>
          </w:tcPr>
          <w:p w14:paraId="29BF58B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2.54</w:t>
            </w:r>
          </w:p>
        </w:tc>
        <w:tc>
          <w:tcPr>
            <w:tcW w:w="0" w:type="auto"/>
            <w:vAlign w:val="center"/>
          </w:tcPr>
          <w:p w14:paraId="2CBC194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2.64</w:t>
            </w:r>
          </w:p>
        </w:tc>
        <w:tc>
          <w:tcPr>
            <w:tcW w:w="0" w:type="auto"/>
            <w:vAlign w:val="center"/>
          </w:tcPr>
          <w:p w14:paraId="4721E79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-3.72</w:t>
            </w:r>
          </w:p>
        </w:tc>
        <w:tc>
          <w:tcPr>
            <w:tcW w:w="0" w:type="auto"/>
            <w:vAlign w:val="center"/>
          </w:tcPr>
          <w:p w14:paraId="7ABDA9C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-4.01</w:t>
            </w:r>
          </w:p>
        </w:tc>
        <w:tc>
          <w:tcPr>
            <w:tcW w:w="0" w:type="auto"/>
            <w:vAlign w:val="center"/>
          </w:tcPr>
          <w:p w14:paraId="5926F3A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2.83</w:t>
            </w:r>
          </w:p>
        </w:tc>
        <w:tc>
          <w:tcPr>
            <w:tcW w:w="0" w:type="auto"/>
            <w:vAlign w:val="center"/>
          </w:tcPr>
          <w:p w14:paraId="465F6A00">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-0.77</w:t>
            </w:r>
          </w:p>
        </w:tc>
      </w:tr>
      <w:tr w14:paraId="0B3A4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1CBED55C">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3 part arc CW, CCW and CW</w:t>
            </w:r>
            <w:r>
              <w:rPr>
                <w:rFonts w:ascii="Georgia" w:hAnsi="Georgia" w:eastAsia="Times New Roman" w:cstheme="minorBidi"/>
                <w:sz w:val="18"/>
                <w:szCs w:val="18"/>
              </w:rPr>
              <w:t xml:space="preserve">, </w:t>
            </w:r>
          </w:p>
          <w:p w14:paraId="600BF9D8">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large target volume </w:t>
            </w:r>
          </w:p>
        </w:tc>
        <w:tc>
          <w:tcPr>
            <w:tcW w:w="0" w:type="auto"/>
            <w:vAlign w:val="center"/>
          </w:tcPr>
          <w:p w14:paraId="467CC1F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0.38</w:t>
            </w:r>
          </w:p>
        </w:tc>
        <w:tc>
          <w:tcPr>
            <w:tcW w:w="0" w:type="auto"/>
            <w:vAlign w:val="center"/>
          </w:tcPr>
          <w:p w14:paraId="3B2ADDA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2.89</w:t>
            </w:r>
          </w:p>
        </w:tc>
        <w:tc>
          <w:tcPr>
            <w:tcW w:w="0" w:type="auto"/>
            <w:vAlign w:val="center"/>
          </w:tcPr>
          <w:p w14:paraId="76871CB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-4.95</w:t>
            </w:r>
          </w:p>
        </w:tc>
        <w:tc>
          <w:tcPr>
            <w:tcW w:w="0" w:type="auto"/>
            <w:vAlign w:val="center"/>
          </w:tcPr>
          <w:p w14:paraId="3865CE1C">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5.08</w:t>
            </w:r>
          </w:p>
        </w:tc>
        <w:tc>
          <w:tcPr>
            <w:tcW w:w="0" w:type="auto"/>
            <w:vAlign w:val="center"/>
          </w:tcPr>
          <w:p w14:paraId="34A0C70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4.34</w:t>
            </w:r>
          </w:p>
        </w:tc>
        <w:tc>
          <w:tcPr>
            <w:tcW w:w="0" w:type="auto"/>
            <w:vAlign w:val="center"/>
          </w:tcPr>
          <w:p w14:paraId="17008D5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6.49</w:t>
            </w:r>
          </w:p>
        </w:tc>
      </w:tr>
      <w:tr w14:paraId="3DE8EC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vAlign w:val="center"/>
          </w:tcPr>
          <w:p w14:paraId="570C34A9">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1 full arc CCW</w:t>
            </w:r>
            <w:r>
              <w:rPr>
                <w:rFonts w:ascii="Georgia" w:hAnsi="Georgia" w:eastAsia="Times New Roman" w:cstheme="minorBidi"/>
                <w:sz w:val="18"/>
                <w:szCs w:val="18"/>
              </w:rPr>
              <w:t xml:space="preserve">, </w:t>
            </w:r>
          </w:p>
          <w:p w14:paraId="0A4D2B50">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center target volume</w:t>
            </w:r>
          </w:p>
        </w:tc>
        <w:tc>
          <w:tcPr>
            <w:tcW w:w="0" w:type="auto"/>
            <w:vAlign w:val="center"/>
          </w:tcPr>
          <w:p w14:paraId="4D834F7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0.54</w:t>
            </w:r>
          </w:p>
        </w:tc>
        <w:tc>
          <w:tcPr>
            <w:tcW w:w="0" w:type="auto"/>
            <w:vAlign w:val="center"/>
          </w:tcPr>
          <w:p w14:paraId="418C52E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-9.34</w:t>
            </w:r>
          </w:p>
        </w:tc>
        <w:tc>
          <w:tcPr>
            <w:tcW w:w="0" w:type="auto"/>
            <w:vAlign w:val="center"/>
          </w:tcPr>
          <w:p w14:paraId="3F56785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2.44</w:t>
            </w:r>
          </w:p>
        </w:tc>
        <w:tc>
          <w:tcPr>
            <w:tcW w:w="0" w:type="auto"/>
            <w:vAlign w:val="center"/>
          </w:tcPr>
          <w:p w14:paraId="73534917">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1.58</w:t>
            </w:r>
          </w:p>
        </w:tc>
        <w:tc>
          <w:tcPr>
            <w:tcW w:w="0" w:type="auto"/>
            <w:vAlign w:val="center"/>
          </w:tcPr>
          <w:p w14:paraId="5D27ECFE">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2.75</w:t>
            </w:r>
          </w:p>
        </w:tc>
        <w:tc>
          <w:tcPr>
            <w:tcW w:w="0" w:type="auto"/>
            <w:vAlign w:val="center"/>
          </w:tcPr>
          <w:p w14:paraId="5FBBAD0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1.55</w:t>
            </w:r>
          </w:p>
        </w:tc>
      </w:tr>
      <w:tr w14:paraId="31F3F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bottom w:val="single" w:color="auto" w:sz="4" w:space="0"/>
            </w:tcBorders>
            <w:vAlign w:val="center"/>
          </w:tcPr>
          <w:p w14:paraId="2BBE7096">
            <w:pPr>
              <w:spacing w:before="40" w:after="40"/>
              <w:rPr>
                <w:rFonts w:ascii="Georgia" w:hAnsi="Georgia" w:eastAsia="Times New Roman" w:cstheme="minorBidi"/>
                <w:sz w:val="18"/>
                <w:szCs w:val="18"/>
              </w:rPr>
            </w:pPr>
            <w:r>
              <w:rPr>
                <w:rFonts w:ascii="Georgia" w:hAnsi="Georgia" w:eastAsia="Times New Roman" w:cstheme="minorBidi"/>
                <w:kern w:val="24"/>
                <w:sz w:val="18"/>
                <w:szCs w:val="18"/>
              </w:rPr>
              <w:t>1 full arc CW</w:t>
            </w:r>
            <w:r>
              <w:rPr>
                <w:rFonts w:ascii="Georgia" w:hAnsi="Georgia" w:eastAsia="Times New Roman" w:cstheme="minorBidi"/>
                <w:sz w:val="18"/>
                <w:szCs w:val="18"/>
              </w:rPr>
              <w:t xml:space="preserve">, </w:t>
            </w:r>
          </w:p>
          <w:p w14:paraId="43F1F4D2">
            <w:pPr>
              <w:spacing w:before="40" w:after="40"/>
              <w:rPr>
                <w:rFonts w:ascii="Georgia" w:hAnsi="Georgia" w:eastAsia="Times New Roman" w:cstheme="minorBidi"/>
                <w:sz w:val="18"/>
                <w:szCs w:val="18"/>
              </w:rPr>
            </w:pPr>
            <w:r>
              <w:rPr>
                <w:rFonts w:ascii="Georgia" w:hAnsi="Georgia" w:eastAsia="Calibri" w:cstheme="minorBidi"/>
                <w:kern w:val="24"/>
                <w:sz w:val="18"/>
                <w:szCs w:val="18"/>
              </w:rPr>
              <w:t xml:space="preserve">center </w:t>
            </w:r>
            <w:r>
              <w:rPr>
                <w:rFonts w:ascii="Georgia" w:hAnsi="Georgia" w:eastAsia="Times New Roman" w:cstheme="minorBidi"/>
                <w:kern w:val="24"/>
                <w:sz w:val="18"/>
                <w:szCs w:val="18"/>
              </w:rPr>
              <w:t xml:space="preserve">target </w:t>
            </w:r>
            <w:r>
              <w:rPr>
                <w:rFonts w:ascii="Georgia" w:hAnsi="Georgia" w:eastAsia="Calibri" w:cstheme="minorBidi"/>
                <w:kern w:val="24"/>
                <w:sz w:val="18"/>
                <w:szCs w:val="18"/>
              </w:rPr>
              <w:t>volume</w:t>
            </w:r>
          </w:p>
        </w:tc>
        <w:tc>
          <w:tcPr>
            <w:tcW w:w="0" w:type="auto"/>
            <w:tcBorders>
              <w:bottom w:val="single" w:color="auto" w:sz="4" w:space="0"/>
            </w:tcBorders>
            <w:vAlign w:val="center"/>
          </w:tcPr>
          <w:p w14:paraId="3449FD5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5.89</w:t>
            </w:r>
          </w:p>
        </w:tc>
        <w:tc>
          <w:tcPr>
            <w:tcW w:w="0" w:type="auto"/>
            <w:tcBorders>
              <w:bottom w:val="single" w:color="auto" w:sz="4" w:space="0"/>
            </w:tcBorders>
            <w:vAlign w:val="center"/>
          </w:tcPr>
          <w:p w14:paraId="1588153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0.23</w:t>
            </w:r>
          </w:p>
        </w:tc>
        <w:tc>
          <w:tcPr>
            <w:tcW w:w="0" w:type="auto"/>
            <w:tcBorders>
              <w:bottom w:val="single" w:color="auto" w:sz="4" w:space="0"/>
            </w:tcBorders>
            <w:vAlign w:val="center"/>
          </w:tcPr>
          <w:p w14:paraId="20A3DF4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-4.04</w:t>
            </w:r>
          </w:p>
        </w:tc>
        <w:tc>
          <w:tcPr>
            <w:tcW w:w="0" w:type="auto"/>
            <w:tcBorders>
              <w:bottom w:val="single" w:color="auto" w:sz="4" w:space="0"/>
            </w:tcBorders>
            <w:vAlign w:val="center"/>
          </w:tcPr>
          <w:p w14:paraId="49B9E5B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1.98</w:t>
            </w:r>
          </w:p>
        </w:tc>
        <w:tc>
          <w:tcPr>
            <w:tcW w:w="0" w:type="auto"/>
            <w:tcBorders>
              <w:bottom w:val="single" w:color="auto" w:sz="4" w:space="0"/>
            </w:tcBorders>
            <w:vAlign w:val="center"/>
          </w:tcPr>
          <w:p w14:paraId="7BAE4A0F">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3.58</w:t>
            </w:r>
          </w:p>
        </w:tc>
        <w:tc>
          <w:tcPr>
            <w:tcW w:w="0" w:type="auto"/>
            <w:tcBorders>
              <w:bottom w:val="single" w:color="auto" w:sz="4" w:space="0"/>
            </w:tcBorders>
            <w:vAlign w:val="center"/>
          </w:tcPr>
          <w:p w14:paraId="685C249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-5.89</w:t>
            </w:r>
          </w:p>
        </w:tc>
      </w:tr>
      <w:tr w14:paraId="13658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top w:val="single" w:color="auto" w:sz="4" w:space="0"/>
            </w:tcBorders>
            <w:vAlign w:val="center"/>
          </w:tcPr>
          <w:p w14:paraId="765C2578">
            <w:pPr>
              <w:spacing w:before="40" w:after="40"/>
              <w:rPr>
                <w:rFonts w:ascii="Georgia" w:hAnsi="Georgia" w:eastAsiaTheme="minorHAnsi" w:cstheme="minorBidi"/>
                <w:sz w:val="18"/>
                <w:szCs w:val="18"/>
              </w:rPr>
            </w:pPr>
            <w:r>
              <w:rPr>
                <w:rFonts w:ascii="Georgia" w:hAnsi="Georgia" w:eastAsiaTheme="minorHAnsi" w:cstheme="minorBidi"/>
                <w:sz w:val="18"/>
                <w:szCs w:val="18"/>
              </w:rPr>
              <w:t xml:space="preserve">Mean </w:t>
            </w:r>
          </w:p>
        </w:tc>
        <w:tc>
          <w:tcPr>
            <w:tcW w:w="0" w:type="auto"/>
            <w:tcBorders>
              <w:top w:val="single" w:color="auto" w:sz="4" w:space="0"/>
            </w:tcBorders>
            <w:vAlign w:val="center"/>
          </w:tcPr>
          <w:p w14:paraId="4816678D">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2.76</w:t>
            </w:r>
          </w:p>
        </w:tc>
        <w:tc>
          <w:tcPr>
            <w:tcW w:w="0" w:type="auto"/>
            <w:tcBorders>
              <w:top w:val="single" w:color="auto" w:sz="4" w:space="0"/>
            </w:tcBorders>
            <w:vAlign w:val="center"/>
          </w:tcPr>
          <w:p w14:paraId="1E8F68E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0.60</w:t>
            </w:r>
          </w:p>
        </w:tc>
        <w:tc>
          <w:tcPr>
            <w:tcW w:w="0" w:type="auto"/>
            <w:tcBorders>
              <w:top w:val="single" w:color="auto" w:sz="4" w:space="0"/>
            </w:tcBorders>
            <w:vAlign w:val="center"/>
          </w:tcPr>
          <w:p w14:paraId="7EB8809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-0.72</w:t>
            </w:r>
          </w:p>
        </w:tc>
        <w:tc>
          <w:tcPr>
            <w:tcW w:w="0" w:type="auto"/>
            <w:tcBorders>
              <w:top w:val="single" w:color="auto" w:sz="4" w:space="0"/>
            </w:tcBorders>
            <w:vAlign w:val="center"/>
          </w:tcPr>
          <w:p w14:paraId="07293749">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-1.03</w:t>
            </w:r>
          </w:p>
        </w:tc>
        <w:tc>
          <w:tcPr>
            <w:tcW w:w="0" w:type="auto"/>
            <w:tcBorders>
              <w:top w:val="single" w:color="auto" w:sz="4" w:space="0"/>
            </w:tcBorders>
            <w:vAlign w:val="center"/>
          </w:tcPr>
          <w:p w14:paraId="533AA1B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3.67</w:t>
            </w:r>
          </w:p>
        </w:tc>
        <w:tc>
          <w:tcPr>
            <w:tcW w:w="0" w:type="auto"/>
            <w:tcBorders>
              <w:top w:val="single" w:color="auto" w:sz="4" w:space="0"/>
            </w:tcBorders>
            <w:vAlign w:val="center"/>
          </w:tcPr>
          <w:p w14:paraId="0B59E9A8">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2.44</w:t>
            </w:r>
          </w:p>
        </w:tc>
      </w:tr>
      <w:tr w14:paraId="5B8762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0" w:type="auto"/>
            <w:tcBorders>
              <w:bottom w:val="single" w:color="auto" w:sz="4" w:space="0"/>
            </w:tcBorders>
            <w:vAlign w:val="center"/>
          </w:tcPr>
          <w:p w14:paraId="3971D5E2">
            <w:pPr>
              <w:spacing w:before="40" w:after="40"/>
              <w:rPr>
                <w:rFonts w:ascii="Georgia" w:hAnsi="Georgia" w:eastAsiaTheme="minorHAnsi" w:cstheme="minorBidi"/>
                <w:sz w:val="18"/>
                <w:szCs w:val="18"/>
              </w:rPr>
            </w:pPr>
            <w:r>
              <w:rPr>
                <w:rFonts w:ascii="Georgia" w:hAnsi="Georgia" w:eastAsiaTheme="minorHAnsi" w:cstheme="minorBidi"/>
                <w:sz w:val="18"/>
                <w:szCs w:val="18"/>
              </w:rPr>
              <w:t>SD</w:t>
            </w:r>
          </w:p>
        </w:tc>
        <w:tc>
          <w:tcPr>
            <w:tcW w:w="0" w:type="auto"/>
            <w:tcBorders>
              <w:bottom w:val="single" w:color="auto" w:sz="4" w:space="0"/>
            </w:tcBorders>
            <w:vAlign w:val="center"/>
          </w:tcPr>
          <w:p w14:paraId="5F26FF2A">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1.67</w:t>
            </w:r>
          </w:p>
        </w:tc>
        <w:tc>
          <w:tcPr>
            <w:tcW w:w="0" w:type="auto"/>
            <w:tcBorders>
              <w:bottom w:val="single" w:color="auto" w:sz="4" w:space="0"/>
            </w:tcBorders>
            <w:vAlign w:val="center"/>
          </w:tcPr>
          <w:p w14:paraId="7617D3B5">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3.71</w:t>
            </w:r>
          </w:p>
        </w:tc>
        <w:tc>
          <w:tcPr>
            <w:tcW w:w="0" w:type="auto"/>
            <w:tcBorders>
              <w:bottom w:val="single" w:color="auto" w:sz="4" w:space="0"/>
            </w:tcBorders>
            <w:vAlign w:val="center"/>
          </w:tcPr>
          <w:p w14:paraId="0B21C4B6">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4.16</w:t>
            </w:r>
          </w:p>
        </w:tc>
        <w:tc>
          <w:tcPr>
            <w:tcW w:w="0" w:type="auto"/>
            <w:tcBorders>
              <w:bottom w:val="single" w:color="auto" w:sz="4" w:space="0"/>
            </w:tcBorders>
            <w:vAlign w:val="center"/>
          </w:tcPr>
          <w:p w14:paraId="29843AA2">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3.41</w:t>
            </w:r>
          </w:p>
        </w:tc>
        <w:tc>
          <w:tcPr>
            <w:tcW w:w="0" w:type="auto"/>
            <w:tcBorders>
              <w:bottom w:val="single" w:color="auto" w:sz="4" w:space="0"/>
            </w:tcBorders>
            <w:vAlign w:val="center"/>
          </w:tcPr>
          <w:p w14:paraId="50CA1B63">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1.32</w:t>
            </w:r>
          </w:p>
        </w:tc>
        <w:tc>
          <w:tcPr>
            <w:tcW w:w="0" w:type="auto"/>
            <w:tcBorders>
              <w:bottom w:val="single" w:color="auto" w:sz="4" w:space="0"/>
            </w:tcBorders>
            <w:vAlign w:val="center"/>
          </w:tcPr>
          <w:p w14:paraId="74898A31">
            <w:pPr>
              <w:spacing w:before="40" w:after="40"/>
              <w:jc w:val="center"/>
              <w:rPr>
                <w:rFonts w:ascii="Georgia" w:hAnsi="Georgia" w:eastAsiaTheme="minorHAnsi" w:cstheme="minorBidi"/>
                <w:sz w:val="18"/>
                <w:szCs w:val="18"/>
              </w:rPr>
            </w:pPr>
            <w:r>
              <w:rPr>
                <w:rFonts w:ascii="Georgia" w:hAnsi="Georgia" w:eastAsiaTheme="minorHAnsi" w:cstheme="minorBidi"/>
                <w:sz w:val="18"/>
                <w:szCs w:val="18"/>
              </w:rPr>
              <w:t>5.10</w:t>
            </w:r>
          </w:p>
        </w:tc>
      </w:tr>
    </w:tbl>
    <w:p w14:paraId="3EAB62C9">
      <w:pPr>
        <w:pStyle w:val="70"/>
      </w:pPr>
    </w:p>
    <w:p w14:paraId="7F4D8F7F">
      <w:pPr>
        <w:pStyle w:val="4"/>
        <w:sectPr>
          <w:type w:val="continuous"/>
          <w:pgSz w:w="11909" w:h="16834"/>
          <w:pgMar w:top="1134" w:right="1134" w:bottom="1276" w:left="1418" w:header="993" w:footer="1005" w:gutter="0"/>
          <w:paperSrc w:first="7" w:other="7"/>
          <w:pgNumType w:start="1"/>
          <w:cols w:space="567" w:num="1"/>
          <w:titlePg/>
          <w:docGrid w:linePitch="272" w:charSpace="0"/>
        </w:sectPr>
      </w:pPr>
    </w:p>
    <w:p w14:paraId="377360EB">
      <w:pPr>
        <w:pStyle w:val="70"/>
        <w:rPr>
          <w:bCs/>
        </w:rPr>
      </w:pPr>
      <w:r>
        <w:rPr>
          <w:bCs/>
        </w:rPr>
        <w:t>Our results show that target volumes are irradiated with an acceptable accuracy of 5% on both linacs, if at least two arcs are used. If only one arc is used, for both linacs, deviations are greater than acceptable in at least one of the points representing the target volume. This might be due to the modeling of the units or the limitations of our measurement setup, but a more conservative approach is to recommend using at least two arcs per treatment.</w:t>
      </w:r>
    </w:p>
    <w:p w14:paraId="6059D603">
      <w:pPr>
        <w:pStyle w:val="70"/>
        <w:rPr>
          <w:bCs/>
        </w:rPr>
      </w:pPr>
      <w:r>
        <w:rPr>
          <w:bCs/>
        </w:rPr>
        <w:t>For the older linac, it is noted that using partial arcs gives slightly worse results for the target volumes compared to using full arcs, which is not the case for the newer linac. A possible explanation for this behavior could be the very age of the machines, as well as the degree of their technological advancement, because technologically the Halcyon is two generations newer machine.</w:t>
      </w:r>
    </w:p>
    <w:p w14:paraId="71741C3C">
      <w:pPr>
        <w:pStyle w:val="70"/>
        <w:rPr>
          <w:bCs/>
        </w:rPr>
      </w:pPr>
      <w:r>
        <w:rPr>
          <w:bCs/>
        </w:rPr>
        <w:t xml:space="preserve">For the low-dose regions representing the heart and esophagus, field size has a more pronounced effect, especially for the older iX unit, with larger fields leading to slightly reduced accuracy. Inaccuracies are usually highest where the inhomogeneity of the body is greatest, such as the points representing the lungs and the spinal cord region, where the inaccuracy of the computational algorithm in inhomogeneous regions also has an impact. </w:t>
      </w:r>
    </w:p>
    <w:p w14:paraId="0E6C2043">
      <w:pPr>
        <w:pStyle w:val="70"/>
        <w:rPr>
          <w:highlight w:val="yellow"/>
        </w:rPr>
      </w:pPr>
      <w:r>
        <w:rPr>
          <w:bCs/>
        </w:rPr>
        <w:t>Finally, we fully acknowledge the limitations of our equipment, such as the large volume of the ionization chamber that was used, which has the greatest impact precisely in the low-dose regions. Therefore, the presented results for low-dose regions should only be considered as guidance for planners in optimizing the plan in a particular region. This limitation also paves the way for the next step in our work, which is to repeat the measurements with a small volume chamber, which will simultaneously quantify the impact of chamber volume in an end-to-end measurement scenario.</w:t>
      </w:r>
    </w:p>
    <w:p w14:paraId="651E648F">
      <w:pPr>
        <w:pStyle w:val="4"/>
      </w:pPr>
      <w:r>
        <w:t>5. Conclusion</w:t>
      </w:r>
    </w:p>
    <w:p w14:paraId="2E647EAB">
      <w:pPr>
        <w:pStyle w:val="70"/>
      </w:pPr>
      <w:r>
        <w:t>The end-to-end test showed that the plans are clinically acceptable, but the recommendations for these particular machines would be not to use single arc treatments and to consider algorithm inaccuracies in regions of greater inhomogeneity during the treatment planning process.</w:t>
      </w:r>
    </w:p>
    <w:p w14:paraId="2EE48323">
      <w:pPr>
        <w:pStyle w:val="4"/>
        <w:jc w:val="both"/>
      </w:pPr>
      <w:r>
        <w:t xml:space="preserve">References </w:t>
      </w:r>
    </w:p>
    <w:p w14:paraId="414FCF12">
      <w:pPr>
        <w:pStyle w:val="37"/>
        <w:numPr>
          <w:ilvl w:val="0"/>
          <w:numId w:val="1"/>
        </w:numPr>
        <w:ind w:left="426" w:hanging="156"/>
        <w:rPr>
          <w:snapToGrid w:val="0"/>
        </w:rPr>
      </w:pPr>
      <w:r>
        <w:rPr>
          <w:snapToGrid w:val="0"/>
        </w:rPr>
        <w:t xml:space="preserve">K. Otto, “Volumetric modulated arc therapy: IMRT in a single gantry arc,” </w:t>
      </w:r>
      <w:r>
        <w:rPr>
          <w:i/>
          <w:snapToGrid w:val="0"/>
        </w:rPr>
        <w:t>Med Phys</w:t>
      </w:r>
      <w:r>
        <w:rPr>
          <w:snapToGrid w:val="0"/>
        </w:rPr>
        <w:t xml:space="preserve">., vol. 35, no.1, pp.310-7, Jan. 2008. </w:t>
      </w:r>
    </w:p>
    <w:p w14:paraId="2DC7CB11">
      <w:pPr>
        <w:pStyle w:val="37"/>
        <w:numPr>
          <w:ilvl w:val="0"/>
          <w:numId w:val="0"/>
        </w:numPr>
        <w:ind w:left="426"/>
        <w:rPr>
          <w:snapToGrid w:val="0"/>
        </w:rPr>
      </w:pPr>
      <w:r>
        <w:rPr>
          <w:snapToGrid w:val="0"/>
        </w:rPr>
        <w:t xml:space="preserve">DOI: 10.1118/1.2818738 </w:t>
      </w:r>
    </w:p>
    <w:p w14:paraId="64C629BC">
      <w:pPr>
        <w:pStyle w:val="37"/>
        <w:numPr>
          <w:ilvl w:val="0"/>
          <w:numId w:val="0"/>
        </w:numPr>
        <w:ind w:left="426"/>
        <w:rPr>
          <w:snapToGrid w:val="0"/>
        </w:rPr>
      </w:pPr>
      <w:r>
        <w:rPr>
          <w:snapToGrid w:val="0"/>
        </w:rPr>
        <w:t>PMid: 18293586</w:t>
      </w:r>
    </w:p>
    <w:p w14:paraId="213BF3FB">
      <w:pPr>
        <w:pStyle w:val="37"/>
        <w:numPr>
          <w:ilvl w:val="0"/>
          <w:numId w:val="1"/>
        </w:numPr>
        <w:ind w:left="426" w:hanging="156"/>
        <w:rPr>
          <w:snapToGrid w:val="0"/>
        </w:rPr>
      </w:pPr>
      <w:r>
        <w:rPr>
          <w:snapToGrid w:val="0"/>
        </w:rPr>
        <w:t xml:space="preserve">E. Vanetti et al., “Volumetric modulated arc radiotherapy for carcinomas of the oro-pharynx, hypo-pharynx and larynx: a treatment planning comparison with fixed field IMRT,” </w:t>
      </w:r>
      <w:r>
        <w:rPr>
          <w:i/>
          <w:snapToGrid w:val="0"/>
        </w:rPr>
        <w:t xml:space="preserve">Radiother Oncol., </w:t>
      </w:r>
      <w:r>
        <w:rPr>
          <w:snapToGrid w:val="0"/>
        </w:rPr>
        <w:t xml:space="preserve">vol. 92, no.1, pp. 111-7, Jul. 2009. </w:t>
      </w:r>
    </w:p>
    <w:p w14:paraId="140BA021">
      <w:pPr>
        <w:pStyle w:val="37"/>
        <w:numPr>
          <w:ilvl w:val="0"/>
          <w:numId w:val="0"/>
        </w:numPr>
        <w:ind w:left="426"/>
        <w:rPr>
          <w:snapToGrid w:val="0"/>
        </w:rPr>
      </w:pPr>
      <w:r>
        <w:rPr>
          <w:snapToGrid w:val="0"/>
        </w:rPr>
        <w:t xml:space="preserve">DOI: 10.1016/j.radonc.2008.12.008 </w:t>
      </w:r>
    </w:p>
    <w:p w14:paraId="1D0AD174">
      <w:pPr>
        <w:pStyle w:val="37"/>
        <w:numPr>
          <w:ilvl w:val="0"/>
          <w:numId w:val="0"/>
        </w:numPr>
        <w:ind w:left="426"/>
        <w:rPr>
          <w:snapToGrid w:val="0"/>
        </w:rPr>
      </w:pPr>
      <w:r>
        <w:rPr>
          <w:snapToGrid w:val="0"/>
        </w:rPr>
        <w:t>PMid: 19157609.</w:t>
      </w:r>
    </w:p>
    <w:p w14:paraId="43122336">
      <w:pPr>
        <w:pStyle w:val="37"/>
        <w:numPr>
          <w:ilvl w:val="0"/>
          <w:numId w:val="1"/>
        </w:numPr>
        <w:ind w:left="426" w:hanging="156"/>
        <w:rPr>
          <w:snapToGrid w:val="0"/>
        </w:rPr>
      </w:pPr>
      <w:r>
        <w:rPr>
          <w:snapToGrid w:val="0"/>
        </w:rPr>
        <w:t xml:space="preserve">J. Gomez-Millan Barrachina et al., “Potential advantages of volumetric arc therapy in head and neck cancer,” </w:t>
      </w:r>
      <w:r>
        <w:rPr>
          <w:i/>
          <w:snapToGrid w:val="0"/>
        </w:rPr>
        <w:t>Head Neck</w:t>
      </w:r>
      <w:r>
        <w:rPr>
          <w:snapToGrid w:val="0"/>
        </w:rPr>
        <w:t xml:space="preserve">., vol.37, no.7, pp. 909-14, Jun. 2015. </w:t>
      </w:r>
    </w:p>
    <w:p w14:paraId="29DDA0D1">
      <w:pPr>
        <w:pStyle w:val="37"/>
        <w:numPr>
          <w:ilvl w:val="0"/>
          <w:numId w:val="0"/>
        </w:numPr>
        <w:ind w:left="426"/>
        <w:rPr>
          <w:snapToGrid w:val="0"/>
        </w:rPr>
      </w:pPr>
      <w:r>
        <w:rPr>
          <w:snapToGrid w:val="0"/>
        </w:rPr>
        <w:t>DOI: 10.1002/hed.23685</w:t>
      </w:r>
    </w:p>
    <w:p w14:paraId="366F2F5E">
      <w:pPr>
        <w:pStyle w:val="37"/>
        <w:numPr>
          <w:ilvl w:val="0"/>
          <w:numId w:val="0"/>
        </w:numPr>
        <w:ind w:left="426"/>
        <w:rPr>
          <w:snapToGrid w:val="0"/>
        </w:rPr>
      </w:pPr>
      <w:r>
        <w:rPr>
          <w:snapToGrid w:val="0"/>
        </w:rPr>
        <w:t>PMid: 24623665</w:t>
      </w:r>
    </w:p>
    <w:p w14:paraId="627900E3">
      <w:pPr>
        <w:pStyle w:val="37"/>
        <w:numPr>
          <w:ilvl w:val="0"/>
          <w:numId w:val="1"/>
        </w:numPr>
        <w:ind w:left="426" w:hanging="156"/>
        <w:rPr>
          <w:snapToGrid w:val="0"/>
        </w:rPr>
      </w:pPr>
      <w:r>
        <w:rPr>
          <w:snapToGrid w:val="0"/>
        </w:rPr>
        <w:t xml:space="preserve">U. Akbas et al., “Nasopharyngeal carcinoma radiotherapy with hybrid technique,” </w:t>
      </w:r>
      <w:r>
        <w:rPr>
          <w:i/>
          <w:snapToGrid w:val="0"/>
        </w:rPr>
        <w:t>Med Dosim.,</w:t>
      </w:r>
      <w:r>
        <w:rPr>
          <w:snapToGrid w:val="0"/>
        </w:rPr>
        <w:t xml:space="preserve"> vol. 44, no. 3, pp. 251-157, Autumn. 2019. </w:t>
      </w:r>
    </w:p>
    <w:p w14:paraId="5723F934">
      <w:pPr>
        <w:pStyle w:val="37"/>
        <w:numPr>
          <w:ilvl w:val="0"/>
          <w:numId w:val="0"/>
        </w:numPr>
        <w:ind w:left="426"/>
        <w:rPr>
          <w:snapToGrid w:val="0"/>
        </w:rPr>
      </w:pPr>
      <w:r>
        <w:rPr>
          <w:snapToGrid w:val="0"/>
        </w:rPr>
        <w:t xml:space="preserve">DOI: 10.1016/j.meddos.2018.09.003 </w:t>
      </w:r>
    </w:p>
    <w:p w14:paraId="1A1C1995">
      <w:pPr>
        <w:pStyle w:val="37"/>
        <w:numPr>
          <w:ilvl w:val="0"/>
          <w:numId w:val="0"/>
        </w:numPr>
        <w:ind w:left="426"/>
        <w:rPr>
          <w:snapToGrid w:val="0"/>
        </w:rPr>
      </w:pPr>
      <w:r>
        <w:rPr>
          <w:snapToGrid w:val="0"/>
        </w:rPr>
        <w:t>PMid: 30366620.</w:t>
      </w:r>
    </w:p>
    <w:p w14:paraId="430E2CDD">
      <w:pPr>
        <w:pStyle w:val="37"/>
        <w:numPr>
          <w:ilvl w:val="0"/>
          <w:numId w:val="1"/>
        </w:numPr>
        <w:ind w:left="426" w:hanging="156"/>
        <w:rPr>
          <w:snapToGrid w:val="0"/>
        </w:rPr>
      </w:pPr>
      <w:r>
        <w:rPr>
          <w:snapToGrid w:val="0"/>
        </w:rPr>
        <w:t xml:space="preserve">N. Zhao et al., “A hybrid IMRT/VMAT technique for the treatment of nasopharyngeal cancer.” </w:t>
      </w:r>
      <w:r>
        <w:rPr>
          <w:i/>
          <w:snapToGrid w:val="0"/>
        </w:rPr>
        <w:t>Biomed Res Int.,</w:t>
      </w:r>
      <w:r>
        <w:rPr>
          <w:snapToGrid w:val="0"/>
        </w:rPr>
        <w:t xml:space="preserve"> 2015;2015:940102. </w:t>
      </w:r>
    </w:p>
    <w:p w14:paraId="11DBFBEB">
      <w:pPr>
        <w:pStyle w:val="37"/>
        <w:numPr>
          <w:ilvl w:val="0"/>
          <w:numId w:val="0"/>
        </w:numPr>
        <w:ind w:left="426"/>
        <w:rPr>
          <w:snapToGrid w:val="0"/>
        </w:rPr>
      </w:pPr>
      <w:r>
        <w:rPr>
          <w:snapToGrid w:val="0"/>
        </w:rPr>
        <w:t xml:space="preserve">DOI: 10.1155/2015/940102 </w:t>
      </w:r>
    </w:p>
    <w:p w14:paraId="3F5C33D9">
      <w:pPr>
        <w:pStyle w:val="37"/>
        <w:numPr>
          <w:ilvl w:val="0"/>
          <w:numId w:val="0"/>
        </w:numPr>
        <w:ind w:left="426"/>
        <w:rPr>
          <w:snapToGrid w:val="0"/>
        </w:rPr>
      </w:pPr>
      <w:r>
        <w:rPr>
          <w:snapToGrid w:val="0"/>
        </w:rPr>
        <w:t xml:space="preserve">PMID: 25688371; </w:t>
      </w:r>
    </w:p>
    <w:p w14:paraId="4F3DDEA1">
      <w:pPr>
        <w:pStyle w:val="37"/>
        <w:numPr>
          <w:ilvl w:val="0"/>
          <w:numId w:val="0"/>
        </w:numPr>
        <w:ind w:left="426"/>
        <w:rPr>
          <w:snapToGrid w:val="0"/>
        </w:rPr>
      </w:pPr>
      <w:r>
        <w:rPr>
          <w:snapToGrid w:val="0"/>
        </w:rPr>
        <w:t>PMCid: PMC4320861.</w:t>
      </w:r>
    </w:p>
    <w:p w14:paraId="13929551">
      <w:pPr>
        <w:pStyle w:val="37"/>
        <w:numPr>
          <w:ilvl w:val="0"/>
          <w:numId w:val="1"/>
        </w:numPr>
        <w:ind w:left="426" w:hanging="156"/>
        <w:rPr>
          <w:snapToGrid w:val="0"/>
        </w:rPr>
      </w:pPr>
      <w:r>
        <w:rPr>
          <w:snapToGrid w:val="0"/>
        </w:rPr>
        <w:t xml:space="preserve">X. Jin et al., “CBCT-based volumetric and dosimetric variation evaluation of volumetric modulated arc radiotherapy in the treatment of nasopharyngeal cancer patients,” </w:t>
      </w:r>
      <w:r>
        <w:rPr>
          <w:i/>
          <w:snapToGrid w:val="0"/>
        </w:rPr>
        <w:t>Radiat Oncol.,</w:t>
      </w:r>
      <w:r>
        <w:rPr>
          <w:snapToGrid w:val="0"/>
        </w:rPr>
        <w:t xml:space="preserve"> vol. 1, no.8, pp.279, Dec. 2013. </w:t>
      </w:r>
    </w:p>
    <w:p w14:paraId="7976FB32">
      <w:pPr>
        <w:pStyle w:val="37"/>
        <w:numPr>
          <w:ilvl w:val="0"/>
          <w:numId w:val="0"/>
        </w:numPr>
        <w:ind w:left="426"/>
        <w:rPr>
          <w:snapToGrid w:val="0"/>
        </w:rPr>
      </w:pPr>
      <w:r>
        <w:rPr>
          <w:snapToGrid w:val="0"/>
        </w:rPr>
        <w:t xml:space="preserve">DOI: 10.1186/1748-717X-8-279 </w:t>
      </w:r>
    </w:p>
    <w:p w14:paraId="648FA4E6">
      <w:pPr>
        <w:pStyle w:val="37"/>
        <w:numPr>
          <w:ilvl w:val="0"/>
          <w:numId w:val="0"/>
        </w:numPr>
        <w:ind w:left="426"/>
        <w:rPr>
          <w:snapToGrid w:val="0"/>
        </w:rPr>
      </w:pPr>
      <w:r>
        <w:rPr>
          <w:snapToGrid w:val="0"/>
        </w:rPr>
        <w:t xml:space="preserve">PMid: 24289312 </w:t>
      </w:r>
    </w:p>
    <w:p w14:paraId="75B5EF95">
      <w:pPr>
        <w:pStyle w:val="37"/>
        <w:numPr>
          <w:ilvl w:val="0"/>
          <w:numId w:val="0"/>
        </w:numPr>
        <w:ind w:left="426"/>
        <w:rPr>
          <w:snapToGrid w:val="0"/>
        </w:rPr>
      </w:pPr>
      <w:r>
        <w:rPr>
          <w:snapToGrid w:val="0"/>
        </w:rPr>
        <w:t>PMCid: PMC4222038</w:t>
      </w:r>
    </w:p>
    <w:p w14:paraId="5FB513C6">
      <w:pPr>
        <w:pStyle w:val="37"/>
        <w:numPr>
          <w:ilvl w:val="0"/>
          <w:numId w:val="1"/>
        </w:numPr>
        <w:ind w:left="426" w:hanging="156"/>
        <w:rPr>
          <w:snapToGrid w:val="0"/>
        </w:rPr>
      </w:pPr>
      <w:r>
        <w:rPr>
          <w:snapToGrid w:val="0"/>
        </w:rPr>
        <w:t xml:space="preserve">J. M. Park, H. G. Wu, H. J. Kim, C. H. Choi, J. I. Kim “Comparison of treatment plans between IMRT with MR-linac and VMAT for lung SABR,” </w:t>
      </w:r>
      <w:r>
        <w:rPr>
          <w:i/>
          <w:snapToGrid w:val="0"/>
        </w:rPr>
        <w:t>Radiat Oncol.</w:t>
      </w:r>
      <w:r>
        <w:rPr>
          <w:snapToGrid w:val="0"/>
        </w:rPr>
        <w:t xml:space="preserve"> 13;14(1):105, Jun. 2013. </w:t>
      </w:r>
    </w:p>
    <w:p w14:paraId="40C47B74">
      <w:pPr>
        <w:pStyle w:val="37"/>
        <w:numPr>
          <w:ilvl w:val="0"/>
          <w:numId w:val="0"/>
        </w:numPr>
        <w:ind w:left="426"/>
        <w:rPr>
          <w:snapToGrid w:val="0"/>
        </w:rPr>
      </w:pPr>
      <w:r>
        <w:rPr>
          <w:snapToGrid w:val="0"/>
        </w:rPr>
        <w:t>DOI: 10.1186/s13014-019-1314-0</w:t>
      </w:r>
    </w:p>
    <w:p w14:paraId="4CC0F9E4">
      <w:pPr>
        <w:pStyle w:val="37"/>
        <w:numPr>
          <w:ilvl w:val="0"/>
          <w:numId w:val="0"/>
        </w:numPr>
        <w:ind w:left="426"/>
        <w:rPr>
          <w:snapToGrid w:val="0"/>
        </w:rPr>
      </w:pPr>
      <w:r>
        <w:rPr>
          <w:snapToGrid w:val="0"/>
        </w:rPr>
        <w:t>PMid: 31196120</w:t>
      </w:r>
    </w:p>
    <w:p w14:paraId="223F771F">
      <w:pPr>
        <w:pStyle w:val="37"/>
        <w:numPr>
          <w:ilvl w:val="0"/>
          <w:numId w:val="0"/>
        </w:numPr>
        <w:ind w:left="426"/>
        <w:rPr>
          <w:snapToGrid w:val="0"/>
        </w:rPr>
      </w:pPr>
      <w:r>
        <w:rPr>
          <w:snapToGrid w:val="0"/>
        </w:rPr>
        <w:t>PMCid: PMC6567463</w:t>
      </w:r>
    </w:p>
    <w:p w14:paraId="77C9AB30">
      <w:pPr>
        <w:pStyle w:val="37"/>
        <w:numPr>
          <w:ilvl w:val="0"/>
          <w:numId w:val="1"/>
        </w:numPr>
        <w:ind w:left="426" w:hanging="156"/>
        <w:rPr>
          <w:snapToGrid w:val="0"/>
        </w:rPr>
      </w:pPr>
      <w:r>
        <w:rPr>
          <w:snapToGrid w:val="0"/>
        </w:rPr>
        <w:t xml:space="preserve">E. E. Klein et al., “Task Group 142 report: Quality assurance of medical accelerators,” </w:t>
      </w:r>
      <w:r>
        <w:rPr>
          <w:i/>
          <w:snapToGrid w:val="0"/>
        </w:rPr>
        <w:t>Med. Phys.</w:t>
      </w:r>
      <w:r>
        <w:rPr>
          <w:snapToGrid w:val="0"/>
        </w:rPr>
        <w:t xml:space="preserve"> vol. 36, pp. 4197-4212, 2009.  </w:t>
      </w:r>
    </w:p>
    <w:p w14:paraId="0EB942DB">
      <w:pPr>
        <w:pStyle w:val="37"/>
        <w:numPr>
          <w:ilvl w:val="0"/>
          <w:numId w:val="0"/>
        </w:numPr>
        <w:ind w:left="426"/>
        <w:rPr>
          <w:snapToGrid w:val="0"/>
        </w:rPr>
      </w:pPr>
      <w:r>
        <w:rPr>
          <w:snapToGrid w:val="0"/>
        </w:rPr>
        <w:t>DOI:10.1118/1.3190392</w:t>
      </w:r>
    </w:p>
    <w:p w14:paraId="74468D1E">
      <w:pPr>
        <w:pStyle w:val="37"/>
        <w:numPr>
          <w:ilvl w:val="0"/>
          <w:numId w:val="1"/>
        </w:numPr>
        <w:ind w:left="426" w:hanging="156"/>
        <w:rPr>
          <w:snapToGrid w:val="0"/>
        </w:rPr>
      </w:pPr>
      <w:r>
        <w:rPr>
          <w:snapToGrid w:val="0"/>
        </w:rPr>
        <w:t xml:space="preserve">J. Hanley et al., “AAPM Task Group 198 Report: An implementation guide for TG 142 quality assurance of medical accelerators,” </w:t>
      </w:r>
      <w:r>
        <w:rPr>
          <w:i/>
          <w:snapToGrid w:val="0"/>
        </w:rPr>
        <w:t>Med Phys.</w:t>
      </w:r>
      <w:r>
        <w:rPr>
          <w:snapToGrid w:val="0"/>
        </w:rPr>
        <w:t xml:space="preserve"> vol. 48, pp. e830– e885, 2021. </w:t>
      </w:r>
    </w:p>
    <w:p w14:paraId="51A0B5A1">
      <w:pPr>
        <w:pStyle w:val="37"/>
        <w:numPr>
          <w:ilvl w:val="0"/>
          <w:numId w:val="0"/>
        </w:numPr>
        <w:ind w:left="426"/>
        <w:rPr>
          <w:snapToGrid w:val="0"/>
        </w:rPr>
      </w:pPr>
      <w:r>
        <w:rPr>
          <w:snapToGrid w:val="0"/>
        </w:rPr>
        <w:t>DOI:10.1002/mp.14992</w:t>
      </w:r>
    </w:p>
    <w:p w14:paraId="1D64B38A">
      <w:pPr>
        <w:pStyle w:val="37"/>
        <w:numPr>
          <w:ilvl w:val="0"/>
          <w:numId w:val="1"/>
        </w:numPr>
        <w:ind w:left="426" w:hanging="156"/>
        <w:rPr>
          <w:snapToGrid w:val="0"/>
        </w:rPr>
      </w:pPr>
      <w:r>
        <w:rPr>
          <w:snapToGrid w:val="0"/>
        </w:rPr>
        <w:t xml:space="preserve">M. Miften et al., “Tolerance limits and methodologies for IMRT measurement-based verification QA: Recommendations of AAPM Task Group No. 218,” </w:t>
      </w:r>
      <w:r>
        <w:rPr>
          <w:i/>
          <w:snapToGrid w:val="0"/>
        </w:rPr>
        <w:t>Med. Phys.</w:t>
      </w:r>
      <w:r>
        <w:rPr>
          <w:snapToGrid w:val="0"/>
        </w:rPr>
        <w:t xml:space="preserve"> vol.45, pp. e53-e83, 2018.</w:t>
      </w:r>
    </w:p>
    <w:p w14:paraId="3B4864A3">
      <w:pPr>
        <w:pStyle w:val="37"/>
        <w:numPr>
          <w:ilvl w:val="0"/>
          <w:numId w:val="0"/>
        </w:numPr>
        <w:ind w:left="426"/>
        <w:rPr>
          <w:snapToGrid w:val="0"/>
        </w:rPr>
      </w:pPr>
      <w:r>
        <w:rPr>
          <w:snapToGrid w:val="0"/>
        </w:rPr>
        <w:t>DOI: 10.1002/mp.12810</w:t>
      </w:r>
    </w:p>
    <w:p w14:paraId="6349A132">
      <w:pPr>
        <w:pStyle w:val="37"/>
        <w:numPr>
          <w:ilvl w:val="0"/>
          <w:numId w:val="1"/>
        </w:numPr>
        <w:ind w:left="426" w:hanging="156"/>
        <w:rPr>
          <w:snapToGrid w:val="0"/>
        </w:rPr>
      </w:pPr>
      <w:r>
        <w:rPr>
          <w:snapToGrid w:val="0"/>
        </w:rPr>
        <w:t xml:space="preserve">T. C. Zhu et al., “Report of AAPM Task Group 219 on independent calculation-based dose/MU verification for IMRT,” </w:t>
      </w:r>
      <w:r>
        <w:rPr>
          <w:i/>
          <w:snapToGrid w:val="0"/>
        </w:rPr>
        <w:t>Med Phys.</w:t>
      </w:r>
      <w:r>
        <w:rPr>
          <w:snapToGrid w:val="0"/>
        </w:rPr>
        <w:t xml:space="preserve"> vol. 48, no. 10, pp. e808-e829, Oct. 2021. </w:t>
      </w:r>
    </w:p>
    <w:p w14:paraId="1AB9EF28">
      <w:pPr>
        <w:pStyle w:val="37"/>
        <w:numPr>
          <w:ilvl w:val="0"/>
          <w:numId w:val="0"/>
        </w:numPr>
        <w:ind w:left="426"/>
        <w:rPr>
          <w:snapToGrid w:val="0"/>
        </w:rPr>
      </w:pPr>
      <w:r>
        <w:rPr>
          <w:snapToGrid w:val="0"/>
        </w:rPr>
        <w:t>DOI: 10.1002/mp.15069</w:t>
      </w:r>
    </w:p>
    <w:p w14:paraId="6A188BE6">
      <w:pPr>
        <w:pStyle w:val="37"/>
        <w:numPr>
          <w:ilvl w:val="0"/>
          <w:numId w:val="0"/>
        </w:numPr>
        <w:ind w:left="426"/>
        <w:rPr>
          <w:snapToGrid w:val="0"/>
        </w:rPr>
      </w:pPr>
      <w:r>
        <w:rPr>
          <w:snapToGrid w:val="0"/>
        </w:rPr>
        <w:t>PMid: 34213772</w:t>
      </w:r>
    </w:p>
    <w:p w14:paraId="4ABBE380">
      <w:pPr>
        <w:pStyle w:val="37"/>
        <w:numPr>
          <w:ilvl w:val="0"/>
          <w:numId w:val="1"/>
        </w:numPr>
        <w:ind w:left="426" w:hanging="156"/>
        <w:rPr>
          <w:snapToGrid w:val="0"/>
        </w:rPr>
      </w:pPr>
      <w:r>
        <w:rPr>
          <w:snapToGrid w:val="0"/>
        </w:rPr>
        <w:t>P. Kazantsev et al.,”IAEA methodology for on-site end-to-end IMRT/VMAT audits an international pilot study,” Acta Oncol., vol.59, pp.141-148, 2020.</w:t>
      </w:r>
    </w:p>
    <w:p w14:paraId="25138363">
      <w:pPr>
        <w:pStyle w:val="37"/>
        <w:numPr>
          <w:ilvl w:val="0"/>
          <w:numId w:val="1"/>
        </w:numPr>
        <w:ind w:left="426" w:hanging="156"/>
        <w:rPr>
          <w:snapToGrid w:val="0"/>
        </w:rPr>
      </w:pPr>
      <w:r>
        <w:rPr>
          <w:snapToGrid w:val="0"/>
        </w:rPr>
        <w:t xml:space="preserve">P. Wesolowska et al., “Testing the methodology for a dosimetric end-to-end audit of IMRT/VMAT: results of IAEA multicentre and national studies,” </w:t>
      </w:r>
      <w:r>
        <w:rPr>
          <w:i/>
          <w:snapToGrid w:val="0"/>
        </w:rPr>
        <w:t>Acta Oncol.,</w:t>
      </w:r>
      <w:r>
        <w:rPr>
          <w:snapToGrid w:val="0"/>
        </w:rPr>
        <w:t xml:space="preserve"> vol. 58, no. 12, pp.1731-1739, Dec. 2019. </w:t>
      </w:r>
    </w:p>
    <w:p w14:paraId="78A4374A">
      <w:pPr>
        <w:pStyle w:val="37"/>
        <w:numPr>
          <w:ilvl w:val="0"/>
          <w:numId w:val="0"/>
        </w:numPr>
        <w:ind w:left="426"/>
        <w:rPr>
          <w:snapToGrid w:val="0"/>
        </w:rPr>
      </w:pPr>
      <w:r>
        <w:rPr>
          <w:snapToGrid w:val="0"/>
        </w:rPr>
        <w:t>DOI: 10.1080/0284186X.2019.1648859</w:t>
      </w:r>
    </w:p>
    <w:p w14:paraId="4EEA1947">
      <w:pPr>
        <w:pStyle w:val="37"/>
        <w:numPr>
          <w:ilvl w:val="0"/>
          <w:numId w:val="0"/>
        </w:numPr>
        <w:ind w:left="426"/>
        <w:rPr>
          <w:snapToGrid w:val="0"/>
        </w:rPr>
      </w:pPr>
      <w:r>
        <w:rPr>
          <w:snapToGrid w:val="0"/>
        </w:rPr>
        <w:t>PMid: 31423867</w:t>
      </w:r>
    </w:p>
    <w:p w14:paraId="05D89B54">
      <w:pPr>
        <w:pStyle w:val="37"/>
        <w:numPr>
          <w:ilvl w:val="0"/>
          <w:numId w:val="1"/>
        </w:numPr>
        <w:tabs>
          <w:tab w:val="left" w:pos="450"/>
          <w:tab w:val="clear" w:pos="624"/>
        </w:tabs>
        <w:ind w:left="450" w:hanging="180"/>
        <w:rPr>
          <w:snapToGrid w:val="0"/>
        </w:rPr>
      </w:pPr>
      <w:r>
        <w:rPr>
          <w:snapToGrid w:val="0"/>
        </w:rPr>
        <w:t xml:space="preserve">T. Santos et al., “IMRT national audit in Portugal,” </w:t>
      </w:r>
      <w:r>
        <w:rPr>
          <w:i/>
          <w:snapToGrid w:val="0"/>
        </w:rPr>
        <w:t>Phys Med.,</w:t>
      </w:r>
      <w:r>
        <w:rPr>
          <w:snapToGrid w:val="0"/>
        </w:rPr>
        <w:t xml:space="preserve"> vol.65, pp. 128-136, Sep.</w:t>
      </w:r>
      <w:r>
        <w:t xml:space="preserve"> </w:t>
      </w:r>
      <w:r>
        <w:rPr>
          <w:snapToGrid w:val="0"/>
        </w:rPr>
        <w:t xml:space="preserve">2019.  </w:t>
      </w:r>
    </w:p>
    <w:p w14:paraId="61CB9385">
      <w:pPr>
        <w:pStyle w:val="37"/>
        <w:numPr>
          <w:ilvl w:val="0"/>
          <w:numId w:val="0"/>
        </w:numPr>
        <w:ind w:left="426"/>
        <w:rPr>
          <w:snapToGrid w:val="0"/>
        </w:rPr>
      </w:pPr>
      <w:r>
        <w:rPr>
          <w:snapToGrid w:val="0"/>
        </w:rPr>
        <w:t>DOI: 10.1016/j.ejmp.2019.08.013</w:t>
      </w:r>
    </w:p>
    <w:p w14:paraId="59E74363">
      <w:pPr>
        <w:pStyle w:val="37"/>
        <w:numPr>
          <w:ilvl w:val="0"/>
          <w:numId w:val="0"/>
        </w:numPr>
        <w:ind w:left="426"/>
        <w:rPr>
          <w:snapToGrid w:val="0"/>
        </w:rPr>
      </w:pPr>
      <w:r>
        <w:rPr>
          <w:snapToGrid w:val="0"/>
        </w:rPr>
        <w:t>PMid: 31450123</w:t>
      </w:r>
    </w:p>
    <w:p w14:paraId="1811004A">
      <w:pPr>
        <w:pStyle w:val="37"/>
        <w:numPr>
          <w:ilvl w:val="0"/>
          <w:numId w:val="1"/>
        </w:numPr>
        <w:ind w:left="426" w:hanging="156"/>
        <w:rPr>
          <w:snapToGrid w:val="0"/>
        </w:rPr>
      </w:pPr>
      <w:r>
        <w:rPr>
          <w:snapToGrid w:val="0"/>
        </w:rPr>
        <w:t xml:space="preserve">L. Tuntipumiamorn et al.,”Multi-institutional evaluation using the end-to-end test for implementation of dynamic techniques of radiation therapy in Thailand,” </w:t>
      </w:r>
      <w:r>
        <w:rPr>
          <w:i/>
          <w:snapToGrid w:val="0"/>
        </w:rPr>
        <w:t xml:space="preserve">Rep Pract Oncol Radiother., </w:t>
      </w:r>
      <w:r>
        <w:rPr>
          <w:snapToGrid w:val="0"/>
        </w:rPr>
        <w:t xml:space="preserve">vol. 24, no. 1, pp. 124-132, Jan-Feb. 2019. </w:t>
      </w:r>
    </w:p>
    <w:p w14:paraId="5F44C9C2">
      <w:pPr>
        <w:pStyle w:val="37"/>
        <w:numPr>
          <w:ilvl w:val="0"/>
          <w:numId w:val="0"/>
        </w:numPr>
        <w:ind w:left="426"/>
        <w:rPr>
          <w:snapToGrid w:val="0"/>
        </w:rPr>
      </w:pPr>
      <w:r>
        <w:rPr>
          <w:snapToGrid w:val="0"/>
        </w:rPr>
        <w:t>DOI: 10.1016/j.rpor.2018.11.005</w:t>
      </w:r>
    </w:p>
    <w:p w14:paraId="6CFCFE20">
      <w:pPr>
        <w:pStyle w:val="37"/>
        <w:numPr>
          <w:ilvl w:val="0"/>
          <w:numId w:val="0"/>
        </w:numPr>
        <w:ind w:left="426"/>
        <w:rPr>
          <w:snapToGrid w:val="0"/>
        </w:rPr>
      </w:pPr>
      <w:r>
        <w:rPr>
          <w:snapToGrid w:val="0"/>
        </w:rPr>
        <w:t>PMid: 30532660</w:t>
      </w:r>
    </w:p>
    <w:p w14:paraId="40AE0BFC">
      <w:pPr>
        <w:pStyle w:val="37"/>
        <w:numPr>
          <w:ilvl w:val="0"/>
          <w:numId w:val="0"/>
        </w:numPr>
        <w:ind w:left="426"/>
        <w:rPr>
          <w:snapToGrid w:val="0"/>
        </w:rPr>
      </w:pPr>
      <w:r>
        <w:rPr>
          <w:snapToGrid w:val="0"/>
        </w:rPr>
        <w:t>PMCid: PMC6265520</w:t>
      </w:r>
    </w:p>
    <w:p w14:paraId="700E8DD9">
      <w:pPr>
        <w:pStyle w:val="37"/>
        <w:numPr>
          <w:ilvl w:val="0"/>
          <w:numId w:val="1"/>
        </w:numPr>
        <w:ind w:left="426" w:hanging="156"/>
        <w:rPr>
          <w:snapToGrid w:val="0"/>
        </w:rPr>
      </w:pPr>
      <w:r>
        <w:rPr>
          <w:snapToGrid w:val="0"/>
        </w:rPr>
        <w:t xml:space="preserve">H. Schiefer  et al., ”The Swiss IMRT dosimetry intercomparison using a thorax phantom,” </w:t>
      </w:r>
      <w:r>
        <w:rPr>
          <w:i/>
          <w:snapToGrid w:val="0"/>
        </w:rPr>
        <w:t xml:space="preserve">Med Phys., </w:t>
      </w:r>
      <w:r>
        <w:rPr>
          <w:snapToGrid w:val="0"/>
        </w:rPr>
        <w:t xml:space="preserve">vol. 37, no. 8, pp. 4424-31, Aug. 2010. </w:t>
      </w:r>
    </w:p>
    <w:p w14:paraId="7964ACB9">
      <w:pPr>
        <w:pStyle w:val="37"/>
        <w:numPr>
          <w:ilvl w:val="0"/>
          <w:numId w:val="0"/>
        </w:numPr>
        <w:ind w:left="426"/>
        <w:rPr>
          <w:snapToGrid w:val="0"/>
        </w:rPr>
      </w:pPr>
      <w:r>
        <w:rPr>
          <w:snapToGrid w:val="0"/>
        </w:rPr>
        <w:t>DOI: 10.1118/1.3460795</w:t>
      </w:r>
    </w:p>
    <w:p w14:paraId="26432ED1">
      <w:pPr>
        <w:pStyle w:val="37"/>
        <w:numPr>
          <w:ilvl w:val="0"/>
          <w:numId w:val="0"/>
        </w:numPr>
        <w:ind w:left="426"/>
        <w:rPr>
          <w:snapToGrid w:val="0"/>
        </w:rPr>
      </w:pPr>
      <w:r>
        <w:rPr>
          <w:snapToGrid w:val="0"/>
        </w:rPr>
        <w:t>PMid: 20879601</w:t>
      </w:r>
    </w:p>
    <w:p w14:paraId="7A67DA45">
      <w:pPr>
        <w:pStyle w:val="37"/>
        <w:numPr>
          <w:ilvl w:val="0"/>
          <w:numId w:val="1"/>
        </w:numPr>
        <w:ind w:left="426" w:hanging="156"/>
        <w:rPr>
          <w:snapToGrid w:val="0"/>
        </w:rPr>
      </w:pPr>
      <w:r>
        <w:rPr>
          <w:snapToGrid w:val="0"/>
        </w:rPr>
        <w:t xml:space="preserve">D. S. Radojcic et al.,”Experimental validation of Monte Carlo based treatment planning system in bone density equivalent media,” </w:t>
      </w:r>
      <w:r>
        <w:rPr>
          <w:i/>
          <w:snapToGrid w:val="0"/>
        </w:rPr>
        <w:t xml:space="preserve">Radiol Oncol., </w:t>
      </w:r>
      <w:r>
        <w:rPr>
          <w:snapToGrid w:val="0"/>
        </w:rPr>
        <w:t xml:space="preserve">vol. 54, no. 4, pp. 495-504, Sep. 2020. </w:t>
      </w:r>
    </w:p>
    <w:p w14:paraId="7D2D7ACE">
      <w:pPr>
        <w:pStyle w:val="37"/>
        <w:numPr>
          <w:ilvl w:val="0"/>
          <w:numId w:val="0"/>
        </w:numPr>
        <w:ind w:left="426"/>
        <w:rPr>
          <w:snapToGrid w:val="0"/>
        </w:rPr>
      </w:pPr>
      <w:r>
        <w:rPr>
          <w:snapToGrid w:val="0"/>
        </w:rPr>
        <w:t xml:space="preserve">DOI: 10.2478/raon-2020-0051 </w:t>
      </w:r>
    </w:p>
    <w:p w14:paraId="54CD26D9">
      <w:pPr>
        <w:pStyle w:val="37"/>
        <w:numPr>
          <w:ilvl w:val="0"/>
          <w:numId w:val="0"/>
        </w:numPr>
        <w:ind w:left="426"/>
        <w:rPr>
          <w:snapToGrid w:val="0"/>
        </w:rPr>
      </w:pPr>
      <w:r>
        <w:rPr>
          <w:snapToGrid w:val="0"/>
        </w:rPr>
        <w:t xml:space="preserve">PMid: 32936784 </w:t>
      </w:r>
    </w:p>
    <w:p w14:paraId="5D582FF7">
      <w:pPr>
        <w:pStyle w:val="37"/>
        <w:numPr>
          <w:ilvl w:val="0"/>
          <w:numId w:val="0"/>
        </w:numPr>
        <w:ind w:left="426"/>
        <w:rPr>
          <w:snapToGrid w:val="0"/>
        </w:rPr>
      </w:pPr>
      <w:r>
        <w:rPr>
          <w:snapToGrid w:val="0"/>
        </w:rPr>
        <w:t>PMCid: PMC7585341</w:t>
      </w:r>
    </w:p>
    <w:p w14:paraId="1B350E78">
      <w:pPr>
        <w:pStyle w:val="37"/>
        <w:numPr>
          <w:ilvl w:val="0"/>
          <w:numId w:val="1"/>
        </w:numPr>
        <w:tabs>
          <w:tab w:val="left" w:pos="450"/>
          <w:tab w:val="clear" w:pos="624"/>
        </w:tabs>
        <w:ind w:left="450" w:hanging="180"/>
        <w:rPr>
          <w:snapToGrid w:val="0"/>
        </w:rPr>
      </w:pPr>
      <w:r>
        <w:rPr>
          <w:rFonts w:cs="Calibri"/>
          <w:szCs w:val="24"/>
        </w:rPr>
        <w:t xml:space="preserve">E. Gershkevitsh et al., “Dosimetric inter-institutional comparison in European radiotherapy centres: Results of IAEA supported treatment planning system audit,” </w:t>
      </w:r>
      <w:r>
        <w:rPr>
          <w:rFonts w:cs="Calibri"/>
          <w:i/>
          <w:szCs w:val="24"/>
        </w:rPr>
        <w:t>Acta Oncol.</w:t>
      </w:r>
      <w:r>
        <w:rPr>
          <w:rFonts w:cs="Calibri"/>
          <w:szCs w:val="24"/>
        </w:rPr>
        <w:t xml:space="preserve"> vol. 53, no. 5, pp. 628-36, May. 2014. </w:t>
      </w:r>
    </w:p>
    <w:p w14:paraId="5D78CF1C">
      <w:pPr>
        <w:pStyle w:val="37"/>
        <w:numPr>
          <w:ilvl w:val="0"/>
          <w:numId w:val="0"/>
        </w:numPr>
        <w:ind w:left="450"/>
        <w:rPr>
          <w:rFonts w:cs="Calibri"/>
          <w:szCs w:val="24"/>
        </w:rPr>
      </w:pPr>
      <w:r>
        <w:rPr>
          <w:rFonts w:cs="Calibri"/>
          <w:szCs w:val="24"/>
        </w:rPr>
        <w:t>DOI: 10.3109/0284186X.2013.840742</w:t>
      </w:r>
    </w:p>
    <w:p w14:paraId="7EAE43E1">
      <w:pPr>
        <w:pStyle w:val="37"/>
        <w:numPr>
          <w:ilvl w:val="0"/>
          <w:numId w:val="0"/>
        </w:numPr>
        <w:ind w:left="450"/>
        <w:rPr>
          <w:rFonts w:cs="Calibri"/>
          <w:szCs w:val="24"/>
        </w:rPr>
      </w:pPr>
      <w:r>
        <w:rPr>
          <w:rFonts w:cs="Calibri"/>
          <w:szCs w:val="24"/>
        </w:rPr>
        <w:t>PMid: 24164104</w:t>
      </w:r>
    </w:p>
    <w:p w14:paraId="728DF9DF">
      <w:pPr>
        <w:pStyle w:val="37"/>
        <w:numPr>
          <w:ilvl w:val="0"/>
          <w:numId w:val="0"/>
        </w:numPr>
        <w:ind w:left="426"/>
      </w:pPr>
    </w:p>
    <w:p w14:paraId="4BB7D892">
      <w:pPr>
        <w:pStyle w:val="60"/>
        <w:numPr>
          <w:ilvl w:val="0"/>
          <w:numId w:val="0"/>
        </w:numPr>
        <w:ind w:left="142"/>
      </w:pPr>
    </w:p>
    <w:p w14:paraId="66FC3CEB">
      <w:pPr>
        <w:pStyle w:val="60"/>
        <w:numPr>
          <w:ilvl w:val="0"/>
          <w:numId w:val="0"/>
        </w:numPr>
        <w:ind w:left="142"/>
        <w:sectPr>
          <w:type w:val="continuous"/>
          <w:pgSz w:w="11909" w:h="16834"/>
          <w:pgMar w:top="1134" w:right="1134" w:bottom="1276" w:left="1418" w:header="993" w:footer="1005" w:gutter="0"/>
          <w:paperSrc w:first="7" w:other="7"/>
          <w:pgNumType w:start="4"/>
          <w:cols w:space="567" w:num="2"/>
          <w:titlePg/>
          <w:docGrid w:linePitch="272" w:charSpace="0"/>
        </w:sectPr>
      </w:pPr>
    </w:p>
    <w:p w14:paraId="75B9E214">
      <w:pPr>
        <w:pStyle w:val="4"/>
        <w:jc w:val="both"/>
        <w:rPr>
          <w:snapToGrid w:val="0"/>
        </w:rPr>
      </w:pPr>
    </w:p>
    <w:sectPr>
      <w:type w:val="continuous"/>
      <w:pgSz w:w="11909" w:h="16834"/>
      <w:pgMar w:top="1418" w:right="1134" w:bottom="1418" w:left="1701" w:header="1418" w:footer="1418" w:gutter="0"/>
      <w:paperSrc w:first="32" w:other="32"/>
      <w:pgNumType w:start="1"/>
      <w:cols w:equalWidth="0" w:num="2">
        <w:col w:w="4177" w:space="720"/>
        <w:col w:w="4177"/>
      </w:cols>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ndara">
    <w:panose1 w:val="020E0502030303020204"/>
    <w:charset w:val="00"/>
    <w:family w:val="swiss"/>
    <w:pitch w:val="default"/>
    <w:sig w:usb0="A00002EF" w:usb1="4000A44B" w:usb2="00000000" w:usb3="00000000" w:csb0="2000019F" w:csb1="00000000"/>
  </w:font>
  <w:font w:name="Georgia">
    <w:panose1 w:val="02040502050405020303"/>
    <w:charset w:val="00"/>
    <w:family w:val="roman"/>
    <w:pitch w:val="default"/>
    <w:sig w:usb0="00000287" w:usb1="00000000" w:usb2="00000000" w:usb3="00000000" w:csb0="2000009F" w:csb1="00000000"/>
  </w:font>
  <w:font w:name="TimesRoman">
    <w:altName w:val="Times New Roman"/>
    <w:panose1 w:val="00000000000000000000"/>
    <w:charset w:val="00"/>
    <w:family w:val="auto"/>
    <w:pitch w:val="default"/>
    <w:sig w:usb0="00000000" w:usb1="00000000" w:usb2="00000000" w:usb3="00000000" w:csb0="00000009" w:csb1="00000000"/>
  </w:font>
  <w:font w:name="CTimesRoman">
    <w:altName w:val="Times New Roman"/>
    <w:panose1 w:val="00000000000000000000"/>
    <w:charset w:val="00"/>
    <w:family w:val="auto"/>
    <w:pitch w:val="default"/>
    <w:sig w:usb0="00000000" w:usb1="00000000" w:usb2="00000000" w:usb3="00000000" w:csb0="00000009" w:csb1="00000000"/>
  </w:font>
  <w:font w:name="Tahoma">
    <w:panose1 w:val="020B0604030504040204"/>
    <w:charset w:val="00"/>
    <w:family w:val="swiss"/>
    <w:pitch w:val="default"/>
    <w:sig w:usb0="E1002EFF" w:usb1="C000605B" w:usb2="00000029" w:usb3="00000000" w:csb0="200101FF" w:csb1="20280000"/>
  </w:font>
  <w:font w:name="等线">
    <w:altName w:val="Arial Unicode MS"/>
    <w:panose1 w:val="00000000000000000000"/>
    <w:charset w:val="00"/>
    <w:family w:val="auto"/>
    <w:pitch w:val="default"/>
    <w:sig w:usb0="00000000" w:usb1="00000000" w:usb2="00000000" w:usb3="00000000" w:csb0="00000000" w:csb1="00000000"/>
  </w:font>
  <w:font w:name="MS PGothic">
    <w:panose1 w:val="020B0600070205080204"/>
    <w:charset w:val="80"/>
    <w:family w:val="auto"/>
    <w:pitch w:val="default"/>
    <w:sig w:usb0="E00002FF" w:usb1="6AC7FDFB" w:usb2="08000012" w:usb3="00000000" w:csb0="4002009F" w:csb1="DFD7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82252">
    <w:pPr>
      <w:pStyle w:val="21"/>
      <w:framePr w:wrap="around" w:vAnchor="text" w:hAnchor="margin" w:xAlign="outside" w:y="1"/>
      <w:rPr>
        <w:rStyle w:val="26"/>
      </w:rPr>
    </w:pPr>
    <w:r>
      <w:rPr>
        <w:rStyle w:val="26"/>
      </w:rPr>
      <w:fldChar w:fldCharType="begin"/>
    </w:r>
    <w:r>
      <w:rPr>
        <w:rStyle w:val="26"/>
      </w:rPr>
      <w:instrText xml:space="preserve">PAGE  </w:instrText>
    </w:r>
    <w:r>
      <w:rPr>
        <w:rStyle w:val="26"/>
      </w:rPr>
      <w:fldChar w:fldCharType="separate"/>
    </w:r>
    <w:r>
      <w:rPr>
        <w:rStyle w:val="26"/>
      </w:rPr>
      <w:t>3</w:t>
    </w:r>
    <w:r>
      <w:rPr>
        <w:rStyle w:val="26"/>
      </w:rPr>
      <w:fldChar w:fldCharType="end"/>
    </w:r>
  </w:p>
  <w:p w14:paraId="36098C51">
    <w:pPr>
      <w:pStyle w:val="2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9F0402">
    <w:pPr>
      <w:pStyle w:val="21"/>
      <w:framePr w:wrap="around" w:vAnchor="text" w:hAnchor="margin" w:xAlign="outside" w:y="1"/>
      <w:rPr>
        <w:rStyle w:val="26"/>
      </w:rPr>
    </w:pPr>
    <w:r>
      <w:rPr>
        <w:rStyle w:val="26"/>
      </w:rPr>
      <w:fldChar w:fldCharType="begin"/>
    </w:r>
    <w:r>
      <w:rPr>
        <w:rStyle w:val="26"/>
      </w:rPr>
      <w:instrText xml:space="preserve">PAGE  </w:instrText>
    </w:r>
    <w:r>
      <w:rPr>
        <w:rStyle w:val="26"/>
      </w:rPr>
      <w:fldChar w:fldCharType="separate"/>
    </w:r>
    <w:r>
      <w:rPr>
        <w:rStyle w:val="26"/>
      </w:rPr>
      <w:t>2</w:t>
    </w:r>
    <w:r>
      <w:rPr>
        <w:rStyle w:val="26"/>
      </w:rPr>
      <w:fldChar w:fldCharType="end"/>
    </w:r>
  </w:p>
  <w:p w14:paraId="3669AFFF">
    <w:pPr>
      <w:pStyle w:val="21"/>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2F96F">
    <w:pPr>
      <w:pStyle w:val="21"/>
      <w:framePr w:wrap="around" w:vAnchor="text" w:hAnchor="margin" w:xAlign="outside" w:y="1"/>
      <w:rPr>
        <w:rStyle w:val="26"/>
      </w:rPr>
    </w:pPr>
    <w:r>
      <w:rPr>
        <w:rStyle w:val="26"/>
      </w:rPr>
      <w:fldChar w:fldCharType="begin"/>
    </w:r>
    <w:r>
      <w:rPr>
        <w:rStyle w:val="26"/>
      </w:rPr>
      <w:instrText xml:space="preserve">PAGE  </w:instrText>
    </w:r>
    <w:r>
      <w:rPr>
        <w:rStyle w:val="26"/>
      </w:rPr>
      <w:fldChar w:fldCharType="separate"/>
    </w:r>
    <w:r>
      <w:rPr>
        <w:rStyle w:val="26"/>
      </w:rPr>
      <w:t>2</w:t>
    </w:r>
    <w:r>
      <w:rPr>
        <w:rStyle w:val="26"/>
      </w:rPr>
      <w:fldChar w:fldCharType="end"/>
    </w:r>
  </w:p>
  <w:p w14:paraId="4267DF55">
    <w:pPr>
      <w:pStyle w:val="21"/>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29EFDE51">
      <w:pPr>
        <w:pStyle w:val="23"/>
        <w:rPr>
          <w:rFonts w:ascii="Georgia" w:hAnsi="Georgia"/>
        </w:rPr>
      </w:pPr>
      <w:r>
        <w:rPr>
          <w:rStyle w:val="22"/>
          <w:rFonts w:ascii="Georgia" w:hAnsi="Georgia"/>
        </w:rPr>
        <w:footnoteRef/>
      </w:r>
      <w:r>
        <w:rPr>
          <w:rFonts w:ascii="Georgia" w:hAnsi="Georgia"/>
        </w:rPr>
        <w:t xml:space="preserve"> </w:t>
      </w:r>
      <w:r>
        <w:fldChar w:fldCharType="begin"/>
      </w:r>
      <w:r>
        <w:instrText xml:space="preserve"> HYPERLINK "mailto:a.dameskapp@gmail.com" </w:instrText>
      </w:r>
      <w:r>
        <w:fldChar w:fldCharType="separate"/>
      </w:r>
      <w:r>
        <w:rPr>
          <w:rStyle w:val="25"/>
          <w:rFonts w:ascii="Georgia" w:hAnsi="Georgia"/>
        </w:rPr>
        <w:t>a.dameskapp@gmail.com</w:t>
      </w:r>
      <w:r>
        <w:rPr>
          <w:rStyle w:val="25"/>
          <w:rFonts w:ascii="Georgia" w:hAnsi="Georgia"/>
        </w:rPr>
        <w:fldChar w:fldCharType="end"/>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B40D8A">
    <w:pPr>
      <w:pStyle w:val="24"/>
      <w:pBdr>
        <w:bottom w:val="single" w:color="808080" w:sz="12" w:space="1"/>
      </w:pBdr>
      <w:jc w:val="right"/>
    </w:pPr>
    <w:r>
      <w:rPr>
        <w:rFonts w:ascii="Candara" w:hAnsi="Candara"/>
        <w:caps w:val="0"/>
      </w:rPr>
      <w:t xml:space="preserve">A. Dameska </w:t>
    </w:r>
    <w:r>
      <w:rPr>
        <w:rFonts w:ascii="Candara" w:hAnsi="Candara"/>
        <w:i/>
        <w:caps w:val="0"/>
      </w:rPr>
      <w:t>et al.</w:t>
    </w:r>
    <w:r>
      <w:rPr>
        <w:rFonts w:ascii="Candara" w:hAnsi="Candara"/>
        <w:caps w:val="0"/>
      </w:rPr>
      <w:t xml:space="preserve">, Evaluating VMAT Delivery Accuracy, </w:t>
    </w:r>
    <w:r>
      <w:rPr>
        <w:rFonts w:ascii="Candara" w:hAnsi="Candara"/>
        <w:i/>
        <w:caps w:val="0"/>
      </w:rPr>
      <w:t>RAP Conf. Proc.</w:t>
    </w:r>
    <w:r>
      <w:rPr>
        <w:rFonts w:ascii="Candara" w:hAnsi="Candara"/>
        <w:caps w:val="0"/>
      </w:rPr>
      <w:t xml:space="preserve">, vol. 8, 2023, </w:t>
    </w:r>
    <w:r>
      <w:rPr>
        <w:rFonts w:hint="default" w:ascii="Candara" w:hAnsi="Candara"/>
        <w:caps w:val="0"/>
        <w:lang w:val="en-US"/>
      </w:rPr>
      <w:t>131-135</w:t>
    </w:r>
  </w:p>
  <w:p w14:paraId="457857C0">
    <w:pPr>
      <w:pStyle w:val="24"/>
      <w:jc w:val="right"/>
      <w:rPr>
        <w:sz w:val="12"/>
        <w:szCs w:val="1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9104C">
    <w:pPr>
      <w:pStyle w:val="24"/>
      <w:pBdr>
        <w:bottom w:val="single" w:color="808080" w:sz="12" w:space="1"/>
      </w:pBdr>
      <w:jc w:val="right"/>
      <w:rPr>
        <w:rFonts w:ascii="Candara" w:hAnsi="Candara"/>
      </w:rPr>
    </w:pPr>
    <w:r>
      <w:rPr>
        <w:rFonts w:ascii="Candara" w:hAnsi="Candara"/>
        <w:caps w:val="0"/>
      </w:rPr>
      <w:t xml:space="preserve">F. Author </w:t>
    </w:r>
    <w:r>
      <w:rPr>
        <w:rFonts w:ascii="Candara" w:hAnsi="Candara"/>
        <w:i/>
        <w:caps w:val="0"/>
      </w:rPr>
      <w:t>et al.</w:t>
    </w:r>
    <w:r>
      <w:rPr>
        <w:rFonts w:ascii="Candara" w:hAnsi="Candara"/>
        <w:caps w:val="0"/>
      </w:rPr>
      <w:t xml:space="preserve">, Short version of the title..., </w:t>
    </w:r>
    <w:r>
      <w:rPr>
        <w:rFonts w:ascii="Candara" w:hAnsi="Candara"/>
        <w:i/>
        <w:caps w:val="0"/>
      </w:rPr>
      <w:t>RAP Conf. Proc.</w:t>
    </w:r>
    <w:r>
      <w:rPr>
        <w:rFonts w:ascii="Candara" w:hAnsi="Candara"/>
        <w:caps w:val="0"/>
      </w:rPr>
      <w:t xml:space="preserve">, vol. 7, 2022, </w:t>
    </w:r>
    <w:r>
      <w:rPr>
        <w:rFonts w:ascii="Candara" w:hAnsi="Candara"/>
        <w:caps w:val="0"/>
        <w:highlight w:val="yellow"/>
      </w:rPr>
      <w:t>1–4</w:t>
    </w:r>
  </w:p>
  <w:p w14:paraId="63032B58">
    <w:pPr>
      <w:pStyle w:val="24"/>
      <w:jc w:val="right"/>
      <w:rPr>
        <w:sz w:val="12"/>
        <w:szCs w:val="1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8"/>
      <w:tblW w:w="9747" w:type="dxa"/>
      <w:tblInd w:w="0" w:type="dxa"/>
      <w:tblLayout w:type="fixed"/>
      <w:tblCellMar>
        <w:top w:w="0" w:type="dxa"/>
        <w:left w:w="108" w:type="dxa"/>
        <w:bottom w:w="0" w:type="dxa"/>
        <w:right w:w="108" w:type="dxa"/>
      </w:tblCellMar>
    </w:tblPr>
    <w:tblGrid>
      <w:gridCol w:w="7025"/>
      <w:gridCol w:w="2722"/>
    </w:tblGrid>
    <w:tr w14:paraId="3F648A76">
      <w:tblPrEx>
        <w:tblCellMar>
          <w:top w:w="0" w:type="dxa"/>
          <w:left w:w="108" w:type="dxa"/>
          <w:bottom w:w="0" w:type="dxa"/>
          <w:right w:w="108" w:type="dxa"/>
        </w:tblCellMar>
      </w:tblPrEx>
      <w:trPr>
        <w:trHeight w:val="991" w:hRule="atLeast"/>
      </w:trPr>
      <w:tc>
        <w:tcPr>
          <w:tcW w:w="7025" w:type="dxa"/>
          <w:shd w:val="clear" w:color="auto" w:fill="auto"/>
          <w:vAlign w:val="bottom"/>
        </w:tcPr>
        <w:p w14:paraId="13101FDB">
          <w:pPr>
            <w:pStyle w:val="4"/>
            <w:ind w:left="0"/>
            <w:rPr>
              <w:rFonts w:ascii="Candara" w:hAnsi="Candara"/>
            </w:rPr>
          </w:pPr>
          <w:r>
            <w:rPr>
              <w:rFonts w:ascii="Candara" w:hAnsi="Candara"/>
              <w:sz w:val="20"/>
            </w:rPr>
            <w:t xml:space="preserve">RAP Conference Proceedings, vol. 8, pp. </w:t>
          </w:r>
          <w:r>
            <w:rPr>
              <w:rFonts w:hint="default" w:ascii="Candara" w:hAnsi="Candara"/>
              <w:sz w:val="20"/>
              <w:lang w:val="en-US"/>
            </w:rPr>
            <w:t>131-135</w:t>
          </w:r>
          <w:r>
            <w:rPr>
              <w:rFonts w:ascii="Candara" w:hAnsi="Candara"/>
              <w:sz w:val="20"/>
            </w:rPr>
            <w:t>, 2023</w:t>
          </w:r>
          <w:r>
            <w:rPr>
              <w:rFonts w:ascii="Candara" w:hAnsi="Candara"/>
              <w:sz w:val="20"/>
            </w:rPr>
            <w:br w:type="textWrapping"/>
          </w:r>
          <w:r>
            <w:rPr>
              <w:rFonts w:ascii="Candara" w:hAnsi="Candara"/>
              <w:sz w:val="20"/>
            </w:rPr>
            <w:t>ISSN 2737-9973 (online) | doi: 10.37392/RapProc.2023.</w:t>
          </w:r>
          <w:r>
            <w:rPr>
              <w:rFonts w:hint="default" w:ascii="Candara" w:hAnsi="Candara"/>
              <w:sz w:val="20"/>
              <w:lang w:val="en-US"/>
            </w:rPr>
            <w:t>27</w:t>
          </w:r>
          <w:r>
            <w:rPr>
              <w:rFonts w:ascii="Candara" w:hAnsi="Candara"/>
              <w:sz w:val="20"/>
            </w:rPr>
            <w:br w:type="textWrapping"/>
          </w:r>
          <w:r>
            <w:fldChar w:fldCharType="begin"/>
          </w:r>
          <w:r>
            <w:instrText xml:space="preserve"> HYPERLINK "http://www.rap-proceedings.org/" </w:instrText>
          </w:r>
          <w:r>
            <w:fldChar w:fldCharType="separate"/>
          </w:r>
          <w:r>
            <w:rPr>
              <w:rStyle w:val="25"/>
              <w:rFonts w:ascii="Candara" w:hAnsi="Candara"/>
              <w:b/>
              <w:color w:val="265DAE"/>
              <w:sz w:val="24"/>
              <w:szCs w:val="24"/>
              <w:u w:val="none"/>
            </w:rPr>
            <w:t>rap-proceedings.org</w:t>
          </w:r>
          <w:r>
            <w:rPr>
              <w:rStyle w:val="25"/>
              <w:rFonts w:ascii="Candara" w:hAnsi="Candara"/>
              <w:b/>
              <w:color w:val="265DAE"/>
              <w:sz w:val="24"/>
              <w:szCs w:val="24"/>
              <w:u w:val="none"/>
            </w:rPr>
            <w:fldChar w:fldCharType="end"/>
          </w:r>
        </w:p>
      </w:tc>
      <w:tc>
        <w:tcPr>
          <w:tcW w:w="2722" w:type="dxa"/>
          <w:shd w:val="clear" w:color="auto" w:fill="auto"/>
        </w:tcPr>
        <w:p w14:paraId="6CA2DF7C">
          <w:pPr>
            <w:pStyle w:val="24"/>
            <w:ind w:right="33"/>
            <w:jc w:val="right"/>
          </w:pPr>
          <w:r>
            <w:drawing>
              <wp:inline distT="0" distB="0" distL="0" distR="0">
                <wp:extent cx="912495" cy="86614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
                          <a:extLst>
                            <a:ext uri="{28A0092B-C50C-407E-A947-70E740481C1C}">
                              <a14:useLocalDpi xmlns:a14="http://schemas.microsoft.com/office/drawing/2010/main" val="0"/>
                            </a:ext>
                          </a:extLst>
                        </a:blip>
                        <a:srcRect l="13468" t="16173" r="14371" b="15284"/>
                        <a:stretch>
                          <a:fillRect/>
                        </a:stretch>
                      </pic:blipFill>
                      <pic:spPr>
                        <a:xfrm>
                          <a:off x="0" y="0"/>
                          <a:ext cx="950957" cy="903286"/>
                        </a:xfrm>
                        <a:prstGeom prst="rect">
                          <a:avLst/>
                        </a:prstGeom>
                        <a:ln>
                          <a:noFill/>
                        </a:ln>
                      </pic:spPr>
                    </pic:pic>
                  </a:graphicData>
                </a:graphic>
              </wp:inline>
            </w:drawing>
          </w:r>
        </w:p>
      </w:tc>
    </w:tr>
  </w:tbl>
  <w:p w14:paraId="0F20B8CC">
    <w:pPr>
      <w:pStyle w:val="24"/>
      <w:tabs>
        <w:tab w:val="right" w:pos="8080"/>
        <w:tab w:val="clear"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9D00DC"/>
    <w:multiLevelType w:val="singleLevel"/>
    <w:tmpl w:val="489D00DC"/>
    <w:lvl w:ilvl="0" w:tentative="0">
      <w:start w:val="1"/>
      <w:numFmt w:val="decimal"/>
      <w:pStyle w:val="37"/>
      <w:lvlText w:val="%1."/>
      <w:lvlJc w:val="right"/>
      <w:pPr>
        <w:tabs>
          <w:tab w:val="left" w:pos="624"/>
        </w:tabs>
        <w:ind w:left="624" w:hanging="340"/>
      </w:pPr>
      <w:rPr>
        <w:rFonts w:hint="default" w:ascii="Georgia" w:hAnsi="Georgia" w:cs="Times New Roman"/>
        <w:b w:val="0"/>
        <w:bCs w:val="0"/>
        <w:i w:val="0"/>
        <w:iCs w:val="0"/>
        <w:sz w:val="16"/>
        <w:szCs w:val="16"/>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357"/>
  <w:characterSpacingControl w:val="doNotCompress"/>
  <w:footnotePr>
    <w:numFmt w:val="chicago"/>
    <w:footnote w:id="2"/>
    <w:footnote w:id="3"/>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344B"/>
    <w:rsid w:val="000208E0"/>
    <w:rsid w:val="00027D0C"/>
    <w:rsid w:val="00032F09"/>
    <w:rsid w:val="000375B5"/>
    <w:rsid w:val="00040F8E"/>
    <w:rsid w:val="00041C70"/>
    <w:rsid w:val="0005363D"/>
    <w:rsid w:val="00062D73"/>
    <w:rsid w:val="00066DA1"/>
    <w:rsid w:val="0007080D"/>
    <w:rsid w:val="000722D8"/>
    <w:rsid w:val="000821E6"/>
    <w:rsid w:val="000971EB"/>
    <w:rsid w:val="000B75EA"/>
    <w:rsid w:val="000D68CD"/>
    <w:rsid w:val="001107DB"/>
    <w:rsid w:val="001325D9"/>
    <w:rsid w:val="0013528A"/>
    <w:rsid w:val="00136F3A"/>
    <w:rsid w:val="0016037C"/>
    <w:rsid w:val="00161A08"/>
    <w:rsid w:val="00181C86"/>
    <w:rsid w:val="001A1BD2"/>
    <w:rsid w:val="001B39FF"/>
    <w:rsid w:val="001B3C38"/>
    <w:rsid w:val="001B4C48"/>
    <w:rsid w:val="001C7E7C"/>
    <w:rsid w:val="001C7ECE"/>
    <w:rsid w:val="001D2C93"/>
    <w:rsid w:val="001E3B8A"/>
    <w:rsid w:val="001E5C7A"/>
    <w:rsid w:val="00205AB1"/>
    <w:rsid w:val="00213F70"/>
    <w:rsid w:val="00217140"/>
    <w:rsid w:val="002178BF"/>
    <w:rsid w:val="00234AA8"/>
    <w:rsid w:val="0024249D"/>
    <w:rsid w:val="0024448A"/>
    <w:rsid w:val="00246D1C"/>
    <w:rsid w:val="002730D5"/>
    <w:rsid w:val="00273253"/>
    <w:rsid w:val="00282F0D"/>
    <w:rsid w:val="002929B4"/>
    <w:rsid w:val="002967A5"/>
    <w:rsid w:val="0029789C"/>
    <w:rsid w:val="002A07E5"/>
    <w:rsid w:val="002A4871"/>
    <w:rsid w:val="002B63B4"/>
    <w:rsid w:val="002C69A7"/>
    <w:rsid w:val="002C7A05"/>
    <w:rsid w:val="002D3714"/>
    <w:rsid w:val="002E0239"/>
    <w:rsid w:val="002E40B8"/>
    <w:rsid w:val="00302A37"/>
    <w:rsid w:val="0033459B"/>
    <w:rsid w:val="00360EF8"/>
    <w:rsid w:val="00364F89"/>
    <w:rsid w:val="00365EE7"/>
    <w:rsid w:val="00367D9D"/>
    <w:rsid w:val="00370E2C"/>
    <w:rsid w:val="00381D8D"/>
    <w:rsid w:val="00384642"/>
    <w:rsid w:val="00397705"/>
    <w:rsid w:val="003A3399"/>
    <w:rsid w:val="003A7A74"/>
    <w:rsid w:val="003B3078"/>
    <w:rsid w:val="003C719A"/>
    <w:rsid w:val="003D1C36"/>
    <w:rsid w:val="003E497E"/>
    <w:rsid w:val="003E7076"/>
    <w:rsid w:val="003F156D"/>
    <w:rsid w:val="003F5A6F"/>
    <w:rsid w:val="00405F9D"/>
    <w:rsid w:val="004121F9"/>
    <w:rsid w:val="00416D51"/>
    <w:rsid w:val="0043611B"/>
    <w:rsid w:val="004414D5"/>
    <w:rsid w:val="004458AE"/>
    <w:rsid w:val="00445AC9"/>
    <w:rsid w:val="004467C0"/>
    <w:rsid w:val="00455C8F"/>
    <w:rsid w:val="004655E4"/>
    <w:rsid w:val="004929CB"/>
    <w:rsid w:val="004B21D7"/>
    <w:rsid w:val="004B257A"/>
    <w:rsid w:val="004B3F3F"/>
    <w:rsid w:val="004B40FB"/>
    <w:rsid w:val="004B4667"/>
    <w:rsid w:val="004B6804"/>
    <w:rsid w:val="004C6272"/>
    <w:rsid w:val="004D217A"/>
    <w:rsid w:val="004F314A"/>
    <w:rsid w:val="00505145"/>
    <w:rsid w:val="005178ED"/>
    <w:rsid w:val="00517992"/>
    <w:rsid w:val="00532E2C"/>
    <w:rsid w:val="00551F14"/>
    <w:rsid w:val="00553791"/>
    <w:rsid w:val="00555BB0"/>
    <w:rsid w:val="00555FDF"/>
    <w:rsid w:val="00561301"/>
    <w:rsid w:val="00562F67"/>
    <w:rsid w:val="00563B28"/>
    <w:rsid w:val="00564295"/>
    <w:rsid w:val="005813B7"/>
    <w:rsid w:val="005816E9"/>
    <w:rsid w:val="005863A5"/>
    <w:rsid w:val="00586F39"/>
    <w:rsid w:val="00595537"/>
    <w:rsid w:val="00595F13"/>
    <w:rsid w:val="005A369A"/>
    <w:rsid w:val="005B14D9"/>
    <w:rsid w:val="005B1E0F"/>
    <w:rsid w:val="005D4F3B"/>
    <w:rsid w:val="005E4649"/>
    <w:rsid w:val="005E58FB"/>
    <w:rsid w:val="005F4778"/>
    <w:rsid w:val="005F772C"/>
    <w:rsid w:val="005F790A"/>
    <w:rsid w:val="00600D83"/>
    <w:rsid w:val="00610C40"/>
    <w:rsid w:val="00614CF6"/>
    <w:rsid w:val="00620F35"/>
    <w:rsid w:val="00623CFE"/>
    <w:rsid w:val="00627E2D"/>
    <w:rsid w:val="00654A77"/>
    <w:rsid w:val="006609C3"/>
    <w:rsid w:val="00664005"/>
    <w:rsid w:val="006702AE"/>
    <w:rsid w:val="00676A71"/>
    <w:rsid w:val="006903D0"/>
    <w:rsid w:val="00695FE0"/>
    <w:rsid w:val="006A04AF"/>
    <w:rsid w:val="006A4A7E"/>
    <w:rsid w:val="006A6692"/>
    <w:rsid w:val="006C2947"/>
    <w:rsid w:val="006C7442"/>
    <w:rsid w:val="006D2141"/>
    <w:rsid w:val="006D2E49"/>
    <w:rsid w:val="006D4530"/>
    <w:rsid w:val="006E0A8D"/>
    <w:rsid w:val="006E1025"/>
    <w:rsid w:val="006E78E5"/>
    <w:rsid w:val="006F033D"/>
    <w:rsid w:val="006F68DB"/>
    <w:rsid w:val="00706C60"/>
    <w:rsid w:val="00713BBF"/>
    <w:rsid w:val="00720C4E"/>
    <w:rsid w:val="00725D55"/>
    <w:rsid w:val="00726155"/>
    <w:rsid w:val="00730AF0"/>
    <w:rsid w:val="00733156"/>
    <w:rsid w:val="00733A2C"/>
    <w:rsid w:val="007528DD"/>
    <w:rsid w:val="0076479B"/>
    <w:rsid w:val="00770815"/>
    <w:rsid w:val="007726C4"/>
    <w:rsid w:val="00772ABE"/>
    <w:rsid w:val="00776874"/>
    <w:rsid w:val="00776ECF"/>
    <w:rsid w:val="00787AC0"/>
    <w:rsid w:val="007958EC"/>
    <w:rsid w:val="007A0115"/>
    <w:rsid w:val="007A5985"/>
    <w:rsid w:val="007E56F9"/>
    <w:rsid w:val="007E583A"/>
    <w:rsid w:val="007F0396"/>
    <w:rsid w:val="007F4188"/>
    <w:rsid w:val="007F5B5B"/>
    <w:rsid w:val="00812080"/>
    <w:rsid w:val="00814B65"/>
    <w:rsid w:val="00822656"/>
    <w:rsid w:val="00825CFA"/>
    <w:rsid w:val="00827558"/>
    <w:rsid w:val="008430B8"/>
    <w:rsid w:val="00845FFD"/>
    <w:rsid w:val="00850E3A"/>
    <w:rsid w:val="00871834"/>
    <w:rsid w:val="00872746"/>
    <w:rsid w:val="00887A01"/>
    <w:rsid w:val="008931CE"/>
    <w:rsid w:val="0089454F"/>
    <w:rsid w:val="00894A6C"/>
    <w:rsid w:val="0089744D"/>
    <w:rsid w:val="008A5EDE"/>
    <w:rsid w:val="008A6954"/>
    <w:rsid w:val="008C4287"/>
    <w:rsid w:val="008C4447"/>
    <w:rsid w:val="008D2C54"/>
    <w:rsid w:val="008D4D4D"/>
    <w:rsid w:val="008E4144"/>
    <w:rsid w:val="008E65B6"/>
    <w:rsid w:val="008F4553"/>
    <w:rsid w:val="0090361C"/>
    <w:rsid w:val="009055AD"/>
    <w:rsid w:val="009059C6"/>
    <w:rsid w:val="00915CE7"/>
    <w:rsid w:val="009355D0"/>
    <w:rsid w:val="009407C3"/>
    <w:rsid w:val="009416DD"/>
    <w:rsid w:val="0094721A"/>
    <w:rsid w:val="00966C81"/>
    <w:rsid w:val="00977034"/>
    <w:rsid w:val="009812B4"/>
    <w:rsid w:val="00984860"/>
    <w:rsid w:val="00990447"/>
    <w:rsid w:val="009B5ADD"/>
    <w:rsid w:val="009C67F9"/>
    <w:rsid w:val="009C71BB"/>
    <w:rsid w:val="009D344C"/>
    <w:rsid w:val="009D7AC0"/>
    <w:rsid w:val="009E3315"/>
    <w:rsid w:val="009F0120"/>
    <w:rsid w:val="009F11F6"/>
    <w:rsid w:val="009F1889"/>
    <w:rsid w:val="00A01E52"/>
    <w:rsid w:val="00A04BFB"/>
    <w:rsid w:val="00A14B50"/>
    <w:rsid w:val="00A266B7"/>
    <w:rsid w:val="00A26F36"/>
    <w:rsid w:val="00A4608F"/>
    <w:rsid w:val="00A524CB"/>
    <w:rsid w:val="00A53937"/>
    <w:rsid w:val="00A562F4"/>
    <w:rsid w:val="00A726C2"/>
    <w:rsid w:val="00A74225"/>
    <w:rsid w:val="00A86819"/>
    <w:rsid w:val="00AA5435"/>
    <w:rsid w:val="00AB0531"/>
    <w:rsid w:val="00AB285A"/>
    <w:rsid w:val="00AC55B9"/>
    <w:rsid w:val="00AC7DCB"/>
    <w:rsid w:val="00AD07A9"/>
    <w:rsid w:val="00AD0FA2"/>
    <w:rsid w:val="00AD6E5B"/>
    <w:rsid w:val="00AE3B47"/>
    <w:rsid w:val="00AE3BE2"/>
    <w:rsid w:val="00AE6541"/>
    <w:rsid w:val="00AF15EC"/>
    <w:rsid w:val="00B03A42"/>
    <w:rsid w:val="00B062AB"/>
    <w:rsid w:val="00B068D2"/>
    <w:rsid w:val="00B40EF0"/>
    <w:rsid w:val="00B448F1"/>
    <w:rsid w:val="00B50FDC"/>
    <w:rsid w:val="00B54FA9"/>
    <w:rsid w:val="00B62AF3"/>
    <w:rsid w:val="00B70BD6"/>
    <w:rsid w:val="00B71AA7"/>
    <w:rsid w:val="00B91ADC"/>
    <w:rsid w:val="00BA3139"/>
    <w:rsid w:val="00BB35A3"/>
    <w:rsid w:val="00BB5331"/>
    <w:rsid w:val="00BC62F8"/>
    <w:rsid w:val="00BD2A72"/>
    <w:rsid w:val="00BE4066"/>
    <w:rsid w:val="00BF1790"/>
    <w:rsid w:val="00BF5C99"/>
    <w:rsid w:val="00C03544"/>
    <w:rsid w:val="00C24A7D"/>
    <w:rsid w:val="00C267DA"/>
    <w:rsid w:val="00C34024"/>
    <w:rsid w:val="00C476C5"/>
    <w:rsid w:val="00C50BB9"/>
    <w:rsid w:val="00C54B50"/>
    <w:rsid w:val="00C60769"/>
    <w:rsid w:val="00C865D3"/>
    <w:rsid w:val="00CA6F5D"/>
    <w:rsid w:val="00CC35E5"/>
    <w:rsid w:val="00D25408"/>
    <w:rsid w:val="00D26B64"/>
    <w:rsid w:val="00D36D40"/>
    <w:rsid w:val="00D412FF"/>
    <w:rsid w:val="00D4344B"/>
    <w:rsid w:val="00D43C38"/>
    <w:rsid w:val="00D45815"/>
    <w:rsid w:val="00D62A48"/>
    <w:rsid w:val="00D90393"/>
    <w:rsid w:val="00D92740"/>
    <w:rsid w:val="00D95044"/>
    <w:rsid w:val="00DA4539"/>
    <w:rsid w:val="00DD0607"/>
    <w:rsid w:val="00DD14AB"/>
    <w:rsid w:val="00DD1894"/>
    <w:rsid w:val="00DD3498"/>
    <w:rsid w:val="00E13405"/>
    <w:rsid w:val="00E14228"/>
    <w:rsid w:val="00E177F5"/>
    <w:rsid w:val="00E20FF2"/>
    <w:rsid w:val="00E21200"/>
    <w:rsid w:val="00E238C1"/>
    <w:rsid w:val="00E35DFE"/>
    <w:rsid w:val="00E42DE8"/>
    <w:rsid w:val="00E509F4"/>
    <w:rsid w:val="00E80A90"/>
    <w:rsid w:val="00E8761C"/>
    <w:rsid w:val="00E93EC8"/>
    <w:rsid w:val="00E964D5"/>
    <w:rsid w:val="00E971AE"/>
    <w:rsid w:val="00EC55E3"/>
    <w:rsid w:val="00ED0D57"/>
    <w:rsid w:val="00ED1CF0"/>
    <w:rsid w:val="00ED2F3A"/>
    <w:rsid w:val="00ED45B0"/>
    <w:rsid w:val="00ED6A3F"/>
    <w:rsid w:val="00EE0EB5"/>
    <w:rsid w:val="00EE222D"/>
    <w:rsid w:val="00EE790F"/>
    <w:rsid w:val="00F010B8"/>
    <w:rsid w:val="00F05CD4"/>
    <w:rsid w:val="00F27182"/>
    <w:rsid w:val="00F37554"/>
    <w:rsid w:val="00F37779"/>
    <w:rsid w:val="00F37DB5"/>
    <w:rsid w:val="00F40864"/>
    <w:rsid w:val="00F469B9"/>
    <w:rsid w:val="00F57292"/>
    <w:rsid w:val="00F63214"/>
    <w:rsid w:val="00F75576"/>
    <w:rsid w:val="00F76811"/>
    <w:rsid w:val="00F85A0E"/>
    <w:rsid w:val="00FA2F77"/>
    <w:rsid w:val="00FA4051"/>
    <w:rsid w:val="00FA7C40"/>
    <w:rsid w:val="00FC274C"/>
    <w:rsid w:val="00FD3C03"/>
    <w:rsid w:val="00FD77E8"/>
    <w:rsid w:val="00FE3954"/>
    <w:rsid w:val="00FF42FC"/>
    <w:rsid w:val="68D26C8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unhideWhenUsed="0" w:uiPriority="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name="footnote reference"/>
    <w:lsdException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name="Balloon Text"/>
    <w:lsdException w:unhideWhenUsed="0" w:uiPriority="0" w:semiHidden="0" w:name="Table Grid"/>
    <w:lsdException w:uiPriority="0"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utoSpaceDE w:val="0"/>
      <w:autoSpaceDN w:val="0"/>
      <w:jc w:val="both"/>
    </w:pPr>
    <w:rPr>
      <w:rFonts w:ascii="Times New Roman" w:hAnsi="Times New Roman" w:eastAsia="Times New Roman" w:cs="Times New Roman"/>
      <w:lang w:val="en-US" w:eastAsia="en-US" w:bidi="ar-SA"/>
    </w:rPr>
  </w:style>
  <w:style w:type="paragraph" w:styleId="2">
    <w:name w:val="heading 1"/>
    <w:basedOn w:val="1"/>
    <w:next w:val="1"/>
    <w:qFormat/>
    <w:uiPriority w:val="0"/>
    <w:pPr>
      <w:keepNext/>
      <w:spacing w:before="600" w:after="840"/>
      <w:jc w:val="center"/>
      <w:outlineLvl w:val="0"/>
    </w:pPr>
    <w:rPr>
      <w:rFonts w:ascii="Candara" w:hAnsi="Candara"/>
      <w:b/>
      <w:bCs/>
      <w:caps/>
      <w:sz w:val="24"/>
      <w:szCs w:val="24"/>
    </w:rPr>
  </w:style>
  <w:style w:type="paragraph" w:styleId="3">
    <w:name w:val="heading 2"/>
    <w:basedOn w:val="1"/>
    <w:next w:val="1"/>
    <w:qFormat/>
    <w:uiPriority w:val="0"/>
    <w:pPr>
      <w:keepNext/>
      <w:spacing w:after="240"/>
      <w:jc w:val="center"/>
      <w:outlineLvl w:val="1"/>
    </w:pPr>
    <w:rPr>
      <w:rFonts w:ascii="Candara" w:hAnsi="Candara"/>
      <w:b/>
      <w:bCs/>
      <w:sz w:val="22"/>
      <w:szCs w:val="24"/>
    </w:rPr>
  </w:style>
  <w:style w:type="paragraph" w:styleId="4">
    <w:name w:val="heading 3"/>
    <w:basedOn w:val="1"/>
    <w:next w:val="1"/>
    <w:qFormat/>
    <w:uiPriority w:val="0"/>
    <w:pPr>
      <w:keepNext/>
      <w:keepLines/>
      <w:spacing w:before="480" w:after="120"/>
      <w:ind w:left="284"/>
      <w:jc w:val="left"/>
      <w:outlineLvl w:val="2"/>
    </w:pPr>
    <w:rPr>
      <w:rFonts w:ascii="Georgia" w:hAnsi="Georgia"/>
      <w:smallCaps/>
      <w:sz w:val="18"/>
    </w:rPr>
  </w:style>
  <w:style w:type="paragraph" w:styleId="5">
    <w:name w:val="heading 4"/>
    <w:basedOn w:val="1"/>
    <w:next w:val="1"/>
    <w:qFormat/>
    <w:uiPriority w:val="0"/>
    <w:pPr>
      <w:keepNext/>
      <w:spacing w:before="240" w:after="120"/>
      <w:ind w:left="284"/>
      <w:jc w:val="left"/>
      <w:outlineLvl w:val="3"/>
    </w:pPr>
    <w:rPr>
      <w:rFonts w:ascii="Georgia" w:hAnsi="Georgia"/>
      <w:bCs/>
      <w:i/>
      <w:sz w:val="18"/>
    </w:rPr>
  </w:style>
  <w:style w:type="paragraph" w:styleId="6">
    <w:name w:val="heading 5"/>
    <w:basedOn w:val="1"/>
    <w:next w:val="1"/>
    <w:qFormat/>
    <w:uiPriority w:val="0"/>
    <w:pPr>
      <w:keepNext/>
      <w:keepLines/>
      <w:spacing w:before="240" w:after="120"/>
      <w:ind w:left="284"/>
      <w:jc w:val="left"/>
      <w:outlineLvl w:val="4"/>
    </w:pPr>
    <w:rPr>
      <w:rFonts w:ascii="Georgia" w:hAnsi="Georgia"/>
      <w:i/>
      <w:iCs/>
    </w:rPr>
  </w:style>
  <w:style w:type="character" w:default="1" w:styleId="7">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9">
    <w:name w:val="Balloon Text"/>
    <w:basedOn w:val="1"/>
    <w:semiHidden/>
    <w:uiPriority w:val="0"/>
    <w:rPr>
      <w:rFonts w:ascii="Tahoma" w:hAnsi="Tahoma" w:cs="Tahoma"/>
      <w:sz w:val="16"/>
      <w:szCs w:val="16"/>
    </w:rPr>
  </w:style>
  <w:style w:type="paragraph" w:styleId="10">
    <w:name w:val="Body Text"/>
    <w:basedOn w:val="1"/>
    <w:qFormat/>
    <w:uiPriority w:val="0"/>
  </w:style>
  <w:style w:type="paragraph" w:styleId="11">
    <w:name w:val="Body Text 3"/>
    <w:basedOn w:val="1"/>
    <w:uiPriority w:val="0"/>
    <w:pPr>
      <w:tabs>
        <w:tab w:val="left" w:pos="3828"/>
      </w:tabs>
    </w:pPr>
    <w:rPr>
      <w:rFonts w:ascii="TimesRoman" w:hAnsi="TimesRoman" w:cs="TimesRoman"/>
      <w:sz w:val="24"/>
      <w:szCs w:val="24"/>
    </w:rPr>
  </w:style>
  <w:style w:type="paragraph" w:styleId="12">
    <w:name w:val="Body Text Indent"/>
    <w:basedOn w:val="1"/>
    <w:link w:val="72"/>
    <w:qFormat/>
    <w:uiPriority w:val="0"/>
    <w:rPr>
      <w:b/>
      <w:bCs/>
    </w:rPr>
  </w:style>
  <w:style w:type="paragraph" w:styleId="13">
    <w:name w:val="Body Text Indent 2"/>
    <w:basedOn w:val="1"/>
    <w:qFormat/>
    <w:uiPriority w:val="0"/>
    <w:pPr>
      <w:ind w:firstLine="284"/>
    </w:pPr>
  </w:style>
  <w:style w:type="paragraph" w:styleId="14">
    <w:name w:val="Body Text Indent 3"/>
    <w:basedOn w:val="1"/>
    <w:qFormat/>
    <w:uiPriority w:val="0"/>
    <w:pPr>
      <w:widowControl w:val="0"/>
      <w:ind w:left="2880" w:hanging="2160"/>
      <w:jc w:val="center"/>
    </w:pPr>
    <w:rPr>
      <w:b/>
      <w:bCs/>
      <w:sz w:val="24"/>
      <w:szCs w:val="24"/>
    </w:rPr>
  </w:style>
  <w:style w:type="paragraph" w:styleId="15">
    <w:name w:val="caption"/>
    <w:basedOn w:val="1"/>
    <w:next w:val="1"/>
    <w:qFormat/>
    <w:uiPriority w:val="0"/>
    <w:pPr>
      <w:jc w:val="center"/>
    </w:pPr>
    <w:rPr>
      <w:b/>
      <w:bCs/>
      <w:sz w:val="14"/>
      <w:szCs w:val="14"/>
      <w:lang w:val="fr-FR"/>
    </w:rPr>
  </w:style>
  <w:style w:type="character" w:styleId="16">
    <w:name w:val="annotation reference"/>
    <w:semiHidden/>
    <w:uiPriority w:val="0"/>
    <w:rPr>
      <w:sz w:val="16"/>
      <w:szCs w:val="16"/>
    </w:rPr>
  </w:style>
  <w:style w:type="paragraph" w:styleId="17">
    <w:name w:val="annotation text"/>
    <w:basedOn w:val="1"/>
    <w:semiHidden/>
    <w:uiPriority w:val="0"/>
  </w:style>
  <w:style w:type="paragraph" w:styleId="18">
    <w:name w:val="annotation subject"/>
    <w:basedOn w:val="17"/>
    <w:next w:val="17"/>
    <w:semiHidden/>
    <w:uiPriority w:val="0"/>
    <w:rPr>
      <w:b/>
      <w:bCs/>
    </w:rPr>
  </w:style>
  <w:style w:type="paragraph" w:styleId="19">
    <w:name w:val="Document Map"/>
    <w:basedOn w:val="1"/>
    <w:semiHidden/>
    <w:uiPriority w:val="0"/>
    <w:pPr>
      <w:shd w:val="clear" w:color="auto" w:fill="000080"/>
    </w:pPr>
    <w:rPr>
      <w:rFonts w:ascii="Tahoma" w:hAnsi="Tahoma" w:cs="Tahoma"/>
    </w:rPr>
  </w:style>
  <w:style w:type="character" w:styleId="20">
    <w:name w:val="Emphasis"/>
    <w:basedOn w:val="7"/>
    <w:qFormat/>
    <w:uiPriority w:val="0"/>
    <w:rPr>
      <w:i/>
      <w:iCs/>
    </w:rPr>
  </w:style>
  <w:style w:type="paragraph" w:styleId="21">
    <w:name w:val="footer"/>
    <w:basedOn w:val="1"/>
    <w:qFormat/>
    <w:uiPriority w:val="0"/>
    <w:pPr>
      <w:tabs>
        <w:tab w:val="center" w:pos="4153"/>
        <w:tab w:val="right" w:pos="8306"/>
      </w:tabs>
    </w:pPr>
  </w:style>
  <w:style w:type="character" w:styleId="22">
    <w:name w:val="footnote reference"/>
    <w:semiHidden/>
    <w:qFormat/>
    <w:uiPriority w:val="0"/>
    <w:rPr>
      <w:vertAlign w:val="superscript"/>
    </w:rPr>
  </w:style>
  <w:style w:type="paragraph" w:styleId="23">
    <w:name w:val="footnote text"/>
    <w:basedOn w:val="1"/>
    <w:semiHidden/>
    <w:qFormat/>
    <w:uiPriority w:val="0"/>
    <w:rPr>
      <w:sz w:val="16"/>
      <w:szCs w:val="16"/>
    </w:rPr>
  </w:style>
  <w:style w:type="paragraph" w:styleId="24">
    <w:name w:val="header"/>
    <w:basedOn w:val="1"/>
    <w:link w:val="56"/>
    <w:qFormat/>
    <w:uiPriority w:val="99"/>
    <w:pPr>
      <w:tabs>
        <w:tab w:val="center" w:pos="4153"/>
        <w:tab w:val="right" w:pos="8306"/>
      </w:tabs>
    </w:pPr>
    <w:rPr>
      <w:rFonts w:ascii="Georgia" w:hAnsi="Georgia"/>
      <w:caps/>
    </w:rPr>
  </w:style>
  <w:style w:type="character" w:styleId="25">
    <w:name w:val="Hyperlink"/>
    <w:uiPriority w:val="0"/>
    <w:rPr>
      <w:color w:val="0000FF"/>
      <w:u w:val="single"/>
    </w:rPr>
  </w:style>
  <w:style w:type="character" w:styleId="26">
    <w:name w:val="page number"/>
    <w:qFormat/>
    <w:uiPriority w:val="0"/>
    <w:rPr>
      <w:rFonts w:ascii="Georgia" w:hAnsi="Georgia"/>
      <w:sz w:val="20"/>
      <w:lang w:val="en-US" w:eastAsia="zh-CN"/>
    </w:rPr>
  </w:style>
  <w:style w:type="paragraph" w:styleId="27">
    <w:name w:val="Plain Text"/>
    <w:basedOn w:val="1"/>
    <w:qFormat/>
    <w:uiPriority w:val="0"/>
    <w:rPr>
      <w:rFonts w:ascii="Courier New" w:hAnsi="Courier New" w:cs="Courier New"/>
    </w:rPr>
  </w:style>
  <w:style w:type="character" w:styleId="28">
    <w:name w:val="Strong"/>
    <w:qFormat/>
    <w:uiPriority w:val="0"/>
    <w:rPr>
      <w:b/>
      <w:bCs/>
    </w:rPr>
  </w:style>
  <w:style w:type="table" w:styleId="29">
    <w:name w:val="Table Grid"/>
    <w:basedOn w:val="8"/>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30">
    <w:name w:val="Title"/>
    <w:basedOn w:val="1"/>
    <w:qFormat/>
    <w:uiPriority w:val="0"/>
    <w:pPr>
      <w:jc w:val="center"/>
    </w:pPr>
    <w:rPr>
      <w:b/>
      <w:bCs/>
      <w:sz w:val="24"/>
      <w:szCs w:val="24"/>
    </w:rPr>
  </w:style>
  <w:style w:type="paragraph" w:customStyle="1" w:styleId="31">
    <w:name w:val="NaslovSlike"/>
    <w:basedOn w:val="1"/>
    <w:qFormat/>
    <w:uiPriority w:val="0"/>
    <w:pPr>
      <w:widowControl w:val="0"/>
      <w:tabs>
        <w:tab w:val="left" w:pos="-2835"/>
      </w:tabs>
      <w:spacing w:before="120" w:after="240"/>
      <w:jc w:val="center"/>
    </w:pPr>
  </w:style>
  <w:style w:type="paragraph" w:customStyle="1" w:styleId="32">
    <w:name w:val="UDK"/>
    <w:basedOn w:val="30"/>
    <w:uiPriority w:val="0"/>
    <w:pPr>
      <w:keepNext/>
      <w:spacing w:before="120" w:after="600"/>
    </w:pPr>
    <w:rPr>
      <w:rFonts w:ascii="Georgia" w:hAnsi="Georgia"/>
      <w:b w:val="0"/>
      <w:bCs w:val="0"/>
      <w:i/>
      <w:iCs/>
    </w:rPr>
  </w:style>
  <w:style w:type="paragraph" w:customStyle="1" w:styleId="33">
    <w:name w:val="Autori"/>
    <w:basedOn w:val="1"/>
    <w:uiPriority w:val="0"/>
    <w:pPr>
      <w:keepNext/>
      <w:spacing w:after="240"/>
      <w:jc w:val="center"/>
    </w:pPr>
    <w:rPr>
      <w:b/>
      <w:bCs/>
      <w:sz w:val="24"/>
      <w:szCs w:val="24"/>
    </w:rPr>
  </w:style>
  <w:style w:type="paragraph" w:customStyle="1" w:styleId="34">
    <w:name w:val="Institucije"/>
    <w:basedOn w:val="1"/>
    <w:link w:val="49"/>
    <w:uiPriority w:val="0"/>
    <w:pPr>
      <w:keepNext/>
      <w:spacing w:after="360"/>
      <w:jc w:val="center"/>
    </w:pPr>
    <w:rPr>
      <w:rFonts w:ascii="Georgia" w:hAnsi="Georgia"/>
    </w:rPr>
  </w:style>
  <w:style w:type="paragraph" w:customStyle="1" w:styleId="35">
    <w:name w:val="Abstract"/>
    <w:basedOn w:val="12"/>
    <w:link w:val="73"/>
    <w:uiPriority w:val="0"/>
    <w:pPr>
      <w:ind w:left="425" w:right="425"/>
    </w:pPr>
    <w:rPr>
      <w:rFonts w:ascii="Georgia" w:hAnsi="Georgia"/>
      <w:b w:val="0"/>
      <w:bCs w:val="0"/>
      <w:i/>
      <w:iCs/>
      <w:sz w:val="16"/>
      <w:szCs w:val="18"/>
    </w:rPr>
  </w:style>
  <w:style w:type="paragraph" w:customStyle="1" w:styleId="36">
    <w:name w:val="Formula"/>
    <w:basedOn w:val="12"/>
    <w:uiPriority w:val="0"/>
    <w:pPr>
      <w:tabs>
        <w:tab w:val="center" w:pos="3544"/>
        <w:tab w:val="right" w:pos="7203"/>
      </w:tabs>
      <w:spacing w:before="120" w:after="120"/>
    </w:pPr>
    <w:rPr>
      <w:b w:val="0"/>
      <w:bCs w:val="0"/>
    </w:rPr>
  </w:style>
  <w:style w:type="paragraph" w:customStyle="1" w:styleId="37">
    <w:name w:val="References"/>
    <w:basedOn w:val="1"/>
    <w:uiPriority w:val="0"/>
    <w:pPr>
      <w:numPr>
        <w:ilvl w:val="0"/>
        <w:numId w:val="1"/>
      </w:numPr>
    </w:pPr>
    <w:rPr>
      <w:rFonts w:ascii="Georgia" w:hAnsi="Georgia"/>
      <w:sz w:val="16"/>
      <w:szCs w:val="16"/>
    </w:rPr>
  </w:style>
  <w:style w:type="paragraph" w:customStyle="1" w:styleId="38">
    <w:name w:val="Slika"/>
    <w:basedOn w:val="1"/>
    <w:uiPriority w:val="0"/>
    <w:pPr>
      <w:keepNext/>
      <w:keepLines/>
      <w:spacing w:before="240"/>
      <w:jc w:val="center"/>
    </w:pPr>
    <w:rPr>
      <w:lang w:val="sl-SI"/>
    </w:rPr>
  </w:style>
  <w:style w:type="paragraph" w:customStyle="1" w:styleId="39">
    <w:name w:val="YUNASLOV"/>
    <w:basedOn w:val="1"/>
    <w:uiPriority w:val="0"/>
    <w:pPr>
      <w:keepNext/>
      <w:spacing w:before="480" w:after="120"/>
      <w:jc w:val="center"/>
    </w:pPr>
    <w:rPr>
      <w:b/>
      <w:bCs/>
      <w:caps/>
      <w:sz w:val="24"/>
      <w:szCs w:val="24"/>
    </w:rPr>
  </w:style>
  <w:style w:type="paragraph" w:customStyle="1" w:styleId="40">
    <w:name w:val="YUAutori"/>
    <w:basedOn w:val="3"/>
    <w:uiPriority w:val="0"/>
  </w:style>
  <w:style w:type="paragraph" w:customStyle="1" w:styleId="41">
    <w:name w:val="YUAbstrakt"/>
    <w:basedOn w:val="1"/>
    <w:uiPriority w:val="0"/>
    <w:pPr>
      <w:keepNext/>
      <w:widowControl w:val="0"/>
      <w:ind w:firstLine="284"/>
      <w:outlineLvl w:val="2"/>
    </w:pPr>
    <w:rPr>
      <w:i/>
      <w:iCs/>
      <w:sz w:val="18"/>
      <w:szCs w:val="18"/>
    </w:rPr>
  </w:style>
  <w:style w:type="paragraph" w:customStyle="1" w:styleId="42">
    <w:name w:val="ParanHeader"/>
    <w:basedOn w:val="24"/>
    <w:link w:val="57"/>
    <w:uiPriority w:val="0"/>
    <w:pPr>
      <w:ind w:right="360" w:firstLine="360"/>
      <w:jc w:val="center"/>
    </w:pPr>
    <w:rPr>
      <w:sz w:val="16"/>
      <w:szCs w:val="16"/>
      <w:lang w:val="sl-SI"/>
    </w:rPr>
  </w:style>
  <w:style w:type="paragraph" w:customStyle="1" w:styleId="43">
    <w:name w:val="NeparanHeader"/>
    <w:basedOn w:val="24"/>
    <w:uiPriority w:val="0"/>
    <w:pPr>
      <w:jc w:val="center"/>
    </w:pPr>
    <w:rPr>
      <w:caps w:val="0"/>
      <w:sz w:val="16"/>
      <w:szCs w:val="16"/>
      <w:lang w:val="sl-SI"/>
    </w:rPr>
  </w:style>
  <w:style w:type="paragraph" w:customStyle="1" w:styleId="44">
    <w:name w:val="NaslovTabele"/>
    <w:basedOn w:val="31"/>
    <w:uiPriority w:val="0"/>
    <w:pPr>
      <w:keepNext/>
      <w:keepLines/>
      <w:spacing w:before="240" w:after="120"/>
    </w:pPr>
  </w:style>
  <w:style w:type="paragraph" w:customStyle="1" w:styleId="45">
    <w:name w:val="Style1"/>
    <w:basedOn w:val="1"/>
    <w:uiPriority w:val="0"/>
    <w:pPr>
      <w:spacing w:line="360" w:lineRule="auto"/>
    </w:pPr>
    <w:rPr>
      <w:rFonts w:ascii="CTimesRoman" w:hAnsi="CTimesRoman" w:cs="CTimesRoman"/>
      <w:sz w:val="24"/>
      <w:szCs w:val="24"/>
    </w:rPr>
  </w:style>
  <w:style w:type="paragraph" w:customStyle="1" w:styleId="46">
    <w:name w:val="Equation"/>
    <w:basedOn w:val="36"/>
    <w:next w:val="1"/>
    <w:uiPriority w:val="0"/>
    <w:pPr>
      <w:widowControl w:val="0"/>
      <w:ind w:left="284"/>
    </w:pPr>
    <w:rPr>
      <w:rFonts w:ascii="Georgia" w:hAnsi="Georgia"/>
    </w:rPr>
  </w:style>
  <w:style w:type="paragraph" w:customStyle="1" w:styleId="47">
    <w:name w:val="UDC"/>
    <w:basedOn w:val="32"/>
    <w:uiPriority w:val="0"/>
  </w:style>
  <w:style w:type="paragraph" w:customStyle="1" w:styleId="48">
    <w:name w:val="Affiliation"/>
    <w:basedOn w:val="34"/>
    <w:link w:val="50"/>
    <w:uiPriority w:val="0"/>
    <w:pPr>
      <w:widowControl w:val="0"/>
      <w:contextualSpacing/>
    </w:pPr>
    <w:rPr>
      <w:sz w:val="18"/>
    </w:rPr>
  </w:style>
  <w:style w:type="character" w:customStyle="1" w:styleId="49">
    <w:name w:val="Institucije Char"/>
    <w:link w:val="34"/>
    <w:uiPriority w:val="0"/>
    <w:rPr>
      <w:rFonts w:ascii="Georgia" w:hAnsi="Georgia"/>
      <w:lang w:val="en-US" w:eastAsia="en-US" w:bidi="ar-SA"/>
    </w:rPr>
  </w:style>
  <w:style w:type="character" w:customStyle="1" w:styleId="50">
    <w:name w:val="Affiliation Char"/>
    <w:link w:val="48"/>
    <w:uiPriority w:val="0"/>
    <w:rPr>
      <w:rFonts w:ascii="Georgia" w:hAnsi="Georgia"/>
      <w:sz w:val="18"/>
      <w:lang w:val="en-US" w:eastAsia="en-US" w:bidi="ar-SA"/>
    </w:rPr>
  </w:style>
  <w:style w:type="paragraph" w:customStyle="1" w:styleId="51">
    <w:name w:val="Figure"/>
    <w:basedOn w:val="38"/>
    <w:uiPriority w:val="0"/>
  </w:style>
  <w:style w:type="paragraph" w:customStyle="1" w:styleId="52">
    <w:name w:val="Figure title"/>
    <w:basedOn w:val="31"/>
    <w:uiPriority w:val="0"/>
    <w:rPr>
      <w:rFonts w:ascii="Georgia" w:hAnsi="Georgia"/>
      <w:sz w:val="16"/>
    </w:rPr>
  </w:style>
  <w:style w:type="paragraph" w:customStyle="1" w:styleId="53">
    <w:name w:val="Key words"/>
    <w:basedOn w:val="35"/>
    <w:link w:val="76"/>
    <w:uiPriority w:val="0"/>
    <w:pPr>
      <w:spacing w:before="120" w:after="120"/>
    </w:pPr>
  </w:style>
  <w:style w:type="paragraph" w:customStyle="1" w:styleId="54">
    <w:name w:val="Header Odd"/>
    <w:basedOn w:val="43"/>
    <w:uiPriority w:val="0"/>
    <w:pPr>
      <w:tabs>
        <w:tab w:val="center" w:pos="3544"/>
        <w:tab w:val="clear" w:pos="4153"/>
      </w:tabs>
      <w:jc w:val="left"/>
    </w:pPr>
  </w:style>
  <w:style w:type="paragraph" w:customStyle="1" w:styleId="55">
    <w:name w:val="Header Even"/>
    <w:basedOn w:val="42"/>
    <w:link w:val="58"/>
    <w:uiPriority w:val="0"/>
    <w:pPr>
      <w:tabs>
        <w:tab w:val="center" w:pos="3884"/>
        <w:tab w:val="clear" w:pos="4153"/>
      </w:tabs>
      <w:ind w:firstLine="0"/>
      <w:jc w:val="left"/>
    </w:pPr>
  </w:style>
  <w:style w:type="character" w:customStyle="1" w:styleId="56">
    <w:name w:val="Header Char"/>
    <w:link w:val="24"/>
    <w:uiPriority w:val="99"/>
    <w:rPr>
      <w:rFonts w:ascii="Georgia" w:hAnsi="Georgia"/>
      <w:caps/>
      <w:lang w:val="en-US" w:eastAsia="en-US" w:bidi="ar-SA"/>
    </w:rPr>
  </w:style>
  <w:style w:type="character" w:customStyle="1" w:styleId="57">
    <w:name w:val="ParanHeader Char"/>
    <w:link w:val="42"/>
    <w:uiPriority w:val="0"/>
    <w:rPr>
      <w:rFonts w:ascii="Georgia" w:hAnsi="Georgia"/>
      <w:caps/>
      <w:sz w:val="16"/>
      <w:szCs w:val="16"/>
      <w:lang w:val="sl-SI" w:eastAsia="en-US" w:bidi="ar-SA"/>
    </w:rPr>
  </w:style>
  <w:style w:type="character" w:customStyle="1" w:styleId="58">
    <w:name w:val="Header Even Char"/>
    <w:link w:val="55"/>
    <w:uiPriority w:val="0"/>
    <w:rPr>
      <w:rFonts w:ascii="Georgia" w:hAnsi="Georgia"/>
      <w:caps/>
      <w:sz w:val="16"/>
      <w:szCs w:val="16"/>
      <w:lang w:val="sl-SI" w:eastAsia="en-US" w:bidi="ar-SA"/>
    </w:rPr>
  </w:style>
  <w:style w:type="paragraph" w:customStyle="1" w:styleId="59">
    <w:name w:val="Table title"/>
    <w:basedOn w:val="44"/>
    <w:uiPriority w:val="0"/>
    <w:pPr>
      <w:widowControl/>
    </w:pPr>
    <w:rPr>
      <w:rFonts w:ascii="Georgia" w:hAnsi="Georgia"/>
      <w:sz w:val="16"/>
    </w:rPr>
  </w:style>
  <w:style w:type="paragraph" w:customStyle="1" w:styleId="60">
    <w:name w:val="Reference"/>
    <w:basedOn w:val="37"/>
    <w:uiPriority w:val="0"/>
    <w:pPr>
      <w:tabs>
        <w:tab w:val="left" w:pos="284"/>
        <w:tab w:val="clear" w:pos="624"/>
      </w:tabs>
      <w:ind w:left="284" w:hanging="142"/>
    </w:pPr>
  </w:style>
  <w:style w:type="paragraph" w:customStyle="1" w:styleId="61">
    <w:name w:val="Sr Title"/>
    <w:basedOn w:val="39"/>
    <w:uiPriority w:val="0"/>
  </w:style>
  <w:style w:type="paragraph" w:customStyle="1" w:styleId="62">
    <w:name w:val="Author Sr"/>
    <w:basedOn w:val="40"/>
    <w:uiPriority w:val="0"/>
  </w:style>
  <w:style w:type="paragraph" w:customStyle="1" w:styleId="63">
    <w:name w:val="Sr Author"/>
    <w:basedOn w:val="62"/>
    <w:uiPriority w:val="0"/>
  </w:style>
  <w:style w:type="paragraph" w:customStyle="1" w:styleId="64">
    <w:name w:val="Sr Abstract"/>
    <w:basedOn w:val="41"/>
    <w:uiPriority w:val="0"/>
    <w:pPr>
      <w:widowControl/>
    </w:pPr>
  </w:style>
  <w:style w:type="paragraph" w:customStyle="1" w:styleId="65">
    <w:name w:val="Sr Key"/>
    <w:basedOn w:val="41"/>
    <w:uiPriority w:val="0"/>
    <w:pPr>
      <w:widowControl/>
      <w:spacing w:before="120"/>
      <w:ind w:firstLine="0"/>
    </w:pPr>
  </w:style>
  <w:style w:type="paragraph" w:customStyle="1" w:styleId="66">
    <w:name w:val="Acknowledgment"/>
    <w:basedOn w:val="1"/>
    <w:link w:val="81"/>
    <w:uiPriority w:val="0"/>
    <w:pPr>
      <w:tabs>
        <w:tab w:val="left" w:pos="720"/>
        <w:tab w:val="left" w:pos="8100"/>
      </w:tabs>
      <w:spacing w:before="240"/>
    </w:pPr>
    <w:rPr>
      <w:i/>
      <w:iCs/>
      <w:sz w:val="18"/>
      <w:szCs w:val="18"/>
    </w:rPr>
  </w:style>
  <w:style w:type="paragraph" w:customStyle="1" w:styleId="67">
    <w:name w:val="Acknowledgement"/>
    <w:basedOn w:val="66"/>
    <w:link w:val="82"/>
    <w:uiPriority w:val="0"/>
    <w:rPr>
      <w:rFonts w:ascii="Georgia" w:hAnsi="Georgia"/>
    </w:rPr>
  </w:style>
  <w:style w:type="paragraph" w:customStyle="1" w:styleId="68">
    <w:name w:val="sc_text"/>
    <w:basedOn w:val="1"/>
    <w:autoRedefine/>
    <w:uiPriority w:val="0"/>
    <w:pPr>
      <w:widowControl w:val="0"/>
      <w:autoSpaceDE/>
      <w:autoSpaceDN/>
      <w:spacing w:after="60"/>
    </w:pPr>
    <w:rPr>
      <w:sz w:val="22"/>
      <w:szCs w:val="22"/>
    </w:rPr>
  </w:style>
  <w:style w:type="character" w:customStyle="1" w:styleId="69">
    <w:name w:val="bodytext1"/>
    <w:uiPriority w:val="0"/>
    <w:rPr>
      <w:rFonts w:hint="default" w:ascii="Arial" w:hAnsi="Arial" w:cs="Arial"/>
      <w:color w:val="333333"/>
      <w:sz w:val="18"/>
      <w:szCs w:val="18"/>
    </w:rPr>
  </w:style>
  <w:style w:type="paragraph" w:customStyle="1" w:styleId="70">
    <w:name w:val="Style First line:  0.5 cm"/>
    <w:basedOn w:val="1"/>
    <w:uiPriority w:val="0"/>
    <w:pPr>
      <w:spacing w:before="60"/>
      <w:ind w:firstLine="284"/>
    </w:pPr>
    <w:rPr>
      <w:rFonts w:ascii="Georgia" w:hAnsi="Georgia"/>
      <w:sz w:val="18"/>
    </w:rPr>
  </w:style>
  <w:style w:type="paragraph" w:customStyle="1" w:styleId="71">
    <w:name w:val="Style Abstract + Bold Not Italic"/>
    <w:basedOn w:val="35"/>
    <w:link w:val="74"/>
    <w:uiPriority w:val="0"/>
    <w:rPr>
      <w:b/>
      <w:bCs/>
      <w:i w:val="0"/>
      <w:iCs w:val="0"/>
    </w:rPr>
  </w:style>
  <w:style w:type="character" w:customStyle="1" w:styleId="72">
    <w:name w:val="Body Text Indent Char"/>
    <w:link w:val="12"/>
    <w:uiPriority w:val="0"/>
    <w:rPr>
      <w:b/>
      <w:bCs/>
      <w:lang w:val="en-US" w:eastAsia="en-US" w:bidi="ar-SA"/>
    </w:rPr>
  </w:style>
  <w:style w:type="character" w:customStyle="1" w:styleId="73">
    <w:name w:val="Abstract Char"/>
    <w:link w:val="35"/>
    <w:uiPriority w:val="0"/>
    <w:rPr>
      <w:rFonts w:ascii="Georgia" w:hAnsi="Georgia"/>
      <w:b/>
      <w:bCs/>
      <w:i/>
      <w:iCs/>
      <w:sz w:val="16"/>
      <w:szCs w:val="18"/>
      <w:lang w:val="en-US" w:eastAsia="en-US" w:bidi="ar-SA"/>
    </w:rPr>
  </w:style>
  <w:style w:type="character" w:customStyle="1" w:styleId="74">
    <w:name w:val="Style Abstract + Bold Not Italic Char"/>
    <w:link w:val="71"/>
    <w:uiPriority w:val="0"/>
    <w:rPr>
      <w:rFonts w:ascii="Georgia" w:hAnsi="Georgia"/>
      <w:b/>
      <w:bCs/>
      <w:i/>
      <w:iCs/>
      <w:sz w:val="16"/>
      <w:szCs w:val="18"/>
      <w:lang w:val="en-US" w:eastAsia="en-US" w:bidi="ar-SA"/>
    </w:rPr>
  </w:style>
  <w:style w:type="paragraph" w:customStyle="1" w:styleId="75">
    <w:name w:val="Style Key words + Bold Not Italic"/>
    <w:basedOn w:val="53"/>
    <w:link w:val="77"/>
    <w:uiPriority w:val="0"/>
    <w:rPr>
      <w:b/>
      <w:bCs/>
      <w:i w:val="0"/>
      <w:iCs w:val="0"/>
    </w:rPr>
  </w:style>
  <w:style w:type="character" w:customStyle="1" w:styleId="76">
    <w:name w:val="Key words Char"/>
    <w:link w:val="53"/>
    <w:uiPriority w:val="0"/>
    <w:rPr>
      <w:rFonts w:ascii="Georgia" w:hAnsi="Georgia"/>
      <w:i/>
      <w:iCs/>
      <w:sz w:val="16"/>
      <w:szCs w:val="18"/>
      <w:lang w:val="en-US" w:eastAsia="en-US" w:bidi="ar-SA"/>
    </w:rPr>
  </w:style>
  <w:style w:type="character" w:customStyle="1" w:styleId="77">
    <w:name w:val="Style Key words + Bold Not Italic Char"/>
    <w:link w:val="75"/>
    <w:uiPriority w:val="0"/>
    <w:rPr>
      <w:rFonts w:ascii="Georgia" w:hAnsi="Georgia"/>
      <w:b/>
      <w:bCs/>
      <w:i/>
      <w:iCs/>
      <w:sz w:val="16"/>
      <w:szCs w:val="18"/>
      <w:lang w:val="en-US" w:eastAsia="en-US" w:bidi="ar-SA"/>
    </w:rPr>
  </w:style>
  <w:style w:type="character" w:customStyle="1" w:styleId="78">
    <w:name w:val="Style 9 pt"/>
    <w:uiPriority w:val="0"/>
    <w:rPr>
      <w:rFonts w:ascii="Georgia" w:hAnsi="Georgia"/>
      <w:sz w:val="18"/>
    </w:rPr>
  </w:style>
  <w:style w:type="paragraph" w:customStyle="1" w:styleId="79">
    <w:name w:val="Style First line:  0.5 cm Before:  18 pt"/>
    <w:basedOn w:val="1"/>
    <w:uiPriority w:val="0"/>
    <w:pPr>
      <w:spacing w:before="360"/>
      <w:ind w:firstLine="284"/>
    </w:pPr>
    <w:rPr>
      <w:rFonts w:ascii="Georgia" w:hAnsi="Georgia"/>
      <w:sz w:val="18"/>
    </w:rPr>
  </w:style>
  <w:style w:type="paragraph" w:customStyle="1" w:styleId="80">
    <w:name w:val="Style Acknowledgement + Bold Not Italic"/>
    <w:basedOn w:val="67"/>
    <w:link w:val="83"/>
    <w:uiPriority w:val="0"/>
    <w:rPr>
      <w:b/>
      <w:bCs/>
      <w:i w:val="0"/>
      <w:iCs w:val="0"/>
    </w:rPr>
  </w:style>
  <w:style w:type="character" w:customStyle="1" w:styleId="81">
    <w:name w:val="Acknowledgment Char"/>
    <w:link w:val="66"/>
    <w:uiPriority w:val="0"/>
    <w:rPr>
      <w:i/>
      <w:iCs/>
      <w:sz w:val="18"/>
      <w:szCs w:val="18"/>
      <w:lang w:val="en-US" w:eastAsia="en-US" w:bidi="ar-SA"/>
    </w:rPr>
  </w:style>
  <w:style w:type="character" w:customStyle="1" w:styleId="82">
    <w:name w:val="Acknowledgement Char"/>
    <w:link w:val="67"/>
    <w:uiPriority w:val="0"/>
    <w:rPr>
      <w:rFonts w:ascii="Georgia" w:hAnsi="Georgia"/>
      <w:i/>
      <w:iCs/>
      <w:sz w:val="18"/>
      <w:szCs w:val="18"/>
      <w:lang w:val="en-US" w:eastAsia="en-US" w:bidi="ar-SA"/>
    </w:rPr>
  </w:style>
  <w:style w:type="character" w:customStyle="1" w:styleId="83">
    <w:name w:val="Style Acknowledgement + Bold Not Italic Char"/>
    <w:link w:val="80"/>
    <w:uiPriority w:val="0"/>
    <w:rPr>
      <w:rFonts w:ascii="Georgia" w:hAnsi="Georgia"/>
      <w:b/>
      <w:bCs/>
      <w:i/>
      <w:iCs/>
      <w:sz w:val="18"/>
      <w:szCs w:val="18"/>
      <w:lang w:val="en-US" w:eastAsia="en-US" w:bidi="ar-SA"/>
    </w:rPr>
  </w:style>
  <w:style w:type="paragraph" w:customStyle="1" w:styleId="84">
    <w:name w:val="Style Heading 2 + 10 pt"/>
    <w:basedOn w:val="3"/>
    <w:uiPriority w:val="0"/>
    <w:rPr>
      <w:sz w:val="20"/>
    </w:rPr>
  </w:style>
  <w:style w:type="paragraph" w:customStyle="1" w:styleId="85">
    <w:name w:val="DOI"/>
    <w:basedOn w:val="53"/>
    <w:uiPriority w:val="0"/>
    <w:pPr>
      <w:spacing w:after="240"/>
    </w:pPr>
    <w:rPr>
      <w:i w:val="0"/>
    </w:rPr>
  </w:style>
  <w:style w:type="paragraph" w:customStyle="1" w:styleId="86">
    <w:name w:val="Heder"/>
    <w:basedOn w:val="24"/>
    <w:qFormat/>
    <w:uiPriority w:val="0"/>
    <w:pPr>
      <w:framePr w:wrap="notBeside" w:vAnchor="text" w:hAnchor="text" w:y="1"/>
      <w:pBdr>
        <w:bottom w:val="single" w:color="808080" w:sz="12" w:space="1"/>
      </w:pBdr>
      <w:jc w:val="right"/>
    </w:pPr>
    <w:rPr>
      <w:rFonts w:ascii="Candara" w:hAnsi="Candara"/>
      <w:caps w:val="0"/>
      <w:szCs w:val="18"/>
    </w:rPr>
  </w:style>
  <w:style w:type="character" w:styleId="87">
    <w:name w:val="Placeholder Text"/>
    <w:basedOn w:val="7"/>
    <w:semiHidden/>
    <w:uiPriority w:val="99"/>
    <w:rPr>
      <w:color w:val="808080"/>
    </w:rPr>
  </w:style>
  <w:style w:type="character" w:customStyle="1" w:styleId="88">
    <w:name w:val="Unresolved Mention"/>
    <w:basedOn w:val="7"/>
    <w:semiHidden/>
    <w:unhideWhenUsed/>
    <w:uiPriority w:val="99"/>
    <w:rPr>
      <w:color w:val="605E5C"/>
      <w:shd w:val="clear" w:color="auto" w:fill="E1DFDD"/>
    </w:rPr>
  </w:style>
  <w:style w:type="table" w:customStyle="1" w:styleId="89">
    <w:name w:val="Table Grid1"/>
    <w:basedOn w:val="8"/>
    <w:uiPriority w:val="59"/>
    <w:rPr>
      <w:rFonts w:asciiTheme="minorHAnsi" w:hAnsiTheme="minorHAnsi" w:eastAsiaTheme="minorHAnsi" w:cstheme="minorBidi"/>
      <w:sz w:val="22"/>
      <w:szCs w:val="22"/>
      <w:lang w:val="en-US"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90">
    <w:name w:val="Table Grid2"/>
    <w:basedOn w:val="8"/>
    <w:uiPriority w:val="59"/>
    <w:rPr>
      <w:rFonts w:asciiTheme="minorHAnsi" w:hAnsiTheme="minorHAnsi" w:eastAsiaTheme="minorHAnsi" w:cstheme="minorBidi"/>
      <w:sz w:val="22"/>
      <w:szCs w:val="22"/>
      <w:lang w:val="en-US"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3.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theme" Target="theme/theme1.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310A66-64B0-4DDD-BCB5-0405DF409355}">
  <ds:schemaRefs/>
</ds:datastoreItem>
</file>

<file path=docProps/app.xml><?xml version="1.0" encoding="utf-8"?>
<Properties xmlns="http://schemas.openxmlformats.org/officeDocument/2006/extended-properties" xmlns:vt="http://schemas.openxmlformats.org/officeDocument/2006/docPropsVTypes">
  <Template>Normal</Template>
  <Company>Sievert Association</Company>
  <Pages>6</Pages>
  <Words>3441</Words>
  <Characters>19619</Characters>
  <Lines>163</Lines>
  <Paragraphs>46</Paragraphs>
  <TotalTime>29</TotalTime>
  <ScaleCrop>false</ScaleCrop>
  <LinksUpToDate>false</LinksUpToDate>
  <CharactersWithSpaces>23014</CharactersWithSpaces>
  <Application>WPS Office_12.2.0.23131_F1E327BC-269C-435d-A152-05C5408002CA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2024-04-29T19:07:00Z</dcterms:created>
  <dc:creator>RAP Conference Team</dc:creator>
  <cp:lastModifiedBy>Душко Лукарски</cp:lastModifiedBy>
  <cp:lastPrinted>2024-02-22T02:02:00Z</cp:lastPrinted>
  <dcterms:modified xsi:type="dcterms:W3CDTF">2025-11-03T12:11:56Z</dcterms:modified>
  <dc:title>RAP Proceedings Template</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1033-12.2.0.23131</vt:lpwstr>
  </property>
  <property fmtid="{D5CDD505-2E9C-101B-9397-08002B2CF9AE}" pid="3" name="ICV">
    <vt:lpwstr>1FC80063048E4210A6F0056DE197D4DD_12</vt:lpwstr>
  </property>
</Properties>
</file>