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74" w:lineRule="exact" w:before="1"/>
        <w:ind w:left="2182" w:right="0" w:firstLine="0"/>
        <w:jc w:val="left"/>
        <w:rPr>
          <w:rFonts w:ascii="Myriad Pro Cond" w:hAnsi="Myriad Pro Cond"/>
          <w:b/>
          <w:sz w:val="44"/>
        </w:rPr>
      </w:pPr>
      <w:r>
        <w:rPr/>
        <w:pict>
          <v:group style="position:absolute;margin-left:0pt;margin-top:0pt;width:595.25pt;height:842pt;mso-position-horizontal-relative:page;mso-position-vertical-relative:page;z-index:-17653760" id="docshapegroup1" coordorigin="0,0" coordsize="11905,16840">
            <v:shape style="position:absolute;left:0;top:4304;width:11904;height:12535" type="#_x0000_t75" id="docshape2" stroked="false">
              <v:imagedata r:id="rId6" o:title=""/>
            </v:shape>
            <v:shape style="position:absolute;left:6295;top:4304;width:4691;height:12535" type="#_x0000_t75" id="docshape3" stroked="false">
              <v:imagedata r:id="rId7" o:title=""/>
            </v:shape>
            <v:shape style="position:absolute;left:5925;top:20;width:5714;height:16820" id="docshape4" coordorigin="5926,20" coordsize="5714,16820" path="m10219,10160l10219,10080,10218,10000,10217,9920,10215,9840,10213,9760,10211,9680,10208,9600,10205,9520,10201,9440,10197,9360,10192,9280,10187,9200,10182,9120,10176,9040,10170,8960,10163,8900,10156,8820,10148,8740,10140,8660,10132,8580,10123,8500,10113,8420,10104,8340,10093,8260,10083,8180,10072,8100,10060,8020,10048,7940,10036,7860,10023,7800,10010,7720,9996,7640,9982,7560,9967,7480,9952,7400,9937,7320,9921,7240,9905,7180,9888,7100,9871,7020,9853,6940,9835,6860,9817,6780,9798,6720,9779,6640,9759,6560,9739,6480,9719,6400,9698,6340,9676,6260,9654,6180,9632,6100,9609,6020,9586,5960,9563,5880,9539,5800,9514,5740,9489,5660,9464,5580,9438,5500,9412,5440,9386,5360,9359,5280,9331,5220,9303,5140,9275,5060,9247,5000,9217,4920,9188,4860,9158,4780,9128,4700,9097,4640,9066,4560,9034,4500,9002,4420,8969,4360,8936,4280,8903,4220,8869,4140,8835,4080,8800,4000,8765,3940,8730,3860,8694,3800,8658,3720,8621,3660,8584,3580,8546,3520,8508,3460,8470,3380,8431,3320,8392,3260,8352,3180,8312,3120,8271,3060,8230,2980,8189,2920,8147,2860,8105,2800,8062,2720,8019,2660,7976,2600,7932,2540,7888,2480,7843,2400,7798,2340,7752,2280,7706,2220,7660,2160,7613,2100,7566,2040,7516,1980,7465,1900,7264,1660,7213,1580,6911,1220,6810,1080,6409,600,6310,480,6261,400,6065,160,5968,40,5946,20,5926,20,5949,40,6145,280,6194,360,6293,480,6644,900,6847,1160,7050,1400,7100,1480,7303,1720,7354,1800,7557,2040,7604,2120,7651,2180,7697,2240,7743,2300,7788,2360,7833,2420,7878,2480,7922,2540,7966,2620,8009,2680,8052,2740,8095,2800,8137,2860,8179,2940,8220,3000,8261,3060,8302,3140,8342,3200,8381,3260,8420,3340,8459,3400,8498,3460,8535,3540,8573,3600,8610,3660,8647,3740,8683,3800,8719,3880,8754,3940,8789,4020,8824,4080,8858,4160,8892,4220,8925,4300,8958,4360,8990,4440,9022,4500,9054,4580,9085,4640,9116,4720,9146,4780,9176,4860,9206,4940,9235,5000,9263,5080,9291,5160,9319,5220,9347,5300,9374,5360,9400,5440,9426,5520,9452,5600,9477,5660,9502,5740,9526,5820,9550,5880,9574,5960,9597,6040,9619,6120,9642,6180,9663,6260,9685,6340,9706,6420,9726,6480,9746,6560,9766,6640,9785,6720,9804,6800,9822,6860,9840,6940,9858,7020,9875,7100,9892,7180,9908,7260,9924,7340,9939,7400,9954,7480,9969,7560,9983,7640,9996,7720,10010,7800,10022,7880,10035,7960,10047,8020,10058,8100,10069,8180,10080,8260,10090,8340,10100,8420,10109,8500,10118,8580,10127,8660,10135,8740,10142,8820,10149,8900,10156,8980,10162,9060,10168,9120,10174,9200,10179,9280,10183,9360,10187,9440,10191,9520,10194,9600,10197,9680,10200,9760,10202,9840,10203,9920,10204,10000,10205,10080,10205,10160,10205,10240,10204,10320,10203,10400,10202,10480,10200,10560,10197,10640,10194,10720,10191,10800,10188,10880,10183,10960,10179,11040,10174,11100,10169,11180,10163,11260,10156,11340,10150,11420,10143,11500,10135,11580,10127,11660,10118,11740,10110,11820,10100,11900,10091,11980,10080,12060,10070,12140,10059,12220,10047,12300,10035,12360,10023,12440,10010,12520,9997,12600,9983,12680,9969,12760,9954,12840,9939,12920,9924,13000,9908,13080,9892,13140,9875,13220,9858,13300,9840,13380,9822,13460,9804,13540,9785,13620,9765,13680,9746,13760,9725,13840,9705,13920,9683,14000,9662,14080,9640,14140,9617,14220,9595,14300,9571,14380,9547,14460,9523,14520,9499,14600,9473,14680,9448,14760,9422,14820,9395,14900,9369,14980,9341,15060,9314,15120,9285,15200,9257,15280,9195,15440,9164,15500,9040,15820,8917,16120,8887,16200,8857,16280,8827,16340,8797,16420,8767,16500,8738,16580,8709,16640,8681,16720,8652,16800,8631,16840,8646,16840,8667,16800,8695,16720,8724,16640,8752,16580,8781,16500,8811,16420,8840,16360,8870,16280,8900,16200,8931,16120,9053,15820,9084,15740,9115,15680,9238,15360,9269,15280,9297,15220,9326,15140,9353,15060,9381,14980,9408,14920,9434,14840,9460,14760,9486,14680,9511,14620,9536,14540,9560,14460,9584,14380,9607,14300,9630,14240,9653,14160,9675,14080,9696,14000,9717,13920,9738,13840,9758,13780,9778,13700,9798,13620,9817,13540,9835,13460,9853,13380,9871,13300,9888,13240,9905,13160,9921,13080,9937,13000,9953,12920,9968,12840,9982,12760,9996,12680,10010,12600,10023,12520,10036,12460,10049,12380,10061,12300,10072,12220,10083,12140,10094,12060,10104,11980,10114,11900,10123,11820,10132,11740,10141,11660,10149,11580,10156,11500,10163,11420,10170,11340,10176,11260,10182,11200,10188,11120,10193,11040,10197,10960,10201,10880,10205,10800,10208,10720,10211,10640,10213,10560,10215,10480,10217,10400,10218,10320,10219,10240,10219,10160xm11639,8380l11639,8300,11638,8220,11637,8140,11635,8060,11633,7980,11631,7900,11628,7820,11625,7740,11621,7660,11617,7580,11612,7500,11607,7420,11601,7340,11595,7260,11589,7180,11582,7100,11575,7020,11567,6940,11558,6860,11550,6780,11541,6700,11531,6620,11521,6540,11510,6460,11499,6380,11488,6300,11476,6220,11464,6140,11451,6060,11438,6000,11424,5920,11410,5840,11396,5760,11381,5680,11365,5600,11349,5520,11333,5440,11316,5360,11299,5280,11281,5220,11263,5140,11244,5060,11225,4980,11206,4900,11186,4820,11165,4760,11145,4680,11123,4600,11102,4520,11079,4440,11057,4380,11034,4300,11010,4220,10986,4140,10962,4060,10937,4000,10911,3920,10885,3840,10859,3760,10832,3700,10805,3620,10778,3540,10749,3480,10721,3400,10692,3320,10662,3260,10633,3180,10602,3100,10571,3040,10540,2960,10508,2900,10476,2820,10444,2740,10410,2680,10377,2600,10343,2540,10308,2460,10274,2400,10238,2320,10202,2260,10166,2180,10129,2120,10092,2040,10055,1980,10016,1900,9978,1840,9939,1760,9899,1700,9859,1640,9819,1560,9778,1500,9735,1420,9692,1360,9648,1280,9605,1220,9561,1140,9517,1080,9474,1000,9386,880,9342,800,9299,740,9255,660,9211,600,9124,460,8949,200,8906,120,8834,20,8816,20,8840,40,8882,120,8966,240,9135,500,9219,640,9262,700,9304,780,9389,900,9431,980,9516,1100,9558,1180,9642,1300,9684,1380,9726,1440,9768,1520,9809,1580,9849,1640,9889,1720,9928,1780,9967,1840,10006,1920,10044,1980,10081,2060,10119,2120,10155,2200,10191,2260,10227,2340,10262,2400,10297,2480,10332,2540,10366,2620,10399,2680,10432,2760,10465,2840,10497,2900,10529,2980,10560,3040,10590,3120,10621,3200,10651,3260,10680,3340,10709,3400,10737,3480,10766,3560,10793,3640,10820,3700,10847,3780,10873,3860,10899,3920,10924,4000,10949,4080,10974,4160,10998,4220,11021,4300,11044,4380,11067,4460,11089,4520,11111,4600,11132,4680,11153,4760,11173,4840,11193,4920,11213,4980,11232,5060,11250,5140,11268,5220,11286,5300,11303,5380,11320,5460,11336,5520,11352,5600,11368,5680,11382,5760,11397,5840,11411,5920,11425,6000,11438,6080,11451,6160,11463,6240,11475,6300,11486,6380,11497,6460,11508,6540,11518,6620,11527,6700,11536,6780,11545,6860,11553,6940,11561,7020,11568,7100,11575,7180,11582,7260,11588,7340,11593,7420,11599,7500,11603,7580,11607,7660,11611,7740,11615,7820,11617,7900,11620,7980,11622,8060,11623,8140,11625,8220,11625,8300,11625,8380,11625,8460,11625,8540,11624,8620,11622,8700,11620,8780,11618,8860,11615,8940,11612,9000,11608,9080,11604,9160,11599,9240,11594,9320,11589,9400,11583,9480,11577,9560,11570,9640,11563,9720,11555,9800,11547,9880,11539,9960,11530,10040,11520,10120,11511,10200,11500,10280,11490,10360,11479,10420,11467,10500,11455,10580,11443,10660,11430,10740,11417,10820,11403,10900,11389,10980,11375,11060,11360,11140,11345,11220,11329,11280,11313,11360,11296,11440,11279,11520,11261,11600,11243,11680,11225,11760,11206,11840,11187,11900,11167,11980,11147,12060,11127,12140,11106,12220,11084,12300,11063,12360,11040,12440,11018,12520,10995,12600,10971,12680,10947,12740,10923,12820,10898,12900,10873,12980,10847,13040,10821,13120,10794,13200,10767,13280,10740,13340,10712,13420,10684,13500,10655,13560,10626,13640,10597,13720,10567,13800,10536,13860,10506,13940,10474,14000,10443,14080,10411,14160,10378,14220,10345,14300,10312,14380,10278,14440,10244,14520,10209,14580,10174,14660,10139,14720,10103,14800,10066,14860,9948,15100,9909,15160,9791,15400,9634,15680,9596,15760,9557,15820,9519,15900,9481,15980,9444,16040,9407,16120,9370,16180,9333,16260,9297,16320,9261,16400,9226,16460,9191,16540,9157,16600,9124,16680,9090,16740,9058,16820,9042,16840,9059,16840,9073,16820,9105,16760,9138,16680,9172,16620,9206,16540,9241,16480,9276,16400,9311,16340,9347,16260,9383,16200,9420,16120,9457,16040,9495,15980,9532,15900,9570,15840,9609,15760,9647,15700,9803,15400,9842,15320,9881,15260,9960,15100,9999,15040,10077,14880,10114,14800,10150,14740,10185,14660,10220,14600,10255,14520,10289,14460,10323,14380,10357,14300,10390,14240,10422,14160,10454,14100,10486,14020,10517,13940,10548,13880,10579,13800,10609,13720,10638,13660,10667,13580,10696,13500,10724,13440,10752,13360,10779,13280,10806,13200,10833,13140,10859,13060,10885,12980,10910,12900,10935,12840,10959,12760,10983,12680,11007,12600,11030,12520,11053,12460,11075,12380,11097,12300,11118,12220,11139,12140,11160,12060,11180,12000,11200,11920,11219,11840,11238,11760,11256,11680,11274,11600,11292,11520,11309,11460,11326,11380,11342,11300,11358,11220,11373,11140,11388,11060,11403,10980,11417,10900,11430,10820,11444,10740,11456,10660,11469,10600,11481,10520,11492,10440,11503,10360,11514,10280,11524,10200,11534,10120,11543,10040,11552,9960,11561,9880,11569,9800,11576,9720,11583,9640,11590,9560,11596,9480,11602,9400,11608,9320,11613,9240,11617,9160,11621,9080,11625,9020,11628,8940,11631,8860,11634,8780,11636,8700,11637,8620,11638,8540,11639,8460,11639,8380xe" filled="true" fillcolor="#ffffff" stroked="false">
              <v:path arrowok="t"/>
              <v:fill type="solid"/>
            </v:shape>
            <v:rect style="position:absolute;left:0;top:15996;width:11904;height:842" id="docshape5" filled="true" fillcolor="#1e4078" stroked="false">
              <v:fill type="solid"/>
            </v:rect>
            <v:shape style="position:absolute;left:0;top:4268;width:11904;height:37" type="#_x0000_t75" id="docshape6" stroked="false">
              <v:imagedata r:id="rId8" o:title=""/>
            </v:shape>
            <v:shape style="position:absolute;left:8918;top:4268;width:2121;height:36" id="docshape7" coordorigin="8919,4268" coordsize="2121,36" path="m8952,4304l8947,4292,8941,4281,8935,4268,8919,4268,8936,4304,8952,4304xm11040,4304l11036,4292,11032,4280,11029,4268,11014,4268,11017,4280,11021,4292,11025,4304,11040,4304xe" filled="true" fillcolor="#ffffff" stroked="false">
              <v:path arrowok="t"/>
              <v:fill type="solid"/>
            </v:shape>
            <v:shape style="position:absolute;left:10268;top:1270;width:574;height:1200" type="#_x0000_t75" id="docshape8" stroked="false">
              <v:imagedata r:id="rId9" o:title=""/>
            </v:shape>
            <v:shape style="position:absolute;left:10075;top:1990;width:12;height:40" type="#_x0000_t75" id="docshape9" stroked="false">
              <v:imagedata r:id="rId10" o:title=""/>
            </v:shape>
            <v:shape style="position:absolute;left:9796;top:1410;width:68;height:120" type="#_x0000_t75" id="docshape10" stroked="false">
              <v:imagedata r:id="rId11" o:title=""/>
            </v:shape>
            <v:shape style="position:absolute;left:9830;top:0;width:433;height:1410" type="#_x0000_t75" id="docshape11" stroked="false">
              <v:imagedata r:id="rId12" o:title=""/>
            </v:shape>
            <v:shape style="position:absolute;left:9422;top:747;width:337;height:503" type="#_x0000_t75" id="docshape12" stroked="false">
              <v:imagedata r:id="rId13" o:title=""/>
            </v:shape>
            <v:shape style="position:absolute;left:9570;top:470;width:79;height:140" type="#_x0000_t75" id="docshape13" stroked="false">
              <v:imagedata r:id="rId14" o:title=""/>
            </v:shape>
            <v:shape style="position:absolute;left:11029;top:0;width:122;height:1028" type="#_x0000_t75" id="docshape14" stroked="false">
              <v:imagedata r:id="rId15" o:title=""/>
            </v:shape>
            <v:shape style="position:absolute;left:10391;top:165;width:1513;height:4103" type="#_x0000_t75" id="docshape15" stroked="false">
              <v:imagedata r:id="rId16" o:title=""/>
            </v:shape>
            <v:shape style="position:absolute;left:11029;top:0;width:875;height:1028" type="#_x0000_t75" id="docshape16" stroked="false">
              <v:imagedata r:id="rId17" o:title=""/>
            </v:shape>
            <v:shape style="position:absolute;left:10354;top:1028;width:675;height:1597" type="#_x0000_t75" id="docshape17" stroked="false">
              <v:imagedata r:id="rId18" o:title=""/>
            </v:shape>
            <v:shape style="position:absolute;left:10940;top:0;width:211;height:1136" type="#_x0000_t75" id="docshape18" stroked="false">
              <v:imagedata r:id="rId19" o:title=""/>
            </v:shape>
            <v:shape style="position:absolute;left:10316;top:1136;width:624;height:1412" type="#_x0000_t75" id="docshape19" stroked="false">
              <v:imagedata r:id="rId20" o:title=""/>
            </v:shape>
            <v:shape style="position:absolute;left:10842;top:0;width:250;height:1259" type="#_x0000_t75" id="docshape20" stroked="false">
              <v:imagedata r:id="rId21" o:title=""/>
            </v:shape>
            <v:shape style="position:absolute;left:10279;top:1259;width:564;height:1211" type="#_x0000_t75" id="docshape21" stroked="false">
              <v:imagedata r:id="rId22" o:title=""/>
            </v:shape>
            <v:shape style="position:absolute;left:10730;top:0;width:303;height:1406" type="#_x0000_t75" id="docshape22" stroked="false">
              <v:imagedata r:id="rId23" o:title=""/>
            </v:shape>
            <v:shape style="position:absolute;left:10241;top:1406;width:490;height:988" type="#_x0000_t75" id="docshape23" stroked="false">
              <v:imagedata r:id="rId24" o:title=""/>
            </v:shape>
            <v:shape style="position:absolute;left:10593;top:0;width:381;height:1597" type="#_x0000_t75" id="docshape24" stroked="false">
              <v:imagedata r:id="rId25" o:title=""/>
            </v:shape>
            <v:shape style="position:absolute;left:10202;top:1597;width:392;height:721" type="#_x0000_t75" id="docshape25" stroked="false">
              <v:imagedata r:id="rId26" o:title=""/>
            </v:shape>
            <v:shape style="position:absolute;left:10375;top:0;width:541;height:1929" type="#_x0000_t75" id="docshape26" stroked="false">
              <v:imagedata r:id="rId27" o:title=""/>
            </v:shape>
            <v:shape style="position:absolute;left:10196;top:1929;width:179;height:314" type="#_x0000_t75" id="docshape27" stroked="false">
              <v:imagedata r:id="rId28" o:title=""/>
            </v:shape>
            <v:shape style="position:absolute;left:10163;top:0;width:694;height:2230" type="#_x0000_t75" id="docshape28" stroked="false">
              <v:imagedata r:id="rId29" o:title=""/>
            </v:shape>
            <v:shape style="position:absolute;left:10124;top:0;width:674;height:2168" type="#_x0000_t75" id="docshape29" stroked="false">
              <v:imagedata r:id="rId30" o:title=""/>
            </v:shape>
            <v:shape style="position:absolute;left:10084;top:0;width:655;height:2093" type="#_x0000_t75" id="docshape30" stroked="false">
              <v:imagedata r:id="rId31" o:title=""/>
            </v:shape>
            <v:shape style="position:absolute;left:10044;top:0;width:637;height:2020" type="#_x0000_t75" id="docshape31" stroked="false">
              <v:imagedata r:id="rId32" o:title=""/>
            </v:shape>
            <v:shape style="position:absolute;left:10004;top:0;width:617;height:1946" type="#_x0000_t75" id="docshape32" stroked="false">
              <v:imagedata r:id="rId33" o:title=""/>
            </v:shape>
            <v:shape style="position:absolute;left:9963;top:0;width:598;height:1874" type="#_x0000_t75" id="docshape33" stroked="false">
              <v:imagedata r:id="rId34" o:title=""/>
            </v:shape>
            <v:shape style="position:absolute;left:9921;top:0;width:580;height:1801" type="#_x0000_t75" id="docshape34" stroked="false">
              <v:imagedata r:id="rId35" o:title=""/>
            </v:shape>
            <v:shape style="position:absolute;left:9880;top:0;width:562;height:1730" type="#_x0000_t75" id="docshape35" stroked="false">
              <v:imagedata r:id="rId36" o:title=""/>
            </v:shape>
            <v:shape style="position:absolute;left:9838;top:0;width:544;height:1658" type="#_x0000_t75" id="docshape36" stroked="false">
              <v:imagedata r:id="rId37" o:title=""/>
            </v:shape>
            <v:shape style="position:absolute;left:9863;top:0;width:458;height:1481" type="#_x0000_t75" id="docshape37" stroked="false">
              <v:imagedata r:id="rId38" o:title=""/>
            </v:shape>
            <v:shape style="position:absolute;left:9796;top:1391;width:101;height:197" type="#_x0000_t75" id="docshape38" stroked="false">
              <v:imagedata r:id="rId39" o:title=""/>
            </v:shape>
            <v:shape style="position:absolute;left:9830;top:0;width:431;height:1391" type="#_x0000_t75" id="docshape39" stroked="false">
              <v:imagedata r:id="rId40" o:title=""/>
            </v:shape>
            <v:shape style="position:absolute;left:9753;top:1301;width:110;height:217" type="#_x0000_t75" id="docshape40" stroked="false">
              <v:imagedata r:id="rId41" o:title=""/>
            </v:shape>
            <v:shape style="position:absolute;left:9797;top:0;width:403;height:1301" type="#_x0000_t75" id="docshape41" stroked="false">
              <v:imagedata r:id="rId42" o:title=""/>
            </v:shape>
            <v:shape style="position:absolute;left:9710;top:1210;width:120;height:238" type="#_x0000_t75" id="docshape42" stroked="false">
              <v:imagedata r:id="rId43" o:title=""/>
            </v:shape>
            <v:shape style="position:absolute;left:9763;top:0;width:376;height:1210" type="#_x0000_t75" id="docshape43" stroked="false">
              <v:imagedata r:id="rId44" o:title=""/>
            </v:shape>
            <v:shape style="position:absolute;left:9668;top:1119;width:130;height:260" type="#_x0000_t75" id="docshape44" stroked="false">
              <v:imagedata r:id="rId45" o:title=""/>
            </v:shape>
            <v:shape style="position:absolute;left:9730;top:0;width:349;height:1119" type="#_x0000_t75" id="docshape45" stroked="false">
              <v:imagedata r:id="rId46" o:title=""/>
            </v:shape>
            <v:shape style="position:absolute;left:9625;top:1028;width:139;height:282" type="#_x0000_t75" id="docshape46" stroked="false">
              <v:imagedata r:id="rId47" o:title=""/>
            </v:shape>
            <v:shape style="position:absolute;left:9696;top:0;width:322;height:1028" type="#_x0000_t75" id="docshape47" stroked="false">
              <v:imagedata r:id="rId48" o:title=""/>
            </v:shape>
            <v:shape style="position:absolute;left:9582;top:935;width:148;height:306" type="#_x0000_t75" id="docshape48" stroked="false">
              <v:imagedata r:id="rId49" o:title=""/>
            </v:shape>
            <v:shape style="position:absolute;left:9661;top:0;width:295;height:935" type="#_x0000_t75" id="docshape49" stroked="false">
              <v:imagedata r:id="rId50" o:title=""/>
            </v:shape>
            <v:shape style="position:absolute;left:9538;top:842;width:158;height:330" type="#_x0000_t75" id="docshape50" stroked="false">
              <v:imagedata r:id="rId51" o:title=""/>
            </v:shape>
            <v:shape style="position:absolute;left:9627;top:109;width:250;height:734" type="#_x0000_t75" id="docshape51" stroked="false">
              <v:imagedata r:id="rId52" o:title=""/>
            </v:shape>
            <v:shape style="position:absolute;left:9495;top:749;width:167;height:355" type="#_x0000_t75" id="docshape52" stroked="false">
              <v:imagedata r:id="rId53" o:title=""/>
            </v:shape>
            <v:shape style="position:absolute;left:9592;top:257;width:190;height:492" type="#_x0000_t75" id="docshape53" stroked="false">
              <v:imagedata r:id="rId54" o:title=""/>
            </v:shape>
            <v:shape style="position:absolute;left:9452;top:442;width:213;height:592" type="#_x0000_t75" id="docshape54" stroked="false">
              <v:imagedata r:id="rId55" o:title=""/>
            </v:shape>
            <v:shape style="position:absolute;left:9400;top:595;width:192;height:370" type="#_x0000_t75" id="docshape55" stroked="false">
              <v:imagedata r:id="rId56" o:title=""/>
            </v:shape>
            <v:shape style="position:absolute;left:9145;top:0;width:176;height:486" type="#_x0000_t75" id="docshape56" stroked="false">
              <v:imagedata r:id="rId57" o:title=""/>
            </v:shape>
            <v:shape style="position:absolute;left:9448;top:0;width:197;height:462" type="#_x0000_t75" id="docshape57" stroked="false">
              <v:imagedata r:id="rId58" o:title=""/>
            </v:shape>
            <v:shape style="position:absolute;left:9819;top:0;width:127;height:109" type="#_x0000_t75" id="docshape58" stroked="false">
              <v:imagedata r:id="rId59" o:title=""/>
            </v:shape>
            <v:shape style="position:absolute;left:9781;top:0;width:113;height:257" type="#_x0000_t75" id="docshape59" stroked="false">
              <v:imagedata r:id="rId60" o:title=""/>
            </v:shape>
            <v:shape style="position:absolute;left:9665;top:0;width:168;height:442" type="#_x0000_t75" id="docshape60" stroked="false">
              <v:imagedata r:id="rId61" o:title=""/>
            </v:shape>
            <v:shape style="position:absolute;left:9480;top:0;width:290;height:747" type="#_x0000_t75" id="docshape61" stroked="false">
              <v:imagedata r:id="rId62" o:title=""/>
            </v:shape>
            <v:shape style="position:absolute;left:9521;top:0;width:186;height:558" type="#_x0000_t75" id="docshape62" stroked="false">
              <v:imagedata r:id="rId63" o:title=""/>
            </v:shape>
            <v:shape style="position:absolute;left:9364;top:460;width:192;height:424" type="#_x0000_t75" id="docshape63" stroked="false">
              <v:imagedata r:id="rId64" o:title=""/>
            </v:shape>
            <v:shape style="position:absolute;left:9485;top:0;width:160;height:460" type="#_x0000_t75" id="docshape64" stroked="false">
              <v:imagedata r:id="rId65" o:title=""/>
            </v:shape>
            <v:shape style="position:absolute;left:9321;top:362;width:200;height:467" type="#_x0000_t75" id="docshape65" stroked="false">
              <v:imagedata r:id="rId66" o:title=""/>
            </v:shape>
            <v:shape style="position:absolute;left:9448;top:0;width:132;height:362" type="#_x0000_t75" id="docshape66" stroked="false">
              <v:imagedata r:id="rId67" o:title=""/>
            </v:shape>
            <v:shape style="position:absolute;left:9277;top:261;width:208;height:499" type="#_x0000_t75" id="docshape67" stroked="false">
              <v:imagedata r:id="rId68" o:title=""/>
            </v:shape>
            <v:shape style="position:absolute;left:9411;top:0;width:106;height:261" type="#_x0000_t75" id="docshape68" stroked="false">
              <v:imagedata r:id="rId69" o:title=""/>
            </v:shape>
            <v:shape style="position:absolute;left:9233;top:0;width:219;height:691" type="#_x0000_t75" id="docshape69" stroked="false">
              <v:imagedata r:id="rId70" o:title=""/>
            </v:shape>
            <v:shape style="position:absolute;left:9189;top:0;width:222;height:622" type="#_x0000_t75" id="docshape70" stroked="false">
              <v:imagedata r:id="rId71" o:title=""/>
            </v:shape>
            <v:shape style="position:absolute;left:9145;top:0;width:228;height:554" type="#_x0000_t75" id="docshape71" stroked="false">
              <v:imagedata r:id="rId72" o:title=""/>
            </v:shape>
            <v:shape style="position:absolute;left:9101;top:0;width:220;height:485" type="#_x0000_t75" id="docshape72" stroked="false">
              <v:imagedata r:id="rId73" o:title=""/>
            </v:shape>
            <v:shape style="position:absolute;left:9057;top:0;width:197;height:417" type="#_x0000_t75" id="docshape73" stroked="false">
              <v:imagedata r:id="rId74" o:title=""/>
            </v:shape>
            <v:shape style="position:absolute;left:9009;top:0;width:179;height:348" type="#_x0000_t75" id="docshape74" stroked="false">
              <v:imagedata r:id="rId75" o:title=""/>
            </v:shape>
            <v:shape style="position:absolute;left:8969;top:0;width:151;height:279" type="#_x0000_t75" id="docshape75" stroked="false">
              <v:imagedata r:id="rId76" o:title=""/>
            </v:shape>
            <v:shape style="position:absolute;left:8924;top:0;width:126;height:210" type="#_x0000_t75" id="docshape76" stroked="false">
              <v:imagedata r:id="rId77" o:title=""/>
            </v:shape>
            <v:shape style="position:absolute;left:8834;top:0;width:147;height:142" type="#_x0000_t75" id="docshape77" stroked="false">
              <v:imagedata r:id="rId78" o:title=""/>
            </v:shape>
            <v:shape style="position:absolute;left:8393;top:1208;width:1533;height:2700" type="#_x0000_t75" id="docshape78" stroked="false">
              <v:imagedata r:id="rId79" o:title=""/>
            </v:shape>
            <v:shape style="position:absolute;left:10305;top:2688;width:263;height:980" type="#_x0000_t75" id="docshape79" stroked="false">
              <v:imagedata r:id="rId80" o:title=""/>
            </v:shape>
            <v:shape style="position:absolute;left:8060;top:2648;width:102;height:100" type="#_x0000_t75" id="docshape80" stroked="false">
              <v:imagedata r:id="rId81" o:title=""/>
            </v:shape>
            <v:shape style="position:absolute;left:10218;top:2408;width:89;height:215" type="#_x0000_t75" id="docshape81" stroked="false">
              <v:imagedata r:id="rId82" o:title=""/>
            </v:shape>
            <v:shape style="position:absolute;left:10321;top:2639;width:692;height:1629" type="#_x0000_t75" id="docshape82" stroked="false">
              <v:imagedata r:id="rId83" o:title=""/>
            </v:shape>
            <v:shape style="position:absolute;left:8762;top:3865;width:287;height:404" type="#_x0000_t75" id="docshape83" stroked="false">
              <v:imagedata r:id="rId84" o:title=""/>
            </v:shape>
            <v:shape style="position:absolute;left:9334;top:2729;width:1362;height:1540" type="#_x0000_t75" id="docshape84" stroked="false">
              <v:imagedata r:id="rId85" o:title=""/>
            </v:shape>
            <v:shape style="position:absolute;left:8928;top:3495;width:676;height:773" type="#_x0000_t75" id="docshape85" stroked="false">
              <v:imagedata r:id="rId86" o:title=""/>
            </v:shape>
            <v:shape style="position:absolute;left:10294;top:2562;width:87;height:167" type="#_x0000_t75" id="docshape86" stroked="false">
              <v:imagedata r:id="rId87" o:title=""/>
            </v:shape>
            <v:shape style="position:absolute;left:8722;top:3784;width:206;height:133" type="#_x0000_t75" id="docshape87" stroked="false">
              <v:imagedata r:id="rId88" o:title=""/>
            </v:shape>
            <v:shape style="position:absolute;left:9604;top:2638;width:718;height:857" type="#_x0000_t75" id="docshape88" stroked="false">
              <v:imagedata r:id="rId89" o:title=""/>
            </v:shape>
            <v:shape style="position:absolute;left:8902;top:3344;width:763;height:521" type="#_x0000_t75" id="docshape89" stroked="false">
              <v:imagedata r:id="rId90" o:title=""/>
            </v:shape>
            <v:shape style="position:absolute;left:10266;top:2485;width:78;height:154" type="#_x0000_t75" id="docshape90" stroked="false">
              <v:imagedata r:id="rId91" o:title=""/>
            </v:shape>
            <v:shape style="position:absolute;left:8682;top:3703;width:220;height:136" type="#_x0000_t75" id="docshape91" stroked="false">
              <v:imagedata r:id="rId92" o:title=""/>
            </v:shape>
            <v:shape style="position:absolute;left:9664;top:2548;width:630;height:796" type="#_x0000_t75" id="docshape92" stroked="false">
              <v:imagedata r:id="rId93" o:title=""/>
            </v:shape>
            <v:shape style="position:absolute;left:8876;top:3177;width:859;height:607" type="#_x0000_t75" id="docshape93" stroked="false">
              <v:imagedata r:id="rId94" o:title=""/>
            </v:shape>
            <v:shape style="position:absolute;left:10237;top:2409;width:70;height:140" type="#_x0000_t75" id="docshape94" stroked="false">
              <v:imagedata r:id="rId95" o:title=""/>
            </v:shape>
            <v:shape style="position:absolute;left:8640;top:3622;width:236;height:139" type="#_x0000_t75" id="docshape95" stroked="false">
              <v:imagedata r:id="rId96" o:title=""/>
            </v:shape>
            <v:shape style="position:absolute;left:9734;top:2458;width:532;height:719" type="#_x0000_t75" id="docshape96" stroked="false">
              <v:imagedata r:id="rId97" o:title=""/>
            </v:shape>
            <v:shape style="position:absolute;left:8849;top:2987;width:969;height:717" type="#_x0000_t75" id="docshape97" stroked="false">
              <v:imagedata r:id="rId98" o:title=""/>
            </v:shape>
            <v:shape style="position:absolute;left:10208;top:2333;width:61;height:126" type="#_x0000_t75" id="docshape98" stroked="false">
              <v:imagedata r:id="rId99" o:title=""/>
            </v:shape>
            <v:shape style="position:absolute;left:8598;top:3541;width:251;height:142" type="#_x0000_t75" id="docshape99" stroked="false">
              <v:imagedata r:id="rId100" o:title=""/>
            </v:shape>
            <v:shape style="position:absolute;left:9817;top:2369;width:420;height:618" type="#_x0000_t75" id="docshape100" stroked="false">
              <v:imagedata r:id="rId101" o:title=""/>
            </v:shape>
            <v:shape style="position:absolute;left:10161;top:2228;width:71;height:141" type="#_x0000_t75" id="docshape101" stroked="false">
              <v:imagedata r:id="rId102" o:title=""/>
            </v:shape>
            <v:shape style="position:absolute;left:8822;top:2753;width:1104;height:870" type="#_x0000_t75" id="docshape102" stroked="false">
              <v:imagedata r:id="rId103" o:title=""/>
            </v:shape>
            <v:shape style="position:absolute;left:8555;top:3461;width:267;height:145" type="#_x0000_t75" id="docshape103" stroked="false">
              <v:imagedata r:id="rId104" o:title=""/>
            </v:shape>
            <v:shape style="position:absolute;left:9926;top:2280;width:283;height:474" type="#_x0000_t75" id="docshape104" stroked="false">
              <v:imagedata r:id="rId105" o:title=""/>
            </v:shape>
            <v:shape style="position:absolute;left:8794;top:2382;width:1319;height:1160" type="#_x0000_t75" id="docshape105" stroked="false">
              <v:imagedata r:id="rId106" o:title=""/>
            </v:shape>
            <v:shape style="position:absolute;left:8512;top:3381;width:283;height:147" type="#_x0000_t75" id="docshape106" stroked="false">
              <v:imagedata r:id="rId107" o:title=""/>
            </v:shape>
            <v:shape style="position:absolute;left:10112;top:2183;width:81;height:200" type="#_x0000_t75" id="docshape107" stroked="false">
              <v:imagedata r:id="rId108" o:title=""/>
            </v:shape>
            <v:shape style="position:absolute;left:8766;top:2138;width:1409;height:1323" type="#_x0000_t75" id="docshape108" stroked="false">
              <v:imagedata r:id="rId109" o:title=""/>
            </v:shape>
            <v:shape style="position:absolute;left:8467;top:3301;width:299;height:149" type="#_x0000_t75" id="docshape109" stroked="false">
              <v:imagedata r:id="rId110" o:title=""/>
            </v:shape>
            <v:shape style="position:absolute;left:8737;top:2108;width:1412;height:1273" type="#_x0000_t75" id="docshape110" stroked="false">
              <v:imagedata r:id="rId111" o:title=""/>
            </v:shape>
            <v:shape style="position:absolute;left:8422;top:3221;width:316;height:151" type="#_x0000_t75" id="docshape111" stroked="false">
              <v:imagedata r:id="rId112" o:title=""/>
            </v:shape>
            <v:shape style="position:absolute;left:8708;top:2035;width:1407;height:1266" type="#_x0000_t75" id="docshape112" stroked="false">
              <v:imagedata r:id="rId113" o:title=""/>
            </v:shape>
            <v:shape style="position:absolute;left:8375;top:3141;width:333;height:152" type="#_x0000_t75" id="docshape113" stroked="false">
              <v:imagedata r:id="rId114" o:title=""/>
            </v:shape>
            <v:shape style="position:absolute;left:8678;top:1961;width:1397;height:1260" type="#_x0000_t75" id="docshape114" stroked="false">
              <v:imagedata r:id="rId115" o:title=""/>
            </v:shape>
            <v:shape style="position:absolute;left:8367;top:3061;width:311;height:153" type="#_x0000_t75" id="docshape115" stroked="false">
              <v:imagedata r:id="rId116" o:title=""/>
            </v:shape>
            <v:shape style="position:absolute;left:8648;top:1889;width:1387;height:1252" type="#_x0000_t75" id="docshape116" stroked="false">
              <v:imagedata r:id="rId117" o:title=""/>
            </v:shape>
            <v:shape style="position:absolute;left:8393;top:2981;width:255;height:144" type="#_x0000_t75" id="docshape117" stroked="false">
              <v:imagedata r:id="rId118" o:title=""/>
            </v:shape>
            <v:shape style="position:absolute;left:8618;top:1816;width:1377;height:1245" type="#_x0000_t75" id="docshape118" stroked="false">
              <v:imagedata r:id="rId119" o:title=""/>
            </v:shape>
            <v:shape style="position:absolute;left:8426;top:2902;width:192;height:130" type="#_x0000_t75" id="docshape119" stroked="false">
              <v:imagedata r:id="rId120" o:title=""/>
            </v:shape>
            <v:shape style="position:absolute;left:8586;top:1745;width:1368;height:1237" type="#_x0000_t75" id="docshape120" stroked="false">
              <v:imagedata r:id="rId121" o:title=""/>
            </v:shape>
            <v:shape style="position:absolute;left:8218;top:1674;width:1695;height:1228" type="#_x0000_t75" id="docshape121" stroked="false">
              <v:imagedata r:id="rId122" o:title=""/>
            </v:shape>
            <v:shape style="position:absolute;left:8460;top:2822;width:127;height:115" type="#_x0000_t75" id="docshape122" stroked="false">
              <v:imagedata r:id="rId123" o:title=""/>
            </v:shape>
            <v:shape style="position:absolute;left:8527;top:1603;width:1345;height:1220" type="#_x0000_t75" id="docshape123" stroked="false">
              <v:imagedata r:id="rId124" o:title=""/>
            </v:shape>
            <v:shape style="position:absolute;left:8532;top:1533;width:1298;height:1208" type="#_x0000_t75" id="docshape124" stroked="false">
              <v:imagedata r:id="rId125" o:title=""/>
            </v:shape>
            <v:shape style="position:absolute;left:8571;top:1464;width:1216;height:1174" type="#_x0000_t75" id="docshape125" stroked="false">
              <v:imagedata r:id="rId126" o:title=""/>
            </v:shape>
            <v:shape style="position:absolute;left:8613;top:1394;width:1132;height:1137" type="#_x0000_t75" id="docshape126" stroked="false">
              <v:imagedata r:id="rId127" o:title=""/>
            </v:shape>
            <v:shape style="position:absolute;left:8658;top:1325;width:1044;height:1095" type="#_x0000_t75" id="docshape127" stroked="false">
              <v:imagedata r:id="rId128" o:title=""/>
            </v:shape>
            <v:shape style="position:absolute;left:8706;top:1256;width:954;height:1048" type="#_x0000_t75" id="docshape128" stroked="false">
              <v:imagedata r:id="rId129" o:title=""/>
            </v:shape>
            <v:shape style="position:absolute;left:8758;top:1187;width:859;height:993" type="#_x0000_t75" id="docshape129" stroked="false">
              <v:imagedata r:id="rId130" o:title=""/>
            </v:shape>
            <v:shape style="position:absolute;left:8816;top:1118;width:757;height:928" type="#_x0000_t75" id="docshape130" stroked="false">
              <v:imagedata r:id="rId131" o:title=""/>
            </v:shape>
            <v:shape style="position:absolute;left:8882;top:1050;width:648;height:850" type="#_x0000_t75" id="docshape131" stroked="false">
              <v:imagedata r:id="rId132" o:title=""/>
            </v:shape>
            <v:shape style="position:absolute;left:8960;top:981;width:527;height:751" type="#_x0000_t75" id="docshape132" stroked="false">
              <v:imagedata r:id="rId133" o:title=""/>
            </v:shape>
            <v:shape style="position:absolute;left:9060;top:912;width:383;height:612" type="#_x0000_t75" id="docshape133" stroked="false">
              <v:imagedata r:id="rId134" o:title=""/>
            </v:shape>
            <v:shape style="position:absolute;left:9231;top:900;width:170;height:294" type="#_x0000_t75" id="docshape134" stroked="false">
              <v:imagedata r:id="rId135" o:title=""/>
            </v:shape>
            <v:shape style="position:absolute;left:8328;top:3125;width:66;height:76" type="#_x0000_t75" id="docshape135" stroked="false">
              <v:imagedata r:id="rId136" o:title=""/>
            </v:shape>
            <v:shape style="position:absolute;left:8279;top:3032;width:147;height:104" type="#_x0000_t75" id="docshape136" stroked="false">
              <v:imagedata r:id="rId137" o:title=""/>
            </v:shape>
            <v:shape style="position:absolute;left:8230;top:2937;width:230;height:119" type="#_x0000_t75" id="docshape137" stroked="false">
              <v:imagedata r:id="rId138" o:title=""/>
            </v:shape>
            <v:shape style="position:absolute;left:8179;top:2840;width:317;height:136" type="#_x0000_t75" id="docshape138" stroked="false">
              <v:imagedata r:id="rId139" o:title=""/>
            </v:shape>
            <v:shape style="position:absolute;left:8075;top:2732;width:458;height:163" type="#_x0000_t75" id="docshape139" stroked="false">
              <v:imagedata r:id="rId140" o:title=""/>
            </v:shape>
            <v:shape style="position:absolute;left:8073;top:2638;width:499;height:177" type="#_x0000_t75" id="docshape140" stroked="false">
              <v:imagedata r:id="rId141" o:title=""/>
            </v:shape>
            <v:shape style="position:absolute;left:8076;top:2585;width:414;height:147" type="#_x0000_t75" id="docshape141" stroked="false">
              <v:imagedata r:id="rId142" o:title=""/>
            </v:shape>
            <v:shape style="position:absolute;left:8457;top:2531;width:157;height:134" type="#_x0000_t75" id="docshape142" stroked="false">
              <v:imagedata r:id="rId143" o:title=""/>
            </v:shape>
            <v:shape style="position:absolute;left:8017;top:2561;width:99;height:172" type="#_x0000_t75" id="docshape143" stroked="false">
              <v:imagedata r:id="rId144" o:title=""/>
            </v:shape>
            <v:shape style="position:absolute;left:8095;top:2506;width:362;height:141" type="#_x0000_t75" id="docshape144" stroked="false">
              <v:imagedata r:id="rId145" o:title=""/>
            </v:shape>
            <v:shape style="position:absolute;left:8423;top:2420;width:235;height:166" type="#_x0000_t75" id="docshape145" stroked="false">
              <v:imagedata r:id="rId146" o:title=""/>
            </v:shape>
            <v:shape style="position:absolute;left:7927;top:1980;width:890;height:294" type="#_x0000_t75" id="docshape146" stroked="false">
              <v:imagedata r:id="rId147" o:title=""/>
            </v:shape>
            <v:shape style="position:absolute;left:7797;top:2060;width:61;height:4" type="#_x0000_t75" id="docshape147" stroked="false">
              <v:imagedata r:id="rId148" o:title=""/>
            </v:shape>
            <v:shape style="position:absolute;left:7568;top:1937;width:34;height:114" type="#_x0000_t75" id="docshape148" stroked="false">
              <v:imagedata r:id="rId149" o:title=""/>
            </v:shape>
            <v:shape style="position:absolute;left:8143;top:1722;width:510;height:231" type="#_x0000_t75" id="docshape149" stroked="false">
              <v:imagedata r:id="rId150" o:title=""/>
            </v:shape>
            <v:shape style="position:absolute;left:8305;top:802;width:914;height:921" type="#_x0000_t75" id="docshape150" stroked="false">
              <v:imagedata r:id="rId151" o:title=""/>
            </v:shape>
            <v:shape style="position:absolute;left:7515;top:1760;width:359;height:89" type="#_x0000_t75" id="docshape151" stroked="false">
              <v:imagedata r:id="rId152" o:title=""/>
            </v:shape>
            <v:shape style="position:absolute;left:7372;top:1628;width:116;height:44" type="#_x0000_t75" id="docshape152" stroked="false">
              <v:imagedata r:id="rId153" o:title=""/>
            </v:shape>
            <v:shape style="position:absolute;left:6176;top:0;width:1391;height:1582" type="#_x0000_t75" id="docshape153" stroked="false">
              <v:imagedata r:id="rId154" o:title=""/>
            </v:shape>
            <v:shape style="position:absolute;left:8086;top:1618;width:22;height:5" type="#_x0000_t75" id="docshape154" stroked="false">
              <v:imagedata r:id="rId155" o:title=""/>
            </v:shape>
            <v:shape style="position:absolute;left:7201;top:809;width:161;height:155" type="#_x0000_t75" id="docshape155" stroked="false">
              <v:imagedata r:id="rId156" o:title=""/>
            </v:shape>
            <v:shape style="position:absolute;left:7163;top:701;width:226;height:194" type="#_x0000_t75" id="docshape156" stroked="false">
              <v:imagedata r:id="rId157" o:title=""/>
            </v:shape>
            <v:shape style="position:absolute;left:7124;top:590;width:294;height:235" type="#_x0000_t75" id="docshape157" stroked="false">
              <v:imagedata r:id="rId158" o:title=""/>
            </v:shape>
            <v:shape style="position:absolute;left:7082;top:472;width:365;height:283" type="#_x0000_t75" id="docshape158" stroked="false">
              <v:imagedata r:id="rId159" o:title=""/>
            </v:shape>
            <v:shape style="position:absolute;left:7037;top:346;width:441;height:338" type="#_x0000_t75" id="docshape159" stroked="false">
              <v:imagedata r:id="rId160" o:title=""/>
            </v:shape>
            <v:shape style="position:absolute;left:6988;top:208;width:522;height:405" type="#_x0000_t75" id="docshape160" stroked="false">
              <v:imagedata r:id="rId161" o:title=""/>
            </v:shape>
            <v:shape style="position:absolute;left:6914;top:0;width:584;height:536" type="#_x0000_t75" id="docshape161" stroked="false">
              <v:imagedata r:id="rId162" o:title=""/>
            </v:shape>
            <v:shape style="position:absolute;left:7249;top:0;width:511;height:538" type="#_x0000_t75" id="docshape162" stroked="false">
              <v:imagedata r:id="rId163" o:title=""/>
            </v:shape>
            <v:shape style="position:absolute;left:5946;top:0;width:218;height:276" type="#_x0000_t75" id="docshape163" stroked="false">
              <v:imagedata r:id="rId164" o:title=""/>
            </v:shape>
            <v:shape style="position:absolute;left:6102;top:0;width:126;height:357" type="#_x0000_t75" id="docshape164" stroked="false">
              <v:imagedata r:id="rId165" o:title=""/>
            </v:shape>
            <v:shape style="position:absolute;left:6139;top:0;width:164;height:451" type="#_x0000_t75" id="docshape165" stroked="false">
              <v:imagedata r:id="rId166" o:title=""/>
            </v:shape>
            <v:shape style="position:absolute;left:6176;top:0;width:219;height:565" type="#_x0000_t75" id="docshape166" stroked="false">
              <v:imagedata r:id="rId167" o:title=""/>
            </v:shape>
            <v:shape style="position:absolute;left:6214;top:0;width:312;height:728" type="#_x0000_t75" id="docshape167" stroked="false">
              <v:imagedata r:id="rId168" o:title=""/>
            </v:shape>
            <v:shape style="position:absolute;left:7011;top:1326;width:147;height:160" type="#_x0000_t75" id="docshape168" stroked="false">
              <v:imagedata r:id="rId169" o:title=""/>
            </v:shape>
            <v:shape style="position:absolute;left:6253;top:0;width:423;height:912" type="#_x0000_t75" id="docshape169" stroked="false">
              <v:imagedata r:id="rId170" o:title=""/>
            </v:shape>
            <v:shape style="position:absolute;left:6674;top:872;width:507;height:562" type="#_x0000_t75" id="docshape170" stroked="false">
              <v:imagedata r:id="rId171" o:title=""/>
            </v:shape>
            <v:shape style="position:absolute;left:6292;top:0;width:383;height:871" type="#_x0000_t75" id="docshape171" stroked="false">
              <v:imagedata r:id="rId172" o:title=""/>
            </v:shape>
            <v:shape style="position:absolute;left:6671;top:775;width:535;height:592" type="#_x0000_t75" id="docshape172" stroked="false">
              <v:imagedata r:id="rId173" o:title=""/>
            </v:shape>
            <v:shape style="position:absolute;left:6332;top:0;width:340;height:775" type="#_x0000_t75" id="docshape173" stroked="false">
              <v:imagedata r:id="rId174" o:title=""/>
            </v:shape>
            <v:shape style="position:absolute;left:6668;top:677;width:562;height:624" type="#_x0000_t75" id="docshape174" stroked="false">
              <v:imagedata r:id="rId175" o:title=""/>
            </v:shape>
            <v:shape style="position:absolute;left:6372;top:0;width:297;height:677" type="#_x0000_t75" id="docshape175" stroked="false">
              <v:imagedata r:id="rId176" o:title=""/>
            </v:shape>
            <v:shape style="position:absolute;left:6666;top:578;width:590;height:656" type="#_x0000_t75" id="docshape176" stroked="false">
              <v:imagedata r:id="rId177" o:title=""/>
            </v:shape>
            <v:shape style="position:absolute;left:6413;top:0;width:253;height:578" type="#_x0000_t75" id="docshape177" stroked="false">
              <v:imagedata r:id="rId178" o:title=""/>
            </v:shape>
            <v:shape style="position:absolute;left:6663;top:478;width:617;height:689" type="#_x0000_t75" id="docshape178" stroked="false">
              <v:imagedata r:id="rId179" o:title=""/>
            </v:shape>
            <v:shape style="position:absolute;left:6454;top:0;width:209;height:478" type="#_x0000_t75" id="docshape179" stroked="false">
              <v:imagedata r:id="rId180" o:title=""/>
            </v:shape>
            <v:shape style="position:absolute;left:6662;top:376;width:630;height:723" type="#_x0000_t75" id="docshape180" stroked="false">
              <v:imagedata r:id="rId181" o:title=""/>
            </v:shape>
            <v:shape style="position:absolute;left:6498;top:0;width:164;height:376" type="#_x0000_t75" id="docshape181" stroked="false">
              <v:imagedata r:id="rId182" o:title=""/>
            </v:shape>
            <v:shape style="position:absolute;left:6660;top:273;width:612;height:741" type="#_x0000_t75" id="docshape182" stroked="false">
              <v:imagedata r:id="rId183" o:title=""/>
            </v:shape>
            <v:shape style="position:absolute;left:6541;top:0;width:119;height:273" type="#_x0000_t75" id="docshape183" stroked="false">
              <v:imagedata r:id="rId184" o:title=""/>
            </v:shape>
            <v:shape style="position:absolute;left:6586;top:0;width:651;height:912" type="#_x0000_t75" id="docshape184" stroked="false">
              <v:imagedata r:id="rId185" o:title=""/>
            </v:shape>
            <v:shape style="position:absolute;left:6633;top:0;width:568;height:808" type="#_x0000_t75" id="docshape185" stroked="false">
              <v:imagedata r:id="rId186" o:title=""/>
            </v:shape>
            <v:shape style="position:absolute;left:6658;top:0;width:505;height:701" type="#_x0000_t75" id="docshape186" stroked="false">
              <v:imagedata r:id="rId187" o:title=""/>
            </v:shape>
            <v:shape style="position:absolute;left:6682;top:0;width:442;height:590" type="#_x0000_t75" id="docshape187" stroked="false">
              <v:imagedata r:id="rId188" o:title=""/>
            </v:shape>
            <v:shape style="position:absolute;left:6732;top:0;width:351;height:472" type="#_x0000_t75" id="docshape188" stroked="false">
              <v:imagedata r:id="rId189" o:title=""/>
            </v:shape>
            <v:shape style="position:absolute;left:6784;top:0;width:253;height:346" type="#_x0000_t75" id="docshape189" stroked="false">
              <v:imagedata r:id="rId190" o:title=""/>
            </v:shape>
            <v:shape style="position:absolute;left:6840;top:0;width:149;height:207" type="#_x0000_t75" id="docshape190" stroked="false">
              <v:imagedata r:id="rId191" o:title=""/>
            </v:shape>
            <v:shape style="position:absolute;left:8089;top:1494;width:144;height:41" type="#_x0000_t75" id="docshape191" stroked="false">
              <v:imagedata r:id="rId192" o:title=""/>
            </v:shape>
            <v:shape style="position:absolute;left:7945;top:1472;width:11;height:22" type="#_x0000_t75" id="docshape192" stroked="false">
              <v:imagedata r:id="rId193" o:title=""/>
            </v:shape>
            <v:shape style="position:absolute;left:7268;top:90;width:1958;height:1414" type="#_x0000_t75" id="docshape193" stroked="false">
              <v:imagedata r:id="rId194" o:title=""/>
            </v:shape>
            <v:shape style="position:absolute;left:7960;top:2474;width:177;height:175" type="#_x0000_t75" id="docshape194" stroked="false">
              <v:imagedata r:id="rId195" o:title=""/>
            </v:shape>
            <v:shape style="position:absolute;left:7901;top:2296;width:298;height:270" type="#_x0000_t75" id="docshape195" stroked="false">
              <v:imagedata r:id="rId196" o:title=""/>
            </v:shape>
            <v:shape style="position:absolute;left:8115;top:2427;width:308;height:134" type="#_x0000_t75" id="docshape196" stroked="false">
              <v:imagedata r:id="rId197" o:title=""/>
            </v:shape>
            <v:shape style="position:absolute;left:8388;top:2304;width:318;height:203" type="#_x0000_t75" id="docshape197" stroked="false">
              <v:imagedata r:id="rId198" o:title=""/>
            </v:shape>
            <v:shape style="position:absolute;left:8136;top:2348;width:252;height:126" type="#_x0000_t75" id="docshape198" stroked="false">
              <v:imagedata r:id="rId199" o:title=""/>
            </v:shape>
            <v:shape style="position:absolute;left:8353;top:2180;width:405;height:248" type="#_x0000_t75" id="docshape199" stroked="false">
              <v:imagedata r:id="rId200" o:title=""/>
            </v:shape>
            <v:shape style="position:absolute;left:7839;top:2297;width:343;height:185" type="#_x0000_t75" id="docshape200" stroked="false">
              <v:imagedata r:id="rId201" o:title=""/>
            </v:shape>
            <v:shape style="position:absolute;left:8159;top:2269;width:195;height:117" type="#_x0000_t75" id="docshape201" stroked="false">
              <v:imagedata r:id="rId202" o:title=""/>
            </v:shape>
            <v:shape style="position:absolute;left:8318;top:2046;width:499;height:303" type="#_x0000_t75" id="docshape202" stroked="false">
              <v:imagedata r:id="rId203" o:title=""/>
            </v:shape>
            <v:shape style="position:absolute;left:7775;top:2303;width:298;height:95" type="#_x0000_t75" id="docshape203" stroked="false">
              <v:imagedata r:id="rId204" o:title=""/>
            </v:shape>
            <v:shape style="position:absolute;left:8072;top:2206;width:134;height:104" type="#_x0000_t75" id="docshape204" stroked="false">
              <v:imagedata r:id="rId205" o:title=""/>
            </v:shape>
            <v:shape style="position:absolute;left:8182;top:2190;width:136;height:107" type="#_x0000_t75" id="docshape205" stroked="false">
              <v:imagedata r:id="rId206" o:title=""/>
            </v:shape>
            <v:shape style="position:absolute;left:8073;top:1899;width:810;height:371" type="#_x0000_t75" id="docshape206" stroked="false">
              <v:imagedata r:id="rId207" o:title=""/>
            </v:shape>
            <v:shape style="position:absolute;left:7707;top:2211;width:366;height:104" type="#_x0000_t75" id="docshape207" stroked="false">
              <v:imagedata r:id="rId208" o:title=""/>
            </v:shape>
            <v:shape style="position:absolute;left:8245;top:1731;width:715;height:460" type="#_x0000_t75" id="docshape208" stroked="false">
              <v:imagedata r:id="rId209" o:title=""/>
            </v:shape>
            <v:shape style="position:absolute;left:7636;top:2116;width:438;height:115" type="#_x0000_t75" id="docshape209" stroked="false">
              <v:imagedata r:id="rId210" o:title=""/>
            </v:shape>
            <v:shape style="position:absolute;left:8074;top:2020;width:186;height:120" type="#_x0000_t75" id="docshape210" stroked="false">
              <v:imagedata r:id="rId211" o:title=""/>
            </v:shape>
            <v:shape style="position:absolute;left:8237;top:1524;width:823;height:588" type="#_x0000_t75" id="docshape211" stroked="false">
              <v:imagedata r:id="rId212" o:title=""/>
            </v:shape>
            <v:shape style="position:absolute;left:7594;top:2025;width:481;height:123" type="#_x0000_t75" id="docshape212" stroked="false">
              <v:imagedata r:id="rId213" o:title=""/>
            </v:shape>
            <v:shape style="position:absolute;left:8075;top:1953;width:134;height:102" type="#_x0000_t75" id="docshape213" stroked="false">
              <v:imagedata r:id="rId214" o:title=""/>
            </v:shape>
            <v:shape style="position:absolute;left:8172;top:1924;width:116;height:109" type="#_x0000_t75" id="docshape214" stroked="false">
              <v:imagedata r:id="rId215" o:title=""/>
            </v:shape>
            <v:shape style="position:absolute;left:7568;top:1710;width:604;height:354" type="#_x0000_t75" id="docshape215" stroked="false">
              <v:imagedata r:id="rId216" o:title=""/>
            </v:shape>
            <v:shape style="position:absolute;left:8259;top:1193;width:972;height:828" type="#_x0000_t75" id="docshape216" stroked="false">
              <v:imagedata r:id="rId217" o:title=""/>
            </v:shape>
            <v:shape style="position:absolute;left:8134;top:1825;width:184;height:129" type="#_x0000_t75" id="docshape217" stroked="false">
              <v:imagedata r:id="rId218" o:title=""/>
            </v:shape>
            <v:shape style="position:absolute;left:8288;top:844;width:1104;height:1080" type="#_x0000_t75" id="docshape218" stroked="false">
              <v:imagedata r:id="rId219" o:title=""/>
            </v:shape>
            <v:shape style="position:absolute;left:7542;top:1794;width:593;height:187" type="#_x0000_t75" id="docshape219" stroked="false">
              <v:imagedata r:id="rId220" o:title=""/>
            </v:shape>
            <v:shape style="position:absolute;left:8097;top:1722;width:254;height:151" type="#_x0000_t75" id="docshape220" stroked="false">
              <v:imagedata r:id="rId221" o:title=""/>
            </v:shape>
            <v:shape style="position:absolute;left:8318;top:775;width:1038;height:1050" type="#_x0000_t75" id="docshape221" stroked="false">
              <v:imagedata r:id="rId222" o:title=""/>
            </v:shape>
            <v:shape style="position:absolute;left:7515;top:1760;width:582;height:137" type="#_x0000_t75" id="docshape222" stroked="false">
              <v:imagedata r:id="rId223" o:title=""/>
            </v:shape>
            <v:shape style="position:absolute;left:8081;top:1616;width:304;height:178" type="#_x0000_t75" id="docshape223" stroked="false">
              <v:imagedata r:id="rId224" o:title=""/>
            </v:shape>
            <v:shape style="position:absolute;left:8350;top:707;width:963;height:1016" type="#_x0000_t75" id="docshape224" stroked="false">
              <v:imagedata r:id="rId225" o:title=""/>
            </v:shape>
            <v:shape style="position:absolute;left:7488;top:1670;width:595;height:143" type="#_x0000_t75" id="docshape225" stroked="false">
              <v:imagedata r:id="rId226" o:title=""/>
            </v:shape>
            <v:shape style="position:absolute;left:8083;top:1504;width:341;height:206" type="#_x0000_t75" id="docshape226" stroked="false">
              <v:imagedata r:id="rId227" o:title=""/>
            </v:shape>
            <v:shape style="position:absolute;left:8385;top:638;width:884;height:978" type="#_x0000_t75" id="docshape227" stroked="false">
              <v:imagedata r:id="rId228" o:title=""/>
            </v:shape>
            <v:shape style="position:absolute;left:7459;top:1580;width:627;height:150" type="#_x0000_t75" id="docshape228" stroked="false">
              <v:imagedata r:id="rId229" o:title=""/>
            </v:shape>
            <v:shape style="position:absolute;left:8086;top:1386;width:379;height:237" type="#_x0000_t75" id="docshape229" stroked="false">
              <v:imagedata r:id="rId230" o:title=""/>
            </v:shape>
            <v:shape style="position:absolute;left:8423;top:570;width:802;height:934" type="#_x0000_t75" id="docshape230" stroked="false">
              <v:imagedata r:id="rId231" o:title=""/>
            </v:shape>
            <v:shape style="position:absolute;left:7431;top:1489;width:659;height:157" type="#_x0000_t75" id="docshape231" stroked="false">
              <v:imagedata r:id="rId232" o:title=""/>
            </v:shape>
            <v:shape style="position:absolute;left:8089;top:1259;width:422;height:276" type="#_x0000_t75" id="docshape232" stroked="false">
              <v:imagedata r:id="rId233" o:title=""/>
            </v:shape>
            <v:shape style="position:absolute;left:8465;top:502;width:717;height:885" type="#_x0000_t75" id="docshape233" stroked="false">
              <v:imagedata r:id="rId234" o:title=""/>
            </v:shape>
            <v:shape style="position:absolute;left:7401;top:1397;width:583;height:165" type="#_x0000_t75" id="docshape234" stroked="false">
              <v:imagedata r:id="rId235" o:title=""/>
            </v:shape>
            <v:shape style="position:absolute;left:7945;top:1446;width:148;height:106" type="#_x0000_t75" id="docshape235" stroked="false">
              <v:imagedata r:id="rId236" o:title=""/>
            </v:shape>
            <v:shape style="position:absolute;left:8093;top:1120;width:471;height:327" type="#_x0000_t75" id="docshape236" stroked="false">
              <v:imagedata r:id="rId237" o:title=""/>
            </v:shape>
            <v:shape style="position:absolute;left:8511;top:433;width:627;height:827" type="#_x0000_t75" id="docshape237" stroked="false">
              <v:imagedata r:id="rId238" o:title=""/>
            </v:shape>
            <v:shape style="position:absolute;left:7370;top:1303;width:575;height:175" type="#_x0000_t75" id="docshape238" stroked="false">
              <v:imagedata r:id="rId239" o:title=""/>
            </v:shape>
            <v:shape style="position:absolute;left:7906;top:1357;width:191;height:115" type="#_x0000_t75" id="docshape239" stroked="false">
              <v:imagedata r:id="rId240" o:title=""/>
            </v:shape>
            <v:shape style="position:absolute;left:8097;top:960;width:530;height:398" type="#_x0000_t75" id="docshape240" stroked="false">
              <v:imagedata r:id="rId241" o:title=""/>
            </v:shape>
            <v:shape style="position:absolute;left:8564;top:365;width:530;height:755" type="#_x0000_t75" id="docshape241" stroked="false">
              <v:imagedata r:id="rId242" o:title=""/>
            </v:shape>
            <v:shape style="position:absolute;left:7338;top:1208;width:568;height:186" type="#_x0000_t75" id="docshape242" stroked="false">
              <v:imagedata r:id="rId243" o:title=""/>
            </v:shape>
            <v:shape style="position:absolute;left:7867;top:1268;width:235;height:123" type="#_x0000_t75" id="docshape243" stroked="false">
              <v:imagedata r:id="rId244" o:title=""/>
            </v:shape>
            <v:shape style="position:absolute;left:8102;top:762;width:607;height:506" type="#_x0000_t75" id="docshape244" stroked="false">
              <v:imagedata r:id="rId245" o:title=""/>
            </v:shape>
            <v:shape style="position:absolute;left:8626;top:296;width:423;height:664" type="#_x0000_t75" id="docshape245" stroked="false">
              <v:imagedata r:id="rId246" o:title=""/>
            </v:shape>
            <v:shape style="position:absolute;left:7305;top:1111;width:562;height:199" type="#_x0000_t75" id="docshape246" stroked="false">
              <v:imagedata r:id="rId247" o:title=""/>
            </v:shape>
            <v:shape style="position:absolute;left:7827;top:1177;width:280;height:132" type="#_x0000_t75" id="docshape247" stroked="false">
              <v:imagedata r:id="rId248" o:title=""/>
            </v:shape>
            <v:shape style="position:absolute;left:8107;top:423;width:753;height:754" type="#_x0000_t75" id="docshape248" stroked="false">
              <v:imagedata r:id="rId249" o:title=""/>
            </v:shape>
            <v:shape style="position:absolute;left:8708;top:227;width:297;height:535" type="#_x0000_t75" id="docshape249" stroked="false">
              <v:imagedata r:id="rId250" o:title=""/>
            </v:shape>
            <v:shape style="position:absolute;left:7291;top:1031;width:537;height:196" type="#_x0000_t75" id="docshape250" stroked="false">
              <v:imagedata r:id="rId251" o:title=""/>
            </v:shape>
            <v:shape style="position:absolute;left:7788;top:1085;width:325;height:141" type="#_x0000_t75" id="docshape251" stroked="false">
              <v:imagedata r:id="rId252" o:title=""/>
            </v:shape>
            <v:shape style="position:absolute;left:8113;top:158;width:844;height:928" type="#_x0000_t75" id="docshape252" stroked="false">
              <v:imagedata r:id="rId253" o:title=""/>
            </v:shape>
            <v:shape style="position:absolute;left:8859;top:220;width:102;height:204" type="#_x0000_t75" id="docshape253" stroked="false">
              <v:imagedata r:id="rId254" o:title=""/>
            </v:shape>
            <v:shape style="position:absolute;left:7307;top:963;width:482;height:181" type="#_x0000_t75" id="docshape254" stroked="false">
              <v:imagedata r:id="rId255" o:title=""/>
            </v:shape>
            <v:shape style="position:absolute;left:7748;top:992;width:371;height:151" type="#_x0000_t75" id="docshape255" stroked="false">
              <v:imagedata r:id="rId256" o:title=""/>
            </v:shape>
            <v:shape style="position:absolute;left:8119;top:89;width:798;height:904" type="#_x0000_t75" id="docshape256" stroked="false">
              <v:imagedata r:id="rId257" o:title=""/>
            </v:shape>
            <v:shape style="position:absolute;left:7333;top:894;width:415;height:166" type="#_x0000_t75" id="docshape257" stroked="false">
              <v:imagedata r:id="rId258" o:title=""/>
            </v:shape>
            <v:shape style="position:absolute;left:7615;top:802;width:511;height:258" type="#_x0000_t75" id="docshape258" stroked="false">
              <v:imagedata r:id="rId259" o:title=""/>
            </v:shape>
            <v:shape style="position:absolute;left:7719;top:0;width:1110;height:809" type="#_x0000_t75" id="docshape259" stroked="false">
              <v:imagedata r:id="rId260" o:title=""/>
            </v:shape>
            <v:shape style="position:absolute;left:7484;top:614;width:100;height:103" type="#_x0000_t75" id="docshape260" stroked="false">
              <v:imagedata r:id="rId261" o:title=""/>
            </v:shape>
            <v:shape style="position:absolute;left:8126;top:20;width:747;height:879" type="#_x0000_t75" id="docshape261" stroked="false">
              <v:imagedata r:id="rId262" o:title=""/>
            </v:shape>
            <v:shape style="position:absolute;left:7361;top:825;width:347;height:150" type="#_x0000_t75" id="docshape262" stroked="false">
              <v:imagedata r:id="rId263" o:title=""/>
            </v:shape>
            <v:shape style="position:absolute;left:7667;top:802;width:467;height:174" type="#_x0000_t75" id="docshape263" stroked="false">
              <v:imagedata r:id="rId264" o:title=""/>
            </v:shape>
            <v:shape style="position:absolute;left:8134;top:0;width:695;height:802" type="#_x0000_t75" id="docshape264" stroked="false">
              <v:imagedata r:id="rId265" o:title=""/>
            </v:shape>
            <v:shape style="position:absolute;left:7389;top:755;width:278;height:135" type="#_x0000_t75" id="docshape265" stroked="false">
              <v:imagedata r:id="rId266" o:title=""/>
            </v:shape>
            <v:shape style="position:absolute;left:7626;top:705;width:517;height:188" type="#_x0000_t75" id="docshape266" stroked="false">
              <v:imagedata r:id="rId267" o:title=""/>
            </v:shape>
            <v:shape style="position:absolute;left:8142;top:0;width:620;height:705" type="#_x0000_t75" id="docshape267" stroked="false">
              <v:imagedata r:id="rId268" o:title=""/>
            </v:shape>
            <v:shape style="position:absolute;left:7418;top:684;width:208;height:120" type="#_x0000_t75" id="docshape268" stroked="false">
              <v:imagedata r:id="rId269" o:title=""/>
            </v:shape>
            <v:shape style="position:absolute;left:7584;top:604;width:568;height:205" type="#_x0000_t75" id="docshape269" stroked="false">
              <v:imagedata r:id="rId270" o:title=""/>
            </v:shape>
            <v:shape style="position:absolute;left:8151;top:0;width:535;height:604" type="#_x0000_t75" id="docshape270" stroked="false">
              <v:imagedata r:id="rId271" o:title=""/>
            </v:shape>
            <v:shape style="position:absolute;left:7447;top:612;width:137;height:104" type="#_x0000_t75" id="docshape271" stroked="false">
              <v:imagedata r:id="rId272" o:title=""/>
            </v:shape>
            <v:shape style="position:absolute;left:7541;top:501;width:620;height:224" type="#_x0000_t75" id="docshape272" stroked="false">
              <v:imagedata r:id="rId273" o:title=""/>
            </v:shape>
            <v:shape style="position:absolute;left:8161;top:0;width:446;height:501" type="#_x0000_t75" id="docshape273" stroked="false">
              <v:imagedata r:id="rId274" o:title=""/>
            </v:shape>
            <v:shape style="position:absolute;left:7478;top:550;width:63;height:77" type="#_x0000_t75" id="docshape274" stroked="false">
              <v:imagedata r:id="rId275" o:title=""/>
            </v:shape>
            <v:shape style="position:absolute;left:7505;top:394;width:668;height:247" type="#_x0000_t75" id="docshape275" stroked="false">
              <v:imagedata r:id="rId276" o:title=""/>
            </v:shape>
            <v:shape style="position:absolute;left:8173;top:0;width:352;height:394" type="#_x0000_t75" id="docshape276" stroked="false">
              <v:imagedata r:id="rId277" o:title=""/>
            </v:shape>
            <v:shape style="position:absolute;left:7510;top:0;width:712;height:557" type="#_x0000_t75" id="docshape277" stroked="false">
              <v:imagedata r:id="rId278" o:title=""/>
            </v:shape>
            <v:shape style="position:absolute;left:8050;top:4028;width:48;height:240" type="#_x0000_t75" id="docshape278" stroked="false">
              <v:imagedata r:id="rId279" o:title=""/>
            </v:shape>
            <v:shape style="position:absolute;left:6464;top:3968;width:49;height:300" type="#_x0000_t75" id="docshape279" stroked="false">
              <v:imagedata r:id="rId280" o:title=""/>
            </v:shape>
            <v:shape style="position:absolute;left:5302;top:0;width:2147;height:3968" type="#_x0000_t75" id="docshape280" stroked="false">
              <v:imagedata r:id="rId281" o:title=""/>
            </v:shape>
            <v:shape style="position:absolute;left:8200;top:3568;width:27;height:20" type="#_x0000_t75" id="docshape281" stroked="false">
              <v:imagedata r:id="rId282" o:title=""/>
            </v:shape>
            <v:shape style="position:absolute;left:8395;top:3548;width:73;height:20" type="#_x0000_t75" id="docshape282" stroked="false">
              <v:imagedata r:id="rId283" o:title=""/>
            </v:shape>
            <v:shape style="position:absolute;left:8278;top:3248;width:75;height:160" type="#_x0000_t75" id="docshape283" stroked="false">
              <v:imagedata r:id="rId284" o:title=""/>
            </v:shape>
            <v:shape style="position:absolute;left:8085;top:3189;width:2;height:20" type="#_x0000_t75" id="docshape284" stroked="false">
              <v:imagedata r:id="rId285" o:title=""/>
            </v:shape>
            <v:shape style="position:absolute;left:6773;top:2448;width:1181;height:700" type="#_x0000_t75" id="docshape285" stroked="false">
              <v:imagedata r:id="rId286" o:title=""/>
            </v:shape>
            <v:shape style="position:absolute;left:6734;top:2828;width:19;height:40" type="#_x0000_t75" id="docshape286" stroked="false">
              <v:imagedata r:id="rId287" o:title=""/>
            </v:shape>
            <v:shape style="position:absolute;left:7034;top:1508;width:217;height:300" type="#_x0000_t75" id="docshape287" stroked="false">
              <v:imagedata r:id="rId288" o:title=""/>
            </v:shape>
            <v:shape style="position:absolute;left:0;top:0;width:6631;height:4268" type="#_x0000_t75" id="docshape288" stroked="false">
              <v:imagedata r:id="rId289" o:title=""/>
            </v:shape>
            <v:shape style="position:absolute;left:8097;top:3920;width:822;height:349" type="#_x0000_t75" id="docshape289" stroked="false">
              <v:imagedata r:id="rId290" o:title=""/>
            </v:shape>
            <v:shape style="position:absolute;left:5284;top:0;width:1361;height:3328" type="#_x0000_t75" id="docshape290" stroked="false">
              <v:imagedata r:id="rId291" o:title=""/>
            </v:shape>
            <v:shape style="position:absolute;left:8125;top:3842;width:623;height:146" type="#_x0000_t75" id="docshape291" stroked="false">
              <v:imagedata r:id="rId292" o:title=""/>
            </v:shape>
            <v:shape style="position:absolute;left:5317;top:0;width:1343;height:3258" type="#_x0000_t75" id="docshape292" stroked="false">
              <v:imagedata r:id="rId293" o:title=""/>
            </v:shape>
            <v:shape style="position:absolute;left:8149;top:3764;width:559;height:140" type="#_x0000_t75" id="docshape293" stroked="false">
              <v:imagedata r:id="rId294" o:title=""/>
            </v:shape>
            <v:shape style="position:absolute;left:5349;top:0;width:1327;height:3188" type="#_x0000_t75" id="docshape294" stroked="false">
              <v:imagedata r:id="rId295" o:title=""/>
            </v:shape>
            <v:shape style="position:absolute;left:8172;top:3686;width:495;height:135" type="#_x0000_t75" id="docshape295" stroked="false">
              <v:imagedata r:id="rId296" o:title=""/>
            </v:shape>
            <v:shape style="position:absolute;left:5382;top:0;width:1310;height:3118" type="#_x0000_t75" id="docshape296" stroked="false">
              <v:imagedata r:id="rId297" o:title=""/>
            </v:shape>
            <v:shape style="position:absolute;left:8197;top:3608;width:429;height:129" type="#_x0000_t75" id="docshape297" stroked="false">
              <v:imagedata r:id="rId298" o:title=""/>
            </v:shape>
            <v:shape style="position:absolute;left:5414;top:0;width:1293;height:3048" type="#_x0000_t75" id="docshape298" stroked="false">
              <v:imagedata r:id="rId299" o:title=""/>
            </v:shape>
            <v:shape style="position:absolute;left:8222;top:3530;width:361;height:122" type="#_x0000_t75" id="docshape299" stroked="false">
              <v:imagedata r:id="rId300" o:title=""/>
            </v:shape>
            <v:shape style="position:absolute;left:5447;top:0;width:1276;height:2979" type="#_x0000_t75" id="docshape300" stroked="false">
              <v:imagedata r:id="rId301" o:title=""/>
            </v:shape>
            <v:shape style="position:absolute;left:8249;top:3452;width:292;height:115" type="#_x0000_t75" id="docshape301" stroked="false">
              <v:imagedata r:id="rId302" o:title=""/>
            </v:shape>
            <v:shape style="position:absolute;left:5480;top:0;width:1260;height:2910" type="#_x0000_t75" id="docshape302" stroked="false">
              <v:imagedata r:id="rId303" o:title=""/>
            </v:shape>
            <v:shape style="position:absolute;left:5513;top:0;width:1244;height:2841" type="#_x0000_t75" id="docshape303" stroked="false">
              <v:imagedata r:id="rId304" o:title=""/>
            </v:shape>
            <v:shape style="position:absolute;left:5546;top:0;width:1228;height:2772" type="#_x0000_t75" id="docshape304" stroked="false">
              <v:imagedata r:id="rId305" o:title=""/>
            </v:shape>
            <v:shape style="position:absolute;left:5580;top:0;width:1212;height:2704" type="#_x0000_t75" id="docshape305" stroked="false">
              <v:imagedata r:id="rId306" o:title=""/>
            </v:shape>
            <v:shape style="position:absolute;left:5647;top:0;width:1846;height:2568" type="#_x0000_t75" id="docshape306" stroked="false">
              <v:imagedata r:id="rId307" o:title=""/>
            </v:shape>
            <v:shape style="position:absolute;left:5613;top:0;width:1196;height:2636" type="#_x0000_t75" id="docshape307" stroked="false">
              <v:imagedata r:id="rId308" o:title=""/>
            </v:shape>
            <v:shape style="position:absolute;left:5680;top:0;width:1142;height:2496" type="#_x0000_t75" id="docshape308" stroked="false">
              <v:imagedata r:id="rId309" o:title=""/>
            </v:shape>
            <v:shape style="position:absolute;left:5714;top:0;width:1064;height:2373" type="#_x0000_t75" id="docshape309" stroked="false">
              <v:imagedata r:id="rId310" o:title=""/>
            </v:shape>
            <v:shape style="position:absolute;left:5748;top:0;width:982;height:2245" type="#_x0000_t75" id="docshape310" stroked="false">
              <v:imagedata r:id="rId311" o:title=""/>
            </v:shape>
            <v:shape style="position:absolute;left:5783;top:0;width:896;height:2107" type="#_x0000_t75" id="docshape311" stroked="false">
              <v:imagedata r:id="rId312" o:title=""/>
            </v:shape>
            <v:shape style="position:absolute;left:5827;top:81;width:793;height:1877" type="#_x0000_t75" id="docshape312" stroked="false">
              <v:imagedata r:id="rId313" o:title=""/>
            </v:shape>
            <v:shape style="position:absolute;left:5882;top:213;width:670;height:1576" type="#_x0000_t75" id="docshape313" stroked="false">
              <v:imagedata r:id="rId314" o:title=""/>
            </v:shape>
            <v:shape style="position:absolute;left:5952;top:376;width:516;height:1210" type="#_x0000_t75" id="docshape314" stroked="false">
              <v:imagedata r:id="rId315" o:title=""/>
            </v:shape>
            <v:shape style="position:absolute;left:6056;top:621;width:292;height:680" type="#_x0000_t75" id="docshape315" stroked="false">
              <v:imagedata r:id="rId316" o:title=""/>
            </v:shape>
            <v:shape style="position:absolute;left:6730;top:2245;width:115;height:261" type="#_x0000_t75" id="docshape316" stroked="false">
              <v:imagedata r:id="rId317" o:title=""/>
            </v:shape>
            <v:shape style="position:absolute;left:6678;top:2107;width:186;height:326" type="#_x0000_t75" id="docshape317" stroked="false">
              <v:imagedata r:id="rId318" o:title=""/>
            </v:shape>
            <v:shape style="position:absolute;left:6744;top:2174;width:138;height:191" type="#_x0000_t75" id="docshape318" stroked="false">
              <v:imagedata r:id="rId319" o:title=""/>
            </v:shape>
            <v:shape style="position:absolute;left:6620;top:1957;width:125;height:217" type="#_x0000_t75" id="docshape319" stroked="false">
              <v:imagedata r:id="rId320" o:title=""/>
            </v:shape>
            <v:shape style="position:absolute;left:6737;top:2082;width:165;height:216" type="#_x0000_t75" id="docshape320" stroked="false">
              <v:imagedata r:id="rId321" o:title=""/>
            </v:shape>
            <v:shape style="position:absolute;left:6552;top:1788;width:186;height:295" type="#_x0000_t75" id="docshape321" stroked="false">
              <v:imagedata r:id="rId322" o:title=""/>
            </v:shape>
            <v:shape style="position:absolute;left:6730;top:1991;width:191;height:241" type="#_x0000_t75" id="docshape322" stroked="false">
              <v:imagedata r:id="rId323" o:title=""/>
            </v:shape>
            <v:shape style="position:absolute;left:5793;top:0;width:159;height:376" type="#_x0000_t75" id="docshape323" stroked="false">
              <v:imagedata r:id="rId324" o:title=""/>
            </v:shape>
            <v:shape style="position:absolute;left:6468;top:1586;width:263;height:405" type="#_x0000_t75" id="docshape324" stroked="false">
              <v:imagedata r:id="rId325" o:title=""/>
            </v:shape>
            <v:shape style="position:absolute;left:6724;top:1899;width:217;height:265" type="#_x0000_t75" id="docshape325" stroked="false">
              <v:imagedata r:id="rId326" o:title=""/>
            </v:shape>
            <v:shape style="position:absolute;left:6348;top:1301;width:377;height:599" type="#_x0000_t75" id="docshape326" stroked="false">
              <v:imagedata r:id="rId327" o:title=""/>
            </v:shape>
            <v:shape style="position:absolute;left:5886;top:0;width:170;height:620" type="#_x0000_t75" id="docshape327" stroked="false">
              <v:imagedata r:id="rId328" o:title=""/>
            </v:shape>
            <v:shape style="position:absolute;left:6718;top:1807;width:243;height:290" type="#_x0000_t75" id="docshape328" stroked="false">
              <v:imagedata r:id="rId329" o:title=""/>
            </v:shape>
            <v:shape style="position:absolute;left:5922;top:0;width:797;height:1807" type="#_x0000_t75" id="docshape329" stroked="false">
              <v:imagedata r:id="rId330" o:title=""/>
            </v:shape>
            <v:shape style="position:absolute;left:6713;top:1716;width:269;height:315" type="#_x0000_t75" id="docshape330" stroked="false">
              <v:imagedata r:id="rId331" o:title=""/>
            </v:shape>
            <v:shape style="position:absolute;left:5964;top:50;width:749;height:1666" type="#_x0000_t75" id="docshape331" stroked="false">
              <v:imagedata r:id="rId332" o:title=""/>
            </v:shape>
            <v:shape style="position:absolute;left:6708;top:1623;width:295;height:341" type="#_x0000_t75" id="docshape332" stroked="false">
              <v:imagedata r:id="rId333" o:title=""/>
            </v:shape>
            <v:shape style="position:absolute;left:6011;top:109;width:697;height:1515" type="#_x0000_t75" id="docshape333" stroked="false">
              <v:imagedata r:id="rId334" o:title=""/>
            </v:shape>
            <v:shape style="position:absolute;left:6703;top:1532;width:321;height:366" type="#_x0000_t75" id="docshape334" stroked="false">
              <v:imagedata r:id="rId335" o:title=""/>
            </v:shape>
            <v:shape style="position:absolute;left:6060;top:172;width:643;height:1359" type="#_x0000_t75" id="docshape335" stroked="false">
              <v:imagedata r:id="rId336" o:title=""/>
            </v:shape>
            <v:shape style="position:absolute;left:6698;top:1439;width:347;height:393" type="#_x0000_t75" id="docshape336" stroked="false">
              <v:imagedata r:id="rId337" o:title=""/>
            </v:shape>
            <v:shape style="position:absolute;left:6115;top:241;width:584;height:1198" type="#_x0000_t75" id="docshape337" stroked="false">
              <v:imagedata r:id="rId338" o:title=""/>
            </v:shape>
            <v:shape style="position:absolute;left:6693;top:1345;width:373;height:419" type="#_x0000_t75" id="docshape338" stroked="false">
              <v:imagedata r:id="rId339" o:title=""/>
            </v:shape>
            <v:shape style="position:absolute;left:6174;top:316;width:520;height:1030" type="#_x0000_t75" id="docshape339" stroked="false">
              <v:imagedata r:id="rId340" o:title=""/>
            </v:shape>
            <v:shape style="position:absolute;left:6689;top:1252;width:400;height:447" type="#_x0000_t75" id="docshape340" stroked="false">
              <v:imagedata r:id="rId341" o:title=""/>
            </v:shape>
            <v:shape style="position:absolute;left:6241;top:400;width:448;height:852" type="#_x0000_t75" id="docshape341" stroked="false">
              <v:imagedata r:id="rId342" o:title=""/>
            </v:shape>
            <v:shape style="position:absolute;left:6685;top:1158;width:426;height:474" type="#_x0000_t75" id="docshape342" stroked="false">
              <v:imagedata r:id="rId343" o:title=""/>
            </v:shape>
            <v:shape style="position:absolute;left:6321;top:499;width:365;height:659" type="#_x0000_t75" id="docshape343" stroked="false">
              <v:imagedata r:id="rId344" o:title=""/>
            </v:shape>
            <v:shape style="position:absolute;left:6681;top:1063;width:452;height:503" type="#_x0000_t75" id="docshape344" stroked="false">
              <v:imagedata r:id="rId345" o:title=""/>
            </v:shape>
            <v:shape style="position:absolute;left:6421;top:623;width:261;height:440" type="#_x0000_t75" id="docshape345" stroked="false">
              <v:imagedata r:id="rId346" o:title=""/>
            </v:shape>
            <v:shape style="position:absolute;left:6578;top:818;width:547;height:675" type="#_x0000_t75" id="docshape346" stroked="false">
              <v:imagedata r:id="rId347" o:title=""/>
            </v:shape>
            <v:shape style="position:absolute;left:7928;top:3208;width:568;height:1060" type="#_x0000_t75" id="docshape347" stroked="false">
              <v:imagedata r:id="rId348" o:title=""/>
            </v:shape>
            <v:shape style="position:absolute;left:6676;top:939;width:265;height:327" type="#_x0000_t75" id="docshape348" stroked="false">
              <v:imagedata r:id="rId349" o:title=""/>
            </v:shape>
            <v:shape style="position:absolute;left:7805;top:2764;width:556;height:555" type="#_x0000_t75" id="docshape349" stroked="false">
              <v:imagedata r:id="rId350" o:title=""/>
            </v:shape>
            <v:shape style="position:absolute;left:7783;top:2715;width:293;height:102" type="#_x0000_t75" id="docshape350" stroked="false">
              <v:imagedata r:id="rId351" o:title=""/>
            </v:shape>
            <v:shape style="position:absolute;left:7761;top:2630;width:294;height:104" type="#_x0000_t75" id="docshape351" stroked="false">
              <v:imagedata r:id="rId352" o:title=""/>
            </v:shape>
            <v:shape style="position:absolute;left:7816;top:2555;width:125;height:10" type="#_x0000_t75" id="docshape352" stroked="false">
              <v:imagedata r:id="rId353" o:title=""/>
            </v:shape>
            <v:shape style="position:absolute;left:7670;top:2367;width:25;height:14" type="#_x0000_t75" id="docshape353" stroked="false">
              <v:imagedata r:id="rId354" o:title=""/>
            </v:shape>
            <v:shape style="position:absolute;left:6961;top:2030;width:793;height:323" type="#_x0000_t75" id="docshape354" stroked="false">
              <v:imagedata r:id="rId355" o:title=""/>
            </v:shape>
            <v:shape style="position:absolute;left:7738;top:2544;width:261;height:106" type="#_x0000_t75" id="docshape355" stroked="false">
              <v:imagedata r:id="rId356" o:title=""/>
            </v:shape>
            <v:shape style="position:absolute;left:7715;top:2458;width:226;height:106" type="#_x0000_t75" id="docshape356" stroked="false">
              <v:imagedata r:id="rId357" o:title=""/>
            </v:shape>
            <v:shape style="position:absolute;left:7692;top:2372;width:189;height:107" type="#_x0000_t75" id="docshape357" stroked="false">
              <v:imagedata r:id="rId358" o:title=""/>
            </v:shape>
            <v:shape style="position:absolute;left:7668;top:2286;width:151;height:105" type="#_x0000_t75" id="docshape358" stroked="false">
              <v:imagedata r:id="rId359" o:title=""/>
            </v:shape>
            <v:shape style="position:absolute;left:7623;top:2126;width:130;height:175" type="#_x0000_t75" id="docshape359" stroked="false">
              <v:imagedata r:id="rId360" o:title=""/>
            </v:shape>
            <v:shape style="position:absolute;left:7813;top:3915;width:67;height:354" type="#_x0000_t75" id="docshape360" stroked="false">
              <v:imagedata r:id="rId361" o:title=""/>
            </v:shape>
            <v:shape style="position:absolute;left:7403;top:3824;width:481;height:114" type="#_x0000_t75" id="docshape361" stroked="false">
              <v:imagedata r:id="rId362" o:title=""/>
            </v:shape>
            <v:shape style="position:absolute;left:7146;top:3543;width:620;height:537" type="#_x0000_t75" id="docshape362" stroked="false">
              <v:imagedata r:id="rId363" o:title=""/>
            </v:shape>
            <v:shape style="position:absolute;left:7893;top:3799;width:69;height:9" type="#_x0000_t75" id="docshape363" stroked="false">
              <v:imagedata r:id="rId364" o:title=""/>
            </v:shape>
            <v:shape style="position:absolute;left:7903;top:3709;width:2;height:10" type="#_x0000_t75" id="docshape364" stroked="false">
              <v:imagedata r:id="rId365" o:title=""/>
            </v:shape>
            <v:shape style="position:absolute;left:6672;top:3092;width:637;height:460" type="#_x0000_t75" id="docshape365" stroked="false">
              <v:imagedata r:id="rId366" o:title=""/>
            </v:shape>
            <v:shape style="position:absolute;left:7391;top:3256;width:557;height:138" type="#_x0000_t75" id="docshape366" stroked="false">
              <v:imagedata r:id="rId367" o:title=""/>
            </v:shape>
            <v:shape style="position:absolute;left:6731;top:2802;width:279;height:266" type="#_x0000_t75" id="docshape367" stroked="false">
              <v:imagedata r:id="rId368" o:title=""/>
            </v:shape>
            <v:shape style="position:absolute;left:6464;top:3328;width:572;height:941" type="#_x0000_t75" id="docshape368" stroked="false">
              <v:imagedata r:id="rId369" o:title=""/>
            </v:shape>
            <v:shape style="position:absolute;left:6907;top:3552;width:457;height:717" type="#_x0000_t75" id="docshape369" stroked="false">
              <v:imagedata r:id="rId370" o:title=""/>
            </v:shape>
            <v:shape style="position:absolute;left:6630;top:3258;width:278;height:295" type="#_x0000_t75" id="docshape370" stroked="false">
              <v:imagedata r:id="rId371" o:title=""/>
            </v:shape>
            <v:shape style="position:absolute;left:6893;top:3460;width:327;height:282" type="#_x0000_t75" id="docshape371" stroked="false">
              <v:imagedata r:id="rId372" o:title=""/>
            </v:shape>
            <v:shape style="position:absolute;left:6645;top:3188;width:249;height:272" type="#_x0000_t75" id="docshape372" stroked="false">
              <v:imagedata r:id="rId373" o:title=""/>
            </v:shape>
            <v:shape style="position:absolute;left:6879;top:3368;width:313;height:279" type="#_x0000_t75" id="docshape373" stroked="false">
              <v:imagedata r:id="rId374" o:title=""/>
            </v:shape>
            <v:shape style="position:absolute;left:6660;top:3118;width:220;height:250" type="#_x0000_t75" id="docshape374" stroked="false">
              <v:imagedata r:id="rId375" o:title=""/>
            </v:shape>
            <v:shape style="position:absolute;left:6866;top:3275;width:298;height:275" type="#_x0000_t75" id="docshape375" stroked="false">
              <v:imagedata r:id="rId376" o:title=""/>
            </v:shape>
            <v:shape style="position:absolute;left:6675;top:3048;width:191;height:227" type="#_x0000_t75" id="docshape376" stroked="false">
              <v:imagedata r:id="rId377" o:title=""/>
            </v:shape>
            <v:shape style="position:absolute;left:6853;top:3183;width:282;height:270" type="#_x0000_t75" id="docshape377" stroked="false">
              <v:imagedata r:id="rId378" o:title=""/>
            </v:shape>
            <v:shape style="position:absolute;left:6691;top:2979;width:163;height:205" type="#_x0000_t75" id="docshape378" stroked="false">
              <v:imagedata r:id="rId379" o:title=""/>
            </v:shape>
            <v:shape style="position:absolute;left:6841;top:3091;width:264;height:263" type="#_x0000_t75" id="docshape379" stroked="false">
              <v:imagedata r:id="rId380" o:title=""/>
            </v:shape>
            <v:shape style="position:absolute;left:6707;top:2910;width:135;height:182" type="#_x0000_t75" id="docshape380" stroked="false">
              <v:imagedata r:id="rId381" o:title=""/>
            </v:shape>
            <v:shape style="position:absolute;left:6829;top:3000;width:245;height:255" type="#_x0000_t75" id="docshape381" stroked="false">
              <v:imagedata r:id="rId382" o:title=""/>
            </v:shape>
            <v:shape style="position:absolute;left:6723;top:2841;width:107;height:159" type="#_x0000_t75" id="docshape382" stroked="false">
              <v:imagedata r:id="rId383" o:title=""/>
            </v:shape>
            <v:shape style="position:absolute;left:6739;top:2772;width:303;height:381" type="#_x0000_t75" id="docshape383" stroked="false">
              <v:imagedata r:id="rId384" o:title=""/>
            </v:shape>
            <v:shape style="position:absolute;left:6756;top:2704;width:254;height:346" type="#_x0000_t75" id="docshape384" stroked="false">
              <v:imagedata r:id="rId385" o:title=""/>
            </v:shape>
            <v:shape style="position:absolute;left:6773;top:2646;width:202;height:299" type="#_x0000_t75" id="docshape385" stroked="false">
              <v:imagedata r:id="rId386" o:title=""/>
            </v:shape>
            <v:shape style="position:absolute;left:6788;top:2636;width:152;height:201" type="#_x0000_t75" id="docshape386" stroked="false">
              <v:imagedata r:id="rId387" o:title=""/>
            </v:shape>
            <v:shape style="position:absolute;left:6791;top:2506;width:112;height:222" type="#_x0000_t75" id="docshape387" stroked="false">
              <v:imagedata r:id="rId388" o:title=""/>
            </v:shape>
            <v:shape style="position:absolute;left:7220;top:3741;width:655;height:527" type="#_x0000_t75" id="docshape388" stroked="false">
              <v:imagedata r:id="rId389" o:title=""/>
            </v:shape>
            <v:shape style="position:absolute;left:7848;top:3960;width:249;height:309" type="#_x0000_t75" id="docshape389" stroked="false">
              <v:imagedata r:id="rId390" o:title=""/>
            </v:shape>
            <v:shape style="position:absolute;left:7192;top:3646;width:692;height:314" type="#_x0000_t75" id="docshape390" stroked="false">
              <v:imagedata r:id="rId391" o:title=""/>
            </v:shape>
            <v:shape style="position:absolute;left:7875;top:3879;width:201;height:104" type="#_x0000_t75" id="docshape391" stroked="false">
              <v:imagedata r:id="rId392" o:title=""/>
            </v:shape>
            <v:shape style="position:absolute;left:7164;top:3550;width:729;height:329" type="#_x0000_t75" id="docshape392" stroked="false">
              <v:imagedata r:id="rId393" o:title=""/>
            </v:shape>
            <v:shape style="position:absolute;left:7883;top:3799;width:175;height:101" type="#_x0000_t75" id="docshape393" stroked="false">
              <v:imagedata r:id="rId394" o:title=""/>
            </v:shape>
            <v:shape style="position:absolute;left:7135;top:3453;width:906;height:363" type="#_x0000_t75" id="docshape394" stroked="false">
              <v:imagedata r:id="rId395" o:title=""/>
            </v:shape>
            <v:shape style="position:absolute;left:7105;top:3354;width:918;height:377" type="#_x0000_t75" id="docshape395" stroked="false">
              <v:imagedata r:id="rId396" o:title=""/>
            </v:shape>
            <v:shape style="position:absolute;left:7074;top:3254;width:931;height:393" type="#_x0000_t75" id="docshape396" stroked="false">
              <v:imagedata r:id="rId397" o:title=""/>
            </v:shape>
            <v:shape style="position:absolute;left:7042;top:3153;width:944;height:410" type="#_x0000_t75" id="docshape397" stroked="false">
              <v:imagedata r:id="rId398" o:title=""/>
            </v:shape>
            <v:shape style="position:absolute;left:7009;top:3050;width:958;height:429" type="#_x0000_t75" id="docshape398" stroked="false">
              <v:imagedata r:id="rId399" o:title=""/>
            </v:shape>
            <v:shape style="position:absolute;left:6975;top:2944;width:973;height:450" type="#_x0000_t75" id="docshape399" stroked="false">
              <v:imagedata r:id="rId400" o:title=""/>
            </v:shape>
            <v:shape style="position:absolute;left:6939;top:2837;width:989;height:473" type="#_x0000_t75" id="docshape400" stroked="false">
              <v:imagedata r:id="rId401" o:title=""/>
            </v:shape>
            <v:shape style="position:absolute;left:6902;top:2727;width:1006;height:498" type="#_x0000_t75" id="docshape401" stroked="false">
              <v:imagedata r:id="rId402" o:title=""/>
            </v:shape>
            <v:shape style="position:absolute;left:6863;top:2613;width:1026;height:527" type="#_x0000_t75" id="docshape402" stroked="false">
              <v:imagedata r:id="rId403" o:title=""/>
            </v:shape>
            <v:shape style="position:absolute;left:6825;top:2500;width:1043;height:556" type="#_x0000_t75" id="docshape403" stroked="false">
              <v:imagedata r:id="rId404" o:title=""/>
            </v:shape>
            <v:shape style="position:absolute;left:6826;top:2432;width:1021;height:539" type="#_x0000_t75" id="docshape404" stroked="false">
              <v:imagedata r:id="rId405" o:title=""/>
            </v:shape>
            <v:shape style="position:absolute;left:6845;top:2365;width:982;height:521" type="#_x0000_t75" id="docshape405" stroked="false">
              <v:imagedata r:id="rId406" o:title=""/>
            </v:shape>
            <v:shape style="position:absolute;left:6863;top:2298;width:942;height:503" type="#_x0000_t75" id="docshape406" stroked="false">
              <v:imagedata r:id="rId407" o:title=""/>
            </v:shape>
            <v:shape style="position:absolute;left:7216;top:1956;width:396;height:155" type="#_x0000_t75" id="docshape407" stroked="false">
              <v:imagedata r:id="rId408" o:title=""/>
            </v:shape>
            <v:shape style="position:absolute;left:7286;top:1669;width:223;height:90" type="#_x0000_t75" id="docshape408" stroked="false">
              <v:imagedata r:id="rId409" o:title=""/>
            </v:shape>
            <v:shape style="position:absolute;left:7285;top:1263;width:86;height:40" type="#_x0000_t75" id="docshape409" stroked="false">
              <v:imagedata r:id="rId410" o:title=""/>
            </v:shape>
            <v:shape style="position:absolute;left:6882;top:2231;width:901;height:485" type="#_x0000_t75" id="docshape410" stroked="false">
              <v:imagedata r:id="rId411" o:title=""/>
            </v:shape>
            <v:shape style="position:absolute;left:6901;top:2164;width:860;height:467" type="#_x0000_t75" id="docshape411" stroked="false">
              <v:imagedata r:id="rId412" o:title=""/>
            </v:shape>
            <v:shape style="position:absolute;left:6921;top:2097;width:818;height:447" type="#_x0000_t75" id="docshape412" stroked="false">
              <v:imagedata r:id="rId413" o:title=""/>
            </v:shape>
            <v:shape style="position:absolute;left:6941;top:2030;width:775;height:429" type="#_x0000_t75" id="docshape413" stroked="false">
              <v:imagedata r:id="rId414" o:title=""/>
            </v:shape>
            <v:shape style="position:absolute;left:6961;top:1964;width:732;height:409" type="#_x0000_t75" id="docshape414" stroked="false">
              <v:imagedata r:id="rId415" o:title=""/>
            </v:shape>
            <v:shape style="position:absolute;left:6981;top:1897;width:687;height:389" type="#_x0000_t75" id="docshape415" stroked="false">
              <v:imagedata r:id="rId416" o:title=""/>
            </v:shape>
            <v:shape style="position:absolute;left:7002;top:1831;width:642;height:369" type="#_x0000_t75" id="docshape416" stroked="false">
              <v:imagedata r:id="rId417" o:title=""/>
            </v:shape>
            <v:shape style="position:absolute;left:7023;top:1764;width:589;height:347" type="#_x0000_t75" id="docshape417" stroked="false">
              <v:imagedata r:id="rId418" o:title=""/>
            </v:shape>
            <v:shape style="position:absolute;left:7045;top:1698;width:550;height:327" type="#_x0000_t75" id="docshape418" stroked="false">
              <v:imagedata r:id="rId419" o:title=""/>
            </v:shape>
            <v:shape style="position:absolute;left:7066;top:1632;width:502;height:306" type="#_x0000_t75" id="docshape419" stroked="false">
              <v:imagedata r:id="rId420" o:title=""/>
            </v:shape>
            <v:shape style="position:absolute;left:7089;top:1566;width:454;height:283" type="#_x0000_t75" id="docshape420" stroked="false">
              <v:imagedata r:id="rId421" o:title=""/>
            </v:shape>
            <v:shape style="position:absolute;left:7111;top:1503;width:405;height:257" type="#_x0000_t75" id="docshape421" stroked="false">
              <v:imagedata r:id="rId422" o:title=""/>
            </v:shape>
            <v:shape style="position:absolute;left:7139;top:1433;width:349;height:238" type="#_x0000_t75" id="docshape422" stroked="false">
              <v:imagedata r:id="rId423" o:title=""/>
            </v:shape>
            <v:shape style="position:absolute;left:7157;top:1366;width:303;height:214" type="#_x0000_t75" id="docshape423" stroked="false">
              <v:imagedata r:id="rId424" o:title=""/>
            </v:shape>
            <v:shape style="position:absolute;left:7181;top:1300;width:250;height:189" type="#_x0000_t75" id="docshape424" stroked="false">
              <v:imagedata r:id="rId425" o:title=""/>
            </v:shape>
            <v:shape style="position:absolute;left:7205;top:1233;width:196;height:164" type="#_x0000_t75" id="docshape425" stroked="false">
              <v:imagedata r:id="rId426" o:title=""/>
            </v:shape>
            <v:shape style="position:absolute;left:7230;top:1070;width:141;height:233" type="#_x0000_t75" id="docshape426" stroked="false">
              <v:imagedata r:id="rId427" o:title=""/>
            </v:shape>
            <v:shape style="position:absolute;left:8816;top:0;width:2213;height:4268" type="#_x0000_t75" id="docshape427" stroked="false">
              <v:imagedata r:id="rId428" o:title=""/>
            </v:shape>
            <v:shape style="position:absolute;left:5926;top:0;width:3009;height:4268" type="#_x0000_t75" id="docshape428" stroked="false">
              <v:imagedata r:id="rId429" o:title=""/>
            </v:shape>
            <v:shape style="position:absolute;left:0;top:0;width:11905;height:3930" id="docshape429" coordorigin="0,0" coordsize="11905,3930" path="m11904,3089l1317,3089,2153,3165,3516,3439,7047,3929,9729,3929,11433,3721,11904,3617,11904,3089xm11904,0l0,0,0,3520,662,3226,1317,3089,11904,3089,11904,0xe" filled="true" fillcolor="#1e4078" stroked="false">
              <v:path arrowok="t"/>
              <v:fill type="solid"/>
            </v:shape>
            <v:shape style="position:absolute;left:8043;top:7675;width:81;height:316" type="#_x0000_t75" id="docshape430" stroked="false">
              <v:imagedata r:id="rId430" o:title=""/>
            </v:shape>
            <v:shape style="position:absolute;left:7544;top:7583;width:772;height:4990" type="#_x0000_t75" id="docshape431" stroked="false">
              <v:imagedata r:id="rId431" o:title=""/>
            </v:shape>
            <v:shape style="position:absolute;left:8043;top:7737;width:273;height:2836" type="#_x0000_t75" id="docshape432" stroked="false">
              <v:imagedata r:id="rId432" o:title=""/>
            </v:shape>
            <v:shape style="position:absolute;left:8124;top:7991;width:192;height:1037" type="#_x0000_t75" id="docshape433" stroked="false">
              <v:imagedata r:id="rId433" o:title=""/>
            </v:shape>
            <v:shape style="position:absolute;left:8022;top:7583;width:103;height:409" type="#_x0000_t75" id="docshape434" stroked="false">
              <v:imagedata r:id="rId434" o:title=""/>
            </v:shape>
            <v:shape style="position:absolute;left:8059;top:7583;width:257;height:1037" type="#_x0000_t75" id="docshape435" stroked="false">
              <v:imagedata r:id="rId435" o:title=""/>
            </v:shape>
            <v:shape style="position:absolute;left:0;top:7583;width:1153;height:4990" type="#_x0000_t75" id="docshape436" stroked="false">
              <v:imagedata r:id="rId436" o:title=""/>
            </v:shape>
            <v:shape style="position:absolute;left:1138;top:7583;width:6420;height:381" type="#_x0000_t75" id="docshape437" stroked="false">
              <v:imagedata r:id="rId437" o:title=""/>
            </v:shape>
            <v:shape style="position:absolute;left:8004;top:12278;width:75;height:294" type="#_x0000_t75" id="docshape438" stroked="false">
              <v:imagedata r:id="rId438" o:title=""/>
            </v:shape>
            <v:shape style="position:absolute;left:718;top:12572;width:7287;height:144" type="#_x0000_t75" id="docshape439" stroked="false">
              <v:imagedata r:id="rId439" o:title=""/>
            </v:shape>
            <v:shape style="position:absolute;left:7810;top:7963;width:195;height:4315" type="#_x0000_t75" id="docshape440" stroked="false">
              <v:imagedata r:id="rId440" o:title=""/>
            </v:shape>
            <v:shape style="position:absolute;left:718;top:12448;width:6680;height:126" type="#_x0000_t75" id="docshape441" stroked="false">
              <v:imagedata r:id="rId441" o:title=""/>
            </v:shape>
            <v:shape style="position:absolute;left:7349;top:11366;width:656;height:1206" type="#_x0000_t75" id="docshape442" stroked="false">
              <v:imagedata r:id="rId442" o:title=""/>
            </v:shape>
            <v:shape style="position:absolute;left:718;top:7963;width:6631;height:4486" type="#_x0000_t75" id="docshape443" stroked="false">
              <v:imagedata r:id="rId443" o:title=""/>
            </v:shape>
            <v:shape style="position:absolute;left:7540;top:7963;width:271;height:3404" type="#_x0000_t75" id="docshape444" stroked="false">
              <v:imagedata r:id="rId444" o:title=""/>
            </v:shape>
            <v:shape style="position:absolute;left:6347;top:7963;width:1463;height:4486" type="#_x0000_t75" id="docshape445" stroked="false">
              <v:imagedata r:id="rId445" o:title=""/>
            </v:shape>
            <v:shape style="position:absolute;left:688;top:653;width:1634;height:2137" type="#_x0000_t75" id="docshape446" stroked="false">
              <v:imagedata r:id="rId446" o:title=""/>
            </v:shape>
            <v:rect style="position:absolute;left:7657;top:8093;width:55;height:28" id="docshape447" filled="true" fillcolor="#000000" stroked="false">
              <v:fill type="solid"/>
            </v:rect>
            <v:shape style="position:absolute;left:2643;top:1198;width:4633;height:15533" id="docshape448" coordorigin="2643,1199" coordsize="4633,15533" path="m7003,2343l6812,2343,6812,2316,2643,2316,2643,2371,2752,2371,2752,2725,7003,2725,7003,2343xm7058,1199l2725,1199,2725,1689,7058,1689,7058,1199xm7276,16104l4578,16104,4578,16731,7276,16731,7276,16104xe" filled="true" fillcolor="#1d3f77" stroked="false">
              <v:path arrowok="t"/>
              <v:fill type="solid"/>
            </v:shape>
            <w10:wrap type="none"/>
          </v:group>
        </w:pict>
      </w:r>
      <w:bookmarkStart w:name="MMP 2021 75(1) Cover.pdf (p.1)" w:id="1"/>
      <w:bookmarkEnd w:id="1"/>
      <w:r>
        <w:rPr/>
      </w:r>
      <w:r>
        <w:rPr>
          <w:rFonts w:ascii="Myriad Pro Cond" w:hAnsi="Myriad Pro Cond"/>
          <w:b/>
          <w:color w:val="FFFFFF"/>
          <w:sz w:val="44"/>
        </w:rPr>
        <w:t>СПИСАНИЕ</w:t>
      </w:r>
      <w:r>
        <w:rPr>
          <w:rFonts w:ascii="Myriad Pro Cond" w:hAnsi="Myriad Pro Cond"/>
          <w:b/>
          <w:color w:val="FFFFFF"/>
          <w:spacing w:val="4"/>
          <w:sz w:val="44"/>
        </w:rPr>
        <w:t> </w:t>
      </w:r>
      <w:r>
        <w:rPr>
          <w:rFonts w:ascii="Myriad Pro Cond" w:hAnsi="Myriad Pro Cond"/>
          <w:b/>
          <w:color w:val="FFFFFF"/>
          <w:sz w:val="44"/>
        </w:rPr>
        <w:t>НА</w:t>
      </w:r>
      <w:r>
        <w:rPr>
          <w:rFonts w:ascii="Myriad Pro Cond" w:hAnsi="Myriad Pro Cond"/>
          <w:b/>
          <w:color w:val="FFFFFF"/>
          <w:spacing w:val="4"/>
          <w:sz w:val="44"/>
        </w:rPr>
        <w:t> </w:t>
      </w:r>
      <w:r>
        <w:rPr>
          <w:rFonts w:ascii="Myriad Pro Cond" w:hAnsi="Myriad Pro Cond"/>
          <w:b/>
          <w:color w:val="FFFFFF"/>
          <w:sz w:val="44"/>
        </w:rPr>
        <w:t>МАКЕДОНСКОТО</w:t>
      </w:r>
      <w:r>
        <w:rPr>
          <w:rFonts w:ascii="Myriad Pro Cond" w:hAnsi="Myriad Pro Cond"/>
          <w:b/>
          <w:color w:val="FFFFFF"/>
          <w:spacing w:val="4"/>
          <w:sz w:val="44"/>
        </w:rPr>
        <w:t> </w:t>
      </w:r>
      <w:r>
        <w:rPr>
          <w:rFonts w:ascii="Myriad Pro Cond" w:hAnsi="Myriad Pro Cond"/>
          <w:b/>
          <w:color w:val="FFFFFF"/>
          <w:sz w:val="44"/>
        </w:rPr>
        <w:t>ЛЕКАРСКО</w:t>
      </w:r>
      <w:r>
        <w:rPr>
          <w:rFonts w:ascii="Myriad Pro Cond" w:hAnsi="Myriad Pro Cond"/>
          <w:b/>
          <w:color w:val="FFFFFF"/>
          <w:spacing w:val="4"/>
          <w:sz w:val="44"/>
        </w:rPr>
        <w:t> </w:t>
      </w:r>
      <w:r>
        <w:rPr>
          <w:rFonts w:ascii="Myriad Pro Cond" w:hAnsi="Myriad Pro Cond"/>
          <w:b/>
          <w:color w:val="FFFFFF"/>
          <w:spacing w:val="-2"/>
          <w:sz w:val="44"/>
        </w:rPr>
        <w:t>ДРУШТВО</w:t>
      </w:r>
    </w:p>
    <w:p>
      <w:pPr>
        <w:spacing w:line="311" w:lineRule="exact" w:before="0"/>
        <w:ind w:left="2220" w:right="0" w:firstLine="0"/>
        <w:jc w:val="left"/>
        <w:rPr>
          <w:sz w:val="32"/>
        </w:rPr>
      </w:pPr>
      <w:r>
        <w:rPr/>
        <w:pict>
          <v:shapetype id="_x0000_t202" o:spt="202" coordsize="21600,21600" path="m,l,21600r21600,l21600,xe">
            <v:stroke joinstyle="miter"/>
            <v:path gradientshapeok="t" o:connecttype="rect"/>
          </v:shapetype>
          <v:shape style="position:absolute;margin-left:137.908859pt;margin-top:.015775pt;width:151.050pt;height:18pt;mso-position-horizontal-relative:page;mso-position-vertical-relative:paragraph;z-index:-17655296" type="#_x0000_t202" id="docshape449" filled="false" stroked="false">
            <v:textbox inset="0,0,0,0">
              <w:txbxContent>
                <w:p>
                  <w:pPr>
                    <w:spacing w:line="360" w:lineRule="exact" w:before="0"/>
                    <w:ind w:left="0" w:right="0" w:firstLine="0"/>
                    <w:jc w:val="left"/>
                    <w:rPr>
                      <w:rFonts w:ascii="Myriad Pro Cond" w:hAnsi="Myriad Pro Cond"/>
                      <w:b/>
                      <w:sz w:val="36"/>
                    </w:rPr>
                  </w:pPr>
                  <w:r>
                    <w:rPr>
                      <w:rFonts w:ascii="Myriad Pro Cond" w:hAnsi="Myriad Pro Cond"/>
                      <w:b/>
                      <w:color w:val="FFFFFF"/>
                      <w:sz w:val="36"/>
                    </w:rPr>
                    <w:t>Мак.</w:t>
                  </w:r>
                  <w:r>
                    <w:rPr>
                      <w:rFonts w:ascii="Myriad Pro Cond" w:hAnsi="Myriad Pro Cond"/>
                      <w:b/>
                      <w:color w:val="FFFFFF"/>
                      <w:spacing w:val="-6"/>
                      <w:sz w:val="36"/>
                    </w:rPr>
                    <w:t> </w:t>
                  </w:r>
                  <w:r>
                    <w:rPr>
                      <w:rFonts w:ascii="Myriad Pro Cond" w:hAnsi="Myriad Pro Cond"/>
                      <w:b/>
                      <w:color w:val="FFFFFF"/>
                      <w:sz w:val="36"/>
                    </w:rPr>
                    <w:t>мед.</w:t>
                  </w:r>
                  <w:r>
                    <w:rPr>
                      <w:rFonts w:ascii="Myriad Pro Cond" w:hAnsi="Myriad Pro Cond"/>
                      <w:b/>
                      <w:color w:val="FFFFFF"/>
                      <w:spacing w:val="-5"/>
                      <w:sz w:val="36"/>
                    </w:rPr>
                    <w:t> </w:t>
                  </w:r>
                  <w:r>
                    <w:rPr>
                      <w:rFonts w:ascii="Myriad Pro Cond" w:hAnsi="Myriad Pro Cond"/>
                      <w:b/>
                      <w:color w:val="FFFFFF"/>
                      <w:sz w:val="36"/>
                    </w:rPr>
                    <w:t>преглед,</w:t>
                  </w:r>
                  <w:r>
                    <w:rPr>
                      <w:rFonts w:ascii="Myriad Pro Cond" w:hAnsi="Myriad Pro Cond"/>
                      <w:b/>
                      <w:color w:val="FFFFFF"/>
                      <w:spacing w:val="-5"/>
                      <w:sz w:val="36"/>
                    </w:rPr>
                    <w:t> 201</w:t>
                  </w:r>
                </w:p>
              </w:txbxContent>
            </v:textbox>
            <w10:wrap type="none"/>
          </v:shape>
        </w:pict>
      </w:r>
      <w:r>
        <w:rPr>
          <w:color w:val="FFFFFF"/>
          <w:sz w:val="32"/>
        </w:rPr>
        <w:t>Мак.</w:t>
      </w:r>
      <w:r>
        <w:rPr>
          <w:color w:val="FFFFFF"/>
          <w:spacing w:val="13"/>
          <w:sz w:val="32"/>
        </w:rPr>
        <w:t> </w:t>
      </w:r>
      <w:r>
        <w:rPr>
          <w:color w:val="FFFFFF"/>
          <w:sz w:val="32"/>
        </w:rPr>
        <w:t>мед.</w:t>
      </w:r>
      <w:r>
        <w:rPr>
          <w:color w:val="FFFFFF"/>
          <w:spacing w:val="13"/>
          <w:sz w:val="32"/>
        </w:rPr>
        <w:t> </w:t>
      </w:r>
      <w:r>
        <w:rPr>
          <w:color w:val="FFFFFF"/>
          <w:sz w:val="32"/>
        </w:rPr>
        <w:t>преглед,</w:t>
      </w:r>
      <w:r>
        <w:rPr>
          <w:color w:val="FFFFFF"/>
          <w:spacing w:val="14"/>
          <w:sz w:val="32"/>
        </w:rPr>
        <w:t> </w:t>
      </w:r>
      <w:r>
        <w:rPr>
          <w:color w:val="FFFFFF"/>
          <w:sz w:val="32"/>
        </w:rPr>
        <w:t>2021;</w:t>
      </w:r>
      <w:r>
        <w:rPr>
          <w:color w:val="FFFFFF"/>
          <w:spacing w:val="13"/>
          <w:sz w:val="32"/>
        </w:rPr>
        <w:t> </w:t>
      </w:r>
      <w:r>
        <w:rPr>
          <w:color w:val="FFFFFF"/>
          <w:spacing w:val="-2"/>
          <w:sz w:val="32"/>
        </w:rPr>
        <w:t>75(1)</w:t>
      </w:r>
    </w:p>
    <w:p>
      <w:pPr>
        <w:spacing w:line="478" w:lineRule="exact" w:before="308"/>
        <w:ind w:left="2186" w:right="0" w:firstLine="0"/>
        <w:jc w:val="left"/>
        <w:rPr>
          <w:rFonts w:ascii="Myriad Pro Cond"/>
          <w:b/>
          <w:sz w:val="44"/>
        </w:rPr>
      </w:pPr>
      <w:r>
        <w:rPr/>
        <w:pict>
          <v:shape style="position:absolute;margin-left:138.100006pt;margin-top:38.803055pt;width:143.85pt;height:18pt;mso-position-horizontal-relative:page;mso-position-vertical-relative:paragraph;z-index:-17654784" type="#_x0000_t202" id="docshape450" filled="false" stroked="false">
            <v:textbox inset="0,0,0,0">
              <w:txbxContent>
                <w:p>
                  <w:pPr>
                    <w:spacing w:line="360" w:lineRule="exact" w:before="0"/>
                    <w:ind w:left="0" w:right="0" w:firstLine="0"/>
                    <w:jc w:val="left"/>
                    <w:rPr>
                      <w:rFonts w:ascii="Myriad Pro Cond"/>
                      <w:b/>
                      <w:sz w:val="36"/>
                    </w:rPr>
                  </w:pPr>
                  <w:r>
                    <w:rPr>
                      <w:rFonts w:ascii="Myriad Pro Cond"/>
                      <w:b/>
                      <w:color w:val="FFFFFF"/>
                      <w:sz w:val="36"/>
                    </w:rPr>
                    <w:t>Mac.</w:t>
                  </w:r>
                  <w:r>
                    <w:rPr>
                      <w:rFonts w:ascii="Myriad Pro Cond"/>
                      <w:b/>
                      <w:color w:val="FFFFFF"/>
                      <w:spacing w:val="-7"/>
                      <w:sz w:val="36"/>
                    </w:rPr>
                    <w:t> </w:t>
                  </w:r>
                  <w:r>
                    <w:rPr>
                      <w:rFonts w:ascii="Myriad Pro Cond"/>
                      <w:b/>
                      <w:color w:val="FFFFFF"/>
                      <w:sz w:val="36"/>
                    </w:rPr>
                    <w:t>Med.</w:t>
                  </w:r>
                  <w:r>
                    <w:rPr>
                      <w:rFonts w:ascii="Myriad Pro Cond"/>
                      <w:b/>
                      <w:color w:val="FFFFFF"/>
                      <w:spacing w:val="-5"/>
                      <w:sz w:val="36"/>
                    </w:rPr>
                    <w:t> </w:t>
                  </w:r>
                  <w:r>
                    <w:rPr>
                      <w:rFonts w:ascii="Myriad Pro Cond"/>
                      <w:b/>
                      <w:color w:val="FFFFFF"/>
                      <w:sz w:val="36"/>
                    </w:rPr>
                    <w:t>Review,</w:t>
                  </w:r>
                  <w:r>
                    <w:rPr>
                      <w:rFonts w:ascii="Myriad Pro Cond"/>
                      <w:b/>
                      <w:color w:val="FFFFFF"/>
                      <w:spacing w:val="48"/>
                      <w:sz w:val="36"/>
                    </w:rPr>
                    <w:t> </w:t>
                  </w:r>
                  <w:r>
                    <w:rPr>
                      <w:rFonts w:ascii="Myriad Pro Cond"/>
                      <w:b/>
                      <w:color w:val="FFFFFF"/>
                      <w:spacing w:val="-5"/>
                      <w:sz w:val="36"/>
                    </w:rPr>
                    <w:t>201</w:t>
                  </w:r>
                </w:p>
              </w:txbxContent>
            </v:textbox>
            <w10:wrap type="none"/>
          </v:shape>
        </w:pict>
      </w:r>
      <w:r>
        <w:rPr>
          <w:rFonts w:ascii="Myriad Pro Cond"/>
          <w:b/>
          <w:color w:val="FFFFFF"/>
          <w:spacing w:val="-2"/>
          <w:sz w:val="44"/>
        </w:rPr>
        <w:t>JOURNAL</w:t>
      </w:r>
      <w:r>
        <w:rPr>
          <w:rFonts w:ascii="Myriad Pro Cond"/>
          <w:b/>
          <w:color w:val="FFFFFF"/>
          <w:spacing w:val="-5"/>
          <w:sz w:val="44"/>
        </w:rPr>
        <w:t> </w:t>
      </w:r>
      <w:r>
        <w:rPr>
          <w:rFonts w:ascii="Myriad Pro Cond"/>
          <w:b/>
          <w:color w:val="FFFFFF"/>
          <w:spacing w:val="-2"/>
          <w:sz w:val="44"/>
        </w:rPr>
        <w:t>OF</w:t>
      </w:r>
      <w:r>
        <w:rPr>
          <w:rFonts w:ascii="Myriad Pro Cond"/>
          <w:b/>
          <w:color w:val="FFFFFF"/>
          <w:spacing w:val="-10"/>
          <w:sz w:val="44"/>
        </w:rPr>
        <w:t> </w:t>
      </w:r>
      <w:r>
        <w:rPr>
          <w:rFonts w:ascii="Myriad Pro Cond"/>
          <w:b/>
          <w:color w:val="FFFFFF"/>
          <w:spacing w:val="-2"/>
          <w:sz w:val="44"/>
        </w:rPr>
        <w:t>THE</w:t>
      </w:r>
      <w:r>
        <w:rPr>
          <w:rFonts w:ascii="Myriad Pro Cond"/>
          <w:b/>
          <w:color w:val="FFFFFF"/>
          <w:spacing w:val="-14"/>
          <w:sz w:val="44"/>
        </w:rPr>
        <w:t> </w:t>
      </w:r>
      <w:r>
        <w:rPr>
          <w:rFonts w:ascii="Myriad Pro Cond"/>
          <w:b/>
          <w:color w:val="FFFFFF"/>
          <w:spacing w:val="-2"/>
          <w:sz w:val="44"/>
        </w:rPr>
        <w:t>MACEDONIAN</w:t>
      </w:r>
      <w:r>
        <w:rPr>
          <w:rFonts w:ascii="Myriad Pro Cond"/>
          <w:b/>
          <w:color w:val="FFFFFF"/>
          <w:spacing w:val="-4"/>
          <w:sz w:val="44"/>
        </w:rPr>
        <w:t> </w:t>
      </w:r>
      <w:r>
        <w:rPr>
          <w:rFonts w:ascii="Myriad Pro Cond"/>
          <w:b/>
          <w:color w:val="FFFFFF"/>
          <w:spacing w:val="-2"/>
          <w:sz w:val="44"/>
        </w:rPr>
        <w:t>MEDICAL</w:t>
      </w:r>
      <w:r>
        <w:rPr>
          <w:rFonts w:ascii="Myriad Pro Cond"/>
          <w:b/>
          <w:color w:val="FFFFFF"/>
          <w:spacing w:val="-5"/>
          <w:sz w:val="44"/>
        </w:rPr>
        <w:t> </w:t>
      </w:r>
      <w:r>
        <w:rPr>
          <w:rFonts w:ascii="Myriad Pro Cond"/>
          <w:b/>
          <w:color w:val="FFFFFF"/>
          <w:spacing w:val="-2"/>
          <w:sz w:val="44"/>
        </w:rPr>
        <w:t>ASSOCIATION</w:t>
      </w:r>
    </w:p>
    <w:p>
      <w:pPr>
        <w:spacing w:line="314" w:lineRule="exact" w:before="0"/>
        <w:ind w:left="2219" w:right="0" w:firstLine="0"/>
        <w:jc w:val="left"/>
        <w:rPr>
          <w:sz w:val="32"/>
        </w:rPr>
      </w:pPr>
      <w:r>
        <w:rPr>
          <w:color w:val="FFFFFF"/>
          <w:sz w:val="32"/>
        </w:rPr>
        <w:t>Mac.</w:t>
      </w:r>
      <w:r>
        <w:rPr>
          <w:color w:val="FFFFFF"/>
          <w:spacing w:val="10"/>
          <w:sz w:val="32"/>
        </w:rPr>
        <w:t> </w:t>
      </w:r>
      <w:r>
        <w:rPr>
          <w:color w:val="FFFFFF"/>
          <w:sz w:val="32"/>
        </w:rPr>
        <w:t>Med.</w:t>
      </w:r>
      <w:r>
        <w:rPr>
          <w:color w:val="FFFFFF"/>
          <w:spacing w:val="11"/>
          <w:sz w:val="32"/>
        </w:rPr>
        <w:t> </w:t>
      </w:r>
      <w:r>
        <w:rPr>
          <w:color w:val="FFFFFF"/>
          <w:sz w:val="32"/>
        </w:rPr>
        <w:t>Preview,</w:t>
      </w:r>
      <w:r>
        <w:rPr>
          <w:color w:val="FFFFFF"/>
          <w:spacing w:val="11"/>
          <w:sz w:val="32"/>
        </w:rPr>
        <w:t> </w:t>
      </w:r>
      <w:r>
        <w:rPr>
          <w:color w:val="FFFFFF"/>
          <w:sz w:val="32"/>
        </w:rPr>
        <w:t>2021;</w:t>
      </w:r>
      <w:r>
        <w:rPr>
          <w:color w:val="FFFFFF"/>
          <w:spacing w:val="11"/>
          <w:sz w:val="32"/>
        </w:rPr>
        <w:t> </w:t>
      </w:r>
      <w:r>
        <w:rPr>
          <w:color w:val="FFFFFF"/>
          <w:spacing w:val="-2"/>
          <w:sz w:val="32"/>
        </w:rPr>
        <w:t>75(1)</w:t>
      </w:r>
    </w:p>
    <w:p>
      <w:pPr>
        <w:pStyle w:val="BodyText"/>
        <w:rPr>
          <w:sz w:val="20"/>
        </w:rPr>
      </w:pPr>
    </w:p>
    <w:p>
      <w:pPr>
        <w:pStyle w:val="BodyText"/>
        <w:spacing w:before="2"/>
        <w:rPr>
          <w:sz w:val="27"/>
        </w:rPr>
      </w:pPr>
    </w:p>
    <w:p>
      <w:pPr>
        <w:tabs>
          <w:tab w:pos="7120" w:val="left" w:leader="none"/>
          <w:tab w:pos="9110" w:val="left" w:leader="none"/>
        </w:tabs>
        <w:spacing w:before="57"/>
        <w:ind w:left="4240" w:right="0" w:firstLine="0"/>
        <w:jc w:val="left"/>
        <w:rPr>
          <w:rFonts w:ascii="Myriad Pro Cond"/>
          <w:b/>
          <w:sz w:val="24"/>
        </w:rPr>
      </w:pPr>
      <w:r>
        <w:rPr>
          <w:rFonts w:ascii="Myriad Pro Cond"/>
          <w:b/>
          <w:color w:val="6DCFF6"/>
          <w:sz w:val="24"/>
        </w:rPr>
        <w:t>UDK: </w:t>
      </w:r>
      <w:r>
        <w:rPr>
          <w:rFonts w:ascii="Myriad Pro Cond"/>
          <w:b/>
          <w:color w:val="6DCFF6"/>
          <w:spacing w:val="-2"/>
          <w:sz w:val="24"/>
        </w:rPr>
        <w:t>61+061.231=866=20</w:t>
      </w:r>
      <w:r>
        <w:rPr>
          <w:rFonts w:ascii="Myriad Pro Cond"/>
          <w:b/>
          <w:color w:val="6DCFF6"/>
          <w:sz w:val="24"/>
        </w:rPr>
        <w:tab/>
        <w:t>CODEN:</w:t>
      </w:r>
      <w:r>
        <w:rPr>
          <w:rFonts w:ascii="Myriad Pro Cond"/>
          <w:b/>
          <w:color w:val="6DCFF6"/>
          <w:spacing w:val="-3"/>
          <w:sz w:val="24"/>
        </w:rPr>
        <w:t> </w:t>
      </w:r>
      <w:r>
        <w:rPr>
          <w:rFonts w:ascii="Myriad Pro Cond"/>
          <w:b/>
          <w:color w:val="6DCFF6"/>
          <w:spacing w:val="-2"/>
          <w:sz w:val="24"/>
        </w:rPr>
        <w:t>MKMPA3</w:t>
      </w:r>
      <w:r>
        <w:rPr>
          <w:rFonts w:ascii="Myriad Pro Cond"/>
          <w:b/>
          <w:color w:val="6DCFF6"/>
          <w:sz w:val="24"/>
        </w:rPr>
        <w:tab/>
        <w:t>ISSN: 0025-</w:t>
      </w:r>
      <w:r>
        <w:rPr>
          <w:rFonts w:ascii="Myriad Pro Cond"/>
          <w:b/>
          <w:color w:val="6DCFF6"/>
          <w:spacing w:val="-4"/>
          <w:sz w:val="24"/>
        </w:rPr>
        <w:t>1097</w:t>
      </w: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rPr>
          <w:rFonts w:ascii="Myriad Pro Cond"/>
          <w:b/>
          <w:sz w:val="20"/>
        </w:rPr>
      </w:pPr>
    </w:p>
    <w:p>
      <w:pPr>
        <w:pStyle w:val="BodyText"/>
        <w:spacing w:before="9"/>
        <w:rPr>
          <w:rFonts w:ascii="Myriad Pro Cond"/>
          <w:b/>
        </w:rPr>
      </w:pPr>
    </w:p>
    <w:p>
      <w:pPr>
        <w:spacing w:line="168" w:lineRule="auto" w:before="327"/>
        <w:ind w:left="839" w:right="2668" w:hanging="713"/>
        <w:jc w:val="left"/>
        <w:rPr>
          <w:rFonts w:ascii="Myriad Pro" w:hAnsi="Myriad Pro"/>
          <w:sz w:val="60"/>
        </w:rPr>
      </w:pPr>
      <w:r>
        <w:rPr>
          <w:rFonts w:ascii="Myriad Pro" w:hAnsi="Myriad Pro"/>
          <w:b/>
          <w:color w:val="1E4078"/>
          <w:spacing w:val="10"/>
          <w:sz w:val="74"/>
        </w:rPr>
        <w:t>М</w:t>
      </w:r>
      <w:r>
        <w:rPr>
          <w:rFonts w:ascii="Myriad Pro" w:hAnsi="Myriad Pro"/>
          <w:color w:val="1E4078"/>
          <w:spacing w:val="10"/>
          <w:sz w:val="60"/>
        </w:rPr>
        <w:t>АКЕДОНСКИ </w:t>
      </w:r>
      <w:r>
        <w:rPr>
          <w:rFonts w:ascii="Myriad Pro" w:hAnsi="Myriad Pro"/>
          <w:b/>
          <w:color w:val="1E4078"/>
          <w:spacing w:val="10"/>
          <w:sz w:val="74"/>
        </w:rPr>
        <w:t>М</w:t>
      </w:r>
      <w:r>
        <w:rPr>
          <w:rFonts w:ascii="Myriad Pro" w:hAnsi="Myriad Pro"/>
          <w:color w:val="1E4078"/>
          <w:spacing w:val="10"/>
          <w:sz w:val="60"/>
        </w:rPr>
        <w:t>ЕДИЦИНСКИ</w:t>
      </w:r>
    </w:p>
    <w:p>
      <w:pPr>
        <w:spacing w:line="694" w:lineRule="exact" w:before="0"/>
        <w:ind w:left="1559" w:right="0" w:firstLine="0"/>
        <w:jc w:val="left"/>
        <w:rPr>
          <w:rFonts w:ascii="Myriad Pro" w:hAnsi="Myriad Pro"/>
          <w:sz w:val="60"/>
        </w:rPr>
      </w:pPr>
      <w:r>
        <w:rPr>
          <w:rFonts w:ascii="Myriad Pro" w:hAnsi="Myriad Pro"/>
          <w:b/>
          <w:color w:val="1E4078"/>
          <w:spacing w:val="7"/>
          <w:w w:val="105"/>
          <w:sz w:val="74"/>
        </w:rPr>
        <w:t>П</w:t>
      </w:r>
      <w:r>
        <w:rPr>
          <w:rFonts w:ascii="Myriad Pro" w:hAnsi="Myriad Pro"/>
          <w:color w:val="1E4078"/>
          <w:spacing w:val="7"/>
          <w:w w:val="105"/>
          <w:sz w:val="60"/>
        </w:rPr>
        <w:t>РЕrЛЕД</w:t>
      </w:r>
    </w:p>
    <w:p>
      <w:pPr>
        <w:spacing w:line="168" w:lineRule="auto" w:before="423"/>
        <w:ind w:left="839" w:right="2668" w:firstLine="720"/>
        <w:jc w:val="left"/>
        <w:rPr>
          <w:rFonts w:ascii="Myriad Pro"/>
          <w:sz w:val="60"/>
        </w:rPr>
      </w:pPr>
      <w:r>
        <w:rPr>
          <w:rFonts w:ascii="Myriad Pro"/>
          <w:b/>
          <w:color w:val="1E4078"/>
          <w:spacing w:val="8"/>
          <w:sz w:val="74"/>
        </w:rPr>
        <w:t>M</w:t>
      </w:r>
      <w:r>
        <w:rPr>
          <w:rFonts w:ascii="Myriad Pro"/>
          <w:color w:val="1E4078"/>
          <w:spacing w:val="8"/>
          <w:sz w:val="60"/>
        </w:rPr>
        <w:t>ACEDONIAN </w:t>
      </w:r>
      <w:r>
        <w:rPr>
          <w:rFonts w:ascii="Myriad Pro"/>
          <w:b/>
          <w:color w:val="1E4078"/>
          <w:spacing w:val="10"/>
          <w:sz w:val="74"/>
        </w:rPr>
        <w:t>M</w:t>
      </w:r>
      <w:r>
        <w:rPr>
          <w:rFonts w:ascii="Myriad Pro"/>
          <w:color w:val="1E4078"/>
          <w:spacing w:val="10"/>
          <w:sz w:val="60"/>
        </w:rPr>
        <w:t>EDICAL</w:t>
      </w:r>
    </w:p>
    <w:p>
      <w:pPr>
        <w:spacing w:line="694" w:lineRule="exact" w:before="0"/>
        <w:ind w:left="126" w:right="0" w:firstLine="0"/>
        <w:jc w:val="left"/>
        <w:rPr>
          <w:rFonts w:ascii="Myriad Pro"/>
          <w:sz w:val="60"/>
        </w:rPr>
      </w:pPr>
      <w:r>
        <w:rPr>
          <w:rFonts w:ascii="Myriad Pro"/>
          <w:b/>
          <w:color w:val="1E4078"/>
          <w:spacing w:val="9"/>
          <w:sz w:val="74"/>
        </w:rPr>
        <w:t>R</w:t>
      </w:r>
      <w:r>
        <w:rPr>
          <w:rFonts w:ascii="Myriad Pro"/>
          <w:color w:val="1E4078"/>
          <w:spacing w:val="9"/>
          <w:sz w:val="60"/>
        </w:rPr>
        <w:t>EVIEW</w:t>
      </w: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pStyle w:val="BodyText"/>
        <w:rPr>
          <w:rFonts w:ascii="Myriad Pro"/>
          <w:sz w:val="20"/>
        </w:rPr>
      </w:pPr>
    </w:p>
    <w:p>
      <w:pPr>
        <w:spacing w:line="289" w:lineRule="exact" w:before="189"/>
        <w:ind w:left="119" w:right="0" w:firstLine="0"/>
        <w:jc w:val="left"/>
        <w:rPr>
          <w:rFonts w:ascii="Myriad Pro Cond" w:hAnsi="Myriad Pro Cond"/>
          <w:b/>
          <w:sz w:val="24"/>
        </w:rPr>
      </w:pPr>
      <w:r>
        <w:rPr>
          <w:rFonts w:ascii="Myriad Pro Cond" w:hAnsi="Myriad Pro Cond"/>
          <w:b/>
          <w:color w:val="231F20"/>
          <w:sz w:val="24"/>
        </w:rPr>
        <w:t>Основано </w:t>
      </w:r>
      <w:r>
        <w:rPr>
          <w:rFonts w:ascii="Myriad Pro Cond" w:hAnsi="Myriad Pro Cond"/>
          <w:b/>
          <w:color w:val="231F20"/>
          <w:spacing w:val="-4"/>
          <w:sz w:val="24"/>
        </w:rPr>
        <w:t>1946</w:t>
      </w:r>
    </w:p>
    <w:p>
      <w:pPr>
        <w:spacing w:line="289" w:lineRule="exact" w:before="0"/>
        <w:ind w:left="119" w:right="0" w:firstLine="0"/>
        <w:jc w:val="left"/>
        <w:rPr>
          <w:rFonts w:ascii="Myriad Pro Cond"/>
          <w:b/>
          <w:sz w:val="24"/>
        </w:rPr>
      </w:pPr>
      <w:r>
        <w:rPr>
          <w:rFonts w:ascii="Myriad Pro Cond"/>
          <w:b/>
          <w:color w:val="231F20"/>
          <w:sz w:val="24"/>
        </w:rPr>
        <w:t>Founded</w:t>
      </w:r>
      <w:r>
        <w:rPr>
          <w:rFonts w:ascii="Myriad Pro Cond"/>
          <w:b/>
          <w:color w:val="231F20"/>
          <w:spacing w:val="-6"/>
          <w:sz w:val="24"/>
        </w:rPr>
        <w:t> </w:t>
      </w:r>
      <w:r>
        <w:rPr>
          <w:rFonts w:ascii="Myriad Pro Cond"/>
          <w:b/>
          <w:color w:val="231F20"/>
          <w:spacing w:val="-4"/>
          <w:sz w:val="24"/>
        </w:rPr>
        <w:t>1946</w:t>
      </w:r>
    </w:p>
    <w:p>
      <w:pPr>
        <w:pStyle w:val="BodyText"/>
        <w:spacing w:before="4"/>
        <w:rPr>
          <w:rFonts w:ascii="Myriad Pro Cond"/>
          <w:b/>
          <w:sz w:val="25"/>
        </w:rPr>
      </w:pPr>
    </w:p>
    <w:p>
      <w:pPr>
        <w:spacing w:before="0"/>
        <w:ind w:left="4165" w:right="4294" w:firstLine="0"/>
        <w:jc w:val="center"/>
        <w:rPr>
          <w:sz w:val="38"/>
        </w:rPr>
      </w:pPr>
      <w:r>
        <w:rPr/>
        <w:pict>
          <v:shape style="position:absolute;margin-left:240.007004pt;margin-top:11.06144pt;width:110.75pt;height:18pt;mso-position-horizontal-relative:page;mso-position-vertical-relative:paragraph;z-index:-17654272" type="#_x0000_t202" id="docshape451" filled="false" stroked="false">
            <v:textbox inset="0,0,0,0">
              <w:txbxContent>
                <w:p>
                  <w:pPr>
                    <w:spacing w:line="360" w:lineRule="exact" w:before="0"/>
                    <w:ind w:left="0" w:right="0" w:firstLine="0"/>
                    <w:jc w:val="left"/>
                    <w:rPr>
                      <w:rFonts w:ascii="Myriad Pro Cond"/>
                      <w:b/>
                      <w:sz w:val="36"/>
                    </w:rPr>
                  </w:pPr>
                  <w:hyperlink r:id="rId447">
                    <w:r>
                      <w:rPr>
                        <w:rFonts w:ascii="Myriad Pro Cond"/>
                        <w:b/>
                        <w:color w:val="FFFFFF"/>
                        <w:spacing w:val="-2"/>
                        <w:sz w:val="36"/>
                      </w:rPr>
                      <w:t>www.mld.org.mk</w:t>
                    </w:r>
                  </w:hyperlink>
                </w:p>
              </w:txbxContent>
            </v:textbox>
            <w10:wrap type="none"/>
          </v:shape>
        </w:pict>
      </w:r>
      <w:hyperlink r:id="rId448">
        <w:r>
          <w:rPr>
            <w:color w:val="FFFFFF"/>
            <w:spacing w:val="-2"/>
            <w:sz w:val="38"/>
          </w:rPr>
          <w:t>www.mld.mk</w:t>
        </w:r>
      </w:hyperlink>
    </w:p>
    <w:p>
      <w:pPr>
        <w:spacing w:after="0"/>
        <w:jc w:val="center"/>
        <w:rPr>
          <w:sz w:val="38"/>
        </w:rPr>
        <w:sectPr>
          <w:footerReference w:type="even" r:id="rId5"/>
          <w:type w:val="continuous"/>
          <w:pgSz w:w="11910" w:h="16840"/>
          <w:pgMar w:footer="0" w:header="0" w:top="740" w:bottom="0" w:left="580" w:right="760"/>
          <w:pgNumType w:start="4"/>
        </w:sectPr>
      </w:pPr>
    </w:p>
    <w:p>
      <w:pPr>
        <w:spacing w:line="644" w:lineRule="exact" w:before="332"/>
        <w:ind w:left="120" w:right="0" w:firstLine="0"/>
        <w:jc w:val="left"/>
        <w:rPr>
          <w:b/>
          <w:sz w:val="56"/>
        </w:rPr>
      </w:pPr>
      <w:r>
        <w:rPr/>
        <w:drawing>
          <wp:anchor distT="0" distB="0" distL="0" distR="0" allowOverlap="1" layoutInCell="1" locked="0" behindDoc="0" simplePos="0" relativeHeight="15730688">
            <wp:simplePos x="0" y="0"/>
            <wp:positionH relativeFrom="page">
              <wp:posOffset>1862915</wp:posOffset>
            </wp:positionH>
            <wp:positionV relativeFrom="paragraph">
              <wp:posOffset>213325</wp:posOffset>
            </wp:positionV>
            <wp:extent cx="931235" cy="274461"/>
            <wp:effectExtent l="0" t="0" r="0" b="0"/>
            <wp:wrapNone/>
            <wp:docPr id="1" name="image442.jpeg"/>
            <wp:cNvGraphicFramePr>
              <a:graphicFrameLocks noChangeAspect="1"/>
            </wp:cNvGraphicFramePr>
            <a:graphic>
              <a:graphicData uri="http://schemas.openxmlformats.org/drawingml/2006/picture">
                <pic:pic>
                  <pic:nvPicPr>
                    <pic:cNvPr id="2" name="image442.jpeg"/>
                    <pic:cNvPicPr/>
                  </pic:nvPicPr>
                  <pic:blipFill>
                    <a:blip r:embed="rId449" cstate="print"/>
                    <a:stretch>
                      <a:fillRect/>
                    </a:stretch>
                  </pic:blipFill>
                  <pic:spPr>
                    <a:xfrm>
                      <a:off x="0" y="0"/>
                      <a:ext cx="931235" cy="274461"/>
                    </a:xfrm>
                    <a:prstGeom prst="rect">
                      <a:avLst/>
                    </a:prstGeom>
                  </pic:spPr>
                </pic:pic>
              </a:graphicData>
            </a:graphic>
          </wp:anchor>
        </w:drawing>
      </w:r>
      <w:bookmarkStart w:name="Spisanie  Makedonski Medicinski Pregled " w:id="2"/>
      <w:bookmarkEnd w:id="2"/>
      <w:r>
        <w:rPr/>
      </w:r>
      <w:r>
        <w:rPr>
          <w:b/>
          <w:spacing w:val="-4"/>
          <w:sz w:val="56"/>
        </w:rPr>
        <w:t>1/21</w:t>
      </w:r>
    </w:p>
    <w:p>
      <w:pPr>
        <w:spacing w:line="230" w:lineRule="exact" w:before="0"/>
        <w:ind w:left="120" w:right="0" w:firstLine="0"/>
        <w:jc w:val="left"/>
        <w:rPr>
          <w:b/>
          <w:sz w:val="20"/>
        </w:rPr>
      </w:pPr>
      <w:r>
        <w:rPr>
          <w:b/>
          <w:color w:val="808080"/>
          <w:sz w:val="20"/>
        </w:rPr>
        <w:t>Мак</w:t>
      </w:r>
      <w:r>
        <w:rPr>
          <w:b/>
          <w:color w:val="808080"/>
          <w:spacing w:val="-4"/>
          <w:sz w:val="20"/>
        </w:rPr>
        <w:t> </w:t>
      </w:r>
      <w:r>
        <w:rPr>
          <w:b/>
          <w:color w:val="808080"/>
          <w:sz w:val="20"/>
        </w:rPr>
        <w:t>Мед</w:t>
      </w:r>
      <w:r>
        <w:rPr>
          <w:b/>
          <w:color w:val="808080"/>
          <w:spacing w:val="-1"/>
          <w:sz w:val="20"/>
        </w:rPr>
        <w:t> </w:t>
      </w:r>
      <w:r>
        <w:rPr>
          <w:b/>
          <w:color w:val="808080"/>
          <w:spacing w:val="-2"/>
          <w:sz w:val="20"/>
        </w:rPr>
        <w:t>Преглед</w:t>
      </w:r>
    </w:p>
    <w:p>
      <w:pPr>
        <w:spacing w:before="76"/>
        <w:ind w:left="120" w:right="0" w:firstLine="0"/>
        <w:jc w:val="left"/>
        <w:rPr>
          <w:b/>
          <w:sz w:val="20"/>
        </w:rPr>
      </w:pPr>
      <w:r>
        <w:rPr/>
        <w:br w:type="column"/>
      </w:r>
      <w:r>
        <w:rPr>
          <w:b/>
          <w:sz w:val="20"/>
        </w:rPr>
        <w:t>Списание</w:t>
      </w:r>
      <w:r>
        <w:rPr>
          <w:b/>
          <w:spacing w:val="-13"/>
          <w:sz w:val="20"/>
        </w:rPr>
        <w:t> </w:t>
      </w:r>
      <w:r>
        <w:rPr>
          <w:b/>
          <w:sz w:val="20"/>
        </w:rPr>
        <w:t>на</w:t>
      </w:r>
      <w:r>
        <w:rPr>
          <w:b/>
          <w:spacing w:val="-12"/>
          <w:sz w:val="20"/>
        </w:rPr>
        <w:t> </w:t>
      </w:r>
      <w:r>
        <w:rPr>
          <w:b/>
          <w:sz w:val="20"/>
        </w:rPr>
        <w:t>Македонското</w:t>
      </w:r>
      <w:r>
        <w:rPr>
          <w:b/>
          <w:spacing w:val="-13"/>
          <w:sz w:val="20"/>
        </w:rPr>
        <w:t> </w:t>
      </w:r>
      <w:r>
        <w:rPr>
          <w:b/>
          <w:sz w:val="20"/>
        </w:rPr>
        <w:t>лекарско </w:t>
      </w:r>
      <w:r>
        <w:rPr>
          <w:b/>
          <w:spacing w:val="-2"/>
          <w:sz w:val="20"/>
        </w:rPr>
        <w:t>друштво</w:t>
      </w:r>
    </w:p>
    <w:p>
      <w:pPr>
        <w:pStyle w:val="BodyText"/>
        <w:spacing w:before="10"/>
        <w:rPr>
          <w:b/>
          <w:sz w:val="19"/>
        </w:rPr>
      </w:pPr>
    </w:p>
    <w:p>
      <w:pPr>
        <w:spacing w:before="0"/>
        <w:ind w:left="120" w:right="103" w:firstLine="0"/>
        <w:jc w:val="left"/>
        <w:rPr>
          <w:b/>
          <w:sz w:val="20"/>
        </w:rPr>
      </w:pPr>
      <w:r>
        <w:rPr>
          <w:b/>
          <w:sz w:val="20"/>
        </w:rPr>
        <w:t>Journal</w:t>
      </w:r>
      <w:r>
        <w:rPr>
          <w:b/>
          <w:spacing w:val="-9"/>
          <w:sz w:val="20"/>
        </w:rPr>
        <w:t> </w:t>
      </w:r>
      <w:r>
        <w:rPr>
          <w:b/>
          <w:sz w:val="20"/>
        </w:rPr>
        <w:t>of</w:t>
      </w:r>
      <w:r>
        <w:rPr>
          <w:b/>
          <w:spacing w:val="-9"/>
          <w:sz w:val="20"/>
        </w:rPr>
        <w:t> </w:t>
      </w:r>
      <w:r>
        <w:rPr>
          <w:b/>
          <w:sz w:val="20"/>
        </w:rPr>
        <w:t>the</w:t>
      </w:r>
      <w:r>
        <w:rPr>
          <w:b/>
          <w:spacing w:val="-11"/>
          <w:sz w:val="20"/>
        </w:rPr>
        <w:t> </w:t>
      </w:r>
      <w:r>
        <w:rPr>
          <w:b/>
          <w:sz w:val="20"/>
        </w:rPr>
        <w:t>Macedonian</w:t>
      </w:r>
      <w:r>
        <w:rPr>
          <w:b/>
          <w:spacing w:val="-9"/>
          <w:sz w:val="20"/>
        </w:rPr>
        <w:t> </w:t>
      </w:r>
      <w:r>
        <w:rPr>
          <w:b/>
          <w:sz w:val="20"/>
        </w:rPr>
        <w:t>Medical </w:t>
      </w:r>
      <w:r>
        <w:rPr>
          <w:b/>
          <w:spacing w:val="-2"/>
          <w:sz w:val="20"/>
        </w:rPr>
        <w:t>Association</w:t>
      </w:r>
    </w:p>
    <w:p>
      <w:pPr>
        <w:spacing w:after="0"/>
        <w:jc w:val="left"/>
        <w:rPr>
          <w:sz w:val="20"/>
        </w:rPr>
        <w:sectPr>
          <w:pgSz w:w="11910" w:h="16840"/>
          <w:pgMar w:header="0" w:footer="0" w:top="1320" w:bottom="280" w:left="900" w:right="840"/>
          <w:cols w:num="2" w:equalWidth="0">
            <w:col w:w="3541" w:space="2463"/>
            <w:col w:w="4166"/>
          </w:cols>
        </w:sectPr>
      </w:pPr>
    </w:p>
    <w:p>
      <w:pPr>
        <w:pStyle w:val="BodyText"/>
        <w:spacing w:line="112" w:lineRule="exact"/>
        <w:ind w:left="120"/>
        <w:rPr>
          <w:sz w:val="11"/>
        </w:rPr>
      </w:pPr>
      <w:r>
        <w:rPr>
          <w:position w:val="-1"/>
          <w:sz w:val="11"/>
        </w:rPr>
        <w:drawing>
          <wp:inline distT="0" distB="0" distL="0" distR="0">
            <wp:extent cx="125816" cy="71627"/>
            <wp:effectExtent l="0" t="0" r="0" b="0"/>
            <wp:docPr id="3" name="image443.png"/>
            <wp:cNvGraphicFramePr>
              <a:graphicFrameLocks noChangeAspect="1"/>
            </wp:cNvGraphicFramePr>
            <a:graphic>
              <a:graphicData uri="http://schemas.openxmlformats.org/drawingml/2006/picture">
                <pic:pic>
                  <pic:nvPicPr>
                    <pic:cNvPr id="4" name="image443.png"/>
                    <pic:cNvPicPr/>
                  </pic:nvPicPr>
                  <pic:blipFill>
                    <a:blip r:embed="rId450" cstate="print"/>
                    <a:stretch>
                      <a:fillRect/>
                    </a:stretch>
                  </pic:blipFill>
                  <pic:spPr>
                    <a:xfrm>
                      <a:off x="0" y="0"/>
                      <a:ext cx="125816" cy="71627"/>
                    </a:xfrm>
                    <a:prstGeom prst="rect">
                      <a:avLst/>
                    </a:prstGeom>
                  </pic:spPr>
                </pic:pic>
              </a:graphicData>
            </a:graphic>
          </wp:inline>
        </w:drawing>
      </w:r>
      <w:r>
        <w:rPr>
          <w:position w:val="-1"/>
          <w:sz w:val="11"/>
        </w:rPr>
      </w:r>
    </w:p>
    <w:p>
      <w:pPr>
        <w:pStyle w:val="BodyText"/>
        <w:spacing w:before="1"/>
        <w:rPr>
          <w:b/>
          <w:sz w:val="6"/>
        </w:rPr>
      </w:pPr>
    </w:p>
    <w:p>
      <w:pPr>
        <w:spacing w:after="0"/>
        <w:rPr>
          <w:sz w:val="6"/>
        </w:rPr>
        <w:sectPr>
          <w:type w:val="continuous"/>
          <w:pgSz w:w="11910" w:h="16840"/>
          <w:pgMar w:header="0" w:footer="0" w:top="740" w:bottom="0" w:left="900" w:right="840"/>
        </w:sectPr>
      </w:pPr>
    </w:p>
    <w:p>
      <w:pPr>
        <w:spacing w:before="52"/>
        <w:ind w:left="948" w:right="50" w:firstLine="0"/>
        <w:jc w:val="center"/>
        <w:rPr>
          <w:b/>
          <w:sz w:val="20"/>
        </w:rPr>
      </w:pPr>
      <w:r>
        <w:rPr>
          <w:b/>
          <w:w w:val="105"/>
          <w:sz w:val="20"/>
        </w:rPr>
        <w:t>Glaven</w:t>
      </w:r>
      <w:r>
        <w:rPr>
          <w:b/>
          <w:spacing w:val="10"/>
          <w:w w:val="105"/>
          <w:sz w:val="20"/>
        </w:rPr>
        <w:t> </w:t>
      </w:r>
      <w:r>
        <w:rPr>
          <w:b/>
          <w:w w:val="105"/>
          <w:sz w:val="20"/>
        </w:rPr>
        <w:t>i</w:t>
      </w:r>
      <w:r>
        <w:rPr>
          <w:b/>
          <w:spacing w:val="11"/>
          <w:w w:val="105"/>
          <w:sz w:val="20"/>
        </w:rPr>
        <w:t> </w:t>
      </w:r>
      <w:r>
        <w:rPr>
          <w:b/>
          <w:w w:val="105"/>
          <w:sz w:val="20"/>
        </w:rPr>
        <w:t>odgovoren</w:t>
      </w:r>
      <w:r>
        <w:rPr>
          <w:b/>
          <w:spacing w:val="11"/>
          <w:w w:val="105"/>
          <w:sz w:val="20"/>
        </w:rPr>
        <w:t> </w:t>
      </w:r>
      <w:r>
        <w:rPr>
          <w:b/>
          <w:spacing w:val="-2"/>
          <w:w w:val="105"/>
          <w:sz w:val="20"/>
        </w:rPr>
        <w:t>urednik</w:t>
      </w:r>
    </w:p>
    <w:p>
      <w:pPr>
        <w:spacing w:before="3"/>
        <w:ind w:left="948" w:right="47" w:firstLine="0"/>
        <w:jc w:val="center"/>
        <w:rPr>
          <w:b/>
          <w:sz w:val="20"/>
        </w:rPr>
      </w:pPr>
      <w:r>
        <w:rPr>
          <w:b/>
          <w:sz w:val="20"/>
        </w:rPr>
        <w:t>Editor</w:t>
      </w:r>
      <w:r>
        <w:rPr>
          <w:b/>
          <w:spacing w:val="-6"/>
          <w:sz w:val="20"/>
        </w:rPr>
        <w:t> </w:t>
      </w:r>
      <w:r>
        <w:rPr>
          <w:b/>
          <w:sz w:val="20"/>
        </w:rPr>
        <w:t>in</w:t>
      </w:r>
      <w:r>
        <w:rPr>
          <w:b/>
          <w:spacing w:val="-6"/>
          <w:sz w:val="20"/>
        </w:rPr>
        <w:t> </w:t>
      </w:r>
      <w:r>
        <w:rPr>
          <w:b/>
          <w:spacing w:val="-2"/>
          <w:sz w:val="20"/>
        </w:rPr>
        <w:t>Chief</w:t>
      </w:r>
    </w:p>
    <w:p>
      <w:pPr>
        <w:spacing w:before="52"/>
        <w:ind w:left="131" w:right="2084" w:firstLine="0"/>
        <w:jc w:val="center"/>
        <w:rPr>
          <w:b/>
          <w:sz w:val="20"/>
        </w:rPr>
      </w:pPr>
      <w:r>
        <w:rPr/>
        <w:br w:type="column"/>
      </w:r>
      <w:r>
        <w:rPr>
          <w:b/>
          <w:sz w:val="20"/>
        </w:rPr>
        <w:t>Zamenik</w:t>
      </w:r>
      <w:r>
        <w:rPr>
          <w:b/>
          <w:spacing w:val="18"/>
          <w:w w:val="115"/>
          <w:sz w:val="20"/>
        </w:rPr>
        <w:t> </w:t>
      </w:r>
      <w:r>
        <w:rPr>
          <w:b/>
          <w:spacing w:val="-2"/>
          <w:w w:val="115"/>
          <w:sz w:val="20"/>
        </w:rPr>
        <w:t>urednici</w:t>
      </w:r>
    </w:p>
    <w:p>
      <w:pPr>
        <w:spacing w:before="3"/>
        <w:ind w:left="131" w:right="2082" w:firstLine="0"/>
        <w:jc w:val="center"/>
        <w:rPr>
          <w:b/>
          <w:sz w:val="20"/>
        </w:rPr>
      </w:pPr>
      <w:r>
        <w:rPr>
          <w:b/>
          <w:sz w:val="20"/>
        </w:rPr>
        <w:t>Deputy</w:t>
      </w:r>
      <w:r>
        <w:rPr>
          <w:b/>
          <w:spacing w:val="-10"/>
          <w:sz w:val="20"/>
        </w:rPr>
        <w:t> </w:t>
      </w:r>
      <w:r>
        <w:rPr>
          <w:b/>
          <w:spacing w:val="-2"/>
          <w:sz w:val="20"/>
        </w:rPr>
        <w:t>editors</w:t>
      </w:r>
    </w:p>
    <w:p>
      <w:pPr>
        <w:spacing w:after="0"/>
        <w:jc w:val="center"/>
        <w:rPr>
          <w:sz w:val="20"/>
        </w:rPr>
        <w:sectPr>
          <w:type w:val="continuous"/>
          <w:pgSz w:w="11910" w:h="16840"/>
          <w:pgMar w:header="0" w:footer="0" w:top="740" w:bottom="0" w:left="900" w:right="840"/>
          <w:cols w:num="2" w:equalWidth="0">
            <w:col w:w="3572" w:space="2698"/>
            <w:col w:w="3900"/>
          </w:cols>
        </w:sectPr>
      </w:pPr>
    </w:p>
    <w:p>
      <w:pPr>
        <w:pStyle w:val="BodyText"/>
        <w:rPr>
          <w:b/>
          <w:sz w:val="20"/>
        </w:rPr>
      </w:pPr>
    </w:p>
    <w:p>
      <w:pPr>
        <w:pStyle w:val="BodyText"/>
        <w:spacing w:before="8"/>
        <w:rPr>
          <w:b/>
          <w:sz w:val="16"/>
        </w:rPr>
      </w:pPr>
    </w:p>
    <w:p>
      <w:pPr>
        <w:tabs>
          <w:tab w:pos="5782" w:val="left" w:leader="none"/>
        </w:tabs>
        <w:spacing w:before="63"/>
        <w:ind w:left="1070" w:right="0" w:firstLine="0"/>
        <w:jc w:val="left"/>
        <w:rPr>
          <w:sz w:val="20"/>
        </w:rPr>
      </w:pPr>
      <w:r>
        <w:rPr/>
        <w:pict>
          <v:shape style="position:absolute;margin-left:368.230011pt;margin-top:15.130476pt;width:77.8pt;height:11.05pt;mso-position-horizontal-relative:page;mso-position-vertical-relative:paragraph;z-index:-17652736" type="#_x0000_t202" id="docshape452" filled="false" stroked="false">
            <v:textbox inset="0,0,0,0">
              <w:txbxContent>
                <w:p>
                  <w:pPr>
                    <w:spacing w:line="221" w:lineRule="exact" w:before="0"/>
                    <w:ind w:left="0" w:right="0" w:firstLine="0"/>
                    <w:jc w:val="left"/>
                    <w:rPr>
                      <w:sz w:val="20"/>
                    </w:rPr>
                  </w:pPr>
                  <w:r>
                    <w:rPr>
                      <w:sz w:val="20"/>
                    </w:rPr>
                    <w:t>Андреја</w:t>
                  </w:r>
                  <w:r>
                    <w:rPr>
                      <w:spacing w:val="-7"/>
                      <w:sz w:val="20"/>
                    </w:rPr>
                    <w:t> </w:t>
                  </w:r>
                  <w:r>
                    <w:rPr>
                      <w:spacing w:val="-2"/>
                      <w:sz w:val="20"/>
                    </w:rPr>
                    <w:t>Арсовски</w:t>
                  </w:r>
                </w:p>
              </w:txbxContent>
            </v:textbox>
            <w10:wrap type="none"/>
          </v:shape>
        </w:pict>
      </w:r>
      <w:r>
        <w:rPr>
          <w:w w:val="110"/>
          <w:position w:val="-11"/>
          <w:sz w:val="20"/>
        </w:rPr>
        <w:t>Sowa</w:t>
      </w:r>
      <w:r>
        <w:rPr>
          <w:spacing w:val="3"/>
          <w:w w:val="110"/>
          <w:position w:val="-11"/>
          <w:sz w:val="20"/>
        </w:rPr>
        <w:t> </w:t>
      </w:r>
      <w:r>
        <w:rPr>
          <w:w w:val="110"/>
          <w:position w:val="-11"/>
          <w:sz w:val="20"/>
        </w:rPr>
        <w:t>Genadieva</w:t>
      </w:r>
      <w:r>
        <w:rPr>
          <w:spacing w:val="4"/>
          <w:w w:val="110"/>
          <w:position w:val="-11"/>
          <w:sz w:val="20"/>
        </w:rPr>
        <w:t> </w:t>
      </w:r>
      <w:r>
        <w:rPr>
          <w:spacing w:val="-2"/>
          <w:w w:val="110"/>
          <w:position w:val="-11"/>
          <w:sz w:val="20"/>
        </w:rPr>
        <w:t>Stavri}</w:t>
      </w:r>
      <w:r>
        <w:rPr>
          <w:position w:val="-11"/>
          <w:sz w:val="20"/>
        </w:rPr>
        <w:tab/>
      </w:r>
      <w:r>
        <w:rPr>
          <w:w w:val="125"/>
          <w:sz w:val="20"/>
        </w:rPr>
        <w:t>Dijana</w:t>
      </w:r>
      <w:r>
        <w:rPr>
          <w:spacing w:val="-12"/>
          <w:w w:val="125"/>
          <w:sz w:val="20"/>
        </w:rPr>
        <w:t> </w:t>
      </w:r>
      <w:r>
        <w:rPr>
          <w:w w:val="125"/>
          <w:sz w:val="20"/>
        </w:rPr>
        <w:t>Pla{eska</w:t>
      </w:r>
      <w:r>
        <w:rPr>
          <w:spacing w:val="-11"/>
          <w:w w:val="125"/>
          <w:sz w:val="20"/>
        </w:rPr>
        <w:t> </w:t>
      </w:r>
      <w:r>
        <w:rPr>
          <w:spacing w:val="-2"/>
          <w:w w:val="125"/>
          <w:sz w:val="20"/>
        </w:rPr>
        <w:t>Karanfilska</w:t>
      </w:r>
    </w:p>
    <w:p>
      <w:pPr>
        <w:spacing w:before="231"/>
        <w:ind w:left="160" w:right="215" w:firstLine="0"/>
        <w:jc w:val="center"/>
        <w:rPr>
          <w:b/>
          <w:sz w:val="22"/>
        </w:rPr>
      </w:pPr>
      <w:r>
        <w:rPr>
          <w:b/>
          <w:w w:val="105"/>
          <w:sz w:val="22"/>
        </w:rPr>
        <w:t>Redakciski odbor</w:t>
      </w:r>
      <w:r>
        <w:rPr>
          <w:b/>
          <w:spacing w:val="-1"/>
          <w:w w:val="105"/>
          <w:sz w:val="22"/>
        </w:rPr>
        <w:t> </w:t>
      </w:r>
      <w:r>
        <w:rPr>
          <w:b/>
          <w:w w:val="105"/>
          <w:sz w:val="22"/>
        </w:rPr>
        <w:t>/</w:t>
      </w:r>
      <w:r>
        <w:rPr>
          <w:b/>
          <w:spacing w:val="2"/>
          <w:w w:val="105"/>
          <w:sz w:val="22"/>
        </w:rPr>
        <w:t> </w:t>
      </w:r>
      <w:r>
        <w:rPr>
          <w:b/>
          <w:w w:val="105"/>
          <w:sz w:val="22"/>
        </w:rPr>
        <w:t>Editorial</w:t>
      </w:r>
      <w:r>
        <w:rPr>
          <w:b/>
          <w:spacing w:val="3"/>
          <w:w w:val="105"/>
          <w:sz w:val="22"/>
        </w:rPr>
        <w:t> </w:t>
      </w:r>
      <w:r>
        <w:rPr>
          <w:b/>
          <w:w w:val="105"/>
          <w:sz w:val="22"/>
        </w:rPr>
        <w:t>board</w:t>
      </w:r>
      <w:r>
        <w:rPr>
          <w:b/>
          <w:spacing w:val="-1"/>
          <w:w w:val="105"/>
          <w:sz w:val="22"/>
        </w:rPr>
        <w:t> </w:t>
      </w:r>
      <w:r>
        <w:rPr>
          <w:b/>
          <w:w w:val="105"/>
          <w:sz w:val="22"/>
        </w:rPr>
        <w:t>i</w:t>
      </w:r>
      <w:r>
        <w:rPr>
          <w:b/>
          <w:spacing w:val="-1"/>
          <w:w w:val="105"/>
          <w:sz w:val="22"/>
        </w:rPr>
        <w:t> </w:t>
      </w:r>
      <w:r>
        <w:rPr>
          <w:b/>
          <w:w w:val="105"/>
          <w:sz w:val="22"/>
        </w:rPr>
        <w:t>/</w:t>
      </w:r>
      <w:r>
        <w:rPr>
          <w:b/>
          <w:spacing w:val="3"/>
          <w:w w:val="105"/>
          <w:sz w:val="22"/>
        </w:rPr>
        <w:t> </w:t>
      </w:r>
      <w:r>
        <w:rPr>
          <w:b/>
          <w:w w:val="105"/>
          <w:sz w:val="22"/>
        </w:rPr>
        <w:t>and</w:t>
      </w:r>
      <w:r>
        <w:rPr>
          <w:b/>
          <w:spacing w:val="1"/>
          <w:w w:val="105"/>
          <w:sz w:val="22"/>
        </w:rPr>
        <w:t> </w:t>
      </w:r>
      <w:r>
        <w:rPr>
          <w:b/>
          <w:w w:val="105"/>
          <w:sz w:val="22"/>
        </w:rPr>
        <w:t>Editori</w:t>
      </w:r>
      <w:r>
        <w:rPr>
          <w:b/>
          <w:spacing w:val="1"/>
          <w:w w:val="105"/>
          <w:sz w:val="22"/>
        </w:rPr>
        <w:t> </w:t>
      </w:r>
      <w:r>
        <w:rPr>
          <w:b/>
          <w:w w:val="105"/>
          <w:sz w:val="22"/>
        </w:rPr>
        <w:t>po</w:t>
      </w:r>
      <w:r>
        <w:rPr>
          <w:b/>
          <w:spacing w:val="1"/>
          <w:w w:val="105"/>
          <w:sz w:val="22"/>
        </w:rPr>
        <w:t> </w:t>
      </w:r>
      <w:r>
        <w:rPr>
          <w:b/>
          <w:w w:val="105"/>
          <w:sz w:val="22"/>
        </w:rPr>
        <w:t>oblasti</w:t>
      </w:r>
      <w:r>
        <w:rPr>
          <w:b/>
          <w:spacing w:val="-1"/>
          <w:w w:val="105"/>
          <w:sz w:val="22"/>
        </w:rPr>
        <w:t> </w:t>
      </w:r>
      <w:r>
        <w:rPr>
          <w:b/>
          <w:w w:val="105"/>
          <w:sz w:val="22"/>
        </w:rPr>
        <w:t>/</w:t>
      </w:r>
      <w:r>
        <w:rPr>
          <w:b/>
          <w:spacing w:val="2"/>
          <w:w w:val="105"/>
          <w:sz w:val="22"/>
        </w:rPr>
        <w:t> </w:t>
      </w:r>
      <w:r>
        <w:rPr>
          <w:b/>
          <w:w w:val="105"/>
          <w:sz w:val="22"/>
        </w:rPr>
        <w:t>Subject </w:t>
      </w:r>
      <w:r>
        <w:rPr>
          <w:b/>
          <w:spacing w:val="-2"/>
          <w:w w:val="105"/>
          <w:sz w:val="22"/>
        </w:rPr>
        <w:t>editors</w:t>
      </w:r>
    </w:p>
    <w:p>
      <w:pPr>
        <w:spacing w:before="122"/>
        <w:ind w:left="0" w:right="54" w:firstLine="0"/>
        <w:jc w:val="center"/>
        <w:rPr>
          <w:sz w:val="20"/>
        </w:rPr>
      </w:pPr>
      <w:r>
        <w:rPr>
          <w:w w:val="115"/>
          <w:sz w:val="20"/>
        </w:rPr>
        <w:t>Nenad</w:t>
      </w:r>
      <w:r>
        <w:rPr>
          <w:spacing w:val="22"/>
          <w:w w:val="115"/>
          <w:sz w:val="20"/>
        </w:rPr>
        <w:t> </w:t>
      </w:r>
      <w:r>
        <w:rPr>
          <w:w w:val="115"/>
          <w:sz w:val="20"/>
        </w:rPr>
        <w:t>Joksimovi},</w:t>
      </w:r>
      <w:r>
        <w:rPr>
          <w:spacing w:val="20"/>
          <w:w w:val="115"/>
          <w:sz w:val="20"/>
        </w:rPr>
        <w:t> </w:t>
      </w:r>
      <w:r>
        <w:rPr>
          <w:w w:val="115"/>
          <w:sz w:val="20"/>
        </w:rPr>
        <w:t>Goran</w:t>
      </w:r>
      <w:r>
        <w:rPr>
          <w:spacing w:val="24"/>
          <w:w w:val="115"/>
          <w:sz w:val="20"/>
        </w:rPr>
        <w:t> </w:t>
      </w:r>
      <w:r>
        <w:rPr>
          <w:w w:val="115"/>
          <w:sz w:val="20"/>
        </w:rPr>
        <w:t>Dimitrov,</w:t>
      </w:r>
      <w:r>
        <w:rPr>
          <w:spacing w:val="21"/>
          <w:w w:val="115"/>
          <w:sz w:val="20"/>
        </w:rPr>
        <w:t> </w:t>
      </w:r>
      <w:r>
        <w:rPr>
          <w:w w:val="115"/>
          <w:sz w:val="20"/>
        </w:rPr>
        <w:t>Ko~o</w:t>
      </w:r>
      <w:r>
        <w:rPr>
          <w:spacing w:val="19"/>
          <w:w w:val="115"/>
          <w:sz w:val="20"/>
        </w:rPr>
        <w:t> </w:t>
      </w:r>
      <w:r>
        <w:rPr>
          <w:w w:val="115"/>
          <w:sz w:val="20"/>
        </w:rPr>
        <w:t>^akalarovski,</w:t>
      </w:r>
      <w:r>
        <w:rPr>
          <w:spacing w:val="20"/>
          <w:w w:val="115"/>
          <w:sz w:val="20"/>
        </w:rPr>
        <w:t> </w:t>
      </w:r>
      <w:r>
        <w:rPr>
          <w:spacing w:val="-1"/>
          <w:w w:val="101"/>
          <w:sz w:val="20"/>
        </w:rPr>
        <w:t>Sne</w:t>
      </w:r>
      <w:r>
        <w:rPr>
          <w:spacing w:val="-1"/>
          <w:w w:val="215"/>
          <w:sz w:val="20"/>
        </w:rPr>
        <w:t>`</w:t>
      </w:r>
      <w:r>
        <w:rPr>
          <w:w w:val="95"/>
          <w:sz w:val="20"/>
        </w:rPr>
        <w:t>a</w:t>
      </w:r>
      <w:r>
        <w:rPr>
          <w:spacing w:val="-1"/>
          <w:w w:val="94"/>
          <w:sz w:val="20"/>
        </w:rPr>
        <w:t>na</w:t>
      </w:r>
      <w:r>
        <w:rPr>
          <w:spacing w:val="21"/>
          <w:w w:val="115"/>
          <w:sz w:val="20"/>
        </w:rPr>
        <w:t> </w:t>
      </w:r>
      <w:r>
        <w:rPr>
          <w:w w:val="115"/>
          <w:sz w:val="20"/>
        </w:rPr>
        <w:t>Stojkovska</w:t>
      </w:r>
      <w:r>
        <w:rPr>
          <w:b/>
          <w:w w:val="115"/>
          <w:sz w:val="20"/>
        </w:rPr>
        <w:t>,</w:t>
      </w:r>
      <w:r>
        <w:rPr>
          <w:b/>
          <w:spacing w:val="22"/>
          <w:w w:val="115"/>
          <w:sz w:val="20"/>
        </w:rPr>
        <w:t> </w:t>
      </w:r>
      <w:r>
        <w:rPr>
          <w:spacing w:val="-2"/>
          <w:w w:val="115"/>
          <w:sz w:val="20"/>
        </w:rPr>
        <w:t>Milena</w:t>
      </w:r>
    </w:p>
    <w:p>
      <w:pPr>
        <w:spacing w:before="5"/>
        <w:ind w:left="160" w:right="217" w:firstLine="0"/>
        <w:jc w:val="center"/>
        <w:rPr>
          <w:sz w:val="20"/>
        </w:rPr>
      </w:pPr>
      <w:r>
        <w:rPr>
          <w:w w:val="115"/>
          <w:sz w:val="20"/>
        </w:rPr>
        <w:t>Петrovska,</w:t>
      </w:r>
      <w:r>
        <w:rPr>
          <w:spacing w:val="-11"/>
          <w:w w:val="115"/>
          <w:sz w:val="20"/>
        </w:rPr>
        <w:t> </w:t>
      </w:r>
      <w:r>
        <w:rPr>
          <w:w w:val="115"/>
          <w:sz w:val="20"/>
        </w:rPr>
        <w:t>Spase</w:t>
      </w:r>
      <w:r>
        <w:rPr>
          <w:spacing w:val="-9"/>
          <w:w w:val="115"/>
          <w:sz w:val="20"/>
        </w:rPr>
        <w:t> </w:t>
      </w:r>
      <w:r>
        <w:rPr>
          <w:w w:val="115"/>
          <w:sz w:val="20"/>
        </w:rPr>
        <w:t>Jovkovski,</w:t>
      </w:r>
      <w:r>
        <w:rPr>
          <w:spacing w:val="-11"/>
          <w:w w:val="115"/>
          <w:sz w:val="20"/>
        </w:rPr>
        <w:t> </w:t>
      </w:r>
      <w:r>
        <w:rPr>
          <w:w w:val="115"/>
          <w:sz w:val="20"/>
        </w:rPr>
        <w:t>Marina</w:t>
      </w:r>
      <w:r>
        <w:rPr>
          <w:spacing w:val="-10"/>
          <w:w w:val="115"/>
          <w:sz w:val="20"/>
        </w:rPr>
        <w:t> </w:t>
      </w:r>
      <w:r>
        <w:rPr>
          <w:w w:val="115"/>
          <w:sz w:val="20"/>
        </w:rPr>
        <w:t>Dav~eva</w:t>
      </w:r>
      <w:r>
        <w:rPr>
          <w:spacing w:val="-9"/>
          <w:w w:val="115"/>
          <w:sz w:val="20"/>
        </w:rPr>
        <w:t> </w:t>
      </w:r>
      <w:r>
        <w:rPr>
          <w:w w:val="115"/>
          <w:sz w:val="20"/>
        </w:rPr>
        <w:t>^akar,</w:t>
      </w:r>
      <w:r>
        <w:rPr>
          <w:spacing w:val="-11"/>
          <w:w w:val="115"/>
          <w:sz w:val="20"/>
        </w:rPr>
        <w:t> </w:t>
      </w:r>
      <w:r>
        <w:rPr>
          <w:w w:val="115"/>
          <w:sz w:val="20"/>
        </w:rPr>
        <w:t>Marija</w:t>
      </w:r>
      <w:r>
        <w:rPr>
          <w:spacing w:val="-4"/>
          <w:w w:val="115"/>
          <w:sz w:val="20"/>
        </w:rPr>
        <w:t> </w:t>
      </w:r>
      <w:r>
        <w:rPr>
          <w:w w:val="115"/>
          <w:sz w:val="20"/>
        </w:rPr>
        <w:t>Raleva,</w:t>
      </w:r>
      <w:r>
        <w:rPr>
          <w:spacing w:val="-10"/>
          <w:w w:val="115"/>
          <w:sz w:val="20"/>
        </w:rPr>
        <w:t> </w:t>
      </w:r>
      <w:r>
        <w:rPr>
          <w:w w:val="115"/>
          <w:sz w:val="20"/>
        </w:rPr>
        <w:t>Goran</w:t>
      </w:r>
      <w:r>
        <w:rPr>
          <w:spacing w:val="-11"/>
          <w:w w:val="115"/>
          <w:sz w:val="20"/>
        </w:rPr>
        <w:t> </w:t>
      </w:r>
      <w:r>
        <w:rPr>
          <w:spacing w:val="-2"/>
          <w:w w:val="115"/>
          <w:sz w:val="20"/>
        </w:rPr>
        <w:t>Kondov</w:t>
      </w:r>
    </w:p>
    <w:p>
      <w:pPr>
        <w:spacing w:before="118"/>
        <w:ind w:left="160" w:right="212" w:firstLine="0"/>
        <w:jc w:val="center"/>
        <w:rPr>
          <w:b/>
          <w:sz w:val="22"/>
        </w:rPr>
      </w:pPr>
      <w:r>
        <w:rPr>
          <w:b/>
          <w:sz w:val="22"/>
        </w:rPr>
        <w:t>Технички</w:t>
      </w:r>
      <w:r>
        <w:rPr>
          <w:b/>
          <w:spacing w:val="-5"/>
          <w:sz w:val="22"/>
        </w:rPr>
        <w:t> </w:t>
      </w:r>
      <w:r>
        <w:rPr>
          <w:b/>
          <w:sz w:val="22"/>
        </w:rPr>
        <w:t>уредник</w:t>
      </w:r>
      <w:r>
        <w:rPr>
          <w:b/>
          <w:spacing w:val="-7"/>
          <w:sz w:val="22"/>
        </w:rPr>
        <w:t> </w:t>
      </w:r>
      <w:r>
        <w:rPr>
          <w:b/>
          <w:sz w:val="22"/>
        </w:rPr>
        <w:t>/</w:t>
      </w:r>
      <w:r>
        <w:rPr>
          <w:b/>
          <w:spacing w:val="-4"/>
          <w:sz w:val="22"/>
        </w:rPr>
        <w:t> </w:t>
      </w:r>
      <w:r>
        <w:rPr>
          <w:b/>
          <w:sz w:val="22"/>
        </w:rPr>
        <w:t>Technical</w:t>
      </w:r>
      <w:r>
        <w:rPr>
          <w:b/>
          <w:spacing w:val="-3"/>
          <w:sz w:val="22"/>
        </w:rPr>
        <w:t> </w:t>
      </w:r>
      <w:r>
        <w:rPr>
          <w:b/>
          <w:spacing w:val="-2"/>
          <w:sz w:val="22"/>
        </w:rPr>
        <w:t>editor</w:t>
      </w:r>
    </w:p>
    <w:p>
      <w:pPr>
        <w:spacing w:before="112"/>
        <w:ind w:left="160" w:right="218" w:firstLine="0"/>
        <w:jc w:val="center"/>
        <w:rPr>
          <w:sz w:val="20"/>
        </w:rPr>
      </w:pPr>
      <w:r>
        <w:rPr>
          <w:sz w:val="20"/>
        </w:rPr>
        <w:t>Јулија</w:t>
      </w:r>
      <w:r>
        <w:rPr>
          <w:spacing w:val="-12"/>
          <w:sz w:val="20"/>
        </w:rPr>
        <w:t> </w:t>
      </w:r>
      <w:r>
        <w:rPr>
          <w:sz w:val="20"/>
        </w:rPr>
        <w:t>Живадиновиќ</w:t>
      </w:r>
      <w:r>
        <w:rPr>
          <w:spacing w:val="-13"/>
          <w:sz w:val="20"/>
        </w:rPr>
        <w:t> </w:t>
      </w:r>
      <w:r>
        <w:rPr>
          <w:spacing w:val="-2"/>
          <w:sz w:val="20"/>
        </w:rPr>
        <w:t>Богдановска</w:t>
      </w:r>
    </w:p>
    <w:p>
      <w:pPr>
        <w:spacing w:before="147"/>
        <w:ind w:left="160" w:right="221" w:firstLine="0"/>
        <w:jc w:val="center"/>
        <w:rPr>
          <w:b/>
          <w:sz w:val="20"/>
        </w:rPr>
      </w:pPr>
      <w:r>
        <w:rPr>
          <w:b/>
          <w:sz w:val="20"/>
        </w:rPr>
        <w:t>Internacionalen</w:t>
      </w:r>
      <w:r>
        <w:rPr>
          <w:b/>
          <w:spacing w:val="-9"/>
          <w:sz w:val="20"/>
        </w:rPr>
        <w:t> </w:t>
      </w:r>
      <w:r>
        <w:rPr>
          <w:b/>
          <w:sz w:val="20"/>
        </w:rPr>
        <w:t>redakciski</w:t>
      </w:r>
      <w:r>
        <w:rPr>
          <w:b/>
          <w:spacing w:val="-9"/>
          <w:sz w:val="20"/>
        </w:rPr>
        <w:t> </w:t>
      </w:r>
      <w:r>
        <w:rPr>
          <w:b/>
          <w:sz w:val="20"/>
        </w:rPr>
        <w:t>odbor</w:t>
      </w:r>
      <w:r>
        <w:rPr>
          <w:b/>
          <w:spacing w:val="-9"/>
          <w:sz w:val="20"/>
        </w:rPr>
        <w:t> </w:t>
      </w:r>
      <w:r>
        <w:rPr>
          <w:b/>
          <w:sz w:val="20"/>
        </w:rPr>
        <w:t>/</w:t>
      </w:r>
      <w:r>
        <w:rPr>
          <w:b/>
          <w:spacing w:val="-9"/>
          <w:sz w:val="20"/>
        </w:rPr>
        <w:t> </w:t>
      </w:r>
      <w:r>
        <w:rPr>
          <w:b/>
          <w:sz w:val="20"/>
        </w:rPr>
        <w:t>International</w:t>
      </w:r>
      <w:r>
        <w:rPr>
          <w:b/>
          <w:spacing w:val="-9"/>
          <w:sz w:val="20"/>
        </w:rPr>
        <w:t> </w:t>
      </w:r>
      <w:r>
        <w:rPr>
          <w:b/>
          <w:sz w:val="20"/>
        </w:rPr>
        <w:t>Editorial</w:t>
      </w:r>
      <w:r>
        <w:rPr>
          <w:b/>
          <w:spacing w:val="-9"/>
          <w:sz w:val="20"/>
        </w:rPr>
        <w:t> </w:t>
      </w:r>
      <w:r>
        <w:rPr>
          <w:b/>
          <w:spacing w:val="-2"/>
          <w:sz w:val="20"/>
        </w:rPr>
        <w:t>board</w:t>
      </w:r>
    </w:p>
    <w:p>
      <w:pPr>
        <w:spacing w:before="108"/>
        <w:ind w:left="1430" w:right="1484" w:hanging="6"/>
        <w:jc w:val="center"/>
        <w:rPr>
          <w:sz w:val="20"/>
        </w:rPr>
      </w:pPr>
      <w:r>
        <w:rPr>
          <w:sz w:val="20"/>
        </w:rPr>
        <w:t>Bernardus Ganter - UK, Daniel Rukavina - Croatia, Dusko Vasic - Republika Srpska</w:t>
      </w:r>
      <w:r>
        <w:rPr>
          <w:sz w:val="20"/>
        </w:rPr>
        <w:t> Frank</w:t>
      </w:r>
      <w:r>
        <w:rPr>
          <w:spacing w:val="-2"/>
          <w:sz w:val="20"/>
        </w:rPr>
        <w:t> </w:t>
      </w:r>
      <w:r>
        <w:rPr>
          <w:sz w:val="20"/>
        </w:rPr>
        <w:t>A.</w:t>
      </w:r>
      <w:r>
        <w:rPr>
          <w:spacing w:val="-1"/>
          <w:sz w:val="20"/>
        </w:rPr>
        <w:t> </w:t>
      </w:r>
      <w:r>
        <w:rPr>
          <w:sz w:val="20"/>
        </w:rPr>
        <w:t>Chervenak</w:t>
      </w:r>
      <w:r>
        <w:rPr>
          <w:spacing w:val="-1"/>
          <w:sz w:val="20"/>
        </w:rPr>
        <w:t> </w:t>
      </w:r>
      <w:r>
        <w:rPr>
          <w:sz w:val="20"/>
        </w:rPr>
        <w:t>-</w:t>
      </w:r>
      <w:r>
        <w:rPr>
          <w:spacing w:val="-5"/>
          <w:sz w:val="20"/>
        </w:rPr>
        <w:t> </w:t>
      </w:r>
      <w:r>
        <w:rPr>
          <w:sz w:val="20"/>
        </w:rPr>
        <w:t>USA,</w:t>
      </w:r>
      <w:r>
        <w:rPr>
          <w:spacing w:val="-3"/>
          <w:sz w:val="20"/>
        </w:rPr>
        <w:t> </w:t>
      </w:r>
      <w:r>
        <w:rPr>
          <w:sz w:val="20"/>
        </w:rPr>
        <w:t>Franz</w:t>
      </w:r>
      <w:r>
        <w:rPr>
          <w:spacing w:val="-3"/>
          <w:sz w:val="20"/>
        </w:rPr>
        <w:t> </w:t>
      </w:r>
      <w:r>
        <w:rPr>
          <w:sz w:val="20"/>
        </w:rPr>
        <w:t>Porzsolt</w:t>
      </w:r>
      <w:r>
        <w:rPr>
          <w:spacing w:val="-1"/>
          <w:sz w:val="20"/>
        </w:rPr>
        <w:t> </w:t>
      </w:r>
      <w:r>
        <w:rPr>
          <w:sz w:val="20"/>
        </w:rPr>
        <w:t>-</w:t>
      </w:r>
      <w:r>
        <w:rPr>
          <w:spacing w:val="-4"/>
          <w:sz w:val="20"/>
        </w:rPr>
        <w:t> </w:t>
      </w:r>
      <w:r>
        <w:rPr>
          <w:sz w:val="20"/>
        </w:rPr>
        <w:t>Germany,</w:t>
      </w:r>
      <w:r>
        <w:rPr>
          <w:spacing w:val="-3"/>
          <w:sz w:val="20"/>
        </w:rPr>
        <w:t> </w:t>
      </w:r>
      <w:r>
        <w:rPr>
          <w:sz w:val="20"/>
        </w:rPr>
        <w:t>Isuf</w:t>
      </w:r>
      <w:r>
        <w:rPr>
          <w:spacing w:val="-2"/>
          <w:sz w:val="20"/>
        </w:rPr>
        <w:t> </w:t>
      </w:r>
      <w:r>
        <w:rPr>
          <w:sz w:val="20"/>
        </w:rPr>
        <w:t>Kalo -</w:t>
      </w:r>
      <w:r>
        <w:rPr>
          <w:spacing w:val="-2"/>
          <w:sz w:val="20"/>
        </w:rPr>
        <w:t> </w:t>
      </w:r>
      <w:r>
        <w:rPr>
          <w:sz w:val="20"/>
        </w:rPr>
        <w:t>Albania,</w:t>
      </w:r>
      <w:r>
        <w:rPr>
          <w:spacing w:val="-3"/>
          <w:sz w:val="20"/>
        </w:rPr>
        <w:t> </w:t>
      </w:r>
      <w:r>
        <w:rPr>
          <w:sz w:val="20"/>
        </w:rPr>
        <w:t>Idris</w:t>
      </w:r>
      <w:r>
        <w:rPr>
          <w:spacing w:val="-4"/>
          <w:sz w:val="20"/>
        </w:rPr>
        <w:t> </w:t>
      </w:r>
      <w:r>
        <w:rPr>
          <w:sz w:val="20"/>
        </w:rPr>
        <w:t>T.</w:t>
      </w:r>
      <w:r>
        <w:rPr>
          <w:spacing w:val="-3"/>
          <w:sz w:val="20"/>
        </w:rPr>
        <w:t> </w:t>
      </w:r>
      <w:r>
        <w:rPr>
          <w:sz w:val="20"/>
        </w:rPr>
        <w:t>Ocal - Arizona, USA, Jovan Hadzi-Djokic - Serbia, Ljubisa Markovic - UK,</w:t>
      </w:r>
      <w:r>
        <w:rPr>
          <w:spacing w:val="40"/>
          <w:sz w:val="20"/>
        </w:rPr>
        <w:t> </w:t>
      </w:r>
      <w:r>
        <w:rPr>
          <w:sz w:val="20"/>
        </w:rPr>
        <w:t>Lako Christiaan - Danmark, Marina Kos - Croatia, Pavel Poredos - Slovenia, Vladimir Ovcharov -</w:t>
      </w:r>
    </w:p>
    <w:p>
      <w:pPr>
        <w:spacing w:before="2"/>
        <w:ind w:left="160" w:right="215" w:firstLine="0"/>
        <w:jc w:val="center"/>
        <w:rPr>
          <w:sz w:val="20"/>
        </w:rPr>
      </w:pPr>
      <w:r>
        <w:rPr>
          <w:sz w:val="20"/>
        </w:rPr>
        <w:t>Bulgaria,</w:t>
      </w:r>
      <w:r>
        <w:rPr>
          <w:spacing w:val="-5"/>
          <w:sz w:val="20"/>
        </w:rPr>
        <w:t> </w:t>
      </w:r>
      <w:r>
        <w:rPr>
          <w:sz w:val="20"/>
        </w:rPr>
        <w:t>Stefan</w:t>
      </w:r>
      <w:r>
        <w:rPr>
          <w:spacing w:val="-6"/>
          <w:sz w:val="20"/>
        </w:rPr>
        <w:t> </w:t>
      </w:r>
      <w:r>
        <w:rPr>
          <w:sz w:val="20"/>
        </w:rPr>
        <w:t>Tofovic</w:t>
      </w:r>
      <w:r>
        <w:rPr>
          <w:spacing w:val="-3"/>
          <w:sz w:val="20"/>
        </w:rPr>
        <w:t> </w:t>
      </w:r>
      <w:r>
        <w:rPr>
          <w:sz w:val="20"/>
        </w:rPr>
        <w:t>-</w:t>
      </w:r>
      <w:r>
        <w:rPr>
          <w:spacing w:val="-7"/>
          <w:sz w:val="20"/>
        </w:rPr>
        <w:t> </w:t>
      </w:r>
      <w:r>
        <w:rPr>
          <w:spacing w:val="-5"/>
          <w:sz w:val="20"/>
        </w:rPr>
        <w:t>USA</w:t>
      </w:r>
    </w:p>
    <w:p>
      <w:pPr>
        <w:spacing w:before="120"/>
        <w:ind w:left="160" w:right="215" w:firstLine="0"/>
        <w:jc w:val="center"/>
        <w:rPr>
          <w:b/>
          <w:sz w:val="20"/>
        </w:rPr>
      </w:pPr>
      <w:r>
        <w:rPr>
          <w:b/>
          <w:spacing w:val="-1"/>
          <w:w w:val="111"/>
          <w:sz w:val="20"/>
        </w:rPr>
        <w:t>Iz</w:t>
      </w:r>
      <w:r>
        <w:rPr>
          <w:b/>
          <w:w w:val="111"/>
          <w:sz w:val="20"/>
        </w:rPr>
        <w:t>d</w:t>
      </w:r>
      <w:r>
        <w:rPr>
          <w:b/>
          <w:w w:val="83"/>
          <w:sz w:val="20"/>
        </w:rPr>
        <w:t>ava</w:t>
      </w:r>
      <w:r>
        <w:rPr>
          <w:b/>
          <w:spacing w:val="-1"/>
          <w:w w:val="86"/>
          <w:sz w:val="20"/>
        </w:rPr>
        <w:t>~</w:t>
      </w:r>
      <w:r>
        <w:rPr>
          <w:b/>
          <w:spacing w:val="-2"/>
          <w:w w:val="86"/>
          <w:sz w:val="20"/>
        </w:rPr>
        <w:t>k</w:t>
      </w:r>
      <w:r>
        <w:rPr>
          <w:b/>
          <w:spacing w:val="-1"/>
          <w:w w:val="183"/>
          <w:sz w:val="20"/>
        </w:rPr>
        <w:t>i</w:t>
      </w:r>
      <w:r>
        <w:rPr>
          <w:b/>
          <w:spacing w:val="30"/>
          <w:w w:val="105"/>
          <w:sz w:val="20"/>
        </w:rPr>
        <w:t> </w:t>
      </w:r>
      <w:r>
        <w:rPr>
          <w:b/>
          <w:w w:val="105"/>
          <w:sz w:val="20"/>
        </w:rPr>
        <w:t>sovet</w:t>
      </w:r>
      <w:r>
        <w:rPr>
          <w:b/>
          <w:spacing w:val="36"/>
          <w:w w:val="105"/>
          <w:sz w:val="20"/>
        </w:rPr>
        <w:t> </w:t>
      </w:r>
      <w:r>
        <w:rPr>
          <w:b/>
          <w:w w:val="105"/>
          <w:sz w:val="20"/>
        </w:rPr>
        <w:t>/</w:t>
      </w:r>
      <w:r>
        <w:rPr>
          <w:b/>
          <w:spacing w:val="31"/>
          <w:w w:val="105"/>
          <w:sz w:val="20"/>
        </w:rPr>
        <w:t> </w:t>
      </w:r>
      <w:r>
        <w:rPr>
          <w:b/>
          <w:w w:val="105"/>
          <w:sz w:val="20"/>
        </w:rPr>
        <w:t>Editorial</w:t>
      </w:r>
      <w:r>
        <w:rPr>
          <w:b/>
          <w:spacing w:val="30"/>
          <w:w w:val="105"/>
          <w:sz w:val="20"/>
        </w:rPr>
        <w:t> </w:t>
      </w:r>
      <w:r>
        <w:rPr>
          <w:b/>
          <w:spacing w:val="-2"/>
          <w:w w:val="105"/>
          <w:sz w:val="20"/>
        </w:rPr>
        <w:t>Counsil</w:t>
      </w:r>
    </w:p>
    <w:p>
      <w:pPr>
        <w:spacing w:before="121"/>
        <w:ind w:left="160" w:right="218" w:firstLine="0"/>
        <w:jc w:val="center"/>
        <w:rPr>
          <w:b/>
          <w:sz w:val="20"/>
        </w:rPr>
      </w:pPr>
      <w:r>
        <w:rPr>
          <w:b/>
          <w:spacing w:val="-1"/>
          <w:w w:val="114"/>
          <w:sz w:val="20"/>
        </w:rPr>
        <w:t>P</w:t>
      </w:r>
      <w:r>
        <w:rPr>
          <w:b/>
          <w:spacing w:val="-2"/>
          <w:w w:val="114"/>
          <w:sz w:val="20"/>
        </w:rPr>
        <w:t>r</w:t>
      </w:r>
      <w:r>
        <w:rPr>
          <w:b/>
          <w:w w:val="95"/>
          <w:sz w:val="20"/>
        </w:rPr>
        <w:t>e</w:t>
      </w:r>
      <w:r>
        <w:rPr>
          <w:b/>
          <w:w w:val="132"/>
          <w:sz w:val="20"/>
        </w:rPr>
        <w:t>t</w:t>
      </w:r>
      <w:r>
        <w:rPr>
          <w:b/>
          <w:spacing w:val="-2"/>
          <w:w w:val="95"/>
          <w:sz w:val="20"/>
        </w:rPr>
        <w:t>s</w:t>
      </w:r>
      <w:r>
        <w:rPr>
          <w:b/>
          <w:w w:val="95"/>
          <w:sz w:val="20"/>
        </w:rPr>
        <w:t>e</w:t>
      </w:r>
      <w:r>
        <w:rPr>
          <w:b/>
          <w:w w:val="72"/>
          <w:sz w:val="20"/>
        </w:rPr>
        <w:t>d</w:t>
      </w:r>
      <w:r>
        <w:rPr>
          <w:b/>
          <w:w w:val="82"/>
          <w:sz w:val="20"/>
        </w:rPr>
        <w:t>a</w:t>
      </w:r>
      <w:r>
        <w:rPr>
          <w:b/>
          <w:spacing w:val="-3"/>
          <w:w w:val="132"/>
          <w:sz w:val="20"/>
        </w:rPr>
        <w:t>t</w:t>
      </w:r>
      <w:r>
        <w:rPr>
          <w:b/>
          <w:w w:val="95"/>
          <w:sz w:val="20"/>
        </w:rPr>
        <w:t>e</w:t>
      </w:r>
      <w:r>
        <w:rPr>
          <w:b/>
          <w:spacing w:val="-1"/>
          <w:w w:val="182"/>
          <w:sz w:val="20"/>
        </w:rPr>
        <w:t>l</w:t>
      </w:r>
      <w:r>
        <w:rPr>
          <w:b/>
          <w:spacing w:val="61"/>
          <w:w w:val="150"/>
          <w:sz w:val="20"/>
        </w:rPr>
        <w:t> </w:t>
      </w:r>
      <w:r>
        <w:rPr>
          <w:b/>
          <w:w w:val="110"/>
          <w:sz w:val="20"/>
        </w:rPr>
        <w:t>/</w:t>
      </w:r>
      <w:r>
        <w:rPr>
          <w:b/>
          <w:spacing w:val="76"/>
          <w:w w:val="110"/>
          <w:sz w:val="20"/>
        </w:rPr>
        <w:t> </w:t>
      </w:r>
      <w:r>
        <w:rPr>
          <w:b/>
          <w:spacing w:val="-2"/>
          <w:w w:val="110"/>
          <w:sz w:val="20"/>
        </w:rPr>
        <w:t>President</w:t>
      </w:r>
    </w:p>
    <w:p>
      <w:pPr>
        <w:spacing w:before="0"/>
        <w:ind w:left="0" w:right="54" w:firstLine="0"/>
        <w:jc w:val="center"/>
        <w:rPr>
          <w:sz w:val="20"/>
        </w:rPr>
      </w:pPr>
      <w:r>
        <w:rPr>
          <w:sz w:val="20"/>
        </w:rPr>
        <w:t>Стојмир</w:t>
      </w:r>
      <w:r>
        <w:rPr>
          <w:spacing w:val="-7"/>
          <w:sz w:val="20"/>
        </w:rPr>
        <w:t> </w:t>
      </w:r>
      <w:r>
        <w:rPr>
          <w:spacing w:val="-2"/>
          <w:sz w:val="20"/>
        </w:rPr>
        <w:t>Петров</w:t>
      </w:r>
    </w:p>
    <w:p>
      <w:pPr>
        <w:spacing w:before="192"/>
        <w:ind w:left="158" w:right="226" w:firstLine="0"/>
        <w:jc w:val="center"/>
        <w:rPr>
          <w:sz w:val="18"/>
        </w:rPr>
      </w:pPr>
      <w:r>
        <w:rPr>
          <w:w w:val="115"/>
          <w:sz w:val="18"/>
        </w:rPr>
        <w:t>Biljana</w:t>
      </w:r>
      <w:r>
        <w:rPr>
          <w:spacing w:val="19"/>
          <w:w w:val="115"/>
          <w:sz w:val="18"/>
        </w:rPr>
        <w:t> </w:t>
      </w:r>
      <w:r>
        <w:rPr>
          <w:w w:val="115"/>
          <w:sz w:val="18"/>
        </w:rPr>
        <w:t>Janevska,</w:t>
      </w:r>
      <w:r>
        <w:rPr>
          <w:spacing w:val="14"/>
          <w:w w:val="115"/>
          <w:sz w:val="18"/>
        </w:rPr>
        <w:t> </w:t>
      </w:r>
      <w:r>
        <w:rPr>
          <w:w w:val="115"/>
          <w:sz w:val="18"/>
        </w:rPr>
        <w:t>Vilma</w:t>
      </w:r>
      <w:r>
        <w:rPr>
          <w:spacing w:val="14"/>
          <w:w w:val="115"/>
          <w:sz w:val="18"/>
        </w:rPr>
        <w:t> </w:t>
      </w:r>
      <w:r>
        <w:rPr>
          <w:w w:val="115"/>
          <w:sz w:val="18"/>
        </w:rPr>
        <w:t>Lazarova,</w:t>
      </w:r>
      <w:r>
        <w:rPr>
          <w:spacing w:val="15"/>
          <w:w w:val="115"/>
          <w:sz w:val="18"/>
        </w:rPr>
        <w:t> </w:t>
      </w:r>
      <w:r>
        <w:rPr>
          <w:spacing w:val="-1"/>
          <w:w w:val="98"/>
          <w:sz w:val="18"/>
        </w:rPr>
        <w:t>G</w:t>
      </w:r>
      <w:r>
        <w:rPr>
          <w:w w:val="98"/>
          <w:sz w:val="18"/>
        </w:rPr>
        <w:t>l</w:t>
      </w:r>
      <w:r>
        <w:rPr>
          <w:w w:val="182"/>
          <w:sz w:val="18"/>
        </w:rPr>
        <w:t>i</w:t>
      </w:r>
      <w:r>
        <w:rPr>
          <w:spacing w:val="-1"/>
          <w:w w:val="70"/>
          <w:sz w:val="18"/>
        </w:rPr>
        <w:t>g</w:t>
      </w:r>
      <w:r>
        <w:rPr>
          <w:spacing w:val="-2"/>
          <w:w w:val="93"/>
          <w:sz w:val="18"/>
        </w:rPr>
        <w:t>o</w:t>
      </w:r>
      <w:r>
        <w:rPr>
          <w:w w:val="148"/>
          <w:sz w:val="18"/>
        </w:rPr>
        <w:t>r</w:t>
      </w:r>
      <w:r>
        <w:rPr>
          <w:spacing w:val="17"/>
          <w:w w:val="115"/>
          <w:sz w:val="18"/>
        </w:rPr>
        <w:t> </w:t>
      </w:r>
      <w:r>
        <w:rPr>
          <w:w w:val="115"/>
          <w:sz w:val="18"/>
        </w:rPr>
        <w:t>Dimitrov,</w:t>
      </w:r>
      <w:r>
        <w:rPr>
          <w:spacing w:val="14"/>
          <w:w w:val="115"/>
          <w:sz w:val="18"/>
        </w:rPr>
        <w:t> </w:t>
      </w:r>
      <w:r>
        <w:rPr>
          <w:w w:val="115"/>
          <w:sz w:val="18"/>
        </w:rPr>
        <w:t>Goce</w:t>
      </w:r>
      <w:r>
        <w:rPr>
          <w:spacing w:val="19"/>
          <w:w w:val="115"/>
          <w:sz w:val="18"/>
        </w:rPr>
        <w:t> </w:t>
      </w:r>
      <w:r>
        <w:rPr>
          <w:w w:val="115"/>
          <w:sz w:val="18"/>
        </w:rPr>
        <w:t>Spasovski,</w:t>
      </w:r>
      <w:r>
        <w:rPr>
          <w:spacing w:val="15"/>
          <w:w w:val="115"/>
          <w:sz w:val="18"/>
        </w:rPr>
        <w:t> </w:t>
      </w:r>
      <w:r>
        <w:rPr>
          <w:w w:val="115"/>
          <w:sz w:val="18"/>
        </w:rPr>
        <w:t>Gordana</w:t>
      </w:r>
      <w:r>
        <w:rPr>
          <w:spacing w:val="16"/>
          <w:w w:val="115"/>
          <w:sz w:val="18"/>
        </w:rPr>
        <w:t> </w:t>
      </w:r>
      <w:r>
        <w:rPr>
          <w:w w:val="115"/>
          <w:sz w:val="18"/>
        </w:rPr>
        <w:t>Petru{evska,</w:t>
      </w:r>
      <w:r>
        <w:rPr>
          <w:spacing w:val="17"/>
          <w:w w:val="115"/>
          <w:sz w:val="18"/>
        </w:rPr>
        <w:t> </w:t>
      </w:r>
      <w:r>
        <w:rPr>
          <w:spacing w:val="-3"/>
          <w:w w:val="91"/>
          <w:sz w:val="18"/>
        </w:rPr>
        <w:t>D</w:t>
      </w:r>
      <w:r>
        <w:rPr>
          <w:w w:val="158"/>
          <w:sz w:val="18"/>
        </w:rPr>
        <w:t>r</w:t>
      </w:r>
      <w:r>
        <w:rPr>
          <w:spacing w:val="1"/>
          <w:w w:val="104"/>
          <w:sz w:val="18"/>
        </w:rPr>
        <w:t>a</w:t>
      </w:r>
      <w:r>
        <w:rPr>
          <w:spacing w:val="-1"/>
          <w:w w:val="80"/>
          <w:sz w:val="18"/>
        </w:rPr>
        <w:t>g</w:t>
      </w:r>
      <w:r>
        <w:rPr>
          <w:w w:val="103"/>
          <w:sz w:val="18"/>
        </w:rPr>
        <w:t>o</w:t>
      </w:r>
      <w:r>
        <w:rPr>
          <w:spacing w:val="-1"/>
          <w:w w:val="106"/>
          <w:sz w:val="18"/>
        </w:rPr>
        <w:t>s</w:t>
      </w:r>
      <w:r>
        <w:rPr>
          <w:spacing w:val="-2"/>
          <w:w w:val="192"/>
          <w:sz w:val="18"/>
        </w:rPr>
        <w:t>l</w:t>
      </w:r>
      <w:r>
        <w:rPr>
          <w:spacing w:val="1"/>
          <w:w w:val="104"/>
          <w:sz w:val="18"/>
        </w:rPr>
        <w:t>a</w:t>
      </w:r>
      <w:r>
        <w:rPr>
          <w:w w:val="92"/>
          <w:sz w:val="18"/>
        </w:rPr>
        <w:t>v</w:t>
      </w:r>
      <w:r>
        <w:rPr>
          <w:spacing w:val="19"/>
          <w:w w:val="115"/>
          <w:sz w:val="18"/>
        </w:rPr>
        <w:t> </w:t>
      </w:r>
      <w:r>
        <w:rPr>
          <w:spacing w:val="-2"/>
          <w:w w:val="115"/>
          <w:sz w:val="18"/>
        </w:rPr>
        <w:t>Mladenovi},</w:t>
      </w:r>
    </w:p>
    <w:p>
      <w:pPr>
        <w:spacing w:before="2"/>
        <w:ind w:left="160" w:right="221" w:firstLine="0"/>
        <w:jc w:val="center"/>
        <w:rPr>
          <w:sz w:val="18"/>
        </w:rPr>
      </w:pPr>
      <w:r>
        <w:rPr>
          <w:w w:val="130"/>
          <w:sz w:val="18"/>
        </w:rPr>
        <w:t>\or|e</w:t>
      </w:r>
      <w:r>
        <w:rPr>
          <w:spacing w:val="-14"/>
          <w:w w:val="130"/>
          <w:sz w:val="18"/>
        </w:rPr>
        <w:t> </w:t>
      </w:r>
      <w:r>
        <w:rPr>
          <w:spacing w:val="-2"/>
          <w:w w:val="201"/>
          <w:sz w:val="18"/>
        </w:rPr>
        <w:t>\</w:t>
      </w:r>
      <w:r>
        <w:rPr>
          <w:w w:val="93"/>
          <w:sz w:val="18"/>
        </w:rPr>
        <w:t>ok</w:t>
      </w:r>
      <w:r>
        <w:rPr>
          <w:spacing w:val="-2"/>
          <w:w w:val="182"/>
          <w:sz w:val="18"/>
        </w:rPr>
        <w:t>i</w:t>
      </w:r>
      <w:r>
        <w:rPr>
          <w:w w:val="97"/>
          <w:sz w:val="18"/>
        </w:rPr>
        <w:t>}</w:t>
      </w:r>
      <w:r>
        <w:rPr>
          <w:w w:val="82"/>
          <w:sz w:val="18"/>
        </w:rPr>
        <w:t>,</w:t>
      </w:r>
      <w:r>
        <w:rPr>
          <w:spacing w:val="-9"/>
          <w:w w:val="124"/>
          <w:sz w:val="18"/>
        </w:rPr>
        <w:t> </w:t>
      </w:r>
      <w:r>
        <w:rPr>
          <w:w w:val="130"/>
          <w:sz w:val="18"/>
        </w:rPr>
        <w:t>\or|i</w:t>
      </w:r>
      <w:r>
        <w:rPr>
          <w:spacing w:val="-13"/>
          <w:w w:val="130"/>
          <w:sz w:val="18"/>
        </w:rPr>
        <w:t> </w:t>
      </w:r>
      <w:r>
        <w:rPr>
          <w:w w:val="125"/>
          <w:sz w:val="18"/>
        </w:rPr>
        <w:t>Deriban,</w:t>
      </w:r>
      <w:r>
        <w:rPr>
          <w:spacing w:val="-13"/>
          <w:w w:val="125"/>
          <w:sz w:val="18"/>
        </w:rPr>
        <w:t> </w:t>
      </w:r>
      <w:r>
        <w:rPr>
          <w:spacing w:val="-1"/>
          <w:w w:val="116"/>
          <w:sz w:val="18"/>
        </w:rPr>
        <w:t>M</w:t>
      </w:r>
      <w:r>
        <w:rPr>
          <w:spacing w:val="1"/>
          <w:w w:val="116"/>
          <w:sz w:val="18"/>
        </w:rPr>
        <w:t>a</w:t>
      </w:r>
      <w:r>
        <w:rPr>
          <w:spacing w:val="-1"/>
          <w:w w:val="96"/>
          <w:sz w:val="18"/>
        </w:rPr>
        <w:t>g</w:t>
      </w:r>
      <w:r>
        <w:rPr>
          <w:spacing w:val="-2"/>
          <w:w w:val="108"/>
          <w:sz w:val="18"/>
        </w:rPr>
        <w:t>d</w:t>
      </w:r>
      <w:r>
        <w:rPr>
          <w:spacing w:val="1"/>
          <w:w w:val="120"/>
          <w:sz w:val="18"/>
        </w:rPr>
        <w:t>a</w:t>
      </w:r>
      <w:r>
        <w:rPr>
          <w:w w:val="208"/>
          <w:sz w:val="18"/>
        </w:rPr>
        <w:t>l</w:t>
      </w:r>
      <w:r>
        <w:rPr>
          <w:spacing w:val="-2"/>
          <w:w w:val="120"/>
          <w:sz w:val="18"/>
        </w:rPr>
        <w:t>e</w:t>
      </w:r>
      <w:r>
        <w:rPr>
          <w:w w:val="119"/>
          <w:sz w:val="18"/>
        </w:rPr>
        <w:t>n</w:t>
      </w:r>
      <w:r>
        <w:rPr>
          <w:w w:val="120"/>
          <w:sz w:val="18"/>
        </w:rPr>
        <w:t>a</w:t>
      </w:r>
      <w:r>
        <w:rPr>
          <w:spacing w:val="-11"/>
          <w:w w:val="124"/>
          <w:sz w:val="18"/>
        </w:rPr>
        <w:t> </w:t>
      </w:r>
      <w:r>
        <w:rPr>
          <w:spacing w:val="-1"/>
          <w:w w:val="104"/>
          <w:sz w:val="18"/>
        </w:rPr>
        <w:t>G</w:t>
      </w:r>
      <w:r>
        <w:rPr>
          <w:spacing w:val="1"/>
          <w:w w:val="104"/>
          <w:sz w:val="18"/>
        </w:rPr>
        <w:t>e</w:t>
      </w:r>
      <w:r>
        <w:rPr>
          <w:spacing w:val="-2"/>
          <w:w w:val="120"/>
          <w:sz w:val="18"/>
        </w:rPr>
        <w:t>n</w:t>
      </w:r>
      <w:r>
        <w:rPr>
          <w:spacing w:val="1"/>
          <w:w w:val="121"/>
          <w:sz w:val="18"/>
        </w:rPr>
        <w:t>a</w:t>
      </w:r>
      <w:r>
        <w:rPr>
          <w:spacing w:val="-2"/>
          <w:w w:val="109"/>
          <w:sz w:val="18"/>
        </w:rPr>
        <w:t>d</w:t>
      </w:r>
      <w:r>
        <w:rPr>
          <w:w w:val="209"/>
          <w:sz w:val="18"/>
        </w:rPr>
        <w:t>i</w:t>
      </w:r>
      <w:r>
        <w:rPr>
          <w:spacing w:val="-2"/>
          <w:w w:val="121"/>
          <w:sz w:val="18"/>
        </w:rPr>
        <w:t>e</w:t>
      </w:r>
      <w:r>
        <w:rPr>
          <w:spacing w:val="1"/>
          <w:w w:val="109"/>
          <w:sz w:val="18"/>
        </w:rPr>
        <w:t>v</w:t>
      </w:r>
      <w:r>
        <w:rPr>
          <w:w w:val="121"/>
          <w:sz w:val="18"/>
        </w:rPr>
        <w:t>a</w:t>
      </w:r>
      <w:r>
        <w:rPr>
          <w:spacing w:val="-9"/>
          <w:w w:val="124"/>
          <w:sz w:val="18"/>
        </w:rPr>
        <w:t> </w:t>
      </w:r>
      <w:r>
        <w:rPr>
          <w:spacing w:val="-3"/>
          <w:w w:val="96"/>
          <w:sz w:val="18"/>
        </w:rPr>
        <w:t>D</w:t>
      </w:r>
      <w:r>
        <w:rPr>
          <w:w w:val="197"/>
          <w:sz w:val="18"/>
        </w:rPr>
        <w:t>i</w:t>
      </w:r>
      <w:r>
        <w:rPr>
          <w:w w:val="126"/>
          <w:sz w:val="18"/>
        </w:rPr>
        <w:t>mi</w:t>
      </w:r>
      <w:r>
        <w:rPr>
          <w:spacing w:val="-1"/>
          <w:w w:val="126"/>
          <w:sz w:val="18"/>
        </w:rPr>
        <w:t>t</w:t>
      </w:r>
      <w:r>
        <w:rPr>
          <w:w w:val="163"/>
          <w:sz w:val="18"/>
        </w:rPr>
        <w:t>r</w:t>
      </w:r>
      <w:r>
        <w:rPr>
          <w:w w:val="108"/>
          <w:sz w:val="18"/>
        </w:rPr>
        <w:t>o</w:t>
      </w:r>
      <w:r>
        <w:rPr>
          <w:spacing w:val="-2"/>
          <w:w w:val="97"/>
          <w:sz w:val="18"/>
        </w:rPr>
        <w:t>v</w:t>
      </w:r>
      <w:r>
        <w:rPr>
          <w:spacing w:val="1"/>
          <w:w w:val="109"/>
          <w:sz w:val="18"/>
        </w:rPr>
        <w:t>a</w:t>
      </w:r>
      <w:r>
        <w:rPr>
          <w:w w:val="97"/>
          <w:sz w:val="18"/>
        </w:rPr>
        <w:t>,</w:t>
      </w:r>
      <w:r>
        <w:rPr>
          <w:spacing w:val="-11"/>
          <w:w w:val="124"/>
          <w:sz w:val="18"/>
        </w:rPr>
        <w:t> </w:t>
      </w:r>
      <w:r>
        <w:rPr>
          <w:w w:val="125"/>
          <w:sz w:val="18"/>
        </w:rPr>
        <w:t>Sowa</w:t>
      </w:r>
      <w:r>
        <w:rPr>
          <w:spacing w:val="-13"/>
          <w:w w:val="125"/>
          <w:sz w:val="18"/>
        </w:rPr>
        <w:t> </w:t>
      </w:r>
      <w:r>
        <w:rPr>
          <w:spacing w:val="-1"/>
          <w:w w:val="104"/>
          <w:sz w:val="18"/>
        </w:rPr>
        <w:t>Ge</w:t>
      </w:r>
      <w:r>
        <w:rPr>
          <w:w w:val="120"/>
          <w:sz w:val="18"/>
        </w:rPr>
        <w:t>n</w:t>
      </w:r>
      <w:r>
        <w:rPr>
          <w:spacing w:val="-2"/>
          <w:w w:val="121"/>
          <w:sz w:val="18"/>
        </w:rPr>
        <w:t>a</w:t>
      </w:r>
      <w:r>
        <w:rPr>
          <w:spacing w:val="1"/>
          <w:w w:val="109"/>
          <w:sz w:val="18"/>
        </w:rPr>
        <w:t>d</w:t>
      </w:r>
      <w:r>
        <w:rPr>
          <w:w w:val="209"/>
          <w:sz w:val="18"/>
        </w:rPr>
        <w:t>i</w:t>
      </w:r>
      <w:r>
        <w:rPr>
          <w:spacing w:val="-2"/>
          <w:w w:val="121"/>
          <w:sz w:val="18"/>
        </w:rPr>
        <w:t>e</w:t>
      </w:r>
      <w:r>
        <w:rPr>
          <w:spacing w:val="1"/>
          <w:w w:val="109"/>
          <w:sz w:val="18"/>
        </w:rPr>
        <w:t>v</w:t>
      </w:r>
      <w:r>
        <w:rPr>
          <w:w w:val="121"/>
          <w:sz w:val="18"/>
        </w:rPr>
        <w:t>a</w:t>
      </w:r>
      <w:r>
        <w:rPr>
          <w:spacing w:val="-11"/>
          <w:w w:val="124"/>
          <w:sz w:val="18"/>
        </w:rPr>
        <w:t> </w:t>
      </w:r>
      <w:r>
        <w:rPr>
          <w:spacing w:val="-2"/>
          <w:w w:val="125"/>
          <w:sz w:val="18"/>
        </w:rPr>
        <w:t>Stavri},</w:t>
      </w:r>
    </w:p>
    <w:p>
      <w:pPr>
        <w:spacing w:before="122"/>
        <w:ind w:left="2443" w:right="0" w:firstLine="0"/>
        <w:jc w:val="left"/>
        <w:rPr>
          <w:b/>
          <w:sz w:val="20"/>
        </w:rPr>
      </w:pPr>
      <w:r>
        <w:rPr>
          <w:b/>
          <w:w w:val="105"/>
          <w:sz w:val="20"/>
        </w:rPr>
        <w:t>Sekretar</w:t>
      </w:r>
      <w:r>
        <w:rPr>
          <w:b/>
          <w:spacing w:val="-5"/>
          <w:w w:val="105"/>
          <w:sz w:val="20"/>
        </w:rPr>
        <w:t> </w:t>
      </w:r>
      <w:r>
        <w:rPr>
          <w:b/>
          <w:w w:val="105"/>
          <w:sz w:val="20"/>
        </w:rPr>
        <w:t>na</w:t>
      </w:r>
      <w:r>
        <w:rPr>
          <w:b/>
          <w:spacing w:val="-3"/>
          <w:w w:val="105"/>
          <w:sz w:val="20"/>
        </w:rPr>
        <w:t> </w:t>
      </w:r>
      <w:r>
        <w:rPr>
          <w:b/>
          <w:w w:val="105"/>
          <w:sz w:val="20"/>
        </w:rPr>
        <w:t>Redakcijata /</w:t>
      </w:r>
      <w:r>
        <w:rPr>
          <w:b/>
          <w:spacing w:val="-6"/>
          <w:w w:val="105"/>
          <w:sz w:val="20"/>
        </w:rPr>
        <w:t> </w:t>
      </w:r>
      <w:r>
        <w:rPr>
          <w:b/>
          <w:w w:val="105"/>
          <w:sz w:val="20"/>
        </w:rPr>
        <w:t>Secretary</w:t>
      </w:r>
      <w:r>
        <w:rPr>
          <w:b/>
          <w:spacing w:val="-3"/>
          <w:w w:val="105"/>
          <w:sz w:val="20"/>
        </w:rPr>
        <w:t> </w:t>
      </w:r>
      <w:r>
        <w:rPr>
          <w:b/>
          <w:w w:val="105"/>
          <w:sz w:val="20"/>
        </w:rPr>
        <w:t>of</w:t>
      </w:r>
      <w:r>
        <w:rPr>
          <w:b/>
          <w:spacing w:val="-3"/>
          <w:w w:val="105"/>
          <w:sz w:val="20"/>
        </w:rPr>
        <w:t> </w:t>
      </w:r>
      <w:r>
        <w:rPr>
          <w:b/>
          <w:w w:val="105"/>
          <w:sz w:val="20"/>
        </w:rPr>
        <w:t>the</w:t>
      </w:r>
      <w:r>
        <w:rPr>
          <w:b/>
          <w:spacing w:val="-4"/>
          <w:w w:val="105"/>
          <w:sz w:val="20"/>
        </w:rPr>
        <w:t> </w:t>
      </w:r>
      <w:r>
        <w:rPr>
          <w:b/>
          <w:w w:val="105"/>
          <w:sz w:val="20"/>
        </w:rPr>
        <w:t>Editorial</w:t>
      </w:r>
      <w:r>
        <w:rPr>
          <w:b/>
          <w:spacing w:val="-5"/>
          <w:w w:val="105"/>
          <w:sz w:val="20"/>
        </w:rPr>
        <w:t> </w:t>
      </w:r>
      <w:r>
        <w:rPr>
          <w:b/>
          <w:spacing w:val="-2"/>
          <w:w w:val="105"/>
          <w:sz w:val="20"/>
        </w:rPr>
        <w:t>Office</w:t>
      </w:r>
    </w:p>
    <w:p>
      <w:pPr>
        <w:spacing w:before="1"/>
        <w:ind w:left="4429" w:right="0" w:firstLine="0"/>
        <w:jc w:val="left"/>
        <w:rPr>
          <w:sz w:val="20"/>
        </w:rPr>
      </w:pPr>
      <w:r>
        <w:rPr>
          <w:sz w:val="20"/>
        </w:rPr>
        <w:t>V.</w:t>
      </w:r>
      <w:r>
        <w:rPr>
          <w:spacing w:val="-2"/>
          <w:sz w:val="20"/>
        </w:rPr>
        <w:t> </w:t>
      </w:r>
      <w:r>
        <w:rPr>
          <w:spacing w:val="-2"/>
          <w:w w:val="115"/>
          <w:sz w:val="20"/>
        </w:rPr>
        <w:t>Mitrevska</w:t>
      </w:r>
    </w:p>
    <w:p>
      <w:pPr>
        <w:spacing w:before="123"/>
        <w:ind w:left="1949" w:right="0" w:firstLine="0"/>
        <w:jc w:val="left"/>
        <w:rPr>
          <w:b/>
          <w:sz w:val="20"/>
        </w:rPr>
      </w:pPr>
      <w:r>
        <w:rPr>
          <w:b/>
          <w:sz w:val="20"/>
        </w:rPr>
        <w:t>Jazi~en</w:t>
      </w:r>
      <w:r>
        <w:rPr>
          <w:b/>
          <w:spacing w:val="26"/>
          <w:sz w:val="20"/>
        </w:rPr>
        <w:t> </w:t>
      </w:r>
      <w:r>
        <w:rPr>
          <w:b/>
          <w:sz w:val="20"/>
        </w:rPr>
        <w:t>redaktor</w:t>
      </w:r>
      <w:r>
        <w:rPr>
          <w:b/>
          <w:spacing w:val="27"/>
          <w:sz w:val="20"/>
        </w:rPr>
        <w:t> </w:t>
      </w:r>
      <w:r>
        <w:rPr>
          <w:b/>
          <w:sz w:val="20"/>
        </w:rPr>
        <w:t>na</w:t>
      </w:r>
      <w:r>
        <w:rPr>
          <w:b/>
          <w:spacing w:val="28"/>
          <w:sz w:val="20"/>
        </w:rPr>
        <w:t> </w:t>
      </w:r>
      <w:r>
        <w:rPr>
          <w:b/>
          <w:sz w:val="20"/>
        </w:rPr>
        <w:t>makedonski</w:t>
      </w:r>
      <w:r>
        <w:rPr>
          <w:b/>
          <w:spacing w:val="26"/>
          <w:sz w:val="20"/>
        </w:rPr>
        <w:t> </w:t>
      </w:r>
      <w:r>
        <w:rPr>
          <w:b/>
          <w:sz w:val="20"/>
        </w:rPr>
        <w:t>jazik</w:t>
      </w:r>
      <w:r>
        <w:rPr>
          <w:b/>
          <w:spacing w:val="35"/>
          <w:sz w:val="20"/>
        </w:rPr>
        <w:t> </w:t>
      </w:r>
      <w:r>
        <w:rPr>
          <w:b/>
          <w:sz w:val="20"/>
        </w:rPr>
        <w:t>/</w:t>
      </w:r>
      <w:r>
        <w:rPr>
          <w:b/>
          <w:spacing w:val="26"/>
          <w:sz w:val="20"/>
        </w:rPr>
        <w:t> </w:t>
      </w:r>
      <w:r>
        <w:rPr>
          <w:b/>
          <w:sz w:val="20"/>
        </w:rPr>
        <w:t>Proof-reader</w:t>
      </w:r>
      <w:r>
        <w:rPr>
          <w:b/>
          <w:spacing w:val="25"/>
          <w:sz w:val="20"/>
        </w:rPr>
        <w:t> </w:t>
      </w:r>
      <w:r>
        <w:rPr>
          <w:b/>
          <w:sz w:val="20"/>
        </w:rPr>
        <w:t>for</w:t>
      </w:r>
      <w:r>
        <w:rPr>
          <w:b/>
          <w:spacing w:val="26"/>
          <w:sz w:val="20"/>
        </w:rPr>
        <w:t> </w:t>
      </w:r>
      <w:r>
        <w:rPr>
          <w:b/>
          <w:spacing w:val="-2"/>
          <w:sz w:val="20"/>
        </w:rPr>
        <w:t>Macedonian</w:t>
      </w:r>
    </w:p>
    <w:p>
      <w:pPr>
        <w:spacing w:before="0"/>
        <w:ind w:left="3701" w:right="0" w:firstLine="0"/>
        <w:jc w:val="left"/>
        <w:rPr>
          <w:sz w:val="20"/>
        </w:rPr>
      </w:pPr>
      <w:r>
        <w:rPr>
          <w:w w:val="115"/>
          <w:sz w:val="20"/>
        </w:rPr>
        <w:t>J.</w:t>
      </w:r>
      <w:r>
        <w:rPr>
          <w:spacing w:val="-2"/>
          <w:w w:val="115"/>
          <w:sz w:val="20"/>
        </w:rPr>
        <w:t> </w:t>
      </w:r>
      <w:r>
        <w:rPr>
          <w:w w:val="115"/>
          <w:sz w:val="20"/>
        </w:rPr>
        <w:t>Martinovska D.</w:t>
      </w:r>
      <w:r>
        <w:rPr>
          <w:spacing w:val="-1"/>
          <w:w w:val="115"/>
          <w:sz w:val="20"/>
        </w:rPr>
        <w:t> </w:t>
      </w:r>
      <w:r>
        <w:rPr>
          <w:spacing w:val="-2"/>
          <w:w w:val="115"/>
          <w:sz w:val="20"/>
        </w:rPr>
        <w:t>Aleksoska</w:t>
      </w:r>
    </w:p>
    <w:p>
      <w:pPr>
        <w:spacing w:line="229" w:lineRule="exact" w:before="118"/>
        <w:ind w:left="2914" w:right="0" w:firstLine="0"/>
        <w:jc w:val="left"/>
        <w:rPr>
          <w:b/>
          <w:sz w:val="20"/>
        </w:rPr>
      </w:pPr>
      <w:r>
        <w:rPr>
          <w:b/>
          <w:sz w:val="20"/>
        </w:rPr>
        <w:t>Lektor</w:t>
      </w:r>
      <w:r>
        <w:rPr>
          <w:b/>
          <w:spacing w:val="-5"/>
          <w:sz w:val="20"/>
        </w:rPr>
        <w:t> </w:t>
      </w:r>
      <w:r>
        <w:rPr>
          <w:b/>
          <w:sz w:val="20"/>
        </w:rPr>
        <w:t>za</w:t>
      </w:r>
      <w:r>
        <w:rPr>
          <w:b/>
          <w:spacing w:val="-3"/>
          <w:sz w:val="20"/>
        </w:rPr>
        <w:t> </w:t>
      </w:r>
      <w:r>
        <w:rPr>
          <w:b/>
          <w:sz w:val="20"/>
        </w:rPr>
        <w:t>angliski</w:t>
      </w:r>
      <w:r>
        <w:rPr>
          <w:b/>
          <w:spacing w:val="-5"/>
          <w:sz w:val="20"/>
        </w:rPr>
        <w:t> </w:t>
      </w:r>
      <w:r>
        <w:rPr>
          <w:b/>
          <w:sz w:val="20"/>
        </w:rPr>
        <w:t>jazik</w:t>
      </w:r>
      <w:r>
        <w:rPr>
          <w:b/>
          <w:spacing w:val="-7"/>
          <w:sz w:val="20"/>
        </w:rPr>
        <w:t> </w:t>
      </w:r>
      <w:r>
        <w:rPr>
          <w:b/>
          <w:sz w:val="20"/>
        </w:rPr>
        <w:t>/</w:t>
      </w:r>
      <w:r>
        <w:rPr>
          <w:b/>
          <w:spacing w:val="-5"/>
          <w:sz w:val="20"/>
        </w:rPr>
        <w:t> </w:t>
      </w:r>
      <w:r>
        <w:rPr>
          <w:b/>
          <w:sz w:val="20"/>
        </w:rPr>
        <w:t>Proof-reader</w:t>
      </w:r>
      <w:r>
        <w:rPr>
          <w:b/>
          <w:spacing w:val="-4"/>
          <w:sz w:val="20"/>
        </w:rPr>
        <w:t> </w:t>
      </w:r>
      <w:r>
        <w:rPr>
          <w:b/>
          <w:sz w:val="20"/>
        </w:rPr>
        <w:t>for</w:t>
      </w:r>
      <w:r>
        <w:rPr>
          <w:b/>
          <w:spacing w:val="-4"/>
          <w:sz w:val="20"/>
        </w:rPr>
        <w:t> </w:t>
      </w:r>
      <w:r>
        <w:rPr>
          <w:b/>
          <w:spacing w:val="-2"/>
          <w:sz w:val="20"/>
        </w:rPr>
        <w:t>English</w:t>
      </w:r>
    </w:p>
    <w:p>
      <w:pPr>
        <w:spacing w:line="229" w:lineRule="exact" w:before="0"/>
        <w:ind w:left="4505" w:right="0" w:firstLine="0"/>
        <w:jc w:val="left"/>
        <w:rPr>
          <w:sz w:val="20"/>
        </w:rPr>
      </w:pPr>
      <w:r>
        <w:rPr>
          <w:w w:val="110"/>
          <w:sz w:val="20"/>
        </w:rPr>
        <w:t>L.</w:t>
      </w:r>
      <w:r>
        <w:rPr>
          <w:spacing w:val="-2"/>
          <w:w w:val="110"/>
          <w:sz w:val="20"/>
        </w:rPr>
        <w:t> Danevska</w:t>
      </w:r>
    </w:p>
    <w:p>
      <w:pPr>
        <w:spacing w:line="229" w:lineRule="exact" w:before="120"/>
        <w:ind w:left="3490" w:right="0" w:firstLine="0"/>
        <w:jc w:val="left"/>
        <w:rPr>
          <w:b/>
          <w:sz w:val="20"/>
        </w:rPr>
      </w:pPr>
      <w:r>
        <w:rPr>
          <w:b/>
          <w:sz w:val="20"/>
        </w:rPr>
        <w:t>Obrabotka</w:t>
      </w:r>
      <w:r>
        <w:rPr>
          <w:b/>
          <w:spacing w:val="-4"/>
          <w:sz w:val="20"/>
        </w:rPr>
        <w:t> </w:t>
      </w:r>
      <w:r>
        <w:rPr>
          <w:b/>
          <w:sz w:val="20"/>
        </w:rPr>
        <w:t>на</w:t>
      </w:r>
      <w:r>
        <w:rPr>
          <w:b/>
          <w:spacing w:val="-7"/>
          <w:sz w:val="20"/>
        </w:rPr>
        <w:t> </w:t>
      </w:r>
      <w:r>
        <w:rPr>
          <w:b/>
          <w:sz w:val="20"/>
        </w:rPr>
        <w:t>текстот</w:t>
      </w:r>
      <w:r>
        <w:rPr>
          <w:b/>
          <w:spacing w:val="-3"/>
          <w:sz w:val="20"/>
        </w:rPr>
        <w:t> </w:t>
      </w:r>
      <w:r>
        <w:rPr>
          <w:b/>
          <w:sz w:val="20"/>
        </w:rPr>
        <w:t>/</w:t>
      </w:r>
      <w:r>
        <w:rPr>
          <w:b/>
          <w:spacing w:val="-7"/>
          <w:sz w:val="20"/>
        </w:rPr>
        <w:t> </w:t>
      </w:r>
      <w:r>
        <w:rPr>
          <w:b/>
          <w:sz w:val="20"/>
        </w:rPr>
        <w:t>Text</w:t>
      </w:r>
      <w:r>
        <w:rPr>
          <w:b/>
          <w:spacing w:val="-5"/>
          <w:sz w:val="20"/>
        </w:rPr>
        <w:t> </w:t>
      </w:r>
      <w:r>
        <w:rPr>
          <w:b/>
          <w:spacing w:val="-2"/>
          <w:sz w:val="20"/>
        </w:rPr>
        <w:t>editing</w:t>
      </w:r>
    </w:p>
    <w:p>
      <w:pPr>
        <w:spacing w:line="229" w:lineRule="exact" w:before="0"/>
        <w:ind w:left="4323" w:right="0" w:firstLine="0"/>
        <w:jc w:val="left"/>
        <w:rPr>
          <w:sz w:val="20"/>
        </w:rPr>
      </w:pPr>
      <w:r>
        <w:rPr>
          <w:w w:val="120"/>
          <w:sz w:val="20"/>
        </w:rPr>
        <w:t>S.</w:t>
      </w:r>
      <w:r>
        <w:rPr>
          <w:spacing w:val="-10"/>
          <w:w w:val="120"/>
          <w:sz w:val="20"/>
        </w:rPr>
        <w:t> </w:t>
      </w:r>
      <w:r>
        <w:rPr>
          <w:spacing w:val="-3"/>
          <w:w w:val="140"/>
          <w:sz w:val="20"/>
        </w:rPr>
        <w:t>S</w:t>
      </w:r>
      <w:r>
        <w:rPr>
          <w:spacing w:val="-2"/>
          <w:w w:val="140"/>
          <w:sz w:val="20"/>
        </w:rPr>
        <w:t>t</w:t>
      </w:r>
      <w:r>
        <w:rPr>
          <w:spacing w:val="-2"/>
          <w:w w:val="107"/>
          <w:sz w:val="20"/>
        </w:rPr>
        <w:t>a</w:t>
      </w:r>
      <w:r>
        <w:rPr>
          <w:spacing w:val="-4"/>
          <w:w w:val="80"/>
          <w:sz w:val="20"/>
        </w:rPr>
        <w:t>m</w:t>
      </w:r>
      <w:r>
        <w:rPr>
          <w:spacing w:val="-3"/>
          <w:w w:val="105"/>
          <w:sz w:val="20"/>
        </w:rPr>
        <w:t>b</w:t>
      </w:r>
      <w:r>
        <w:rPr>
          <w:spacing w:val="-4"/>
          <w:w w:val="105"/>
          <w:sz w:val="20"/>
        </w:rPr>
        <w:t>o</w:t>
      </w:r>
      <w:r>
        <w:rPr>
          <w:spacing w:val="-3"/>
          <w:w w:val="194"/>
          <w:sz w:val="20"/>
        </w:rPr>
        <w:t>l</w:t>
      </w:r>
      <w:r>
        <w:rPr>
          <w:spacing w:val="-4"/>
          <w:w w:val="194"/>
          <w:sz w:val="20"/>
        </w:rPr>
        <w:t>i</w:t>
      </w:r>
      <w:r>
        <w:rPr>
          <w:spacing w:val="-2"/>
          <w:w w:val="107"/>
          <w:sz w:val="20"/>
        </w:rPr>
        <w:t>e</w:t>
      </w:r>
      <w:r>
        <w:rPr>
          <w:spacing w:val="-2"/>
          <w:w w:val="94"/>
          <w:sz w:val="20"/>
        </w:rPr>
        <w:t>v</w:t>
      </w:r>
      <w:r>
        <w:rPr>
          <w:spacing w:val="-3"/>
          <w:w w:val="107"/>
          <w:sz w:val="20"/>
        </w:rPr>
        <w:t>a</w:t>
      </w:r>
    </w:p>
    <w:p>
      <w:pPr>
        <w:spacing w:before="122"/>
        <w:ind w:left="160" w:right="217" w:firstLine="0"/>
        <w:jc w:val="center"/>
        <w:rPr>
          <w:b/>
          <w:sz w:val="20"/>
        </w:rPr>
      </w:pPr>
      <w:r>
        <w:rPr>
          <w:b/>
          <w:w w:val="105"/>
          <w:sz w:val="20"/>
        </w:rPr>
        <w:t>Naslov</w:t>
      </w:r>
      <w:r>
        <w:rPr>
          <w:b/>
          <w:spacing w:val="-2"/>
          <w:w w:val="105"/>
          <w:sz w:val="20"/>
        </w:rPr>
        <w:t> </w:t>
      </w:r>
      <w:r>
        <w:rPr>
          <w:b/>
          <w:w w:val="105"/>
          <w:sz w:val="20"/>
        </w:rPr>
        <w:t>na</w:t>
      </w:r>
      <w:r>
        <w:rPr>
          <w:b/>
          <w:spacing w:val="-1"/>
          <w:w w:val="105"/>
          <w:sz w:val="20"/>
        </w:rPr>
        <w:t> </w:t>
      </w:r>
      <w:r>
        <w:rPr>
          <w:b/>
          <w:w w:val="105"/>
          <w:sz w:val="20"/>
        </w:rPr>
        <w:t>Redakcijata i</w:t>
      </w:r>
      <w:r>
        <w:rPr>
          <w:b/>
          <w:spacing w:val="-2"/>
          <w:w w:val="105"/>
          <w:sz w:val="20"/>
        </w:rPr>
        <w:t> </w:t>
      </w:r>
      <w:r>
        <w:rPr>
          <w:b/>
          <w:w w:val="105"/>
          <w:sz w:val="20"/>
        </w:rPr>
        <w:t>izdava~ot</w:t>
      </w:r>
      <w:r>
        <w:rPr>
          <w:b/>
          <w:spacing w:val="4"/>
          <w:w w:val="105"/>
          <w:sz w:val="20"/>
        </w:rPr>
        <w:t> </w:t>
      </w:r>
      <w:r>
        <w:rPr>
          <w:b/>
          <w:w w:val="105"/>
          <w:sz w:val="20"/>
        </w:rPr>
        <w:t>/</w:t>
      </w:r>
      <w:r>
        <w:rPr>
          <w:b/>
          <w:spacing w:val="-3"/>
          <w:w w:val="105"/>
          <w:sz w:val="20"/>
        </w:rPr>
        <w:t> </w:t>
      </w:r>
      <w:r>
        <w:rPr>
          <w:b/>
          <w:w w:val="105"/>
          <w:sz w:val="20"/>
        </w:rPr>
        <w:t>Address</w:t>
      </w:r>
      <w:r>
        <w:rPr>
          <w:b/>
          <w:spacing w:val="-2"/>
          <w:w w:val="105"/>
          <w:sz w:val="20"/>
        </w:rPr>
        <w:t> </w:t>
      </w:r>
      <w:r>
        <w:rPr>
          <w:b/>
          <w:w w:val="105"/>
          <w:sz w:val="20"/>
        </w:rPr>
        <w:t>of</w:t>
      </w:r>
      <w:r>
        <w:rPr>
          <w:b/>
          <w:spacing w:val="-1"/>
          <w:w w:val="105"/>
          <w:sz w:val="20"/>
        </w:rPr>
        <w:t> </w:t>
      </w:r>
      <w:r>
        <w:rPr>
          <w:b/>
          <w:w w:val="105"/>
          <w:sz w:val="20"/>
        </w:rPr>
        <w:t>the</w:t>
      </w:r>
      <w:r>
        <w:rPr>
          <w:b/>
          <w:spacing w:val="-1"/>
          <w:w w:val="105"/>
          <w:sz w:val="20"/>
        </w:rPr>
        <w:t> </w:t>
      </w:r>
      <w:r>
        <w:rPr>
          <w:b/>
          <w:w w:val="105"/>
          <w:sz w:val="20"/>
        </w:rPr>
        <w:t>Editorial</w:t>
      </w:r>
      <w:r>
        <w:rPr>
          <w:b/>
          <w:spacing w:val="50"/>
          <w:w w:val="105"/>
          <w:sz w:val="20"/>
        </w:rPr>
        <w:t> </w:t>
      </w:r>
      <w:r>
        <w:rPr>
          <w:b/>
          <w:w w:val="105"/>
          <w:sz w:val="20"/>
        </w:rPr>
        <w:t>Office</w:t>
      </w:r>
      <w:r>
        <w:rPr>
          <w:b/>
          <w:spacing w:val="-1"/>
          <w:w w:val="105"/>
          <w:sz w:val="20"/>
        </w:rPr>
        <w:t> </w:t>
      </w:r>
      <w:r>
        <w:rPr>
          <w:b/>
          <w:w w:val="105"/>
          <w:sz w:val="20"/>
        </w:rPr>
        <w:t>and</w:t>
      </w:r>
      <w:r>
        <w:rPr>
          <w:b/>
          <w:spacing w:val="-3"/>
          <w:w w:val="105"/>
          <w:sz w:val="20"/>
        </w:rPr>
        <w:t> </w:t>
      </w:r>
      <w:r>
        <w:rPr>
          <w:b/>
          <w:spacing w:val="-2"/>
          <w:w w:val="105"/>
          <w:sz w:val="20"/>
        </w:rPr>
        <w:t>Administration:</w:t>
      </w:r>
    </w:p>
    <w:p>
      <w:pPr>
        <w:spacing w:before="0"/>
        <w:ind w:left="160" w:right="222" w:firstLine="0"/>
        <w:jc w:val="center"/>
        <w:rPr>
          <w:sz w:val="20"/>
        </w:rPr>
      </w:pPr>
      <w:r>
        <w:rPr>
          <w:w w:val="110"/>
          <w:sz w:val="20"/>
        </w:rPr>
        <w:t>1000</w:t>
      </w:r>
      <w:r>
        <w:rPr>
          <w:spacing w:val="-8"/>
          <w:w w:val="110"/>
          <w:sz w:val="20"/>
        </w:rPr>
        <w:t> </w:t>
      </w:r>
      <w:r>
        <w:rPr>
          <w:w w:val="110"/>
          <w:sz w:val="20"/>
        </w:rPr>
        <w:t>Skopje,</w:t>
      </w:r>
      <w:r>
        <w:rPr>
          <w:spacing w:val="-8"/>
          <w:w w:val="110"/>
          <w:sz w:val="20"/>
        </w:rPr>
        <w:t> </w:t>
      </w:r>
      <w:r>
        <w:rPr>
          <w:w w:val="110"/>
          <w:sz w:val="20"/>
        </w:rPr>
        <w:t>Dame</w:t>
      </w:r>
      <w:r>
        <w:rPr>
          <w:spacing w:val="-7"/>
          <w:w w:val="110"/>
          <w:sz w:val="20"/>
        </w:rPr>
        <w:t> </w:t>
      </w:r>
      <w:r>
        <w:rPr>
          <w:w w:val="110"/>
          <w:sz w:val="20"/>
        </w:rPr>
        <w:t>Gruev</w:t>
      </w:r>
      <w:r>
        <w:rPr>
          <w:spacing w:val="-8"/>
          <w:w w:val="110"/>
          <w:sz w:val="20"/>
        </w:rPr>
        <w:t> </w:t>
      </w:r>
      <w:r>
        <w:rPr>
          <w:w w:val="110"/>
          <w:sz w:val="20"/>
        </w:rPr>
        <w:t>3,</w:t>
      </w:r>
      <w:r>
        <w:rPr>
          <w:spacing w:val="-10"/>
          <w:w w:val="110"/>
          <w:sz w:val="20"/>
        </w:rPr>
        <w:t> </w:t>
      </w:r>
      <w:r>
        <w:rPr>
          <w:w w:val="110"/>
          <w:sz w:val="20"/>
        </w:rPr>
        <w:t>Gradski</w:t>
      </w:r>
      <w:r>
        <w:rPr>
          <w:spacing w:val="-9"/>
          <w:w w:val="110"/>
          <w:sz w:val="20"/>
        </w:rPr>
        <w:t> </w:t>
      </w:r>
      <w:r>
        <w:rPr>
          <w:w w:val="110"/>
          <w:sz w:val="20"/>
        </w:rPr>
        <w:t>yid</w:t>
      </w:r>
      <w:r>
        <w:rPr>
          <w:spacing w:val="-8"/>
          <w:w w:val="110"/>
          <w:sz w:val="20"/>
        </w:rPr>
        <w:t> </w:t>
      </w:r>
      <w:r>
        <w:rPr>
          <w:w w:val="110"/>
          <w:sz w:val="20"/>
        </w:rPr>
        <w:t>blok</w:t>
      </w:r>
      <w:r>
        <w:rPr>
          <w:spacing w:val="-9"/>
          <w:w w:val="110"/>
          <w:sz w:val="20"/>
        </w:rPr>
        <w:t> </w:t>
      </w:r>
      <w:r>
        <w:rPr>
          <w:spacing w:val="-10"/>
          <w:w w:val="110"/>
          <w:sz w:val="20"/>
        </w:rPr>
        <w:t>2</w:t>
      </w:r>
    </w:p>
    <w:p>
      <w:pPr>
        <w:spacing w:before="3"/>
        <w:ind w:left="160" w:right="216" w:firstLine="0"/>
        <w:jc w:val="center"/>
        <w:rPr>
          <w:sz w:val="20"/>
        </w:rPr>
      </w:pPr>
      <w:r>
        <w:rPr>
          <w:w w:val="120"/>
          <w:sz w:val="20"/>
        </w:rPr>
        <w:t>tel.</w:t>
      </w:r>
      <w:r>
        <w:rPr>
          <w:spacing w:val="-15"/>
          <w:w w:val="120"/>
          <w:sz w:val="20"/>
        </w:rPr>
        <w:t> </w:t>
      </w:r>
      <w:r>
        <w:rPr>
          <w:w w:val="110"/>
          <w:sz w:val="20"/>
        </w:rPr>
        <w:t>02/3162</w:t>
      </w:r>
      <w:r>
        <w:rPr>
          <w:spacing w:val="-11"/>
          <w:w w:val="110"/>
          <w:sz w:val="20"/>
        </w:rPr>
        <w:t> </w:t>
      </w:r>
      <w:r>
        <w:rPr>
          <w:spacing w:val="-5"/>
          <w:w w:val="110"/>
          <w:sz w:val="20"/>
        </w:rPr>
        <w:t>577</w:t>
      </w:r>
    </w:p>
    <w:p>
      <w:pPr>
        <w:spacing w:before="0"/>
        <w:ind w:left="160" w:right="217" w:firstLine="0"/>
        <w:jc w:val="center"/>
        <w:rPr>
          <w:sz w:val="20"/>
        </w:rPr>
      </w:pPr>
      <w:hyperlink r:id="rId447">
        <w:r>
          <w:rPr>
            <w:color w:val="0000FF"/>
            <w:sz w:val="20"/>
            <w:u w:val="single" w:color="0000FF"/>
          </w:rPr>
          <w:t>www.mld.org.mk</w:t>
        </w:r>
        <w:r>
          <w:rPr>
            <w:color w:val="0000FF"/>
            <w:spacing w:val="-11"/>
            <w:sz w:val="20"/>
            <w:u w:val="single" w:color="0000FF"/>
          </w:rPr>
          <w:t> </w:t>
        </w:r>
        <w:r>
          <w:rPr>
            <w:color w:val="0000FF"/>
            <w:sz w:val="20"/>
            <w:u w:val="single" w:color="0000FF"/>
          </w:rPr>
          <w:t>/</w:t>
        </w:r>
      </w:hyperlink>
      <w:r>
        <w:rPr>
          <w:color w:val="0000FF"/>
          <w:spacing w:val="-6"/>
          <w:sz w:val="20"/>
          <w:u w:val="single" w:color="0000FF"/>
        </w:rPr>
        <w:t> </w:t>
      </w:r>
      <w:hyperlink r:id="rId451">
        <w:r>
          <w:rPr>
            <w:color w:val="0000FF"/>
            <w:spacing w:val="-2"/>
            <w:sz w:val="20"/>
            <w:u w:val="single" w:color="0000FF"/>
          </w:rPr>
          <w:t>mld@unet.com.mk</w:t>
        </w:r>
      </w:hyperlink>
    </w:p>
    <w:p>
      <w:pPr>
        <w:spacing w:before="5"/>
        <w:ind w:left="3111" w:right="3169" w:firstLine="2"/>
        <w:jc w:val="center"/>
        <w:rPr>
          <w:sz w:val="20"/>
        </w:rPr>
      </w:pPr>
      <w:r>
        <w:rPr>
          <w:w w:val="105"/>
          <w:sz w:val="20"/>
        </w:rPr>
        <w:t>@iro </w:t>
      </w:r>
      <w:r>
        <w:rPr>
          <w:spacing w:val="1"/>
          <w:w w:val="99"/>
          <w:sz w:val="20"/>
        </w:rPr>
        <w:t>s</w:t>
      </w:r>
      <w:r>
        <w:rPr>
          <w:spacing w:val="-2"/>
          <w:w w:val="71"/>
          <w:sz w:val="20"/>
        </w:rPr>
        <w:t>m</w:t>
      </w:r>
      <w:r>
        <w:rPr>
          <w:w w:val="98"/>
          <w:sz w:val="20"/>
        </w:rPr>
        <w:t>e</w:t>
      </w:r>
      <w:r>
        <w:rPr>
          <w:w w:val="165"/>
          <w:sz w:val="20"/>
        </w:rPr>
        <w:t>t</w:t>
      </w:r>
      <w:r>
        <w:rPr>
          <w:spacing w:val="-1"/>
          <w:w w:val="97"/>
          <w:sz w:val="20"/>
        </w:rPr>
        <w:t>ka</w:t>
      </w:r>
      <w:r>
        <w:rPr>
          <w:spacing w:val="-1"/>
          <w:w w:val="104"/>
          <w:sz w:val="20"/>
        </w:rPr>
        <w:t> </w:t>
      </w:r>
      <w:r>
        <w:rPr>
          <w:w w:val="105"/>
          <w:sz w:val="20"/>
        </w:rPr>
        <w:t>/ Bank Account </w:t>
      </w:r>
      <w:r>
        <w:rPr>
          <w:sz w:val="20"/>
        </w:rPr>
        <w:t>300000000211884</w:t>
      </w:r>
      <w:r>
        <w:rPr>
          <w:spacing w:val="-8"/>
          <w:sz w:val="20"/>
        </w:rPr>
        <w:t> </w:t>
      </w:r>
      <w:r>
        <w:rPr>
          <w:sz w:val="20"/>
        </w:rPr>
        <w:t>-</w:t>
      </w:r>
      <w:r>
        <w:rPr>
          <w:spacing w:val="-12"/>
          <w:sz w:val="20"/>
        </w:rPr>
        <w:t> </w:t>
      </w:r>
      <w:r>
        <w:rPr>
          <w:sz w:val="20"/>
        </w:rPr>
        <w:t>Komercijalna</w:t>
      </w:r>
      <w:r>
        <w:rPr>
          <w:spacing w:val="-10"/>
          <w:sz w:val="20"/>
        </w:rPr>
        <w:t> </w:t>
      </w:r>
      <w:r>
        <w:rPr>
          <w:sz w:val="20"/>
        </w:rPr>
        <w:t>banka</w:t>
      </w:r>
      <w:r>
        <w:rPr>
          <w:spacing w:val="-10"/>
          <w:sz w:val="20"/>
        </w:rPr>
        <w:t> </w:t>
      </w:r>
      <w:r>
        <w:rPr>
          <w:sz w:val="20"/>
        </w:rPr>
        <w:t>Skopje</w:t>
      </w:r>
    </w:p>
    <w:p>
      <w:pPr>
        <w:spacing w:before="119"/>
        <w:ind w:left="0" w:right="54" w:firstLine="0"/>
        <w:jc w:val="center"/>
        <w:rPr>
          <w:sz w:val="20"/>
        </w:rPr>
      </w:pPr>
      <w:r>
        <w:rPr>
          <w:w w:val="105"/>
          <w:sz w:val="20"/>
        </w:rPr>
        <w:t>Pe~ati:</w:t>
      </w:r>
      <w:r>
        <w:rPr>
          <w:spacing w:val="-10"/>
          <w:w w:val="105"/>
          <w:sz w:val="20"/>
        </w:rPr>
        <w:t> </w:t>
      </w:r>
      <w:r>
        <w:rPr>
          <w:w w:val="105"/>
          <w:sz w:val="20"/>
        </w:rPr>
        <w:t>Бранко</w:t>
      </w:r>
      <w:r>
        <w:rPr>
          <w:spacing w:val="-9"/>
          <w:w w:val="105"/>
          <w:sz w:val="20"/>
        </w:rPr>
        <w:t> </w:t>
      </w:r>
      <w:r>
        <w:rPr>
          <w:w w:val="105"/>
          <w:sz w:val="20"/>
        </w:rPr>
        <w:t>Гапо</w:t>
      </w:r>
      <w:r>
        <w:rPr>
          <w:spacing w:val="-11"/>
          <w:w w:val="105"/>
          <w:sz w:val="20"/>
        </w:rPr>
        <w:t> </w:t>
      </w:r>
      <w:r>
        <w:rPr>
          <w:w w:val="105"/>
          <w:sz w:val="20"/>
        </w:rPr>
        <w:t>графичко</w:t>
      </w:r>
      <w:r>
        <w:rPr>
          <w:spacing w:val="-9"/>
          <w:w w:val="105"/>
          <w:sz w:val="20"/>
        </w:rPr>
        <w:t> </w:t>
      </w:r>
      <w:r>
        <w:rPr>
          <w:w w:val="105"/>
          <w:sz w:val="20"/>
        </w:rPr>
        <w:t>производство</w:t>
      </w:r>
      <w:r>
        <w:rPr>
          <w:spacing w:val="-7"/>
          <w:w w:val="105"/>
          <w:sz w:val="20"/>
        </w:rPr>
        <w:t> </w:t>
      </w:r>
      <w:r>
        <w:rPr>
          <w:w w:val="105"/>
          <w:sz w:val="20"/>
        </w:rPr>
        <w:t>-</w:t>
      </w:r>
      <w:r>
        <w:rPr>
          <w:spacing w:val="-12"/>
          <w:w w:val="105"/>
          <w:sz w:val="20"/>
        </w:rPr>
        <w:t> </w:t>
      </w:r>
      <w:r>
        <w:rPr>
          <w:spacing w:val="-2"/>
          <w:w w:val="105"/>
          <w:sz w:val="20"/>
        </w:rPr>
        <w:t>Skopje</w:t>
      </w:r>
    </w:p>
    <w:p>
      <w:pPr>
        <w:spacing w:before="118"/>
        <w:ind w:left="160" w:right="226" w:firstLine="0"/>
        <w:jc w:val="center"/>
        <w:rPr>
          <w:sz w:val="20"/>
        </w:rPr>
      </w:pPr>
      <w:r>
        <w:rPr>
          <w:w w:val="120"/>
          <w:sz w:val="20"/>
        </w:rPr>
        <w:t>Makedonski </w:t>
      </w:r>
      <w:r>
        <w:rPr>
          <w:spacing w:val="-2"/>
          <w:w w:val="74"/>
          <w:sz w:val="20"/>
        </w:rPr>
        <w:t>m</w:t>
      </w:r>
      <w:r>
        <w:rPr>
          <w:w w:val="101"/>
          <w:sz w:val="20"/>
        </w:rPr>
        <w:t>e</w:t>
      </w:r>
      <w:r>
        <w:rPr>
          <w:w w:val="88"/>
          <w:sz w:val="20"/>
        </w:rPr>
        <w:t>d</w:t>
      </w:r>
      <w:r>
        <w:rPr>
          <w:spacing w:val="-1"/>
          <w:w w:val="142"/>
          <w:sz w:val="20"/>
        </w:rPr>
        <w:t>i</w:t>
      </w:r>
      <w:r>
        <w:rPr>
          <w:spacing w:val="-2"/>
          <w:w w:val="142"/>
          <w:sz w:val="20"/>
        </w:rPr>
        <w:t>c</w:t>
      </w:r>
      <w:r>
        <w:rPr>
          <w:w w:val="188"/>
          <w:sz w:val="20"/>
        </w:rPr>
        <w:t>i</w:t>
      </w:r>
      <w:r>
        <w:rPr>
          <w:spacing w:val="-1"/>
          <w:w w:val="115"/>
          <w:sz w:val="20"/>
        </w:rPr>
        <w:t>nski</w:t>
      </w:r>
      <w:r>
        <w:rPr>
          <w:spacing w:val="-1"/>
          <w:w w:val="119"/>
          <w:sz w:val="20"/>
        </w:rPr>
        <w:t> </w:t>
      </w:r>
      <w:r>
        <w:rPr>
          <w:w w:val="120"/>
          <w:sz w:val="20"/>
        </w:rPr>
        <w:t>pregled se pe~ati </w:t>
      </w:r>
      <w:r>
        <w:rPr>
          <w:w w:val="150"/>
          <w:sz w:val="20"/>
        </w:rPr>
        <w:t>tri</w:t>
      </w:r>
      <w:r>
        <w:rPr>
          <w:spacing w:val="-12"/>
          <w:w w:val="150"/>
          <w:sz w:val="20"/>
        </w:rPr>
        <w:t> </w:t>
      </w:r>
      <w:r>
        <w:rPr>
          <w:w w:val="130"/>
          <w:sz w:val="20"/>
        </w:rPr>
        <w:t>pati</w:t>
      </w:r>
      <w:r>
        <w:rPr>
          <w:spacing w:val="-4"/>
          <w:w w:val="130"/>
          <w:sz w:val="20"/>
        </w:rPr>
        <w:t> </w:t>
      </w:r>
      <w:r>
        <w:rPr>
          <w:w w:val="120"/>
          <w:sz w:val="20"/>
        </w:rPr>
        <w:t>godi{no. </w:t>
      </w:r>
      <w:r>
        <w:rPr>
          <w:w w:val="130"/>
          <w:sz w:val="20"/>
        </w:rPr>
        <w:t>Pretplatata </w:t>
      </w:r>
      <w:r>
        <w:rPr>
          <w:w w:val="120"/>
          <w:sz w:val="20"/>
        </w:rPr>
        <w:t>za spisanieto iznesuva 10 evra za</w:t>
      </w:r>
      <w:r>
        <w:rPr>
          <w:spacing w:val="-6"/>
          <w:w w:val="120"/>
          <w:sz w:val="20"/>
        </w:rPr>
        <w:t> </w:t>
      </w:r>
      <w:r>
        <w:rPr>
          <w:w w:val="130"/>
          <w:sz w:val="20"/>
        </w:rPr>
        <w:t>lekari,</w:t>
      </w:r>
      <w:r>
        <w:rPr>
          <w:spacing w:val="-12"/>
          <w:w w:val="130"/>
          <w:sz w:val="20"/>
        </w:rPr>
        <w:t> </w:t>
      </w:r>
      <w:r>
        <w:rPr>
          <w:w w:val="120"/>
          <w:sz w:val="20"/>
        </w:rPr>
        <w:t>50</w:t>
      </w:r>
      <w:r>
        <w:rPr>
          <w:spacing w:val="-6"/>
          <w:w w:val="120"/>
          <w:sz w:val="20"/>
        </w:rPr>
        <w:t> </w:t>
      </w:r>
      <w:r>
        <w:rPr>
          <w:w w:val="120"/>
          <w:sz w:val="20"/>
        </w:rPr>
        <w:t>evra</w:t>
      </w:r>
      <w:r>
        <w:rPr>
          <w:spacing w:val="-7"/>
          <w:w w:val="120"/>
          <w:sz w:val="20"/>
        </w:rPr>
        <w:t> </w:t>
      </w:r>
      <w:r>
        <w:rPr>
          <w:w w:val="120"/>
          <w:sz w:val="20"/>
        </w:rPr>
        <w:t>za</w:t>
      </w:r>
      <w:r>
        <w:rPr>
          <w:spacing w:val="-8"/>
          <w:w w:val="120"/>
          <w:sz w:val="20"/>
        </w:rPr>
        <w:t> </w:t>
      </w:r>
      <w:r>
        <w:rPr>
          <w:w w:val="120"/>
          <w:sz w:val="20"/>
        </w:rPr>
        <w:t>ustanova,</w:t>
      </w:r>
      <w:r>
        <w:rPr>
          <w:spacing w:val="-7"/>
          <w:w w:val="120"/>
          <w:sz w:val="20"/>
        </w:rPr>
        <w:t> </w:t>
      </w:r>
      <w:r>
        <w:rPr>
          <w:w w:val="120"/>
          <w:sz w:val="20"/>
        </w:rPr>
        <w:t>stranstvo</w:t>
      </w:r>
      <w:r>
        <w:rPr>
          <w:spacing w:val="-8"/>
          <w:w w:val="120"/>
          <w:sz w:val="20"/>
        </w:rPr>
        <w:t> </w:t>
      </w:r>
      <w:r>
        <w:rPr>
          <w:w w:val="120"/>
          <w:sz w:val="20"/>
        </w:rPr>
        <w:t>80</w:t>
      </w:r>
      <w:r>
        <w:rPr>
          <w:spacing w:val="-6"/>
          <w:w w:val="120"/>
          <w:sz w:val="20"/>
        </w:rPr>
        <w:t> </w:t>
      </w:r>
      <w:r>
        <w:rPr>
          <w:w w:val="120"/>
          <w:sz w:val="20"/>
        </w:rPr>
        <w:t>evra.</w:t>
      </w:r>
    </w:p>
    <w:p>
      <w:pPr>
        <w:pStyle w:val="BodyText"/>
        <w:spacing w:before="6"/>
        <w:rPr>
          <w:sz w:val="20"/>
        </w:rPr>
      </w:pPr>
    </w:p>
    <w:p>
      <w:pPr>
        <w:tabs>
          <w:tab w:pos="3252" w:val="left" w:leader="none"/>
          <w:tab w:pos="4201" w:val="left" w:leader="none"/>
        </w:tabs>
        <w:spacing w:before="0"/>
        <w:ind w:left="0" w:right="54" w:firstLine="0"/>
        <w:jc w:val="center"/>
        <w:rPr>
          <w:sz w:val="20"/>
        </w:rPr>
      </w:pPr>
      <w:r>
        <w:rPr>
          <w:sz w:val="20"/>
        </w:rPr>
        <w:t>Osnovano</w:t>
      </w:r>
      <w:r>
        <w:rPr>
          <w:spacing w:val="56"/>
          <w:w w:val="150"/>
          <w:sz w:val="20"/>
        </w:rPr>
        <w:t> </w:t>
      </w:r>
      <w:r>
        <w:rPr>
          <w:spacing w:val="-4"/>
          <w:sz w:val="20"/>
        </w:rPr>
        <w:t>1946</w:t>
      </w:r>
      <w:r>
        <w:rPr>
          <w:sz w:val="20"/>
        </w:rPr>
        <w:tab/>
      </w:r>
      <w:r>
        <w:rPr>
          <w:spacing w:val="-2"/>
          <w:sz w:val="20"/>
        </w:rPr>
        <w:t>Founded</w:t>
      </w:r>
      <w:r>
        <w:rPr>
          <w:sz w:val="20"/>
        </w:rPr>
        <w:tab/>
      </w:r>
      <w:r>
        <w:rPr>
          <w:spacing w:val="-4"/>
          <w:sz w:val="20"/>
        </w:rPr>
        <w:t>1946</w:t>
      </w:r>
    </w:p>
    <w:p>
      <w:pPr>
        <w:spacing w:after="0"/>
        <w:jc w:val="center"/>
        <w:rPr>
          <w:sz w:val="20"/>
        </w:rPr>
        <w:sectPr>
          <w:type w:val="continuous"/>
          <w:pgSz w:w="11910" w:h="16840"/>
          <w:pgMar w:header="0" w:footer="0" w:top="740" w:bottom="0" w:left="900" w:right="840"/>
        </w:sectPr>
      </w:pPr>
    </w:p>
    <w:p>
      <w:pPr>
        <w:spacing w:before="62"/>
        <w:ind w:left="888" w:right="0" w:firstLine="0"/>
        <w:jc w:val="left"/>
        <w:rPr>
          <w:b/>
          <w:sz w:val="20"/>
        </w:rPr>
      </w:pPr>
      <w:r>
        <w:rPr>
          <w:b/>
          <w:spacing w:val="-2"/>
          <w:sz w:val="20"/>
        </w:rPr>
        <w:t>Содржина/Contents</w:t>
      </w:r>
    </w:p>
    <w:p>
      <w:pPr>
        <w:pStyle w:val="ListParagraph"/>
        <w:numPr>
          <w:ilvl w:val="0"/>
          <w:numId w:val="1"/>
        </w:numPr>
        <w:tabs>
          <w:tab w:pos="1067" w:val="left" w:leader="none"/>
        </w:tabs>
        <w:spacing w:line="240" w:lineRule="auto" w:before="161" w:after="0"/>
        <w:ind w:left="1066" w:right="0" w:hanging="179"/>
        <w:jc w:val="left"/>
        <w:rPr>
          <w:b/>
          <w:sz w:val="20"/>
        </w:rPr>
      </w:pPr>
      <w:r>
        <w:rPr>
          <w:b/>
          <w:color w:val="000000"/>
          <w:sz w:val="20"/>
          <w:shd w:fill="C0C0C0" w:color="auto" w:val="clear"/>
        </w:rPr>
        <w:t>Ревијален</w:t>
      </w:r>
      <w:r>
        <w:rPr>
          <w:b/>
          <w:color w:val="000000"/>
          <w:spacing w:val="-9"/>
          <w:sz w:val="20"/>
          <w:shd w:fill="C0C0C0" w:color="auto" w:val="clear"/>
        </w:rPr>
        <w:t> </w:t>
      </w:r>
      <w:r>
        <w:rPr>
          <w:b/>
          <w:color w:val="000000"/>
          <w:sz w:val="20"/>
          <w:shd w:fill="C0C0C0" w:color="auto" w:val="clear"/>
        </w:rPr>
        <w:t>труд/</w:t>
      </w:r>
      <w:r>
        <w:rPr>
          <w:b/>
          <w:color w:val="000000"/>
          <w:spacing w:val="-7"/>
          <w:sz w:val="20"/>
          <w:shd w:fill="C0C0C0" w:color="auto" w:val="clear"/>
        </w:rPr>
        <w:t> </w:t>
      </w:r>
      <w:r>
        <w:rPr>
          <w:b/>
          <w:color w:val="000000"/>
          <w:sz w:val="20"/>
          <w:shd w:fill="C0C0C0" w:color="auto" w:val="clear"/>
        </w:rPr>
        <w:t>Review</w:t>
      </w:r>
      <w:r>
        <w:rPr>
          <w:b/>
          <w:color w:val="000000"/>
          <w:spacing w:val="-8"/>
          <w:sz w:val="20"/>
          <w:shd w:fill="C0C0C0" w:color="auto" w:val="clear"/>
        </w:rPr>
        <w:t> </w:t>
      </w:r>
      <w:r>
        <w:rPr>
          <w:b/>
          <w:color w:val="000000"/>
          <w:spacing w:val="-2"/>
          <w:sz w:val="20"/>
          <w:shd w:fill="C0C0C0" w:color="auto" w:val="clear"/>
        </w:rPr>
        <w:t>Articles</w:t>
      </w:r>
    </w:p>
    <w:p>
      <w:pPr>
        <w:spacing w:before="114"/>
        <w:ind w:left="888" w:right="2197" w:firstLine="0"/>
        <w:jc w:val="left"/>
        <w:rPr>
          <w:b/>
          <w:sz w:val="20"/>
        </w:rPr>
      </w:pPr>
      <w:r>
        <w:rPr>
          <w:b/>
          <w:sz w:val="20"/>
        </w:rPr>
        <w:t>ЕТИЧКИ</w:t>
      </w:r>
      <w:r>
        <w:rPr>
          <w:b/>
          <w:spacing w:val="-8"/>
          <w:sz w:val="20"/>
        </w:rPr>
        <w:t> </w:t>
      </w:r>
      <w:r>
        <w:rPr>
          <w:b/>
          <w:sz w:val="20"/>
        </w:rPr>
        <w:t>АСПЕКТИ</w:t>
      </w:r>
      <w:r>
        <w:rPr>
          <w:b/>
          <w:spacing w:val="-7"/>
          <w:sz w:val="20"/>
        </w:rPr>
        <w:t> </w:t>
      </w:r>
      <w:r>
        <w:rPr>
          <w:b/>
          <w:sz w:val="20"/>
        </w:rPr>
        <w:t>НА</w:t>
      </w:r>
      <w:r>
        <w:rPr>
          <w:b/>
          <w:spacing w:val="-6"/>
          <w:sz w:val="20"/>
        </w:rPr>
        <w:t> </w:t>
      </w:r>
      <w:r>
        <w:rPr>
          <w:b/>
          <w:sz w:val="20"/>
        </w:rPr>
        <w:t>КЛИНИЧКИ</w:t>
      </w:r>
      <w:r>
        <w:rPr>
          <w:b/>
          <w:spacing w:val="-8"/>
          <w:sz w:val="20"/>
        </w:rPr>
        <w:t> </w:t>
      </w:r>
      <w:r>
        <w:rPr>
          <w:b/>
          <w:sz w:val="20"/>
        </w:rPr>
        <w:t>ИСТРАЖУВАЊА</w:t>
      </w:r>
      <w:r>
        <w:rPr>
          <w:b/>
          <w:spacing w:val="-9"/>
          <w:sz w:val="20"/>
        </w:rPr>
        <w:t> </w:t>
      </w:r>
      <w:r>
        <w:rPr>
          <w:b/>
          <w:sz w:val="20"/>
        </w:rPr>
        <w:t>НА</w:t>
      </w:r>
      <w:r>
        <w:rPr>
          <w:b/>
          <w:spacing w:val="-8"/>
          <w:sz w:val="20"/>
        </w:rPr>
        <w:t> </w:t>
      </w:r>
      <w:r>
        <w:rPr>
          <w:b/>
          <w:sz w:val="20"/>
        </w:rPr>
        <w:t>ДЕЦА ETHICAL ASPECTS IN CLINICAL TRIALS IN CHILDREN</w:t>
      </w:r>
    </w:p>
    <w:p>
      <w:pPr>
        <w:spacing w:after="0"/>
        <w:jc w:val="left"/>
        <w:rPr>
          <w:sz w:val="20"/>
        </w:rPr>
        <w:sectPr>
          <w:pgSz w:w="11910" w:h="16840"/>
          <w:pgMar w:header="0" w:footer="0" w:top="1840" w:bottom="2550" w:left="900" w:right="840"/>
        </w:sectPr>
      </w:pPr>
    </w:p>
    <w:sdt>
      <w:sdtPr>
        <w:docPartObj>
          <w:docPartGallery w:val="Table of Contents"/>
          <w:docPartUnique/>
        </w:docPartObj>
      </w:sdtPr>
      <w:sdtEndPr/>
      <w:sdtContent>
        <w:p>
          <w:pPr>
            <w:pStyle w:val="TOC4"/>
            <w:tabs>
              <w:tab w:pos="9642" w:val="left" w:leader="dot"/>
            </w:tabs>
            <w:ind w:right="424"/>
          </w:pPr>
          <w:r>
            <w:rPr/>
            <w:t>Ivana Arnaudova Danevska, Dimitar Arnaudov, Tatjana Jakjovska, Katerina Boshkovska, Sonja</w:t>
          </w:r>
          <w:r>
            <w:rPr>
              <w:spacing w:val="40"/>
            </w:rPr>
            <w:t> </w:t>
          </w:r>
          <w:r>
            <w:rPr/>
            <w:t>Momchilovikj and Elena Gjinovska Tasevska</w:t>
          </w:r>
          <w:r>
            <w:rPr/>
            <w:tab/>
          </w:r>
          <w:r>
            <w:rPr>
              <w:spacing w:val="-10"/>
            </w:rPr>
            <w:t>1</w:t>
          </w:r>
        </w:p>
        <w:p>
          <w:pPr>
            <w:pStyle w:val="TOC3"/>
            <w:numPr>
              <w:ilvl w:val="0"/>
              <w:numId w:val="1"/>
            </w:numPr>
            <w:tabs>
              <w:tab w:pos="1143" w:val="left" w:leader="none"/>
            </w:tabs>
            <w:spacing w:line="240" w:lineRule="auto" w:before="116" w:after="0"/>
            <w:ind w:left="1142" w:right="0" w:hanging="255"/>
            <w:jc w:val="left"/>
          </w:pPr>
          <w:r>
            <w:rPr>
              <w:color w:val="000000"/>
              <w:shd w:fill="C0C0C0" w:color="auto" w:val="clear"/>
            </w:rPr>
            <w:t>Оригинални</w:t>
          </w:r>
          <w:r>
            <w:rPr>
              <w:color w:val="000000"/>
              <w:spacing w:val="-10"/>
              <w:shd w:fill="C0C0C0" w:color="auto" w:val="clear"/>
            </w:rPr>
            <w:t> </w:t>
          </w:r>
          <w:r>
            <w:rPr>
              <w:color w:val="000000"/>
              <w:shd w:fill="C0C0C0" w:color="auto" w:val="clear"/>
            </w:rPr>
            <w:t>трудови/</w:t>
          </w:r>
          <w:r>
            <w:rPr>
              <w:color w:val="000000"/>
              <w:spacing w:val="-8"/>
              <w:shd w:fill="C0C0C0" w:color="auto" w:val="clear"/>
            </w:rPr>
            <w:t> </w:t>
          </w:r>
          <w:r>
            <w:rPr>
              <w:color w:val="000000"/>
              <w:shd w:fill="C0C0C0" w:color="auto" w:val="clear"/>
            </w:rPr>
            <w:t>Original</w:t>
          </w:r>
          <w:r>
            <w:rPr>
              <w:color w:val="000000"/>
              <w:spacing w:val="-8"/>
              <w:shd w:fill="C0C0C0" w:color="auto" w:val="clear"/>
            </w:rPr>
            <w:t> </w:t>
          </w:r>
          <w:r>
            <w:rPr>
              <w:color w:val="000000"/>
              <w:spacing w:val="-2"/>
              <w:shd w:fill="C0C0C0" w:color="auto" w:val="clear"/>
            </w:rPr>
            <w:t>Articles</w:t>
          </w:r>
        </w:p>
        <w:p>
          <w:pPr>
            <w:pStyle w:val="TOC3"/>
            <w:spacing w:before="114"/>
            <w:ind w:right="1465"/>
          </w:pPr>
          <w:hyperlink w:history="true" w:anchor="_TOC_250019">
            <w:r>
              <w:rPr/>
              <w:t>LOW</w:t>
            </w:r>
            <w:r>
              <w:rPr>
                <w:spacing w:val="-5"/>
              </w:rPr>
              <w:t> </w:t>
            </w:r>
            <w:r>
              <w:rPr/>
              <w:t>FREQUENCY</w:t>
            </w:r>
            <w:r>
              <w:rPr>
                <w:spacing w:val="-5"/>
              </w:rPr>
              <w:t> </w:t>
            </w:r>
            <w:r>
              <w:rPr/>
              <w:t>OF</w:t>
            </w:r>
            <w:r>
              <w:rPr>
                <w:spacing w:val="-5"/>
              </w:rPr>
              <w:t> </w:t>
            </w:r>
            <w:r>
              <w:rPr/>
              <w:t>CLONAL</w:t>
            </w:r>
            <w:r>
              <w:rPr>
                <w:spacing w:val="-3"/>
              </w:rPr>
              <w:t> </w:t>
            </w:r>
            <w:r>
              <w:rPr/>
              <w:t>B</w:t>
            </w:r>
            <w:r>
              <w:rPr>
                <w:spacing w:val="-4"/>
              </w:rPr>
              <w:t> </w:t>
            </w:r>
            <w:r>
              <w:rPr/>
              <w:t>CELL</w:t>
            </w:r>
            <w:r>
              <w:rPr>
                <w:spacing w:val="-6"/>
              </w:rPr>
              <w:t> </w:t>
            </w:r>
            <w:r>
              <w:rPr/>
              <w:t>EXPANSIONS</w:t>
            </w:r>
            <w:r>
              <w:rPr>
                <w:spacing w:val="-6"/>
              </w:rPr>
              <w:t> </w:t>
            </w:r>
            <w:r>
              <w:rPr/>
              <w:t>IN</w:t>
            </w:r>
            <w:r>
              <w:rPr>
                <w:spacing w:val="-6"/>
              </w:rPr>
              <w:t> </w:t>
            </w:r>
            <w:r>
              <w:rPr/>
              <w:t>PATIENTS</w:t>
            </w:r>
            <w:r>
              <w:rPr>
                <w:spacing w:val="-3"/>
              </w:rPr>
              <w:t> </w:t>
            </w:r>
            <w:r>
              <w:rPr/>
              <w:t>WITH IDIOPATHIC THROMBOCYTOPENIC PURPURA</w:t>
            </w:r>
          </w:hyperlink>
        </w:p>
        <w:p>
          <w:pPr>
            <w:pStyle w:val="TOC3"/>
            <w:ind w:right="1141"/>
          </w:pPr>
          <w:hyperlink w:history="true" w:anchor="_TOC_250018">
            <w:r>
              <w:rPr/>
              <w:t>НИСКА</w:t>
            </w:r>
            <w:r>
              <w:rPr>
                <w:spacing w:val="-7"/>
              </w:rPr>
              <w:t> </w:t>
            </w:r>
            <w:r>
              <w:rPr/>
              <w:t>ФРЕКВЕНЦИЈА</w:t>
            </w:r>
            <w:r>
              <w:rPr>
                <w:spacing w:val="-6"/>
              </w:rPr>
              <w:t> </w:t>
            </w:r>
            <w:r>
              <w:rPr/>
              <w:t>НА</w:t>
            </w:r>
            <w:r>
              <w:rPr>
                <w:spacing w:val="-6"/>
              </w:rPr>
              <w:t> </w:t>
            </w:r>
            <w:r>
              <w:rPr/>
              <w:t>КЛОНАЛНА</w:t>
            </w:r>
            <w:r>
              <w:rPr>
                <w:spacing w:val="-6"/>
              </w:rPr>
              <w:t> </w:t>
            </w:r>
            <w:r>
              <w:rPr/>
              <w:t>Б</w:t>
            </w:r>
            <w:r>
              <w:rPr>
                <w:spacing w:val="-6"/>
              </w:rPr>
              <w:t> </w:t>
            </w:r>
            <w:r>
              <w:rPr/>
              <w:t>КЛЕТОЧНА</w:t>
            </w:r>
            <w:r>
              <w:rPr>
                <w:spacing w:val="-6"/>
              </w:rPr>
              <w:t> </w:t>
            </w:r>
            <w:r>
              <w:rPr/>
              <w:t>ЕКСПАНЗИЈА</w:t>
            </w:r>
            <w:r>
              <w:rPr>
                <w:spacing w:val="-6"/>
              </w:rPr>
              <w:t> </w:t>
            </w:r>
            <w:r>
              <w:rPr/>
              <w:t>КАЈ ПАЦИЕНТИ СО ИДИОПАТСКА ТРОМБОЦИТОПЕНИЧНА ПУРПУРА</w:t>
            </w:r>
          </w:hyperlink>
        </w:p>
        <w:p>
          <w:pPr>
            <w:pStyle w:val="TOC4"/>
            <w:tabs>
              <w:tab w:pos="9642" w:val="left" w:leader="dot"/>
            </w:tabs>
            <w:spacing w:line="227" w:lineRule="exact"/>
          </w:pPr>
          <w:hyperlink w:history="true" w:anchor="_TOC_250017">
            <w:r>
              <w:rPr/>
              <w:t>Marica</w:t>
            </w:r>
            <w:r>
              <w:rPr>
                <w:spacing w:val="-7"/>
              </w:rPr>
              <w:t> </w:t>
            </w:r>
            <w:r>
              <w:rPr/>
              <w:t>Pavkovic</w:t>
            </w:r>
            <w:r>
              <w:rPr>
                <w:spacing w:val="-6"/>
              </w:rPr>
              <w:t> </w:t>
            </w:r>
            <w:r>
              <w:rPr/>
              <w:t>and</w:t>
            </w:r>
            <w:r>
              <w:rPr>
                <w:spacing w:val="-5"/>
              </w:rPr>
              <w:t> </w:t>
            </w:r>
            <w:r>
              <w:rPr/>
              <w:t>Dimitar</w:t>
            </w:r>
            <w:r>
              <w:rPr>
                <w:spacing w:val="-5"/>
              </w:rPr>
              <w:t> </w:t>
            </w:r>
            <w:r>
              <w:rPr>
                <w:spacing w:val="-2"/>
              </w:rPr>
              <w:t>Efremov</w:t>
            </w:r>
            <w:r>
              <w:rPr/>
              <w:tab/>
            </w:r>
            <w:r>
              <w:rPr>
                <w:spacing w:val="-10"/>
              </w:rPr>
              <w:t>6</w:t>
            </w:r>
          </w:hyperlink>
        </w:p>
        <w:p>
          <w:pPr>
            <w:pStyle w:val="TOC3"/>
            <w:spacing w:before="118"/>
            <w:ind w:right="928"/>
          </w:pPr>
          <w:r>
            <w:rPr/>
            <w:t>EVALUATION OF THE ANALYTICAL VALUE OF SARS-CoV-2 ANTIGEN TEST IN RELATION TO Ct-VALUES OF RT-qPCR IN PATIENTS SUSPECTED OF COVID-19 ЕВАЛУАЦИЈА</w:t>
          </w:r>
          <w:r>
            <w:rPr>
              <w:spacing w:val="-7"/>
            </w:rPr>
            <w:t> </w:t>
          </w:r>
          <w:r>
            <w:rPr/>
            <w:t>НА</w:t>
          </w:r>
          <w:r>
            <w:rPr>
              <w:spacing w:val="-7"/>
            </w:rPr>
            <w:t> </w:t>
          </w:r>
          <w:r>
            <w:rPr/>
            <w:t>АНАЛИТИЧКАТА</w:t>
          </w:r>
          <w:r>
            <w:rPr>
              <w:spacing w:val="-7"/>
            </w:rPr>
            <w:t> </w:t>
          </w:r>
          <w:r>
            <w:rPr/>
            <w:t>ВРЕДНОСТ</w:t>
          </w:r>
          <w:r>
            <w:rPr>
              <w:spacing w:val="-6"/>
            </w:rPr>
            <w:t> </w:t>
          </w:r>
          <w:r>
            <w:rPr/>
            <w:t>НА</w:t>
          </w:r>
          <w:r>
            <w:rPr>
              <w:spacing w:val="-3"/>
            </w:rPr>
            <w:t> </w:t>
          </w:r>
          <w:r>
            <w:rPr/>
            <w:t>SARS-CoV-2</w:t>
          </w:r>
          <w:r>
            <w:rPr>
              <w:spacing w:val="-6"/>
            </w:rPr>
            <w:t> </w:t>
          </w:r>
          <w:r>
            <w:rPr/>
            <w:t>АНТИГЕНСКИ</w:t>
          </w:r>
          <w:r>
            <w:rPr>
              <w:spacing w:val="-7"/>
            </w:rPr>
            <w:t> </w:t>
          </w:r>
          <w:r>
            <w:rPr/>
            <w:t>ТЕСТ ВО ОДНОС НА Ct ВРЕДНОСТИТЕ НА РТ-ПВР КАЈ ПАЦИЕНТИ СУСПЕКТНИ ЗА </w:t>
          </w:r>
          <w:r>
            <w:rPr>
              <w:spacing w:val="-2"/>
            </w:rPr>
            <w:t>КОВИД-19</w:t>
          </w:r>
        </w:p>
        <w:p>
          <w:pPr>
            <w:pStyle w:val="TOC4"/>
            <w:tabs>
              <w:tab w:pos="9594" w:val="left" w:leader="dot"/>
            </w:tabs>
            <w:spacing w:line="225" w:lineRule="exact"/>
          </w:pPr>
          <w:r>
            <w:rPr/>
            <w:t>Gorica</w:t>
          </w:r>
          <w:r>
            <w:rPr>
              <w:spacing w:val="-10"/>
            </w:rPr>
            <w:t> </w:t>
          </w:r>
          <w:r>
            <w:rPr/>
            <w:t>Popova,</w:t>
          </w:r>
          <w:r>
            <w:rPr>
              <w:spacing w:val="-9"/>
            </w:rPr>
            <w:t> </w:t>
          </w:r>
          <w:r>
            <w:rPr/>
            <w:t>Katerina</w:t>
          </w:r>
          <w:r>
            <w:rPr>
              <w:spacing w:val="-10"/>
            </w:rPr>
            <w:t> </w:t>
          </w:r>
          <w:r>
            <w:rPr/>
            <w:t>Boskovska,</w:t>
          </w:r>
          <w:r>
            <w:rPr>
              <w:spacing w:val="-9"/>
            </w:rPr>
            <w:t> </w:t>
          </w:r>
          <w:r>
            <w:rPr/>
            <w:t>Ivana</w:t>
          </w:r>
          <w:r>
            <w:rPr>
              <w:spacing w:val="-8"/>
            </w:rPr>
            <w:t> </w:t>
          </w:r>
          <w:r>
            <w:rPr/>
            <w:t>Arnaudova</w:t>
          </w:r>
          <w:r>
            <w:rPr>
              <w:spacing w:val="-9"/>
            </w:rPr>
            <w:t> </w:t>
          </w:r>
          <w:r>
            <w:rPr/>
            <w:t>Danevska,</w:t>
          </w:r>
          <w:r>
            <w:rPr>
              <w:spacing w:val="-9"/>
            </w:rPr>
            <w:t> </w:t>
          </w:r>
          <w:r>
            <w:rPr/>
            <w:t>Katerina</w:t>
          </w:r>
          <w:r>
            <w:rPr>
              <w:spacing w:val="-10"/>
            </w:rPr>
            <w:t> </w:t>
          </w:r>
          <w:r>
            <w:rPr>
              <w:spacing w:val="-2"/>
            </w:rPr>
            <w:t>Blagoevska</w:t>
          </w:r>
          <w:r>
            <w:rPr/>
            <w:tab/>
          </w:r>
          <w:r>
            <w:rPr>
              <w:spacing w:val="-5"/>
            </w:rPr>
            <w:t>10</w:t>
          </w:r>
        </w:p>
        <w:p>
          <w:pPr>
            <w:pStyle w:val="TOC3"/>
            <w:spacing w:before="120"/>
            <w:ind w:right="1141"/>
          </w:pPr>
          <w:hyperlink w:history="true" w:anchor="_TOC_250016">
            <w:r>
              <w:rPr/>
              <w:t>ROBSON</w:t>
            </w:r>
            <w:r>
              <w:rPr>
                <w:spacing w:val="-5"/>
              </w:rPr>
              <w:t> </w:t>
            </w:r>
            <w:r>
              <w:rPr/>
              <w:t>CLASSIFICATION</w:t>
            </w:r>
            <w:r>
              <w:rPr>
                <w:spacing w:val="-5"/>
              </w:rPr>
              <w:t> </w:t>
            </w:r>
            <w:r>
              <w:rPr/>
              <w:t>OF</w:t>
            </w:r>
            <w:r>
              <w:rPr>
                <w:spacing w:val="-5"/>
              </w:rPr>
              <w:t> </w:t>
            </w:r>
            <w:r>
              <w:rPr/>
              <w:t>CESAREAN</w:t>
            </w:r>
            <w:r>
              <w:rPr>
                <w:spacing w:val="-5"/>
              </w:rPr>
              <w:t> </w:t>
            </w:r>
            <w:r>
              <w:rPr/>
              <w:t>SECTION</w:t>
            </w:r>
            <w:r>
              <w:rPr>
                <w:spacing w:val="-5"/>
              </w:rPr>
              <w:t> </w:t>
            </w:r>
            <w:r>
              <w:rPr/>
              <w:t>IN</w:t>
            </w:r>
            <w:r>
              <w:rPr>
                <w:spacing w:val="-5"/>
              </w:rPr>
              <w:t> </w:t>
            </w:r>
            <w:r>
              <w:rPr/>
              <w:t>NORTH</w:t>
            </w:r>
            <w:r>
              <w:rPr>
                <w:spacing w:val="-4"/>
              </w:rPr>
              <w:t> </w:t>
            </w:r>
            <w:r>
              <w:rPr/>
              <w:t>MACEDONIA</w:t>
            </w:r>
            <w:r>
              <w:rPr>
                <w:spacing w:val="-3"/>
              </w:rPr>
              <w:t> </w:t>
            </w:r>
            <w:r>
              <w:rPr/>
              <w:t>- CURRENT TRENDS</w:t>
            </w:r>
          </w:hyperlink>
        </w:p>
        <w:p>
          <w:pPr>
            <w:pStyle w:val="TOC3"/>
          </w:pPr>
          <w:hyperlink w:history="true" w:anchor="_TOC_250015">
            <w:r>
              <w:rPr/>
              <w:t>КЛАСИФИКАЦИЈА</w:t>
            </w:r>
            <w:r>
              <w:rPr>
                <w:spacing w:val="-5"/>
              </w:rPr>
              <w:t> </w:t>
            </w:r>
            <w:r>
              <w:rPr/>
              <w:t>НА</w:t>
            </w:r>
            <w:r>
              <w:rPr>
                <w:spacing w:val="-5"/>
              </w:rPr>
              <w:t> </w:t>
            </w:r>
            <w:r>
              <w:rPr/>
              <w:t>ЦАРСКИ</w:t>
            </w:r>
            <w:r>
              <w:rPr>
                <w:spacing w:val="-5"/>
              </w:rPr>
              <w:t> </w:t>
            </w:r>
            <w:r>
              <w:rPr/>
              <w:t>РЕЗОВИ</w:t>
            </w:r>
            <w:r>
              <w:rPr>
                <w:spacing w:val="-4"/>
              </w:rPr>
              <w:t> </w:t>
            </w:r>
            <w:r>
              <w:rPr/>
              <w:t>ВО</w:t>
            </w:r>
            <w:r>
              <w:rPr>
                <w:spacing w:val="-4"/>
              </w:rPr>
              <w:t> </w:t>
            </w:r>
            <w:r>
              <w:rPr/>
              <w:t>СЕВЕРНА</w:t>
            </w:r>
            <w:r>
              <w:rPr>
                <w:spacing w:val="-5"/>
              </w:rPr>
              <w:t> </w:t>
            </w:r>
            <w:r>
              <w:rPr/>
              <w:t>МАКЕДОНИЈА</w:t>
            </w:r>
            <w:r>
              <w:rPr>
                <w:spacing w:val="-5"/>
              </w:rPr>
              <w:t> </w:t>
            </w:r>
            <w:r>
              <w:rPr/>
              <w:t>ПО</w:t>
            </w:r>
            <w:r>
              <w:rPr>
                <w:spacing w:val="-4"/>
              </w:rPr>
              <w:t> </w:t>
            </w:r>
            <w:r>
              <w:rPr/>
              <w:t>РОБСОН – МОМЕНТАЛЕН ТРЕНД</w:t>
            </w:r>
          </w:hyperlink>
        </w:p>
        <w:p>
          <w:pPr>
            <w:pStyle w:val="TOC4"/>
            <w:spacing w:line="237" w:lineRule="auto"/>
            <w:ind w:right="1465"/>
          </w:pPr>
          <w:r>
            <w:rPr/>
            <w:t>Ivo Kjaev, Ana Daneva Markova, Pajtim Asani, Viktorija Jovanovska, Adelina Dalipi, Martina Mladenovska,</w:t>
          </w:r>
          <w:r>
            <w:rPr>
              <w:spacing w:val="-4"/>
            </w:rPr>
            <w:t> </w:t>
          </w:r>
          <w:r>
            <w:rPr/>
            <w:t>Romir</w:t>
          </w:r>
          <w:r>
            <w:rPr>
              <w:spacing w:val="-5"/>
            </w:rPr>
            <w:t> </w:t>
          </w:r>
          <w:r>
            <w:rPr/>
            <w:t>Kadriu,</w:t>
          </w:r>
          <w:r>
            <w:rPr>
              <w:spacing w:val="-4"/>
            </w:rPr>
            <w:t> </w:t>
          </w:r>
          <w:r>
            <w:rPr/>
            <w:t>Irena</w:t>
          </w:r>
          <w:r>
            <w:rPr>
              <w:spacing w:val="-5"/>
            </w:rPr>
            <w:t> </w:t>
          </w:r>
          <w:r>
            <w:rPr/>
            <w:t>Aleksioska</w:t>
          </w:r>
          <w:r>
            <w:rPr>
              <w:spacing w:val="-5"/>
            </w:rPr>
            <w:t> </w:t>
          </w:r>
          <w:r>
            <w:rPr/>
            <w:t>Papestiev,</w:t>
          </w:r>
          <w:r>
            <w:rPr>
              <w:spacing w:val="-5"/>
            </w:rPr>
            <w:t> </w:t>
          </w:r>
          <w:r>
            <w:rPr/>
            <w:t>Dafina</w:t>
          </w:r>
          <w:r>
            <w:rPr>
              <w:spacing w:val="-5"/>
            </w:rPr>
            <w:t> </w:t>
          </w:r>
          <w:r>
            <w:rPr/>
            <w:t>Karadjova,</w:t>
          </w:r>
          <w:r>
            <w:rPr>
              <w:spacing w:val="-4"/>
            </w:rPr>
            <w:t> </w:t>
          </w:r>
          <w:r>
            <w:rPr/>
            <w:t>Katerina</w:t>
          </w:r>
          <w:r>
            <w:rPr>
              <w:spacing w:val="-5"/>
            </w:rPr>
            <w:t> </w:t>
          </w:r>
          <w:r>
            <w:rPr/>
            <w:t>Nikoloska,</w:t>
          </w:r>
        </w:p>
        <w:p>
          <w:pPr>
            <w:pStyle w:val="TOC4"/>
            <w:tabs>
              <w:tab w:pos="9594" w:val="left" w:leader="dot"/>
            </w:tabs>
          </w:pPr>
          <w:r>
            <w:rPr/>
            <w:t>Durim</w:t>
          </w:r>
          <w:r>
            <w:rPr>
              <w:spacing w:val="-9"/>
            </w:rPr>
            <w:t> </w:t>
          </w:r>
          <w:r>
            <w:rPr/>
            <w:t>Asani,</w:t>
          </w:r>
          <w:r>
            <w:rPr>
              <w:spacing w:val="-7"/>
            </w:rPr>
            <w:t> </w:t>
          </w:r>
          <w:r>
            <w:rPr/>
            <w:t>Rosa</w:t>
          </w:r>
          <w:r>
            <w:rPr>
              <w:spacing w:val="-6"/>
            </w:rPr>
            <w:t> </w:t>
          </w:r>
          <w:r>
            <w:rPr/>
            <w:t>Spasova,</w:t>
          </w:r>
          <w:r>
            <w:rPr>
              <w:spacing w:val="-6"/>
            </w:rPr>
            <w:t> </w:t>
          </w:r>
          <w:r>
            <w:rPr/>
            <w:t>Daniel</w:t>
          </w:r>
          <w:r>
            <w:rPr>
              <w:spacing w:val="-7"/>
            </w:rPr>
            <w:t> </w:t>
          </w:r>
          <w:r>
            <w:rPr/>
            <w:t>Milkovski</w:t>
          </w:r>
          <w:r>
            <w:rPr>
              <w:spacing w:val="-8"/>
            </w:rPr>
            <w:t> </w:t>
          </w:r>
          <w:r>
            <w:rPr/>
            <w:t>and</w:t>
          </w:r>
          <w:r>
            <w:rPr>
              <w:spacing w:val="-6"/>
            </w:rPr>
            <w:t> </w:t>
          </w:r>
          <w:r>
            <w:rPr/>
            <w:t>Goran</w:t>
          </w:r>
          <w:r>
            <w:rPr>
              <w:spacing w:val="-5"/>
            </w:rPr>
            <w:t> </w:t>
          </w:r>
          <w:r>
            <w:rPr>
              <w:spacing w:val="-2"/>
            </w:rPr>
            <w:t>Kocoski</w:t>
          </w:r>
          <w:r>
            <w:rPr/>
            <w:tab/>
          </w:r>
          <w:r>
            <w:rPr>
              <w:spacing w:val="-5"/>
            </w:rPr>
            <w:t>14</w:t>
          </w:r>
        </w:p>
        <w:p>
          <w:pPr>
            <w:pStyle w:val="TOC3"/>
            <w:spacing w:before="120"/>
            <w:ind w:right="1465"/>
          </w:pPr>
          <w:r>
            <w:rPr/>
            <w:t>ASPECTS OF NEPHROTOXICITY OF THE MOST USED NONSTEROIDAL ANTI- INFLAMMATORY DRUGS IN PATIENTS WITH RHEUMATOID ARTHRITIS ASPEKTI</w:t>
          </w:r>
          <w:r>
            <w:rPr>
              <w:spacing w:val="-8"/>
            </w:rPr>
            <w:t> </w:t>
          </w:r>
          <w:r>
            <w:rPr/>
            <w:t>NA</w:t>
          </w:r>
          <w:r>
            <w:rPr>
              <w:spacing w:val="-8"/>
            </w:rPr>
            <w:t> </w:t>
          </w:r>
          <w:r>
            <w:rPr/>
            <w:t>NEFROTOKSI^NOST</w:t>
          </w:r>
          <w:r>
            <w:rPr>
              <w:spacing w:val="-9"/>
            </w:rPr>
            <w:t> </w:t>
          </w:r>
          <w:r>
            <w:rPr/>
            <w:t>OD</w:t>
          </w:r>
          <w:r>
            <w:rPr>
              <w:spacing w:val="-8"/>
            </w:rPr>
            <w:t> </w:t>
          </w:r>
          <w:r>
            <w:rPr/>
            <w:t>NAJ^ESTO</w:t>
          </w:r>
          <w:r>
            <w:rPr>
              <w:spacing w:val="-7"/>
            </w:rPr>
            <w:t> </w:t>
          </w:r>
          <w:r>
            <w:rPr/>
            <w:t>UPOTREBUVANI</w:t>
          </w:r>
          <w:r>
            <w:rPr>
              <w:spacing w:val="-8"/>
            </w:rPr>
            <w:t> </w:t>
          </w:r>
          <w:r>
            <w:rPr/>
            <w:t>NESTEROIDNI ANTIINFLAMATORNI LEKOVI KAJ PACIENTI SO РЕВМАТОИДЕН АРТРИТИС</w:t>
          </w:r>
        </w:p>
        <w:p>
          <w:pPr>
            <w:pStyle w:val="TOC4"/>
            <w:tabs>
              <w:tab w:pos="9594" w:val="left" w:leader="none"/>
            </w:tabs>
            <w:ind w:right="370"/>
          </w:pPr>
          <w:r>
            <w:rPr/>
            <w:t>Dejan Spasovski, Emilija Sandevska, Sonja Genadieva Stavrikj, Tatjana Sotirova, Svetlana Krstevska- Balkanov, Slavica Subevska Stratrova and Julijana Brezovska-Kavrakova............................................</w:t>
          </w:r>
          <w:r>
            <w:rPr/>
            <w:tab/>
          </w:r>
          <w:r>
            <w:rPr>
              <w:spacing w:val="-6"/>
            </w:rPr>
            <w:t>18</w:t>
          </w:r>
        </w:p>
        <w:p>
          <w:pPr>
            <w:pStyle w:val="TOC3"/>
            <w:numPr>
              <w:ilvl w:val="0"/>
              <w:numId w:val="1"/>
            </w:numPr>
            <w:tabs>
              <w:tab w:pos="1220" w:val="left" w:leader="none"/>
            </w:tabs>
            <w:spacing w:line="240" w:lineRule="auto" w:before="115" w:after="0"/>
            <w:ind w:left="1219" w:right="0" w:hanging="332"/>
            <w:jc w:val="left"/>
          </w:pPr>
          <w:r>
            <w:rPr>
              <w:color w:val="000000"/>
              <w:shd w:fill="C0C0C0" w:color="auto" w:val="clear"/>
            </w:rPr>
            <w:t>Прикази</w:t>
          </w:r>
          <w:r>
            <w:rPr>
              <w:color w:val="000000"/>
              <w:spacing w:val="-7"/>
              <w:shd w:fill="C0C0C0" w:color="auto" w:val="clear"/>
            </w:rPr>
            <w:t> </w:t>
          </w:r>
          <w:r>
            <w:rPr>
              <w:color w:val="000000"/>
              <w:shd w:fill="C0C0C0" w:color="auto" w:val="clear"/>
            </w:rPr>
            <w:t>на</w:t>
          </w:r>
          <w:r>
            <w:rPr>
              <w:color w:val="000000"/>
              <w:spacing w:val="-6"/>
              <w:shd w:fill="C0C0C0" w:color="auto" w:val="clear"/>
            </w:rPr>
            <w:t> </w:t>
          </w:r>
          <w:r>
            <w:rPr>
              <w:color w:val="000000"/>
              <w:shd w:fill="C0C0C0" w:color="auto" w:val="clear"/>
            </w:rPr>
            <w:t>случај/Case</w:t>
          </w:r>
          <w:r>
            <w:rPr>
              <w:color w:val="000000"/>
              <w:spacing w:val="-6"/>
              <w:shd w:fill="C0C0C0" w:color="auto" w:val="clear"/>
            </w:rPr>
            <w:t> </w:t>
          </w:r>
          <w:r>
            <w:rPr>
              <w:color w:val="000000"/>
              <w:spacing w:val="-2"/>
              <w:shd w:fill="C0C0C0" w:color="auto" w:val="clear"/>
            </w:rPr>
            <w:t>reports</w:t>
          </w:r>
        </w:p>
        <w:p>
          <w:pPr>
            <w:pStyle w:val="TOC3"/>
            <w:spacing w:before="116"/>
            <w:ind w:right="484"/>
          </w:pPr>
          <w:hyperlink w:history="true" w:anchor="_TOC_250014">
            <w:r>
              <w:rPr/>
              <w:t>CARDIOVASCULAR</w:t>
            </w:r>
            <w:r>
              <w:rPr>
                <w:spacing w:val="-8"/>
              </w:rPr>
              <w:t> </w:t>
            </w:r>
            <w:r>
              <w:rPr/>
              <w:t>COMPLICATIONS</w:t>
            </w:r>
            <w:r>
              <w:rPr>
                <w:spacing w:val="-6"/>
              </w:rPr>
              <w:t> </w:t>
            </w:r>
            <w:r>
              <w:rPr/>
              <w:t>IN</w:t>
            </w:r>
            <w:r>
              <w:rPr>
                <w:spacing w:val="-6"/>
              </w:rPr>
              <w:t> </w:t>
            </w:r>
            <w:r>
              <w:rPr/>
              <w:t>COVID-19</w:t>
            </w:r>
            <w:r>
              <w:rPr>
                <w:spacing w:val="-7"/>
              </w:rPr>
              <w:t> </w:t>
            </w:r>
            <w:r>
              <w:rPr/>
              <w:t>INFECTED</w:t>
            </w:r>
            <w:r>
              <w:rPr>
                <w:spacing w:val="-8"/>
              </w:rPr>
              <w:t> </w:t>
            </w:r>
            <w:r>
              <w:rPr/>
              <w:t>PATIENTS:</w:t>
            </w:r>
            <w:r>
              <w:rPr>
                <w:spacing w:val="-9"/>
              </w:rPr>
              <w:t> </w:t>
            </w:r>
            <w:r>
              <w:rPr/>
              <w:t>MASSIVE PULMONARY EMBOLISM AND MYOCARDIAL INFARCTION WITH ACUTE HEART FAILURE - CASE SERIES REPORT</w:t>
            </w:r>
          </w:hyperlink>
        </w:p>
        <w:p>
          <w:pPr>
            <w:pStyle w:val="TOC3"/>
            <w:spacing w:before="0"/>
            <w:ind w:right="1141"/>
          </w:pPr>
          <w:hyperlink w:history="true" w:anchor="_TOC_250013">
            <w:r>
              <w:rPr/>
              <w:t>КАРДИОВАСКУЛАРНИ КОМПЛИКАЦИИ КАЈ COVID-19 БОЛНИ ПАЦИЕНТИ: МАСИВНА</w:t>
            </w:r>
            <w:r>
              <w:rPr>
                <w:spacing w:val="-7"/>
              </w:rPr>
              <w:t> </w:t>
            </w:r>
            <w:r>
              <w:rPr/>
              <w:t>БЕЛОДРОБНА</w:t>
            </w:r>
            <w:r>
              <w:rPr>
                <w:spacing w:val="-7"/>
              </w:rPr>
              <w:t> </w:t>
            </w:r>
            <w:r>
              <w:rPr/>
              <w:t>ЕМБОЛИЈА</w:t>
            </w:r>
            <w:r>
              <w:rPr>
                <w:spacing w:val="-7"/>
              </w:rPr>
              <w:t> </w:t>
            </w:r>
            <w:r>
              <w:rPr/>
              <w:t>И</w:t>
            </w:r>
            <w:r>
              <w:rPr>
                <w:spacing w:val="-10"/>
              </w:rPr>
              <w:t> </w:t>
            </w:r>
            <w:r>
              <w:rPr/>
              <w:t>МИОКАРДЕН</w:t>
            </w:r>
            <w:r>
              <w:rPr>
                <w:spacing w:val="-6"/>
              </w:rPr>
              <w:t> </w:t>
            </w:r>
            <w:r>
              <w:rPr/>
              <w:t>ИНФАРКТ</w:t>
            </w:r>
            <w:r>
              <w:rPr>
                <w:spacing w:val="-7"/>
              </w:rPr>
              <w:t> </w:t>
            </w:r>
            <w:r>
              <w:rPr/>
              <w:t>СО</w:t>
            </w:r>
            <w:r>
              <w:rPr>
                <w:spacing w:val="-6"/>
              </w:rPr>
              <w:t> </w:t>
            </w:r>
            <w:r>
              <w:rPr/>
              <w:t>АКУТНА СРЦЕВА СЛАБОСТ – ПРИКАЗИ НА СЛУЧАИ</w:t>
            </w:r>
          </w:hyperlink>
        </w:p>
        <w:p>
          <w:pPr>
            <w:pStyle w:val="TOC4"/>
            <w:tabs>
              <w:tab w:pos="9594" w:val="left" w:leader="none"/>
            </w:tabs>
            <w:spacing w:line="225" w:lineRule="exact"/>
          </w:pPr>
          <w:hyperlink w:history="true" w:anchor="_TOC_250012">
            <w:r>
              <w:rPr/>
              <w:t>Irena</w:t>
            </w:r>
            <w:r>
              <w:rPr>
                <w:spacing w:val="-7"/>
              </w:rPr>
              <w:t> </w:t>
            </w:r>
            <w:r>
              <w:rPr/>
              <w:t>Mitevska,</w:t>
            </w:r>
            <w:r>
              <w:rPr>
                <w:spacing w:val="-6"/>
              </w:rPr>
              <w:t> </w:t>
            </w:r>
            <w:r>
              <w:rPr/>
              <w:t>Oliver</w:t>
            </w:r>
            <w:r>
              <w:rPr>
                <w:spacing w:val="-7"/>
              </w:rPr>
              <w:t> </w:t>
            </w:r>
            <w:r>
              <w:rPr/>
              <w:t>Busletikј,</w:t>
            </w:r>
            <w:r>
              <w:rPr>
                <w:spacing w:val="-6"/>
              </w:rPr>
              <w:t> </w:t>
            </w:r>
            <w:r>
              <w:rPr/>
              <w:t>Elena</w:t>
            </w:r>
            <w:r>
              <w:rPr>
                <w:spacing w:val="-7"/>
              </w:rPr>
              <w:t> </w:t>
            </w:r>
            <w:r>
              <w:rPr/>
              <w:t>Grueva.</w:t>
            </w:r>
            <w:r>
              <w:rPr>
                <w:spacing w:val="-3"/>
              </w:rPr>
              <w:t> </w:t>
            </w:r>
            <w:r>
              <w:rPr/>
              <w:t>Irina</w:t>
            </w:r>
            <w:r>
              <w:rPr>
                <w:spacing w:val="-7"/>
              </w:rPr>
              <w:t> </w:t>
            </w:r>
            <w:r>
              <w:rPr/>
              <w:t>Kotlar</w:t>
            </w:r>
            <w:r>
              <w:rPr>
                <w:spacing w:val="-4"/>
              </w:rPr>
              <w:t> </w:t>
            </w:r>
            <w:r>
              <w:rPr/>
              <w:t>and</w:t>
            </w:r>
            <w:r>
              <w:rPr>
                <w:spacing w:val="-6"/>
              </w:rPr>
              <w:t> </w:t>
            </w:r>
            <w:r>
              <w:rPr/>
              <w:t>Elma</w:t>
            </w:r>
            <w:r>
              <w:rPr>
                <w:spacing w:val="-7"/>
              </w:rPr>
              <w:t> </w:t>
            </w:r>
            <w:r>
              <w:rPr>
                <w:spacing w:val="-2"/>
              </w:rPr>
              <w:t>Kandic</w:t>
            </w:r>
            <w:r>
              <w:rPr/>
              <w:tab/>
            </w:r>
            <w:r>
              <w:rPr>
                <w:spacing w:val="-5"/>
              </w:rPr>
              <w:t>23</w:t>
            </w:r>
          </w:hyperlink>
        </w:p>
        <w:p>
          <w:pPr>
            <w:pStyle w:val="TOC3"/>
            <w:spacing w:before="119"/>
            <w:ind w:right="424"/>
          </w:pPr>
          <w:hyperlink w:history="true" w:anchor="_TOC_250011">
            <w:r>
              <w:rPr/>
              <w:t>EXPLORATIVE</w:t>
            </w:r>
            <w:r>
              <w:rPr>
                <w:spacing w:val="-5"/>
              </w:rPr>
              <w:t> </w:t>
            </w:r>
            <w:r>
              <w:rPr/>
              <w:t>LAPAROSCOPY</w:t>
            </w:r>
            <w:r>
              <w:rPr>
                <w:spacing w:val="-6"/>
              </w:rPr>
              <w:t> </w:t>
            </w:r>
            <w:r>
              <w:rPr/>
              <w:t>IN</w:t>
            </w:r>
            <w:r>
              <w:rPr>
                <w:spacing w:val="-6"/>
              </w:rPr>
              <w:t> </w:t>
            </w:r>
            <w:r>
              <w:rPr/>
              <w:t>THE</w:t>
            </w:r>
            <w:r>
              <w:rPr>
                <w:spacing w:val="-6"/>
              </w:rPr>
              <w:t> </w:t>
            </w:r>
            <w:r>
              <w:rPr/>
              <w:t>ASSESSMENT</w:t>
            </w:r>
            <w:r>
              <w:rPr>
                <w:spacing w:val="-6"/>
              </w:rPr>
              <w:t> </w:t>
            </w:r>
            <w:r>
              <w:rPr/>
              <w:t>OF</w:t>
            </w:r>
            <w:r>
              <w:rPr>
                <w:spacing w:val="-6"/>
              </w:rPr>
              <w:t> </w:t>
            </w:r>
            <w:r>
              <w:rPr/>
              <w:t>MALIGNANCIES</w:t>
            </w:r>
            <w:r>
              <w:rPr>
                <w:spacing w:val="-6"/>
              </w:rPr>
              <w:t> </w:t>
            </w:r>
            <w:r>
              <w:rPr/>
              <w:t>OF</w:t>
            </w:r>
            <w:r>
              <w:rPr>
                <w:spacing w:val="-6"/>
              </w:rPr>
              <w:t> </w:t>
            </w:r>
            <w:r>
              <w:rPr/>
              <w:t>FEMALE GENITAL ORGANS - A CASE REPORT</w:t>
            </w:r>
          </w:hyperlink>
        </w:p>
        <w:p>
          <w:pPr>
            <w:pStyle w:val="TOC3"/>
            <w:ind w:right="1141"/>
          </w:pPr>
          <w:hyperlink w:history="true" w:anchor="_TOC_250010">
            <w:r>
              <w:rPr/>
              <w:t>ЕКСПЛОРАТИВНА</w:t>
            </w:r>
            <w:r>
              <w:rPr>
                <w:spacing w:val="-7"/>
              </w:rPr>
              <w:t> </w:t>
            </w:r>
            <w:r>
              <w:rPr/>
              <w:t>ЛАПАРОСКОПИЈА</w:t>
            </w:r>
            <w:r>
              <w:rPr>
                <w:spacing w:val="-4"/>
              </w:rPr>
              <w:t> </w:t>
            </w:r>
            <w:r>
              <w:rPr/>
              <w:t>-</w:t>
            </w:r>
            <w:r>
              <w:rPr>
                <w:spacing w:val="-7"/>
              </w:rPr>
              <w:t> </w:t>
            </w:r>
            <w:r>
              <w:rPr/>
              <w:t>ВО</w:t>
            </w:r>
            <w:r>
              <w:rPr>
                <w:spacing w:val="-9"/>
              </w:rPr>
              <w:t> </w:t>
            </w:r>
            <w:r>
              <w:rPr/>
              <w:t>ПРОЦЕНКА</w:t>
            </w:r>
            <w:r>
              <w:rPr>
                <w:spacing w:val="-8"/>
              </w:rPr>
              <w:t> </w:t>
            </w:r>
            <w:r>
              <w:rPr/>
              <w:t>НА</w:t>
            </w:r>
            <w:r>
              <w:rPr>
                <w:spacing w:val="-7"/>
              </w:rPr>
              <w:t> </w:t>
            </w:r>
            <w:r>
              <w:rPr/>
              <w:t>МАЛИГНИТЕТИ НАГЕНИТАЛНИ ЖЕНСКИ ОРГАНИ – ПРИКАЗ НА СЛУЧАЈ</w:t>
            </w:r>
          </w:hyperlink>
        </w:p>
        <w:p>
          <w:pPr>
            <w:pStyle w:val="TOC4"/>
            <w:tabs>
              <w:tab w:pos="9594" w:val="left" w:leader="dot"/>
            </w:tabs>
            <w:spacing w:line="226" w:lineRule="exact"/>
          </w:pPr>
          <w:hyperlink w:history="true" w:anchor="_TOC_250009">
            <w:r>
              <w:rPr/>
              <w:t>Saso</w:t>
            </w:r>
            <w:r>
              <w:rPr>
                <w:spacing w:val="-7"/>
              </w:rPr>
              <w:t> </w:t>
            </w:r>
            <w:r>
              <w:rPr/>
              <w:t>Stojcevski</w:t>
            </w:r>
            <w:r>
              <w:rPr>
                <w:spacing w:val="-8"/>
              </w:rPr>
              <w:t> </w:t>
            </w:r>
            <w:r>
              <w:rPr/>
              <w:t>and</w:t>
            </w:r>
            <w:r>
              <w:rPr>
                <w:spacing w:val="-7"/>
              </w:rPr>
              <w:t> </w:t>
            </w:r>
            <w:r>
              <w:rPr/>
              <w:t>Violeta</w:t>
            </w:r>
            <w:r>
              <w:rPr>
                <w:spacing w:val="-7"/>
              </w:rPr>
              <w:t> </w:t>
            </w:r>
            <w:r>
              <w:rPr>
                <w:spacing w:val="-2"/>
              </w:rPr>
              <w:t>Nikolov</w:t>
            </w:r>
            <w:r>
              <w:rPr/>
              <w:tab/>
            </w:r>
            <w:r>
              <w:rPr>
                <w:spacing w:val="-5"/>
              </w:rPr>
              <w:t>28</w:t>
            </w:r>
          </w:hyperlink>
        </w:p>
        <w:p>
          <w:pPr>
            <w:pStyle w:val="TOC3"/>
            <w:spacing w:before="118"/>
            <w:ind w:right="1465"/>
          </w:pPr>
          <w:hyperlink w:history="true" w:anchor="_TOC_250008">
            <w:r>
              <w:rPr/>
              <w:t>MACROHEMATURIA IN SARS-COV-2 PREGNANT PATIENT МАКРОХЕМАТУРИЈА</w:t>
            </w:r>
            <w:r>
              <w:rPr>
                <w:spacing w:val="-9"/>
              </w:rPr>
              <w:t> </w:t>
            </w:r>
            <w:r>
              <w:rPr/>
              <w:t>КАЈ</w:t>
            </w:r>
            <w:r>
              <w:rPr>
                <w:spacing w:val="-10"/>
              </w:rPr>
              <w:t> </w:t>
            </w:r>
            <w:r>
              <w:rPr/>
              <w:t>SARS-COV-2</w:t>
            </w:r>
            <w:r>
              <w:rPr>
                <w:spacing w:val="-10"/>
              </w:rPr>
              <w:t> </w:t>
            </w:r>
            <w:r>
              <w:rPr/>
              <w:t>БРЕМЕНА</w:t>
            </w:r>
            <w:r>
              <w:rPr>
                <w:spacing w:val="-10"/>
              </w:rPr>
              <w:t> </w:t>
            </w:r>
            <w:r>
              <w:rPr/>
              <w:t>ПАЦИЕНТКА</w:t>
            </w:r>
          </w:hyperlink>
        </w:p>
        <w:p>
          <w:pPr>
            <w:pStyle w:val="TOC4"/>
            <w:spacing w:line="226" w:lineRule="exact"/>
          </w:pPr>
          <w:r>
            <w:rPr/>
            <w:t>Rina</w:t>
          </w:r>
          <w:r>
            <w:rPr>
              <w:spacing w:val="-9"/>
            </w:rPr>
            <w:t> </w:t>
          </w:r>
          <w:r>
            <w:rPr/>
            <w:t>Purrini,</w:t>
          </w:r>
          <w:r>
            <w:rPr>
              <w:spacing w:val="-9"/>
            </w:rPr>
            <w:t> </w:t>
          </w:r>
          <w:r>
            <w:rPr/>
            <w:t>Jadranka</w:t>
          </w:r>
          <w:r>
            <w:rPr>
              <w:spacing w:val="-9"/>
            </w:rPr>
            <w:t> </w:t>
          </w:r>
          <w:r>
            <w:rPr/>
            <w:t>Georgievska,</w:t>
          </w:r>
          <w:r>
            <w:rPr>
              <w:spacing w:val="-8"/>
            </w:rPr>
            <w:t> </w:t>
          </w:r>
          <w:r>
            <w:rPr/>
            <w:t>Maja</w:t>
          </w:r>
          <w:r>
            <w:rPr>
              <w:spacing w:val="-8"/>
            </w:rPr>
            <w:t> </w:t>
          </w:r>
          <w:r>
            <w:rPr/>
            <w:t>Pejkovska</w:t>
          </w:r>
          <w:r>
            <w:rPr>
              <w:spacing w:val="-9"/>
            </w:rPr>
            <w:t> </w:t>
          </w:r>
          <w:r>
            <w:rPr/>
            <w:t>Ilieva,</w:t>
          </w:r>
          <w:r>
            <w:rPr>
              <w:spacing w:val="-8"/>
            </w:rPr>
            <w:t> </w:t>
          </w:r>
          <w:r>
            <w:rPr/>
            <w:t>Vesna</w:t>
          </w:r>
          <w:r>
            <w:rPr>
              <w:spacing w:val="-6"/>
            </w:rPr>
            <w:t> </w:t>
          </w:r>
          <w:r>
            <w:rPr/>
            <w:t>Livrinova,</w:t>
          </w:r>
          <w:r>
            <w:rPr>
              <w:spacing w:val="-7"/>
            </w:rPr>
            <w:t> </w:t>
          </w:r>
          <w:r>
            <w:rPr/>
            <w:t>Albina</w:t>
          </w:r>
          <w:r>
            <w:rPr>
              <w:spacing w:val="-8"/>
            </w:rPr>
            <w:t> </w:t>
          </w:r>
          <w:r>
            <w:rPr>
              <w:spacing w:val="-2"/>
            </w:rPr>
            <w:t>Bejta</w:t>
          </w:r>
        </w:p>
        <w:p>
          <w:pPr>
            <w:pStyle w:val="TOC4"/>
            <w:tabs>
              <w:tab w:pos="9594" w:val="left" w:leader="dot"/>
            </w:tabs>
            <w:spacing w:after="20"/>
          </w:pPr>
          <w:r>
            <w:rPr/>
            <w:t>and</w:t>
          </w:r>
          <w:r>
            <w:rPr>
              <w:spacing w:val="-5"/>
            </w:rPr>
            <w:t> </w:t>
          </w:r>
          <w:r>
            <w:rPr/>
            <w:t>Romir</w:t>
          </w:r>
          <w:r>
            <w:rPr>
              <w:spacing w:val="-5"/>
            </w:rPr>
            <w:t> </w:t>
          </w:r>
          <w:r>
            <w:rPr>
              <w:spacing w:val="-2"/>
            </w:rPr>
            <w:t>Kadriu</w:t>
          </w:r>
          <w:r>
            <w:rPr/>
            <w:tab/>
          </w:r>
          <w:r>
            <w:rPr>
              <w:spacing w:val="-5"/>
            </w:rPr>
            <w:t>31</w:t>
          </w:r>
        </w:p>
        <w:p>
          <w:pPr>
            <w:pStyle w:val="TOC3"/>
            <w:tabs>
              <w:tab w:pos="5677" w:val="left" w:leader="none"/>
            </w:tabs>
            <w:spacing w:before="289"/>
            <w:ind w:right="3036"/>
          </w:pPr>
          <w:hyperlink w:history="true" w:anchor="_TOC_250007">
            <w:r>
              <w:rPr/>
              <w:t>COMPLETE</w:t>
            </w:r>
            <w:r>
              <w:rPr>
                <w:spacing w:val="-7"/>
              </w:rPr>
              <w:t> </w:t>
            </w:r>
            <w:r>
              <w:rPr/>
              <w:t>KAWASAKI</w:t>
            </w:r>
            <w:r>
              <w:rPr>
                <w:spacing w:val="-5"/>
              </w:rPr>
              <w:t> </w:t>
            </w:r>
            <w:r>
              <w:rPr/>
              <w:t>DISEASE</w:t>
            </w:r>
            <w:r>
              <w:rPr>
                <w:spacing w:val="-7"/>
              </w:rPr>
              <w:t> </w:t>
            </w:r>
            <w:r>
              <w:rPr/>
              <w:t>IN</w:t>
            </w:r>
            <w:r>
              <w:rPr>
                <w:spacing w:val="-6"/>
              </w:rPr>
              <w:t> </w:t>
            </w:r>
            <w:r>
              <w:rPr/>
              <w:t>A</w:t>
            </w:r>
            <w:r>
              <w:rPr>
                <w:spacing w:val="-6"/>
              </w:rPr>
              <w:t> </w:t>
            </w:r>
            <w:r>
              <w:rPr/>
              <w:t>CHILD</w:t>
            </w:r>
            <w:r>
              <w:rPr>
                <w:spacing w:val="-6"/>
              </w:rPr>
              <w:t> </w:t>
            </w:r>
            <w:r>
              <w:rPr/>
              <w:t>WITH</w:t>
            </w:r>
            <w:r>
              <w:rPr>
                <w:spacing w:val="-1"/>
              </w:rPr>
              <w:t> </w:t>
            </w:r>
            <w:r>
              <w:rPr/>
              <w:t>TRANSIENT </w:t>
            </w:r>
            <w:r>
              <w:rPr>
                <w:w w:val="95"/>
              </w:rPr>
              <w:t>HYPOGAMMAGLOBULINEMIA</w:t>
            </w:r>
            <w:r>
              <w:rPr>
                <w:spacing w:val="51"/>
              </w:rPr>
              <w:t> </w:t>
            </w:r>
            <w:r>
              <w:rPr>
                <w:w w:val="95"/>
              </w:rPr>
              <w:t>OF</w:t>
            </w:r>
            <w:r>
              <w:rPr>
                <w:spacing w:val="52"/>
              </w:rPr>
              <w:t> </w:t>
            </w:r>
            <w:r>
              <w:rPr>
                <w:w w:val="95"/>
              </w:rPr>
              <w:t>INFANCY</w:t>
            </w:r>
            <w:r>
              <w:rPr>
                <w:spacing w:val="60"/>
              </w:rPr>
              <w:t> </w:t>
            </w:r>
            <w:r>
              <w:rPr>
                <w:spacing w:val="-10"/>
                <w:w w:val="95"/>
              </w:rPr>
              <w:t>-</w:t>
            </w:r>
            <w:r>
              <w:rPr/>
              <w:tab/>
              <w:t>CASE</w:t>
            </w:r>
            <w:r>
              <w:rPr>
                <w:spacing w:val="-10"/>
              </w:rPr>
              <w:t> </w:t>
            </w:r>
            <w:r>
              <w:rPr>
                <w:spacing w:val="-2"/>
              </w:rPr>
              <w:t>REPORT</w:t>
            </w:r>
          </w:hyperlink>
        </w:p>
        <w:p>
          <w:pPr>
            <w:pStyle w:val="TOC3"/>
          </w:pPr>
          <w:hyperlink w:history="true" w:anchor="_TOC_250006">
            <w:r>
              <w:rPr/>
              <w:t>КОМПЛЕТНА</w:t>
            </w:r>
            <w:r>
              <w:rPr>
                <w:spacing w:val="26"/>
              </w:rPr>
              <w:t> </w:t>
            </w:r>
            <w:r>
              <w:rPr/>
              <w:t>ФОРМА</w:t>
            </w:r>
            <w:r>
              <w:rPr>
                <w:spacing w:val="24"/>
              </w:rPr>
              <w:t> </w:t>
            </w:r>
            <w:r>
              <w:rPr/>
              <w:t>НА</w:t>
            </w:r>
            <w:r>
              <w:rPr>
                <w:spacing w:val="26"/>
              </w:rPr>
              <w:t> </w:t>
            </w:r>
            <w:r>
              <w:rPr/>
              <w:t>БОЛЕСТА</w:t>
            </w:r>
            <w:r>
              <w:rPr>
                <w:spacing w:val="26"/>
              </w:rPr>
              <w:t> </w:t>
            </w:r>
            <w:r>
              <w:rPr/>
              <w:t>НА</w:t>
            </w:r>
            <w:r>
              <w:rPr>
                <w:spacing w:val="26"/>
              </w:rPr>
              <w:t> </w:t>
            </w:r>
            <w:r>
              <w:rPr/>
              <w:t>КАВАСАКИ</w:t>
            </w:r>
            <w:r>
              <w:rPr>
                <w:spacing w:val="27"/>
              </w:rPr>
              <w:t> </w:t>
            </w:r>
            <w:r>
              <w:rPr/>
              <w:t>КАЈ</w:t>
            </w:r>
            <w:r>
              <w:rPr>
                <w:spacing w:val="27"/>
              </w:rPr>
              <w:t> </w:t>
            </w:r>
            <w:r>
              <w:rPr/>
              <w:t>ДЕТЕ</w:t>
            </w:r>
            <w:r>
              <w:rPr>
                <w:spacing w:val="25"/>
              </w:rPr>
              <w:t> </w:t>
            </w:r>
            <w:r>
              <w:rPr/>
              <w:t>СО</w:t>
            </w:r>
            <w:r>
              <w:rPr>
                <w:spacing w:val="27"/>
              </w:rPr>
              <w:t> </w:t>
            </w:r>
            <w:r>
              <w:rPr/>
              <w:t>ТРАНЗИТОРНА ХИПОГАМАГЛОБУЛИНЕМИЈА НА РАНОТО ДЕТСТВО-ПРИКАЗ НА СЛУЧАЈ</w:t>
            </w:r>
          </w:hyperlink>
        </w:p>
        <w:p>
          <w:pPr>
            <w:pStyle w:val="TOC4"/>
            <w:tabs>
              <w:tab w:pos="9594" w:val="left" w:leader="dot"/>
            </w:tabs>
            <w:spacing w:line="224" w:lineRule="exact"/>
          </w:pPr>
          <w:hyperlink w:history="true" w:anchor="_TOC_250005">
            <w:r>
              <w:rPr/>
              <w:t>Lidija</w:t>
            </w:r>
            <w:r>
              <w:rPr>
                <w:spacing w:val="-8"/>
              </w:rPr>
              <w:t> </w:t>
            </w:r>
            <w:r>
              <w:rPr/>
              <w:t>Kareva,</w:t>
            </w:r>
            <w:r>
              <w:rPr>
                <w:spacing w:val="-7"/>
              </w:rPr>
              <w:t> </w:t>
            </w:r>
            <w:r>
              <w:rPr/>
              <w:t>Kristina</w:t>
            </w:r>
            <w:r>
              <w:rPr>
                <w:spacing w:val="-8"/>
              </w:rPr>
              <w:t> </w:t>
            </w:r>
            <w:r>
              <w:rPr/>
              <w:t>Mironska,</w:t>
            </w:r>
            <w:r>
              <w:rPr>
                <w:spacing w:val="-6"/>
              </w:rPr>
              <w:t> </w:t>
            </w:r>
            <w:r>
              <w:rPr/>
              <w:t>Katarina</w:t>
            </w:r>
            <w:r>
              <w:rPr>
                <w:spacing w:val="-5"/>
              </w:rPr>
              <w:t> </w:t>
            </w:r>
            <w:r>
              <w:rPr/>
              <w:t>Stavrik</w:t>
            </w:r>
            <w:r>
              <w:rPr>
                <w:spacing w:val="-7"/>
              </w:rPr>
              <w:t> </w:t>
            </w:r>
            <w:r>
              <w:rPr/>
              <w:t>and</w:t>
            </w:r>
            <w:r>
              <w:rPr>
                <w:spacing w:val="-7"/>
              </w:rPr>
              <w:t> </w:t>
            </w:r>
            <w:r>
              <w:rPr/>
              <w:t>Arjeta</w:t>
            </w:r>
            <w:r>
              <w:rPr>
                <w:spacing w:val="-8"/>
              </w:rPr>
              <w:t> </w:t>
            </w:r>
            <w:r>
              <w:rPr>
                <w:spacing w:val="-2"/>
              </w:rPr>
              <w:t>Hasani</w:t>
            </w:r>
            <w:r>
              <w:rPr/>
              <w:tab/>
            </w:r>
            <w:r>
              <w:rPr>
                <w:spacing w:val="-5"/>
              </w:rPr>
              <w:t>34</w:t>
            </w:r>
          </w:hyperlink>
        </w:p>
        <w:p>
          <w:pPr>
            <w:pStyle w:val="TOC3"/>
            <w:spacing w:before="121"/>
            <w:ind w:right="424"/>
          </w:pPr>
          <w:hyperlink w:history="true" w:anchor="_TOC_250004">
            <w:r>
              <w:rPr/>
              <w:t>UNEXPECTED FINDING OF LARYNGEALHEMANGIOMA – DIAGNOSIS AND MEDICAL </w:t>
            </w:r>
            <w:r>
              <w:rPr>
                <w:spacing w:val="-2"/>
              </w:rPr>
              <w:t>TREATMENT</w:t>
            </w:r>
          </w:hyperlink>
        </w:p>
        <w:p>
          <w:pPr>
            <w:pStyle w:val="TOC3"/>
            <w:spacing w:before="0"/>
          </w:pPr>
          <w:hyperlink w:history="true" w:anchor="_TOC_250003">
            <w:r>
              <w:rPr/>
              <w:t>НЕОЧЕКУВАН</w:t>
            </w:r>
            <w:r>
              <w:rPr>
                <w:spacing w:val="38"/>
              </w:rPr>
              <w:t> </w:t>
            </w:r>
            <w:r>
              <w:rPr/>
              <w:t>НАОД</w:t>
            </w:r>
            <w:r>
              <w:rPr>
                <w:spacing w:val="37"/>
              </w:rPr>
              <w:t> </w:t>
            </w:r>
            <w:r>
              <w:rPr/>
              <w:t>НА</w:t>
            </w:r>
            <w:r>
              <w:rPr>
                <w:spacing w:val="37"/>
              </w:rPr>
              <w:t> </w:t>
            </w:r>
            <w:r>
              <w:rPr/>
              <w:t>ЛАРИНГОХЕМАНГИОМ</w:t>
            </w:r>
            <w:r>
              <w:rPr>
                <w:spacing w:val="40"/>
              </w:rPr>
              <w:t> </w:t>
            </w:r>
            <w:r>
              <w:rPr/>
              <w:t>-</w:t>
            </w:r>
            <w:r>
              <w:rPr>
                <w:spacing w:val="38"/>
              </w:rPr>
              <w:t> </w:t>
            </w:r>
            <w:r>
              <w:rPr/>
              <w:t>ДИЈАГНОЗА</w:t>
            </w:r>
            <w:r>
              <w:rPr>
                <w:spacing w:val="37"/>
              </w:rPr>
              <w:t> </w:t>
            </w:r>
            <w:r>
              <w:rPr/>
              <w:t>И</w:t>
            </w:r>
            <w:r>
              <w:rPr>
                <w:spacing w:val="35"/>
              </w:rPr>
              <w:t> </w:t>
            </w:r>
            <w:r>
              <w:rPr/>
              <w:t>МЕДИЦИНСКИ </w:t>
            </w:r>
            <w:r>
              <w:rPr>
                <w:spacing w:val="-2"/>
              </w:rPr>
              <w:t>ТРЕТМАН</w:t>
            </w:r>
          </w:hyperlink>
        </w:p>
        <w:p>
          <w:pPr>
            <w:pStyle w:val="TOC4"/>
            <w:ind w:right="1141"/>
          </w:pPr>
          <w:r>
            <w:rPr/>
            <w:t>Hristina</w:t>
          </w:r>
          <w:r>
            <w:rPr>
              <w:spacing w:val="40"/>
            </w:rPr>
            <w:t> </w:t>
          </w:r>
          <w:r>
            <w:rPr/>
            <w:t>Mandzukovska,</w:t>
          </w:r>
          <w:r>
            <w:rPr>
              <w:spacing w:val="-3"/>
            </w:rPr>
            <w:t> </w:t>
          </w:r>
          <w:r>
            <w:rPr/>
            <w:t>Aspazija</w:t>
          </w:r>
          <w:r>
            <w:rPr>
              <w:spacing w:val="40"/>
            </w:rPr>
            <w:t> </w:t>
          </w:r>
          <w:r>
            <w:rPr/>
            <w:t>Sofijanova,</w:t>
          </w:r>
          <w:r>
            <w:rPr>
              <w:spacing w:val="-5"/>
            </w:rPr>
            <w:t> </w:t>
          </w:r>
          <w:r>
            <w:rPr/>
            <w:t>Silvana</w:t>
          </w:r>
          <w:r>
            <w:rPr>
              <w:spacing w:val="-5"/>
            </w:rPr>
            <w:t> </w:t>
          </w:r>
          <w:r>
            <w:rPr/>
            <w:t>Naunova-Timovska,</w:t>
          </w:r>
          <w:r>
            <w:rPr>
              <w:spacing w:val="-5"/>
            </w:rPr>
            <w:t> </w:t>
          </w:r>
          <w:r>
            <w:rPr/>
            <w:t>Nikola</w:t>
          </w:r>
          <w:r>
            <w:rPr>
              <w:spacing w:val="-5"/>
            </w:rPr>
            <w:t> </w:t>
          </w:r>
          <w:r>
            <w:rPr/>
            <w:t>Nikolovski, Goran Micevski, Tamara Voinovska, Mica Kimovska-Hristov, Spasija Neskova-Jankovic and</w:t>
          </w:r>
        </w:p>
        <w:p>
          <w:pPr>
            <w:pStyle w:val="TOC4"/>
            <w:tabs>
              <w:tab w:pos="9594" w:val="left" w:leader="dot"/>
            </w:tabs>
          </w:pPr>
          <w:r>
            <w:rPr/>
            <w:t>Olivera</w:t>
          </w:r>
          <w:r>
            <w:rPr>
              <w:spacing w:val="-10"/>
            </w:rPr>
            <w:t> </w:t>
          </w:r>
          <w:r>
            <w:rPr>
              <w:spacing w:val="-2"/>
            </w:rPr>
            <w:t>Jordanovska</w:t>
          </w:r>
          <w:r>
            <w:rPr/>
            <w:tab/>
          </w:r>
          <w:r>
            <w:rPr>
              <w:spacing w:val="-5"/>
            </w:rPr>
            <w:t>38</w:t>
          </w:r>
        </w:p>
        <w:p>
          <w:pPr>
            <w:pStyle w:val="TOC3"/>
            <w:spacing w:before="116"/>
          </w:pPr>
          <w:hyperlink w:history="true" w:anchor="_TOC_250002">
            <w:r>
              <w:rPr/>
              <w:t>BILATERAL</w:t>
            </w:r>
            <w:r>
              <w:rPr>
                <w:spacing w:val="-7"/>
              </w:rPr>
              <w:t> </w:t>
            </w:r>
            <w:r>
              <w:rPr/>
              <w:t>X-LINKED</w:t>
            </w:r>
            <w:r>
              <w:rPr>
                <w:spacing w:val="-6"/>
              </w:rPr>
              <w:t> </w:t>
            </w:r>
            <w:r>
              <w:rPr/>
              <w:t>JUVENILE</w:t>
            </w:r>
            <w:r>
              <w:rPr>
                <w:spacing w:val="-7"/>
              </w:rPr>
              <w:t> </w:t>
            </w:r>
            <w:r>
              <w:rPr/>
              <w:t>MACULAR</w:t>
            </w:r>
            <w:r>
              <w:rPr>
                <w:spacing w:val="-7"/>
              </w:rPr>
              <w:t> </w:t>
            </w:r>
            <w:r>
              <w:rPr/>
              <w:t>RETINOSCHISIS</w:t>
            </w:r>
            <w:r>
              <w:rPr>
                <w:spacing w:val="-5"/>
              </w:rPr>
              <w:t> </w:t>
            </w:r>
            <w:r>
              <w:rPr/>
              <w:t>-</w:t>
            </w:r>
            <w:r>
              <w:rPr>
                <w:spacing w:val="-6"/>
              </w:rPr>
              <w:t> </w:t>
            </w:r>
            <w:r>
              <w:rPr/>
              <w:t>OBSERVATION</w:t>
            </w:r>
            <w:r>
              <w:rPr>
                <w:spacing w:val="-7"/>
              </w:rPr>
              <w:t> </w:t>
            </w:r>
            <w:r>
              <w:rPr/>
              <w:t>AND </w:t>
            </w:r>
            <w:r>
              <w:rPr>
                <w:spacing w:val="-2"/>
              </w:rPr>
              <w:t>TREATMENT</w:t>
            </w:r>
          </w:hyperlink>
        </w:p>
        <w:p>
          <w:pPr>
            <w:pStyle w:val="TOC3"/>
            <w:spacing w:before="0"/>
            <w:ind w:right="1141"/>
          </w:pPr>
          <w:hyperlink w:history="true" w:anchor="_TOC_250001">
            <w:r>
              <w:rPr/>
              <w:t>БИЛАТЕРАЛНА</w:t>
            </w:r>
            <w:r>
              <w:rPr>
                <w:spacing w:val="-9"/>
              </w:rPr>
              <w:t> </w:t>
            </w:r>
            <w:r>
              <w:rPr/>
              <w:t>ЈУВЕНИЛНА</w:t>
            </w:r>
            <w:r>
              <w:rPr>
                <w:spacing w:val="-7"/>
              </w:rPr>
              <w:t> </w:t>
            </w:r>
            <w:r>
              <w:rPr/>
              <w:t>МАКУЛАРНА</w:t>
            </w:r>
            <w:r>
              <w:rPr>
                <w:spacing w:val="-8"/>
              </w:rPr>
              <w:t> </w:t>
            </w:r>
            <w:r>
              <w:rPr/>
              <w:t>РЕТИНОШИЗА:</w:t>
            </w:r>
            <w:r>
              <w:rPr>
                <w:spacing w:val="-8"/>
              </w:rPr>
              <w:t> </w:t>
            </w:r>
            <w:r>
              <w:rPr/>
              <w:t>ОБСЕРВАЦИЈА</w:t>
            </w:r>
            <w:r>
              <w:rPr>
                <w:spacing w:val="-9"/>
              </w:rPr>
              <w:t> </w:t>
            </w:r>
            <w:r>
              <w:rPr/>
              <w:t>И </w:t>
            </w:r>
            <w:r>
              <w:rPr>
                <w:spacing w:val="-2"/>
              </w:rPr>
              <w:t>ТРЕТМАН</w:t>
            </w:r>
          </w:hyperlink>
        </w:p>
        <w:p>
          <w:pPr>
            <w:pStyle w:val="TOC4"/>
            <w:tabs>
              <w:tab w:pos="9594" w:val="left" w:leader="dot"/>
            </w:tabs>
            <w:spacing w:line="226" w:lineRule="exact"/>
          </w:pPr>
          <w:hyperlink w:history="true" w:anchor="_TOC_250000">
            <w:r>
              <w:rPr/>
              <w:t>Natasha</w:t>
            </w:r>
            <w:r>
              <w:rPr>
                <w:spacing w:val="-9"/>
              </w:rPr>
              <w:t> </w:t>
            </w:r>
            <w:r>
              <w:rPr/>
              <w:t>Trpevska</w:t>
            </w:r>
            <w:r>
              <w:rPr>
                <w:spacing w:val="-6"/>
              </w:rPr>
              <w:t> </w:t>
            </w:r>
            <w:r>
              <w:rPr/>
              <w:t>Shekerinov,</w:t>
            </w:r>
            <w:r>
              <w:rPr>
                <w:spacing w:val="-7"/>
              </w:rPr>
              <w:t> </w:t>
            </w:r>
            <w:r>
              <w:rPr/>
              <w:t>Milena</w:t>
            </w:r>
            <w:r>
              <w:rPr>
                <w:spacing w:val="-9"/>
              </w:rPr>
              <w:t> </w:t>
            </w:r>
            <w:r>
              <w:rPr/>
              <w:t>Golubovic</w:t>
            </w:r>
            <w:r>
              <w:rPr>
                <w:spacing w:val="-8"/>
              </w:rPr>
              <w:t> </w:t>
            </w:r>
            <w:r>
              <w:rPr/>
              <w:t>and</w:t>
            </w:r>
            <w:r>
              <w:rPr>
                <w:spacing w:val="-8"/>
              </w:rPr>
              <w:t> </w:t>
            </w:r>
            <w:r>
              <w:rPr/>
              <w:t>Emilija</w:t>
            </w:r>
            <w:r>
              <w:rPr>
                <w:spacing w:val="-9"/>
              </w:rPr>
              <w:t> </w:t>
            </w:r>
            <w:r>
              <w:rPr/>
              <w:t>Gjosevska</w:t>
            </w:r>
            <w:r>
              <w:rPr>
                <w:spacing w:val="-8"/>
              </w:rPr>
              <w:t> </w:t>
            </w:r>
            <w:r>
              <w:rPr>
                <w:spacing w:val="-2"/>
              </w:rPr>
              <w:t>Dashtevska</w:t>
            </w:r>
            <w:r>
              <w:rPr/>
              <w:tab/>
            </w:r>
            <w:r>
              <w:rPr>
                <w:spacing w:val="-5"/>
              </w:rPr>
              <w:t>41</w:t>
            </w:r>
          </w:hyperlink>
        </w:p>
        <w:p>
          <w:pPr>
            <w:pStyle w:val="TOC3"/>
            <w:numPr>
              <w:ilvl w:val="0"/>
              <w:numId w:val="1"/>
            </w:numPr>
            <w:tabs>
              <w:tab w:pos="1210" w:val="left" w:leader="none"/>
            </w:tabs>
            <w:spacing w:line="240" w:lineRule="auto" w:before="119" w:after="0"/>
            <w:ind w:left="1210" w:right="0" w:hanging="322"/>
            <w:jc w:val="left"/>
          </w:pPr>
          <w:r>
            <w:rPr>
              <w:color w:val="000000"/>
              <w:shd w:fill="C0C0C0" w:color="auto" w:val="clear"/>
            </w:rPr>
            <w:t>Ин</w:t>
          </w:r>
          <w:r>
            <w:rPr>
              <w:color w:val="000000"/>
              <w:spacing w:val="-7"/>
              <w:shd w:fill="C0C0C0" w:color="auto" w:val="clear"/>
            </w:rPr>
            <w:t> </w:t>
          </w:r>
          <w:r>
            <w:rPr>
              <w:color w:val="000000"/>
              <w:shd w:fill="C0C0C0" w:color="auto" w:val="clear"/>
            </w:rPr>
            <w:t>мемориам/In</w:t>
          </w:r>
          <w:r>
            <w:rPr>
              <w:color w:val="000000"/>
              <w:spacing w:val="-5"/>
              <w:shd w:fill="C0C0C0" w:color="auto" w:val="clear"/>
            </w:rPr>
            <w:t> </w:t>
          </w:r>
          <w:r>
            <w:rPr>
              <w:color w:val="000000"/>
              <w:spacing w:val="-2"/>
              <w:shd w:fill="C0C0C0" w:color="auto" w:val="clear"/>
            </w:rPr>
            <w:t>memoriam</w:t>
          </w:r>
        </w:p>
        <w:p>
          <w:pPr>
            <w:pStyle w:val="TOC1"/>
          </w:pPr>
          <w:r>
            <w:rPr/>
            <w:t>ПРИМАРИУС</w:t>
          </w:r>
          <w:r>
            <w:rPr>
              <w:spacing w:val="45"/>
            </w:rPr>
            <w:t> </w:t>
          </w:r>
          <w:r>
            <w:rPr/>
            <w:t>Д-Р</w:t>
          </w:r>
          <w:r>
            <w:rPr>
              <w:spacing w:val="44"/>
            </w:rPr>
            <w:t> </w:t>
          </w:r>
          <w:r>
            <w:rPr/>
            <w:t>СТЕФЧЕ</w:t>
          </w:r>
          <w:r>
            <w:rPr>
              <w:spacing w:val="46"/>
            </w:rPr>
            <w:t> </w:t>
          </w:r>
          <w:r>
            <w:rPr>
              <w:spacing w:val="-2"/>
            </w:rPr>
            <w:t>БОЈАЏИЕВ</w:t>
          </w:r>
        </w:p>
        <w:p>
          <w:pPr>
            <w:pStyle w:val="TOC2"/>
            <w:tabs>
              <w:tab w:pos="9594" w:val="left" w:leader="dot"/>
            </w:tabs>
            <w:rPr>
              <w:sz w:val="20"/>
            </w:rPr>
          </w:pPr>
          <w:r>
            <w:rPr/>
            <w:t>Д-р</w:t>
          </w:r>
          <w:r>
            <w:rPr>
              <w:spacing w:val="-4"/>
            </w:rPr>
            <w:t> </w:t>
          </w:r>
          <w:r>
            <w:rPr/>
            <w:t>Христо</w:t>
          </w:r>
          <w:r>
            <w:rPr>
              <w:spacing w:val="-5"/>
            </w:rPr>
            <w:t> </w:t>
          </w:r>
          <w:r>
            <w:rPr>
              <w:spacing w:val="-2"/>
            </w:rPr>
            <w:t>Бојаџиев</w:t>
          </w:r>
          <w:r>
            <w:rPr/>
            <w:tab/>
          </w:r>
          <w:r>
            <w:rPr>
              <w:spacing w:val="-5"/>
              <w:position w:val="1"/>
              <w:sz w:val="20"/>
            </w:rPr>
            <w:t>48</w:t>
          </w:r>
        </w:p>
      </w:sdtContent>
    </w:sdt>
    <w:p>
      <w:pPr>
        <w:spacing w:after="0"/>
        <w:rPr>
          <w:sz w:val="20"/>
        </w:rPr>
        <w:sectPr>
          <w:type w:val="continuous"/>
          <w:pgSz w:w="11910" w:h="16840"/>
          <w:pgMar w:header="0" w:footer="0" w:top="1940" w:bottom="2550" w:left="900" w:right="840"/>
        </w:sectPr>
      </w:pPr>
    </w:p>
    <w:p>
      <w:pPr>
        <w:pStyle w:val="BodyText"/>
        <w:spacing w:before="4"/>
        <w:rPr>
          <w:sz w:val="17"/>
        </w:rPr>
      </w:pPr>
    </w:p>
    <w:p>
      <w:pPr>
        <w:spacing w:after="0"/>
        <w:rPr>
          <w:sz w:val="17"/>
        </w:rPr>
        <w:sectPr>
          <w:pgSz w:w="11910" w:h="16840"/>
          <w:pgMar w:header="0" w:footer="0" w:top="1920" w:bottom="280" w:left="900" w:right="840"/>
        </w:sectPr>
      </w:pPr>
    </w:p>
    <w:p>
      <w:pPr>
        <w:spacing w:before="215"/>
        <w:ind w:left="238" w:right="0" w:firstLine="0"/>
        <w:jc w:val="left"/>
        <w:rPr>
          <w:i/>
          <w:sz w:val="24"/>
        </w:rPr>
      </w:pPr>
      <w:r>
        <w:rPr>
          <w:i/>
          <w:sz w:val="24"/>
        </w:rPr>
        <w:t>Review</w:t>
      </w:r>
      <w:r>
        <w:rPr>
          <w:i/>
          <w:spacing w:val="-3"/>
          <w:sz w:val="24"/>
        </w:rPr>
        <w:t> </w:t>
      </w:r>
      <w:r>
        <w:rPr>
          <w:i/>
          <w:spacing w:val="-2"/>
          <w:sz w:val="24"/>
        </w:rPr>
        <w:t>article</w:t>
      </w:r>
    </w:p>
    <w:p>
      <w:pPr>
        <w:pStyle w:val="BodyText"/>
        <w:spacing w:before="8"/>
        <w:rPr>
          <w:i/>
        </w:rPr>
      </w:pPr>
    </w:p>
    <w:p>
      <w:pPr>
        <w:spacing w:line="468" w:lineRule="auto" w:before="0"/>
        <w:ind w:left="238" w:right="2197" w:firstLine="0"/>
        <w:jc w:val="left"/>
        <w:rPr>
          <w:b/>
          <w:sz w:val="22"/>
        </w:rPr>
      </w:pPr>
      <w:r>
        <w:rPr>
          <w:b/>
          <w:sz w:val="22"/>
        </w:rPr>
        <w:t>ЕТИЧКИ</w:t>
      </w:r>
      <w:r>
        <w:rPr>
          <w:b/>
          <w:spacing w:val="-5"/>
          <w:sz w:val="22"/>
        </w:rPr>
        <w:t> </w:t>
      </w:r>
      <w:r>
        <w:rPr>
          <w:b/>
          <w:sz w:val="22"/>
        </w:rPr>
        <w:t>АСПЕКТИ</w:t>
      </w:r>
      <w:r>
        <w:rPr>
          <w:b/>
          <w:spacing w:val="-5"/>
          <w:sz w:val="22"/>
        </w:rPr>
        <w:t> </w:t>
      </w:r>
      <w:r>
        <w:rPr>
          <w:b/>
          <w:sz w:val="22"/>
        </w:rPr>
        <w:t>НА</w:t>
      </w:r>
      <w:r>
        <w:rPr>
          <w:b/>
          <w:spacing w:val="-7"/>
          <w:sz w:val="22"/>
        </w:rPr>
        <w:t> </w:t>
      </w:r>
      <w:r>
        <w:rPr>
          <w:b/>
          <w:sz w:val="22"/>
        </w:rPr>
        <w:t>КЛИНИЧКИ</w:t>
      </w:r>
      <w:r>
        <w:rPr>
          <w:b/>
          <w:spacing w:val="-7"/>
          <w:sz w:val="22"/>
        </w:rPr>
        <w:t> </w:t>
      </w:r>
      <w:r>
        <w:rPr>
          <w:b/>
          <w:sz w:val="22"/>
        </w:rPr>
        <w:t>ИСТРАЖУВАЊА</w:t>
      </w:r>
      <w:r>
        <w:rPr>
          <w:b/>
          <w:spacing w:val="-8"/>
          <w:sz w:val="22"/>
        </w:rPr>
        <w:t> </w:t>
      </w:r>
      <w:r>
        <w:rPr>
          <w:b/>
          <w:sz w:val="22"/>
        </w:rPr>
        <w:t>НА</w:t>
      </w:r>
      <w:r>
        <w:rPr>
          <w:b/>
          <w:spacing w:val="-7"/>
          <w:sz w:val="22"/>
        </w:rPr>
        <w:t> </w:t>
      </w:r>
      <w:r>
        <w:rPr>
          <w:b/>
          <w:sz w:val="22"/>
        </w:rPr>
        <w:t>ДЕЦА ETHICAL ASPECTS IN CLINICAL TRIALS IN CHILDREN</w:t>
      </w:r>
    </w:p>
    <w:p>
      <w:pPr>
        <w:pStyle w:val="Heading1"/>
      </w:pPr>
      <w:r>
        <w:rPr/>
        <w:t>Ivana</w:t>
      </w:r>
      <w:r>
        <w:rPr>
          <w:spacing w:val="-5"/>
        </w:rPr>
        <w:t> </w:t>
      </w:r>
      <w:r>
        <w:rPr/>
        <w:t>Arnaudova</w:t>
      </w:r>
      <w:r>
        <w:rPr>
          <w:spacing w:val="-3"/>
        </w:rPr>
        <w:t> </w:t>
      </w:r>
      <w:r>
        <w:rPr/>
        <w:t>Danevska</w:t>
      </w:r>
      <w:r>
        <w:rPr>
          <w:vertAlign w:val="superscript"/>
        </w:rPr>
        <w:t>1</w:t>
      </w:r>
      <w:r>
        <w:rPr>
          <w:vertAlign w:val="baseline"/>
        </w:rPr>
        <w:t>,</w:t>
      </w:r>
      <w:r>
        <w:rPr>
          <w:spacing w:val="-4"/>
          <w:vertAlign w:val="baseline"/>
        </w:rPr>
        <w:t> </w:t>
      </w:r>
      <w:r>
        <w:rPr>
          <w:vertAlign w:val="baseline"/>
        </w:rPr>
        <w:t>Dimitar</w:t>
      </w:r>
      <w:r>
        <w:rPr>
          <w:spacing w:val="-6"/>
          <w:vertAlign w:val="baseline"/>
        </w:rPr>
        <w:t> </w:t>
      </w:r>
      <w:r>
        <w:rPr>
          <w:vertAlign w:val="baseline"/>
        </w:rPr>
        <w:t>Arnaudov</w:t>
      </w:r>
      <w:r>
        <w:rPr>
          <w:vertAlign w:val="superscript"/>
        </w:rPr>
        <w:t>2</w:t>
      </w:r>
      <w:r>
        <w:rPr>
          <w:vertAlign w:val="baseline"/>
        </w:rPr>
        <w:t>,</w:t>
      </w:r>
      <w:r>
        <w:rPr>
          <w:spacing w:val="-4"/>
          <w:vertAlign w:val="baseline"/>
        </w:rPr>
        <w:t> </w:t>
      </w:r>
      <w:r>
        <w:rPr>
          <w:vertAlign w:val="baseline"/>
        </w:rPr>
        <w:t>Tatjana</w:t>
      </w:r>
      <w:r>
        <w:rPr>
          <w:spacing w:val="-5"/>
          <w:vertAlign w:val="baseline"/>
        </w:rPr>
        <w:t> </w:t>
      </w:r>
      <w:r>
        <w:rPr>
          <w:vertAlign w:val="baseline"/>
        </w:rPr>
        <w:t>Jakjovska</w:t>
      </w:r>
      <w:r>
        <w:rPr>
          <w:vertAlign w:val="superscript"/>
        </w:rPr>
        <w:t>1</w:t>
      </w:r>
      <w:r>
        <w:rPr>
          <w:vertAlign w:val="baseline"/>
        </w:rPr>
        <w:t>,</w:t>
      </w:r>
      <w:r>
        <w:rPr>
          <w:spacing w:val="-4"/>
          <w:vertAlign w:val="baseline"/>
        </w:rPr>
        <w:t> </w:t>
      </w:r>
      <w:r>
        <w:rPr>
          <w:vertAlign w:val="baseline"/>
        </w:rPr>
        <w:t>Katerina</w:t>
      </w:r>
      <w:r>
        <w:rPr>
          <w:spacing w:val="-4"/>
          <w:vertAlign w:val="baseline"/>
        </w:rPr>
        <w:t> </w:t>
      </w:r>
      <w:r>
        <w:rPr>
          <w:vertAlign w:val="baseline"/>
        </w:rPr>
        <w:t>Boshkovska</w:t>
      </w:r>
      <w:r>
        <w:rPr>
          <w:vertAlign w:val="superscript"/>
        </w:rPr>
        <w:t>1</w:t>
      </w:r>
      <w:r>
        <w:rPr>
          <w:vertAlign w:val="baseline"/>
        </w:rPr>
        <w:t>,</w:t>
      </w:r>
      <w:r>
        <w:rPr>
          <w:spacing w:val="-4"/>
          <w:vertAlign w:val="baseline"/>
        </w:rPr>
        <w:t> </w:t>
      </w:r>
      <w:r>
        <w:rPr>
          <w:vertAlign w:val="baseline"/>
        </w:rPr>
        <w:t>Sonja Momchilovikj</w:t>
      </w:r>
      <w:r>
        <w:rPr>
          <w:vertAlign w:val="superscript"/>
        </w:rPr>
        <w:t>1</w:t>
      </w:r>
      <w:r>
        <w:rPr>
          <w:vertAlign w:val="baseline"/>
        </w:rPr>
        <w:t> and Elena Gjinovska Tasevska</w:t>
      </w:r>
      <w:r>
        <w:rPr>
          <w:vertAlign w:val="superscript"/>
        </w:rPr>
        <w:t>1</w:t>
      </w:r>
    </w:p>
    <w:p>
      <w:pPr>
        <w:spacing w:before="240"/>
        <w:ind w:left="238" w:right="928" w:firstLine="0"/>
        <w:jc w:val="left"/>
        <w:rPr>
          <w:sz w:val="22"/>
        </w:rPr>
      </w:pPr>
      <w:r>
        <w:rPr>
          <w:sz w:val="22"/>
          <w:vertAlign w:val="superscript"/>
        </w:rPr>
        <w:t>1</w:t>
      </w:r>
      <w:r>
        <w:rPr>
          <w:sz w:val="22"/>
          <w:vertAlign w:val="baseline"/>
        </w:rPr>
        <w:t>Institute</w:t>
      </w:r>
      <w:r>
        <w:rPr>
          <w:spacing w:val="-4"/>
          <w:sz w:val="22"/>
          <w:vertAlign w:val="baseline"/>
        </w:rPr>
        <w:t> </w:t>
      </w:r>
      <w:r>
        <w:rPr>
          <w:sz w:val="22"/>
          <w:vertAlign w:val="baseline"/>
        </w:rPr>
        <w:t>for</w:t>
      </w:r>
      <w:r>
        <w:rPr>
          <w:spacing w:val="-2"/>
          <w:sz w:val="22"/>
          <w:vertAlign w:val="baseline"/>
        </w:rPr>
        <w:t> </w:t>
      </w:r>
      <w:r>
        <w:rPr>
          <w:sz w:val="22"/>
          <w:vertAlign w:val="baseline"/>
        </w:rPr>
        <w:t>Respiratory</w:t>
      </w:r>
      <w:r>
        <w:rPr>
          <w:spacing w:val="-5"/>
          <w:sz w:val="22"/>
          <w:vertAlign w:val="baseline"/>
        </w:rPr>
        <w:t> </w:t>
      </w:r>
      <w:r>
        <w:rPr>
          <w:sz w:val="22"/>
          <w:vertAlign w:val="baseline"/>
        </w:rPr>
        <w:t>Diseases</w:t>
      </w:r>
      <w:r>
        <w:rPr>
          <w:spacing w:val="-4"/>
          <w:sz w:val="22"/>
          <w:vertAlign w:val="baseline"/>
        </w:rPr>
        <w:t> </w:t>
      </w:r>
      <w:r>
        <w:rPr>
          <w:sz w:val="22"/>
          <w:vertAlign w:val="baseline"/>
        </w:rPr>
        <w:t>in</w:t>
      </w:r>
      <w:r>
        <w:rPr>
          <w:spacing w:val="-2"/>
          <w:sz w:val="22"/>
          <w:vertAlign w:val="baseline"/>
        </w:rPr>
        <w:t> </w:t>
      </w:r>
      <w:r>
        <w:rPr>
          <w:sz w:val="22"/>
          <w:vertAlign w:val="baseline"/>
        </w:rPr>
        <w:t>Children</w:t>
      </w:r>
      <w:r>
        <w:rPr>
          <w:spacing w:val="-1"/>
          <w:sz w:val="22"/>
          <w:vertAlign w:val="baseline"/>
        </w:rPr>
        <w:t> </w:t>
      </w:r>
      <w:r>
        <w:rPr>
          <w:sz w:val="22"/>
          <w:vertAlign w:val="baseline"/>
        </w:rPr>
        <w:t>-</w:t>
      </w:r>
      <w:r>
        <w:rPr>
          <w:spacing w:val="-6"/>
          <w:sz w:val="22"/>
          <w:vertAlign w:val="baseline"/>
        </w:rPr>
        <w:t> </w:t>
      </w:r>
      <w:r>
        <w:rPr>
          <w:sz w:val="22"/>
          <w:vertAlign w:val="baseline"/>
        </w:rPr>
        <w:t>Skopje,</w:t>
      </w:r>
      <w:r>
        <w:rPr>
          <w:spacing w:val="-1"/>
          <w:sz w:val="22"/>
          <w:vertAlign w:val="baseline"/>
        </w:rPr>
        <w:t> </w:t>
      </w:r>
      <w:r>
        <w:rPr>
          <w:sz w:val="22"/>
          <w:vertAlign w:val="superscript"/>
        </w:rPr>
        <w:t>2</w:t>
      </w:r>
      <w:r>
        <w:rPr>
          <w:sz w:val="22"/>
          <w:vertAlign w:val="baseline"/>
        </w:rPr>
        <w:t>General</w:t>
      </w:r>
      <w:r>
        <w:rPr>
          <w:spacing w:val="-1"/>
          <w:sz w:val="22"/>
          <w:vertAlign w:val="baseline"/>
        </w:rPr>
        <w:t> </w:t>
      </w:r>
      <w:r>
        <w:rPr>
          <w:sz w:val="22"/>
          <w:vertAlign w:val="baseline"/>
        </w:rPr>
        <w:t>Hospital –</w:t>
      </w:r>
      <w:r>
        <w:rPr>
          <w:spacing w:val="-2"/>
          <w:sz w:val="22"/>
          <w:vertAlign w:val="baseline"/>
        </w:rPr>
        <w:t> </w:t>
      </w:r>
      <w:r>
        <w:rPr>
          <w:sz w:val="22"/>
          <w:vertAlign w:val="baseline"/>
        </w:rPr>
        <w:t>Ohrid,</w:t>
      </w:r>
      <w:r>
        <w:rPr>
          <w:spacing w:val="-2"/>
          <w:sz w:val="22"/>
          <w:vertAlign w:val="baseline"/>
        </w:rPr>
        <w:t> </w:t>
      </w:r>
      <w:r>
        <w:rPr>
          <w:sz w:val="22"/>
          <w:vertAlign w:val="baseline"/>
        </w:rPr>
        <w:t>Republic</w:t>
      </w:r>
      <w:r>
        <w:rPr>
          <w:spacing w:val="-4"/>
          <w:sz w:val="22"/>
          <w:vertAlign w:val="baseline"/>
        </w:rPr>
        <w:t> </w:t>
      </w:r>
      <w:r>
        <w:rPr>
          <w:sz w:val="22"/>
          <w:vertAlign w:val="baseline"/>
        </w:rPr>
        <w:t>of</w:t>
      </w:r>
      <w:r>
        <w:rPr>
          <w:spacing w:val="-2"/>
          <w:sz w:val="22"/>
          <w:vertAlign w:val="baseline"/>
        </w:rPr>
        <w:t> </w:t>
      </w:r>
      <w:r>
        <w:rPr>
          <w:sz w:val="22"/>
          <w:vertAlign w:val="baseline"/>
        </w:rPr>
        <w:t>North </w:t>
      </w:r>
      <w:r>
        <w:rPr>
          <w:spacing w:val="-2"/>
          <w:sz w:val="22"/>
          <w:vertAlign w:val="baseline"/>
        </w:rPr>
        <w:t>Macedonia</w:t>
      </w:r>
    </w:p>
    <w:p>
      <w:pPr>
        <w:pStyle w:val="BodyText"/>
        <w:spacing w:before="10"/>
        <w:rPr>
          <w:sz w:val="12"/>
        </w:rPr>
      </w:pPr>
    </w:p>
    <w:p>
      <w:pPr>
        <w:spacing w:after="0"/>
        <w:rPr>
          <w:sz w:val="12"/>
        </w:rPr>
        <w:sectPr>
          <w:headerReference w:type="default" r:id="rId452"/>
          <w:headerReference w:type="even" r:id="rId453"/>
          <w:pgSz w:w="11910" w:h="16840"/>
          <w:pgMar w:header="854" w:footer="0" w:top="1440" w:bottom="280" w:left="900" w:right="840"/>
        </w:sectPr>
      </w:pPr>
    </w:p>
    <w:p>
      <w:pPr>
        <w:pStyle w:val="Heading4"/>
        <w:spacing w:before="97"/>
      </w:pPr>
      <w:r>
        <w:rPr>
          <w:spacing w:val="-2"/>
        </w:rPr>
        <w:t>Abstract</w:t>
      </w:r>
    </w:p>
    <w:p>
      <w:pPr>
        <w:pStyle w:val="BodyText"/>
        <w:spacing w:before="6"/>
        <w:rPr>
          <w:b/>
          <w:sz w:val="20"/>
        </w:rPr>
      </w:pPr>
    </w:p>
    <w:p>
      <w:pPr>
        <w:pStyle w:val="BodyText"/>
        <w:ind w:left="238" w:right="43"/>
        <w:jc w:val="both"/>
      </w:pPr>
      <w:r>
        <w:rPr/>
        <w:t>Conducting</w:t>
      </w:r>
      <w:r>
        <w:rPr>
          <w:spacing w:val="-1"/>
        </w:rPr>
        <w:t> </w:t>
      </w:r>
      <w:r>
        <w:rPr/>
        <w:t>clinical</w:t>
      </w:r>
      <w:r>
        <w:rPr>
          <w:spacing w:val="-3"/>
        </w:rPr>
        <w:t> </w:t>
      </w:r>
      <w:r>
        <w:rPr/>
        <w:t>trials in children</w:t>
      </w:r>
      <w:r>
        <w:rPr>
          <w:spacing w:val="-1"/>
        </w:rPr>
        <w:t> </w:t>
      </w:r>
      <w:r>
        <w:rPr/>
        <w:t>has</w:t>
      </w:r>
      <w:r>
        <w:rPr>
          <w:spacing w:val="-2"/>
        </w:rPr>
        <w:t> </w:t>
      </w:r>
      <w:r>
        <w:rPr/>
        <w:t>particular</w:t>
      </w:r>
      <w:r>
        <w:rPr>
          <w:spacing w:val="-2"/>
        </w:rPr>
        <w:t> </w:t>
      </w:r>
      <w:r>
        <w:rPr/>
        <w:t>im- portance</w:t>
      </w:r>
      <w:r>
        <w:rPr>
          <w:spacing w:val="-2"/>
        </w:rPr>
        <w:t> </w:t>
      </w:r>
      <w:r>
        <w:rPr/>
        <w:t>as</w:t>
      </w:r>
      <w:r>
        <w:rPr>
          <w:spacing w:val="-2"/>
        </w:rPr>
        <w:t> </w:t>
      </w:r>
      <w:r>
        <w:rPr/>
        <w:t>they</w:t>
      </w:r>
      <w:r>
        <w:rPr>
          <w:spacing w:val="-7"/>
        </w:rPr>
        <w:t> </w:t>
      </w:r>
      <w:r>
        <w:rPr/>
        <w:t>strive</w:t>
      </w:r>
      <w:r>
        <w:rPr>
          <w:spacing w:val="-2"/>
        </w:rPr>
        <w:t> </w:t>
      </w:r>
      <w:r>
        <w:rPr/>
        <w:t>to</w:t>
      </w:r>
      <w:r>
        <w:rPr>
          <w:spacing w:val="-2"/>
        </w:rPr>
        <w:t> </w:t>
      </w:r>
      <w:r>
        <w:rPr/>
        <w:t>provide</w:t>
      </w:r>
      <w:r>
        <w:rPr>
          <w:spacing w:val="-2"/>
        </w:rPr>
        <w:t> </w:t>
      </w:r>
      <w:r>
        <w:rPr/>
        <w:t>optimal</w:t>
      </w:r>
      <w:r>
        <w:rPr>
          <w:spacing w:val="-1"/>
        </w:rPr>
        <w:t> </w:t>
      </w:r>
      <w:r>
        <w:rPr/>
        <w:t>care</w:t>
      </w:r>
      <w:r>
        <w:rPr>
          <w:spacing w:val="-2"/>
        </w:rPr>
        <w:t> </w:t>
      </w:r>
      <w:r>
        <w:rPr/>
        <w:t>and</w:t>
      </w:r>
      <w:r>
        <w:rPr>
          <w:spacing w:val="-2"/>
        </w:rPr>
        <w:t> </w:t>
      </w:r>
      <w:r>
        <w:rPr/>
        <w:t>the- rapy</w:t>
      </w:r>
      <w:r>
        <w:rPr>
          <w:spacing w:val="-6"/>
        </w:rPr>
        <w:t> </w:t>
      </w:r>
      <w:r>
        <w:rPr/>
        <w:t>for</w:t>
      </w:r>
      <w:r>
        <w:rPr>
          <w:spacing w:val="-2"/>
        </w:rPr>
        <w:t> </w:t>
      </w:r>
      <w:r>
        <w:rPr/>
        <w:t>this</w:t>
      </w:r>
      <w:r>
        <w:rPr>
          <w:spacing w:val="-2"/>
        </w:rPr>
        <w:t> </w:t>
      </w:r>
      <w:r>
        <w:rPr/>
        <w:t>specific</w:t>
      </w:r>
      <w:r>
        <w:rPr>
          <w:spacing w:val="-1"/>
        </w:rPr>
        <w:t> </w:t>
      </w:r>
      <w:r>
        <w:rPr/>
        <w:t>group</w:t>
      </w:r>
      <w:r>
        <w:rPr>
          <w:spacing w:val="-1"/>
        </w:rPr>
        <w:t> </w:t>
      </w:r>
      <w:r>
        <w:rPr/>
        <w:t>of</w:t>
      </w:r>
      <w:r>
        <w:rPr>
          <w:spacing w:val="-2"/>
        </w:rPr>
        <w:t> </w:t>
      </w:r>
      <w:r>
        <w:rPr/>
        <w:t>patients,</w:t>
      </w:r>
      <w:r>
        <w:rPr>
          <w:spacing w:val="-2"/>
        </w:rPr>
        <w:t> </w:t>
      </w:r>
      <w:r>
        <w:rPr/>
        <w:t>but</w:t>
      </w:r>
      <w:r>
        <w:rPr>
          <w:spacing w:val="-2"/>
        </w:rPr>
        <w:t> </w:t>
      </w:r>
      <w:r>
        <w:rPr/>
        <w:t>their</w:t>
      </w:r>
      <w:r>
        <w:rPr>
          <w:spacing w:val="-2"/>
        </w:rPr>
        <w:t> </w:t>
      </w:r>
      <w:r>
        <w:rPr/>
        <w:t>imple- mentation</w:t>
      </w:r>
      <w:r>
        <w:rPr>
          <w:spacing w:val="-1"/>
        </w:rPr>
        <w:t> </w:t>
      </w:r>
      <w:r>
        <w:rPr/>
        <w:t>is</w:t>
      </w:r>
      <w:r>
        <w:rPr>
          <w:spacing w:val="-2"/>
        </w:rPr>
        <w:t> </w:t>
      </w:r>
      <w:r>
        <w:rPr/>
        <w:t>still</w:t>
      </w:r>
      <w:r>
        <w:rPr>
          <w:spacing w:val="-2"/>
        </w:rPr>
        <w:t> </w:t>
      </w:r>
      <w:r>
        <w:rPr/>
        <w:t>complex.</w:t>
      </w:r>
      <w:r>
        <w:rPr>
          <w:spacing w:val="-1"/>
        </w:rPr>
        <w:t> </w:t>
      </w:r>
      <w:r>
        <w:rPr/>
        <w:t>This</w:t>
      </w:r>
      <w:r>
        <w:rPr>
          <w:spacing w:val="-2"/>
        </w:rPr>
        <w:t> </w:t>
      </w:r>
      <w:r>
        <w:rPr/>
        <w:t>is</w:t>
      </w:r>
      <w:r>
        <w:rPr>
          <w:spacing w:val="-2"/>
        </w:rPr>
        <w:t> </w:t>
      </w:r>
      <w:r>
        <w:rPr/>
        <w:t>often</w:t>
      </w:r>
      <w:r>
        <w:rPr>
          <w:spacing w:val="-1"/>
        </w:rPr>
        <w:t> </w:t>
      </w:r>
      <w:r>
        <w:rPr/>
        <w:t>due</w:t>
      </w:r>
      <w:r>
        <w:rPr>
          <w:spacing w:val="-1"/>
        </w:rPr>
        <w:t> </w:t>
      </w:r>
      <w:r>
        <w:rPr/>
        <w:t>to</w:t>
      </w:r>
      <w:r>
        <w:rPr>
          <w:spacing w:val="-1"/>
        </w:rPr>
        <w:t> </w:t>
      </w:r>
      <w:r>
        <w:rPr/>
        <w:t>the</w:t>
      </w:r>
      <w:r>
        <w:rPr>
          <w:spacing w:val="-1"/>
        </w:rPr>
        <w:t> </w:t>
      </w:r>
      <w:r>
        <w:rPr/>
        <w:t>lack </w:t>
      </w:r>
      <w:r>
        <w:rPr>
          <w:spacing w:val="-4"/>
        </w:rPr>
        <w:t>of agreed-upon research objectives, unresolved questions </w:t>
      </w:r>
      <w:r>
        <w:rPr/>
        <w:t>about</w:t>
      </w:r>
      <w:r>
        <w:rPr>
          <w:spacing w:val="-10"/>
        </w:rPr>
        <w:t> </w:t>
      </w:r>
      <w:r>
        <w:rPr/>
        <w:t>informed</w:t>
      </w:r>
      <w:r>
        <w:rPr>
          <w:spacing w:val="-11"/>
        </w:rPr>
        <w:t> </w:t>
      </w:r>
      <w:r>
        <w:rPr/>
        <w:t>consent,</w:t>
      </w:r>
      <w:r>
        <w:rPr>
          <w:spacing w:val="-11"/>
        </w:rPr>
        <w:t> </w:t>
      </w:r>
      <w:r>
        <w:rPr/>
        <w:t>and</w:t>
      </w:r>
      <w:r>
        <w:rPr>
          <w:spacing w:val="-9"/>
        </w:rPr>
        <w:t> </w:t>
      </w:r>
      <w:r>
        <w:rPr/>
        <w:t>the</w:t>
      </w:r>
      <w:r>
        <w:rPr>
          <w:spacing w:val="-11"/>
        </w:rPr>
        <w:t> </w:t>
      </w:r>
      <w:r>
        <w:rPr/>
        <w:t>general</w:t>
      </w:r>
      <w:r>
        <w:rPr>
          <w:spacing w:val="-12"/>
        </w:rPr>
        <w:t> </w:t>
      </w:r>
      <w:r>
        <w:rPr/>
        <w:t>perception</w:t>
      </w:r>
      <w:r>
        <w:rPr>
          <w:spacing w:val="-9"/>
        </w:rPr>
        <w:t> </w:t>
      </w:r>
      <w:r>
        <w:rPr/>
        <w:t>that children are a vulnerable group of subjects. For provi- ding the best clinical care for pediatric subjects, it is </w:t>
      </w:r>
      <w:r>
        <w:rPr>
          <w:spacing w:val="-2"/>
        </w:rPr>
        <w:t>important</w:t>
      </w:r>
      <w:r>
        <w:rPr>
          <w:spacing w:val="-12"/>
        </w:rPr>
        <w:t> </w:t>
      </w:r>
      <w:r>
        <w:rPr>
          <w:spacing w:val="-2"/>
        </w:rPr>
        <w:t>to</w:t>
      </w:r>
      <w:r>
        <w:rPr>
          <w:spacing w:val="-11"/>
        </w:rPr>
        <w:t> </w:t>
      </w:r>
      <w:r>
        <w:rPr>
          <w:spacing w:val="-2"/>
        </w:rPr>
        <w:t>conduct</w:t>
      </w:r>
      <w:r>
        <w:rPr>
          <w:spacing w:val="-11"/>
        </w:rPr>
        <w:t> </w:t>
      </w:r>
      <w:r>
        <w:rPr>
          <w:spacing w:val="-2"/>
        </w:rPr>
        <w:t>careful,</w:t>
      </w:r>
      <w:r>
        <w:rPr>
          <w:spacing w:val="-11"/>
        </w:rPr>
        <w:t> </w:t>
      </w:r>
      <w:r>
        <w:rPr>
          <w:spacing w:val="-2"/>
        </w:rPr>
        <w:t>effective</w:t>
      </w:r>
      <w:r>
        <w:rPr>
          <w:spacing w:val="-11"/>
        </w:rPr>
        <w:t> </w:t>
      </w:r>
      <w:r>
        <w:rPr>
          <w:spacing w:val="-2"/>
        </w:rPr>
        <w:t>research</w:t>
      </w:r>
      <w:r>
        <w:rPr>
          <w:spacing w:val="-11"/>
        </w:rPr>
        <w:t> </w:t>
      </w:r>
      <w:r>
        <w:rPr>
          <w:spacing w:val="-2"/>
        </w:rPr>
        <w:t>that</w:t>
      </w:r>
      <w:r>
        <w:rPr>
          <w:spacing w:val="-11"/>
        </w:rPr>
        <w:t> </w:t>
      </w:r>
      <w:r>
        <w:rPr>
          <w:spacing w:val="-2"/>
        </w:rPr>
        <w:t>has</w:t>
      </w:r>
      <w:r>
        <w:rPr>
          <w:spacing w:val="-11"/>
        </w:rPr>
        <w:t> </w:t>
      </w:r>
      <w:r>
        <w:rPr>
          <w:spacing w:val="-2"/>
        </w:rPr>
        <w:t>a </w:t>
      </w:r>
      <w:r>
        <w:rPr/>
        <w:t>scientific basis to answer important clinical questions. The main challenge of pediatric research is the risk</w:t>
      </w:r>
      <w:r>
        <w:rPr>
          <w:spacing w:val="40"/>
        </w:rPr>
        <w:t> </w:t>
      </w:r>
      <w:r>
        <w:rPr/>
        <w:t>and therefore the question arises whether the purpose of the research justifies the risks associated with the study? The four ethical principles should serve as a framework in the process of conducting clinical trials in children: benefacere, justice, respect for personality and confidentiality. One principle is no more or less important than the others, so all four must be taken</w:t>
      </w:r>
      <w:r>
        <w:rPr>
          <w:spacing w:val="40"/>
        </w:rPr>
        <w:t> </w:t>
      </w:r>
      <w:r>
        <w:rPr/>
        <w:t>into account when conducting a research. The ethical principle of "respect for personality" is the basis for</w:t>
      </w:r>
      <w:r>
        <w:rPr>
          <w:spacing w:val="40"/>
        </w:rPr>
        <w:t> </w:t>
      </w:r>
      <w:r>
        <w:rPr/>
        <w:t>the process of informed consent. It is a legal document by which the patient voluntarily agrees to participate</w:t>
      </w:r>
      <w:r>
        <w:rPr>
          <w:spacing w:val="80"/>
        </w:rPr>
        <w:t> </w:t>
      </w:r>
      <w:r>
        <w:rPr/>
        <w:t>in a research. The informed consent must be signed by child's legal guardian(s) and this step cannot be dele- </w:t>
      </w:r>
      <w:r>
        <w:rPr>
          <w:spacing w:val="-2"/>
        </w:rPr>
        <w:t>gated</w:t>
      </w:r>
      <w:r>
        <w:rPr>
          <w:spacing w:val="-12"/>
        </w:rPr>
        <w:t> </w:t>
      </w:r>
      <w:r>
        <w:rPr>
          <w:spacing w:val="-2"/>
        </w:rPr>
        <w:t>to</w:t>
      </w:r>
      <w:r>
        <w:rPr>
          <w:spacing w:val="-11"/>
        </w:rPr>
        <w:t> </w:t>
      </w:r>
      <w:r>
        <w:rPr>
          <w:spacing w:val="-2"/>
        </w:rPr>
        <w:t>other</w:t>
      </w:r>
      <w:r>
        <w:rPr>
          <w:spacing w:val="-11"/>
        </w:rPr>
        <w:t> </w:t>
      </w:r>
      <w:r>
        <w:rPr>
          <w:spacing w:val="-2"/>
        </w:rPr>
        <w:t>family</w:t>
      </w:r>
      <w:r>
        <w:rPr>
          <w:spacing w:val="-11"/>
        </w:rPr>
        <w:t> </w:t>
      </w:r>
      <w:r>
        <w:rPr>
          <w:spacing w:val="-2"/>
        </w:rPr>
        <w:t>members</w:t>
      </w:r>
      <w:r>
        <w:rPr>
          <w:spacing w:val="-11"/>
        </w:rPr>
        <w:t> </w:t>
      </w:r>
      <w:r>
        <w:rPr>
          <w:spacing w:val="-2"/>
        </w:rPr>
        <w:t>or</w:t>
      </w:r>
      <w:r>
        <w:rPr>
          <w:spacing w:val="-11"/>
        </w:rPr>
        <w:t> </w:t>
      </w:r>
      <w:r>
        <w:rPr>
          <w:spacing w:val="-2"/>
        </w:rPr>
        <w:t>friends</w:t>
      </w:r>
      <w:r>
        <w:rPr>
          <w:spacing w:val="-11"/>
        </w:rPr>
        <w:t> </w:t>
      </w:r>
      <w:r>
        <w:rPr>
          <w:spacing w:val="-2"/>
        </w:rPr>
        <w:t>unless</w:t>
      </w:r>
      <w:r>
        <w:rPr>
          <w:spacing w:val="-11"/>
        </w:rPr>
        <w:t> </w:t>
      </w:r>
      <w:r>
        <w:rPr>
          <w:spacing w:val="-2"/>
        </w:rPr>
        <w:t>there</w:t>
      </w:r>
      <w:r>
        <w:rPr>
          <w:spacing w:val="-12"/>
        </w:rPr>
        <w:t> </w:t>
      </w:r>
      <w:r>
        <w:rPr>
          <w:spacing w:val="-2"/>
        </w:rPr>
        <w:t>is</w:t>
      </w:r>
      <w:r>
        <w:rPr>
          <w:spacing w:val="-11"/>
        </w:rPr>
        <w:t> </w:t>
      </w:r>
      <w:r>
        <w:rPr>
          <w:spacing w:val="-2"/>
        </w:rPr>
        <w:t>a </w:t>
      </w:r>
      <w:r>
        <w:rPr/>
        <w:t>legal</w:t>
      </w:r>
      <w:r>
        <w:rPr>
          <w:spacing w:val="-14"/>
        </w:rPr>
        <w:t> </w:t>
      </w:r>
      <w:r>
        <w:rPr/>
        <w:t>basis.</w:t>
      </w:r>
      <w:r>
        <w:rPr>
          <w:spacing w:val="-13"/>
        </w:rPr>
        <w:t> </w:t>
      </w:r>
      <w:r>
        <w:rPr/>
        <w:t>However,</w:t>
      </w:r>
      <w:r>
        <w:rPr>
          <w:spacing w:val="-12"/>
        </w:rPr>
        <w:t> </w:t>
      </w:r>
      <w:r>
        <w:rPr/>
        <w:t>with</w:t>
      </w:r>
      <w:r>
        <w:rPr>
          <w:spacing w:val="-13"/>
        </w:rPr>
        <w:t> </w:t>
      </w:r>
      <w:r>
        <w:rPr/>
        <w:t>proper</w:t>
      </w:r>
      <w:r>
        <w:rPr>
          <w:spacing w:val="-14"/>
        </w:rPr>
        <w:t> </w:t>
      </w:r>
      <w:r>
        <w:rPr/>
        <w:t>planning</w:t>
      </w:r>
      <w:r>
        <w:rPr>
          <w:spacing w:val="-12"/>
        </w:rPr>
        <w:t> </w:t>
      </w:r>
      <w:r>
        <w:rPr/>
        <w:t>and</w:t>
      </w:r>
      <w:r>
        <w:rPr>
          <w:spacing w:val="-12"/>
        </w:rPr>
        <w:t> </w:t>
      </w:r>
      <w:r>
        <w:rPr/>
        <w:t>monito- ring the study process, a research can be conducted in children even though they are considered as a vulne- rable population.</w:t>
      </w:r>
    </w:p>
    <w:p>
      <w:pPr>
        <w:pStyle w:val="BodyText"/>
        <w:spacing w:before="2"/>
      </w:pPr>
    </w:p>
    <w:p>
      <w:pPr>
        <w:pStyle w:val="BodyText"/>
        <w:ind w:left="238" w:right="51"/>
        <w:jc w:val="both"/>
      </w:pPr>
      <w:r>
        <w:rPr>
          <w:b/>
          <w:spacing w:val="-4"/>
        </w:rPr>
        <w:t>Keywords:</w:t>
      </w:r>
      <w:r>
        <w:rPr>
          <w:b/>
          <w:spacing w:val="-5"/>
        </w:rPr>
        <w:t> </w:t>
      </w:r>
      <w:r>
        <w:rPr>
          <w:spacing w:val="-4"/>
        </w:rPr>
        <w:t>clinical research, informed consent,</w:t>
      </w:r>
      <w:r>
        <w:rPr>
          <w:spacing w:val="-5"/>
        </w:rPr>
        <w:t> </w:t>
      </w:r>
      <w:r>
        <w:rPr>
          <w:spacing w:val="-4"/>
        </w:rPr>
        <w:t>children, </w:t>
      </w:r>
      <w:r>
        <w:rPr>
          <w:spacing w:val="-2"/>
        </w:rPr>
        <w:t>participation</w:t>
      </w:r>
    </w:p>
    <w:p>
      <w:pPr>
        <w:pStyle w:val="BodyText"/>
        <w:spacing w:before="6"/>
        <w:rPr>
          <w:sz w:val="18"/>
        </w:rPr>
      </w:pPr>
      <w:r>
        <w:rPr/>
        <w:pict>
          <v:shape style="position:absolute;margin-left:56.903999pt;margin-top:11.88401pt;width:225.9pt;height:.1pt;mso-position-horizontal-relative:page;mso-position-vertical-relative:paragraph;z-index:-15725568;mso-wrap-distance-left:0;mso-wrap-distance-right:0" id="docshape458" coordorigin="1138,238" coordsize="4518,0" path="m1138,238l5656,238e" filled="false" stroked="true" strokeweight=".4224pt" strokecolor="#000000">
            <v:path arrowok="t"/>
            <v:stroke dashstyle="solid"/>
            <w10:wrap type="topAndBottom"/>
          </v:shape>
        </w:pict>
      </w:r>
    </w:p>
    <w:p>
      <w:pPr>
        <w:pStyle w:val="BodyText"/>
        <w:spacing w:before="4"/>
      </w:pPr>
    </w:p>
    <w:p>
      <w:pPr>
        <w:pStyle w:val="Heading4"/>
      </w:pPr>
      <w:r>
        <w:rPr>
          <w:spacing w:val="-2"/>
        </w:rPr>
        <w:t>Апстракт</w:t>
      </w:r>
    </w:p>
    <w:p>
      <w:pPr>
        <w:pStyle w:val="BodyText"/>
        <w:spacing w:before="8"/>
        <w:rPr>
          <w:b/>
          <w:sz w:val="20"/>
        </w:rPr>
      </w:pPr>
    </w:p>
    <w:p>
      <w:pPr>
        <w:pStyle w:val="BodyText"/>
        <w:ind w:left="238"/>
        <w:jc w:val="both"/>
      </w:pPr>
      <w:r>
        <w:rPr>
          <w:spacing w:val="-6"/>
        </w:rPr>
        <w:t>Спроведувањето</w:t>
      </w:r>
      <w:r>
        <w:rPr/>
        <w:t> </w:t>
      </w:r>
      <w:r>
        <w:rPr>
          <w:spacing w:val="-6"/>
        </w:rPr>
        <w:t>на</w:t>
      </w:r>
      <w:r>
        <w:rPr>
          <w:spacing w:val="2"/>
        </w:rPr>
        <w:t> </w:t>
      </w:r>
      <w:r>
        <w:rPr>
          <w:spacing w:val="-6"/>
        </w:rPr>
        <w:t>клинички</w:t>
      </w:r>
      <w:r>
        <w:rPr>
          <w:spacing w:val="3"/>
        </w:rPr>
        <w:t> </w:t>
      </w:r>
      <w:r>
        <w:rPr>
          <w:spacing w:val="-6"/>
        </w:rPr>
        <w:t>истражувања</w:t>
      </w:r>
      <w:r>
        <w:rPr>
          <w:spacing w:val="2"/>
        </w:rPr>
        <w:t> </w:t>
      </w:r>
      <w:r>
        <w:rPr>
          <w:spacing w:val="-6"/>
        </w:rPr>
        <w:t>кај</w:t>
      </w:r>
      <w:r>
        <w:rPr>
          <w:spacing w:val="2"/>
        </w:rPr>
        <w:t> </w:t>
      </w:r>
      <w:r>
        <w:rPr>
          <w:spacing w:val="-6"/>
        </w:rPr>
        <w:t>деца-</w:t>
      </w:r>
    </w:p>
    <w:p>
      <w:pPr>
        <w:pStyle w:val="BodyText"/>
        <w:rPr>
          <w:sz w:val="20"/>
        </w:rPr>
      </w:pPr>
    </w:p>
    <w:p>
      <w:pPr>
        <w:pStyle w:val="BodyText"/>
        <w:spacing w:before="8"/>
        <w:rPr>
          <w:sz w:val="14"/>
        </w:rPr>
      </w:pPr>
      <w:r>
        <w:rPr/>
        <w:pict>
          <v:shape style="position:absolute;margin-left:56.903999pt;margin-top:9.670886pt;width:96.05pt;height:.1pt;mso-position-horizontal-relative:page;mso-position-vertical-relative:paragraph;z-index:-15725056;mso-wrap-distance-left:0;mso-wrap-distance-right:0" id="docshape459" coordorigin="1138,193" coordsize="1921,0" path="m1138,193l3059,193e" filled="false" stroked="true" strokeweight=".32964pt" strokecolor="#000000">
            <v:path arrowok="t"/>
            <v:stroke dashstyle="solid"/>
            <w10:wrap type="topAndBottom"/>
          </v:shape>
        </w:pict>
      </w:r>
    </w:p>
    <w:p>
      <w:pPr>
        <w:spacing w:before="0"/>
        <w:ind w:left="238" w:right="38" w:firstLine="0"/>
        <w:jc w:val="both"/>
        <w:rPr>
          <w:sz w:val="16"/>
        </w:rPr>
      </w:pPr>
      <w:r>
        <w:rPr>
          <w:i/>
          <w:sz w:val="16"/>
        </w:rPr>
        <w:t>Correspondence</w:t>
      </w:r>
      <w:r>
        <w:rPr>
          <w:i/>
          <w:spacing w:val="-10"/>
          <w:sz w:val="16"/>
        </w:rPr>
        <w:t> </w:t>
      </w:r>
      <w:r>
        <w:rPr>
          <w:i/>
          <w:sz w:val="16"/>
        </w:rPr>
        <w:t>to:</w:t>
      </w:r>
      <w:r>
        <w:rPr>
          <w:i/>
          <w:spacing w:val="14"/>
          <w:sz w:val="16"/>
        </w:rPr>
        <w:t> </w:t>
      </w:r>
      <w:r>
        <w:rPr>
          <w:sz w:val="16"/>
        </w:rPr>
        <w:t>Ivana</w:t>
      </w:r>
      <w:r>
        <w:rPr>
          <w:spacing w:val="-10"/>
          <w:sz w:val="16"/>
        </w:rPr>
        <w:t> </w:t>
      </w:r>
      <w:r>
        <w:rPr>
          <w:sz w:val="16"/>
        </w:rPr>
        <w:t>Arnaudova</w:t>
      </w:r>
      <w:r>
        <w:rPr>
          <w:spacing w:val="-10"/>
          <w:sz w:val="16"/>
        </w:rPr>
        <w:t> </w:t>
      </w:r>
      <w:r>
        <w:rPr>
          <w:sz w:val="16"/>
        </w:rPr>
        <w:t>Danevska,</w:t>
      </w:r>
      <w:r>
        <w:rPr>
          <w:spacing w:val="-10"/>
          <w:sz w:val="16"/>
        </w:rPr>
        <w:t> </w:t>
      </w:r>
      <w:r>
        <w:rPr>
          <w:sz w:val="16"/>
        </w:rPr>
        <w:t>Institute</w:t>
      </w:r>
      <w:r>
        <w:rPr>
          <w:spacing w:val="-10"/>
          <w:sz w:val="16"/>
        </w:rPr>
        <w:t> </w:t>
      </w:r>
      <w:r>
        <w:rPr>
          <w:sz w:val="16"/>
        </w:rPr>
        <w:t>for</w:t>
      </w:r>
      <w:r>
        <w:rPr>
          <w:spacing w:val="-10"/>
          <w:sz w:val="16"/>
        </w:rPr>
        <w:t> </w:t>
      </w:r>
      <w:r>
        <w:rPr>
          <w:sz w:val="16"/>
        </w:rPr>
        <w:t>respiratory</w:t>
      </w:r>
      <w:r>
        <w:rPr>
          <w:spacing w:val="40"/>
          <w:sz w:val="16"/>
        </w:rPr>
        <w:t> </w:t>
      </w:r>
      <w:r>
        <w:rPr>
          <w:sz w:val="16"/>
        </w:rPr>
        <w:t>diseases in children, Kozle bb, 1000 Skopje, R. N. Macedonia; Phone:</w:t>
      </w:r>
    </w:p>
    <w:p>
      <w:pPr>
        <w:spacing w:before="0"/>
        <w:ind w:left="238" w:right="0" w:firstLine="0"/>
        <w:jc w:val="both"/>
        <w:rPr>
          <w:sz w:val="16"/>
        </w:rPr>
      </w:pPr>
      <w:r>
        <w:rPr>
          <w:sz w:val="16"/>
        </w:rPr>
        <w:t>+389</w:t>
      </w:r>
      <w:r>
        <w:rPr>
          <w:spacing w:val="-4"/>
          <w:sz w:val="16"/>
        </w:rPr>
        <w:t> </w:t>
      </w:r>
      <w:r>
        <w:rPr>
          <w:sz w:val="16"/>
        </w:rPr>
        <w:t>71</w:t>
      </w:r>
      <w:r>
        <w:rPr>
          <w:spacing w:val="-3"/>
          <w:sz w:val="16"/>
        </w:rPr>
        <w:t> </w:t>
      </w:r>
      <w:r>
        <w:rPr>
          <w:sz w:val="16"/>
        </w:rPr>
        <w:t>25</w:t>
      </w:r>
      <w:r>
        <w:rPr>
          <w:spacing w:val="-4"/>
          <w:sz w:val="16"/>
        </w:rPr>
        <w:t> </w:t>
      </w:r>
      <w:r>
        <w:rPr>
          <w:sz w:val="16"/>
        </w:rPr>
        <w:t>26</w:t>
      </w:r>
      <w:r>
        <w:rPr>
          <w:spacing w:val="-3"/>
          <w:sz w:val="16"/>
        </w:rPr>
        <w:t> </w:t>
      </w:r>
      <w:r>
        <w:rPr>
          <w:sz w:val="16"/>
        </w:rPr>
        <w:t>82;</w:t>
      </w:r>
      <w:r>
        <w:rPr>
          <w:spacing w:val="-2"/>
          <w:sz w:val="16"/>
        </w:rPr>
        <w:t> </w:t>
      </w:r>
      <w:r>
        <w:rPr>
          <w:sz w:val="16"/>
        </w:rPr>
        <w:t>E-mail:</w:t>
      </w:r>
      <w:r>
        <w:rPr>
          <w:spacing w:val="-3"/>
          <w:sz w:val="16"/>
        </w:rPr>
        <w:t> </w:t>
      </w:r>
      <w:hyperlink r:id="rId454">
        <w:r>
          <w:rPr>
            <w:spacing w:val="-2"/>
            <w:sz w:val="16"/>
          </w:rPr>
          <w:t>aivana77@yahoo.com</w:t>
        </w:r>
      </w:hyperlink>
    </w:p>
    <w:p>
      <w:pPr>
        <w:pStyle w:val="BodyText"/>
        <w:spacing w:before="92"/>
        <w:ind w:left="238" w:right="287" w:firstLine="50"/>
        <w:jc w:val="both"/>
      </w:pPr>
      <w:r>
        <w:rPr/>
        <w:br w:type="column"/>
      </w:r>
      <w:r>
        <w:rPr>
          <w:spacing w:val="-4"/>
        </w:rPr>
        <w:t>та е</w:t>
      </w:r>
      <w:r>
        <w:rPr>
          <w:spacing w:val="-7"/>
        </w:rPr>
        <w:t> </w:t>
      </w:r>
      <w:r>
        <w:rPr>
          <w:spacing w:val="-4"/>
        </w:rPr>
        <w:t>особено</w:t>
      </w:r>
      <w:r>
        <w:rPr>
          <w:spacing w:val="-6"/>
        </w:rPr>
        <w:t> </w:t>
      </w:r>
      <w:r>
        <w:rPr>
          <w:spacing w:val="-4"/>
        </w:rPr>
        <w:t>важно</w:t>
      </w:r>
      <w:r>
        <w:rPr>
          <w:spacing w:val="-6"/>
        </w:rPr>
        <w:t> </w:t>
      </w:r>
      <w:r>
        <w:rPr>
          <w:spacing w:val="-4"/>
        </w:rPr>
        <w:t>бидејќи истите</w:t>
      </w:r>
      <w:r>
        <w:rPr>
          <w:spacing w:val="-7"/>
        </w:rPr>
        <w:t> </w:t>
      </w:r>
      <w:r>
        <w:rPr>
          <w:spacing w:val="-4"/>
        </w:rPr>
        <w:t>имаат</w:t>
      </w:r>
      <w:r>
        <w:rPr>
          <w:spacing w:val="-7"/>
        </w:rPr>
        <w:t> </w:t>
      </w:r>
      <w:r>
        <w:rPr>
          <w:spacing w:val="-4"/>
        </w:rPr>
        <w:t>за</w:t>
      </w:r>
      <w:r>
        <w:rPr>
          <w:spacing w:val="-7"/>
        </w:rPr>
        <w:t> </w:t>
      </w:r>
      <w:r>
        <w:rPr>
          <w:spacing w:val="-4"/>
        </w:rPr>
        <w:t>цел</w:t>
      </w:r>
      <w:r>
        <w:rPr>
          <w:spacing w:val="-6"/>
        </w:rPr>
        <w:t> </w:t>
      </w:r>
      <w:r>
        <w:rPr>
          <w:spacing w:val="-4"/>
        </w:rPr>
        <w:t>обез- </w:t>
      </w:r>
      <w:r>
        <w:rPr/>
        <w:t>бедување</w:t>
      </w:r>
      <w:r>
        <w:rPr>
          <w:spacing w:val="-10"/>
        </w:rPr>
        <w:t> </w:t>
      </w:r>
      <w:r>
        <w:rPr/>
        <w:t>на</w:t>
      </w:r>
      <w:r>
        <w:rPr>
          <w:spacing w:val="-13"/>
        </w:rPr>
        <w:t> </w:t>
      </w:r>
      <w:r>
        <w:rPr/>
        <w:t>оптимална</w:t>
      </w:r>
      <w:r>
        <w:rPr>
          <w:spacing w:val="-13"/>
        </w:rPr>
        <w:t> </w:t>
      </w:r>
      <w:r>
        <w:rPr/>
        <w:t>нега</w:t>
      </w:r>
      <w:r>
        <w:rPr>
          <w:spacing w:val="-13"/>
        </w:rPr>
        <w:t> </w:t>
      </w:r>
      <w:r>
        <w:rPr/>
        <w:t>и</w:t>
      </w:r>
      <w:r>
        <w:rPr>
          <w:spacing w:val="-13"/>
        </w:rPr>
        <w:t> </w:t>
      </w:r>
      <w:r>
        <w:rPr/>
        <w:t>терапија</w:t>
      </w:r>
      <w:r>
        <w:rPr>
          <w:spacing w:val="-13"/>
        </w:rPr>
        <w:t> </w:t>
      </w:r>
      <w:r>
        <w:rPr/>
        <w:t>кај</w:t>
      </w:r>
      <w:r>
        <w:rPr>
          <w:spacing w:val="-13"/>
        </w:rPr>
        <w:t> </w:t>
      </w:r>
      <w:r>
        <w:rPr/>
        <w:t>оваа</w:t>
      </w:r>
      <w:r>
        <w:rPr>
          <w:spacing w:val="-13"/>
        </w:rPr>
        <w:t> </w:t>
      </w:r>
      <w:r>
        <w:rPr/>
        <w:t>спе- цифична група на пациенти, но спроведувањето е сепак сложен процес. Тоа</w:t>
      </w:r>
      <w:r>
        <w:rPr>
          <w:spacing w:val="-2"/>
        </w:rPr>
        <w:t> </w:t>
      </w:r>
      <w:r>
        <w:rPr/>
        <w:t>често се должи на недос- татокот на договорени крајни цели на истражува- </w:t>
      </w:r>
      <w:r>
        <w:rPr>
          <w:spacing w:val="-2"/>
        </w:rPr>
        <w:t>њето,</w:t>
      </w:r>
      <w:r>
        <w:rPr>
          <w:spacing w:val="-12"/>
        </w:rPr>
        <w:t> </w:t>
      </w:r>
      <w:r>
        <w:rPr>
          <w:spacing w:val="-2"/>
        </w:rPr>
        <w:t>неразјаснетите</w:t>
      </w:r>
      <w:r>
        <w:rPr>
          <w:spacing w:val="-11"/>
        </w:rPr>
        <w:t> </w:t>
      </w:r>
      <w:r>
        <w:rPr>
          <w:spacing w:val="-2"/>
        </w:rPr>
        <w:t>прашања</w:t>
      </w:r>
      <w:r>
        <w:rPr>
          <w:spacing w:val="-11"/>
        </w:rPr>
        <w:t> </w:t>
      </w:r>
      <w:r>
        <w:rPr>
          <w:spacing w:val="-2"/>
        </w:rPr>
        <w:t>околу</w:t>
      </w:r>
      <w:r>
        <w:rPr>
          <w:spacing w:val="-11"/>
        </w:rPr>
        <w:t> </w:t>
      </w:r>
      <w:r>
        <w:rPr>
          <w:spacing w:val="-2"/>
        </w:rPr>
        <w:t>информираната </w:t>
      </w:r>
      <w:r>
        <w:rPr/>
        <w:t>согласност како и генералната перцепција дека де- цата се вулнерабилна група на субјекти. За обезбе- дување најдобра клиничка нега на педијатриските субјекти, важно е да се спроведе внимателно, ефи- касно истражување кое има научна основа за да се одговори на важни клинички прашања. Основниот </w:t>
      </w:r>
      <w:r>
        <w:rPr>
          <w:spacing w:val="-2"/>
        </w:rPr>
        <w:t>предизвик</w:t>
      </w:r>
      <w:r>
        <w:rPr>
          <w:spacing w:val="-12"/>
        </w:rPr>
        <w:t> </w:t>
      </w:r>
      <w:r>
        <w:rPr>
          <w:spacing w:val="-2"/>
        </w:rPr>
        <w:t>на</w:t>
      </w:r>
      <w:r>
        <w:rPr>
          <w:spacing w:val="-11"/>
        </w:rPr>
        <w:t> </w:t>
      </w:r>
      <w:r>
        <w:rPr>
          <w:spacing w:val="-2"/>
        </w:rPr>
        <w:t>педијатриските</w:t>
      </w:r>
      <w:r>
        <w:rPr>
          <w:spacing w:val="-11"/>
        </w:rPr>
        <w:t> </w:t>
      </w:r>
      <w:r>
        <w:rPr>
          <w:spacing w:val="-2"/>
        </w:rPr>
        <w:t>истражувања</w:t>
      </w:r>
      <w:r>
        <w:rPr>
          <w:spacing w:val="-11"/>
        </w:rPr>
        <w:t> </w:t>
      </w:r>
      <w:r>
        <w:rPr>
          <w:spacing w:val="-2"/>
        </w:rPr>
        <w:t>е</w:t>
      </w:r>
      <w:r>
        <w:rPr>
          <w:spacing w:val="-11"/>
        </w:rPr>
        <w:t> </w:t>
      </w:r>
      <w:r>
        <w:rPr>
          <w:spacing w:val="-2"/>
        </w:rPr>
        <w:t>ризикот </w:t>
      </w:r>
      <w:r>
        <w:rPr/>
        <w:t>и затоа се наметнува прашањето дали целта на ис- тражувањето ги оправдува ризиците поврзани со студијата?</w:t>
      </w:r>
      <w:r>
        <w:rPr>
          <w:spacing w:val="-14"/>
        </w:rPr>
        <w:t> </w:t>
      </w:r>
      <w:r>
        <w:rPr/>
        <w:t>За</w:t>
      </w:r>
      <w:r>
        <w:rPr>
          <w:spacing w:val="-13"/>
        </w:rPr>
        <w:t> </w:t>
      </w:r>
      <w:r>
        <w:rPr/>
        <w:t>вклучување</w:t>
      </w:r>
      <w:r>
        <w:rPr>
          <w:spacing w:val="-13"/>
        </w:rPr>
        <w:t> </w:t>
      </w:r>
      <w:r>
        <w:rPr/>
        <w:t>на</w:t>
      </w:r>
      <w:r>
        <w:rPr>
          <w:spacing w:val="-13"/>
        </w:rPr>
        <w:t> </w:t>
      </w:r>
      <w:r>
        <w:rPr/>
        <w:t>децата</w:t>
      </w:r>
      <w:r>
        <w:rPr>
          <w:spacing w:val="-13"/>
        </w:rPr>
        <w:t> </w:t>
      </w:r>
      <w:r>
        <w:rPr/>
        <w:t>во</w:t>
      </w:r>
      <w:r>
        <w:rPr>
          <w:spacing w:val="-13"/>
        </w:rPr>
        <w:t> </w:t>
      </w:r>
      <w:r>
        <w:rPr/>
        <w:t>клинички</w:t>
      </w:r>
      <w:r>
        <w:rPr>
          <w:spacing w:val="-13"/>
        </w:rPr>
        <w:t> </w:t>
      </w:r>
      <w:r>
        <w:rPr/>
        <w:t>ис- тражувања како рамка треба да служат четирите етички принципи: benefacere, правда, почитување на личноста и доверливост. Еден принцип не е по- веќе</w:t>
      </w:r>
      <w:r>
        <w:rPr>
          <w:spacing w:val="-7"/>
        </w:rPr>
        <w:t> </w:t>
      </w:r>
      <w:r>
        <w:rPr/>
        <w:t>или</w:t>
      </w:r>
      <w:r>
        <w:rPr>
          <w:spacing w:val="-13"/>
        </w:rPr>
        <w:t> </w:t>
      </w:r>
      <w:r>
        <w:rPr/>
        <w:t>помалку</w:t>
      </w:r>
      <w:r>
        <w:rPr>
          <w:spacing w:val="-14"/>
        </w:rPr>
        <w:t> </w:t>
      </w:r>
      <w:r>
        <w:rPr/>
        <w:t>важен</w:t>
      </w:r>
      <w:r>
        <w:rPr>
          <w:spacing w:val="-12"/>
        </w:rPr>
        <w:t> </w:t>
      </w:r>
      <w:r>
        <w:rPr/>
        <w:t>од</w:t>
      </w:r>
      <w:r>
        <w:rPr>
          <w:spacing w:val="-11"/>
        </w:rPr>
        <w:t> </w:t>
      </w:r>
      <w:r>
        <w:rPr/>
        <w:t>другите,</w:t>
      </w:r>
      <w:r>
        <w:rPr>
          <w:spacing w:val="-13"/>
        </w:rPr>
        <w:t> </w:t>
      </w:r>
      <w:r>
        <w:rPr/>
        <w:t>според</w:t>
      </w:r>
      <w:r>
        <w:rPr>
          <w:spacing w:val="-11"/>
        </w:rPr>
        <w:t> </w:t>
      </w:r>
      <w:r>
        <w:rPr/>
        <w:t>тоа</w:t>
      </w:r>
      <w:r>
        <w:rPr>
          <w:spacing w:val="-11"/>
        </w:rPr>
        <w:t> </w:t>
      </w:r>
      <w:r>
        <w:rPr/>
        <w:t>сите четири</w:t>
      </w:r>
      <w:r>
        <w:rPr>
          <w:spacing w:val="-13"/>
        </w:rPr>
        <w:t> </w:t>
      </w:r>
      <w:r>
        <w:rPr/>
        <w:t>мора</w:t>
      </w:r>
      <w:r>
        <w:rPr>
          <w:spacing w:val="-13"/>
        </w:rPr>
        <w:t> </w:t>
      </w:r>
      <w:r>
        <w:rPr/>
        <w:t>да</w:t>
      </w:r>
      <w:r>
        <w:rPr>
          <w:spacing w:val="-13"/>
        </w:rPr>
        <w:t> </w:t>
      </w:r>
      <w:r>
        <w:rPr/>
        <w:t>се</w:t>
      </w:r>
      <w:r>
        <w:rPr>
          <w:spacing w:val="-13"/>
        </w:rPr>
        <w:t> </w:t>
      </w:r>
      <w:r>
        <w:rPr/>
        <w:t>земат</w:t>
      </w:r>
      <w:r>
        <w:rPr>
          <w:spacing w:val="-13"/>
        </w:rPr>
        <w:t> </w:t>
      </w:r>
      <w:r>
        <w:rPr/>
        <w:t>во</w:t>
      </w:r>
      <w:r>
        <w:rPr>
          <w:spacing w:val="-13"/>
        </w:rPr>
        <w:t> </w:t>
      </w:r>
      <w:r>
        <w:rPr/>
        <w:t>предвид</w:t>
      </w:r>
      <w:r>
        <w:rPr>
          <w:spacing w:val="-13"/>
        </w:rPr>
        <w:t> </w:t>
      </w:r>
      <w:r>
        <w:rPr/>
        <w:t>при</w:t>
      </w:r>
      <w:r>
        <w:rPr>
          <w:spacing w:val="-13"/>
        </w:rPr>
        <w:t> </w:t>
      </w:r>
      <w:r>
        <w:rPr/>
        <w:t>спроведува- </w:t>
      </w:r>
      <w:r>
        <w:rPr>
          <w:spacing w:val="-2"/>
        </w:rPr>
        <w:t>ње</w:t>
      </w:r>
      <w:r>
        <w:rPr>
          <w:spacing w:val="-12"/>
        </w:rPr>
        <w:t> </w:t>
      </w:r>
      <w:r>
        <w:rPr>
          <w:spacing w:val="-2"/>
        </w:rPr>
        <w:t>на</w:t>
      </w:r>
      <w:r>
        <w:rPr>
          <w:spacing w:val="-11"/>
        </w:rPr>
        <w:t> </w:t>
      </w:r>
      <w:r>
        <w:rPr>
          <w:spacing w:val="-2"/>
        </w:rPr>
        <w:t>истражувањето.</w:t>
      </w:r>
      <w:r>
        <w:rPr>
          <w:spacing w:val="-11"/>
        </w:rPr>
        <w:t> </w:t>
      </w:r>
      <w:r>
        <w:rPr>
          <w:spacing w:val="-2"/>
        </w:rPr>
        <w:t>Етичкиот</w:t>
      </w:r>
      <w:r>
        <w:rPr>
          <w:spacing w:val="-11"/>
        </w:rPr>
        <w:t> </w:t>
      </w:r>
      <w:r>
        <w:rPr>
          <w:spacing w:val="-2"/>
        </w:rPr>
        <w:t>принцип</w:t>
      </w:r>
      <w:r>
        <w:rPr>
          <w:spacing w:val="-11"/>
        </w:rPr>
        <w:t> </w:t>
      </w:r>
      <w:r>
        <w:rPr>
          <w:spacing w:val="-2"/>
        </w:rPr>
        <w:t>,,почитува- </w:t>
      </w:r>
      <w:r>
        <w:rPr/>
        <w:t>ње на личноста" е основа за спроведување на про- цесот на информирана</w:t>
      </w:r>
      <w:r>
        <w:rPr>
          <w:spacing w:val="-1"/>
        </w:rPr>
        <w:t> </w:t>
      </w:r>
      <w:r>
        <w:rPr/>
        <w:t>согласност.</w:t>
      </w:r>
      <w:r>
        <w:rPr>
          <w:spacing w:val="-1"/>
        </w:rPr>
        <w:t> </w:t>
      </w:r>
      <w:r>
        <w:rPr/>
        <w:t>Информираната согласност е законски документ со кој пациентот доброволно се согласува да учествува во истражу- вачка студија. Информираната согласност мора да биде потпишана од законскиот старател(и) на де- тето и овој чекор не може да се делегира на други членови на семејството или пријатели, освен ако тоа нема законска основа. Но сепак со соодветно планирање и надзор над студијата, истражувањето може да се спроведе кај децата иако се сметаат за вулнерабилна популација.</w:t>
      </w:r>
    </w:p>
    <w:p>
      <w:pPr>
        <w:pStyle w:val="BodyText"/>
        <w:spacing w:before="2"/>
      </w:pPr>
    </w:p>
    <w:p>
      <w:pPr>
        <w:spacing w:before="0"/>
        <w:ind w:left="238" w:right="0" w:firstLine="0"/>
        <w:jc w:val="left"/>
        <w:rPr>
          <w:sz w:val="21"/>
        </w:rPr>
      </w:pPr>
      <w:r>
        <w:rPr>
          <w:b/>
          <w:sz w:val="21"/>
        </w:rPr>
        <w:t>Клучни</w:t>
      </w:r>
      <w:r>
        <w:rPr>
          <w:b/>
          <w:spacing w:val="-12"/>
          <w:sz w:val="21"/>
        </w:rPr>
        <w:t> </w:t>
      </w:r>
      <w:r>
        <w:rPr>
          <w:b/>
          <w:sz w:val="21"/>
        </w:rPr>
        <w:t>зборови:</w:t>
      </w:r>
      <w:r>
        <w:rPr>
          <w:b/>
          <w:spacing w:val="-12"/>
          <w:sz w:val="21"/>
        </w:rPr>
        <w:t> </w:t>
      </w:r>
      <w:r>
        <w:rPr>
          <w:sz w:val="21"/>
        </w:rPr>
        <w:t>клиничко</w:t>
      </w:r>
      <w:r>
        <w:rPr>
          <w:spacing w:val="-12"/>
          <w:sz w:val="21"/>
        </w:rPr>
        <w:t> </w:t>
      </w:r>
      <w:r>
        <w:rPr>
          <w:sz w:val="21"/>
        </w:rPr>
        <w:t>истражување, информирана согласност, деца, учество</w:t>
      </w:r>
    </w:p>
    <w:p>
      <w:pPr>
        <w:pStyle w:val="BodyText"/>
        <w:spacing w:before="6"/>
        <w:rPr>
          <w:sz w:val="18"/>
        </w:rPr>
      </w:pPr>
      <w:r>
        <w:rPr/>
        <w:pict>
          <v:shape style="position:absolute;margin-left:306.790009pt;margin-top:11.877126pt;width:225.9pt;height:.1pt;mso-position-horizontal-relative:page;mso-position-vertical-relative:paragraph;z-index:-15724544;mso-wrap-distance-left:0;mso-wrap-distance-right:0" id="docshape460" coordorigin="6136,238" coordsize="4518,0" path="m6136,238l10653,238e" filled="false" stroked="true" strokeweight=".4224pt" strokecolor="#000000">
            <v:path arrowok="t"/>
            <v:stroke dashstyle="solid"/>
            <w10:wrap type="topAndBottom"/>
          </v:shape>
        </w:pict>
      </w:r>
    </w:p>
    <w:p>
      <w:pPr>
        <w:pStyle w:val="BodyText"/>
        <w:spacing w:before="4"/>
      </w:pPr>
    </w:p>
    <w:p>
      <w:pPr>
        <w:pStyle w:val="Heading4"/>
      </w:pPr>
      <w:r>
        <w:rPr>
          <w:spacing w:val="-2"/>
        </w:rPr>
        <w:t>Introduction</w:t>
      </w:r>
    </w:p>
    <w:p>
      <w:pPr>
        <w:pStyle w:val="BodyText"/>
        <w:spacing w:before="6"/>
        <w:rPr>
          <w:b/>
          <w:sz w:val="20"/>
        </w:rPr>
      </w:pPr>
    </w:p>
    <w:p>
      <w:pPr>
        <w:pStyle w:val="BodyText"/>
        <w:ind w:left="238" w:right="292"/>
        <w:jc w:val="both"/>
      </w:pPr>
      <w:r>
        <w:rPr/>
        <w:t>Conducting clinical</w:t>
      </w:r>
      <w:r>
        <w:rPr>
          <w:spacing w:val="-1"/>
        </w:rPr>
        <w:t> </w:t>
      </w:r>
      <w:r>
        <w:rPr/>
        <w:t>trials in children is crucial</w:t>
      </w:r>
      <w:r>
        <w:rPr>
          <w:spacing w:val="-1"/>
        </w:rPr>
        <w:t> </w:t>
      </w:r>
      <w:r>
        <w:rPr/>
        <w:t>for pro- viding optimal care and therapy in this specific group of</w:t>
      </w:r>
      <w:r>
        <w:rPr>
          <w:spacing w:val="2"/>
        </w:rPr>
        <w:t> </w:t>
      </w:r>
      <w:r>
        <w:rPr/>
        <w:t>patients.</w:t>
      </w:r>
      <w:r>
        <w:rPr>
          <w:spacing w:val="3"/>
        </w:rPr>
        <w:t> </w:t>
      </w:r>
      <w:r>
        <w:rPr/>
        <w:t>Although</w:t>
      </w:r>
      <w:r>
        <w:rPr>
          <w:spacing w:val="3"/>
        </w:rPr>
        <w:t> </w:t>
      </w:r>
      <w:r>
        <w:rPr/>
        <w:t>the</w:t>
      </w:r>
      <w:r>
        <w:rPr>
          <w:spacing w:val="4"/>
        </w:rPr>
        <w:t> </w:t>
      </w:r>
      <w:r>
        <w:rPr/>
        <w:t>need</w:t>
      </w:r>
      <w:r>
        <w:rPr>
          <w:spacing w:val="5"/>
        </w:rPr>
        <w:t> </w:t>
      </w:r>
      <w:r>
        <w:rPr/>
        <w:t>for</w:t>
      </w:r>
      <w:r>
        <w:rPr>
          <w:spacing w:val="3"/>
        </w:rPr>
        <w:t> </w:t>
      </w:r>
      <w:r>
        <w:rPr/>
        <w:t>pediatric</w:t>
      </w:r>
      <w:r>
        <w:rPr>
          <w:spacing w:val="5"/>
        </w:rPr>
        <w:t> </w:t>
      </w:r>
      <w:r>
        <w:rPr/>
        <w:t>research</w:t>
      </w:r>
      <w:r>
        <w:rPr>
          <w:spacing w:val="4"/>
        </w:rPr>
        <w:t> </w:t>
      </w:r>
      <w:r>
        <w:rPr>
          <w:spacing w:val="-5"/>
        </w:rPr>
        <w:t>is</w:t>
      </w:r>
    </w:p>
    <w:p>
      <w:pPr>
        <w:spacing w:after="0"/>
        <w:jc w:val="both"/>
        <w:sectPr>
          <w:type w:val="continuous"/>
          <w:pgSz w:w="11910" w:h="16840"/>
          <w:pgMar w:header="859" w:footer="0" w:top="740" w:bottom="0" w:left="900" w:right="840"/>
          <w:cols w:num="2" w:equalWidth="0">
            <w:col w:w="4927" w:space="71"/>
            <w:col w:w="5172"/>
          </w:cols>
        </w:sectPr>
      </w:pPr>
    </w:p>
    <w:p>
      <w:pPr>
        <w:pStyle w:val="BodyText"/>
        <w:spacing w:before="5"/>
        <w:rPr>
          <w:sz w:val="15"/>
        </w:rPr>
      </w:pPr>
    </w:p>
    <w:p>
      <w:pPr>
        <w:spacing w:after="0"/>
        <w:rPr>
          <w:sz w:val="15"/>
        </w:rPr>
        <w:sectPr>
          <w:pgSz w:w="11910" w:h="16840"/>
          <w:pgMar w:header="859" w:footer="0" w:top="1280" w:bottom="280" w:left="900" w:right="840"/>
        </w:sectPr>
      </w:pPr>
    </w:p>
    <w:p>
      <w:pPr>
        <w:pStyle w:val="BodyText"/>
        <w:spacing w:before="92"/>
        <w:ind w:left="238" w:right="38"/>
        <w:jc w:val="both"/>
      </w:pPr>
      <w:r>
        <w:rPr/>
        <w:t>great, their implementation is still complex. This is a result of a number of factors including the lack of ag- reed-upon</w:t>
      </w:r>
      <w:r>
        <w:rPr>
          <w:spacing w:val="-6"/>
        </w:rPr>
        <w:t> </w:t>
      </w:r>
      <w:r>
        <w:rPr/>
        <w:t>research</w:t>
      </w:r>
      <w:r>
        <w:rPr>
          <w:spacing w:val="-6"/>
        </w:rPr>
        <w:t> </w:t>
      </w:r>
      <w:r>
        <w:rPr/>
        <w:t>objectives,</w:t>
      </w:r>
      <w:r>
        <w:rPr>
          <w:spacing w:val="-6"/>
        </w:rPr>
        <w:t> </w:t>
      </w:r>
      <w:r>
        <w:rPr/>
        <w:t>informed</w:t>
      </w:r>
      <w:r>
        <w:rPr>
          <w:spacing w:val="-6"/>
        </w:rPr>
        <w:t> </w:t>
      </w:r>
      <w:r>
        <w:rPr/>
        <w:t>consent</w:t>
      </w:r>
      <w:r>
        <w:rPr>
          <w:spacing w:val="-7"/>
        </w:rPr>
        <w:t> </w:t>
      </w:r>
      <w:r>
        <w:rPr/>
        <w:t>issues and the general perception that pediatric patients are a vulnerable</w:t>
      </w:r>
      <w:r>
        <w:rPr>
          <w:spacing w:val="-14"/>
        </w:rPr>
        <w:t> </w:t>
      </w:r>
      <w:r>
        <w:rPr/>
        <w:t>group</w:t>
      </w:r>
      <w:r>
        <w:rPr>
          <w:spacing w:val="-13"/>
        </w:rPr>
        <w:t> </w:t>
      </w:r>
      <w:r>
        <w:rPr/>
        <w:t>of</w:t>
      </w:r>
      <w:r>
        <w:rPr>
          <w:spacing w:val="-13"/>
        </w:rPr>
        <w:t> </w:t>
      </w:r>
      <w:r>
        <w:rPr/>
        <w:t>subjects.</w:t>
      </w:r>
      <w:r>
        <w:rPr>
          <w:spacing w:val="-13"/>
        </w:rPr>
        <w:t> </w:t>
      </w:r>
      <w:r>
        <w:rPr/>
        <w:t>This</w:t>
      </w:r>
      <w:r>
        <w:rPr>
          <w:spacing w:val="-13"/>
        </w:rPr>
        <w:t> </w:t>
      </w:r>
      <w:r>
        <w:rPr/>
        <w:t>vulnerability</w:t>
      </w:r>
      <w:r>
        <w:rPr>
          <w:spacing w:val="-13"/>
        </w:rPr>
        <w:t> </w:t>
      </w:r>
      <w:r>
        <w:rPr/>
        <w:t>is</w:t>
      </w:r>
      <w:r>
        <w:rPr>
          <w:spacing w:val="-13"/>
        </w:rPr>
        <w:t> </w:t>
      </w:r>
      <w:r>
        <w:rPr/>
        <w:t>based on</w:t>
      </w:r>
      <w:r>
        <w:rPr>
          <w:spacing w:val="-1"/>
        </w:rPr>
        <w:t> </w:t>
      </w:r>
      <w:r>
        <w:rPr/>
        <w:t>several</w:t>
      </w:r>
      <w:r>
        <w:rPr>
          <w:spacing w:val="-2"/>
        </w:rPr>
        <w:t> </w:t>
      </w:r>
      <w:r>
        <w:rPr/>
        <w:t>factors:</w:t>
      </w:r>
      <w:r>
        <w:rPr>
          <w:spacing w:val="-2"/>
        </w:rPr>
        <w:t> </w:t>
      </w:r>
      <w:r>
        <w:rPr/>
        <w:t>[1]</w:t>
      </w:r>
      <w:r>
        <w:rPr>
          <w:spacing w:val="-1"/>
        </w:rPr>
        <w:t> </w:t>
      </w:r>
      <w:r>
        <w:rPr/>
        <w:t>insufficient</w:t>
      </w:r>
      <w:r>
        <w:rPr>
          <w:spacing w:val="-2"/>
        </w:rPr>
        <w:t> </w:t>
      </w:r>
      <w:r>
        <w:rPr/>
        <w:t>decision-making</w:t>
      </w:r>
      <w:r>
        <w:rPr>
          <w:spacing w:val="-1"/>
        </w:rPr>
        <w:t> </w:t>
      </w:r>
      <w:r>
        <w:rPr/>
        <w:t>ca- pacity, [2] children's lives are under the protection of adults, [3] children's rights and interests are often un- derestimated by the society. Research is necessary</w:t>
      </w:r>
      <w:r>
        <w:rPr>
          <w:spacing w:val="-1"/>
        </w:rPr>
        <w:t> </w:t>
      </w:r>
      <w:r>
        <w:rPr/>
        <w:t>and should be aimed to improve well-being and treatment, prevention and diagnosis (as defined by the WHO) in subjects,</w:t>
      </w:r>
      <w:r>
        <w:rPr>
          <w:spacing w:val="-3"/>
        </w:rPr>
        <w:t> </w:t>
      </w:r>
      <w:r>
        <w:rPr/>
        <w:t>including</w:t>
      </w:r>
      <w:r>
        <w:rPr>
          <w:spacing w:val="-4"/>
        </w:rPr>
        <w:t> </w:t>
      </w:r>
      <w:r>
        <w:rPr/>
        <w:t>children</w:t>
      </w:r>
      <w:r>
        <w:rPr>
          <w:spacing w:val="-2"/>
        </w:rPr>
        <w:t> </w:t>
      </w:r>
      <w:r>
        <w:rPr/>
        <w:t>[1].</w:t>
      </w:r>
      <w:r>
        <w:rPr>
          <w:spacing w:val="-2"/>
        </w:rPr>
        <w:t> </w:t>
      </w:r>
      <w:r>
        <w:rPr/>
        <w:t>There</w:t>
      </w:r>
      <w:r>
        <w:rPr>
          <w:spacing w:val="-2"/>
        </w:rPr>
        <w:t> </w:t>
      </w:r>
      <w:r>
        <w:rPr/>
        <w:t>are</w:t>
      </w:r>
      <w:r>
        <w:rPr>
          <w:spacing w:val="-5"/>
        </w:rPr>
        <w:t> </w:t>
      </w:r>
      <w:r>
        <w:rPr/>
        <w:t>many</w:t>
      </w:r>
      <w:r>
        <w:rPr>
          <w:spacing w:val="-5"/>
        </w:rPr>
        <w:t> </w:t>
      </w:r>
      <w:r>
        <w:rPr/>
        <w:t>differ- rences</w:t>
      </w:r>
      <w:r>
        <w:rPr>
          <w:spacing w:val="-5"/>
        </w:rPr>
        <w:t> </w:t>
      </w:r>
      <w:r>
        <w:rPr/>
        <w:t>in</w:t>
      </w:r>
      <w:r>
        <w:rPr>
          <w:spacing w:val="-5"/>
        </w:rPr>
        <w:t> </w:t>
      </w:r>
      <w:r>
        <w:rPr/>
        <w:t>physiology,</w:t>
      </w:r>
      <w:r>
        <w:rPr>
          <w:spacing w:val="-5"/>
        </w:rPr>
        <w:t> </w:t>
      </w:r>
      <w:r>
        <w:rPr/>
        <w:t>pathology,</w:t>
      </w:r>
      <w:r>
        <w:rPr>
          <w:spacing w:val="-5"/>
        </w:rPr>
        <w:t> </w:t>
      </w:r>
      <w:r>
        <w:rPr/>
        <w:t>pharmacokinetics</w:t>
      </w:r>
      <w:r>
        <w:rPr>
          <w:spacing w:val="-5"/>
        </w:rPr>
        <w:t> </w:t>
      </w:r>
      <w:r>
        <w:rPr/>
        <w:t>and pharmacodynamics between children and adults. For example, in pharmacokinetics there are differences in metabolic pathways and organ function. In pharmaco- dynamics there are differences in the functions of the </w:t>
      </w:r>
      <w:r>
        <w:rPr>
          <w:spacing w:val="-4"/>
        </w:rPr>
        <w:t>receptor,</w:t>
      </w:r>
      <w:r>
        <w:rPr>
          <w:spacing w:val="-10"/>
        </w:rPr>
        <w:t> </w:t>
      </w:r>
      <w:r>
        <w:rPr>
          <w:spacing w:val="-4"/>
        </w:rPr>
        <w:t>effectors</w:t>
      </w:r>
      <w:r>
        <w:rPr>
          <w:spacing w:val="-9"/>
        </w:rPr>
        <w:t> </w:t>
      </w:r>
      <w:r>
        <w:rPr>
          <w:spacing w:val="-4"/>
        </w:rPr>
        <w:t>systems,</w:t>
      </w:r>
      <w:r>
        <w:rPr>
          <w:spacing w:val="-9"/>
        </w:rPr>
        <w:t> </w:t>
      </w:r>
      <w:r>
        <w:rPr>
          <w:spacing w:val="-4"/>
        </w:rPr>
        <w:t>and</w:t>
      </w:r>
      <w:r>
        <w:rPr>
          <w:spacing w:val="-9"/>
        </w:rPr>
        <w:t> </w:t>
      </w:r>
      <w:r>
        <w:rPr>
          <w:spacing w:val="-4"/>
        </w:rPr>
        <w:t>homeostatic</w:t>
      </w:r>
      <w:r>
        <w:rPr>
          <w:spacing w:val="-9"/>
        </w:rPr>
        <w:t> </w:t>
      </w:r>
      <w:r>
        <w:rPr>
          <w:spacing w:val="-4"/>
        </w:rPr>
        <w:t>mechanisms. </w:t>
      </w:r>
      <w:r>
        <w:rPr>
          <w:spacing w:val="-2"/>
        </w:rPr>
        <w:t>Side</w:t>
      </w:r>
      <w:r>
        <w:rPr>
          <w:spacing w:val="-12"/>
        </w:rPr>
        <w:t> </w:t>
      </w:r>
      <w:r>
        <w:rPr>
          <w:spacing w:val="-2"/>
        </w:rPr>
        <w:t>effects</w:t>
      </w:r>
      <w:r>
        <w:rPr>
          <w:spacing w:val="-11"/>
        </w:rPr>
        <w:t> </w:t>
      </w:r>
      <w:r>
        <w:rPr>
          <w:spacing w:val="-2"/>
        </w:rPr>
        <w:t>affect</w:t>
      </w:r>
      <w:r>
        <w:rPr>
          <w:spacing w:val="-11"/>
        </w:rPr>
        <w:t> </w:t>
      </w:r>
      <w:r>
        <w:rPr>
          <w:spacing w:val="-2"/>
        </w:rPr>
        <w:t>growth</w:t>
      </w:r>
      <w:r>
        <w:rPr>
          <w:spacing w:val="-11"/>
        </w:rPr>
        <w:t> </w:t>
      </w:r>
      <w:r>
        <w:rPr>
          <w:spacing w:val="-2"/>
        </w:rPr>
        <w:t>and</w:t>
      </w:r>
      <w:r>
        <w:rPr>
          <w:spacing w:val="-11"/>
        </w:rPr>
        <w:t> </w:t>
      </w:r>
      <w:r>
        <w:rPr>
          <w:spacing w:val="-2"/>
        </w:rPr>
        <w:t>development,</w:t>
      </w:r>
      <w:r>
        <w:rPr>
          <w:spacing w:val="-11"/>
        </w:rPr>
        <w:t> </w:t>
      </w:r>
      <w:r>
        <w:rPr>
          <w:spacing w:val="-2"/>
        </w:rPr>
        <w:t>and</w:t>
      </w:r>
      <w:r>
        <w:rPr>
          <w:spacing w:val="-11"/>
        </w:rPr>
        <w:t> </w:t>
      </w:r>
      <w:r>
        <w:rPr>
          <w:spacing w:val="-2"/>
        </w:rPr>
        <w:t>the</w:t>
      </w:r>
      <w:r>
        <w:rPr>
          <w:spacing w:val="-11"/>
        </w:rPr>
        <w:t> </w:t>
      </w:r>
      <w:r>
        <w:rPr>
          <w:spacing w:val="-2"/>
        </w:rPr>
        <w:t>dose </w:t>
      </w:r>
      <w:r>
        <w:rPr/>
        <w:t>of medication depends on body weight or surface. Furthermore, childhood has several stages and studies are performed in certain age groups such as prematu- </w:t>
      </w:r>
      <w:r>
        <w:rPr>
          <w:spacing w:val="-2"/>
        </w:rPr>
        <w:t>rity, term</w:t>
      </w:r>
      <w:r>
        <w:rPr>
          <w:spacing w:val="-6"/>
        </w:rPr>
        <w:t> </w:t>
      </w:r>
      <w:r>
        <w:rPr>
          <w:spacing w:val="-2"/>
        </w:rPr>
        <w:t>infants,</w:t>
      </w:r>
      <w:r>
        <w:rPr>
          <w:spacing w:val="-4"/>
        </w:rPr>
        <w:t> </w:t>
      </w:r>
      <w:r>
        <w:rPr>
          <w:spacing w:val="-2"/>
        </w:rPr>
        <w:t>infants,</w:t>
      </w:r>
      <w:r>
        <w:rPr>
          <w:spacing w:val="-4"/>
        </w:rPr>
        <w:t> </w:t>
      </w:r>
      <w:r>
        <w:rPr>
          <w:spacing w:val="-2"/>
        </w:rPr>
        <w:t>young</w:t>
      </w:r>
      <w:r>
        <w:rPr>
          <w:spacing w:val="-5"/>
        </w:rPr>
        <w:t> </w:t>
      </w:r>
      <w:r>
        <w:rPr>
          <w:spacing w:val="-2"/>
        </w:rPr>
        <w:t>children,</w:t>
      </w:r>
      <w:r>
        <w:rPr>
          <w:spacing w:val="-5"/>
        </w:rPr>
        <w:t> </w:t>
      </w:r>
      <w:r>
        <w:rPr>
          <w:spacing w:val="-2"/>
        </w:rPr>
        <w:t>older</w:t>
      </w:r>
      <w:r>
        <w:rPr>
          <w:spacing w:val="-6"/>
        </w:rPr>
        <w:t> </w:t>
      </w:r>
      <w:r>
        <w:rPr>
          <w:spacing w:val="-2"/>
        </w:rPr>
        <w:t>children </w:t>
      </w:r>
      <w:r>
        <w:rPr/>
        <w:t>and adolescents [2].</w:t>
      </w:r>
    </w:p>
    <w:p>
      <w:pPr>
        <w:pStyle w:val="BodyText"/>
        <w:spacing w:before="1"/>
        <w:ind w:left="238" w:right="38"/>
        <w:jc w:val="both"/>
      </w:pPr>
      <w:r>
        <w:rPr/>
        <w:t>For</w:t>
      </w:r>
      <w:r>
        <w:rPr>
          <w:spacing w:val="-14"/>
        </w:rPr>
        <w:t> </w:t>
      </w:r>
      <w:r>
        <w:rPr/>
        <w:t>providing</w:t>
      </w:r>
      <w:r>
        <w:rPr>
          <w:spacing w:val="-13"/>
        </w:rPr>
        <w:t> </w:t>
      </w:r>
      <w:r>
        <w:rPr/>
        <w:t>the</w:t>
      </w:r>
      <w:r>
        <w:rPr>
          <w:spacing w:val="-13"/>
        </w:rPr>
        <w:t> </w:t>
      </w:r>
      <w:r>
        <w:rPr/>
        <w:t>best</w:t>
      </w:r>
      <w:r>
        <w:rPr>
          <w:spacing w:val="-13"/>
        </w:rPr>
        <w:t> </w:t>
      </w:r>
      <w:r>
        <w:rPr/>
        <w:t>clinical</w:t>
      </w:r>
      <w:r>
        <w:rPr>
          <w:spacing w:val="-13"/>
        </w:rPr>
        <w:t> </w:t>
      </w:r>
      <w:r>
        <w:rPr/>
        <w:t>care</w:t>
      </w:r>
      <w:r>
        <w:rPr>
          <w:spacing w:val="-13"/>
        </w:rPr>
        <w:t> </w:t>
      </w:r>
      <w:r>
        <w:rPr/>
        <w:t>in</w:t>
      </w:r>
      <w:r>
        <w:rPr>
          <w:spacing w:val="-13"/>
        </w:rPr>
        <w:t> </w:t>
      </w:r>
      <w:r>
        <w:rPr/>
        <w:t>pediatric</w:t>
      </w:r>
      <w:r>
        <w:rPr>
          <w:spacing w:val="-13"/>
        </w:rPr>
        <w:t> </w:t>
      </w:r>
      <w:r>
        <w:rPr/>
        <w:t>subjects, it</w:t>
      </w:r>
      <w:r>
        <w:rPr>
          <w:spacing w:val="-5"/>
        </w:rPr>
        <w:t> </w:t>
      </w:r>
      <w:r>
        <w:rPr/>
        <w:t>is</w:t>
      </w:r>
      <w:r>
        <w:rPr>
          <w:spacing w:val="-4"/>
        </w:rPr>
        <w:t> </w:t>
      </w:r>
      <w:r>
        <w:rPr/>
        <w:t>important</w:t>
      </w:r>
      <w:r>
        <w:rPr>
          <w:spacing w:val="-5"/>
        </w:rPr>
        <w:t> </w:t>
      </w:r>
      <w:r>
        <w:rPr/>
        <w:t>to</w:t>
      </w:r>
      <w:r>
        <w:rPr>
          <w:spacing w:val="-6"/>
        </w:rPr>
        <w:t> </w:t>
      </w:r>
      <w:r>
        <w:rPr/>
        <w:t>conduct</w:t>
      </w:r>
      <w:r>
        <w:rPr>
          <w:spacing w:val="-6"/>
        </w:rPr>
        <w:t> </w:t>
      </w:r>
      <w:r>
        <w:rPr/>
        <w:t>careful</w:t>
      </w:r>
      <w:r>
        <w:rPr>
          <w:spacing w:val="-6"/>
        </w:rPr>
        <w:t> </w:t>
      </w:r>
      <w:r>
        <w:rPr/>
        <w:t>and</w:t>
      </w:r>
      <w:r>
        <w:rPr>
          <w:spacing w:val="-6"/>
        </w:rPr>
        <w:t> </w:t>
      </w:r>
      <w:r>
        <w:rPr/>
        <w:t>effective</w:t>
      </w:r>
      <w:r>
        <w:rPr>
          <w:spacing w:val="-4"/>
        </w:rPr>
        <w:t> </w:t>
      </w:r>
      <w:r>
        <w:rPr/>
        <w:t>research that has a scientific basis that should answer important clinical questions. The main challenge for pediatric research is the risk. What is the risk of conducting / or not conducting the research and who has the right to decide for the child’s risk? What should the child say that he/she agrees to participate in the research? What does the legal guardian have to say in order for the child to agree to participate in the research? What is</w:t>
      </w:r>
      <w:r>
        <w:rPr>
          <w:spacing w:val="40"/>
        </w:rPr>
        <w:t> </w:t>
      </w:r>
      <w:r>
        <w:rPr/>
        <w:t>the ultimate goal of the research? Finally, does the purpose of the research justify the risks associated</w:t>
      </w:r>
      <w:r>
        <w:rPr>
          <w:spacing w:val="80"/>
        </w:rPr>
        <w:t> </w:t>
      </w:r>
      <w:r>
        <w:rPr/>
        <w:t>with the study [1]?</w:t>
      </w:r>
    </w:p>
    <w:p>
      <w:pPr>
        <w:pStyle w:val="BodyText"/>
        <w:spacing w:before="6"/>
      </w:pPr>
    </w:p>
    <w:p>
      <w:pPr>
        <w:pStyle w:val="Heading4"/>
        <w:jc w:val="both"/>
      </w:pPr>
      <w:r>
        <w:rPr/>
        <w:t>History</w:t>
      </w:r>
      <w:r>
        <w:rPr>
          <w:spacing w:val="-4"/>
        </w:rPr>
        <w:t> </w:t>
      </w:r>
      <w:r>
        <w:rPr/>
        <w:t>of</w:t>
      </w:r>
      <w:r>
        <w:rPr>
          <w:spacing w:val="-3"/>
        </w:rPr>
        <w:t> </w:t>
      </w:r>
      <w:r>
        <w:rPr/>
        <w:t>research</w:t>
      </w:r>
      <w:r>
        <w:rPr>
          <w:spacing w:val="-3"/>
        </w:rPr>
        <w:t> </w:t>
      </w:r>
      <w:r>
        <w:rPr/>
        <w:t>in</w:t>
      </w:r>
      <w:r>
        <w:rPr>
          <w:spacing w:val="-3"/>
        </w:rPr>
        <w:t> </w:t>
      </w:r>
      <w:r>
        <w:rPr>
          <w:spacing w:val="-2"/>
        </w:rPr>
        <w:t>children</w:t>
      </w:r>
    </w:p>
    <w:p>
      <w:pPr>
        <w:pStyle w:val="BodyText"/>
        <w:spacing w:before="7"/>
        <w:rPr>
          <w:b/>
          <w:sz w:val="20"/>
        </w:rPr>
      </w:pPr>
    </w:p>
    <w:p>
      <w:pPr>
        <w:pStyle w:val="BodyText"/>
        <w:ind w:left="238" w:right="40"/>
        <w:jc w:val="both"/>
      </w:pPr>
      <w:r>
        <w:rPr/>
        <w:t>In the past there were cases</w:t>
      </w:r>
      <w:r>
        <w:rPr>
          <w:spacing w:val="-1"/>
        </w:rPr>
        <w:t> </w:t>
      </w:r>
      <w:r>
        <w:rPr/>
        <w:t>in which the interest</w:t>
      </w:r>
      <w:r>
        <w:rPr>
          <w:spacing w:val="-1"/>
        </w:rPr>
        <w:t> </w:t>
      </w:r>
      <w:r>
        <w:rPr/>
        <w:t>of</w:t>
      </w:r>
      <w:r>
        <w:rPr>
          <w:spacing w:val="-1"/>
        </w:rPr>
        <w:t> </w:t>
      </w:r>
      <w:r>
        <w:rPr/>
        <w:t>the legal guardian of the child was contrary to the best in- terest of the child. The Willow Brook State School for Children with Disabilities is one such example, where legal guardians allowed their children to be involved</w:t>
      </w:r>
      <w:r>
        <w:rPr>
          <w:spacing w:val="40"/>
        </w:rPr>
        <w:t> </w:t>
      </w:r>
      <w:r>
        <w:rPr/>
        <w:t>in a suspicious study for hepatitis just to ensure that</w:t>
      </w:r>
      <w:r>
        <w:rPr>
          <w:spacing w:val="40"/>
        </w:rPr>
        <w:t> </w:t>
      </w:r>
      <w:r>
        <w:rPr/>
        <w:t>the children would be enrolled in the same school. Al- though</w:t>
      </w:r>
      <w:r>
        <w:rPr>
          <w:spacing w:val="-1"/>
        </w:rPr>
        <w:t> </w:t>
      </w:r>
      <w:r>
        <w:rPr/>
        <w:t>legal</w:t>
      </w:r>
      <w:r>
        <w:rPr>
          <w:spacing w:val="-3"/>
        </w:rPr>
        <w:t> </w:t>
      </w:r>
      <w:r>
        <w:rPr/>
        <w:t>guardians</w:t>
      </w:r>
      <w:r>
        <w:rPr>
          <w:spacing w:val="-2"/>
        </w:rPr>
        <w:t> </w:t>
      </w:r>
      <w:r>
        <w:rPr/>
        <w:t>knew</w:t>
      </w:r>
      <w:r>
        <w:rPr>
          <w:spacing w:val="-3"/>
        </w:rPr>
        <w:t> </w:t>
      </w:r>
      <w:r>
        <w:rPr/>
        <w:t>it</w:t>
      </w:r>
      <w:r>
        <w:rPr>
          <w:spacing w:val="-2"/>
        </w:rPr>
        <w:t> </w:t>
      </w:r>
      <w:r>
        <w:rPr/>
        <w:t>was</w:t>
      </w:r>
      <w:r>
        <w:rPr>
          <w:spacing w:val="-2"/>
        </w:rPr>
        <w:t> </w:t>
      </w:r>
      <w:r>
        <w:rPr/>
        <w:t>risky</w:t>
      </w:r>
      <w:r>
        <w:rPr>
          <w:spacing w:val="-3"/>
        </w:rPr>
        <w:t> </w:t>
      </w:r>
      <w:r>
        <w:rPr/>
        <w:t>to</w:t>
      </w:r>
      <w:r>
        <w:rPr>
          <w:spacing w:val="-1"/>
        </w:rPr>
        <w:t> </w:t>
      </w:r>
      <w:r>
        <w:rPr/>
        <w:t>allow</w:t>
      </w:r>
      <w:r>
        <w:rPr>
          <w:spacing w:val="-2"/>
        </w:rPr>
        <w:t> </w:t>
      </w:r>
      <w:r>
        <w:rPr/>
        <w:t>their child to participate in such a study, they feared that re- fusing to participate in the study would have repercu- ssions on enrolling in the same school where enroll- ment was difficult. This example shows how much children's rights can be compromised by caregivers</w:t>
      </w:r>
      <w:r>
        <w:rPr>
          <w:spacing w:val="40"/>
        </w:rPr>
        <w:t> </w:t>
      </w:r>
      <w:r>
        <w:rPr/>
        <w:t>and health communities.</w:t>
      </w:r>
    </w:p>
    <w:p>
      <w:pPr>
        <w:pStyle w:val="BodyText"/>
        <w:ind w:left="238" w:right="41"/>
        <w:jc w:val="both"/>
      </w:pPr>
      <w:r>
        <w:rPr/>
        <w:t>The second example in the history</w:t>
      </w:r>
      <w:r>
        <w:rPr>
          <w:spacing w:val="-3"/>
        </w:rPr>
        <w:t> </w:t>
      </w:r>
      <w:r>
        <w:rPr/>
        <w:t>of ethical offense is </w:t>
      </w:r>
      <w:r>
        <w:rPr>
          <w:spacing w:val="-2"/>
        </w:rPr>
        <w:t>the</w:t>
      </w:r>
      <w:r>
        <w:rPr>
          <w:spacing w:val="-8"/>
        </w:rPr>
        <w:t> </w:t>
      </w:r>
      <w:r>
        <w:rPr>
          <w:spacing w:val="-2"/>
        </w:rPr>
        <w:t>radiation</w:t>
      </w:r>
      <w:r>
        <w:rPr>
          <w:spacing w:val="-8"/>
        </w:rPr>
        <w:t> </w:t>
      </w:r>
      <w:r>
        <w:rPr>
          <w:spacing w:val="-2"/>
        </w:rPr>
        <w:t>experiment</w:t>
      </w:r>
      <w:r>
        <w:rPr>
          <w:spacing w:val="-9"/>
        </w:rPr>
        <w:t> </w:t>
      </w:r>
      <w:r>
        <w:rPr>
          <w:spacing w:val="-2"/>
        </w:rPr>
        <w:t>on</w:t>
      </w:r>
      <w:r>
        <w:rPr>
          <w:spacing w:val="-8"/>
        </w:rPr>
        <w:t> </w:t>
      </w:r>
      <w:r>
        <w:rPr>
          <w:spacing w:val="-2"/>
        </w:rPr>
        <w:t>pediatric</w:t>
      </w:r>
      <w:r>
        <w:rPr>
          <w:spacing w:val="-8"/>
        </w:rPr>
        <w:t> </w:t>
      </w:r>
      <w:r>
        <w:rPr>
          <w:spacing w:val="-2"/>
        </w:rPr>
        <w:t>subjects</w:t>
      </w:r>
      <w:r>
        <w:rPr>
          <w:spacing w:val="-8"/>
        </w:rPr>
        <w:t> </w:t>
      </w:r>
      <w:r>
        <w:rPr>
          <w:spacing w:val="-2"/>
        </w:rPr>
        <w:t>conducted </w:t>
      </w:r>
      <w:r>
        <w:rPr/>
        <w:t>at</w:t>
      </w:r>
      <w:r>
        <w:rPr>
          <w:spacing w:val="25"/>
        </w:rPr>
        <w:t> </w:t>
      </w:r>
      <w:r>
        <w:rPr/>
        <w:t>the</w:t>
      </w:r>
      <w:r>
        <w:rPr>
          <w:spacing w:val="27"/>
        </w:rPr>
        <w:t> </w:t>
      </w:r>
      <w:r>
        <w:rPr/>
        <w:t>Walter</w:t>
      </w:r>
      <w:r>
        <w:rPr>
          <w:spacing w:val="26"/>
        </w:rPr>
        <w:t> </w:t>
      </w:r>
      <w:r>
        <w:rPr/>
        <w:t>E.</w:t>
      </w:r>
      <w:r>
        <w:rPr>
          <w:spacing w:val="25"/>
        </w:rPr>
        <w:t> </w:t>
      </w:r>
      <w:r>
        <w:rPr/>
        <w:t>Fernald</w:t>
      </w:r>
      <w:r>
        <w:rPr>
          <w:spacing w:val="26"/>
        </w:rPr>
        <w:t> </w:t>
      </w:r>
      <w:r>
        <w:rPr/>
        <w:t>in</w:t>
      </w:r>
      <w:r>
        <w:rPr>
          <w:spacing w:val="27"/>
        </w:rPr>
        <w:t> </w:t>
      </w:r>
      <w:r>
        <w:rPr/>
        <w:t>Waltham,</w:t>
      </w:r>
      <w:r>
        <w:rPr>
          <w:spacing w:val="27"/>
        </w:rPr>
        <w:t> </w:t>
      </w:r>
      <w:r>
        <w:rPr>
          <w:spacing w:val="-2"/>
        </w:rPr>
        <w:t>Massachusetts.</w:t>
      </w:r>
    </w:p>
    <w:p>
      <w:pPr>
        <w:pStyle w:val="BodyText"/>
        <w:spacing w:before="92"/>
        <w:ind w:left="238" w:right="290"/>
        <w:jc w:val="both"/>
      </w:pPr>
      <w:r>
        <w:rPr/>
        <w:br w:type="column"/>
      </w:r>
      <w:r>
        <w:rPr/>
        <w:t>In this experiment, wards with boys in the institution were</w:t>
      </w:r>
      <w:r>
        <w:rPr>
          <w:spacing w:val="-3"/>
        </w:rPr>
        <w:t> </w:t>
      </w:r>
      <w:r>
        <w:rPr/>
        <w:t>exposed</w:t>
      </w:r>
      <w:r>
        <w:rPr>
          <w:spacing w:val="-3"/>
        </w:rPr>
        <w:t> </w:t>
      </w:r>
      <w:r>
        <w:rPr/>
        <w:t>to</w:t>
      </w:r>
      <w:r>
        <w:rPr>
          <w:spacing w:val="-3"/>
        </w:rPr>
        <w:t> </w:t>
      </w:r>
      <w:r>
        <w:rPr/>
        <w:t>traces</w:t>
      </w:r>
      <w:r>
        <w:rPr>
          <w:spacing w:val="-7"/>
        </w:rPr>
        <w:t> </w:t>
      </w:r>
      <w:r>
        <w:rPr/>
        <w:t>of</w:t>
      </w:r>
      <w:r>
        <w:rPr>
          <w:spacing w:val="-4"/>
        </w:rPr>
        <w:t> </w:t>
      </w:r>
      <w:r>
        <w:rPr/>
        <w:t>radioactive</w:t>
      </w:r>
      <w:r>
        <w:rPr>
          <w:spacing w:val="-3"/>
        </w:rPr>
        <w:t> </w:t>
      </w:r>
      <w:r>
        <w:rPr/>
        <w:t>calcium</w:t>
      </w:r>
      <w:r>
        <w:rPr>
          <w:spacing w:val="-7"/>
        </w:rPr>
        <w:t> </w:t>
      </w:r>
      <w:r>
        <w:rPr/>
        <w:t>and</w:t>
      </w:r>
      <w:r>
        <w:rPr>
          <w:spacing w:val="-3"/>
        </w:rPr>
        <w:t> </w:t>
      </w:r>
      <w:r>
        <w:rPr/>
        <w:t>iron, </w:t>
      </w:r>
      <w:r>
        <w:rPr>
          <w:spacing w:val="-2"/>
        </w:rPr>
        <w:t>in</w:t>
      </w:r>
      <w:r>
        <w:rPr>
          <w:spacing w:val="-7"/>
        </w:rPr>
        <w:t> </w:t>
      </w:r>
      <w:r>
        <w:rPr>
          <w:spacing w:val="-2"/>
        </w:rPr>
        <w:t>order</w:t>
      </w:r>
      <w:r>
        <w:rPr>
          <w:spacing w:val="-7"/>
        </w:rPr>
        <w:t> </w:t>
      </w:r>
      <w:r>
        <w:rPr>
          <w:spacing w:val="-2"/>
        </w:rPr>
        <w:t>to</w:t>
      </w:r>
      <w:r>
        <w:rPr>
          <w:spacing w:val="-7"/>
        </w:rPr>
        <w:t> </w:t>
      </w:r>
      <w:r>
        <w:rPr>
          <w:spacing w:val="-2"/>
        </w:rPr>
        <w:t>detect</w:t>
      </w:r>
      <w:r>
        <w:rPr>
          <w:spacing w:val="-8"/>
        </w:rPr>
        <w:t> </w:t>
      </w:r>
      <w:r>
        <w:rPr>
          <w:spacing w:val="-2"/>
        </w:rPr>
        <w:t>problems</w:t>
      </w:r>
      <w:r>
        <w:rPr>
          <w:spacing w:val="-7"/>
        </w:rPr>
        <w:t> </w:t>
      </w:r>
      <w:r>
        <w:rPr>
          <w:spacing w:val="-2"/>
        </w:rPr>
        <w:t>with</w:t>
      </w:r>
      <w:r>
        <w:rPr>
          <w:spacing w:val="-5"/>
        </w:rPr>
        <w:t> </w:t>
      </w:r>
      <w:r>
        <w:rPr>
          <w:spacing w:val="-2"/>
        </w:rPr>
        <w:t>mineral</w:t>
      </w:r>
      <w:r>
        <w:rPr>
          <w:spacing w:val="-8"/>
        </w:rPr>
        <w:t> </w:t>
      </w:r>
      <w:r>
        <w:rPr>
          <w:spacing w:val="-2"/>
        </w:rPr>
        <w:t>absorption.</w:t>
      </w:r>
      <w:r>
        <w:rPr>
          <w:spacing w:val="-7"/>
        </w:rPr>
        <w:t> </w:t>
      </w:r>
      <w:r>
        <w:rPr>
          <w:spacing w:val="-2"/>
        </w:rPr>
        <w:t>The </w:t>
      </w:r>
      <w:r>
        <w:rPr/>
        <w:t>parents of the children involved in the study received incomplete information about it when they gave their consent.</w:t>
      </w:r>
      <w:r>
        <w:rPr>
          <w:spacing w:val="-3"/>
        </w:rPr>
        <w:t> </w:t>
      </w:r>
      <w:r>
        <w:rPr/>
        <w:t>Parents</w:t>
      </w:r>
      <w:r>
        <w:rPr>
          <w:spacing w:val="-2"/>
        </w:rPr>
        <w:t> </w:t>
      </w:r>
      <w:r>
        <w:rPr/>
        <w:t>were</w:t>
      </w:r>
      <w:r>
        <w:rPr>
          <w:spacing w:val="-1"/>
        </w:rPr>
        <w:t> </w:t>
      </w:r>
      <w:r>
        <w:rPr/>
        <w:t>never</w:t>
      </w:r>
      <w:r>
        <w:rPr>
          <w:spacing w:val="-2"/>
        </w:rPr>
        <w:t> </w:t>
      </w:r>
      <w:r>
        <w:rPr/>
        <w:t>told</w:t>
      </w:r>
      <w:r>
        <w:rPr>
          <w:spacing w:val="-1"/>
        </w:rPr>
        <w:t> </w:t>
      </w:r>
      <w:r>
        <w:rPr/>
        <w:t>that</w:t>
      </w:r>
      <w:r>
        <w:rPr>
          <w:spacing w:val="-2"/>
        </w:rPr>
        <w:t> </w:t>
      </w:r>
      <w:r>
        <w:rPr/>
        <w:t>children</w:t>
      </w:r>
      <w:r>
        <w:rPr>
          <w:spacing w:val="-1"/>
        </w:rPr>
        <w:t> </w:t>
      </w:r>
      <w:r>
        <w:rPr/>
        <w:t>were</w:t>
      </w:r>
      <w:r>
        <w:rPr>
          <w:spacing w:val="-1"/>
        </w:rPr>
        <w:t> </w:t>
      </w:r>
      <w:r>
        <w:rPr/>
        <w:t>ex- posed to any radiation, while children were told that they simply joined a science club. The experiments raised important questions about what "informed con- sent" really is and whether institutionalized children should eventually be included in clinical trials, given that they are by nature a vulnerable group [3].</w:t>
      </w:r>
    </w:p>
    <w:p>
      <w:pPr>
        <w:pStyle w:val="BodyText"/>
        <w:spacing w:before="5"/>
      </w:pPr>
    </w:p>
    <w:p>
      <w:pPr>
        <w:pStyle w:val="Heading4"/>
        <w:spacing w:before="1"/>
        <w:jc w:val="both"/>
      </w:pPr>
      <w:r>
        <w:rPr/>
        <w:t>Ethical</w:t>
      </w:r>
      <w:r>
        <w:rPr>
          <w:spacing w:val="-4"/>
        </w:rPr>
        <w:t> </w:t>
      </w:r>
      <w:r>
        <w:rPr>
          <w:spacing w:val="-2"/>
        </w:rPr>
        <w:t>principles</w:t>
      </w:r>
    </w:p>
    <w:p>
      <w:pPr>
        <w:pStyle w:val="BodyText"/>
        <w:spacing w:before="5"/>
        <w:rPr>
          <w:b/>
          <w:sz w:val="20"/>
        </w:rPr>
      </w:pPr>
    </w:p>
    <w:p>
      <w:pPr>
        <w:pStyle w:val="BodyText"/>
        <w:spacing w:before="1"/>
        <w:ind w:left="238" w:right="290"/>
        <w:jc w:val="both"/>
      </w:pPr>
      <w:r>
        <w:rPr/>
        <w:t>Four</w:t>
      </w:r>
      <w:r>
        <w:rPr>
          <w:spacing w:val="-4"/>
        </w:rPr>
        <w:t> </w:t>
      </w:r>
      <w:r>
        <w:rPr/>
        <w:t>ethical</w:t>
      </w:r>
      <w:r>
        <w:rPr>
          <w:spacing w:val="-7"/>
        </w:rPr>
        <w:t> </w:t>
      </w:r>
      <w:r>
        <w:rPr/>
        <w:t>principles</w:t>
      </w:r>
      <w:r>
        <w:rPr>
          <w:spacing w:val="-6"/>
        </w:rPr>
        <w:t> </w:t>
      </w:r>
      <w:r>
        <w:rPr/>
        <w:t>should</w:t>
      </w:r>
      <w:r>
        <w:rPr>
          <w:spacing w:val="-5"/>
        </w:rPr>
        <w:t> </w:t>
      </w:r>
      <w:r>
        <w:rPr/>
        <w:t>serve</w:t>
      </w:r>
      <w:r>
        <w:rPr>
          <w:spacing w:val="-5"/>
        </w:rPr>
        <w:t> </w:t>
      </w:r>
      <w:r>
        <w:rPr/>
        <w:t>as</w:t>
      </w:r>
      <w:r>
        <w:rPr>
          <w:spacing w:val="-6"/>
        </w:rPr>
        <w:t> </w:t>
      </w:r>
      <w:r>
        <w:rPr/>
        <w:t>a</w:t>
      </w:r>
      <w:r>
        <w:rPr>
          <w:spacing w:val="-5"/>
        </w:rPr>
        <w:t> </w:t>
      </w:r>
      <w:r>
        <w:rPr/>
        <w:t>framework</w:t>
      </w:r>
      <w:r>
        <w:rPr>
          <w:spacing w:val="-5"/>
        </w:rPr>
        <w:t> </w:t>
      </w:r>
      <w:r>
        <w:rPr/>
        <w:t>for involving</w:t>
      </w:r>
      <w:r>
        <w:rPr>
          <w:spacing w:val="-5"/>
        </w:rPr>
        <w:t> </w:t>
      </w:r>
      <w:r>
        <w:rPr/>
        <w:t>children</w:t>
      </w:r>
      <w:r>
        <w:rPr>
          <w:spacing w:val="-5"/>
        </w:rPr>
        <w:t> </w:t>
      </w:r>
      <w:r>
        <w:rPr/>
        <w:t>in</w:t>
      </w:r>
      <w:r>
        <w:rPr>
          <w:spacing w:val="-5"/>
        </w:rPr>
        <w:t> </w:t>
      </w:r>
      <w:r>
        <w:rPr/>
        <w:t>clinical</w:t>
      </w:r>
      <w:r>
        <w:rPr>
          <w:spacing w:val="-5"/>
        </w:rPr>
        <w:t> </w:t>
      </w:r>
      <w:r>
        <w:rPr/>
        <w:t>trials:</w:t>
      </w:r>
      <w:r>
        <w:rPr>
          <w:spacing w:val="-6"/>
        </w:rPr>
        <w:t> </w:t>
      </w:r>
      <w:r>
        <w:rPr/>
        <w:t>benefacere,</w:t>
      </w:r>
      <w:r>
        <w:rPr>
          <w:spacing w:val="-3"/>
        </w:rPr>
        <w:t> </w:t>
      </w:r>
      <w:r>
        <w:rPr/>
        <w:t>justice, </w:t>
      </w:r>
      <w:r>
        <w:rPr>
          <w:spacing w:val="-2"/>
        </w:rPr>
        <w:t>respect</w:t>
      </w:r>
      <w:r>
        <w:rPr>
          <w:spacing w:val="-10"/>
        </w:rPr>
        <w:t> </w:t>
      </w:r>
      <w:r>
        <w:rPr>
          <w:spacing w:val="-2"/>
        </w:rPr>
        <w:t>for</w:t>
      </w:r>
      <w:r>
        <w:rPr>
          <w:spacing w:val="-11"/>
        </w:rPr>
        <w:t> </w:t>
      </w:r>
      <w:r>
        <w:rPr>
          <w:spacing w:val="-2"/>
        </w:rPr>
        <w:t>personality</w:t>
      </w:r>
      <w:r>
        <w:rPr>
          <w:spacing w:val="-10"/>
        </w:rPr>
        <w:t> </w:t>
      </w:r>
      <w:r>
        <w:rPr>
          <w:spacing w:val="-2"/>
        </w:rPr>
        <w:t>and</w:t>
      </w:r>
      <w:r>
        <w:rPr>
          <w:spacing w:val="-9"/>
        </w:rPr>
        <w:t> </w:t>
      </w:r>
      <w:r>
        <w:rPr>
          <w:spacing w:val="-2"/>
        </w:rPr>
        <w:t>confidentiality.</w:t>
      </w:r>
      <w:r>
        <w:rPr>
          <w:spacing w:val="-9"/>
        </w:rPr>
        <w:t> </w:t>
      </w:r>
      <w:r>
        <w:rPr>
          <w:spacing w:val="-2"/>
        </w:rPr>
        <w:t>One</w:t>
      </w:r>
      <w:r>
        <w:rPr>
          <w:spacing w:val="-10"/>
        </w:rPr>
        <w:t> </w:t>
      </w:r>
      <w:r>
        <w:rPr>
          <w:spacing w:val="-2"/>
        </w:rPr>
        <w:t>principle </w:t>
      </w:r>
      <w:r>
        <w:rPr/>
        <w:t>is</w:t>
      </w:r>
      <w:r>
        <w:rPr>
          <w:spacing w:val="-10"/>
        </w:rPr>
        <w:t> </w:t>
      </w:r>
      <w:r>
        <w:rPr/>
        <w:t>more</w:t>
      </w:r>
      <w:r>
        <w:rPr>
          <w:spacing w:val="-11"/>
        </w:rPr>
        <w:t> </w:t>
      </w:r>
      <w:r>
        <w:rPr/>
        <w:t>or</w:t>
      </w:r>
      <w:r>
        <w:rPr>
          <w:spacing w:val="-10"/>
        </w:rPr>
        <w:t> </w:t>
      </w:r>
      <w:r>
        <w:rPr/>
        <w:t>less</w:t>
      </w:r>
      <w:r>
        <w:rPr>
          <w:spacing w:val="-11"/>
        </w:rPr>
        <w:t> </w:t>
      </w:r>
      <w:r>
        <w:rPr/>
        <w:t>important</w:t>
      </w:r>
      <w:r>
        <w:rPr>
          <w:spacing w:val="-10"/>
        </w:rPr>
        <w:t> </w:t>
      </w:r>
      <w:r>
        <w:rPr/>
        <w:t>than</w:t>
      </w:r>
      <w:r>
        <w:rPr>
          <w:spacing w:val="-9"/>
        </w:rPr>
        <w:t> </w:t>
      </w:r>
      <w:r>
        <w:rPr/>
        <w:t>the</w:t>
      </w:r>
      <w:r>
        <w:rPr>
          <w:spacing w:val="-11"/>
        </w:rPr>
        <w:t> </w:t>
      </w:r>
      <w:r>
        <w:rPr/>
        <w:t>other,</w:t>
      </w:r>
      <w:r>
        <w:rPr>
          <w:spacing w:val="-11"/>
        </w:rPr>
        <w:t> </w:t>
      </w:r>
      <w:r>
        <w:rPr/>
        <w:t>so</w:t>
      </w:r>
      <w:r>
        <w:rPr>
          <w:spacing w:val="-9"/>
        </w:rPr>
        <w:t> </w:t>
      </w:r>
      <w:r>
        <w:rPr/>
        <w:t>all</w:t>
      </w:r>
      <w:r>
        <w:rPr>
          <w:spacing w:val="-12"/>
        </w:rPr>
        <w:t> </w:t>
      </w:r>
      <w:r>
        <w:rPr/>
        <w:t>four</w:t>
      </w:r>
      <w:r>
        <w:rPr>
          <w:spacing w:val="-10"/>
        </w:rPr>
        <w:t> </w:t>
      </w:r>
      <w:r>
        <w:rPr/>
        <w:t>must be taken into account when conducting a research. In some circumstances, all principles may be in conflict </w:t>
      </w:r>
      <w:r>
        <w:rPr>
          <w:spacing w:val="-2"/>
        </w:rPr>
        <w:t>with</w:t>
      </w:r>
      <w:r>
        <w:rPr>
          <w:spacing w:val="-8"/>
        </w:rPr>
        <w:t> </w:t>
      </w:r>
      <w:r>
        <w:rPr>
          <w:spacing w:val="-2"/>
        </w:rPr>
        <w:t>each</w:t>
      </w:r>
      <w:r>
        <w:rPr>
          <w:spacing w:val="-8"/>
        </w:rPr>
        <w:t> </w:t>
      </w:r>
      <w:r>
        <w:rPr>
          <w:spacing w:val="-2"/>
        </w:rPr>
        <w:t>other,</w:t>
      </w:r>
      <w:r>
        <w:rPr>
          <w:spacing w:val="-7"/>
        </w:rPr>
        <w:t> </w:t>
      </w:r>
      <w:r>
        <w:rPr>
          <w:spacing w:val="-2"/>
        </w:rPr>
        <w:t>and</w:t>
      </w:r>
      <w:r>
        <w:rPr>
          <w:spacing w:val="-6"/>
        </w:rPr>
        <w:t> </w:t>
      </w:r>
      <w:r>
        <w:rPr>
          <w:spacing w:val="-2"/>
        </w:rPr>
        <w:t>the</w:t>
      </w:r>
      <w:r>
        <w:rPr>
          <w:spacing w:val="-6"/>
        </w:rPr>
        <w:t> </w:t>
      </w:r>
      <w:r>
        <w:rPr>
          <w:spacing w:val="-2"/>
        </w:rPr>
        <w:t>researcher</w:t>
      </w:r>
      <w:r>
        <w:rPr>
          <w:spacing w:val="-6"/>
        </w:rPr>
        <w:t> </w:t>
      </w:r>
      <w:r>
        <w:rPr>
          <w:spacing w:val="-2"/>
        </w:rPr>
        <w:t>must</w:t>
      </w:r>
      <w:r>
        <w:rPr>
          <w:spacing w:val="-9"/>
        </w:rPr>
        <w:t> </w:t>
      </w:r>
      <w:r>
        <w:rPr>
          <w:spacing w:val="-2"/>
        </w:rPr>
        <w:t>choose</w:t>
      </w:r>
      <w:r>
        <w:rPr>
          <w:spacing w:val="-8"/>
        </w:rPr>
        <w:t> </w:t>
      </w:r>
      <w:r>
        <w:rPr>
          <w:spacing w:val="-2"/>
        </w:rPr>
        <w:t>the</w:t>
      </w:r>
      <w:r>
        <w:rPr>
          <w:spacing w:val="-8"/>
        </w:rPr>
        <w:t> </w:t>
      </w:r>
      <w:r>
        <w:rPr>
          <w:spacing w:val="-2"/>
        </w:rPr>
        <w:t>app- </w:t>
      </w:r>
      <w:r>
        <w:rPr>
          <w:spacing w:val="-4"/>
        </w:rPr>
        <w:t>ropriate direction</w:t>
      </w:r>
      <w:r>
        <w:rPr>
          <w:spacing w:val="-9"/>
        </w:rPr>
        <w:t> </w:t>
      </w:r>
      <w:r>
        <w:rPr>
          <w:spacing w:val="-4"/>
        </w:rPr>
        <w:t>that</w:t>
      </w:r>
      <w:r>
        <w:rPr>
          <w:spacing w:val="-14"/>
        </w:rPr>
        <w:t> </w:t>
      </w:r>
      <w:r>
        <w:rPr>
          <w:spacing w:val="-4"/>
        </w:rPr>
        <w:t>best</w:t>
      </w:r>
      <w:r>
        <w:rPr>
          <w:spacing w:val="-10"/>
        </w:rPr>
        <w:t> </w:t>
      </w:r>
      <w:r>
        <w:rPr>
          <w:spacing w:val="-4"/>
        </w:rPr>
        <w:t>suits</w:t>
      </w:r>
      <w:r>
        <w:rPr>
          <w:spacing w:val="-10"/>
        </w:rPr>
        <w:t> </w:t>
      </w:r>
      <w:r>
        <w:rPr>
          <w:spacing w:val="-4"/>
        </w:rPr>
        <w:t>for</w:t>
      </w:r>
      <w:r>
        <w:rPr>
          <w:spacing w:val="-8"/>
        </w:rPr>
        <w:t> </w:t>
      </w:r>
      <w:r>
        <w:rPr>
          <w:spacing w:val="-4"/>
        </w:rPr>
        <w:t>the</w:t>
      </w:r>
      <w:r>
        <w:rPr>
          <w:spacing w:val="-9"/>
        </w:rPr>
        <w:t> </w:t>
      </w:r>
      <w:r>
        <w:rPr>
          <w:spacing w:val="-4"/>
        </w:rPr>
        <w:t>scientific</w:t>
      </w:r>
      <w:r>
        <w:rPr>
          <w:spacing w:val="-9"/>
        </w:rPr>
        <w:t> </w:t>
      </w:r>
      <w:r>
        <w:rPr>
          <w:spacing w:val="-4"/>
        </w:rPr>
        <w:t>question.</w:t>
      </w:r>
    </w:p>
    <w:p>
      <w:pPr>
        <w:pStyle w:val="BodyText"/>
        <w:spacing w:before="1"/>
      </w:pPr>
    </w:p>
    <w:p>
      <w:pPr>
        <w:spacing w:before="0"/>
        <w:ind w:left="238" w:right="0" w:firstLine="0"/>
        <w:jc w:val="left"/>
        <w:rPr>
          <w:i/>
          <w:sz w:val="21"/>
        </w:rPr>
      </w:pPr>
      <w:r>
        <w:rPr>
          <w:i/>
          <w:spacing w:val="-2"/>
          <w:sz w:val="21"/>
        </w:rPr>
        <w:t>Benefacere</w:t>
      </w:r>
    </w:p>
    <w:p>
      <w:pPr>
        <w:pStyle w:val="BodyText"/>
        <w:spacing w:before="11"/>
        <w:rPr>
          <w:i/>
          <w:sz w:val="20"/>
        </w:rPr>
      </w:pPr>
    </w:p>
    <w:p>
      <w:pPr>
        <w:pStyle w:val="BodyText"/>
        <w:ind w:left="238" w:right="290"/>
        <w:jc w:val="both"/>
      </w:pPr>
      <w:r>
        <w:rPr/>
        <w:t>Benefacere is an ethical principle based on kindness and well-being. It is a moral obligation and refers to</w:t>
      </w:r>
      <w:r>
        <w:rPr>
          <w:spacing w:val="40"/>
        </w:rPr>
        <w:t> </w:t>
      </w:r>
      <w:r>
        <w:rPr/>
        <w:t>the benefit of the other, to help him in his interest and to prevent or eliminate possible harm (primum non nocere). In a pediatric research, it is important that the research does not exploit the vulnerability of minors who cannot give genuinely informed consent to participate in the study. Therefore, the researcher must know that the research is scientifically based and that "unnecessary" damage is not done to the research subject. The key aspect of harm is actually the risk. There is a serious debate about the role of benefit for the subject when he/she will not benefit directly from the research. It is widely accepted that in the adult population,</w:t>
      </w:r>
      <w:r>
        <w:rPr>
          <w:spacing w:val="-1"/>
        </w:rPr>
        <w:t> </w:t>
      </w:r>
      <w:r>
        <w:rPr/>
        <w:t>a</w:t>
      </w:r>
      <w:r>
        <w:rPr>
          <w:spacing w:val="-4"/>
        </w:rPr>
        <w:t> </w:t>
      </w:r>
      <w:r>
        <w:rPr/>
        <w:t>researcher</w:t>
      </w:r>
      <w:r>
        <w:rPr>
          <w:spacing w:val="-2"/>
        </w:rPr>
        <w:t> </w:t>
      </w:r>
      <w:r>
        <w:rPr/>
        <w:t>may</w:t>
      </w:r>
      <w:r>
        <w:rPr>
          <w:spacing w:val="-4"/>
        </w:rPr>
        <w:t> </w:t>
      </w:r>
      <w:r>
        <w:rPr/>
        <w:t>risk</w:t>
      </w:r>
      <w:r>
        <w:rPr>
          <w:spacing w:val="-2"/>
        </w:rPr>
        <w:t> </w:t>
      </w:r>
      <w:r>
        <w:rPr/>
        <w:t>a</w:t>
      </w:r>
      <w:r>
        <w:rPr>
          <w:spacing w:val="-1"/>
        </w:rPr>
        <w:t> </w:t>
      </w:r>
      <w:r>
        <w:rPr/>
        <w:t>small</w:t>
      </w:r>
      <w:r>
        <w:rPr>
          <w:spacing w:val="-2"/>
        </w:rPr>
        <w:t> </w:t>
      </w:r>
      <w:r>
        <w:rPr/>
        <w:t>level</w:t>
      </w:r>
      <w:r>
        <w:rPr>
          <w:spacing w:val="-2"/>
        </w:rPr>
        <w:t> </w:t>
      </w:r>
      <w:r>
        <w:rPr/>
        <w:t>of</w:t>
      </w:r>
      <w:r>
        <w:rPr>
          <w:spacing w:val="-2"/>
        </w:rPr>
        <w:t> </w:t>
      </w:r>
      <w:r>
        <w:rPr/>
        <w:t>harm to</w:t>
      </w:r>
      <w:r>
        <w:rPr>
          <w:spacing w:val="-14"/>
        </w:rPr>
        <w:t> </w:t>
      </w:r>
      <w:r>
        <w:rPr/>
        <w:t>the</w:t>
      </w:r>
      <w:r>
        <w:rPr>
          <w:spacing w:val="-13"/>
        </w:rPr>
        <w:t> </w:t>
      </w:r>
      <w:r>
        <w:rPr/>
        <w:t>subject,</w:t>
      </w:r>
      <w:r>
        <w:rPr>
          <w:spacing w:val="-12"/>
        </w:rPr>
        <w:t> </w:t>
      </w:r>
      <w:r>
        <w:rPr/>
        <w:t>if</w:t>
      </w:r>
      <w:r>
        <w:rPr>
          <w:spacing w:val="-13"/>
        </w:rPr>
        <w:t> </w:t>
      </w:r>
      <w:r>
        <w:rPr/>
        <w:t>the</w:t>
      </w:r>
      <w:r>
        <w:rPr>
          <w:spacing w:val="-12"/>
        </w:rPr>
        <w:t> </w:t>
      </w:r>
      <w:r>
        <w:rPr/>
        <w:t>subject</w:t>
      </w:r>
      <w:r>
        <w:rPr>
          <w:spacing w:val="-13"/>
        </w:rPr>
        <w:t> </w:t>
      </w:r>
      <w:r>
        <w:rPr/>
        <w:t>voluntarily</w:t>
      </w:r>
      <w:r>
        <w:rPr>
          <w:spacing w:val="-14"/>
        </w:rPr>
        <w:t> </w:t>
      </w:r>
      <w:r>
        <w:rPr/>
        <w:t>agrees</w:t>
      </w:r>
      <w:r>
        <w:rPr>
          <w:spacing w:val="-12"/>
        </w:rPr>
        <w:t> </w:t>
      </w:r>
      <w:r>
        <w:rPr/>
        <w:t>to</w:t>
      </w:r>
      <w:r>
        <w:rPr>
          <w:spacing w:val="-14"/>
        </w:rPr>
        <w:t> </w:t>
      </w:r>
      <w:r>
        <w:rPr/>
        <w:t>a</w:t>
      </w:r>
      <w:r>
        <w:rPr>
          <w:spacing w:val="-10"/>
        </w:rPr>
        <w:t> </w:t>
      </w:r>
      <w:r>
        <w:rPr/>
        <w:t>treat- ment that will make a benefit for the humanity. The child's ability to understand the risk on human health</w:t>
      </w:r>
      <w:r>
        <w:rPr>
          <w:spacing w:val="40"/>
        </w:rPr>
        <w:t> </w:t>
      </w:r>
      <w:r>
        <w:rPr/>
        <w:t>in a wider sense and the child's willingness to accept such a risk are the issues of considerable debate.</w:t>
      </w:r>
    </w:p>
    <w:p>
      <w:pPr>
        <w:pStyle w:val="BodyText"/>
        <w:spacing w:before="1"/>
      </w:pPr>
    </w:p>
    <w:p>
      <w:pPr>
        <w:spacing w:before="0"/>
        <w:ind w:left="238" w:right="0" w:firstLine="0"/>
        <w:jc w:val="left"/>
        <w:rPr>
          <w:i/>
          <w:sz w:val="21"/>
        </w:rPr>
      </w:pPr>
      <w:r>
        <w:rPr>
          <w:i/>
          <w:spacing w:val="-2"/>
          <w:sz w:val="21"/>
        </w:rPr>
        <w:t>Justice</w:t>
      </w:r>
    </w:p>
    <w:p>
      <w:pPr>
        <w:pStyle w:val="BodyText"/>
        <w:spacing w:before="11"/>
        <w:rPr>
          <w:i/>
          <w:sz w:val="20"/>
        </w:rPr>
      </w:pPr>
    </w:p>
    <w:p>
      <w:pPr>
        <w:pStyle w:val="BodyText"/>
        <w:ind w:left="238" w:right="291"/>
        <w:jc w:val="both"/>
      </w:pPr>
      <w:r>
        <w:rPr/>
        <w:t>The principle of justice is an ideal distribution of risk and benefit throughout the population in conducting a research. The choice of subjects should be fair and the vulnerable ones should not be exploited for the benefit of the general population. The inclusion and exclusion of subjects in research protocols should be based on a valid scientific question but not on the basis of discri- minatory</w:t>
      </w:r>
      <w:r>
        <w:rPr>
          <w:spacing w:val="13"/>
        </w:rPr>
        <w:t> </w:t>
      </w:r>
      <w:r>
        <w:rPr/>
        <w:t>factors</w:t>
      </w:r>
      <w:r>
        <w:rPr>
          <w:spacing w:val="17"/>
        </w:rPr>
        <w:t> </w:t>
      </w:r>
      <w:r>
        <w:rPr/>
        <w:t>or</w:t>
      </w:r>
      <w:r>
        <w:rPr>
          <w:spacing w:val="15"/>
        </w:rPr>
        <w:t> </w:t>
      </w:r>
      <w:r>
        <w:rPr/>
        <w:t>ease</w:t>
      </w:r>
      <w:r>
        <w:rPr>
          <w:spacing w:val="16"/>
        </w:rPr>
        <w:t> </w:t>
      </w:r>
      <w:r>
        <w:rPr/>
        <w:t>of</w:t>
      </w:r>
      <w:r>
        <w:rPr>
          <w:spacing w:val="17"/>
        </w:rPr>
        <w:t> </w:t>
      </w:r>
      <w:r>
        <w:rPr/>
        <w:t>enrollment.</w:t>
      </w:r>
      <w:r>
        <w:rPr>
          <w:spacing w:val="16"/>
        </w:rPr>
        <w:t> </w:t>
      </w:r>
      <w:r>
        <w:rPr/>
        <w:t>One</w:t>
      </w:r>
      <w:r>
        <w:rPr>
          <w:spacing w:val="16"/>
        </w:rPr>
        <w:t> </w:t>
      </w:r>
      <w:r>
        <w:rPr/>
        <w:t>aspect</w:t>
      </w:r>
      <w:r>
        <w:rPr>
          <w:spacing w:val="15"/>
        </w:rPr>
        <w:t> </w:t>
      </w:r>
      <w:r>
        <w:rPr>
          <w:spacing w:val="-7"/>
        </w:rPr>
        <w:t>of</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5"/>
        <w:rPr>
          <w:sz w:val="15"/>
        </w:rPr>
      </w:pPr>
    </w:p>
    <w:p>
      <w:pPr>
        <w:spacing w:after="0"/>
        <w:rPr>
          <w:sz w:val="15"/>
        </w:rPr>
        <w:sectPr>
          <w:headerReference w:type="default" r:id="rId455"/>
          <w:headerReference w:type="even" r:id="rId456"/>
          <w:pgSz w:w="11910" w:h="16840"/>
          <w:pgMar w:header="854" w:footer="0" w:top="1300" w:bottom="280" w:left="900" w:right="840"/>
          <w:pgNumType w:start="3"/>
        </w:sectPr>
      </w:pPr>
    </w:p>
    <w:p>
      <w:pPr>
        <w:pStyle w:val="BodyText"/>
        <w:spacing w:before="92"/>
        <w:ind w:left="238" w:right="38"/>
        <w:jc w:val="both"/>
      </w:pPr>
      <w:r>
        <w:rPr/>
        <w:t>biomedical research is to determine whether the inter- vention improves, does not improve or has no effect</w:t>
      </w:r>
      <w:r>
        <w:rPr>
          <w:spacing w:val="80"/>
        </w:rPr>
        <w:t> </w:t>
      </w:r>
      <w:r>
        <w:rPr/>
        <w:t>on the pathophysiological condition. The principle of justice</w:t>
      </w:r>
      <w:r>
        <w:rPr>
          <w:spacing w:val="-3"/>
        </w:rPr>
        <w:t> </w:t>
      </w:r>
      <w:r>
        <w:rPr/>
        <w:t>indicates</w:t>
      </w:r>
      <w:r>
        <w:rPr>
          <w:spacing w:val="-4"/>
        </w:rPr>
        <w:t> </w:t>
      </w:r>
      <w:r>
        <w:rPr/>
        <w:t>that</w:t>
      </w:r>
      <w:r>
        <w:rPr>
          <w:spacing w:val="-4"/>
        </w:rPr>
        <w:t> </w:t>
      </w:r>
      <w:r>
        <w:rPr/>
        <w:t>individuals</w:t>
      </w:r>
      <w:r>
        <w:rPr>
          <w:spacing w:val="-4"/>
        </w:rPr>
        <w:t> </w:t>
      </w:r>
      <w:r>
        <w:rPr/>
        <w:t>in</w:t>
      </w:r>
      <w:r>
        <w:rPr>
          <w:spacing w:val="-3"/>
        </w:rPr>
        <w:t> </w:t>
      </w:r>
      <w:r>
        <w:rPr/>
        <w:t>a</w:t>
      </w:r>
      <w:r>
        <w:rPr>
          <w:spacing w:val="-6"/>
        </w:rPr>
        <w:t> </w:t>
      </w:r>
      <w:r>
        <w:rPr/>
        <w:t>population</w:t>
      </w:r>
      <w:r>
        <w:rPr>
          <w:spacing w:val="-3"/>
        </w:rPr>
        <w:t> </w:t>
      </w:r>
      <w:r>
        <w:rPr/>
        <w:t>should have equal access to potential benefits and potential risks. Factors that may disrupt the equitable distribu- </w:t>
      </w:r>
      <w:r>
        <w:rPr>
          <w:spacing w:val="-4"/>
        </w:rPr>
        <w:t>tion</w:t>
      </w:r>
      <w:r>
        <w:rPr/>
        <w:t> </w:t>
      </w:r>
      <w:r>
        <w:rPr>
          <w:spacing w:val="-4"/>
        </w:rPr>
        <w:t>of</w:t>
      </w:r>
      <w:r>
        <w:rPr>
          <w:spacing w:val="-8"/>
        </w:rPr>
        <w:t> </w:t>
      </w:r>
      <w:r>
        <w:rPr>
          <w:spacing w:val="-4"/>
        </w:rPr>
        <w:t>participation include</w:t>
      </w:r>
      <w:r>
        <w:rPr>
          <w:spacing w:val="-8"/>
        </w:rPr>
        <w:t> </w:t>
      </w:r>
      <w:r>
        <w:rPr>
          <w:spacing w:val="-4"/>
        </w:rPr>
        <w:t>demographic</w:t>
      </w:r>
      <w:r>
        <w:rPr>
          <w:spacing w:val="-8"/>
        </w:rPr>
        <w:t> </w:t>
      </w:r>
      <w:r>
        <w:rPr>
          <w:spacing w:val="-4"/>
        </w:rPr>
        <w:t>differences</w:t>
      </w:r>
      <w:r>
        <w:rPr>
          <w:spacing w:val="-5"/>
        </w:rPr>
        <w:t> </w:t>
      </w:r>
      <w:r>
        <w:rPr>
          <w:spacing w:val="-4"/>
        </w:rPr>
        <w:t>(for </w:t>
      </w:r>
      <w:r>
        <w:rPr/>
        <w:t>example,</w:t>
      </w:r>
      <w:r>
        <w:rPr>
          <w:spacing w:val="-9"/>
        </w:rPr>
        <w:t> </w:t>
      </w:r>
      <w:r>
        <w:rPr/>
        <w:t>minority</w:t>
      </w:r>
      <w:r>
        <w:rPr>
          <w:spacing w:val="-9"/>
        </w:rPr>
        <w:t> </w:t>
      </w:r>
      <w:r>
        <w:rPr/>
        <w:t>and</w:t>
      </w:r>
      <w:r>
        <w:rPr>
          <w:spacing w:val="-9"/>
        </w:rPr>
        <w:t> </w:t>
      </w:r>
      <w:r>
        <w:rPr/>
        <w:t>social</w:t>
      </w:r>
      <w:r>
        <w:rPr>
          <w:spacing w:val="-9"/>
        </w:rPr>
        <w:t> </w:t>
      </w:r>
      <w:r>
        <w:rPr/>
        <w:t>differences,</w:t>
      </w:r>
      <w:r>
        <w:rPr>
          <w:spacing w:val="-9"/>
        </w:rPr>
        <w:t> </w:t>
      </w:r>
      <w:r>
        <w:rPr/>
        <w:t>mother’s</w:t>
      </w:r>
      <w:r>
        <w:rPr>
          <w:spacing w:val="-8"/>
        </w:rPr>
        <w:t> </w:t>
      </w:r>
      <w:r>
        <w:rPr/>
        <w:t>lan- guage...), mental status, and coercion by researchers based on financial incentives. The last aspect of parti- cular</w:t>
      </w:r>
      <w:r>
        <w:rPr>
          <w:spacing w:val="-5"/>
        </w:rPr>
        <w:t> </w:t>
      </w:r>
      <w:r>
        <w:rPr/>
        <w:t>importance</w:t>
      </w:r>
      <w:r>
        <w:rPr>
          <w:spacing w:val="-11"/>
        </w:rPr>
        <w:t> </w:t>
      </w:r>
      <w:r>
        <w:rPr/>
        <w:t>for</w:t>
      </w:r>
      <w:r>
        <w:rPr>
          <w:spacing w:val="-12"/>
        </w:rPr>
        <w:t> </w:t>
      </w:r>
      <w:r>
        <w:rPr/>
        <w:t>the</w:t>
      </w:r>
      <w:r>
        <w:rPr>
          <w:spacing w:val="-11"/>
        </w:rPr>
        <w:t> </w:t>
      </w:r>
      <w:r>
        <w:rPr/>
        <w:t>pediatric</w:t>
      </w:r>
      <w:r>
        <w:rPr>
          <w:spacing w:val="-11"/>
        </w:rPr>
        <w:t> </w:t>
      </w:r>
      <w:r>
        <w:rPr/>
        <w:t>population</w:t>
      </w:r>
      <w:r>
        <w:rPr>
          <w:spacing w:val="-11"/>
        </w:rPr>
        <w:t> </w:t>
      </w:r>
      <w:r>
        <w:rPr/>
        <w:t>is</w:t>
      </w:r>
      <w:r>
        <w:rPr>
          <w:spacing w:val="-11"/>
        </w:rPr>
        <w:t> </w:t>
      </w:r>
      <w:r>
        <w:rPr/>
        <w:t>concern that researchers may force children with financial in- centives to obtain consent (for example, a gift card for a toy</w:t>
      </w:r>
      <w:r>
        <w:rPr>
          <w:spacing w:val="-2"/>
        </w:rPr>
        <w:t> </w:t>
      </w:r>
      <w:r>
        <w:rPr/>
        <w:t>store or</w:t>
      </w:r>
      <w:r>
        <w:rPr>
          <w:spacing w:val="-1"/>
        </w:rPr>
        <w:t> </w:t>
      </w:r>
      <w:r>
        <w:rPr/>
        <w:t>a fast food restaurant). The value of</w:t>
      </w:r>
      <w:r>
        <w:rPr>
          <w:spacing w:val="-1"/>
        </w:rPr>
        <w:t> </w:t>
      </w:r>
      <w:r>
        <w:rPr/>
        <w:t>such financial incentives is often reviewed by Committees</w:t>
      </w:r>
      <w:r>
        <w:rPr>
          <w:spacing w:val="40"/>
        </w:rPr>
        <w:t> </w:t>
      </w:r>
      <w:r>
        <w:rPr/>
        <w:t>in order to confirm that it is acceptable with the co- mmunity standards and it is not a source of potential </w:t>
      </w:r>
      <w:r>
        <w:rPr>
          <w:spacing w:val="-2"/>
        </w:rPr>
        <w:t>misconceptions.</w:t>
      </w:r>
    </w:p>
    <w:p>
      <w:pPr>
        <w:pStyle w:val="BodyText"/>
        <w:spacing w:before="1"/>
      </w:pPr>
    </w:p>
    <w:p>
      <w:pPr>
        <w:spacing w:before="0"/>
        <w:ind w:left="238" w:right="0" w:firstLine="0"/>
        <w:jc w:val="both"/>
        <w:rPr>
          <w:i/>
          <w:sz w:val="21"/>
        </w:rPr>
      </w:pPr>
      <w:r>
        <w:rPr>
          <w:i/>
          <w:sz w:val="21"/>
        </w:rPr>
        <w:t>Respect</w:t>
      </w:r>
      <w:r>
        <w:rPr>
          <w:i/>
          <w:spacing w:val="-3"/>
          <w:sz w:val="21"/>
        </w:rPr>
        <w:t> </w:t>
      </w:r>
      <w:r>
        <w:rPr>
          <w:i/>
          <w:sz w:val="21"/>
        </w:rPr>
        <w:t>for</w:t>
      </w:r>
      <w:r>
        <w:rPr>
          <w:i/>
          <w:spacing w:val="-1"/>
          <w:sz w:val="21"/>
        </w:rPr>
        <w:t> </w:t>
      </w:r>
      <w:r>
        <w:rPr>
          <w:i/>
          <w:spacing w:val="-2"/>
          <w:sz w:val="21"/>
        </w:rPr>
        <w:t>personality</w:t>
      </w:r>
    </w:p>
    <w:p>
      <w:pPr>
        <w:pStyle w:val="BodyText"/>
        <w:rPr>
          <w:i/>
        </w:rPr>
      </w:pPr>
    </w:p>
    <w:p>
      <w:pPr>
        <w:pStyle w:val="BodyText"/>
        <w:ind w:left="238" w:right="38"/>
        <w:jc w:val="both"/>
      </w:pPr>
      <w:r>
        <w:rPr/>
        <w:t>The third ethical principle of "respect for personality" emphasizes an important issue in pediatric research: paternalism</w:t>
      </w:r>
      <w:r>
        <w:rPr>
          <w:spacing w:val="-5"/>
        </w:rPr>
        <w:t> </w:t>
      </w:r>
      <w:r>
        <w:rPr>
          <w:i/>
        </w:rPr>
        <w:t>versus</w:t>
      </w:r>
      <w:r>
        <w:rPr>
          <w:i/>
          <w:spacing w:val="-4"/>
        </w:rPr>
        <w:t> </w:t>
      </w:r>
      <w:r>
        <w:rPr/>
        <w:t>autonomy.</w:t>
      </w:r>
      <w:r>
        <w:rPr>
          <w:spacing w:val="-3"/>
        </w:rPr>
        <w:t> </w:t>
      </w:r>
      <w:r>
        <w:rPr/>
        <w:t>Autonomy</w:t>
      </w:r>
      <w:r>
        <w:rPr>
          <w:spacing w:val="-5"/>
        </w:rPr>
        <w:t> </w:t>
      </w:r>
      <w:r>
        <w:rPr/>
        <w:t>is</w:t>
      </w:r>
      <w:r>
        <w:rPr>
          <w:spacing w:val="-4"/>
        </w:rPr>
        <w:t> </w:t>
      </w:r>
      <w:r>
        <w:rPr/>
        <w:t>considered when the person has the capacity for rational decision making. However, paternalism implies that the indivi- </w:t>
      </w:r>
      <w:r>
        <w:rPr>
          <w:spacing w:val="-2"/>
        </w:rPr>
        <w:t>dual</w:t>
      </w:r>
      <w:r>
        <w:rPr>
          <w:spacing w:val="-12"/>
        </w:rPr>
        <w:t> </w:t>
      </w:r>
      <w:r>
        <w:rPr>
          <w:spacing w:val="-2"/>
        </w:rPr>
        <w:t>is</w:t>
      </w:r>
      <w:r>
        <w:rPr>
          <w:spacing w:val="-11"/>
        </w:rPr>
        <w:t> </w:t>
      </w:r>
      <w:r>
        <w:rPr>
          <w:spacing w:val="-2"/>
        </w:rPr>
        <w:t>incapable</w:t>
      </w:r>
      <w:r>
        <w:rPr>
          <w:spacing w:val="-11"/>
        </w:rPr>
        <w:t> </w:t>
      </w:r>
      <w:r>
        <w:rPr>
          <w:spacing w:val="-2"/>
        </w:rPr>
        <w:t>for</w:t>
      </w:r>
      <w:r>
        <w:rPr>
          <w:spacing w:val="-11"/>
        </w:rPr>
        <w:t> </w:t>
      </w:r>
      <w:r>
        <w:rPr>
          <w:spacing w:val="-2"/>
        </w:rPr>
        <w:t>decision</w:t>
      </w:r>
      <w:r>
        <w:rPr>
          <w:spacing w:val="-11"/>
        </w:rPr>
        <w:t> </w:t>
      </w:r>
      <w:r>
        <w:rPr>
          <w:spacing w:val="-2"/>
        </w:rPr>
        <w:t>making</w:t>
      </w:r>
      <w:r>
        <w:rPr>
          <w:spacing w:val="-11"/>
        </w:rPr>
        <w:t> </w:t>
      </w:r>
      <w:r>
        <w:rPr>
          <w:spacing w:val="-2"/>
        </w:rPr>
        <w:t>and</w:t>
      </w:r>
      <w:r>
        <w:rPr>
          <w:spacing w:val="-11"/>
        </w:rPr>
        <w:t> </w:t>
      </w:r>
      <w:r>
        <w:rPr>
          <w:spacing w:val="-2"/>
        </w:rPr>
        <w:t>another</w:t>
      </w:r>
      <w:r>
        <w:rPr>
          <w:spacing w:val="-11"/>
        </w:rPr>
        <w:t> </w:t>
      </w:r>
      <w:r>
        <w:rPr>
          <w:spacing w:val="-2"/>
        </w:rPr>
        <w:t>person </w:t>
      </w:r>
      <w:r>
        <w:rPr/>
        <w:t>must make the decision in the best interest of the indi- vidual. A key</w:t>
      </w:r>
      <w:r>
        <w:rPr>
          <w:spacing w:val="-3"/>
        </w:rPr>
        <w:t> </w:t>
      </w:r>
      <w:r>
        <w:rPr/>
        <w:t>principle in the research of the subject is the</w:t>
      </w:r>
      <w:r>
        <w:rPr>
          <w:spacing w:val="-1"/>
        </w:rPr>
        <w:t> </w:t>
      </w:r>
      <w:r>
        <w:rPr/>
        <w:t>ability</w:t>
      </w:r>
      <w:r>
        <w:rPr>
          <w:spacing w:val="-3"/>
        </w:rPr>
        <w:t> </w:t>
      </w:r>
      <w:r>
        <w:rPr/>
        <w:t>to make</w:t>
      </w:r>
      <w:r>
        <w:rPr>
          <w:spacing w:val="-1"/>
        </w:rPr>
        <w:t> </w:t>
      </w:r>
      <w:r>
        <w:rPr/>
        <w:t>a</w:t>
      </w:r>
      <w:r>
        <w:rPr>
          <w:spacing w:val="-1"/>
        </w:rPr>
        <w:t> </w:t>
      </w:r>
      <w:r>
        <w:rPr/>
        <w:t>decision</w:t>
      </w:r>
      <w:r>
        <w:rPr>
          <w:spacing w:val="-1"/>
        </w:rPr>
        <w:t> </w:t>
      </w:r>
      <w:r>
        <w:rPr/>
        <w:t>on</w:t>
      </w:r>
      <w:r>
        <w:rPr>
          <w:spacing w:val="-1"/>
        </w:rPr>
        <w:t> </w:t>
      </w:r>
      <w:r>
        <w:rPr/>
        <w:t>whether</w:t>
      </w:r>
      <w:r>
        <w:rPr>
          <w:spacing w:val="-2"/>
        </w:rPr>
        <w:t> </w:t>
      </w:r>
      <w:r>
        <w:rPr/>
        <w:t>to</w:t>
      </w:r>
      <w:r>
        <w:rPr>
          <w:spacing w:val="-1"/>
        </w:rPr>
        <w:t> </w:t>
      </w:r>
      <w:r>
        <w:rPr/>
        <w:t>participate despite</w:t>
      </w:r>
      <w:r>
        <w:rPr>
          <w:spacing w:val="-4"/>
        </w:rPr>
        <w:t> </w:t>
      </w:r>
      <w:r>
        <w:rPr/>
        <w:t>the</w:t>
      </w:r>
      <w:r>
        <w:rPr>
          <w:spacing w:val="-4"/>
        </w:rPr>
        <w:t> </w:t>
      </w:r>
      <w:r>
        <w:rPr/>
        <w:t>perceived</w:t>
      </w:r>
      <w:r>
        <w:rPr>
          <w:spacing w:val="-4"/>
        </w:rPr>
        <w:t> </w:t>
      </w:r>
      <w:r>
        <w:rPr/>
        <w:t>risk.</w:t>
      </w:r>
      <w:r>
        <w:rPr>
          <w:spacing w:val="-4"/>
        </w:rPr>
        <w:t> </w:t>
      </w:r>
      <w:r>
        <w:rPr/>
        <w:t>The</w:t>
      </w:r>
      <w:r>
        <w:rPr>
          <w:spacing w:val="-4"/>
        </w:rPr>
        <w:t> </w:t>
      </w:r>
      <w:r>
        <w:rPr/>
        <w:t>autonomous</w:t>
      </w:r>
      <w:r>
        <w:rPr>
          <w:spacing w:val="-4"/>
        </w:rPr>
        <w:t> </w:t>
      </w:r>
      <w:r>
        <w:rPr/>
        <w:t>decision</w:t>
      </w:r>
      <w:r>
        <w:rPr>
          <w:spacing w:val="-4"/>
        </w:rPr>
        <w:t> </w:t>
      </w:r>
      <w:r>
        <w:rPr/>
        <w:t>of the adult is clear, but at what point can an autonomous decision</w:t>
      </w:r>
      <w:r>
        <w:rPr>
          <w:spacing w:val="-1"/>
        </w:rPr>
        <w:t> </w:t>
      </w:r>
      <w:r>
        <w:rPr/>
        <w:t>be</w:t>
      </w:r>
      <w:r>
        <w:rPr>
          <w:spacing w:val="-4"/>
        </w:rPr>
        <w:t> </w:t>
      </w:r>
      <w:r>
        <w:rPr/>
        <w:t>made</w:t>
      </w:r>
      <w:r>
        <w:rPr>
          <w:spacing w:val="-1"/>
        </w:rPr>
        <w:t> </w:t>
      </w:r>
      <w:r>
        <w:rPr/>
        <w:t>by</w:t>
      </w:r>
      <w:r>
        <w:rPr>
          <w:spacing w:val="-6"/>
        </w:rPr>
        <w:t> </w:t>
      </w:r>
      <w:r>
        <w:rPr/>
        <w:t>a</w:t>
      </w:r>
      <w:r>
        <w:rPr>
          <w:spacing w:val="-1"/>
        </w:rPr>
        <w:t> </w:t>
      </w:r>
      <w:r>
        <w:rPr/>
        <w:t>child? Do</w:t>
      </w:r>
      <w:r>
        <w:rPr>
          <w:spacing w:val="-3"/>
        </w:rPr>
        <w:t> </w:t>
      </w:r>
      <w:r>
        <w:rPr/>
        <w:t>children</w:t>
      </w:r>
      <w:r>
        <w:rPr>
          <w:spacing w:val="-4"/>
        </w:rPr>
        <w:t> </w:t>
      </w:r>
      <w:r>
        <w:rPr/>
        <w:t>have</w:t>
      </w:r>
      <w:r>
        <w:rPr>
          <w:spacing w:val="-1"/>
        </w:rPr>
        <w:t> </w:t>
      </w:r>
      <w:r>
        <w:rPr/>
        <w:t>the</w:t>
      </w:r>
      <w:r>
        <w:rPr>
          <w:spacing w:val="-1"/>
        </w:rPr>
        <w:t> </w:t>
      </w:r>
      <w:r>
        <w:rPr/>
        <w:t>abi- lity to make autonomous decisions, or should a pater- nalistic decision be made in the best interests of the child? Societies</w:t>
      </w:r>
      <w:r>
        <w:rPr>
          <w:spacing w:val="-1"/>
        </w:rPr>
        <w:t> </w:t>
      </w:r>
      <w:r>
        <w:rPr/>
        <w:t>define</w:t>
      </w:r>
      <w:r>
        <w:rPr>
          <w:spacing w:val="-1"/>
        </w:rPr>
        <w:t> </w:t>
      </w:r>
      <w:r>
        <w:rPr/>
        <w:t>the</w:t>
      </w:r>
      <w:r>
        <w:rPr>
          <w:spacing w:val="-1"/>
        </w:rPr>
        <w:t> </w:t>
      </w:r>
      <w:r>
        <w:rPr/>
        <w:t>ability</w:t>
      </w:r>
      <w:r>
        <w:rPr>
          <w:spacing w:val="-3"/>
        </w:rPr>
        <w:t> </w:t>
      </w:r>
      <w:r>
        <w:rPr/>
        <w:t>to make</w:t>
      </w:r>
      <w:r>
        <w:rPr>
          <w:spacing w:val="-1"/>
        </w:rPr>
        <w:t> </w:t>
      </w:r>
      <w:r>
        <w:rPr/>
        <w:t>autonomous decisions according to various factors such as age, se- </w:t>
      </w:r>
      <w:r>
        <w:rPr>
          <w:spacing w:val="-2"/>
        </w:rPr>
        <w:t>xual</w:t>
      </w:r>
      <w:r>
        <w:rPr>
          <w:spacing w:val="-6"/>
        </w:rPr>
        <w:t> </w:t>
      </w:r>
      <w:r>
        <w:rPr>
          <w:spacing w:val="-2"/>
        </w:rPr>
        <w:t>development</w:t>
      </w:r>
      <w:r>
        <w:rPr>
          <w:spacing w:val="-11"/>
        </w:rPr>
        <w:t> </w:t>
      </w:r>
      <w:r>
        <w:rPr>
          <w:spacing w:val="-2"/>
        </w:rPr>
        <w:t>and</w:t>
      </w:r>
      <w:r>
        <w:rPr>
          <w:spacing w:val="-10"/>
        </w:rPr>
        <w:t> </w:t>
      </w:r>
      <w:r>
        <w:rPr>
          <w:spacing w:val="-2"/>
        </w:rPr>
        <w:t>education.</w:t>
      </w:r>
      <w:r>
        <w:rPr>
          <w:spacing w:val="-10"/>
        </w:rPr>
        <w:t> </w:t>
      </w:r>
      <w:r>
        <w:rPr>
          <w:spacing w:val="-2"/>
        </w:rPr>
        <w:t>It</w:t>
      </w:r>
      <w:r>
        <w:rPr>
          <w:spacing w:val="-11"/>
        </w:rPr>
        <w:t> </w:t>
      </w:r>
      <w:r>
        <w:rPr>
          <w:spacing w:val="-2"/>
        </w:rPr>
        <w:t>is</w:t>
      </w:r>
      <w:r>
        <w:rPr>
          <w:spacing w:val="-11"/>
        </w:rPr>
        <w:t> </w:t>
      </w:r>
      <w:r>
        <w:rPr>
          <w:spacing w:val="-2"/>
        </w:rPr>
        <w:t>generally</w:t>
      </w:r>
      <w:r>
        <w:rPr>
          <w:spacing w:val="-12"/>
        </w:rPr>
        <w:t> </w:t>
      </w:r>
      <w:r>
        <w:rPr>
          <w:spacing w:val="-2"/>
        </w:rPr>
        <w:t>accepted </w:t>
      </w:r>
      <w:r>
        <w:rPr/>
        <w:t>that a child can make an autonomous decision at the age of 18 [4].</w:t>
      </w:r>
    </w:p>
    <w:p>
      <w:pPr>
        <w:pStyle w:val="BodyText"/>
      </w:pPr>
    </w:p>
    <w:p>
      <w:pPr>
        <w:spacing w:before="0"/>
        <w:ind w:left="238" w:right="0" w:firstLine="0"/>
        <w:jc w:val="left"/>
        <w:rPr>
          <w:i/>
          <w:sz w:val="21"/>
        </w:rPr>
      </w:pPr>
      <w:r>
        <w:rPr>
          <w:i/>
          <w:spacing w:val="-2"/>
          <w:sz w:val="21"/>
        </w:rPr>
        <w:t>Confidentiality</w:t>
      </w:r>
    </w:p>
    <w:p>
      <w:pPr>
        <w:pStyle w:val="BodyText"/>
        <w:spacing w:before="11"/>
        <w:rPr>
          <w:i/>
          <w:sz w:val="20"/>
        </w:rPr>
      </w:pPr>
    </w:p>
    <w:p>
      <w:pPr>
        <w:pStyle w:val="BodyText"/>
        <w:ind w:left="238" w:right="38"/>
        <w:jc w:val="both"/>
      </w:pPr>
      <w:r>
        <w:rPr/>
        <w:t>The right to confidentiality of the research results, tes- ting</w:t>
      </w:r>
      <w:r>
        <w:rPr>
          <w:spacing w:val="-1"/>
        </w:rPr>
        <w:t> </w:t>
      </w:r>
      <w:r>
        <w:rPr/>
        <w:t>and</w:t>
      </w:r>
      <w:r>
        <w:rPr>
          <w:spacing w:val="-1"/>
        </w:rPr>
        <w:t> </w:t>
      </w:r>
      <w:r>
        <w:rPr/>
        <w:t>screening</w:t>
      </w:r>
      <w:r>
        <w:rPr>
          <w:spacing w:val="-1"/>
        </w:rPr>
        <w:t> </w:t>
      </w:r>
      <w:r>
        <w:rPr/>
        <w:t>of</w:t>
      </w:r>
      <w:r>
        <w:rPr>
          <w:spacing w:val="-1"/>
        </w:rPr>
        <w:t> </w:t>
      </w:r>
      <w:r>
        <w:rPr/>
        <w:t>children</w:t>
      </w:r>
      <w:r>
        <w:rPr>
          <w:spacing w:val="-1"/>
        </w:rPr>
        <w:t> </w:t>
      </w:r>
      <w:r>
        <w:rPr/>
        <w:t>is</w:t>
      </w:r>
      <w:r>
        <w:rPr>
          <w:spacing w:val="-1"/>
        </w:rPr>
        <w:t> </w:t>
      </w:r>
      <w:r>
        <w:rPr/>
        <w:t>accomplished</w:t>
      </w:r>
      <w:r>
        <w:rPr>
          <w:spacing w:val="-1"/>
        </w:rPr>
        <w:t> </w:t>
      </w:r>
      <w:r>
        <w:rPr/>
        <w:t>by</w:t>
      </w:r>
      <w:r>
        <w:rPr>
          <w:spacing w:val="-2"/>
        </w:rPr>
        <w:t> </w:t>
      </w:r>
      <w:r>
        <w:rPr/>
        <w:t>their parents or legal guardians. The results are given to the child's parents [5].</w:t>
      </w:r>
    </w:p>
    <w:p>
      <w:pPr>
        <w:pStyle w:val="BodyText"/>
        <w:spacing w:before="4"/>
      </w:pPr>
    </w:p>
    <w:p>
      <w:pPr>
        <w:pStyle w:val="Heading4"/>
        <w:spacing w:before="1"/>
      </w:pPr>
      <w:r>
        <w:rPr/>
        <w:t>Informed</w:t>
      </w:r>
      <w:r>
        <w:rPr>
          <w:spacing w:val="-10"/>
        </w:rPr>
        <w:t> </w:t>
      </w:r>
      <w:r>
        <w:rPr>
          <w:spacing w:val="-2"/>
        </w:rPr>
        <w:t>consent</w:t>
      </w:r>
    </w:p>
    <w:p>
      <w:pPr>
        <w:pStyle w:val="BodyText"/>
        <w:spacing w:before="8"/>
        <w:rPr>
          <w:b/>
          <w:sz w:val="20"/>
        </w:rPr>
      </w:pPr>
    </w:p>
    <w:p>
      <w:pPr>
        <w:pStyle w:val="BodyText"/>
        <w:ind w:left="238" w:right="38"/>
        <w:jc w:val="both"/>
      </w:pPr>
      <w:r>
        <w:rPr/>
        <w:t>The informed consent process is based on the ethical principle of "respect for personality". The informed consent</w:t>
      </w:r>
      <w:r>
        <w:rPr>
          <w:spacing w:val="-11"/>
        </w:rPr>
        <w:t> </w:t>
      </w:r>
      <w:r>
        <w:rPr/>
        <w:t>standards</w:t>
      </w:r>
      <w:r>
        <w:rPr>
          <w:spacing w:val="-11"/>
        </w:rPr>
        <w:t> </w:t>
      </w:r>
      <w:r>
        <w:rPr/>
        <w:t>include:</w:t>
      </w:r>
      <w:r>
        <w:rPr>
          <w:spacing w:val="-11"/>
        </w:rPr>
        <w:t> </w:t>
      </w:r>
      <w:r>
        <w:rPr/>
        <w:t>[1]</w:t>
      </w:r>
      <w:r>
        <w:rPr>
          <w:spacing w:val="-11"/>
        </w:rPr>
        <w:t> </w:t>
      </w:r>
      <w:r>
        <w:rPr/>
        <w:t>providing</w:t>
      </w:r>
      <w:r>
        <w:rPr>
          <w:spacing w:val="-11"/>
        </w:rPr>
        <w:t> </w:t>
      </w:r>
      <w:r>
        <w:rPr/>
        <w:t>research</w:t>
      </w:r>
      <w:r>
        <w:rPr>
          <w:spacing w:val="-10"/>
        </w:rPr>
        <w:t> </w:t>
      </w:r>
      <w:r>
        <w:rPr/>
        <w:t>infor- mation</w:t>
      </w:r>
      <w:r>
        <w:rPr>
          <w:spacing w:val="-1"/>
        </w:rPr>
        <w:t> </w:t>
      </w:r>
      <w:r>
        <w:rPr/>
        <w:t>and opportunity</w:t>
      </w:r>
      <w:r>
        <w:rPr>
          <w:spacing w:val="-2"/>
        </w:rPr>
        <w:t> </w:t>
      </w:r>
      <w:r>
        <w:rPr/>
        <w:t>to decide whether to participa- te in it, [2] presenting the information in a comprehen- sible</w:t>
      </w:r>
      <w:r>
        <w:rPr>
          <w:spacing w:val="-1"/>
        </w:rPr>
        <w:t> </w:t>
      </w:r>
      <w:r>
        <w:rPr/>
        <w:t>manner,</w:t>
      </w:r>
      <w:r>
        <w:rPr>
          <w:spacing w:val="-3"/>
        </w:rPr>
        <w:t> </w:t>
      </w:r>
      <w:r>
        <w:rPr/>
        <w:t>and</w:t>
      </w:r>
      <w:r>
        <w:rPr>
          <w:spacing w:val="-3"/>
        </w:rPr>
        <w:t> </w:t>
      </w:r>
      <w:r>
        <w:rPr/>
        <w:t>[3]</w:t>
      </w:r>
      <w:r>
        <w:rPr>
          <w:spacing w:val="-2"/>
        </w:rPr>
        <w:t> </w:t>
      </w:r>
      <w:r>
        <w:rPr/>
        <w:t>voluntary</w:t>
      </w:r>
      <w:r>
        <w:rPr>
          <w:spacing w:val="-8"/>
        </w:rPr>
        <w:t> </w:t>
      </w:r>
      <w:r>
        <w:rPr/>
        <w:t>participation</w:t>
      </w:r>
      <w:r>
        <w:rPr>
          <w:spacing w:val="-3"/>
        </w:rPr>
        <w:t> </w:t>
      </w:r>
      <w:r>
        <w:rPr/>
        <w:t>of</w:t>
      </w:r>
      <w:r>
        <w:rPr>
          <w:spacing w:val="-2"/>
        </w:rPr>
        <w:t> </w:t>
      </w:r>
      <w:r>
        <w:rPr/>
        <w:t>the</w:t>
      </w:r>
      <w:r>
        <w:rPr>
          <w:spacing w:val="-3"/>
        </w:rPr>
        <w:t> </w:t>
      </w:r>
      <w:r>
        <w:rPr/>
        <w:t>po- tential</w:t>
      </w:r>
      <w:r>
        <w:rPr>
          <w:spacing w:val="17"/>
        </w:rPr>
        <w:t> </w:t>
      </w:r>
      <w:r>
        <w:rPr/>
        <w:t>subject</w:t>
      </w:r>
      <w:r>
        <w:rPr>
          <w:spacing w:val="17"/>
        </w:rPr>
        <w:t> </w:t>
      </w:r>
      <w:r>
        <w:rPr/>
        <w:t>and</w:t>
      </w:r>
      <w:r>
        <w:rPr>
          <w:spacing w:val="20"/>
        </w:rPr>
        <w:t> </w:t>
      </w:r>
      <w:r>
        <w:rPr/>
        <w:t>the</w:t>
      </w:r>
      <w:r>
        <w:rPr>
          <w:spacing w:val="16"/>
        </w:rPr>
        <w:t> </w:t>
      </w:r>
      <w:r>
        <w:rPr/>
        <w:t>opportunity</w:t>
      </w:r>
      <w:r>
        <w:rPr>
          <w:spacing w:val="15"/>
        </w:rPr>
        <w:t> </w:t>
      </w:r>
      <w:r>
        <w:rPr/>
        <w:t>to</w:t>
      </w:r>
      <w:r>
        <w:rPr>
          <w:spacing w:val="19"/>
        </w:rPr>
        <w:t> </w:t>
      </w:r>
      <w:r>
        <w:rPr/>
        <w:t>withdraw</w:t>
      </w:r>
      <w:r>
        <w:rPr>
          <w:spacing w:val="18"/>
        </w:rPr>
        <w:t> </w:t>
      </w:r>
      <w:r>
        <w:rPr>
          <w:spacing w:val="-2"/>
        </w:rPr>
        <w:t>freely</w:t>
      </w:r>
    </w:p>
    <w:p>
      <w:pPr>
        <w:pStyle w:val="BodyText"/>
        <w:spacing w:before="92"/>
        <w:ind w:left="238" w:right="290"/>
        <w:jc w:val="both"/>
      </w:pPr>
      <w:r>
        <w:rPr/>
        <w:br w:type="column"/>
      </w:r>
      <w:r>
        <w:rPr/>
        <w:t>at any time without any repercussions. Applying these standards to pediatric patients is a challenge. For exa- mple, what is the most appropriate way to make sure </w:t>
      </w:r>
      <w:r>
        <w:rPr>
          <w:spacing w:val="-2"/>
        </w:rPr>
        <w:t>that</w:t>
      </w:r>
      <w:r>
        <w:rPr>
          <w:spacing w:val="-10"/>
        </w:rPr>
        <w:t> </w:t>
      </w:r>
      <w:r>
        <w:rPr>
          <w:spacing w:val="-2"/>
        </w:rPr>
        <w:t>a</w:t>
      </w:r>
      <w:r>
        <w:rPr>
          <w:spacing w:val="-9"/>
        </w:rPr>
        <w:t> </w:t>
      </w:r>
      <w:r>
        <w:rPr>
          <w:spacing w:val="-2"/>
        </w:rPr>
        <w:t>10-year-old</w:t>
      </w:r>
      <w:r>
        <w:rPr>
          <w:spacing w:val="-9"/>
        </w:rPr>
        <w:t> </w:t>
      </w:r>
      <w:r>
        <w:rPr>
          <w:spacing w:val="-2"/>
        </w:rPr>
        <w:t>understands</w:t>
      </w:r>
      <w:r>
        <w:rPr>
          <w:spacing w:val="-10"/>
        </w:rPr>
        <w:t> </w:t>
      </w:r>
      <w:r>
        <w:rPr>
          <w:spacing w:val="-2"/>
        </w:rPr>
        <w:t>the</w:t>
      </w:r>
      <w:r>
        <w:rPr>
          <w:spacing w:val="-9"/>
        </w:rPr>
        <w:t> </w:t>
      </w:r>
      <w:r>
        <w:rPr>
          <w:spacing w:val="-2"/>
        </w:rPr>
        <w:t>information</w:t>
      </w:r>
      <w:r>
        <w:rPr>
          <w:spacing w:val="-9"/>
        </w:rPr>
        <w:t> </w:t>
      </w:r>
      <w:r>
        <w:rPr>
          <w:spacing w:val="-2"/>
        </w:rPr>
        <w:t>presented </w:t>
      </w:r>
      <w:r>
        <w:rPr/>
        <w:t>by the researcher? Therefore, it is an imperative for researchers to meet the standards of the informed consent with the child's caregiver in the best possible way. The informed consent is a legal document and therefore the age required for consent is coming with the adulthood. Institutional Review Boards (IRBs) are responsible for assessing risk levels in collaboration with the lead researcher.</w:t>
      </w:r>
      <w:r>
        <w:rPr>
          <w:spacing w:val="-2"/>
        </w:rPr>
        <w:t> </w:t>
      </w:r>
      <w:r>
        <w:rPr/>
        <w:t>This assessment</w:t>
      </w:r>
      <w:r>
        <w:rPr>
          <w:spacing w:val="-1"/>
        </w:rPr>
        <w:t> </w:t>
      </w:r>
      <w:r>
        <w:rPr/>
        <w:t>is made after reviewing the research protocol. The primary respon- sibility of the IRB is to protect the rights of the re- search subject by assessing the risk and obtaining in- formed consent and proper review and enforcement. The</w:t>
      </w:r>
      <w:r>
        <w:rPr>
          <w:spacing w:val="-1"/>
        </w:rPr>
        <w:t> </w:t>
      </w:r>
      <w:r>
        <w:rPr/>
        <w:t>informed</w:t>
      </w:r>
      <w:r>
        <w:rPr>
          <w:spacing w:val="-1"/>
        </w:rPr>
        <w:t> </w:t>
      </w:r>
      <w:r>
        <w:rPr/>
        <w:t>consent</w:t>
      </w:r>
      <w:r>
        <w:rPr>
          <w:spacing w:val="-2"/>
        </w:rPr>
        <w:t> </w:t>
      </w:r>
      <w:r>
        <w:rPr/>
        <w:t>is</w:t>
      </w:r>
      <w:r>
        <w:rPr>
          <w:spacing w:val="-2"/>
        </w:rPr>
        <w:t> </w:t>
      </w:r>
      <w:r>
        <w:rPr/>
        <w:t>a</w:t>
      </w:r>
      <w:r>
        <w:rPr>
          <w:spacing w:val="-1"/>
        </w:rPr>
        <w:t> </w:t>
      </w:r>
      <w:r>
        <w:rPr/>
        <w:t>legal</w:t>
      </w:r>
      <w:r>
        <w:rPr>
          <w:spacing w:val="-2"/>
        </w:rPr>
        <w:t> </w:t>
      </w:r>
      <w:r>
        <w:rPr/>
        <w:t>document</w:t>
      </w:r>
      <w:r>
        <w:rPr>
          <w:spacing w:val="-2"/>
        </w:rPr>
        <w:t> </w:t>
      </w:r>
      <w:r>
        <w:rPr/>
        <w:t>in</w:t>
      </w:r>
      <w:r>
        <w:rPr>
          <w:spacing w:val="-1"/>
        </w:rPr>
        <w:t> </w:t>
      </w:r>
      <w:r>
        <w:rPr/>
        <w:t>which</w:t>
      </w:r>
      <w:r>
        <w:rPr>
          <w:spacing w:val="-1"/>
        </w:rPr>
        <w:t> </w:t>
      </w:r>
      <w:r>
        <w:rPr/>
        <w:t>the patient voluntarily agrees to participate in a research </w:t>
      </w:r>
      <w:r>
        <w:rPr>
          <w:spacing w:val="-4"/>
        </w:rPr>
        <w:t>study.</w:t>
      </w:r>
      <w:r>
        <w:rPr>
          <w:spacing w:val="-10"/>
        </w:rPr>
        <w:t> </w:t>
      </w:r>
      <w:r>
        <w:rPr>
          <w:spacing w:val="-4"/>
        </w:rPr>
        <w:t>The</w:t>
      </w:r>
      <w:r>
        <w:rPr>
          <w:spacing w:val="-9"/>
        </w:rPr>
        <w:t> </w:t>
      </w:r>
      <w:r>
        <w:rPr>
          <w:spacing w:val="-4"/>
        </w:rPr>
        <w:t>informed</w:t>
      </w:r>
      <w:r>
        <w:rPr>
          <w:spacing w:val="-9"/>
        </w:rPr>
        <w:t> </w:t>
      </w:r>
      <w:r>
        <w:rPr>
          <w:spacing w:val="-4"/>
        </w:rPr>
        <w:t>consent</w:t>
      </w:r>
      <w:r>
        <w:rPr>
          <w:spacing w:val="-9"/>
        </w:rPr>
        <w:t> </w:t>
      </w:r>
      <w:r>
        <w:rPr>
          <w:spacing w:val="-4"/>
        </w:rPr>
        <w:t>must</w:t>
      </w:r>
      <w:r>
        <w:rPr>
          <w:spacing w:val="-9"/>
        </w:rPr>
        <w:t> </w:t>
      </w:r>
      <w:r>
        <w:rPr>
          <w:spacing w:val="-4"/>
        </w:rPr>
        <w:t>be</w:t>
      </w:r>
      <w:r>
        <w:rPr>
          <w:spacing w:val="-9"/>
        </w:rPr>
        <w:t> </w:t>
      </w:r>
      <w:r>
        <w:rPr>
          <w:spacing w:val="-4"/>
        </w:rPr>
        <w:t>signed</w:t>
      </w:r>
      <w:r>
        <w:rPr>
          <w:spacing w:val="-9"/>
        </w:rPr>
        <w:t> </w:t>
      </w:r>
      <w:r>
        <w:rPr>
          <w:spacing w:val="-4"/>
        </w:rPr>
        <w:t>by</w:t>
      </w:r>
      <w:r>
        <w:rPr>
          <w:spacing w:val="-9"/>
        </w:rPr>
        <w:t> </w:t>
      </w:r>
      <w:r>
        <w:rPr>
          <w:spacing w:val="-4"/>
        </w:rPr>
        <w:t>the</w:t>
      </w:r>
      <w:r>
        <w:rPr>
          <w:spacing w:val="-10"/>
        </w:rPr>
        <w:t> </w:t>
      </w:r>
      <w:r>
        <w:rPr>
          <w:spacing w:val="-4"/>
        </w:rPr>
        <w:t>child's </w:t>
      </w:r>
      <w:r>
        <w:rPr/>
        <w:t>legal guardian(s), depending on the risk of the invest- tigation. This step cannot be delegated to other family members or friends unless it is legally based. The in- formed consent must be written in a way that meets IRB standards that "information must be provided in a form</w:t>
      </w:r>
      <w:r>
        <w:rPr>
          <w:spacing w:val="-9"/>
        </w:rPr>
        <w:t> </w:t>
      </w:r>
      <w:r>
        <w:rPr/>
        <w:t>that</w:t>
      </w:r>
      <w:r>
        <w:rPr>
          <w:spacing w:val="-8"/>
        </w:rPr>
        <w:t> </w:t>
      </w:r>
      <w:r>
        <w:rPr/>
        <w:t>is</w:t>
      </w:r>
      <w:r>
        <w:rPr>
          <w:spacing w:val="-9"/>
        </w:rPr>
        <w:t> </w:t>
      </w:r>
      <w:r>
        <w:rPr/>
        <w:t>understandable".</w:t>
      </w:r>
      <w:r>
        <w:rPr>
          <w:spacing w:val="-7"/>
        </w:rPr>
        <w:t> </w:t>
      </w:r>
      <w:r>
        <w:rPr/>
        <w:t>Adults</w:t>
      </w:r>
      <w:r>
        <w:rPr>
          <w:spacing w:val="-9"/>
        </w:rPr>
        <w:t> </w:t>
      </w:r>
      <w:r>
        <w:rPr/>
        <w:t>who</w:t>
      </w:r>
      <w:r>
        <w:rPr>
          <w:spacing w:val="-9"/>
        </w:rPr>
        <w:t> </w:t>
      </w:r>
      <w:r>
        <w:rPr/>
        <w:t>are</w:t>
      </w:r>
      <w:r>
        <w:rPr>
          <w:spacing w:val="-7"/>
        </w:rPr>
        <w:t> </w:t>
      </w:r>
      <w:r>
        <w:rPr/>
        <w:t>the</w:t>
      </w:r>
      <w:r>
        <w:rPr>
          <w:spacing w:val="-9"/>
        </w:rPr>
        <w:t> </w:t>
      </w:r>
      <w:r>
        <w:rPr/>
        <w:t>child's </w:t>
      </w:r>
      <w:r>
        <w:rPr>
          <w:spacing w:val="-4"/>
        </w:rPr>
        <w:t>legal</w:t>
      </w:r>
      <w:r>
        <w:rPr>
          <w:spacing w:val="-6"/>
        </w:rPr>
        <w:t> </w:t>
      </w:r>
      <w:r>
        <w:rPr>
          <w:spacing w:val="-4"/>
        </w:rPr>
        <w:t>guardians must</w:t>
      </w:r>
      <w:r>
        <w:rPr>
          <w:spacing w:val="-6"/>
        </w:rPr>
        <w:t> </w:t>
      </w:r>
      <w:r>
        <w:rPr>
          <w:spacing w:val="-4"/>
        </w:rPr>
        <w:t>sign the informed consent. The</w:t>
      </w:r>
      <w:r>
        <w:rPr>
          <w:spacing w:val="-5"/>
        </w:rPr>
        <w:t> </w:t>
      </w:r>
      <w:r>
        <w:rPr>
          <w:spacing w:val="-4"/>
        </w:rPr>
        <w:t>con- </w:t>
      </w:r>
      <w:r>
        <w:rPr/>
        <w:t>cept</w:t>
      </w:r>
      <w:r>
        <w:rPr>
          <w:spacing w:val="-5"/>
        </w:rPr>
        <w:t> </w:t>
      </w:r>
      <w:r>
        <w:rPr/>
        <w:t>of</w:t>
      </w:r>
      <w:r>
        <w:rPr>
          <w:spacing w:val="-1"/>
        </w:rPr>
        <w:t> </w:t>
      </w:r>
      <w:r>
        <w:rPr/>
        <w:t>Informed</w:t>
      </w:r>
      <w:r>
        <w:rPr>
          <w:spacing w:val="-1"/>
        </w:rPr>
        <w:t> </w:t>
      </w:r>
      <w:r>
        <w:rPr/>
        <w:t>Consent</w:t>
      </w:r>
      <w:r>
        <w:rPr>
          <w:spacing w:val="-2"/>
        </w:rPr>
        <w:t> </w:t>
      </w:r>
      <w:r>
        <w:rPr/>
        <w:t>for</w:t>
      </w:r>
      <w:r>
        <w:rPr>
          <w:spacing w:val="-3"/>
        </w:rPr>
        <w:t> </w:t>
      </w:r>
      <w:r>
        <w:rPr/>
        <w:t>Children</w:t>
      </w:r>
      <w:r>
        <w:rPr>
          <w:spacing w:val="-1"/>
        </w:rPr>
        <w:t> </w:t>
      </w:r>
      <w:r>
        <w:rPr/>
        <w:t>is</w:t>
      </w:r>
      <w:r>
        <w:rPr>
          <w:spacing w:val="-1"/>
        </w:rPr>
        <w:t> </w:t>
      </w:r>
      <w:r>
        <w:rPr/>
        <w:t>similar</w:t>
      </w:r>
      <w:r>
        <w:rPr>
          <w:spacing w:val="-1"/>
        </w:rPr>
        <w:t> </w:t>
      </w:r>
      <w:r>
        <w:rPr/>
        <w:t>to</w:t>
      </w:r>
      <w:r>
        <w:rPr>
          <w:spacing w:val="-1"/>
        </w:rPr>
        <w:t> </w:t>
      </w:r>
      <w:r>
        <w:rPr/>
        <w:t>ob- taining</w:t>
      </w:r>
      <w:r>
        <w:rPr>
          <w:spacing w:val="-4"/>
        </w:rPr>
        <w:t> </w:t>
      </w:r>
      <w:r>
        <w:rPr/>
        <w:t>Informed</w:t>
      </w:r>
      <w:r>
        <w:rPr>
          <w:spacing w:val="-3"/>
        </w:rPr>
        <w:t> </w:t>
      </w:r>
      <w:r>
        <w:rPr/>
        <w:t>Consent</w:t>
      </w:r>
      <w:r>
        <w:rPr>
          <w:spacing w:val="-5"/>
        </w:rPr>
        <w:t> </w:t>
      </w:r>
      <w:r>
        <w:rPr/>
        <w:t>for</w:t>
      </w:r>
      <w:r>
        <w:rPr>
          <w:spacing w:val="-6"/>
        </w:rPr>
        <w:t> </w:t>
      </w:r>
      <w:r>
        <w:rPr/>
        <w:t>Adult</w:t>
      </w:r>
      <w:r>
        <w:rPr>
          <w:spacing w:val="-7"/>
        </w:rPr>
        <w:t> </w:t>
      </w:r>
      <w:r>
        <w:rPr/>
        <w:t>Research</w:t>
      </w:r>
      <w:r>
        <w:rPr>
          <w:spacing w:val="-6"/>
        </w:rPr>
        <w:t> </w:t>
      </w:r>
      <w:r>
        <w:rPr>
          <w:spacing w:val="-2"/>
        </w:rPr>
        <w:t>Subjects.</w:t>
      </w:r>
    </w:p>
    <w:p>
      <w:pPr>
        <w:pStyle w:val="BodyText"/>
        <w:spacing w:before="6"/>
      </w:pPr>
    </w:p>
    <w:p>
      <w:pPr>
        <w:pStyle w:val="Heading4"/>
        <w:jc w:val="both"/>
      </w:pPr>
      <w:r>
        <w:rPr/>
        <w:t>Challenges</w:t>
      </w:r>
      <w:r>
        <w:rPr>
          <w:spacing w:val="-9"/>
        </w:rPr>
        <w:t> </w:t>
      </w:r>
      <w:r>
        <w:rPr/>
        <w:t>in</w:t>
      </w:r>
      <w:r>
        <w:rPr>
          <w:spacing w:val="-7"/>
        </w:rPr>
        <w:t> </w:t>
      </w:r>
      <w:r>
        <w:rPr/>
        <w:t>performing</w:t>
      </w:r>
      <w:r>
        <w:rPr>
          <w:spacing w:val="-8"/>
        </w:rPr>
        <w:t> </w:t>
      </w:r>
      <w:r>
        <w:rPr/>
        <w:t>pediatric</w:t>
      </w:r>
      <w:r>
        <w:rPr>
          <w:spacing w:val="-7"/>
        </w:rPr>
        <w:t> </w:t>
      </w:r>
      <w:r>
        <w:rPr>
          <w:spacing w:val="-2"/>
        </w:rPr>
        <w:t>research</w:t>
      </w:r>
    </w:p>
    <w:p>
      <w:pPr>
        <w:pStyle w:val="BodyText"/>
        <w:spacing w:before="6"/>
        <w:rPr>
          <w:b/>
          <w:sz w:val="20"/>
        </w:rPr>
      </w:pPr>
    </w:p>
    <w:p>
      <w:pPr>
        <w:pStyle w:val="BodyText"/>
        <w:ind w:left="238" w:right="291"/>
        <w:jc w:val="both"/>
      </w:pPr>
      <w:r>
        <w:rPr/>
        <w:t>Carrying out research in pediatric populations is extremely difficult because it brings a special package of challenges.</w:t>
      </w:r>
    </w:p>
    <w:p>
      <w:pPr>
        <w:pStyle w:val="BodyText"/>
        <w:spacing w:before="4"/>
      </w:pPr>
    </w:p>
    <w:p>
      <w:pPr>
        <w:pStyle w:val="Heading4"/>
      </w:pPr>
      <w:r>
        <w:rPr>
          <w:spacing w:val="-2"/>
        </w:rPr>
        <w:t>Guardianship</w:t>
      </w:r>
    </w:p>
    <w:p>
      <w:pPr>
        <w:pStyle w:val="BodyText"/>
        <w:spacing w:before="8"/>
        <w:rPr>
          <w:b/>
          <w:sz w:val="20"/>
        </w:rPr>
      </w:pPr>
    </w:p>
    <w:p>
      <w:pPr>
        <w:pStyle w:val="BodyText"/>
        <w:spacing w:before="1"/>
        <w:ind w:left="238" w:right="290"/>
        <w:jc w:val="both"/>
      </w:pPr>
      <w:r>
        <w:rPr/>
        <w:t>Guardianship is a term used to describe someone who has been elected or appointed to make legal decisions for another person who cannot make those decisions</w:t>
      </w:r>
      <w:r>
        <w:rPr>
          <w:spacing w:val="40"/>
        </w:rPr>
        <w:t> </w:t>
      </w:r>
      <w:r>
        <w:rPr/>
        <w:t>on his or her own. Guardianship’s issues can become legally complex, and can occur with or without termi- nation</w:t>
      </w:r>
      <w:r>
        <w:rPr>
          <w:spacing w:val="-3"/>
        </w:rPr>
        <w:t> </w:t>
      </w:r>
      <w:r>
        <w:rPr/>
        <w:t>of</w:t>
      </w:r>
      <w:r>
        <w:rPr>
          <w:spacing w:val="-11"/>
        </w:rPr>
        <w:t> </w:t>
      </w:r>
      <w:r>
        <w:rPr/>
        <w:t>parental</w:t>
      </w:r>
      <w:r>
        <w:rPr>
          <w:spacing w:val="-9"/>
        </w:rPr>
        <w:t> </w:t>
      </w:r>
      <w:r>
        <w:rPr/>
        <w:t>rights.</w:t>
      </w:r>
      <w:r>
        <w:rPr>
          <w:spacing w:val="-8"/>
        </w:rPr>
        <w:t> </w:t>
      </w:r>
      <w:r>
        <w:rPr/>
        <w:t>If</w:t>
      </w:r>
      <w:r>
        <w:rPr>
          <w:spacing w:val="-11"/>
        </w:rPr>
        <w:t> </w:t>
      </w:r>
      <w:r>
        <w:rPr/>
        <w:t>parental</w:t>
      </w:r>
      <w:r>
        <w:rPr>
          <w:spacing w:val="-9"/>
        </w:rPr>
        <w:t> </w:t>
      </w:r>
      <w:r>
        <w:rPr/>
        <w:t>rights</w:t>
      </w:r>
      <w:r>
        <w:rPr>
          <w:spacing w:val="-10"/>
        </w:rPr>
        <w:t> </w:t>
      </w:r>
      <w:r>
        <w:rPr/>
        <w:t>remain</w:t>
      </w:r>
      <w:r>
        <w:rPr>
          <w:spacing w:val="-10"/>
        </w:rPr>
        <w:t> </w:t>
      </w:r>
      <w:r>
        <w:rPr/>
        <w:t>in</w:t>
      </w:r>
      <w:r>
        <w:rPr>
          <w:spacing w:val="-8"/>
        </w:rPr>
        <w:t> </w:t>
      </w:r>
      <w:r>
        <w:rPr/>
        <w:t>the presence</w:t>
      </w:r>
      <w:r>
        <w:rPr>
          <w:spacing w:val="-14"/>
        </w:rPr>
        <w:t> </w:t>
      </w:r>
      <w:r>
        <w:rPr/>
        <w:t>of</w:t>
      </w:r>
      <w:r>
        <w:rPr>
          <w:spacing w:val="-13"/>
        </w:rPr>
        <w:t> </w:t>
      </w:r>
      <w:r>
        <w:rPr/>
        <w:t>alternative</w:t>
      </w:r>
      <w:r>
        <w:rPr>
          <w:spacing w:val="-13"/>
        </w:rPr>
        <w:t> </w:t>
      </w:r>
      <w:r>
        <w:rPr/>
        <w:t>guardianship,</w:t>
      </w:r>
      <w:r>
        <w:rPr>
          <w:spacing w:val="-12"/>
        </w:rPr>
        <w:t> </w:t>
      </w:r>
      <w:r>
        <w:rPr/>
        <w:t>it</w:t>
      </w:r>
      <w:r>
        <w:rPr>
          <w:spacing w:val="-11"/>
        </w:rPr>
        <w:t> </w:t>
      </w:r>
      <w:r>
        <w:rPr/>
        <w:t>may</w:t>
      </w:r>
      <w:r>
        <w:rPr>
          <w:spacing w:val="-13"/>
        </w:rPr>
        <w:t> </w:t>
      </w:r>
      <w:r>
        <w:rPr/>
        <w:t>not</w:t>
      </w:r>
      <w:r>
        <w:rPr>
          <w:spacing w:val="-14"/>
        </w:rPr>
        <w:t> </w:t>
      </w:r>
      <w:r>
        <w:rPr/>
        <w:t>be</w:t>
      </w:r>
      <w:r>
        <w:rPr>
          <w:spacing w:val="-13"/>
        </w:rPr>
        <w:t> </w:t>
      </w:r>
      <w:r>
        <w:rPr/>
        <w:t>clear to</w:t>
      </w:r>
      <w:r>
        <w:rPr>
          <w:spacing w:val="-7"/>
        </w:rPr>
        <w:t> </w:t>
      </w:r>
      <w:r>
        <w:rPr/>
        <w:t>the</w:t>
      </w:r>
      <w:r>
        <w:rPr>
          <w:spacing w:val="-8"/>
        </w:rPr>
        <w:t> </w:t>
      </w:r>
      <w:r>
        <w:rPr/>
        <w:t>researcher</w:t>
      </w:r>
      <w:r>
        <w:rPr>
          <w:spacing w:val="-9"/>
        </w:rPr>
        <w:t> </w:t>
      </w:r>
      <w:r>
        <w:rPr/>
        <w:t>who</w:t>
      </w:r>
      <w:r>
        <w:rPr>
          <w:spacing w:val="-8"/>
        </w:rPr>
        <w:t> </w:t>
      </w:r>
      <w:r>
        <w:rPr/>
        <w:t>can</w:t>
      </w:r>
      <w:r>
        <w:rPr>
          <w:spacing w:val="-7"/>
        </w:rPr>
        <w:t> </w:t>
      </w:r>
      <w:r>
        <w:rPr/>
        <w:t>legally</w:t>
      </w:r>
      <w:r>
        <w:rPr>
          <w:spacing w:val="-8"/>
        </w:rPr>
        <w:t> </w:t>
      </w:r>
      <w:r>
        <w:rPr/>
        <w:t>make</w:t>
      </w:r>
      <w:r>
        <w:rPr>
          <w:spacing w:val="-8"/>
        </w:rPr>
        <w:t> </w:t>
      </w:r>
      <w:r>
        <w:rPr/>
        <w:t>decisions</w:t>
      </w:r>
      <w:r>
        <w:rPr>
          <w:spacing w:val="-8"/>
        </w:rPr>
        <w:t> </w:t>
      </w:r>
      <w:r>
        <w:rPr/>
        <w:t>regar- ding</w:t>
      </w:r>
      <w:r>
        <w:rPr>
          <w:spacing w:val="-6"/>
        </w:rPr>
        <w:t> </w:t>
      </w:r>
      <w:r>
        <w:rPr/>
        <w:t>the</w:t>
      </w:r>
      <w:r>
        <w:rPr>
          <w:spacing w:val="-4"/>
        </w:rPr>
        <w:t> </w:t>
      </w:r>
      <w:r>
        <w:rPr/>
        <w:t>child's</w:t>
      </w:r>
      <w:r>
        <w:rPr>
          <w:spacing w:val="-2"/>
        </w:rPr>
        <w:t> </w:t>
      </w:r>
      <w:r>
        <w:rPr/>
        <w:t>participation</w:t>
      </w:r>
      <w:r>
        <w:rPr>
          <w:spacing w:val="-2"/>
        </w:rPr>
        <w:t> </w:t>
      </w:r>
      <w:r>
        <w:rPr/>
        <w:t>in</w:t>
      </w:r>
      <w:r>
        <w:rPr>
          <w:spacing w:val="-4"/>
        </w:rPr>
        <w:t> </w:t>
      </w:r>
      <w:r>
        <w:rPr/>
        <w:t>pediatric</w:t>
      </w:r>
      <w:r>
        <w:rPr>
          <w:spacing w:val="-4"/>
        </w:rPr>
        <w:t> </w:t>
      </w:r>
      <w:r>
        <w:rPr/>
        <w:t>research</w:t>
      </w:r>
      <w:r>
        <w:rPr>
          <w:spacing w:val="-4"/>
        </w:rPr>
        <w:t> </w:t>
      </w:r>
      <w:r>
        <w:rPr/>
        <w:t>(who may agree, whether both parents and guardians should consent, etc.). For this reason, researchers often avoid involving pediatric patients when guardianship is un- clear. Adopted</w:t>
      </w:r>
      <w:r>
        <w:rPr>
          <w:spacing w:val="-1"/>
        </w:rPr>
        <w:t> </w:t>
      </w:r>
      <w:r>
        <w:rPr/>
        <w:t>children, orphans and disabled</w:t>
      </w:r>
      <w:r>
        <w:rPr>
          <w:spacing w:val="-1"/>
        </w:rPr>
        <w:t> </w:t>
      </w:r>
      <w:r>
        <w:rPr/>
        <w:t>children are usually excluded from participation in a research.</w:t>
      </w:r>
    </w:p>
    <w:p>
      <w:pPr>
        <w:pStyle w:val="BodyText"/>
        <w:spacing w:before="11"/>
        <w:rPr>
          <w:sz w:val="20"/>
        </w:rPr>
      </w:pPr>
    </w:p>
    <w:p>
      <w:pPr>
        <w:spacing w:before="0"/>
        <w:ind w:left="238" w:right="0" w:firstLine="0"/>
        <w:jc w:val="left"/>
        <w:rPr>
          <w:i/>
          <w:sz w:val="21"/>
        </w:rPr>
      </w:pPr>
      <w:r>
        <w:rPr>
          <w:i/>
          <w:sz w:val="21"/>
        </w:rPr>
        <w:t>The</w:t>
      </w:r>
      <w:r>
        <w:rPr>
          <w:i/>
          <w:spacing w:val="-3"/>
          <w:sz w:val="21"/>
        </w:rPr>
        <w:t> </w:t>
      </w:r>
      <w:r>
        <w:rPr>
          <w:i/>
          <w:sz w:val="21"/>
        </w:rPr>
        <w:t>role</w:t>
      </w:r>
      <w:r>
        <w:rPr>
          <w:i/>
          <w:spacing w:val="-2"/>
          <w:sz w:val="21"/>
        </w:rPr>
        <w:t> </w:t>
      </w:r>
      <w:r>
        <w:rPr>
          <w:i/>
          <w:sz w:val="21"/>
        </w:rPr>
        <w:t>of</w:t>
      </w:r>
      <w:r>
        <w:rPr>
          <w:i/>
          <w:spacing w:val="-2"/>
          <w:sz w:val="21"/>
        </w:rPr>
        <w:t> compensation</w:t>
      </w:r>
    </w:p>
    <w:p>
      <w:pPr>
        <w:pStyle w:val="BodyText"/>
        <w:rPr>
          <w:i/>
        </w:rPr>
      </w:pPr>
    </w:p>
    <w:p>
      <w:pPr>
        <w:pStyle w:val="BodyText"/>
        <w:ind w:left="238" w:right="290"/>
        <w:jc w:val="both"/>
      </w:pPr>
      <w:r>
        <w:rPr/>
        <w:t>The</w:t>
      </w:r>
      <w:r>
        <w:rPr>
          <w:spacing w:val="-8"/>
        </w:rPr>
        <w:t> </w:t>
      </w:r>
      <w:r>
        <w:rPr/>
        <w:t>role</w:t>
      </w:r>
      <w:r>
        <w:rPr>
          <w:spacing w:val="-8"/>
        </w:rPr>
        <w:t> </w:t>
      </w:r>
      <w:r>
        <w:rPr/>
        <w:t>of</w:t>
      </w:r>
      <w:r>
        <w:rPr>
          <w:spacing w:val="-9"/>
        </w:rPr>
        <w:t> </w:t>
      </w:r>
      <w:r>
        <w:rPr/>
        <w:t>compensation</w:t>
      </w:r>
      <w:r>
        <w:rPr>
          <w:spacing w:val="-8"/>
        </w:rPr>
        <w:t> </w:t>
      </w:r>
      <w:r>
        <w:rPr/>
        <w:t>in</w:t>
      </w:r>
      <w:r>
        <w:rPr>
          <w:spacing w:val="-7"/>
        </w:rPr>
        <w:t> </w:t>
      </w:r>
      <w:r>
        <w:rPr/>
        <w:t>medical</w:t>
      </w:r>
      <w:r>
        <w:rPr>
          <w:spacing w:val="-8"/>
        </w:rPr>
        <w:t> </w:t>
      </w:r>
      <w:r>
        <w:rPr/>
        <w:t>research</w:t>
      </w:r>
      <w:r>
        <w:rPr>
          <w:spacing w:val="-7"/>
        </w:rPr>
        <w:t> </w:t>
      </w:r>
      <w:r>
        <w:rPr/>
        <w:t>is</w:t>
      </w:r>
      <w:r>
        <w:rPr>
          <w:spacing w:val="-8"/>
        </w:rPr>
        <w:t> </w:t>
      </w:r>
      <w:r>
        <w:rPr/>
        <w:t>always controversial, regardless of the age of the subjects in- cluded</w:t>
      </w:r>
      <w:r>
        <w:rPr>
          <w:spacing w:val="-5"/>
        </w:rPr>
        <w:t> </w:t>
      </w:r>
      <w:r>
        <w:rPr/>
        <w:t>in</w:t>
      </w:r>
      <w:r>
        <w:rPr>
          <w:spacing w:val="-8"/>
        </w:rPr>
        <w:t> </w:t>
      </w:r>
      <w:r>
        <w:rPr/>
        <w:t>the</w:t>
      </w:r>
      <w:r>
        <w:rPr>
          <w:spacing w:val="-9"/>
        </w:rPr>
        <w:t> </w:t>
      </w:r>
      <w:r>
        <w:rPr/>
        <w:t>research.</w:t>
      </w:r>
      <w:r>
        <w:rPr>
          <w:spacing w:val="-9"/>
        </w:rPr>
        <w:t> </w:t>
      </w:r>
      <w:r>
        <w:rPr/>
        <w:t>Opponents</w:t>
      </w:r>
      <w:r>
        <w:rPr>
          <w:spacing w:val="-9"/>
        </w:rPr>
        <w:t> </w:t>
      </w:r>
      <w:r>
        <w:rPr/>
        <w:t>of</w:t>
      </w:r>
      <w:r>
        <w:rPr>
          <w:spacing w:val="-9"/>
        </w:rPr>
        <w:t> </w:t>
      </w:r>
      <w:r>
        <w:rPr/>
        <w:t>participant’s</w:t>
      </w:r>
      <w:r>
        <w:rPr>
          <w:spacing w:val="-7"/>
        </w:rPr>
        <w:t> </w:t>
      </w:r>
      <w:r>
        <w:rPr>
          <w:spacing w:val="-4"/>
        </w:rPr>
        <w:t>com-</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5"/>
        <w:rPr>
          <w:sz w:val="15"/>
        </w:rPr>
      </w:pPr>
    </w:p>
    <w:p>
      <w:pPr>
        <w:spacing w:after="0"/>
        <w:rPr>
          <w:sz w:val="15"/>
        </w:rPr>
        <w:sectPr>
          <w:pgSz w:w="11910" w:h="16840"/>
          <w:pgMar w:header="854" w:footer="0" w:top="1280" w:bottom="280" w:left="900" w:right="840"/>
        </w:sectPr>
      </w:pPr>
    </w:p>
    <w:p>
      <w:pPr>
        <w:pStyle w:val="BodyText"/>
        <w:spacing w:before="92"/>
        <w:ind w:left="238" w:right="38"/>
        <w:jc w:val="both"/>
      </w:pPr>
      <w:r>
        <w:rPr/>
        <w:t>pensation</w:t>
      </w:r>
      <w:r>
        <w:rPr>
          <w:spacing w:val="-2"/>
        </w:rPr>
        <w:t> </w:t>
      </w:r>
      <w:r>
        <w:rPr/>
        <w:t>argue</w:t>
      </w:r>
      <w:r>
        <w:rPr>
          <w:spacing w:val="-5"/>
        </w:rPr>
        <w:t> </w:t>
      </w:r>
      <w:r>
        <w:rPr/>
        <w:t>that</w:t>
      </w:r>
      <w:r>
        <w:rPr>
          <w:spacing w:val="-6"/>
        </w:rPr>
        <w:t> </w:t>
      </w:r>
      <w:r>
        <w:rPr/>
        <w:t>compensation</w:t>
      </w:r>
      <w:r>
        <w:rPr>
          <w:spacing w:val="-5"/>
        </w:rPr>
        <w:t> </w:t>
      </w:r>
      <w:r>
        <w:rPr/>
        <w:t>reduces</w:t>
      </w:r>
      <w:r>
        <w:rPr>
          <w:spacing w:val="-6"/>
        </w:rPr>
        <w:t> </w:t>
      </w:r>
      <w:r>
        <w:rPr/>
        <w:t>the</w:t>
      </w:r>
      <w:r>
        <w:rPr>
          <w:spacing w:val="-5"/>
        </w:rPr>
        <w:t> </w:t>
      </w:r>
      <w:r>
        <w:rPr/>
        <w:t>willing- ness</w:t>
      </w:r>
      <w:r>
        <w:rPr>
          <w:spacing w:val="-7"/>
        </w:rPr>
        <w:t> </w:t>
      </w:r>
      <w:r>
        <w:rPr/>
        <w:t>of</w:t>
      </w:r>
      <w:r>
        <w:rPr>
          <w:spacing w:val="-8"/>
        </w:rPr>
        <w:t> </w:t>
      </w:r>
      <w:r>
        <w:rPr/>
        <w:t>informed</w:t>
      </w:r>
      <w:r>
        <w:rPr>
          <w:spacing w:val="-10"/>
        </w:rPr>
        <w:t> </w:t>
      </w:r>
      <w:r>
        <w:rPr/>
        <w:t>consent.</w:t>
      </w:r>
      <w:r>
        <w:rPr>
          <w:spacing w:val="-10"/>
        </w:rPr>
        <w:t> </w:t>
      </w:r>
      <w:r>
        <w:rPr/>
        <w:t>Proponents</w:t>
      </w:r>
      <w:r>
        <w:rPr>
          <w:spacing w:val="-10"/>
        </w:rPr>
        <w:t> </w:t>
      </w:r>
      <w:r>
        <w:rPr/>
        <w:t>of</w:t>
      </w:r>
      <w:r>
        <w:rPr>
          <w:spacing w:val="-8"/>
        </w:rPr>
        <w:t> </w:t>
      </w:r>
      <w:r>
        <w:rPr/>
        <w:t>compensation, on the other hand, consider it unethical to participate</w:t>
      </w:r>
      <w:r>
        <w:rPr>
          <w:spacing w:val="80"/>
        </w:rPr>
        <w:t> </w:t>
      </w:r>
      <w:r>
        <w:rPr/>
        <w:t>in the research when the subject is not paid. Fees for pediatric research are allowed in the United States, yet many</w:t>
      </w:r>
      <w:r>
        <w:rPr>
          <w:spacing w:val="-2"/>
        </w:rPr>
        <w:t> </w:t>
      </w:r>
      <w:r>
        <w:rPr/>
        <w:t>countries, including those in Europe, do not pro- </w:t>
      </w:r>
      <w:r>
        <w:rPr>
          <w:spacing w:val="-2"/>
        </w:rPr>
        <w:t>vide compensation</w:t>
      </w:r>
      <w:r>
        <w:rPr>
          <w:spacing w:val="-6"/>
        </w:rPr>
        <w:t> </w:t>
      </w:r>
      <w:r>
        <w:rPr>
          <w:spacing w:val="-2"/>
        </w:rPr>
        <w:t>for</w:t>
      </w:r>
      <w:r>
        <w:rPr>
          <w:spacing w:val="-6"/>
        </w:rPr>
        <w:t> </w:t>
      </w:r>
      <w:r>
        <w:rPr>
          <w:spacing w:val="-2"/>
        </w:rPr>
        <w:t>pediatric</w:t>
      </w:r>
      <w:r>
        <w:rPr>
          <w:spacing w:val="-6"/>
        </w:rPr>
        <w:t> </w:t>
      </w:r>
      <w:r>
        <w:rPr>
          <w:spacing w:val="-2"/>
        </w:rPr>
        <w:t>research</w:t>
      </w:r>
      <w:r>
        <w:rPr>
          <w:spacing w:val="-6"/>
        </w:rPr>
        <w:t> </w:t>
      </w:r>
      <w:r>
        <w:rPr>
          <w:spacing w:val="-2"/>
        </w:rPr>
        <w:t>subjects.</w:t>
      </w:r>
      <w:r>
        <w:rPr>
          <w:spacing w:val="-6"/>
        </w:rPr>
        <w:t> </w:t>
      </w:r>
      <w:r>
        <w:rPr>
          <w:spacing w:val="-2"/>
        </w:rPr>
        <w:t>Com- </w:t>
      </w:r>
      <w:r>
        <w:rPr/>
        <w:t>pensation</w:t>
      </w:r>
      <w:r>
        <w:rPr>
          <w:spacing w:val="-10"/>
        </w:rPr>
        <w:t> </w:t>
      </w:r>
      <w:r>
        <w:rPr/>
        <w:t>for</w:t>
      </w:r>
      <w:r>
        <w:rPr>
          <w:spacing w:val="-11"/>
        </w:rPr>
        <w:t> </w:t>
      </w:r>
      <w:r>
        <w:rPr/>
        <w:t>medical</w:t>
      </w:r>
      <w:r>
        <w:rPr>
          <w:spacing w:val="-13"/>
        </w:rPr>
        <w:t> </w:t>
      </w:r>
      <w:r>
        <w:rPr/>
        <w:t>research</w:t>
      </w:r>
      <w:r>
        <w:rPr>
          <w:spacing w:val="-13"/>
        </w:rPr>
        <w:t> </w:t>
      </w:r>
      <w:r>
        <w:rPr/>
        <w:t>subjects</w:t>
      </w:r>
      <w:r>
        <w:rPr>
          <w:spacing w:val="-13"/>
        </w:rPr>
        <w:t> </w:t>
      </w:r>
      <w:r>
        <w:rPr/>
        <w:t>quickly</w:t>
      </w:r>
      <w:r>
        <w:rPr>
          <w:spacing w:val="-14"/>
        </w:rPr>
        <w:t> </w:t>
      </w:r>
      <w:r>
        <w:rPr/>
        <w:t>became standard practice in the United States, and thus the problems of compensating participants in pediatric re- search were gradually resolved. The payment to pa- rents</w:t>
      </w:r>
      <w:r>
        <w:rPr>
          <w:spacing w:val="-3"/>
        </w:rPr>
        <w:t> </w:t>
      </w:r>
      <w:r>
        <w:rPr/>
        <w:t>must</w:t>
      </w:r>
      <w:r>
        <w:rPr>
          <w:spacing w:val="-3"/>
        </w:rPr>
        <w:t> </w:t>
      </w:r>
      <w:r>
        <w:rPr/>
        <w:t>be</w:t>
      </w:r>
      <w:r>
        <w:rPr>
          <w:spacing w:val="-3"/>
        </w:rPr>
        <w:t> </w:t>
      </w:r>
      <w:r>
        <w:rPr/>
        <w:t>sufficient</w:t>
      </w:r>
      <w:r>
        <w:rPr>
          <w:spacing w:val="-4"/>
        </w:rPr>
        <w:t> </w:t>
      </w:r>
      <w:r>
        <w:rPr/>
        <w:t>to</w:t>
      </w:r>
      <w:r>
        <w:rPr>
          <w:spacing w:val="-3"/>
        </w:rPr>
        <w:t> </w:t>
      </w:r>
      <w:r>
        <w:rPr/>
        <w:t>cover</w:t>
      </w:r>
      <w:r>
        <w:rPr>
          <w:spacing w:val="-4"/>
        </w:rPr>
        <w:t> </w:t>
      </w:r>
      <w:r>
        <w:rPr/>
        <w:t>the</w:t>
      </w:r>
      <w:r>
        <w:rPr>
          <w:spacing w:val="-3"/>
        </w:rPr>
        <w:t> </w:t>
      </w:r>
      <w:r>
        <w:rPr/>
        <w:t>costs</w:t>
      </w:r>
      <w:r>
        <w:rPr>
          <w:spacing w:val="-3"/>
        </w:rPr>
        <w:t> </w:t>
      </w:r>
      <w:r>
        <w:rPr/>
        <w:t>for</w:t>
      </w:r>
      <w:r>
        <w:rPr>
          <w:spacing w:val="-2"/>
        </w:rPr>
        <w:t> </w:t>
      </w:r>
      <w:r>
        <w:rPr/>
        <w:t>transport, medical care or food. However, the compensation of the parents or guardians must not exceed the amount that would influence the decision whether to include the child in the clinical study.</w:t>
      </w:r>
    </w:p>
    <w:p>
      <w:pPr>
        <w:pStyle w:val="BodyText"/>
        <w:spacing w:before="2"/>
      </w:pPr>
    </w:p>
    <w:p>
      <w:pPr>
        <w:spacing w:before="0"/>
        <w:ind w:left="238" w:right="0" w:firstLine="0"/>
        <w:jc w:val="both"/>
        <w:rPr>
          <w:i/>
          <w:sz w:val="21"/>
        </w:rPr>
      </w:pPr>
      <w:r>
        <w:rPr>
          <w:i/>
          <w:sz w:val="21"/>
        </w:rPr>
        <w:t>Commercial</w:t>
      </w:r>
      <w:r>
        <w:rPr>
          <w:i/>
          <w:spacing w:val="-9"/>
          <w:sz w:val="21"/>
        </w:rPr>
        <w:t> </w:t>
      </w:r>
      <w:r>
        <w:rPr>
          <w:i/>
          <w:spacing w:val="-2"/>
          <w:sz w:val="21"/>
        </w:rPr>
        <w:t>sponsorship</w:t>
      </w:r>
    </w:p>
    <w:p>
      <w:pPr>
        <w:pStyle w:val="BodyText"/>
        <w:spacing w:before="11"/>
        <w:rPr>
          <w:i/>
          <w:sz w:val="20"/>
        </w:rPr>
      </w:pPr>
    </w:p>
    <w:p>
      <w:pPr>
        <w:pStyle w:val="BodyText"/>
        <w:ind w:left="238" w:right="40"/>
        <w:jc w:val="both"/>
      </w:pPr>
      <w:r>
        <w:rPr/>
        <w:t>Insufficient involvement of pharmaceutical companies in pediatric research is a result of several obstacles. The costs associated with conducting research in chil- dren are significantly higher than the costs associated with conducting similar research in adults. In addition, fewer patients are available to participate in pediatric research, making recruiting subjects a challenge. Fina- lly, the final product market determines whether the pharmaceutical</w:t>
      </w:r>
      <w:r>
        <w:rPr>
          <w:spacing w:val="-6"/>
        </w:rPr>
        <w:t> </w:t>
      </w:r>
      <w:r>
        <w:rPr/>
        <w:t>company</w:t>
      </w:r>
      <w:r>
        <w:rPr>
          <w:spacing w:val="-9"/>
        </w:rPr>
        <w:t> </w:t>
      </w:r>
      <w:r>
        <w:rPr/>
        <w:t>is</w:t>
      </w:r>
      <w:r>
        <w:rPr>
          <w:spacing w:val="-3"/>
        </w:rPr>
        <w:t> </w:t>
      </w:r>
      <w:r>
        <w:rPr/>
        <w:t>willing</w:t>
      </w:r>
      <w:r>
        <w:rPr>
          <w:spacing w:val="-4"/>
        </w:rPr>
        <w:t> </w:t>
      </w:r>
      <w:r>
        <w:rPr/>
        <w:t>to</w:t>
      </w:r>
      <w:r>
        <w:rPr>
          <w:spacing w:val="-4"/>
        </w:rPr>
        <w:t> </w:t>
      </w:r>
      <w:r>
        <w:rPr/>
        <w:t>participate</w:t>
      </w:r>
      <w:r>
        <w:rPr>
          <w:spacing w:val="-4"/>
        </w:rPr>
        <w:t> </w:t>
      </w:r>
      <w:r>
        <w:rPr/>
        <w:t>in</w:t>
      </w:r>
      <w:r>
        <w:rPr>
          <w:spacing w:val="-4"/>
        </w:rPr>
        <w:t> </w:t>
      </w:r>
      <w:r>
        <w:rPr/>
        <w:t>pe- </w:t>
      </w:r>
      <w:r>
        <w:rPr>
          <w:spacing w:val="-2"/>
        </w:rPr>
        <w:t>diatric research,</w:t>
      </w:r>
      <w:r>
        <w:rPr>
          <w:spacing w:val="-7"/>
        </w:rPr>
        <w:t> </w:t>
      </w:r>
      <w:r>
        <w:rPr>
          <w:spacing w:val="-2"/>
        </w:rPr>
        <w:t>as</w:t>
      </w:r>
      <w:r>
        <w:rPr>
          <w:spacing w:val="-7"/>
        </w:rPr>
        <w:t> </w:t>
      </w:r>
      <w:r>
        <w:rPr>
          <w:spacing w:val="-2"/>
        </w:rPr>
        <w:t>profits</w:t>
      </w:r>
      <w:r>
        <w:rPr>
          <w:spacing w:val="-7"/>
        </w:rPr>
        <w:t> </w:t>
      </w:r>
      <w:r>
        <w:rPr>
          <w:spacing w:val="-2"/>
        </w:rPr>
        <w:t>often</w:t>
      </w:r>
      <w:r>
        <w:rPr>
          <w:spacing w:val="-7"/>
        </w:rPr>
        <w:t> </w:t>
      </w:r>
      <w:r>
        <w:rPr>
          <w:spacing w:val="-2"/>
        </w:rPr>
        <w:t>dictate</w:t>
      </w:r>
      <w:r>
        <w:rPr>
          <w:spacing w:val="-7"/>
        </w:rPr>
        <w:t> </w:t>
      </w:r>
      <w:r>
        <w:rPr>
          <w:spacing w:val="-2"/>
        </w:rPr>
        <w:t>product</w:t>
      </w:r>
      <w:r>
        <w:rPr>
          <w:spacing w:val="-8"/>
        </w:rPr>
        <w:t> </w:t>
      </w:r>
      <w:r>
        <w:rPr>
          <w:spacing w:val="-2"/>
        </w:rPr>
        <w:t>develop- </w:t>
      </w:r>
      <w:r>
        <w:rPr/>
        <w:t>ment. Unsuccessful research and unexpected safety issues that may occur in younger patients can quickly increase the costs associated with conducting trial in children. The complexity of ethical issues surrounding pediatric research is often enough for pharmaceutical companies not to participate. The lack of researchers</w:t>
      </w:r>
      <w:r>
        <w:rPr>
          <w:spacing w:val="40"/>
        </w:rPr>
        <w:t> </w:t>
      </w:r>
      <w:r>
        <w:rPr/>
        <w:t>to participate in and conduct pediatric research makes it</w:t>
      </w:r>
      <w:r>
        <w:rPr>
          <w:spacing w:val="-5"/>
        </w:rPr>
        <w:t> </w:t>
      </w:r>
      <w:r>
        <w:rPr/>
        <w:t>difficult</w:t>
      </w:r>
      <w:r>
        <w:rPr>
          <w:spacing w:val="-5"/>
        </w:rPr>
        <w:t> </w:t>
      </w:r>
      <w:r>
        <w:rPr/>
        <w:t>for</w:t>
      </w:r>
      <w:r>
        <w:rPr>
          <w:spacing w:val="-5"/>
        </w:rPr>
        <w:t> </w:t>
      </w:r>
      <w:r>
        <w:rPr/>
        <w:t>pharmaceutical</w:t>
      </w:r>
      <w:r>
        <w:rPr>
          <w:spacing w:val="-6"/>
        </w:rPr>
        <w:t> </w:t>
      </w:r>
      <w:r>
        <w:rPr/>
        <w:t>companies</w:t>
      </w:r>
      <w:r>
        <w:rPr>
          <w:spacing w:val="-5"/>
        </w:rPr>
        <w:t> </w:t>
      </w:r>
      <w:r>
        <w:rPr/>
        <w:t>to</w:t>
      </w:r>
      <w:r>
        <w:rPr>
          <w:spacing w:val="-4"/>
        </w:rPr>
        <w:t> </w:t>
      </w:r>
      <w:r>
        <w:rPr/>
        <w:t>involve</w:t>
      </w:r>
      <w:r>
        <w:rPr>
          <w:spacing w:val="-4"/>
        </w:rPr>
        <w:t> </w:t>
      </w:r>
      <w:r>
        <w:rPr/>
        <w:t>su- fficient research subjects with sufficient power to ob- tain statistical and clinical relevance. Many strategies are used in an attempt to overcome these barriers for commercial participation in pediatric research.</w:t>
      </w:r>
    </w:p>
    <w:p>
      <w:pPr>
        <w:pStyle w:val="BodyText"/>
      </w:pPr>
    </w:p>
    <w:p>
      <w:pPr>
        <w:spacing w:before="1"/>
        <w:ind w:left="238" w:right="0" w:firstLine="0"/>
        <w:jc w:val="both"/>
        <w:rPr>
          <w:i/>
          <w:sz w:val="21"/>
        </w:rPr>
      </w:pPr>
      <w:r>
        <w:rPr>
          <w:i/>
          <w:sz w:val="21"/>
        </w:rPr>
        <w:t>Research</w:t>
      </w:r>
      <w:r>
        <w:rPr>
          <w:i/>
          <w:spacing w:val="-4"/>
          <w:sz w:val="21"/>
        </w:rPr>
        <w:t> </w:t>
      </w:r>
      <w:r>
        <w:rPr>
          <w:i/>
          <w:spacing w:val="-2"/>
          <w:sz w:val="21"/>
        </w:rPr>
        <w:t>competencies</w:t>
      </w:r>
    </w:p>
    <w:p>
      <w:pPr>
        <w:pStyle w:val="BodyText"/>
        <w:spacing w:before="10"/>
        <w:rPr>
          <w:i/>
          <w:sz w:val="20"/>
        </w:rPr>
      </w:pPr>
    </w:p>
    <w:p>
      <w:pPr>
        <w:pStyle w:val="BodyText"/>
        <w:ind w:left="238" w:right="42"/>
        <w:jc w:val="both"/>
      </w:pPr>
      <w:r>
        <w:rPr/>
        <w:t>The shortage of trained clinical researchers focused on pediatric</w:t>
      </w:r>
      <w:r>
        <w:rPr>
          <w:spacing w:val="-7"/>
        </w:rPr>
        <w:t> </w:t>
      </w:r>
      <w:r>
        <w:rPr/>
        <w:t>studies</w:t>
      </w:r>
      <w:r>
        <w:rPr>
          <w:spacing w:val="-6"/>
        </w:rPr>
        <w:t> </w:t>
      </w:r>
      <w:r>
        <w:rPr/>
        <w:t>still</w:t>
      </w:r>
      <w:r>
        <w:rPr>
          <w:spacing w:val="-7"/>
        </w:rPr>
        <w:t> </w:t>
      </w:r>
      <w:r>
        <w:rPr/>
        <w:t>remains.</w:t>
      </w:r>
      <w:r>
        <w:rPr>
          <w:spacing w:val="-7"/>
        </w:rPr>
        <w:t> </w:t>
      </w:r>
      <w:r>
        <w:rPr/>
        <w:t>Very</w:t>
      </w:r>
      <w:r>
        <w:rPr>
          <w:spacing w:val="-10"/>
        </w:rPr>
        <w:t> </w:t>
      </w:r>
      <w:r>
        <w:rPr/>
        <w:t>often,</w:t>
      </w:r>
      <w:r>
        <w:rPr>
          <w:spacing w:val="-7"/>
        </w:rPr>
        <w:t> </w:t>
      </w:r>
      <w:r>
        <w:rPr/>
        <w:t>pediatricians choose not to participate in clinical trials, since they believe it may jeopardize the link between them and young patients. Doctors have fear regarding the im- pression they</w:t>
      </w:r>
      <w:r>
        <w:rPr>
          <w:spacing w:val="-5"/>
        </w:rPr>
        <w:t> </w:t>
      </w:r>
      <w:r>
        <w:rPr/>
        <w:t>will leave on parents</w:t>
      </w:r>
      <w:r>
        <w:rPr>
          <w:spacing w:val="-1"/>
        </w:rPr>
        <w:t> </w:t>
      </w:r>
      <w:r>
        <w:rPr/>
        <w:t>or</w:t>
      </w:r>
      <w:r>
        <w:rPr>
          <w:spacing w:val="-1"/>
        </w:rPr>
        <w:t> </w:t>
      </w:r>
      <w:r>
        <w:rPr/>
        <w:t>guardians</w:t>
      </w:r>
      <w:r>
        <w:rPr>
          <w:spacing w:val="-1"/>
        </w:rPr>
        <w:t> </w:t>
      </w:r>
      <w:r>
        <w:rPr/>
        <w:t>if they offer the opportunity to involve their child in a re- search. On the other hand, doctors simply believe that they</w:t>
      </w:r>
      <w:r>
        <w:rPr>
          <w:spacing w:val="-8"/>
        </w:rPr>
        <w:t> </w:t>
      </w:r>
      <w:r>
        <w:rPr/>
        <w:t>do</w:t>
      </w:r>
      <w:r>
        <w:rPr>
          <w:spacing w:val="-3"/>
        </w:rPr>
        <w:t> </w:t>
      </w:r>
      <w:r>
        <w:rPr/>
        <w:t>not</w:t>
      </w:r>
      <w:r>
        <w:rPr>
          <w:spacing w:val="-4"/>
        </w:rPr>
        <w:t> </w:t>
      </w:r>
      <w:r>
        <w:rPr/>
        <w:t>have</w:t>
      </w:r>
      <w:r>
        <w:rPr>
          <w:spacing w:val="-3"/>
        </w:rPr>
        <w:t> </w:t>
      </w:r>
      <w:r>
        <w:rPr/>
        <w:t>the</w:t>
      </w:r>
      <w:r>
        <w:rPr>
          <w:spacing w:val="-3"/>
        </w:rPr>
        <w:t> </w:t>
      </w:r>
      <w:r>
        <w:rPr/>
        <w:t>training</w:t>
      </w:r>
      <w:r>
        <w:rPr>
          <w:spacing w:val="-1"/>
        </w:rPr>
        <w:t> </w:t>
      </w:r>
      <w:r>
        <w:rPr/>
        <w:t>and</w:t>
      </w:r>
      <w:r>
        <w:rPr>
          <w:spacing w:val="-3"/>
        </w:rPr>
        <w:t> </w:t>
      </w:r>
      <w:r>
        <w:rPr/>
        <w:t>skills</w:t>
      </w:r>
      <w:r>
        <w:rPr>
          <w:spacing w:val="-3"/>
        </w:rPr>
        <w:t> </w:t>
      </w:r>
      <w:r>
        <w:rPr/>
        <w:t>to</w:t>
      </w:r>
      <w:r>
        <w:rPr>
          <w:spacing w:val="-3"/>
        </w:rPr>
        <w:t> </w:t>
      </w:r>
      <w:r>
        <w:rPr/>
        <w:t>participate</w:t>
      </w:r>
      <w:r>
        <w:rPr>
          <w:spacing w:val="-3"/>
        </w:rPr>
        <w:t> </w:t>
      </w:r>
      <w:r>
        <w:rPr/>
        <w:t>in clinical trials. Developed countries offer a variety of training programs for physicians to conduct pediatric clinical trials. These programs consist of scholarships, training</w:t>
      </w:r>
      <w:r>
        <w:rPr>
          <w:spacing w:val="8"/>
        </w:rPr>
        <w:t> </w:t>
      </w:r>
      <w:r>
        <w:rPr/>
        <w:t>grants,</w:t>
      </w:r>
      <w:r>
        <w:rPr>
          <w:spacing w:val="8"/>
        </w:rPr>
        <w:t> </w:t>
      </w:r>
      <w:r>
        <w:rPr/>
        <w:t>continuing</w:t>
      </w:r>
      <w:r>
        <w:rPr>
          <w:spacing w:val="6"/>
        </w:rPr>
        <w:t> </w:t>
      </w:r>
      <w:r>
        <w:rPr/>
        <w:t>education,</w:t>
      </w:r>
      <w:r>
        <w:rPr>
          <w:spacing w:val="9"/>
        </w:rPr>
        <w:t> </w:t>
      </w:r>
      <w:r>
        <w:rPr/>
        <w:t>and</w:t>
      </w:r>
      <w:r>
        <w:rPr>
          <w:spacing w:val="9"/>
        </w:rPr>
        <w:t> </w:t>
      </w:r>
      <w:r>
        <w:rPr>
          <w:spacing w:val="-2"/>
        </w:rPr>
        <w:t>certification</w:t>
      </w:r>
    </w:p>
    <w:p>
      <w:pPr>
        <w:pStyle w:val="BodyText"/>
        <w:spacing w:before="92"/>
        <w:ind w:left="238" w:right="291"/>
        <w:jc w:val="both"/>
      </w:pPr>
      <w:r>
        <w:rPr/>
        <w:br w:type="column"/>
      </w:r>
      <w:r>
        <w:rPr/>
        <w:t>programs. However, there is a shortage of physicians and clinical staff trained to conduct pediatric research. Doctors with training in conducting pediatric research often</w:t>
      </w:r>
      <w:r>
        <w:rPr>
          <w:spacing w:val="-1"/>
        </w:rPr>
        <w:t> </w:t>
      </w:r>
      <w:r>
        <w:rPr/>
        <w:t>migrate to</w:t>
      </w:r>
      <w:r>
        <w:rPr>
          <w:spacing w:val="-1"/>
        </w:rPr>
        <w:t> </w:t>
      </w:r>
      <w:r>
        <w:rPr/>
        <w:t>certain</w:t>
      </w:r>
      <w:r>
        <w:rPr>
          <w:spacing w:val="-1"/>
        </w:rPr>
        <w:t> </w:t>
      </w:r>
      <w:r>
        <w:rPr/>
        <w:t>children's</w:t>
      </w:r>
      <w:r>
        <w:rPr>
          <w:spacing w:val="-2"/>
        </w:rPr>
        <w:t> </w:t>
      </w:r>
      <w:r>
        <w:rPr/>
        <w:t>hospitals</w:t>
      </w:r>
      <w:r>
        <w:rPr>
          <w:spacing w:val="-2"/>
        </w:rPr>
        <w:t> </w:t>
      </w:r>
      <w:r>
        <w:rPr/>
        <w:t>in the</w:t>
      </w:r>
      <w:r>
        <w:rPr>
          <w:spacing w:val="-1"/>
        </w:rPr>
        <w:t> </w:t>
      </w:r>
      <w:r>
        <w:rPr/>
        <w:t>hope of becoming more involved in pediatric studies [6].</w:t>
      </w:r>
    </w:p>
    <w:p>
      <w:pPr>
        <w:pStyle w:val="BodyText"/>
        <w:spacing w:before="5"/>
      </w:pPr>
    </w:p>
    <w:p>
      <w:pPr>
        <w:pStyle w:val="Heading4"/>
        <w:spacing w:before="1"/>
        <w:jc w:val="both"/>
      </w:pPr>
      <w:r>
        <w:rPr/>
        <w:t>Good</w:t>
      </w:r>
      <w:r>
        <w:rPr>
          <w:spacing w:val="-6"/>
        </w:rPr>
        <w:t> </w:t>
      </w:r>
      <w:r>
        <w:rPr/>
        <w:t>clinical</w:t>
      </w:r>
      <w:r>
        <w:rPr>
          <w:spacing w:val="-6"/>
        </w:rPr>
        <w:t> </w:t>
      </w:r>
      <w:r>
        <w:rPr/>
        <w:t>practice</w:t>
      </w:r>
      <w:r>
        <w:rPr>
          <w:spacing w:val="-5"/>
        </w:rPr>
        <w:t> </w:t>
      </w:r>
      <w:r>
        <w:rPr>
          <w:spacing w:val="-2"/>
        </w:rPr>
        <w:t>(GCP)</w:t>
      </w:r>
    </w:p>
    <w:p>
      <w:pPr>
        <w:pStyle w:val="BodyText"/>
        <w:spacing w:before="6"/>
        <w:rPr>
          <w:b/>
          <w:sz w:val="20"/>
        </w:rPr>
      </w:pPr>
    </w:p>
    <w:p>
      <w:pPr>
        <w:pStyle w:val="BodyText"/>
        <w:ind w:left="238" w:right="287"/>
        <w:jc w:val="both"/>
      </w:pPr>
      <w:r>
        <w:rPr/>
        <w:t>The principles of Good Clinical Practice (GCP) pro- vide a balance: subjects to be adequately protected in research</w:t>
      </w:r>
      <w:r>
        <w:rPr>
          <w:spacing w:val="-3"/>
        </w:rPr>
        <w:t> </w:t>
      </w:r>
      <w:r>
        <w:rPr/>
        <w:t>studies;</w:t>
      </w:r>
      <w:r>
        <w:rPr>
          <w:spacing w:val="-4"/>
        </w:rPr>
        <w:t> </w:t>
      </w:r>
      <w:r>
        <w:rPr/>
        <w:t>studies</w:t>
      </w:r>
      <w:r>
        <w:rPr>
          <w:spacing w:val="-4"/>
        </w:rPr>
        <w:t> </w:t>
      </w:r>
      <w:r>
        <w:rPr/>
        <w:t>to</w:t>
      </w:r>
      <w:r>
        <w:rPr>
          <w:spacing w:val="-3"/>
        </w:rPr>
        <w:t> </w:t>
      </w:r>
      <w:r>
        <w:rPr/>
        <w:t>be</w:t>
      </w:r>
      <w:r>
        <w:rPr>
          <w:spacing w:val="-3"/>
        </w:rPr>
        <w:t> </w:t>
      </w:r>
      <w:r>
        <w:rPr/>
        <w:t>scientifically</w:t>
      </w:r>
      <w:r>
        <w:rPr>
          <w:spacing w:val="-6"/>
        </w:rPr>
        <w:t> </w:t>
      </w:r>
      <w:r>
        <w:rPr/>
        <w:t>based,</w:t>
      </w:r>
      <w:r>
        <w:rPr>
          <w:spacing w:val="-3"/>
        </w:rPr>
        <w:t> </w:t>
      </w:r>
      <w:r>
        <w:rPr/>
        <w:t>well designed and properly analyzed; and study procedures to be properly undertaken and documented. If GCP principles are not followed, participating children may be at risk, the data may be unreliable or unusable, and the study would be rejected by the Ethics Committee. A good clinical practice follows the general principles of medical ethics: respect for life, human dignity and </w:t>
      </w:r>
      <w:r>
        <w:rPr>
          <w:spacing w:val="-2"/>
        </w:rPr>
        <w:t>personal</w:t>
      </w:r>
      <w:r>
        <w:rPr>
          <w:spacing w:val="-4"/>
        </w:rPr>
        <w:t> </w:t>
      </w:r>
      <w:r>
        <w:rPr>
          <w:spacing w:val="-2"/>
        </w:rPr>
        <w:t>autonomy,</w:t>
      </w:r>
      <w:r>
        <w:rPr>
          <w:spacing w:val="-4"/>
        </w:rPr>
        <w:t> </w:t>
      </w:r>
      <w:r>
        <w:rPr>
          <w:spacing w:val="-2"/>
        </w:rPr>
        <w:t>benefacere,</w:t>
      </w:r>
      <w:r>
        <w:rPr>
          <w:spacing w:val="-4"/>
        </w:rPr>
        <w:t> </w:t>
      </w:r>
      <w:r>
        <w:rPr>
          <w:spacing w:val="-2"/>
        </w:rPr>
        <w:t>primum</w:t>
      </w:r>
      <w:r>
        <w:rPr>
          <w:spacing w:val="-7"/>
        </w:rPr>
        <w:t> </w:t>
      </w:r>
      <w:r>
        <w:rPr>
          <w:spacing w:val="-2"/>
        </w:rPr>
        <w:t>non</w:t>
      </w:r>
      <w:r>
        <w:rPr>
          <w:spacing w:val="-4"/>
        </w:rPr>
        <w:t> </w:t>
      </w:r>
      <w:r>
        <w:rPr>
          <w:spacing w:val="-2"/>
        </w:rPr>
        <w:t>nocere</w:t>
      </w:r>
      <w:r>
        <w:rPr>
          <w:spacing w:val="-4"/>
        </w:rPr>
        <w:t> </w:t>
      </w:r>
      <w:r>
        <w:rPr>
          <w:spacing w:val="-2"/>
        </w:rPr>
        <w:t>and </w:t>
      </w:r>
      <w:r>
        <w:rPr/>
        <w:t>justice. From these ethical principles, general guideli- nes for good clinical practice in pediatric research can be drawn [7]. Trials should be focused on knowledge, treatment, relief or prevention of a disease in children. Biomedical studies must be dedicated to reduce suffe- ring and improving disease prognosis. The expected benefit must outweigh the recognizable risks. Serious predictable risks must be avoided. Only well-designed research is ethically appropriate. Research protocols must be evaluated by Ethics Committees (Institutional Review Boards) and reviewed by pediatric experts. Ethics Committees are an effective tool for protecting </w:t>
      </w:r>
      <w:r>
        <w:rPr>
          <w:spacing w:val="-4"/>
        </w:rPr>
        <w:t>subjects from inappropriate research. The Ethics Commi- </w:t>
      </w:r>
      <w:r>
        <w:rPr>
          <w:spacing w:val="-2"/>
        </w:rPr>
        <w:t>ttees</w:t>
      </w:r>
      <w:r>
        <w:rPr>
          <w:spacing w:val="-12"/>
        </w:rPr>
        <w:t> </w:t>
      </w:r>
      <w:r>
        <w:rPr>
          <w:spacing w:val="-2"/>
        </w:rPr>
        <w:t>that</w:t>
      </w:r>
      <w:r>
        <w:rPr>
          <w:spacing w:val="-11"/>
        </w:rPr>
        <w:t> </w:t>
      </w:r>
      <w:r>
        <w:rPr>
          <w:spacing w:val="-2"/>
        </w:rPr>
        <w:t>review</w:t>
      </w:r>
      <w:r>
        <w:rPr>
          <w:spacing w:val="-11"/>
        </w:rPr>
        <w:t> </w:t>
      </w:r>
      <w:r>
        <w:rPr>
          <w:spacing w:val="-2"/>
        </w:rPr>
        <w:t>pediatric</w:t>
      </w:r>
      <w:r>
        <w:rPr>
          <w:spacing w:val="-11"/>
        </w:rPr>
        <w:t> </w:t>
      </w:r>
      <w:r>
        <w:rPr>
          <w:spacing w:val="-2"/>
        </w:rPr>
        <w:t>research</w:t>
      </w:r>
      <w:r>
        <w:rPr>
          <w:spacing w:val="-11"/>
        </w:rPr>
        <w:t> </w:t>
      </w:r>
      <w:r>
        <w:rPr>
          <w:spacing w:val="-2"/>
        </w:rPr>
        <w:t>should</w:t>
      </w:r>
      <w:r>
        <w:rPr>
          <w:spacing w:val="-11"/>
        </w:rPr>
        <w:t> </w:t>
      </w:r>
      <w:r>
        <w:rPr>
          <w:spacing w:val="-2"/>
        </w:rPr>
        <w:t>have</w:t>
      </w:r>
      <w:r>
        <w:rPr>
          <w:spacing w:val="-11"/>
        </w:rPr>
        <w:t> </w:t>
      </w:r>
      <w:r>
        <w:rPr>
          <w:spacing w:val="-2"/>
        </w:rPr>
        <w:t>members </w:t>
      </w:r>
      <w:r>
        <w:rPr/>
        <w:t>who have experience in pediatric practice. Pediatric studies should be performed by medical and scientific staff who are familiar with GCP and are capable of a confidential relationship and communication with the </w:t>
      </w:r>
      <w:r>
        <w:rPr>
          <w:spacing w:val="-2"/>
        </w:rPr>
        <w:t>child</w:t>
      </w:r>
      <w:r>
        <w:rPr>
          <w:spacing w:val="-12"/>
        </w:rPr>
        <w:t> </w:t>
      </w:r>
      <w:r>
        <w:rPr>
          <w:spacing w:val="-2"/>
        </w:rPr>
        <w:t>and</w:t>
      </w:r>
      <w:r>
        <w:rPr>
          <w:spacing w:val="-11"/>
        </w:rPr>
        <w:t> </w:t>
      </w:r>
      <w:r>
        <w:rPr>
          <w:spacing w:val="-2"/>
        </w:rPr>
        <w:t>parents.</w:t>
      </w:r>
      <w:r>
        <w:rPr>
          <w:spacing w:val="-11"/>
        </w:rPr>
        <w:t> </w:t>
      </w:r>
      <w:r>
        <w:rPr>
          <w:spacing w:val="-2"/>
        </w:rPr>
        <w:t>Studies</w:t>
      </w:r>
      <w:r>
        <w:rPr>
          <w:spacing w:val="-11"/>
        </w:rPr>
        <w:t> </w:t>
      </w:r>
      <w:r>
        <w:rPr>
          <w:spacing w:val="-2"/>
        </w:rPr>
        <w:t>should</w:t>
      </w:r>
      <w:r>
        <w:rPr>
          <w:spacing w:val="-11"/>
        </w:rPr>
        <w:t> </w:t>
      </w:r>
      <w:r>
        <w:rPr>
          <w:spacing w:val="-2"/>
        </w:rPr>
        <w:t>be</w:t>
      </w:r>
      <w:r>
        <w:rPr>
          <w:spacing w:val="-11"/>
        </w:rPr>
        <w:t> </w:t>
      </w:r>
      <w:r>
        <w:rPr>
          <w:spacing w:val="-2"/>
        </w:rPr>
        <w:t>conducted</w:t>
      </w:r>
      <w:r>
        <w:rPr>
          <w:spacing w:val="-11"/>
        </w:rPr>
        <w:t> </w:t>
      </w:r>
      <w:r>
        <w:rPr>
          <w:spacing w:val="-2"/>
        </w:rPr>
        <w:t>in</w:t>
      </w:r>
      <w:r>
        <w:rPr>
          <w:spacing w:val="-11"/>
        </w:rPr>
        <w:t> </w:t>
      </w:r>
      <w:r>
        <w:rPr>
          <w:spacing w:val="-2"/>
        </w:rPr>
        <w:t>institu- </w:t>
      </w:r>
      <w:r>
        <w:rPr/>
        <w:t>tions that provide a child-friendly atmosphere [8-9].</w:t>
      </w:r>
    </w:p>
    <w:p>
      <w:pPr>
        <w:pStyle w:val="BodyText"/>
        <w:spacing w:before="7"/>
      </w:pPr>
    </w:p>
    <w:p>
      <w:pPr>
        <w:pStyle w:val="Heading4"/>
      </w:pPr>
      <w:r>
        <w:rPr>
          <w:spacing w:val="-2"/>
        </w:rPr>
        <w:t>Conclusion</w:t>
      </w:r>
    </w:p>
    <w:p>
      <w:pPr>
        <w:pStyle w:val="BodyText"/>
        <w:spacing w:before="6"/>
        <w:rPr>
          <w:b/>
          <w:sz w:val="20"/>
        </w:rPr>
      </w:pPr>
    </w:p>
    <w:p>
      <w:pPr>
        <w:pStyle w:val="BodyText"/>
        <w:ind w:left="238" w:right="290"/>
        <w:jc w:val="both"/>
      </w:pPr>
      <w:r>
        <w:rPr/>
        <w:t>Pediatric</w:t>
      </w:r>
      <w:r>
        <w:rPr>
          <w:spacing w:val="-14"/>
        </w:rPr>
        <w:t> </w:t>
      </w:r>
      <w:r>
        <w:rPr/>
        <w:t>clinical</w:t>
      </w:r>
      <w:r>
        <w:rPr>
          <w:spacing w:val="-13"/>
        </w:rPr>
        <w:t> </w:t>
      </w:r>
      <w:r>
        <w:rPr/>
        <w:t>trials</w:t>
      </w:r>
      <w:r>
        <w:rPr>
          <w:spacing w:val="-13"/>
        </w:rPr>
        <w:t> </w:t>
      </w:r>
      <w:r>
        <w:rPr/>
        <w:t>provide</w:t>
      </w:r>
      <w:r>
        <w:rPr>
          <w:spacing w:val="-13"/>
        </w:rPr>
        <w:t> </w:t>
      </w:r>
      <w:r>
        <w:rPr/>
        <w:t>valuable</w:t>
      </w:r>
      <w:r>
        <w:rPr>
          <w:spacing w:val="-13"/>
        </w:rPr>
        <w:t> </w:t>
      </w:r>
      <w:r>
        <w:rPr/>
        <w:t>information</w:t>
      </w:r>
      <w:r>
        <w:rPr>
          <w:spacing w:val="-13"/>
        </w:rPr>
        <w:t> </w:t>
      </w:r>
      <w:r>
        <w:rPr/>
        <w:t>for physicians, giving them the guidance and knowledge</w:t>
      </w:r>
      <w:r>
        <w:rPr>
          <w:spacing w:val="40"/>
        </w:rPr>
        <w:t> </w:t>
      </w:r>
      <w:r>
        <w:rPr/>
        <w:t>in providing optimal care for their patients. With pro- per planning and reviewing of the study, trial can be conducted in children even though they</w:t>
      </w:r>
      <w:r>
        <w:rPr>
          <w:spacing w:val="-1"/>
        </w:rPr>
        <w:t> </w:t>
      </w:r>
      <w:r>
        <w:rPr/>
        <w:t>are considered as a vulnerable population. Children are not "small </w:t>
      </w:r>
      <w:r>
        <w:rPr>
          <w:spacing w:val="-4"/>
        </w:rPr>
        <w:t>adults".</w:t>
      </w:r>
      <w:r>
        <w:rPr>
          <w:spacing w:val="-7"/>
        </w:rPr>
        <w:t> </w:t>
      </w:r>
      <w:r>
        <w:rPr>
          <w:spacing w:val="-4"/>
        </w:rPr>
        <w:t>Compared</w:t>
      </w:r>
      <w:r>
        <w:rPr>
          <w:spacing w:val="-7"/>
        </w:rPr>
        <w:t> </w:t>
      </w:r>
      <w:r>
        <w:rPr>
          <w:spacing w:val="-4"/>
        </w:rPr>
        <w:t>to</w:t>
      </w:r>
      <w:r>
        <w:rPr>
          <w:spacing w:val="-7"/>
        </w:rPr>
        <w:t> </w:t>
      </w:r>
      <w:r>
        <w:rPr>
          <w:spacing w:val="-4"/>
        </w:rPr>
        <w:t>adults,</w:t>
      </w:r>
      <w:r>
        <w:rPr>
          <w:spacing w:val="-7"/>
        </w:rPr>
        <w:t> </w:t>
      </w:r>
      <w:r>
        <w:rPr>
          <w:spacing w:val="-4"/>
        </w:rPr>
        <w:t>there</w:t>
      </w:r>
      <w:r>
        <w:rPr>
          <w:spacing w:val="-8"/>
        </w:rPr>
        <w:t> </w:t>
      </w:r>
      <w:r>
        <w:rPr>
          <w:spacing w:val="-4"/>
        </w:rPr>
        <w:t>are</w:t>
      </w:r>
      <w:r>
        <w:rPr>
          <w:spacing w:val="-8"/>
        </w:rPr>
        <w:t> </w:t>
      </w:r>
      <w:r>
        <w:rPr>
          <w:spacing w:val="-4"/>
        </w:rPr>
        <w:t>differences</w:t>
      </w:r>
      <w:r>
        <w:rPr>
          <w:spacing w:val="-8"/>
        </w:rPr>
        <w:t> </w:t>
      </w:r>
      <w:r>
        <w:rPr>
          <w:spacing w:val="-4"/>
        </w:rPr>
        <w:t>in</w:t>
      </w:r>
      <w:r>
        <w:rPr>
          <w:spacing w:val="-7"/>
        </w:rPr>
        <w:t> </w:t>
      </w:r>
      <w:r>
        <w:rPr>
          <w:spacing w:val="-4"/>
        </w:rPr>
        <w:t>phar- </w:t>
      </w:r>
      <w:r>
        <w:rPr/>
        <w:t>macokinetics</w:t>
      </w:r>
      <w:r>
        <w:rPr>
          <w:spacing w:val="-5"/>
        </w:rPr>
        <w:t> </w:t>
      </w:r>
      <w:r>
        <w:rPr/>
        <w:t>and</w:t>
      </w:r>
      <w:r>
        <w:rPr>
          <w:spacing w:val="-1"/>
        </w:rPr>
        <w:t> </w:t>
      </w:r>
      <w:r>
        <w:rPr/>
        <w:t>dynamics,</w:t>
      </w:r>
      <w:r>
        <w:rPr>
          <w:spacing w:val="-1"/>
        </w:rPr>
        <w:t> </w:t>
      </w:r>
      <w:r>
        <w:rPr/>
        <w:t>as</w:t>
      </w:r>
      <w:r>
        <w:rPr>
          <w:spacing w:val="-1"/>
        </w:rPr>
        <w:t> </w:t>
      </w:r>
      <w:r>
        <w:rPr/>
        <w:t>well</w:t>
      </w:r>
      <w:r>
        <w:rPr>
          <w:spacing w:val="-2"/>
        </w:rPr>
        <w:t> </w:t>
      </w:r>
      <w:r>
        <w:rPr/>
        <w:t>as</w:t>
      </w:r>
      <w:r>
        <w:rPr>
          <w:spacing w:val="-1"/>
        </w:rPr>
        <w:t> </w:t>
      </w:r>
      <w:r>
        <w:rPr/>
        <w:t>side</w:t>
      </w:r>
      <w:r>
        <w:rPr>
          <w:spacing w:val="-1"/>
        </w:rPr>
        <w:t> </w:t>
      </w:r>
      <w:r>
        <w:rPr/>
        <w:t>effects</w:t>
      </w:r>
      <w:r>
        <w:rPr>
          <w:spacing w:val="-1"/>
        </w:rPr>
        <w:t> </w:t>
      </w:r>
      <w:r>
        <w:rPr/>
        <w:t>that are common in children. Certain consequences of me- dical</w:t>
      </w:r>
      <w:r>
        <w:rPr>
          <w:spacing w:val="-14"/>
        </w:rPr>
        <w:t> </w:t>
      </w:r>
      <w:r>
        <w:rPr/>
        <w:t>interventions</w:t>
      </w:r>
      <w:r>
        <w:rPr>
          <w:spacing w:val="-13"/>
        </w:rPr>
        <w:t> </w:t>
      </w:r>
      <w:r>
        <w:rPr/>
        <w:t>can</w:t>
      </w:r>
      <w:r>
        <w:rPr>
          <w:spacing w:val="-13"/>
        </w:rPr>
        <w:t> </w:t>
      </w:r>
      <w:r>
        <w:rPr/>
        <w:t>be</w:t>
      </w:r>
      <w:r>
        <w:rPr>
          <w:spacing w:val="-13"/>
        </w:rPr>
        <w:t> </w:t>
      </w:r>
      <w:r>
        <w:rPr/>
        <w:t>seen</w:t>
      </w:r>
      <w:r>
        <w:rPr>
          <w:spacing w:val="-13"/>
        </w:rPr>
        <w:t> </w:t>
      </w:r>
      <w:r>
        <w:rPr/>
        <w:t>in</w:t>
      </w:r>
      <w:r>
        <w:rPr>
          <w:spacing w:val="-13"/>
        </w:rPr>
        <w:t> </w:t>
      </w:r>
      <w:r>
        <w:rPr/>
        <w:t>children</w:t>
      </w:r>
      <w:r>
        <w:rPr>
          <w:spacing w:val="-13"/>
        </w:rPr>
        <w:t> </w:t>
      </w:r>
      <w:r>
        <w:rPr/>
        <w:t>and</w:t>
      </w:r>
      <w:r>
        <w:rPr>
          <w:spacing w:val="-13"/>
        </w:rPr>
        <w:t> </w:t>
      </w:r>
      <w:r>
        <w:rPr/>
        <w:t>can</w:t>
      </w:r>
      <w:r>
        <w:rPr>
          <w:spacing w:val="-14"/>
        </w:rPr>
        <w:t> </w:t>
      </w:r>
      <w:r>
        <w:rPr/>
        <w:t>occur long after exposure. Because of the special care they deserve, children should not be the subject of clinical trials when research can be done on less vulnerable subjects</w:t>
      </w:r>
      <w:r>
        <w:rPr>
          <w:spacing w:val="26"/>
        </w:rPr>
        <w:t> </w:t>
      </w:r>
      <w:r>
        <w:rPr/>
        <w:t>such</w:t>
      </w:r>
      <w:r>
        <w:rPr>
          <w:spacing w:val="24"/>
        </w:rPr>
        <w:t> </w:t>
      </w:r>
      <w:r>
        <w:rPr/>
        <w:t>as</w:t>
      </w:r>
      <w:r>
        <w:rPr>
          <w:spacing w:val="26"/>
        </w:rPr>
        <w:t> </w:t>
      </w:r>
      <w:r>
        <w:rPr/>
        <w:t>adults.</w:t>
      </w:r>
      <w:r>
        <w:rPr>
          <w:spacing w:val="26"/>
        </w:rPr>
        <w:t> </w:t>
      </w:r>
      <w:r>
        <w:rPr/>
        <w:t>If</w:t>
      </w:r>
      <w:r>
        <w:rPr>
          <w:spacing w:val="26"/>
        </w:rPr>
        <w:t> </w:t>
      </w:r>
      <w:r>
        <w:rPr/>
        <w:t>research</w:t>
      </w:r>
      <w:r>
        <w:rPr>
          <w:spacing w:val="26"/>
        </w:rPr>
        <w:t> </w:t>
      </w:r>
      <w:r>
        <w:rPr/>
        <w:t>in</w:t>
      </w:r>
      <w:r>
        <w:rPr>
          <w:spacing w:val="24"/>
        </w:rPr>
        <w:t> </w:t>
      </w:r>
      <w:r>
        <w:rPr/>
        <w:t>children</w:t>
      </w:r>
      <w:r>
        <w:rPr>
          <w:spacing w:val="26"/>
        </w:rPr>
        <w:t> </w:t>
      </w:r>
      <w:r>
        <w:rPr/>
        <w:t>is</w:t>
      </w:r>
      <w:r>
        <w:rPr>
          <w:spacing w:val="24"/>
        </w:rPr>
        <w:t> </w:t>
      </w:r>
      <w:r>
        <w:rPr>
          <w:spacing w:val="-5"/>
        </w:rPr>
        <w:t>ne-</w:t>
      </w:r>
    </w:p>
    <w:p>
      <w:pPr>
        <w:spacing w:after="0"/>
        <w:jc w:val="both"/>
        <w:sectPr>
          <w:type w:val="continuous"/>
          <w:pgSz w:w="11910" w:h="16840"/>
          <w:pgMar w:header="854" w:footer="0" w:top="740" w:bottom="0" w:left="900" w:right="840"/>
          <w:cols w:num="2" w:equalWidth="0">
            <w:col w:w="4921" w:space="76"/>
            <w:col w:w="5173"/>
          </w:cols>
        </w:sectPr>
      </w:pPr>
    </w:p>
    <w:p>
      <w:pPr>
        <w:pStyle w:val="BodyText"/>
        <w:spacing w:before="5"/>
        <w:rPr>
          <w:sz w:val="15"/>
        </w:rPr>
      </w:pPr>
    </w:p>
    <w:p>
      <w:pPr>
        <w:spacing w:after="0"/>
        <w:rPr>
          <w:sz w:val="15"/>
        </w:rPr>
        <w:sectPr>
          <w:pgSz w:w="11910" w:h="16840"/>
          <w:pgMar w:header="854" w:footer="0" w:top="1300" w:bottom="280" w:left="900" w:right="840"/>
        </w:sectPr>
      </w:pPr>
    </w:p>
    <w:p>
      <w:pPr>
        <w:pStyle w:val="BodyText"/>
        <w:spacing w:before="92"/>
        <w:ind w:left="238"/>
      </w:pPr>
      <w:r>
        <w:rPr/>
        <w:t>cessary, then less vulnerable children should be inclu- ded, i.e. older children [10].</w:t>
      </w:r>
    </w:p>
    <w:p>
      <w:pPr>
        <w:pStyle w:val="BodyText"/>
        <w:spacing w:before="2"/>
      </w:pPr>
    </w:p>
    <w:p>
      <w:pPr>
        <w:spacing w:before="0"/>
        <w:ind w:left="238" w:right="0" w:firstLine="0"/>
        <w:jc w:val="left"/>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3"/>
      </w:pPr>
    </w:p>
    <w:p>
      <w:pPr>
        <w:pStyle w:val="Heading4"/>
        <w:spacing w:before="1"/>
      </w:pPr>
      <w:r>
        <w:rPr>
          <w:spacing w:val="-2"/>
        </w:rPr>
        <w:t>References</w:t>
      </w:r>
    </w:p>
    <w:p>
      <w:pPr>
        <w:pStyle w:val="BodyText"/>
        <w:spacing w:before="7"/>
        <w:rPr>
          <w:b/>
          <w:sz w:val="20"/>
        </w:rPr>
      </w:pPr>
    </w:p>
    <w:p>
      <w:pPr>
        <w:pStyle w:val="ListParagraph"/>
        <w:numPr>
          <w:ilvl w:val="0"/>
          <w:numId w:val="2"/>
        </w:numPr>
        <w:tabs>
          <w:tab w:pos="627" w:val="left" w:leader="none"/>
        </w:tabs>
        <w:spacing w:line="240" w:lineRule="auto" w:before="0" w:after="0"/>
        <w:ind w:left="626" w:right="42" w:hanging="389"/>
        <w:jc w:val="both"/>
        <w:rPr>
          <w:sz w:val="18"/>
        </w:rPr>
      </w:pPr>
      <w:r>
        <w:rPr>
          <w:sz w:val="18"/>
        </w:rPr>
        <w:t>Caldwell PH, Murphy SB, Butow PN, </w:t>
      </w:r>
      <w:r>
        <w:rPr>
          <w:i/>
          <w:sz w:val="18"/>
        </w:rPr>
        <w:t>et al</w:t>
      </w:r>
      <w:r>
        <w:rPr>
          <w:sz w:val="18"/>
        </w:rPr>
        <w:t>. Clinical trials in children. </w:t>
      </w:r>
      <w:r>
        <w:rPr>
          <w:i/>
          <w:sz w:val="18"/>
        </w:rPr>
        <w:t>Lancet </w:t>
      </w:r>
      <w:r>
        <w:rPr>
          <w:sz w:val="18"/>
        </w:rPr>
        <w:t>2004; 364: 803-811.</w:t>
      </w:r>
    </w:p>
    <w:p>
      <w:pPr>
        <w:pStyle w:val="ListParagraph"/>
        <w:numPr>
          <w:ilvl w:val="0"/>
          <w:numId w:val="2"/>
        </w:numPr>
        <w:tabs>
          <w:tab w:pos="627" w:val="left" w:leader="none"/>
        </w:tabs>
        <w:spacing w:line="240" w:lineRule="auto" w:before="0" w:after="0"/>
        <w:ind w:left="626" w:right="39" w:hanging="389"/>
        <w:jc w:val="both"/>
        <w:rPr>
          <w:sz w:val="18"/>
        </w:rPr>
      </w:pPr>
      <w:r>
        <w:rPr>
          <w:sz w:val="18"/>
        </w:rPr>
        <w:t>Committee for Proprietary Medicinal Products (CPMP), “Note</w:t>
      </w:r>
      <w:r>
        <w:rPr>
          <w:spacing w:val="-10"/>
          <w:sz w:val="18"/>
        </w:rPr>
        <w:t> </w:t>
      </w:r>
      <w:r>
        <w:rPr>
          <w:sz w:val="18"/>
        </w:rPr>
        <w:t>for</w:t>
      </w:r>
      <w:r>
        <w:rPr>
          <w:spacing w:val="-9"/>
          <w:sz w:val="18"/>
        </w:rPr>
        <w:t> </w:t>
      </w:r>
      <w:r>
        <w:rPr>
          <w:sz w:val="18"/>
        </w:rPr>
        <w:t>Guidance</w:t>
      </w:r>
      <w:r>
        <w:rPr>
          <w:spacing w:val="-11"/>
          <w:sz w:val="18"/>
        </w:rPr>
        <w:t> </w:t>
      </w:r>
      <w:r>
        <w:rPr>
          <w:sz w:val="18"/>
        </w:rPr>
        <w:t>on</w:t>
      </w:r>
      <w:r>
        <w:rPr>
          <w:spacing w:val="-10"/>
          <w:sz w:val="18"/>
        </w:rPr>
        <w:t> </w:t>
      </w:r>
      <w:r>
        <w:rPr>
          <w:sz w:val="18"/>
        </w:rPr>
        <w:t>Clinical</w:t>
      </w:r>
      <w:r>
        <w:rPr>
          <w:spacing w:val="-10"/>
          <w:sz w:val="18"/>
        </w:rPr>
        <w:t> </w:t>
      </w:r>
      <w:r>
        <w:rPr>
          <w:sz w:val="18"/>
        </w:rPr>
        <w:t>Investigations</w:t>
      </w:r>
      <w:r>
        <w:rPr>
          <w:spacing w:val="-11"/>
          <w:sz w:val="18"/>
        </w:rPr>
        <w:t> </w:t>
      </w:r>
      <w:r>
        <w:rPr>
          <w:sz w:val="18"/>
        </w:rPr>
        <w:t>of</w:t>
      </w:r>
      <w:r>
        <w:rPr>
          <w:spacing w:val="-12"/>
          <w:sz w:val="18"/>
        </w:rPr>
        <w:t> </w:t>
      </w:r>
      <w:r>
        <w:rPr>
          <w:sz w:val="18"/>
        </w:rPr>
        <w:t>Medicinal Products in Children,” CPMP/EWP 462 (1995).</w:t>
      </w:r>
    </w:p>
    <w:p>
      <w:pPr>
        <w:pStyle w:val="ListParagraph"/>
        <w:numPr>
          <w:ilvl w:val="0"/>
          <w:numId w:val="2"/>
        </w:numPr>
        <w:tabs>
          <w:tab w:pos="627" w:val="left" w:leader="none"/>
        </w:tabs>
        <w:spacing w:line="240" w:lineRule="auto" w:before="0" w:after="0"/>
        <w:ind w:left="626" w:right="38" w:hanging="389"/>
        <w:jc w:val="both"/>
        <w:rPr>
          <w:sz w:val="18"/>
        </w:rPr>
      </w:pPr>
      <w:r>
        <w:rPr>
          <w:sz w:val="18"/>
        </w:rPr>
        <w:t>Jonsen</w:t>
      </w:r>
      <w:r>
        <w:rPr>
          <w:spacing w:val="-12"/>
          <w:sz w:val="18"/>
        </w:rPr>
        <w:t> </w:t>
      </w:r>
      <w:r>
        <w:rPr>
          <w:sz w:val="18"/>
        </w:rPr>
        <w:t>AR.</w:t>
      </w:r>
      <w:r>
        <w:rPr>
          <w:spacing w:val="-11"/>
          <w:sz w:val="18"/>
        </w:rPr>
        <w:t> </w:t>
      </w:r>
      <w:r>
        <w:rPr>
          <w:sz w:val="18"/>
        </w:rPr>
        <w:t>Research</w:t>
      </w:r>
      <w:r>
        <w:rPr>
          <w:spacing w:val="-11"/>
          <w:sz w:val="18"/>
        </w:rPr>
        <w:t> </w:t>
      </w:r>
      <w:r>
        <w:rPr>
          <w:sz w:val="18"/>
        </w:rPr>
        <w:t>involving</w:t>
      </w:r>
      <w:r>
        <w:rPr>
          <w:spacing w:val="-11"/>
          <w:sz w:val="18"/>
        </w:rPr>
        <w:t> </w:t>
      </w:r>
      <w:r>
        <w:rPr>
          <w:sz w:val="18"/>
        </w:rPr>
        <w:t>children:</w:t>
      </w:r>
      <w:r>
        <w:rPr>
          <w:spacing w:val="-12"/>
          <w:sz w:val="18"/>
        </w:rPr>
        <w:t> </w:t>
      </w:r>
      <w:r>
        <w:rPr>
          <w:sz w:val="18"/>
        </w:rPr>
        <w:t>recommendations of the National Commission for the Protection of Human </w:t>
      </w:r>
      <w:r>
        <w:rPr>
          <w:spacing w:val="-2"/>
          <w:sz w:val="18"/>
        </w:rPr>
        <w:t>Subjects</w:t>
      </w:r>
      <w:r>
        <w:rPr>
          <w:spacing w:val="-9"/>
          <w:sz w:val="18"/>
        </w:rPr>
        <w:t> </w:t>
      </w:r>
      <w:r>
        <w:rPr>
          <w:spacing w:val="-2"/>
          <w:sz w:val="18"/>
        </w:rPr>
        <w:t>of</w:t>
      </w:r>
      <w:r>
        <w:rPr>
          <w:spacing w:val="-8"/>
          <w:sz w:val="18"/>
        </w:rPr>
        <w:t> </w:t>
      </w:r>
      <w:r>
        <w:rPr>
          <w:spacing w:val="-2"/>
          <w:sz w:val="18"/>
        </w:rPr>
        <w:t>Biomedical</w:t>
      </w:r>
      <w:r>
        <w:rPr>
          <w:spacing w:val="-7"/>
          <w:sz w:val="18"/>
        </w:rPr>
        <w:t> </w:t>
      </w:r>
      <w:r>
        <w:rPr>
          <w:spacing w:val="-2"/>
          <w:sz w:val="18"/>
        </w:rPr>
        <w:t>and</w:t>
      </w:r>
      <w:r>
        <w:rPr>
          <w:spacing w:val="-8"/>
          <w:sz w:val="18"/>
        </w:rPr>
        <w:t> </w:t>
      </w:r>
      <w:r>
        <w:rPr>
          <w:spacing w:val="-2"/>
          <w:sz w:val="18"/>
        </w:rPr>
        <w:t>Behavioral.</w:t>
      </w:r>
      <w:r>
        <w:rPr>
          <w:spacing w:val="-8"/>
          <w:sz w:val="18"/>
        </w:rPr>
        <w:t> </w:t>
      </w:r>
      <w:r>
        <w:rPr>
          <w:i/>
          <w:spacing w:val="-2"/>
          <w:sz w:val="18"/>
        </w:rPr>
        <w:t>Research</w:t>
      </w:r>
      <w:r>
        <w:rPr>
          <w:i/>
          <w:spacing w:val="-8"/>
          <w:sz w:val="18"/>
        </w:rPr>
        <w:t> </w:t>
      </w:r>
      <w:r>
        <w:rPr>
          <w:i/>
          <w:spacing w:val="-2"/>
          <w:sz w:val="18"/>
        </w:rPr>
        <w:t>Pediatrics</w:t>
      </w:r>
      <w:r>
        <w:rPr>
          <w:i/>
          <w:spacing w:val="-2"/>
          <w:sz w:val="18"/>
        </w:rPr>
        <w:t> </w:t>
      </w:r>
      <w:r>
        <w:rPr>
          <w:sz w:val="18"/>
        </w:rPr>
        <w:t>1978; 62: 131-136.</w:t>
      </w:r>
    </w:p>
    <w:p>
      <w:pPr>
        <w:pStyle w:val="ListParagraph"/>
        <w:numPr>
          <w:ilvl w:val="0"/>
          <w:numId w:val="2"/>
        </w:numPr>
        <w:tabs>
          <w:tab w:pos="627" w:val="left" w:leader="none"/>
        </w:tabs>
        <w:spacing w:line="240" w:lineRule="auto" w:before="1" w:after="0"/>
        <w:ind w:left="626" w:right="38" w:hanging="389"/>
        <w:jc w:val="both"/>
        <w:rPr>
          <w:sz w:val="18"/>
        </w:rPr>
      </w:pPr>
      <w:r>
        <w:rPr>
          <w:spacing w:val="-2"/>
          <w:sz w:val="18"/>
        </w:rPr>
        <w:t>Kelley</w:t>
      </w:r>
      <w:r>
        <w:rPr>
          <w:spacing w:val="-10"/>
          <w:sz w:val="18"/>
        </w:rPr>
        <w:t> </w:t>
      </w:r>
      <w:r>
        <w:rPr>
          <w:spacing w:val="-2"/>
          <w:sz w:val="18"/>
        </w:rPr>
        <w:t>MC,</w:t>
      </w:r>
      <w:r>
        <w:rPr>
          <w:spacing w:val="-9"/>
          <w:sz w:val="18"/>
        </w:rPr>
        <w:t> </w:t>
      </w:r>
      <w:r>
        <w:rPr>
          <w:spacing w:val="-2"/>
          <w:sz w:val="18"/>
        </w:rPr>
        <w:t>Brazg</w:t>
      </w:r>
      <w:r>
        <w:rPr>
          <w:spacing w:val="-9"/>
          <w:sz w:val="18"/>
        </w:rPr>
        <w:t> </w:t>
      </w:r>
      <w:r>
        <w:rPr>
          <w:spacing w:val="-2"/>
          <w:sz w:val="18"/>
        </w:rPr>
        <w:t>T,</w:t>
      </w:r>
      <w:r>
        <w:rPr>
          <w:spacing w:val="-9"/>
          <w:sz w:val="18"/>
        </w:rPr>
        <w:t> </w:t>
      </w:r>
      <w:r>
        <w:rPr>
          <w:spacing w:val="-2"/>
          <w:sz w:val="18"/>
        </w:rPr>
        <w:t>Wilfond</w:t>
      </w:r>
      <w:r>
        <w:rPr>
          <w:spacing w:val="-10"/>
          <w:sz w:val="18"/>
        </w:rPr>
        <w:t> </w:t>
      </w:r>
      <w:r>
        <w:rPr>
          <w:spacing w:val="-2"/>
          <w:sz w:val="18"/>
        </w:rPr>
        <w:t>BS,</w:t>
      </w:r>
      <w:r>
        <w:rPr>
          <w:spacing w:val="-9"/>
          <w:sz w:val="18"/>
        </w:rPr>
        <w:t> </w:t>
      </w:r>
      <w:r>
        <w:rPr>
          <w:i/>
          <w:spacing w:val="-2"/>
          <w:sz w:val="18"/>
        </w:rPr>
        <w:t>et</w:t>
      </w:r>
      <w:r>
        <w:rPr>
          <w:i/>
          <w:spacing w:val="-9"/>
          <w:sz w:val="18"/>
        </w:rPr>
        <w:t> </w:t>
      </w:r>
      <w:r>
        <w:rPr>
          <w:i/>
          <w:spacing w:val="-2"/>
          <w:sz w:val="18"/>
        </w:rPr>
        <w:t>al</w:t>
      </w:r>
      <w:r>
        <w:rPr>
          <w:spacing w:val="-2"/>
          <w:sz w:val="18"/>
        </w:rPr>
        <w:t>.</w:t>
      </w:r>
      <w:r>
        <w:rPr>
          <w:spacing w:val="-9"/>
          <w:sz w:val="18"/>
        </w:rPr>
        <w:t> </w:t>
      </w:r>
      <w:r>
        <w:rPr>
          <w:spacing w:val="-2"/>
          <w:sz w:val="18"/>
        </w:rPr>
        <w:t>Ethical</w:t>
      </w:r>
      <w:r>
        <w:rPr>
          <w:spacing w:val="-10"/>
          <w:sz w:val="18"/>
        </w:rPr>
        <w:t> </w:t>
      </w:r>
      <w:r>
        <w:rPr>
          <w:spacing w:val="-2"/>
          <w:sz w:val="18"/>
        </w:rPr>
        <w:t>challenges</w:t>
      </w:r>
      <w:r>
        <w:rPr>
          <w:spacing w:val="-9"/>
          <w:sz w:val="18"/>
        </w:rPr>
        <w:t> </w:t>
      </w:r>
      <w:r>
        <w:rPr>
          <w:spacing w:val="-2"/>
          <w:sz w:val="18"/>
        </w:rPr>
        <w:t>in </w:t>
      </w:r>
      <w:r>
        <w:rPr>
          <w:sz w:val="18"/>
        </w:rPr>
        <w:t>research</w:t>
      </w:r>
      <w:r>
        <w:rPr>
          <w:spacing w:val="-12"/>
          <w:sz w:val="18"/>
        </w:rPr>
        <w:t> </w:t>
      </w:r>
      <w:r>
        <w:rPr>
          <w:sz w:val="18"/>
        </w:rPr>
        <w:t>with</w:t>
      </w:r>
      <w:r>
        <w:rPr>
          <w:spacing w:val="-11"/>
          <w:sz w:val="18"/>
        </w:rPr>
        <w:t> </w:t>
      </w:r>
      <w:r>
        <w:rPr>
          <w:sz w:val="18"/>
        </w:rPr>
        <w:t>orphans</w:t>
      </w:r>
      <w:r>
        <w:rPr>
          <w:spacing w:val="-11"/>
          <w:sz w:val="18"/>
        </w:rPr>
        <w:t> </w:t>
      </w:r>
      <w:r>
        <w:rPr>
          <w:sz w:val="18"/>
        </w:rPr>
        <w:t>and</w:t>
      </w:r>
      <w:r>
        <w:rPr>
          <w:spacing w:val="-11"/>
          <w:sz w:val="18"/>
        </w:rPr>
        <w:t> </w:t>
      </w:r>
      <w:r>
        <w:rPr>
          <w:sz w:val="18"/>
        </w:rPr>
        <w:t>vulnerable</w:t>
      </w:r>
      <w:r>
        <w:rPr>
          <w:spacing w:val="-12"/>
          <w:sz w:val="18"/>
        </w:rPr>
        <w:t> </w:t>
      </w:r>
      <w:r>
        <w:rPr>
          <w:sz w:val="18"/>
        </w:rPr>
        <w:t>children:</w:t>
      </w:r>
      <w:r>
        <w:rPr>
          <w:spacing w:val="-11"/>
          <w:sz w:val="18"/>
        </w:rPr>
        <w:t> </w:t>
      </w:r>
      <w:r>
        <w:rPr>
          <w:sz w:val="18"/>
        </w:rPr>
        <w:t>a</w:t>
      </w:r>
      <w:r>
        <w:rPr>
          <w:spacing w:val="-11"/>
          <w:sz w:val="18"/>
        </w:rPr>
        <w:t> </w:t>
      </w:r>
      <w:r>
        <w:rPr>
          <w:sz w:val="18"/>
        </w:rPr>
        <w:t>quailtative </w:t>
      </w:r>
      <w:r>
        <w:rPr>
          <w:spacing w:val="-2"/>
          <w:sz w:val="18"/>
        </w:rPr>
        <w:t>study</w:t>
      </w:r>
      <w:r>
        <w:rPr>
          <w:spacing w:val="-13"/>
          <w:sz w:val="18"/>
        </w:rPr>
        <w:t> </w:t>
      </w:r>
      <w:r>
        <w:rPr>
          <w:spacing w:val="-2"/>
          <w:sz w:val="18"/>
        </w:rPr>
        <w:t>of</w:t>
      </w:r>
      <w:r>
        <w:rPr>
          <w:spacing w:val="-10"/>
          <w:sz w:val="18"/>
        </w:rPr>
        <w:t> </w:t>
      </w:r>
      <w:r>
        <w:rPr>
          <w:spacing w:val="-2"/>
          <w:sz w:val="18"/>
        </w:rPr>
        <w:t>researcher</w:t>
      </w:r>
      <w:r>
        <w:rPr>
          <w:spacing w:val="-9"/>
          <w:sz w:val="18"/>
        </w:rPr>
        <w:t> </w:t>
      </w:r>
      <w:r>
        <w:rPr>
          <w:spacing w:val="-2"/>
          <w:sz w:val="18"/>
        </w:rPr>
        <w:t>experiences.</w:t>
      </w:r>
      <w:r>
        <w:rPr>
          <w:spacing w:val="-9"/>
          <w:sz w:val="18"/>
        </w:rPr>
        <w:t> </w:t>
      </w:r>
      <w:r>
        <w:rPr>
          <w:i/>
          <w:spacing w:val="-2"/>
          <w:sz w:val="18"/>
        </w:rPr>
        <w:t>Int</w:t>
      </w:r>
      <w:r>
        <w:rPr>
          <w:i/>
          <w:spacing w:val="-9"/>
          <w:sz w:val="18"/>
        </w:rPr>
        <w:t> </w:t>
      </w:r>
      <w:r>
        <w:rPr>
          <w:i/>
          <w:spacing w:val="-2"/>
          <w:sz w:val="18"/>
        </w:rPr>
        <w:t>Health</w:t>
      </w:r>
      <w:r>
        <w:rPr>
          <w:i/>
          <w:spacing w:val="-10"/>
          <w:sz w:val="18"/>
        </w:rPr>
        <w:t> </w:t>
      </w:r>
      <w:r>
        <w:rPr>
          <w:spacing w:val="-2"/>
          <w:sz w:val="18"/>
        </w:rPr>
        <w:t>2016;</w:t>
      </w:r>
      <w:r>
        <w:rPr>
          <w:spacing w:val="-9"/>
          <w:sz w:val="18"/>
        </w:rPr>
        <w:t> </w:t>
      </w:r>
      <w:r>
        <w:rPr>
          <w:spacing w:val="-2"/>
          <w:sz w:val="18"/>
        </w:rPr>
        <w:t>8:</w:t>
      </w:r>
      <w:r>
        <w:rPr>
          <w:spacing w:val="-9"/>
          <w:sz w:val="18"/>
        </w:rPr>
        <w:t> </w:t>
      </w:r>
      <w:r>
        <w:rPr>
          <w:spacing w:val="-2"/>
          <w:sz w:val="18"/>
        </w:rPr>
        <w:t>187-196.</w:t>
      </w:r>
    </w:p>
    <w:p>
      <w:pPr>
        <w:pStyle w:val="ListParagraph"/>
        <w:numPr>
          <w:ilvl w:val="0"/>
          <w:numId w:val="2"/>
        </w:numPr>
        <w:tabs>
          <w:tab w:pos="626" w:val="left" w:leader="none"/>
          <w:tab w:pos="627" w:val="left" w:leader="none"/>
        </w:tabs>
        <w:spacing w:line="240" w:lineRule="auto" w:before="0" w:after="0"/>
        <w:ind w:left="626" w:right="360" w:hanging="389"/>
        <w:jc w:val="left"/>
        <w:rPr>
          <w:sz w:val="18"/>
        </w:rPr>
      </w:pPr>
      <w:hyperlink r:id="rId457">
        <w:r>
          <w:rPr>
            <w:spacing w:val="-2"/>
            <w:sz w:val="18"/>
          </w:rPr>
          <w:t>http://www.biomedinvo4all.com/en/research-themes/</w:t>
        </w:r>
      </w:hyperlink>
      <w:r>
        <w:rPr>
          <w:spacing w:val="-2"/>
          <w:sz w:val="18"/>
        </w:rPr>
        <w:t> clinical-trials/clinical-trials-for-children/clinical-trials- with-children-ethics.</w:t>
      </w:r>
    </w:p>
    <w:p>
      <w:pPr>
        <w:pStyle w:val="ListParagraph"/>
        <w:numPr>
          <w:ilvl w:val="0"/>
          <w:numId w:val="2"/>
        </w:numPr>
        <w:tabs>
          <w:tab w:pos="627" w:val="left" w:leader="none"/>
        </w:tabs>
        <w:spacing w:line="240" w:lineRule="auto" w:before="94" w:after="0"/>
        <w:ind w:left="626" w:right="292" w:hanging="389"/>
        <w:jc w:val="both"/>
        <w:rPr>
          <w:sz w:val="18"/>
        </w:rPr>
      </w:pPr>
      <w:r>
        <w:rPr/>
        <w:br w:type="column"/>
      </w:r>
      <w:r>
        <w:rPr>
          <w:spacing w:val="-2"/>
          <w:sz w:val="18"/>
        </w:rPr>
        <w:t>Li</w:t>
      </w:r>
      <w:r>
        <w:rPr>
          <w:spacing w:val="-5"/>
          <w:sz w:val="18"/>
        </w:rPr>
        <w:t> </w:t>
      </w:r>
      <w:r>
        <w:rPr>
          <w:spacing w:val="-2"/>
          <w:sz w:val="18"/>
        </w:rPr>
        <w:t>JS,</w:t>
      </w:r>
      <w:r>
        <w:rPr>
          <w:spacing w:val="-6"/>
          <w:sz w:val="18"/>
        </w:rPr>
        <w:t> </w:t>
      </w:r>
      <w:r>
        <w:rPr>
          <w:spacing w:val="-2"/>
          <w:sz w:val="18"/>
        </w:rPr>
        <w:t>Eisenstein</w:t>
      </w:r>
      <w:r>
        <w:rPr>
          <w:spacing w:val="-5"/>
          <w:sz w:val="18"/>
        </w:rPr>
        <w:t> </w:t>
      </w:r>
      <w:r>
        <w:rPr>
          <w:spacing w:val="-2"/>
          <w:sz w:val="18"/>
        </w:rPr>
        <w:t>EL,</w:t>
      </w:r>
      <w:r>
        <w:rPr>
          <w:spacing w:val="-4"/>
          <w:sz w:val="18"/>
        </w:rPr>
        <w:t> </w:t>
      </w:r>
      <w:r>
        <w:rPr>
          <w:spacing w:val="-2"/>
          <w:sz w:val="18"/>
        </w:rPr>
        <w:t>Grabowski</w:t>
      </w:r>
      <w:r>
        <w:rPr>
          <w:spacing w:val="-6"/>
          <w:sz w:val="18"/>
        </w:rPr>
        <w:t> </w:t>
      </w:r>
      <w:r>
        <w:rPr>
          <w:spacing w:val="-2"/>
          <w:sz w:val="18"/>
        </w:rPr>
        <w:t>HG, </w:t>
      </w:r>
      <w:r>
        <w:rPr>
          <w:i/>
          <w:spacing w:val="-2"/>
          <w:sz w:val="18"/>
        </w:rPr>
        <w:t>et</w:t>
      </w:r>
      <w:r>
        <w:rPr>
          <w:i/>
          <w:spacing w:val="-6"/>
          <w:sz w:val="18"/>
        </w:rPr>
        <w:t> </w:t>
      </w:r>
      <w:r>
        <w:rPr>
          <w:i/>
          <w:spacing w:val="-2"/>
          <w:sz w:val="18"/>
        </w:rPr>
        <w:t>al</w:t>
      </w:r>
      <w:r>
        <w:rPr>
          <w:spacing w:val="-2"/>
          <w:sz w:val="18"/>
        </w:rPr>
        <w:t>.</w:t>
      </w:r>
      <w:r>
        <w:rPr>
          <w:spacing w:val="-5"/>
          <w:sz w:val="18"/>
        </w:rPr>
        <w:t> </w:t>
      </w:r>
      <w:r>
        <w:rPr>
          <w:spacing w:val="-2"/>
          <w:sz w:val="18"/>
        </w:rPr>
        <w:t>Economic</w:t>
      </w:r>
      <w:r>
        <w:rPr>
          <w:spacing w:val="-7"/>
          <w:sz w:val="18"/>
        </w:rPr>
        <w:t> </w:t>
      </w:r>
      <w:r>
        <w:rPr>
          <w:spacing w:val="-2"/>
          <w:sz w:val="18"/>
        </w:rPr>
        <w:t>return </w:t>
      </w:r>
      <w:r>
        <w:rPr>
          <w:sz w:val="18"/>
        </w:rPr>
        <w:t>of clinical trials performed under the pediatric exclusivity program. </w:t>
      </w:r>
      <w:r>
        <w:rPr>
          <w:i/>
          <w:sz w:val="18"/>
        </w:rPr>
        <w:t>JAMA </w:t>
      </w:r>
      <w:r>
        <w:rPr>
          <w:sz w:val="18"/>
        </w:rPr>
        <w:t>2007; 297: 480-488.</w:t>
      </w:r>
    </w:p>
    <w:p>
      <w:pPr>
        <w:pStyle w:val="ListParagraph"/>
        <w:numPr>
          <w:ilvl w:val="0"/>
          <w:numId w:val="2"/>
        </w:numPr>
        <w:tabs>
          <w:tab w:pos="627" w:val="left" w:leader="none"/>
        </w:tabs>
        <w:spacing w:line="240" w:lineRule="auto" w:before="0" w:after="0"/>
        <w:ind w:left="626" w:right="295" w:hanging="389"/>
        <w:jc w:val="both"/>
        <w:rPr>
          <w:sz w:val="18"/>
        </w:rPr>
      </w:pPr>
      <w:r>
        <w:rPr>
          <w:sz w:val="18"/>
        </w:rPr>
        <w:t>Directive 2001/20/EC of the European Parliament and the Council on the Approximation of the Law, Regulations</w:t>
      </w:r>
      <w:r>
        <w:rPr>
          <w:spacing w:val="40"/>
          <w:sz w:val="18"/>
        </w:rPr>
        <w:t> </w:t>
      </w:r>
      <w:r>
        <w:rPr>
          <w:sz w:val="18"/>
        </w:rPr>
        <w:t>and Administrative</w:t>
      </w:r>
      <w:r>
        <w:rPr>
          <w:spacing w:val="-1"/>
          <w:sz w:val="18"/>
        </w:rPr>
        <w:t> </w:t>
      </w:r>
      <w:r>
        <w:rPr>
          <w:sz w:val="18"/>
        </w:rPr>
        <w:t>Provisions</w:t>
      </w:r>
      <w:r>
        <w:rPr>
          <w:spacing w:val="-1"/>
          <w:sz w:val="18"/>
        </w:rPr>
        <w:t> </w:t>
      </w:r>
      <w:r>
        <w:rPr>
          <w:sz w:val="18"/>
        </w:rPr>
        <w:t>of</w:t>
      </w:r>
      <w:r>
        <w:rPr>
          <w:spacing w:val="-4"/>
          <w:sz w:val="18"/>
        </w:rPr>
        <w:t> </w:t>
      </w:r>
      <w:r>
        <w:rPr>
          <w:sz w:val="18"/>
        </w:rPr>
        <w:t>the</w:t>
      </w:r>
      <w:r>
        <w:rPr>
          <w:spacing w:val="-1"/>
          <w:sz w:val="18"/>
        </w:rPr>
        <w:t> </w:t>
      </w:r>
      <w:r>
        <w:rPr>
          <w:sz w:val="18"/>
        </w:rPr>
        <w:t>Member States</w:t>
      </w:r>
      <w:r>
        <w:rPr>
          <w:spacing w:val="-1"/>
          <w:sz w:val="18"/>
        </w:rPr>
        <w:t> </w:t>
      </w:r>
      <w:r>
        <w:rPr>
          <w:sz w:val="18"/>
        </w:rPr>
        <w:t>Rela- ting</w:t>
      </w:r>
      <w:r>
        <w:rPr>
          <w:spacing w:val="-5"/>
          <w:sz w:val="18"/>
        </w:rPr>
        <w:t> </w:t>
      </w:r>
      <w:r>
        <w:rPr>
          <w:sz w:val="18"/>
        </w:rPr>
        <w:t>to</w:t>
      </w:r>
      <w:r>
        <w:rPr>
          <w:spacing w:val="-3"/>
          <w:sz w:val="18"/>
        </w:rPr>
        <w:t> </w:t>
      </w:r>
      <w:r>
        <w:rPr>
          <w:sz w:val="18"/>
        </w:rPr>
        <w:t>the</w:t>
      </w:r>
      <w:r>
        <w:rPr>
          <w:spacing w:val="-5"/>
          <w:sz w:val="18"/>
        </w:rPr>
        <w:t> </w:t>
      </w:r>
      <w:r>
        <w:rPr>
          <w:sz w:val="18"/>
        </w:rPr>
        <w:t>Implementation</w:t>
      </w:r>
      <w:r>
        <w:rPr>
          <w:spacing w:val="-3"/>
          <w:sz w:val="18"/>
        </w:rPr>
        <w:t> </w:t>
      </w:r>
      <w:r>
        <w:rPr>
          <w:sz w:val="18"/>
        </w:rPr>
        <w:t>of</w:t>
      </w:r>
      <w:r>
        <w:rPr>
          <w:spacing w:val="-6"/>
          <w:sz w:val="18"/>
        </w:rPr>
        <w:t> </w:t>
      </w:r>
      <w:r>
        <w:rPr>
          <w:sz w:val="18"/>
        </w:rPr>
        <w:t>Good</w:t>
      </w:r>
      <w:r>
        <w:rPr>
          <w:spacing w:val="-3"/>
          <w:sz w:val="18"/>
        </w:rPr>
        <w:t> </w:t>
      </w:r>
      <w:r>
        <w:rPr>
          <w:sz w:val="18"/>
        </w:rPr>
        <w:t>Clinical</w:t>
      </w:r>
      <w:r>
        <w:rPr>
          <w:spacing w:val="-6"/>
          <w:sz w:val="18"/>
        </w:rPr>
        <w:t> </w:t>
      </w:r>
      <w:r>
        <w:rPr>
          <w:sz w:val="18"/>
        </w:rPr>
        <w:t>Practice</w:t>
      </w:r>
      <w:r>
        <w:rPr>
          <w:spacing w:val="-5"/>
          <w:sz w:val="18"/>
        </w:rPr>
        <w:t> </w:t>
      </w:r>
      <w:r>
        <w:rPr>
          <w:sz w:val="18"/>
        </w:rPr>
        <w:t>in</w:t>
      </w:r>
      <w:r>
        <w:rPr>
          <w:spacing w:val="-3"/>
          <w:sz w:val="18"/>
        </w:rPr>
        <w:t> </w:t>
      </w:r>
      <w:r>
        <w:rPr>
          <w:sz w:val="18"/>
        </w:rPr>
        <w:t>the Conduct of Clinical Trials on Medicinal Products for Human Use, 4 April, 2001, </w:t>
      </w:r>
      <w:hyperlink r:id="rId458">
        <w:r>
          <w:rPr>
            <w:sz w:val="18"/>
          </w:rPr>
          <w:t>www.eortc.be/</w:t>
        </w:r>
      </w:hyperlink>
      <w:r>
        <w:rPr>
          <w:sz w:val="18"/>
        </w:rPr>
        <w:t> Services/Doc/ </w:t>
      </w:r>
      <w:r>
        <w:rPr>
          <w:spacing w:val="-2"/>
          <w:sz w:val="18"/>
        </w:rPr>
        <w:t>clinical-EU-directive-04-April-01.pdf.</w:t>
      </w:r>
    </w:p>
    <w:p>
      <w:pPr>
        <w:pStyle w:val="ListParagraph"/>
        <w:numPr>
          <w:ilvl w:val="0"/>
          <w:numId w:val="2"/>
        </w:numPr>
        <w:tabs>
          <w:tab w:pos="627" w:val="left" w:leader="none"/>
        </w:tabs>
        <w:spacing w:line="240" w:lineRule="auto" w:before="0" w:after="0"/>
        <w:ind w:left="626" w:right="295" w:hanging="389"/>
        <w:jc w:val="both"/>
        <w:rPr>
          <w:sz w:val="18"/>
        </w:rPr>
      </w:pPr>
      <w:r>
        <w:rPr>
          <w:sz w:val="18"/>
        </w:rPr>
        <w:t>Sauer</w:t>
      </w:r>
      <w:r>
        <w:rPr>
          <w:spacing w:val="-4"/>
          <w:sz w:val="18"/>
        </w:rPr>
        <w:t> </w:t>
      </w:r>
      <w:r>
        <w:rPr>
          <w:sz w:val="18"/>
        </w:rPr>
        <w:t>PJJ.</w:t>
      </w:r>
      <w:r>
        <w:rPr>
          <w:spacing w:val="-1"/>
          <w:sz w:val="18"/>
        </w:rPr>
        <w:t> </w:t>
      </w:r>
      <w:r>
        <w:rPr>
          <w:sz w:val="18"/>
        </w:rPr>
        <w:t>“Research</w:t>
      </w:r>
      <w:r>
        <w:rPr>
          <w:spacing w:val="-1"/>
          <w:sz w:val="18"/>
        </w:rPr>
        <w:t> </w:t>
      </w:r>
      <w:r>
        <w:rPr>
          <w:sz w:val="18"/>
        </w:rPr>
        <w:t>in Children,”</w:t>
      </w:r>
      <w:r>
        <w:rPr>
          <w:spacing w:val="-2"/>
          <w:sz w:val="18"/>
        </w:rPr>
        <w:t> </w:t>
      </w:r>
      <w:r>
        <w:rPr>
          <w:sz w:val="18"/>
        </w:rPr>
        <w:t>Report</w:t>
      </w:r>
      <w:r>
        <w:rPr>
          <w:spacing w:val="-1"/>
          <w:sz w:val="18"/>
        </w:rPr>
        <w:t> </w:t>
      </w:r>
      <w:r>
        <w:rPr>
          <w:sz w:val="18"/>
        </w:rPr>
        <w:t>on</w:t>
      </w:r>
      <w:r>
        <w:rPr>
          <w:spacing w:val="-3"/>
          <w:sz w:val="18"/>
        </w:rPr>
        <w:t> </w:t>
      </w:r>
      <w:r>
        <w:rPr>
          <w:sz w:val="18"/>
        </w:rPr>
        <w:t>behalf</w:t>
      </w:r>
      <w:r>
        <w:rPr>
          <w:spacing w:val="-4"/>
          <w:sz w:val="18"/>
        </w:rPr>
        <w:t> </w:t>
      </w:r>
      <w:r>
        <w:rPr>
          <w:sz w:val="18"/>
        </w:rPr>
        <w:t>of</w:t>
      </w:r>
      <w:r>
        <w:rPr>
          <w:spacing w:val="-4"/>
          <w:sz w:val="18"/>
        </w:rPr>
        <w:t> </w:t>
      </w:r>
      <w:r>
        <w:rPr>
          <w:sz w:val="18"/>
        </w:rPr>
        <w:t>the Ethics Working Group of CESP. </w:t>
      </w:r>
      <w:r>
        <w:rPr>
          <w:i/>
          <w:sz w:val="18"/>
        </w:rPr>
        <w:t>European Journal of</w:t>
      </w:r>
      <w:r>
        <w:rPr>
          <w:i/>
          <w:sz w:val="18"/>
        </w:rPr>
        <w:t> Pediatrics </w:t>
      </w:r>
      <w:r>
        <w:rPr>
          <w:sz w:val="18"/>
        </w:rPr>
        <w:t>2002; 161: 1-5.</w:t>
      </w:r>
    </w:p>
    <w:p>
      <w:pPr>
        <w:pStyle w:val="ListParagraph"/>
        <w:numPr>
          <w:ilvl w:val="0"/>
          <w:numId w:val="2"/>
        </w:numPr>
        <w:tabs>
          <w:tab w:pos="627" w:val="left" w:leader="none"/>
        </w:tabs>
        <w:spacing w:line="240" w:lineRule="auto" w:before="0" w:after="0"/>
        <w:ind w:left="626" w:right="291" w:hanging="389"/>
        <w:jc w:val="both"/>
        <w:rPr>
          <w:sz w:val="18"/>
        </w:rPr>
      </w:pPr>
      <w:r>
        <w:rPr>
          <w:sz w:val="18"/>
        </w:rPr>
        <w:t>Royal College of Paediatrics and Child Health, Ethics Advisory Committee, “Guidelines for the Ethical Conduct of Medical Research Involving Children”. </w:t>
      </w:r>
      <w:r>
        <w:rPr>
          <w:i/>
          <w:sz w:val="18"/>
        </w:rPr>
        <w:t>Archives of</w:t>
      </w:r>
      <w:r>
        <w:rPr>
          <w:i/>
          <w:sz w:val="18"/>
        </w:rPr>
        <w:t> Disease in Childhood </w:t>
      </w:r>
      <w:r>
        <w:rPr>
          <w:sz w:val="18"/>
        </w:rPr>
        <w:t>2000; 82: 177-182.</w:t>
      </w:r>
    </w:p>
    <w:p>
      <w:pPr>
        <w:pStyle w:val="ListParagraph"/>
        <w:numPr>
          <w:ilvl w:val="0"/>
          <w:numId w:val="2"/>
        </w:numPr>
        <w:tabs>
          <w:tab w:pos="627" w:val="left" w:leader="none"/>
        </w:tabs>
        <w:spacing w:line="240" w:lineRule="auto" w:before="0" w:after="0"/>
        <w:ind w:left="626" w:right="290" w:hanging="389"/>
        <w:jc w:val="both"/>
        <w:rPr>
          <w:sz w:val="18"/>
        </w:rPr>
      </w:pPr>
      <w:r>
        <w:rPr>
          <w:sz w:val="18"/>
        </w:rPr>
        <w:t>Ethical considerations for clinical trials performed in chil- dren. Recommendations</w:t>
      </w:r>
      <w:r>
        <w:rPr>
          <w:spacing w:val="-1"/>
          <w:sz w:val="18"/>
        </w:rPr>
        <w:t> </w:t>
      </w:r>
      <w:r>
        <w:rPr>
          <w:sz w:val="18"/>
        </w:rPr>
        <w:t>of</w:t>
      </w:r>
      <w:r>
        <w:rPr>
          <w:spacing w:val="-1"/>
          <w:sz w:val="18"/>
        </w:rPr>
        <w:t> </w:t>
      </w:r>
      <w:r>
        <w:rPr>
          <w:sz w:val="18"/>
        </w:rPr>
        <w:t>the</w:t>
      </w:r>
      <w:r>
        <w:rPr>
          <w:spacing w:val="-1"/>
          <w:sz w:val="18"/>
        </w:rPr>
        <w:t> </w:t>
      </w:r>
      <w:r>
        <w:rPr>
          <w:sz w:val="18"/>
        </w:rPr>
        <w:t>Ad hoc group for the</w:t>
      </w:r>
      <w:r>
        <w:rPr>
          <w:spacing w:val="-1"/>
          <w:sz w:val="18"/>
        </w:rPr>
        <w:t> </w:t>
      </w:r>
      <w:r>
        <w:rPr>
          <w:sz w:val="18"/>
        </w:rPr>
        <w:t>deve- </w:t>
      </w:r>
      <w:r>
        <w:rPr>
          <w:spacing w:val="-4"/>
          <w:sz w:val="18"/>
        </w:rPr>
        <w:t>lopment</w:t>
      </w:r>
      <w:r>
        <w:rPr>
          <w:spacing w:val="-8"/>
          <w:sz w:val="18"/>
        </w:rPr>
        <w:t> </w:t>
      </w:r>
      <w:r>
        <w:rPr>
          <w:spacing w:val="-4"/>
          <w:sz w:val="18"/>
        </w:rPr>
        <w:t>of</w:t>
      </w:r>
      <w:r>
        <w:rPr>
          <w:spacing w:val="-7"/>
          <w:sz w:val="18"/>
        </w:rPr>
        <w:t> </w:t>
      </w:r>
      <w:r>
        <w:rPr>
          <w:spacing w:val="-4"/>
          <w:sz w:val="18"/>
        </w:rPr>
        <w:t>implementing</w:t>
      </w:r>
      <w:r>
        <w:rPr>
          <w:spacing w:val="-7"/>
          <w:sz w:val="18"/>
        </w:rPr>
        <w:t> </w:t>
      </w:r>
      <w:r>
        <w:rPr>
          <w:spacing w:val="-4"/>
          <w:sz w:val="18"/>
        </w:rPr>
        <w:t>guidelines</w:t>
      </w:r>
      <w:r>
        <w:rPr>
          <w:spacing w:val="-7"/>
          <w:sz w:val="18"/>
        </w:rPr>
        <w:t> </w:t>
      </w:r>
      <w:r>
        <w:rPr>
          <w:spacing w:val="-4"/>
          <w:sz w:val="18"/>
        </w:rPr>
        <w:t>for</w:t>
      </w:r>
      <w:r>
        <w:rPr>
          <w:spacing w:val="-8"/>
          <w:sz w:val="18"/>
        </w:rPr>
        <w:t> </w:t>
      </w:r>
      <w:r>
        <w:rPr>
          <w:spacing w:val="-4"/>
          <w:sz w:val="18"/>
        </w:rPr>
        <w:t>Directive</w:t>
      </w:r>
      <w:r>
        <w:rPr>
          <w:spacing w:val="-7"/>
          <w:sz w:val="18"/>
        </w:rPr>
        <w:t> </w:t>
      </w:r>
      <w:r>
        <w:rPr>
          <w:spacing w:val="-4"/>
          <w:sz w:val="18"/>
        </w:rPr>
        <w:t>2001/20/EC </w:t>
      </w:r>
      <w:r>
        <w:rPr>
          <w:sz w:val="18"/>
        </w:rPr>
        <w:t>relating to good clinical practice in the conduct of clinical trials on medicinal products for human use.</w:t>
      </w:r>
    </w:p>
    <w:p>
      <w:pPr>
        <w:spacing w:after="0" w:line="240" w:lineRule="auto"/>
        <w:jc w:val="both"/>
        <w:rPr>
          <w:sz w:val="18"/>
        </w:rPr>
        <w:sectPr>
          <w:type w:val="continuous"/>
          <w:pgSz w:w="11910" w:h="16840"/>
          <w:pgMar w:header="854" w:footer="0" w:top="740" w:bottom="0" w:left="900" w:right="840"/>
          <w:cols w:num="2" w:equalWidth="0">
            <w:col w:w="4919" w:space="79"/>
            <w:col w:w="5172"/>
          </w:cols>
        </w:sectPr>
      </w:pPr>
    </w:p>
    <w:p>
      <w:pPr>
        <w:pStyle w:val="BodyText"/>
        <w:spacing w:before="10"/>
        <w:rPr>
          <w:sz w:val="10"/>
        </w:rPr>
      </w:pPr>
    </w:p>
    <w:p>
      <w:pPr>
        <w:spacing w:before="90"/>
        <w:ind w:left="238" w:right="0" w:firstLine="0"/>
        <w:jc w:val="left"/>
        <w:rPr>
          <w:i/>
          <w:sz w:val="24"/>
        </w:rPr>
      </w:pPr>
      <w:r>
        <w:rPr>
          <w:i/>
          <w:sz w:val="24"/>
        </w:rPr>
        <w:t>Original</w:t>
      </w:r>
      <w:r>
        <w:rPr>
          <w:i/>
          <w:spacing w:val="-7"/>
          <w:sz w:val="24"/>
        </w:rPr>
        <w:t> </w:t>
      </w:r>
      <w:r>
        <w:rPr>
          <w:i/>
          <w:spacing w:val="-2"/>
          <w:sz w:val="24"/>
        </w:rPr>
        <w:t>article</w:t>
      </w:r>
    </w:p>
    <w:p>
      <w:pPr>
        <w:pStyle w:val="BodyText"/>
        <w:spacing w:before="8"/>
        <w:rPr>
          <w:i/>
        </w:rPr>
      </w:pPr>
    </w:p>
    <w:p>
      <w:pPr>
        <w:pStyle w:val="Heading2"/>
      </w:pPr>
      <w:bookmarkStart w:name="_TOC_250019" w:id="3"/>
      <w:r>
        <w:rPr/>
        <w:t>LOW</w:t>
      </w:r>
      <w:r>
        <w:rPr>
          <w:spacing w:val="-6"/>
        </w:rPr>
        <w:t> </w:t>
      </w:r>
      <w:r>
        <w:rPr/>
        <w:t>FREQUENCY</w:t>
      </w:r>
      <w:r>
        <w:rPr>
          <w:spacing w:val="-5"/>
        </w:rPr>
        <w:t> </w:t>
      </w:r>
      <w:r>
        <w:rPr/>
        <w:t>OF</w:t>
      </w:r>
      <w:r>
        <w:rPr>
          <w:spacing w:val="-4"/>
        </w:rPr>
        <w:t> </w:t>
      </w:r>
      <w:r>
        <w:rPr/>
        <w:t>CLONAL</w:t>
      </w:r>
      <w:r>
        <w:rPr>
          <w:spacing w:val="-4"/>
        </w:rPr>
        <w:t> </w:t>
      </w:r>
      <w:r>
        <w:rPr/>
        <w:t>B</w:t>
      </w:r>
      <w:r>
        <w:rPr>
          <w:spacing w:val="-2"/>
        </w:rPr>
        <w:t> </w:t>
      </w:r>
      <w:r>
        <w:rPr/>
        <w:t>CELL</w:t>
      </w:r>
      <w:r>
        <w:rPr>
          <w:spacing w:val="-4"/>
        </w:rPr>
        <w:t> </w:t>
      </w:r>
      <w:r>
        <w:rPr/>
        <w:t>EXPANSIONS</w:t>
      </w:r>
      <w:r>
        <w:rPr>
          <w:spacing w:val="-3"/>
        </w:rPr>
        <w:t> </w:t>
      </w:r>
      <w:r>
        <w:rPr/>
        <w:t>IN</w:t>
      </w:r>
      <w:r>
        <w:rPr>
          <w:spacing w:val="-7"/>
        </w:rPr>
        <w:t> </w:t>
      </w:r>
      <w:r>
        <w:rPr/>
        <w:t>PATIENTS</w:t>
      </w:r>
      <w:r>
        <w:rPr>
          <w:spacing w:val="-6"/>
        </w:rPr>
        <w:t> </w:t>
      </w:r>
      <w:r>
        <w:rPr/>
        <w:t>WITH</w:t>
      </w:r>
      <w:r>
        <w:rPr>
          <w:spacing w:val="-5"/>
        </w:rPr>
        <w:t> </w:t>
      </w:r>
      <w:bookmarkEnd w:id="3"/>
      <w:r>
        <w:rPr/>
        <w:t>IDIOPATHIC THROMBOCYTOPENIC PURPURA</w:t>
      </w:r>
    </w:p>
    <w:p>
      <w:pPr>
        <w:pStyle w:val="BodyText"/>
        <w:spacing w:before="10"/>
        <w:rPr>
          <w:b/>
          <w:sz w:val="20"/>
        </w:rPr>
      </w:pPr>
    </w:p>
    <w:p>
      <w:pPr>
        <w:pStyle w:val="Heading2"/>
        <w:ind w:right="370"/>
      </w:pPr>
      <w:bookmarkStart w:name="_TOC_250018" w:id="4"/>
      <w:r>
        <w:rPr/>
        <w:t>НИСКА</w:t>
      </w:r>
      <w:r>
        <w:rPr>
          <w:spacing w:val="-5"/>
        </w:rPr>
        <w:t> </w:t>
      </w:r>
      <w:r>
        <w:rPr/>
        <w:t>ФРЕКВЕНЦИЈА</w:t>
      </w:r>
      <w:r>
        <w:rPr>
          <w:spacing w:val="-5"/>
        </w:rPr>
        <w:t> </w:t>
      </w:r>
      <w:r>
        <w:rPr/>
        <w:t>НА</w:t>
      </w:r>
      <w:r>
        <w:rPr>
          <w:spacing w:val="-5"/>
        </w:rPr>
        <w:t> </w:t>
      </w:r>
      <w:r>
        <w:rPr/>
        <w:t>КЛОНАЛНА</w:t>
      </w:r>
      <w:r>
        <w:rPr>
          <w:spacing w:val="-5"/>
        </w:rPr>
        <w:t> </w:t>
      </w:r>
      <w:r>
        <w:rPr/>
        <w:t>Б</w:t>
      </w:r>
      <w:r>
        <w:rPr>
          <w:spacing w:val="-6"/>
        </w:rPr>
        <w:t> </w:t>
      </w:r>
      <w:r>
        <w:rPr/>
        <w:t>КЛЕТОЧНА</w:t>
      </w:r>
      <w:r>
        <w:rPr>
          <w:spacing w:val="-5"/>
        </w:rPr>
        <w:t> </w:t>
      </w:r>
      <w:r>
        <w:rPr/>
        <w:t>ЕКСПАНЗИЈА</w:t>
      </w:r>
      <w:r>
        <w:rPr>
          <w:spacing w:val="-5"/>
        </w:rPr>
        <w:t> </w:t>
      </w:r>
      <w:r>
        <w:rPr/>
        <w:t>КАЈ</w:t>
      </w:r>
      <w:r>
        <w:rPr>
          <w:spacing w:val="-4"/>
        </w:rPr>
        <w:t> </w:t>
      </w:r>
      <w:bookmarkEnd w:id="4"/>
      <w:r>
        <w:rPr/>
        <w:t>ПАЦИЕНТИ СО ИДИОПАТСКА ТРОМБОЦИТОПЕНИЧНА ПУРПУРА</w:t>
      </w:r>
    </w:p>
    <w:p>
      <w:pPr>
        <w:pStyle w:val="BodyText"/>
        <w:spacing w:before="6"/>
        <w:rPr>
          <w:b/>
          <w:sz w:val="20"/>
        </w:rPr>
      </w:pPr>
    </w:p>
    <w:p>
      <w:pPr>
        <w:pStyle w:val="Heading1"/>
      </w:pPr>
      <w:bookmarkStart w:name="_TOC_250017" w:id="5"/>
      <w:r>
        <w:rPr/>
        <w:t>Marica</w:t>
      </w:r>
      <w:r>
        <w:rPr>
          <w:spacing w:val="-3"/>
        </w:rPr>
        <w:t> </w:t>
      </w:r>
      <w:r>
        <w:rPr/>
        <w:t>Pavkovic</w:t>
      </w:r>
      <w:r>
        <w:rPr>
          <w:spacing w:val="1"/>
        </w:rPr>
        <w:t> </w:t>
      </w:r>
      <w:r>
        <w:rPr/>
        <w:t>and</w:t>
      </w:r>
      <w:r>
        <w:rPr>
          <w:spacing w:val="-1"/>
        </w:rPr>
        <w:t> </w:t>
      </w:r>
      <w:r>
        <w:rPr/>
        <w:t>Dimitar</w:t>
      </w:r>
      <w:r>
        <w:rPr>
          <w:spacing w:val="-3"/>
        </w:rPr>
        <w:t> </w:t>
      </w:r>
      <w:bookmarkEnd w:id="5"/>
      <w:r>
        <w:rPr>
          <w:spacing w:val="-2"/>
        </w:rPr>
        <w:t>Efremov</w:t>
      </w:r>
    </w:p>
    <w:p>
      <w:pPr>
        <w:pStyle w:val="BodyText"/>
        <w:spacing w:before="1"/>
      </w:pPr>
    </w:p>
    <w:p>
      <w:pPr>
        <w:spacing w:before="0"/>
        <w:ind w:left="238" w:right="294" w:firstLine="0"/>
        <w:jc w:val="left"/>
        <w:rPr>
          <w:sz w:val="22"/>
        </w:rPr>
      </w:pPr>
      <w:r>
        <w:rPr>
          <w:sz w:val="22"/>
        </w:rPr>
        <w:t>University</w:t>
      </w:r>
      <w:r>
        <w:rPr>
          <w:spacing w:val="-5"/>
          <w:sz w:val="22"/>
        </w:rPr>
        <w:t> </w:t>
      </w:r>
      <w:r>
        <w:rPr>
          <w:sz w:val="22"/>
        </w:rPr>
        <w:t>Clinic</w:t>
      </w:r>
      <w:r>
        <w:rPr>
          <w:spacing w:val="-5"/>
          <w:sz w:val="22"/>
        </w:rPr>
        <w:t> </w:t>
      </w:r>
      <w:r>
        <w:rPr>
          <w:sz w:val="22"/>
        </w:rPr>
        <w:t>for</w:t>
      </w:r>
      <w:r>
        <w:rPr>
          <w:spacing w:val="-3"/>
          <w:sz w:val="22"/>
        </w:rPr>
        <w:t> </w:t>
      </w:r>
      <w:r>
        <w:rPr>
          <w:sz w:val="22"/>
        </w:rPr>
        <w:t>Hematology,</w:t>
      </w:r>
      <w:r>
        <w:rPr>
          <w:spacing w:val="-3"/>
          <w:sz w:val="22"/>
        </w:rPr>
        <w:t> </w:t>
      </w:r>
      <w:r>
        <w:rPr>
          <w:sz w:val="22"/>
        </w:rPr>
        <w:t>Faculty</w:t>
      </w:r>
      <w:r>
        <w:rPr>
          <w:spacing w:val="-5"/>
          <w:sz w:val="22"/>
        </w:rPr>
        <w:t> </w:t>
      </w:r>
      <w:r>
        <w:rPr>
          <w:sz w:val="22"/>
        </w:rPr>
        <w:t>of</w:t>
      </w:r>
      <w:r>
        <w:rPr>
          <w:spacing w:val="-3"/>
          <w:sz w:val="22"/>
        </w:rPr>
        <w:t> </w:t>
      </w:r>
      <w:r>
        <w:rPr>
          <w:sz w:val="22"/>
        </w:rPr>
        <w:t>Medicine,</w:t>
      </w:r>
      <w:r>
        <w:rPr>
          <w:spacing w:val="-3"/>
          <w:sz w:val="22"/>
        </w:rPr>
        <w:t> </w:t>
      </w:r>
      <w:r>
        <w:rPr>
          <w:sz w:val="22"/>
        </w:rPr>
        <w:t>Ss</w:t>
      </w:r>
      <w:r>
        <w:rPr>
          <w:spacing w:val="-3"/>
          <w:sz w:val="22"/>
        </w:rPr>
        <w:t> </w:t>
      </w:r>
      <w:r>
        <w:rPr>
          <w:sz w:val="22"/>
        </w:rPr>
        <w:t>Cyril</w:t>
      </w:r>
      <w:r>
        <w:rPr>
          <w:spacing w:val="-5"/>
          <w:sz w:val="22"/>
        </w:rPr>
        <w:t> </w:t>
      </w:r>
      <w:r>
        <w:rPr>
          <w:sz w:val="22"/>
        </w:rPr>
        <w:t>and</w:t>
      </w:r>
      <w:r>
        <w:rPr>
          <w:spacing w:val="-3"/>
          <w:sz w:val="22"/>
        </w:rPr>
        <w:t> </w:t>
      </w:r>
      <w:r>
        <w:rPr>
          <w:sz w:val="22"/>
        </w:rPr>
        <w:t>Methodius</w:t>
      </w:r>
      <w:r>
        <w:rPr>
          <w:spacing w:val="-3"/>
          <w:sz w:val="22"/>
        </w:rPr>
        <w:t> </w:t>
      </w:r>
      <w:r>
        <w:rPr>
          <w:sz w:val="22"/>
        </w:rPr>
        <w:t>University</w:t>
      </w:r>
      <w:r>
        <w:rPr>
          <w:spacing w:val="-5"/>
          <w:sz w:val="22"/>
        </w:rPr>
        <w:t> </w:t>
      </w:r>
      <w:r>
        <w:rPr>
          <w:sz w:val="22"/>
        </w:rPr>
        <w:t>Skopje,</w:t>
      </w:r>
      <w:r>
        <w:rPr>
          <w:spacing w:val="-3"/>
          <w:sz w:val="22"/>
        </w:rPr>
        <w:t> </w:t>
      </w:r>
      <w:r>
        <w:rPr>
          <w:sz w:val="22"/>
        </w:rPr>
        <w:t>Republic of North Macedonia</w:t>
      </w:r>
    </w:p>
    <w:p>
      <w:pPr>
        <w:pStyle w:val="BodyText"/>
        <w:spacing w:before="6"/>
        <w:rPr>
          <w:sz w:val="13"/>
        </w:rPr>
      </w:pPr>
    </w:p>
    <w:p>
      <w:pPr>
        <w:spacing w:after="0"/>
        <w:rPr>
          <w:sz w:val="13"/>
        </w:rPr>
        <w:sectPr>
          <w:headerReference w:type="even" r:id="rId459"/>
          <w:headerReference w:type="default" r:id="rId460"/>
          <w:pgSz w:w="11910" w:h="16840"/>
          <w:pgMar w:header="854" w:footer="0" w:top="1440" w:bottom="280" w:left="900" w:right="840"/>
        </w:sectPr>
      </w:pPr>
    </w:p>
    <w:p>
      <w:pPr>
        <w:pStyle w:val="Heading4"/>
        <w:spacing w:before="92"/>
      </w:pPr>
      <w:r>
        <w:rPr>
          <w:spacing w:val="-2"/>
        </w:rPr>
        <w:t>Abstract</w:t>
      </w:r>
    </w:p>
    <w:p>
      <w:pPr>
        <w:pStyle w:val="BodyText"/>
        <w:spacing w:before="6"/>
        <w:rPr>
          <w:b/>
          <w:sz w:val="20"/>
        </w:rPr>
      </w:pPr>
    </w:p>
    <w:p>
      <w:pPr>
        <w:pStyle w:val="BodyText"/>
        <w:ind w:left="238" w:right="38"/>
        <w:jc w:val="both"/>
      </w:pPr>
      <w:r>
        <w:rPr/>
        <w:t>Idiopathic thrombocytopenic purpura (ITP) is an auto- immune</w:t>
      </w:r>
      <w:r>
        <w:rPr>
          <w:spacing w:val="-4"/>
        </w:rPr>
        <w:t> </w:t>
      </w:r>
      <w:r>
        <w:rPr/>
        <w:t>disorder</w:t>
      </w:r>
      <w:r>
        <w:rPr>
          <w:spacing w:val="-5"/>
        </w:rPr>
        <w:t> </w:t>
      </w:r>
      <w:r>
        <w:rPr/>
        <w:t>characterized</w:t>
      </w:r>
      <w:r>
        <w:rPr>
          <w:spacing w:val="-4"/>
        </w:rPr>
        <w:t> </w:t>
      </w:r>
      <w:r>
        <w:rPr/>
        <w:t>by</w:t>
      </w:r>
      <w:r>
        <w:rPr>
          <w:spacing w:val="-7"/>
        </w:rPr>
        <w:t> </w:t>
      </w:r>
      <w:r>
        <w:rPr/>
        <w:t>an</w:t>
      </w:r>
      <w:r>
        <w:rPr>
          <w:spacing w:val="-4"/>
        </w:rPr>
        <w:t> </w:t>
      </w:r>
      <w:r>
        <w:rPr/>
        <w:t>increased</w:t>
      </w:r>
      <w:r>
        <w:rPr>
          <w:spacing w:val="-4"/>
        </w:rPr>
        <w:t> </w:t>
      </w:r>
      <w:r>
        <w:rPr/>
        <w:t>platelet destruction caused by autoantibodies directed against platelet</w:t>
      </w:r>
      <w:r>
        <w:rPr>
          <w:spacing w:val="-14"/>
        </w:rPr>
        <w:t> </w:t>
      </w:r>
      <w:r>
        <w:rPr/>
        <w:t>membrane</w:t>
      </w:r>
      <w:r>
        <w:rPr>
          <w:spacing w:val="-13"/>
        </w:rPr>
        <w:t> </w:t>
      </w:r>
      <w:r>
        <w:rPr/>
        <w:t>glycoproteins</w:t>
      </w:r>
      <w:r>
        <w:rPr>
          <w:spacing w:val="-13"/>
        </w:rPr>
        <w:t> </w:t>
      </w:r>
      <w:r>
        <w:rPr/>
        <w:t>(GP),</w:t>
      </w:r>
      <w:r>
        <w:rPr>
          <w:spacing w:val="-13"/>
        </w:rPr>
        <w:t> </w:t>
      </w:r>
      <w:r>
        <w:rPr/>
        <w:t>most</w:t>
      </w:r>
      <w:r>
        <w:rPr>
          <w:spacing w:val="-13"/>
        </w:rPr>
        <w:t> </w:t>
      </w:r>
      <w:r>
        <w:rPr/>
        <w:t>commonly against GPIb/IX, GPIIb/IIIa and GPIa/IIa. In a few re- cent studies it has been reported that these antibodies frequently have a restricted light chain phenotype, su- pporting a clonal origin. In this study we wanted to explore the hypothesis of clonal B cell expansions in chronic ITP. We investigated 40 patients (28 women and 12 men) with chronic ITP for clonal B cell expan- sions using sensitive RT-PCR technique for analysing </w:t>
      </w:r>
      <w:r>
        <w:rPr>
          <w:spacing w:val="-4"/>
        </w:rPr>
        <w:t>Ig-gene</w:t>
      </w:r>
      <w:r>
        <w:rPr>
          <w:spacing w:val="-8"/>
        </w:rPr>
        <w:t> </w:t>
      </w:r>
      <w:r>
        <w:rPr>
          <w:spacing w:val="-4"/>
        </w:rPr>
        <w:t>rearrangements.</w:t>
      </w:r>
      <w:r>
        <w:rPr>
          <w:spacing w:val="-5"/>
        </w:rPr>
        <w:t> </w:t>
      </w:r>
      <w:r>
        <w:rPr>
          <w:spacing w:val="-4"/>
        </w:rPr>
        <w:t>RNA</w:t>
      </w:r>
      <w:r>
        <w:rPr>
          <w:spacing w:val="-9"/>
        </w:rPr>
        <w:t> </w:t>
      </w:r>
      <w:r>
        <w:rPr>
          <w:spacing w:val="-4"/>
        </w:rPr>
        <w:t>was</w:t>
      </w:r>
      <w:r>
        <w:rPr>
          <w:spacing w:val="-6"/>
        </w:rPr>
        <w:t> </w:t>
      </w:r>
      <w:r>
        <w:rPr>
          <w:spacing w:val="-4"/>
        </w:rPr>
        <w:t>isolated</w:t>
      </w:r>
      <w:r>
        <w:rPr>
          <w:spacing w:val="-5"/>
        </w:rPr>
        <w:t> </w:t>
      </w:r>
      <w:r>
        <w:rPr>
          <w:spacing w:val="-4"/>
        </w:rPr>
        <w:t>from</w:t>
      </w:r>
      <w:r>
        <w:rPr>
          <w:spacing w:val="-8"/>
        </w:rPr>
        <w:t> </w:t>
      </w:r>
      <w:r>
        <w:rPr>
          <w:spacing w:val="-4"/>
        </w:rPr>
        <w:t>periphe- </w:t>
      </w:r>
      <w:r>
        <w:rPr/>
        <w:t>ral blood mononuclear cells separated on a Ficoll gra- dient. The RNA was converted into cDNA and then amplified</w:t>
      </w:r>
      <w:r>
        <w:rPr>
          <w:spacing w:val="-14"/>
        </w:rPr>
        <w:t> </w:t>
      </w:r>
      <w:r>
        <w:rPr/>
        <w:t>using</w:t>
      </w:r>
      <w:r>
        <w:rPr>
          <w:spacing w:val="-13"/>
        </w:rPr>
        <w:t> </w:t>
      </w:r>
      <w:r>
        <w:rPr/>
        <w:t>FW3</w:t>
      </w:r>
      <w:r>
        <w:rPr>
          <w:spacing w:val="-13"/>
        </w:rPr>
        <w:t> </w:t>
      </w:r>
      <w:r>
        <w:rPr/>
        <w:t>and</w:t>
      </w:r>
      <w:r>
        <w:rPr>
          <w:spacing w:val="-13"/>
        </w:rPr>
        <w:t> </w:t>
      </w:r>
      <w:r>
        <w:rPr/>
        <w:t>IgM</w:t>
      </w:r>
      <w:r>
        <w:rPr>
          <w:spacing w:val="-13"/>
        </w:rPr>
        <w:t> </w:t>
      </w:r>
      <w:r>
        <w:rPr/>
        <w:t>or</w:t>
      </w:r>
      <w:r>
        <w:rPr>
          <w:spacing w:val="-13"/>
        </w:rPr>
        <w:t> </w:t>
      </w:r>
      <w:r>
        <w:rPr/>
        <w:t>IgG</w:t>
      </w:r>
      <w:r>
        <w:rPr>
          <w:spacing w:val="-13"/>
        </w:rPr>
        <w:t> </w:t>
      </w:r>
      <w:r>
        <w:rPr/>
        <w:t>specific</w:t>
      </w:r>
      <w:r>
        <w:rPr>
          <w:spacing w:val="-13"/>
        </w:rPr>
        <w:t> </w:t>
      </w:r>
      <w:r>
        <w:rPr/>
        <w:t>oligonuc- </w:t>
      </w:r>
      <w:r>
        <w:rPr>
          <w:spacing w:val="-2"/>
        </w:rPr>
        <w:t>leotides</w:t>
      </w:r>
      <w:r>
        <w:rPr>
          <w:spacing w:val="-4"/>
        </w:rPr>
        <w:t> </w:t>
      </w:r>
      <w:r>
        <w:rPr>
          <w:spacing w:val="-2"/>
        </w:rPr>
        <w:t>to</w:t>
      </w:r>
      <w:r>
        <w:rPr>
          <w:spacing w:val="-6"/>
        </w:rPr>
        <w:t> </w:t>
      </w:r>
      <w:r>
        <w:rPr>
          <w:spacing w:val="-2"/>
        </w:rPr>
        <w:t>investigate</w:t>
      </w:r>
      <w:r>
        <w:rPr>
          <w:spacing w:val="-6"/>
        </w:rPr>
        <w:t> </w:t>
      </w:r>
      <w:r>
        <w:rPr>
          <w:spacing w:val="-2"/>
        </w:rPr>
        <w:t>the</w:t>
      </w:r>
      <w:r>
        <w:rPr>
          <w:spacing w:val="-7"/>
        </w:rPr>
        <w:t> </w:t>
      </w:r>
      <w:r>
        <w:rPr>
          <w:spacing w:val="-2"/>
        </w:rPr>
        <w:t>clonality</w:t>
      </w:r>
      <w:r>
        <w:rPr>
          <w:spacing w:val="-9"/>
        </w:rPr>
        <w:t> </w:t>
      </w:r>
      <w:r>
        <w:rPr>
          <w:spacing w:val="-2"/>
        </w:rPr>
        <w:t>of</w:t>
      </w:r>
      <w:r>
        <w:rPr>
          <w:spacing w:val="-8"/>
        </w:rPr>
        <w:t> </w:t>
      </w:r>
      <w:r>
        <w:rPr>
          <w:spacing w:val="-2"/>
        </w:rPr>
        <w:t>B-cells</w:t>
      </w:r>
      <w:r>
        <w:rPr>
          <w:spacing w:val="-8"/>
        </w:rPr>
        <w:t> </w:t>
      </w:r>
      <w:r>
        <w:rPr>
          <w:spacing w:val="-2"/>
        </w:rPr>
        <w:t>expressing </w:t>
      </w:r>
      <w:r>
        <w:rPr>
          <w:spacing w:val="-4"/>
        </w:rPr>
        <w:t>the</w:t>
      </w:r>
      <w:r>
        <w:rPr>
          <w:spacing w:val="-10"/>
        </w:rPr>
        <w:t> </w:t>
      </w:r>
      <w:r>
        <w:rPr>
          <w:spacing w:val="-4"/>
        </w:rPr>
        <w:t>respective</w:t>
      </w:r>
      <w:r>
        <w:rPr>
          <w:spacing w:val="-5"/>
        </w:rPr>
        <w:t> </w:t>
      </w:r>
      <w:r>
        <w:rPr>
          <w:spacing w:val="-4"/>
        </w:rPr>
        <w:t>Ig</w:t>
      </w:r>
      <w:r>
        <w:rPr>
          <w:spacing w:val="-7"/>
        </w:rPr>
        <w:t> </w:t>
      </w:r>
      <w:r>
        <w:rPr>
          <w:spacing w:val="-4"/>
        </w:rPr>
        <w:t>isotype.</w:t>
      </w:r>
      <w:r>
        <w:rPr>
          <w:spacing w:val="-10"/>
        </w:rPr>
        <w:t> </w:t>
      </w:r>
      <w:r>
        <w:rPr>
          <w:spacing w:val="-4"/>
        </w:rPr>
        <w:t>The PCR</w:t>
      </w:r>
      <w:r>
        <w:rPr>
          <w:spacing w:val="-9"/>
        </w:rPr>
        <w:t> </w:t>
      </w:r>
      <w:r>
        <w:rPr>
          <w:spacing w:val="-4"/>
        </w:rPr>
        <w:t>fragments</w:t>
      </w:r>
      <w:r>
        <w:rPr>
          <w:spacing w:val="-10"/>
        </w:rPr>
        <w:t> </w:t>
      </w:r>
      <w:r>
        <w:rPr>
          <w:spacing w:val="-4"/>
        </w:rPr>
        <w:t>were</w:t>
      </w:r>
      <w:r>
        <w:rPr>
          <w:spacing w:val="-7"/>
        </w:rPr>
        <w:t> </w:t>
      </w:r>
      <w:r>
        <w:rPr>
          <w:spacing w:val="-4"/>
        </w:rPr>
        <w:t>analy- </w:t>
      </w:r>
      <w:r>
        <w:rPr/>
        <w:t>zed</w:t>
      </w:r>
      <w:r>
        <w:rPr>
          <w:spacing w:val="-6"/>
        </w:rPr>
        <w:t> </w:t>
      </w:r>
      <w:r>
        <w:rPr/>
        <w:t>on</w:t>
      </w:r>
      <w:r>
        <w:rPr>
          <w:spacing w:val="-2"/>
        </w:rPr>
        <w:t> </w:t>
      </w:r>
      <w:r>
        <w:rPr/>
        <w:t>sequencing</w:t>
      </w:r>
      <w:r>
        <w:rPr>
          <w:spacing w:val="-2"/>
        </w:rPr>
        <w:t> </w:t>
      </w:r>
      <w:r>
        <w:rPr/>
        <w:t>polyacrylamide</w:t>
      </w:r>
      <w:r>
        <w:rPr>
          <w:spacing w:val="-2"/>
        </w:rPr>
        <w:t> </w:t>
      </w:r>
      <w:r>
        <w:rPr/>
        <w:t>gels or</w:t>
      </w:r>
      <w:r>
        <w:rPr>
          <w:spacing w:val="-3"/>
        </w:rPr>
        <w:t> </w:t>
      </w:r>
      <w:r>
        <w:rPr/>
        <w:t>with</w:t>
      </w:r>
      <w:r>
        <w:rPr>
          <w:spacing w:val="-2"/>
        </w:rPr>
        <w:t> </w:t>
      </w:r>
      <w:r>
        <w:rPr/>
        <w:t>an</w:t>
      </w:r>
      <w:r>
        <w:rPr>
          <w:spacing w:val="-2"/>
        </w:rPr>
        <w:t> </w:t>
      </w:r>
      <w:r>
        <w:rPr/>
        <w:t>ABI prism 310 DNA analyser. We detected a monoclonal</w:t>
      </w:r>
      <w:r>
        <w:rPr>
          <w:spacing w:val="80"/>
        </w:rPr>
        <w:t> </w:t>
      </w:r>
      <w:r>
        <w:rPr/>
        <w:t>B cell population in only 1 patient and polyclonal re- arrangement with one prominent band in 3 patients in the analysis</w:t>
      </w:r>
      <w:r>
        <w:rPr>
          <w:spacing w:val="-1"/>
        </w:rPr>
        <w:t> </w:t>
      </w:r>
      <w:r>
        <w:rPr/>
        <w:t>of IgG heavy</w:t>
      </w:r>
      <w:r>
        <w:rPr>
          <w:spacing w:val="-3"/>
        </w:rPr>
        <w:t> </w:t>
      </w:r>
      <w:r>
        <w:rPr/>
        <w:t>chain mRNA.</w:t>
      </w:r>
      <w:r>
        <w:rPr>
          <w:spacing w:val="-2"/>
        </w:rPr>
        <w:t> </w:t>
      </w:r>
      <w:r>
        <w:rPr/>
        <w:t>The pattern of IgM heavy chain gene rearrangements was polyclonal </w:t>
      </w:r>
      <w:r>
        <w:rPr>
          <w:spacing w:val="-2"/>
        </w:rPr>
        <w:t>in</w:t>
      </w:r>
      <w:r>
        <w:rPr>
          <w:spacing w:val="-9"/>
        </w:rPr>
        <w:t> </w:t>
      </w:r>
      <w:r>
        <w:rPr>
          <w:spacing w:val="-2"/>
        </w:rPr>
        <w:t>all</w:t>
      </w:r>
      <w:r>
        <w:rPr>
          <w:spacing w:val="-10"/>
        </w:rPr>
        <w:t> </w:t>
      </w:r>
      <w:r>
        <w:rPr>
          <w:spacing w:val="-2"/>
        </w:rPr>
        <w:t>cases.</w:t>
      </w:r>
      <w:r>
        <w:rPr>
          <w:spacing w:val="-8"/>
        </w:rPr>
        <w:t> </w:t>
      </w:r>
      <w:r>
        <w:rPr>
          <w:spacing w:val="-2"/>
        </w:rPr>
        <w:t>Our</w:t>
      </w:r>
      <w:r>
        <w:rPr>
          <w:spacing w:val="-8"/>
        </w:rPr>
        <w:t> </w:t>
      </w:r>
      <w:r>
        <w:rPr>
          <w:spacing w:val="-2"/>
        </w:rPr>
        <w:t>study</w:t>
      </w:r>
      <w:r>
        <w:rPr>
          <w:spacing w:val="-9"/>
        </w:rPr>
        <w:t> </w:t>
      </w:r>
      <w:r>
        <w:rPr>
          <w:spacing w:val="-2"/>
        </w:rPr>
        <w:t>indicates</w:t>
      </w:r>
      <w:r>
        <w:rPr>
          <w:spacing w:val="-8"/>
        </w:rPr>
        <w:t> </w:t>
      </w:r>
      <w:r>
        <w:rPr>
          <w:spacing w:val="-2"/>
        </w:rPr>
        <w:t>that</w:t>
      </w:r>
      <w:r>
        <w:rPr>
          <w:spacing w:val="-8"/>
        </w:rPr>
        <w:t> </w:t>
      </w:r>
      <w:r>
        <w:rPr>
          <w:spacing w:val="-2"/>
        </w:rPr>
        <w:t>clonal</w:t>
      </w:r>
      <w:r>
        <w:rPr>
          <w:spacing w:val="-10"/>
        </w:rPr>
        <w:t> </w:t>
      </w:r>
      <w:r>
        <w:rPr>
          <w:spacing w:val="-2"/>
        </w:rPr>
        <w:t>B-cell</w:t>
      </w:r>
      <w:r>
        <w:rPr>
          <w:spacing w:val="-10"/>
        </w:rPr>
        <w:t> </w:t>
      </w:r>
      <w:r>
        <w:rPr>
          <w:spacing w:val="-2"/>
        </w:rPr>
        <w:t>expan- </w:t>
      </w:r>
      <w:r>
        <w:rPr/>
        <w:t>sions are rare in patients with ITP. Most probably, the clonal B-cell expansion responsible for the production of autoantibodies in ITP, if present, is below the de- tection limit.</w:t>
      </w:r>
    </w:p>
    <w:p>
      <w:pPr>
        <w:pStyle w:val="BodyText"/>
        <w:spacing w:before="2"/>
      </w:pPr>
    </w:p>
    <w:p>
      <w:pPr>
        <w:pStyle w:val="BodyText"/>
        <w:spacing w:before="1"/>
        <w:ind w:left="238"/>
      </w:pPr>
      <w:r>
        <w:rPr>
          <w:b/>
        </w:rPr>
        <w:t>Keywords:</w:t>
      </w:r>
      <w:r>
        <w:rPr>
          <w:b/>
          <w:spacing w:val="-10"/>
        </w:rPr>
        <w:t> </w:t>
      </w:r>
      <w:r>
        <w:rPr/>
        <w:t>idiopathic</w:t>
      </w:r>
      <w:r>
        <w:rPr>
          <w:spacing w:val="-9"/>
        </w:rPr>
        <w:t> </w:t>
      </w:r>
      <w:r>
        <w:rPr/>
        <w:t>throbocytopenic</w:t>
      </w:r>
      <w:r>
        <w:rPr>
          <w:spacing w:val="-9"/>
        </w:rPr>
        <w:t> </w:t>
      </w:r>
      <w:r>
        <w:rPr/>
        <w:t>purpura</w:t>
      </w:r>
      <w:r>
        <w:rPr>
          <w:spacing w:val="-9"/>
        </w:rPr>
        <w:t> </w:t>
      </w:r>
      <w:r>
        <w:rPr/>
        <w:t>(ITP), immunoglobulin gene rearrangement, anti-platelet </w:t>
      </w:r>
      <w:r>
        <w:rPr>
          <w:spacing w:val="-2"/>
        </w:rPr>
        <w:t>autoantibodies</w:t>
      </w:r>
    </w:p>
    <w:p>
      <w:pPr>
        <w:pStyle w:val="BodyText"/>
        <w:spacing w:before="4"/>
        <w:rPr>
          <w:sz w:val="18"/>
        </w:rPr>
      </w:pPr>
      <w:r>
        <w:rPr/>
        <w:pict>
          <v:shape style="position:absolute;margin-left:56.903999pt;margin-top:11.767491pt;width:225.9pt;height:.1pt;mso-position-horizontal-relative:page;mso-position-vertical-relative:paragraph;z-index:-15724032;mso-wrap-distance-left:0;mso-wrap-distance-right:0" id="docshape472" coordorigin="1138,235" coordsize="4518,0" path="m1138,235l5656,235e" filled="false" stroked="true" strokeweight=".4224pt" strokecolor="#000000">
            <v:path arrowok="t"/>
            <v:stroke dashstyle="solid"/>
            <w10:wrap type="topAndBottom"/>
          </v:shape>
        </w:pict>
      </w:r>
    </w:p>
    <w:p>
      <w:pPr>
        <w:pStyle w:val="BodyText"/>
        <w:rPr>
          <w:sz w:val="20"/>
        </w:rPr>
      </w:pPr>
    </w:p>
    <w:p>
      <w:pPr>
        <w:pStyle w:val="BodyText"/>
        <w:spacing w:before="10"/>
        <w:rPr>
          <w:sz w:val="14"/>
        </w:rPr>
      </w:pPr>
      <w:r>
        <w:rPr/>
        <w:pict>
          <v:shape style="position:absolute;margin-left:56.903999pt;margin-top:9.751828pt;width:96.05pt;height:.1pt;mso-position-horizontal-relative:page;mso-position-vertical-relative:paragraph;z-index:-15723520;mso-wrap-distance-left:0;mso-wrap-distance-right:0" id="docshape473" coordorigin="1138,195" coordsize="1921,0" path="m1138,195l3059,195e" filled="false" stroked="true" strokeweight=".32964pt" strokecolor="#000000">
            <v:path arrowok="t"/>
            <v:stroke dashstyle="solid"/>
            <w10:wrap type="topAndBottom"/>
          </v:shape>
        </w:pict>
      </w:r>
    </w:p>
    <w:p>
      <w:pPr>
        <w:tabs>
          <w:tab w:pos="2179" w:val="left" w:leader="none"/>
        </w:tabs>
        <w:spacing w:before="0"/>
        <w:ind w:left="238" w:right="40" w:firstLine="0"/>
        <w:jc w:val="both"/>
        <w:rPr>
          <w:sz w:val="16"/>
        </w:rPr>
      </w:pPr>
      <w:r>
        <w:rPr>
          <w:i/>
          <w:sz w:val="16"/>
        </w:rPr>
        <w:t>Correspondence to:</w:t>
        <w:tab/>
      </w:r>
      <w:r>
        <w:rPr>
          <w:sz w:val="16"/>
        </w:rPr>
        <w:t>Marica Pavkovic, University Clinic for</w:t>
      </w:r>
      <w:r>
        <w:rPr>
          <w:spacing w:val="40"/>
          <w:sz w:val="16"/>
        </w:rPr>
        <w:t> </w:t>
      </w:r>
      <w:r>
        <w:rPr>
          <w:sz w:val="16"/>
        </w:rPr>
        <w:t>Hematology, Faculty of Medicine, 1000 Skopje, R. N. Macedonia; E-</w:t>
      </w:r>
      <w:r>
        <w:rPr>
          <w:spacing w:val="40"/>
          <w:sz w:val="16"/>
        </w:rPr>
        <w:t> </w:t>
      </w:r>
      <w:r>
        <w:rPr>
          <w:sz w:val="16"/>
        </w:rPr>
        <w:t>mail:</w:t>
      </w:r>
      <w:r>
        <w:rPr>
          <w:spacing w:val="-3"/>
          <w:sz w:val="16"/>
        </w:rPr>
        <w:t> </w:t>
      </w:r>
      <w:hyperlink r:id="rId461">
        <w:r>
          <w:rPr>
            <w:sz w:val="16"/>
          </w:rPr>
          <w:t>pavkovicm@yahoo.com</w:t>
        </w:r>
      </w:hyperlink>
    </w:p>
    <w:p>
      <w:pPr>
        <w:pStyle w:val="Heading4"/>
        <w:spacing w:before="92"/>
      </w:pPr>
      <w:r>
        <w:rPr>
          <w:b w:val="0"/>
        </w:rPr>
        <w:br w:type="column"/>
      </w:r>
      <w:r>
        <w:rPr>
          <w:spacing w:val="-2"/>
        </w:rPr>
        <w:t>Апстракт</w:t>
      </w:r>
    </w:p>
    <w:p>
      <w:pPr>
        <w:pStyle w:val="BodyText"/>
        <w:spacing w:before="6"/>
        <w:rPr>
          <w:b/>
          <w:sz w:val="20"/>
        </w:rPr>
      </w:pPr>
    </w:p>
    <w:p>
      <w:pPr>
        <w:pStyle w:val="BodyText"/>
        <w:ind w:left="238" w:right="287"/>
        <w:jc w:val="both"/>
      </w:pPr>
      <w:r>
        <w:rPr/>
        <w:t>Идиопатска тромбоцитопенична пурпура (ITP) е автоимуно нарушување кое се карактеризира со зголемено</w:t>
      </w:r>
      <w:r>
        <w:rPr>
          <w:spacing w:val="-1"/>
        </w:rPr>
        <w:t> </w:t>
      </w:r>
      <w:r>
        <w:rPr/>
        <w:t>уништување</w:t>
      </w:r>
      <w:r>
        <w:rPr>
          <w:spacing w:val="-1"/>
        </w:rPr>
        <w:t> </w:t>
      </w:r>
      <w:r>
        <w:rPr/>
        <w:t>на</w:t>
      </w:r>
      <w:r>
        <w:rPr>
          <w:spacing w:val="-1"/>
        </w:rPr>
        <w:t> </w:t>
      </w:r>
      <w:r>
        <w:rPr/>
        <w:t>тромбоцитите</w:t>
      </w:r>
      <w:r>
        <w:rPr>
          <w:spacing w:val="-1"/>
        </w:rPr>
        <w:t> </w:t>
      </w:r>
      <w:r>
        <w:rPr/>
        <w:t>предизви- кано од автоантитела насочени против гликопро- теините</w:t>
      </w:r>
      <w:r>
        <w:rPr>
          <w:spacing w:val="-1"/>
        </w:rPr>
        <w:t> </w:t>
      </w:r>
      <w:r>
        <w:rPr/>
        <w:t>на</w:t>
      </w:r>
      <w:r>
        <w:rPr>
          <w:spacing w:val="-1"/>
        </w:rPr>
        <w:t> </w:t>
      </w:r>
      <w:r>
        <w:rPr/>
        <w:t>тромбоцитната</w:t>
      </w:r>
      <w:r>
        <w:rPr>
          <w:spacing w:val="-3"/>
        </w:rPr>
        <w:t> </w:t>
      </w:r>
      <w:r>
        <w:rPr/>
        <w:t>мембрана</w:t>
      </w:r>
      <w:r>
        <w:rPr>
          <w:spacing w:val="-1"/>
        </w:rPr>
        <w:t> </w:t>
      </w:r>
      <w:r>
        <w:rPr/>
        <w:t>(GP),</w:t>
      </w:r>
      <w:r>
        <w:rPr>
          <w:spacing w:val="-1"/>
        </w:rPr>
        <w:t> </w:t>
      </w:r>
      <w:r>
        <w:rPr/>
        <w:t>најчесто против GPIb/IX, GPIIb/IIIa и GPIa/IIa. Во неколку студии</w:t>
      </w:r>
      <w:r>
        <w:rPr>
          <w:spacing w:val="-6"/>
        </w:rPr>
        <w:t> </w:t>
      </w:r>
      <w:r>
        <w:rPr/>
        <w:t>беше</w:t>
      </w:r>
      <w:r>
        <w:rPr>
          <w:spacing w:val="-6"/>
        </w:rPr>
        <w:t> </w:t>
      </w:r>
      <w:r>
        <w:rPr/>
        <w:t>објавено</w:t>
      </w:r>
      <w:r>
        <w:rPr>
          <w:spacing w:val="-6"/>
        </w:rPr>
        <w:t> </w:t>
      </w:r>
      <w:r>
        <w:rPr/>
        <w:t>дека</w:t>
      </w:r>
      <w:r>
        <w:rPr>
          <w:spacing w:val="-6"/>
        </w:rPr>
        <w:t> </w:t>
      </w:r>
      <w:r>
        <w:rPr/>
        <w:t>овие</w:t>
      </w:r>
      <w:r>
        <w:rPr>
          <w:spacing w:val="-6"/>
        </w:rPr>
        <w:t> </w:t>
      </w:r>
      <w:r>
        <w:rPr/>
        <w:t>автоантитела</w:t>
      </w:r>
      <w:r>
        <w:rPr>
          <w:spacing w:val="-6"/>
        </w:rPr>
        <w:t> </w:t>
      </w:r>
      <w:r>
        <w:rPr/>
        <w:t>често имаат</w:t>
      </w:r>
      <w:r>
        <w:rPr>
          <w:spacing w:val="-10"/>
        </w:rPr>
        <w:t> </w:t>
      </w:r>
      <w:r>
        <w:rPr/>
        <w:t>ограничен</w:t>
      </w:r>
      <w:r>
        <w:rPr>
          <w:spacing w:val="-9"/>
        </w:rPr>
        <w:t> </w:t>
      </w:r>
      <w:r>
        <w:rPr/>
        <w:t>фенотип</w:t>
      </w:r>
      <w:r>
        <w:rPr>
          <w:spacing w:val="-6"/>
        </w:rPr>
        <w:t> </w:t>
      </w:r>
      <w:r>
        <w:rPr/>
        <w:t>на</w:t>
      </w:r>
      <w:r>
        <w:rPr>
          <w:spacing w:val="-9"/>
        </w:rPr>
        <w:t> </w:t>
      </w:r>
      <w:r>
        <w:rPr/>
        <w:t>лесен</w:t>
      </w:r>
      <w:r>
        <w:rPr>
          <w:spacing w:val="-8"/>
        </w:rPr>
        <w:t> </w:t>
      </w:r>
      <w:r>
        <w:rPr/>
        <w:t>ланец,</w:t>
      </w:r>
      <w:r>
        <w:rPr>
          <w:spacing w:val="-8"/>
        </w:rPr>
        <w:t> </w:t>
      </w:r>
      <w:r>
        <w:rPr/>
        <w:t>поддржу- вајќи</w:t>
      </w:r>
      <w:r>
        <w:rPr>
          <w:spacing w:val="-9"/>
        </w:rPr>
        <w:t> </w:t>
      </w:r>
      <w:r>
        <w:rPr/>
        <w:t>клонално</w:t>
      </w:r>
      <w:r>
        <w:rPr>
          <w:spacing w:val="-5"/>
        </w:rPr>
        <w:t> </w:t>
      </w:r>
      <w:r>
        <w:rPr/>
        <w:t>потекло.</w:t>
      </w:r>
      <w:r>
        <w:rPr>
          <w:spacing w:val="-6"/>
        </w:rPr>
        <w:t> </w:t>
      </w:r>
      <w:r>
        <w:rPr/>
        <w:t>Во</w:t>
      </w:r>
      <w:r>
        <w:rPr>
          <w:spacing w:val="-5"/>
        </w:rPr>
        <w:t> </w:t>
      </w:r>
      <w:r>
        <w:rPr/>
        <w:t>оваа</w:t>
      </w:r>
      <w:r>
        <w:rPr>
          <w:spacing w:val="-5"/>
        </w:rPr>
        <w:t> </w:t>
      </w:r>
      <w:r>
        <w:rPr/>
        <w:t>студија</w:t>
      </w:r>
      <w:r>
        <w:rPr>
          <w:spacing w:val="-5"/>
        </w:rPr>
        <w:t> </w:t>
      </w:r>
      <w:r>
        <w:rPr/>
        <w:t>сакавме</w:t>
      </w:r>
      <w:r>
        <w:rPr>
          <w:spacing w:val="-5"/>
        </w:rPr>
        <w:t> </w:t>
      </w:r>
      <w:r>
        <w:rPr/>
        <w:t>да ја</w:t>
      </w:r>
      <w:r>
        <w:rPr>
          <w:spacing w:val="-1"/>
        </w:rPr>
        <w:t> </w:t>
      </w:r>
      <w:r>
        <w:rPr/>
        <w:t>истражиме</w:t>
      </w:r>
      <w:r>
        <w:rPr>
          <w:spacing w:val="-1"/>
        </w:rPr>
        <w:t> </w:t>
      </w:r>
      <w:r>
        <w:rPr/>
        <w:t>хипотезата</w:t>
      </w:r>
      <w:r>
        <w:rPr>
          <w:spacing w:val="-1"/>
        </w:rPr>
        <w:t> </w:t>
      </w:r>
      <w:r>
        <w:rPr/>
        <w:t>за</w:t>
      </w:r>
      <w:r>
        <w:rPr>
          <w:spacing w:val="-4"/>
        </w:rPr>
        <w:t> </w:t>
      </w:r>
      <w:r>
        <w:rPr/>
        <w:t>присуството</w:t>
      </w:r>
      <w:r>
        <w:rPr>
          <w:spacing w:val="-1"/>
        </w:rPr>
        <w:t> </w:t>
      </w:r>
      <w:r>
        <w:rPr/>
        <w:t>на</w:t>
      </w:r>
      <w:r>
        <w:rPr>
          <w:spacing w:val="-1"/>
        </w:rPr>
        <w:t> </w:t>
      </w:r>
      <w:r>
        <w:rPr/>
        <w:t>клонал- ната Б-клетoчна експанзија кај болните со хронич- на</w:t>
      </w:r>
      <w:r>
        <w:rPr>
          <w:spacing w:val="-1"/>
        </w:rPr>
        <w:t> </w:t>
      </w:r>
      <w:r>
        <w:rPr/>
        <w:t>ИТП.</w:t>
      </w:r>
      <w:r>
        <w:rPr>
          <w:spacing w:val="-3"/>
        </w:rPr>
        <w:t> </w:t>
      </w:r>
      <w:r>
        <w:rPr/>
        <w:t>Постоењето</w:t>
      </w:r>
      <w:r>
        <w:rPr>
          <w:spacing w:val="-3"/>
        </w:rPr>
        <w:t> </w:t>
      </w:r>
      <w:r>
        <w:rPr/>
        <w:t>на</w:t>
      </w:r>
      <w:r>
        <w:rPr>
          <w:spacing w:val="-3"/>
        </w:rPr>
        <w:t> </w:t>
      </w:r>
      <w:r>
        <w:rPr/>
        <w:t>клонална</w:t>
      </w:r>
      <w:r>
        <w:rPr>
          <w:spacing w:val="-3"/>
        </w:rPr>
        <w:t> </w:t>
      </w:r>
      <w:r>
        <w:rPr/>
        <w:t>Б-клеточна</w:t>
      </w:r>
      <w:r>
        <w:rPr>
          <w:spacing w:val="-4"/>
        </w:rPr>
        <w:t> </w:t>
      </w:r>
      <w:r>
        <w:rPr/>
        <w:t>попу- лација</w:t>
      </w:r>
      <w:r>
        <w:rPr>
          <w:spacing w:val="-2"/>
        </w:rPr>
        <w:t> </w:t>
      </w:r>
      <w:r>
        <w:rPr/>
        <w:t>го</w:t>
      </w:r>
      <w:r>
        <w:rPr>
          <w:spacing w:val="40"/>
        </w:rPr>
        <w:t> </w:t>
      </w:r>
      <w:r>
        <w:rPr/>
        <w:t>анализиравме</w:t>
      </w:r>
      <w:r>
        <w:rPr>
          <w:spacing w:val="-5"/>
        </w:rPr>
        <w:t> </w:t>
      </w:r>
      <w:r>
        <w:rPr/>
        <w:t>кај</w:t>
      </w:r>
      <w:r>
        <w:rPr>
          <w:spacing w:val="-3"/>
        </w:rPr>
        <w:t> </w:t>
      </w:r>
      <w:r>
        <w:rPr/>
        <w:t>40</w:t>
      </w:r>
      <w:r>
        <w:rPr>
          <w:spacing w:val="-2"/>
        </w:rPr>
        <w:t> </w:t>
      </w:r>
      <w:r>
        <w:rPr/>
        <w:t>пациенти</w:t>
      </w:r>
      <w:r>
        <w:rPr>
          <w:spacing w:val="-2"/>
        </w:rPr>
        <w:t> </w:t>
      </w:r>
      <w:r>
        <w:rPr/>
        <w:t>(28</w:t>
      </w:r>
      <w:r>
        <w:rPr>
          <w:spacing w:val="-5"/>
        </w:rPr>
        <w:t> </w:t>
      </w:r>
      <w:r>
        <w:rPr/>
        <w:t>жени</w:t>
      </w:r>
      <w:r>
        <w:rPr>
          <w:spacing w:val="-2"/>
        </w:rPr>
        <w:t> </w:t>
      </w:r>
      <w:r>
        <w:rPr/>
        <w:t>и 12 мажи) со хронична ИТП користејќи чувствител- на RT-PCR техника за анализа на преуредувањето на имуноглобулинските гени.</w:t>
      </w:r>
      <w:r>
        <w:rPr>
          <w:spacing w:val="-2"/>
        </w:rPr>
        <w:t> </w:t>
      </w:r>
      <w:r>
        <w:rPr/>
        <w:t>РНК беше изолирана од</w:t>
      </w:r>
      <w:r>
        <w:rPr>
          <w:spacing w:val="-12"/>
        </w:rPr>
        <w:t> </w:t>
      </w:r>
      <w:r>
        <w:rPr/>
        <w:t>мононуклеарните</w:t>
      </w:r>
      <w:r>
        <w:rPr>
          <w:spacing w:val="-13"/>
        </w:rPr>
        <w:t> </w:t>
      </w:r>
      <w:r>
        <w:rPr/>
        <w:t>клетки</w:t>
      </w:r>
      <w:r>
        <w:rPr>
          <w:spacing w:val="-11"/>
        </w:rPr>
        <w:t> </w:t>
      </w:r>
      <w:r>
        <w:rPr/>
        <w:t>од</w:t>
      </w:r>
      <w:r>
        <w:rPr>
          <w:spacing w:val="-12"/>
        </w:rPr>
        <w:t> </w:t>
      </w:r>
      <w:r>
        <w:rPr/>
        <w:t>периферна</w:t>
      </w:r>
      <w:r>
        <w:rPr>
          <w:spacing w:val="-13"/>
        </w:rPr>
        <w:t> </w:t>
      </w:r>
      <w:r>
        <w:rPr/>
        <w:t>крв</w:t>
      </w:r>
      <w:r>
        <w:rPr>
          <w:spacing w:val="-11"/>
        </w:rPr>
        <w:t> </w:t>
      </w:r>
      <w:r>
        <w:rPr/>
        <w:t>одде- лени на градиент на Фикол. Изолираната РНК бе- ше</w:t>
      </w:r>
      <w:r>
        <w:rPr>
          <w:spacing w:val="-1"/>
        </w:rPr>
        <w:t> </w:t>
      </w:r>
      <w:r>
        <w:rPr/>
        <w:t>претворена</w:t>
      </w:r>
      <w:r>
        <w:rPr>
          <w:spacing w:val="-1"/>
        </w:rPr>
        <w:t> </w:t>
      </w:r>
      <w:r>
        <w:rPr/>
        <w:t>во</w:t>
      </w:r>
      <w:r>
        <w:rPr>
          <w:spacing w:val="-1"/>
        </w:rPr>
        <w:t> </w:t>
      </w:r>
      <w:r>
        <w:rPr/>
        <w:t>cDNA,</w:t>
      </w:r>
      <w:r>
        <w:rPr>
          <w:spacing w:val="-1"/>
        </w:rPr>
        <w:t> </w:t>
      </w:r>
      <w:r>
        <w:rPr/>
        <w:t>а</w:t>
      </w:r>
      <w:r>
        <w:rPr>
          <w:spacing w:val="-3"/>
        </w:rPr>
        <w:t> </w:t>
      </w:r>
      <w:r>
        <w:rPr/>
        <w:t>потоа</w:t>
      </w:r>
      <w:r>
        <w:rPr>
          <w:spacing w:val="-1"/>
        </w:rPr>
        <w:t> </w:t>
      </w:r>
      <w:r>
        <w:rPr/>
        <w:t>следуваше</w:t>
      </w:r>
      <w:r>
        <w:rPr>
          <w:spacing w:val="-1"/>
        </w:rPr>
        <w:t> </w:t>
      </w:r>
      <w:r>
        <w:rPr/>
        <w:t>ампли- фикација на специфични сегменти од имуногло- булинските гени со употреба на специфични оли- гонуклеотиди FW3 и IgM или IgG со цел да се ис- пита</w:t>
      </w:r>
      <w:r>
        <w:rPr>
          <w:spacing w:val="-2"/>
        </w:rPr>
        <w:t> </w:t>
      </w:r>
      <w:r>
        <w:rPr/>
        <w:t>клоналноста</w:t>
      </w:r>
      <w:r>
        <w:rPr>
          <w:spacing w:val="-7"/>
        </w:rPr>
        <w:t> </w:t>
      </w:r>
      <w:r>
        <w:rPr/>
        <w:t>на</w:t>
      </w:r>
      <w:r>
        <w:rPr>
          <w:spacing w:val="-8"/>
        </w:rPr>
        <w:t> </w:t>
      </w:r>
      <w:r>
        <w:rPr/>
        <w:t>Б-клеточната</w:t>
      </w:r>
      <w:r>
        <w:rPr>
          <w:spacing w:val="-7"/>
        </w:rPr>
        <w:t> </w:t>
      </w:r>
      <w:r>
        <w:rPr/>
        <w:t>популација.</w:t>
      </w:r>
      <w:r>
        <w:rPr>
          <w:spacing w:val="-8"/>
        </w:rPr>
        <w:t> </w:t>
      </w:r>
      <w:r>
        <w:rPr/>
        <w:t>PCR фрагментите беа анализирани со секвенционирање на полиакриламидни гелови или</w:t>
      </w:r>
      <w:r>
        <w:rPr>
          <w:spacing w:val="-2"/>
        </w:rPr>
        <w:t> </w:t>
      </w:r>
      <w:r>
        <w:rPr/>
        <w:t>со</w:t>
      </w:r>
      <w:r>
        <w:rPr>
          <w:spacing w:val="-2"/>
        </w:rPr>
        <w:t> </w:t>
      </w:r>
      <w:r>
        <w:rPr/>
        <w:t>АБИ</w:t>
      </w:r>
      <w:r>
        <w:rPr>
          <w:spacing w:val="-1"/>
        </w:rPr>
        <w:t> </w:t>
      </w:r>
      <w:r>
        <w:rPr/>
        <w:t>призм</w:t>
      </w:r>
      <w:r>
        <w:rPr>
          <w:spacing w:val="-1"/>
        </w:rPr>
        <w:t> </w:t>
      </w:r>
      <w:r>
        <w:rPr/>
        <w:t>310 ДНК анализатор. При анализата на mRNA на теш- киот ланец на IgG откривме моноклонална Б-кле- точна</w:t>
      </w:r>
      <w:r>
        <w:rPr>
          <w:spacing w:val="-4"/>
        </w:rPr>
        <w:t> </w:t>
      </w:r>
      <w:r>
        <w:rPr/>
        <w:t>популација</w:t>
      </w:r>
      <w:r>
        <w:rPr>
          <w:spacing w:val="-4"/>
        </w:rPr>
        <w:t> </w:t>
      </w:r>
      <w:r>
        <w:rPr/>
        <w:t>кај</w:t>
      </w:r>
      <w:r>
        <w:rPr>
          <w:spacing w:val="-5"/>
        </w:rPr>
        <w:t> </w:t>
      </w:r>
      <w:r>
        <w:rPr/>
        <w:t>само</w:t>
      </w:r>
      <w:r>
        <w:rPr>
          <w:spacing w:val="-5"/>
        </w:rPr>
        <w:t> </w:t>
      </w:r>
      <w:r>
        <w:rPr/>
        <w:t>1</w:t>
      </w:r>
      <w:r>
        <w:rPr>
          <w:spacing w:val="-4"/>
        </w:rPr>
        <w:t> </w:t>
      </w:r>
      <w:r>
        <w:rPr/>
        <w:t>пациент</w:t>
      </w:r>
      <w:r>
        <w:rPr>
          <w:spacing w:val="-5"/>
        </w:rPr>
        <w:t> </w:t>
      </w:r>
      <w:r>
        <w:rPr/>
        <w:t>и</w:t>
      </w:r>
      <w:r>
        <w:rPr>
          <w:spacing w:val="-4"/>
        </w:rPr>
        <w:t> </w:t>
      </w:r>
      <w:r>
        <w:rPr/>
        <w:t>поликлонал- но преуредување со еден подоминатен фрагмент</w:t>
      </w:r>
      <w:r>
        <w:rPr>
          <w:spacing w:val="40"/>
        </w:rPr>
        <w:t> </w:t>
      </w:r>
      <w:r>
        <w:rPr/>
        <w:t>кај 3 пациенти. Преуредување на генот за тешкиот ланец</w:t>
      </w:r>
      <w:r>
        <w:rPr>
          <w:spacing w:val="-14"/>
        </w:rPr>
        <w:t> </w:t>
      </w:r>
      <w:r>
        <w:rPr/>
        <w:t>на</w:t>
      </w:r>
      <w:r>
        <w:rPr>
          <w:spacing w:val="-13"/>
        </w:rPr>
        <w:t> </w:t>
      </w:r>
      <w:r>
        <w:rPr/>
        <w:t>IgM</w:t>
      </w:r>
      <w:r>
        <w:rPr>
          <w:spacing w:val="-13"/>
        </w:rPr>
        <w:t> </w:t>
      </w:r>
      <w:r>
        <w:rPr/>
        <w:t>беше</w:t>
      </w:r>
      <w:r>
        <w:rPr>
          <w:spacing w:val="-13"/>
        </w:rPr>
        <w:t> </w:t>
      </w:r>
      <w:r>
        <w:rPr/>
        <w:t>поликлонален</w:t>
      </w:r>
      <w:r>
        <w:rPr>
          <w:spacing w:val="-13"/>
        </w:rPr>
        <w:t> </w:t>
      </w:r>
      <w:r>
        <w:rPr/>
        <w:t>кај</w:t>
      </w:r>
      <w:r>
        <w:rPr>
          <w:spacing w:val="-13"/>
        </w:rPr>
        <w:t> </w:t>
      </w:r>
      <w:r>
        <w:rPr/>
        <w:t>сите</w:t>
      </w:r>
      <w:r>
        <w:rPr>
          <w:spacing w:val="-13"/>
        </w:rPr>
        <w:t> </w:t>
      </w:r>
      <w:r>
        <w:rPr/>
        <w:t>пациенти. Нашата студија покажува дека присуството на мо- ноклонална Б клеточна популација е ретко кај пациенти</w:t>
      </w:r>
      <w:r>
        <w:rPr>
          <w:spacing w:val="-2"/>
        </w:rPr>
        <w:t> </w:t>
      </w:r>
      <w:r>
        <w:rPr/>
        <w:t>со</w:t>
      </w:r>
      <w:r>
        <w:rPr>
          <w:spacing w:val="-5"/>
        </w:rPr>
        <w:t> </w:t>
      </w:r>
      <w:r>
        <w:rPr/>
        <w:t>ИТП.</w:t>
      </w:r>
      <w:r>
        <w:rPr>
          <w:spacing w:val="-5"/>
        </w:rPr>
        <w:t> </w:t>
      </w:r>
      <w:r>
        <w:rPr/>
        <w:t>Една</w:t>
      </w:r>
      <w:r>
        <w:rPr>
          <w:spacing w:val="-2"/>
        </w:rPr>
        <w:t> </w:t>
      </w:r>
      <w:r>
        <w:rPr/>
        <w:t>од</w:t>
      </w:r>
      <w:r>
        <w:rPr>
          <w:spacing w:val="-4"/>
        </w:rPr>
        <w:t> </w:t>
      </w:r>
      <w:r>
        <w:rPr/>
        <w:t>можните</w:t>
      </w:r>
      <w:r>
        <w:rPr>
          <w:spacing w:val="-2"/>
        </w:rPr>
        <w:t> </w:t>
      </w:r>
      <w:r>
        <w:rPr/>
        <w:t>причина</w:t>
      </w:r>
      <w:r>
        <w:rPr>
          <w:spacing w:val="-2"/>
        </w:rPr>
        <w:t> </w:t>
      </w:r>
      <w:r>
        <w:rPr/>
        <w:t>е</w:t>
      </w:r>
      <w:r>
        <w:rPr>
          <w:spacing w:val="-2"/>
        </w:rPr>
        <w:t> </w:t>
      </w:r>
      <w:r>
        <w:rPr/>
        <w:t>дека клоналната Б-клеточна популација, одговорна за производство на автоантитела кај ИТП, доколку е присутна, е под детектибилните границата.</w:t>
      </w:r>
    </w:p>
    <w:p>
      <w:pPr>
        <w:spacing w:after="0"/>
        <w:jc w:val="both"/>
        <w:sectPr>
          <w:type w:val="continuous"/>
          <w:pgSz w:w="11910" w:h="16840"/>
          <w:pgMar w:header="859" w:footer="0" w:top="740" w:bottom="0" w:left="900" w:right="840"/>
          <w:cols w:num="2" w:equalWidth="0">
            <w:col w:w="4921" w:space="76"/>
            <w:col w:w="5173"/>
          </w:cols>
        </w:sectPr>
      </w:pPr>
    </w:p>
    <w:p>
      <w:pPr>
        <w:pStyle w:val="BodyText"/>
        <w:spacing w:before="5"/>
        <w:rPr>
          <w:sz w:val="15"/>
        </w:rPr>
      </w:pPr>
    </w:p>
    <w:p>
      <w:pPr>
        <w:spacing w:after="0"/>
        <w:rPr>
          <w:sz w:val="15"/>
        </w:rPr>
        <w:sectPr>
          <w:pgSz w:w="11910" w:h="16840"/>
          <w:pgMar w:header="859" w:footer="0" w:top="1300" w:bottom="280" w:left="900" w:right="840"/>
        </w:sectPr>
      </w:pPr>
    </w:p>
    <w:p>
      <w:pPr>
        <w:pStyle w:val="BodyText"/>
        <w:spacing w:before="92"/>
        <w:ind w:left="238"/>
      </w:pPr>
      <w:r>
        <w:rPr>
          <w:b/>
        </w:rPr>
        <w:t>Клучни зборови: </w:t>
      </w:r>
      <w:r>
        <w:rPr/>
        <w:t>идиопатска тробоцитопенична </w:t>
      </w:r>
      <w:r>
        <w:rPr>
          <w:spacing w:val="-8"/>
        </w:rPr>
        <w:t>пурпура</w:t>
      </w:r>
      <w:r>
        <w:rPr/>
        <w:t> </w:t>
      </w:r>
      <w:r>
        <w:rPr>
          <w:spacing w:val="-8"/>
        </w:rPr>
        <w:t>(ИТП),</w:t>
      </w:r>
      <w:r>
        <w:rPr/>
        <w:t> </w:t>
      </w:r>
      <w:r>
        <w:rPr>
          <w:spacing w:val="-8"/>
        </w:rPr>
        <w:t>преуредување</w:t>
      </w:r>
      <w:r>
        <w:rPr/>
        <w:t> </w:t>
      </w:r>
      <w:r>
        <w:rPr>
          <w:spacing w:val="-8"/>
        </w:rPr>
        <w:t>на</w:t>
      </w:r>
      <w:r>
        <w:rPr/>
        <w:t> </w:t>
      </w:r>
      <w:r>
        <w:rPr>
          <w:spacing w:val="-8"/>
        </w:rPr>
        <w:t>имуноглобулинските </w:t>
      </w:r>
      <w:r>
        <w:rPr/>
        <w:t>гени, анти-тромбоцитни автоантитела</w:t>
      </w:r>
    </w:p>
    <w:p>
      <w:pPr>
        <w:pStyle w:val="BodyText"/>
        <w:spacing w:before="7"/>
        <w:rPr>
          <w:sz w:val="18"/>
        </w:rPr>
      </w:pPr>
      <w:r>
        <w:rPr/>
        <w:pict>
          <v:shape style="position:absolute;margin-left:56.903999pt;margin-top:11.913584pt;width:225.9pt;height:.1pt;mso-position-horizontal-relative:page;mso-position-vertical-relative:paragraph;z-index:-15723008;mso-wrap-distance-left:0;mso-wrap-distance-right:0" id="docshape474" coordorigin="1138,238" coordsize="4518,0" path="m1138,238l5656,238e" filled="false" stroked="true" strokeweight=".4224pt" strokecolor="#000000">
            <v:path arrowok="t"/>
            <v:stroke dashstyle="solid"/>
            <w10:wrap type="topAndBottom"/>
          </v:shape>
        </w:pict>
      </w:r>
    </w:p>
    <w:p>
      <w:pPr>
        <w:pStyle w:val="BodyText"/>
        <w:spacing w:before="4"/>
      </w:pPr>
    </w:p>
    <w:p>
      <w:pPr>
        <w:pStyle w:val="Heading4"/>
      </w:pPr>
      <w:r>
        <w:rPr>
          <w:spacing w:val="-2"/>
        </w:rPr>
        <w:t>Introduction</w:t>
      </w:r>
    </w:p>
    <w:p>
      <w:pPr>
        <w:pStyle w:val="BodyText"/>
        <w:spacing w:before="6"/>
        <w:rPr>
          <w:b/>
          <w:sz w:val="20"/>
        </w:rPr>
      </w:pPr>
    </w:p>
    <w:p>
      <w:pPr>
        <w:pStyle w:val="BodyText"/>
        <w:ind w:left="238" w:right="45"/>
        <w:jc w:val="both"/>
      </w:pPr>
      <w:r>
        <w:rPr/>
        <w:t>Chronic immune thrombocytopenic purpura (ITP) is the most common autoimmune hematological disorder characterized by a decreased survival of platelets due to the production of anti-platelet autoantibodies that results in increased platelet</w:t>
      </w:r>
      <w:r>
        <w:rPr>
          <w:spacing w:val="-1"/>
        </w:rPr>
        <w:t> </w:t>
      </w:r>
      <w:r>
        <w:rPr/>
        <w:t>destruction by</w:t>
      </w:r>
      <w:r>
        <w:rPr>
          <w:spacing w:val="-2"/>
        </w:rPr>
        <w:t> </w:t>
      </w:r>
      <w:r>
        <w:rPr/>
        <w:t>the reticulo- endothelial</w:t>
      </w:r>
      <w:r>
        <w:rPr>
          <w:spacing w:val="-6"/>
        </w:rPr>
        <w:t> </w:t>
      </w:r>
      <w:r>
        <w:rPr/>
        <w:t>system</w:t>
      </w:r>
      <w:r>
        <w:rPr>
          <w:spacing w:val="-12"/>
        </w:rPr>
        <w:t> </w:t>
      </w:r>
      <w:r>
        <w:rPr/>
        <w:t>[1-5].</w:t>
      </w:r>
      <w:r>
        <w:rPr>
          <w:spacing w:val="-8"/>
        </w:rPr>
        <w:t> </w:t>
      </w:r>
      <w:r>
        <w:rPr/>
        <w:t>ITP</w:t>
      </w:r>
      <w:r>
        <w:rPr>
          <w:spacing w:val="-8"/>
        </w:rPr>
        <w:t> </w:t>
      </w:r>
      <w:r>
        <w:rPr/>
        <w:t>can</w:t>
      </w:r>
      <w:r>
        <w:rPr>
          <w:spacing w:val="-10"/>
        </w:rPr>
        <w:t> </w:t>
      </w:r>
      <w:r>
        <w:rPr/>
        <w:t>be</w:t>
      </w:r>
      <w:r>
        <w:rPr>
          <w:spacing w:val="-10"/>
        </w:rPr>
        <w:t> </w:t>
      </w:r>
      <w:r>
        <w:rPr/>
        <w:t>primary</w:t>
      </w:r>
      <w:r>
        <w:rPr>
          <w:spacing w:val="-12"/>
        </w:rPr>
        <w:t> </w:t>
      </w:r>
      <w:r>
        <w:rPr/>
        <w:t>idiopathic autoimmune disorder, and may occur together with other immune and nonimmune disease like SLE, chro- nic lymphoproliferative diseases like chronic lympho- cytic leukemia (CLL), AIDS, reactions to drugs etc.</w:t>
      </w:r>
    </w:p>
    <w:p>
      <w:pPr>
        <w:pStyle w:val="BodyText"/>
        <w:ind w:left="238" w:right="43"/>
      </w:pPr>
      <w:r>
        <w:rPr>
          <w:spacing w:val="-2"/>
        </w:rPr>
        <w:t>The first evidence that pathogenic anti-platelet autoanti- </w:t>
      </w:r>
      <w:r>
        <w:rPr/>
        <w:t>bodies are specifically directed against certain platelet surface</w:t>
      </w:r>
      <w:r>
        <w:rPr>
          <w:spacing w:val="40"/>
        </w:rPr>
        <w:t> </w:t>
      </w:r>
      <w:r>
        <w:rPr/>
        <w:t>glycoproteins</w:t>
      </w:r>
      <w:r>
        <w:rPr>
          <w:spacing w:val="40"/>
        </w:rPr>
        <w:t> </w:t>
      </w:r>
      <w:r>
        <w:rPr/>
        <w:t>was</w:t>
      </w:r>
      <w:r>
        <w:rPr>
          <w:spacing w:val="40"/>
        </w:rPr>
        <w:t> </w:t>
      </w:r>
      <w:r>
        <w:rPr/>
        <w:t>provided</w:t>
      </w:r>
      <w:r>
        <w:rPr>
          <w:spacing w:val="40"/>
        </w:rPr>
        <w:t> </w:t>
      </w:r>
      <w:r>
        <w:rPr/>
        <w:t>by</w:t>
      </w:r>
      <w:r>
        <w:rPr>
          <w:spacing w:val="40"/>
        </w:rPr>
        <w:t> </w:t>
      </w:r>
      <w:r>
        <w:rPr/>
        <w:t>a</w:t>
      </w:r>
      <w:r>
        <w:rPr>
          <w:spacing w:val="40"/>
        </w:rPr>
        <w:t> </w:t>
      </w:r>
      <w:r>
        <w:rPr/>
        <w:t>study</w:t>
      </w:r>
      <w:r>
        <w:rPr>
          <w:spacing w:val="40"/>
        </w:rPr>
        <w:t> </w:t>
      </w:r>
      <w:r>
        <w:rPr/>
        <w:t>of</w:t>
      </w:r>
      <w:r>
        <w:rPr>
          <w:spacing w:val="40"/>
        </w:rPr>
        <w:t> </w:t>
      </w:r>
      <w:r>
        <w:rPr/>
        <w:t>Leeuwen</w:t>
      </w:r>
      <w:r>
        <w:rPr>
          <w:spacing w:val="-12"/>
        </w:rPr>
        <w:t> </w:t>
      </w:r>
      <w:r>
        <w:rPr>
          <w:i/>
        </w:rPr>
        <w:t>et</w:t>
      </w:r>
      <w:r>
        <w:rPr>
          <w:i/>
          <w:spacing w:val="-13"/>
        </w:rPr>
        <w:t> </w:t>
      </w:r>
      <w:r>
        <w:rPr>
          <w:i/>
        </w:rPr>
        <w:t>al.</w:t>
      </w:r>
      <w:r>
        <w:rPr>
          <w:i/>
          <w:spacing w:val="-10"/>
        </w:rPr>
        <w:t> </w:t>
      </w:r>
      <w:r>
        <w:rPr/>
        <w:t>[6]</w:t>
      </w:r>
      <w:r>
        <w:rPr>
          <w:spacing w:val="-11"/>
        </w:rPr>
        <w:t> </w:t>
      </w:r>
      <w:r>
        <w:rPr/>
        <w:t>and</w:t>
      </w:r>
      <w:r>
        <w:rPr>
          <w:spacing w:val="-12"/>
        </w:rPr>
        <w:t> </w:t>
      </w:r>
      <w:r>
        <w:rPr/>
        <w:t>Stockenberg</w:t>
      </w:r>
      <w:r>
        <w:rPr>
          <w:spacing w:val="-11"/>
        </w:rPr>
        <w:t> </w:t>
      </w:r>
      <w:r>
        <w:rPr>
          <w:i/>
        </w:rPr>
        <w:t>et</w:t>
      </w:r>
      <w:r>
        <w:rPr>
          <w:i/>
          <w:spacing w:val="-13"/>
        </w:rPr>
        <w:t> </w:t>
      </w:r>
      <w:r>
        <w:rPr>
          <w:i/>
        </w:rPr>
        <w:t>al.</w:t>
      </w:r>
      <w:r>
        <w:rPr>
          <w:i/>
          <w:spacing w:val="-10"/>
        </w:rPr>
        <w:t> </w:t>
      </w:r>
      <w:r>
        <w:rPr/>
        <w:t>[7].</w:t>
      </w:r>
      <w:r>
        <w:rPr>
          <w:spacing w:val="-12"/>
        </w:rPr>
        <w:t> </w:t>
      </w:r>
      <w:r>
        <w:rPr/>
        <w:t>They</w:t>
      </w:r>
      <w:r>
        <w:rPr>
          <w:spacing w:val="-14"/>
        </w:rPr>
        <w:t> </w:t>
      </w:r>
      <w:r>
        <w:rPr/>
        <w:t>sho- wed</w:t>
      </w:r>
      <w:r>
        <w:rPr>
          <w:spacing w:val="-5"/>
        </w:rPr>
        <w:t> </w:t>
      </w:r>
      <w:r>
        <w:rPr/>
        <w:t>that</w:t>
      </w:r>
      <w:r>
        <w:rPr>
          <w:spacing w:val="-9"/>
        </w:rPr>
        <w:t> </w:t>
      </w:r>
      <w:r>
        <w:rPr/>
        <w:t>the</w:t>
      </w:r>
      <w:r>
        <w:rPr>
          <w:spacing w:val="-7"/>
        </w:rPr>
        <w:t> </w:t>
      </w:r>
      <w:r>
        <w:rPr/>
        <w:t>most</w:t>
      </w:r>
      <w:r>
        <w:rPr>
          <w:spacing w:val="-9"/>
        </w:rPr>
        <w:t> </w:t>
      </w:r>
      <w:r>
        <w:rPr/>
        <w:t>common</w:t>
      </w:r>
      <w:r>
        <w:rPr>
          <w:spacing w:val="-8"/>
        </w:rPr>
        <w:t> </w:t>
      </w:r>
      <w:r>
        <w:rPr/>
        <w:t>platelet</w:t>
      </w:r>
      <w:r>
        <w:rPr>
          <w:spacing w:val="-9"/>
        </w:rPr>
        <w:t> </w:t>
      </w:r>
      <w:r>
        <w:rPr/>
        <w:t>surface</w:t>
      </w:r>
      <w:r>
        <w:rPr>
          <w:spacing w:val="-8"/>
        </w:rPr>
        <w:t> </w:t>
      </w:r>
      <w:r>
        <w:rPr/>
        <w:t>antigens</w:t>
      </w:r>
      <w:r>
        <w:rPr>
          <w:spacing w:val="-8"/>
        </w:rPr>
        <w:t> </w:t>
      </w:r>
      <w:r>
        <w:rPr/>
        <w:t>are the</w:t>
      </w:r>
      <w:r>
        <w:rPr>
          <w:spacing w:val="-14"/>
        </w:rPr>
        <w:t> </w:t>
      </w:r>
      <w:r>
        <w:rPr/>
        <w:t>glycoprotein</w:t>
      </w:r>
      <w:r>
        <w:rPr>
          <w:spacing w:val="-13"/>
        </w:rPr>
        <w:t> </w:t>
      </w:r>
      <w:r>
        <w:rPr/>
        <w:t>complexes</w:t>
      </w:r>
      <w:r>
        <w:rPr>
          <w:spacing w:val="-13"/>
        </w:rPr>
        <w:t> </w:t>
      </w:r>
      <w:r>
        <w:rPr/>
        <w:t>GPIIb/IIIa</w:t>
      </w:r>
      <w:r>
        <w:rPr>
          <w:spacing w:val="-13"/>
        </w:rPr>
        <w:t> </w:t>
      </w:r>
      <w:r>
        <w:rPr/>
        <w:t>and/or</w:t>
      </w:r>
      <w:r>
        <w:rPr>
          <w:spacing w:val="-13"/>
        </w:rPr>
        <w:t> </w:t>
      </w:r>
      <w:r>
        <w:rPr/>
        <w:t>GPIb/IX. In the past</w:t>
      </w:r>
      <w:r>
        <w:rPr>
          <w:spacing w:val="27"/>
        </w:rPr>
        <w:t> </w:t>
      </w:r>
      <w:r>
        <w:rPr/>
        <w:t>the clonality of</w:t>
      </w:r>
      <w:r>
        <w:rPr>
          <w:spacing w:val="28"/>
        </w:rPr>
        <w:t> </w:t>
      </w:r>
      <w:r>
        <w:rPr/>
        <w:t>the autoantibodies in ITP was investigated in several studies. Most of these stu- dies showed that in almost</w:t>
      </w:r>
      <w:r>
        <w:rPr>
          <w:spacing w:val="27"/>
        </w:rPr>
        <w:t> </w:t>
      </w:r>
      <w:r>
        <w:rPr/>
        <w:t>70% of analyzed patients anti-platelet</w:t>
      </w:r>
      <w:r>
        <w:rPr>
          <w:spacing w:val="-6"/>
        </w:rPr>
        <w:t> </w:t>
      </w:r>
      <w:r>
        <w:rPr/>
        <w:t>autoantibodies</w:t>
      </w:r>
      <w:r>
        <w:rPr>
          <w:spacing w:val="-4"/>
        </w:rPr>
        <w:t> </w:t>
      </w:r>
      <w:r>
        <w:rPr/>
        <w:t>were</w:t>
      </w:r>
      <w:r>
        <w:rPr>
          <w:spacing w:val="-5"/>
        </w:rPr>
        <w:t> </w:t>
      </w:r>
      <w:r>
        <w:rPr/>
        <w:t>kappa</w:t>
      </w:r>
      <w:r>
        <w:rPr>
          <w:spacing w:val="-5"/>
        </w:rPr>
        <w:t> </w:t>
      </w:r>
      <w:r>
        <w:rPr/>
        <w:t>or</w:t>
      </w:r>
      <w:r>
        <w:rPr>
          <w:spacing w:val="-6"/>
        </w:rPr>
        <w:t> </w:t>
      </w:r>
      <w:r>
        <w:rPr/>
        <w:t>lambda</w:t>
      </w:r>
      <w:r>
        <w:rPr>
          <w:spacing w:val="-5"/>
        </w:rPr>
        <w:t> </w:t>
      </w:r>
      <w:r>
        <w:rPr/>
        <w:t>light chain restricted by employing the light-chain specific MAIPA assay [8,9]. In order to further investigate the hypothesis of clonality of autoantibodies and the pre- sence</w:t>
      </w:r>
      <w:r>
        <w:rPr>
          <w:spacing w:val="37"/>
        </w:rPr>
        <w:t> </w:t>
      </w:r>
      <w:r>
        <w:rPr/>
        <w:t>of</w:t>
      </w:r>
      <w:r>
        <w:rPr>
          <w:spacing w:val="34"/>
        </w:rPr>
        <w:t> </w:t>
      </w:r>
      <w:r>
        <w:rPr/>
        <w:t>clonal</w:t>
      </w:r>
      <w:r>
        <w:rPr>
          <w:spacing w:val="36"/>
        </w:rPr>
        <w:t> </w:t>
      </w:r>
      <w:r>
        <w:rPr/>
        <w:t>autoreactive</w:t>
      </w:r>
      <w:r>
        <w:rPr>
          <w:spacing w:val="37"/>
        </w:rPr>
        <w:t> </w:t>
      </w:r>
      <w:r>
        <w:rPr/>
        <w:t>B</w:t>
      </w:r>
      <w:r>
        <w:rPr>
          <w:spacing w:val="35"/>
        </w:rPr>
        <w:t> </w:t>
      </w:r>
      <w:r>
        <w:rPr/>
        <w:t>cells</w:t>
      </w:r>
      <w:r>
        <w:rPr>
          <w:spacing w:val="36"/>
        </w:rPr>
        <w:t> </w:t>
      </w:r>
      <w:r>
        <w:rPr/>
        <w:t>in</w:t>
      </w:r>
      <w:r>
        <w:rPr>
          <w:spacing w:val="37"/>
        </w:rPr>
        <w:t> </w:t>
      </w:r>
      <w:r>
        <w:rPr/>
        <w:t>patients</w:t>
      </w:r>
      <w:r>
        <w:rPr>
          <w:spacing w:val="36"/>
        </w:rPr>
        <w:t> </w:t>
      </w:r>
      <w:r>
        <w:rPr/>
        <w:t>with ITP,</w:t>
      </w:r>
      <w:r>
        <w:rPr>
          <w:spacing w:val="-5"/>
        </w:rPr>
        <w:t> </w:t>
      </w:r>
      <w:r>
        <w:rPr/>
        <w:t>Van</w:t>
      </w:r>
      <w:r>
        <w:rPr>
          <w:spacing w:val="-2"/>
        </w:rPr>
        <w:t> </w:t>
      </w:r>
      <w:r>
        <w:rPr/>
        <w:t>der</w:t>
      </w:r>
      <w:r>
        <w:rPr>
          <w:spacing w:val="-6"/>
        </w:rPr>
        <w:t> </w:t>
      </w:r>
      <w:r>
        <w:rPr/>
        <w:t>Harst</w:t>
      </w:r>
      <w:r>
        <w:rPr>
          <w:spacing w:val="-4"/>
        </w:rPr>
        <w:t> </w:t>
      </w:r>
      <w:r>
        <w:rPr>
          <w:i/>
        </w:rPr>
        <w:t>et</w:t>
      </w:r>
      <w:r>
        <w:rPr>
          <w:i/>
          <w:spacing w:val="-3"/>
        </w:rPr>
        <w:t> </w:t>
      </w:r>
      <w:r>
        <w:rPr>
          <w:i/>
        </w:rPr>
        <w:t>al</w:t>
      </w:r>
      <w:r>
        <w:rPr/>
        <w:t>.</w:t>
      </w:r>
      <w:r>
        <w:rPr>
          <w:spacing w:val="-2"/>
        </w:rPr>
        <w:t> </w:t>
      </w:r>
      <w:r>
        <w:rPr/>
        <w:t>[10]</w:t>
      </w:r>
      <w:r>
        <w:rPr>
          <w:spacing w:val="40"/>
        </w:rPr>
        <w:t> </w:t>
      </w:r>
      <w:r>
        <w:rPr/>
        <w:t>analyzed</w:t>
      </w:r>
      <w:r>
        <w:rPr>
          <w:spacing w:val="-2"/>
        </w:rPr>
        <w:t> </w:t>
      </w:r>
      <w:r>
        <w:rPr/>
        <w:t>eleven</w:t>
      </w:r>
      <w:r>
        <w:rPr>
          <w:spacing w:val="-2"/>
        </w:rPr>
        <w:t> </w:t>
      </w:r>
      <w:r>
        <w:rPr/>
        <w:t>patients with ITP for the presence of a clonal excess using </w:t>
      </w:r>
      <w:r>
        <w:rPr>
          <w:rFonts w:ascii="Symbol" w:hAnsi="Symbol"/>
        </w:rPr>
        <w:t></w:t>
      </w:r>
      <w:r>
        <w:rPr/>
        <w:t>-</w:t>
      </w:r>
      <w:r>
        <w:rPr>
          <w:rFonts w:ascii="Symbol" w:hAnsi="Symbol"/>
        </w:rPr>
        <w:t></w:t>
      </w:r>
      <w:r>
        <w:rPr/>
        <w:t> flow cytometry and DNA analysis of immunoglobulin gene</w:t>
      </w:r>
      <w:r>
        <w:rPr>
          <w:spacing w:val="-8"/>
        </w:rPr>
        <w:t> </w:t>
      </w:r>
      <w:r>
        <w:rPr/>
        <w:t>rearrangements.</w:t>
      </w:r>
      <w:r>
        <w:rPr>
          <w:spacing w:val="-7"/>
        </w:rPr>
        <w:t> </w:t>
      </w:r>
      <w:r>
        <w:rPr/>
        <w:t>In</w:t>
      </w:r>
      <w:r>
        <w:rPr>
          <w:spacing w:val="-8"/>
        </w:rPr>
        <w:t> </w:t>
      </w:r>
      <w:r>
        <w:rPr/>
        <w:t>10</w:t>
      </w:r>
      <w:r>
        <w:rPr>
          <w:spacing w:val="-8"/>
        </w:rPr>
        <w:t> </w:t>
      </w:r>
      <w:r>
        <w:rPr/>
        <w:t>of</w:t>
      </w:r>
      <w:r>
        <w:rPr>
          <w:spacing w:val="-9"/>
        </w:rPr>
        <w:t> </w:t>
      </w:r>
      <w:r>
        <w:rPr/>
        <w:t>11</w:t>
      </w:r>
      <w:r>
        <w:rPr>
          <w:spacing w:val="-8"/>
        </w:rPr>
        <w:t> </w:t>
      </w:r>
      <w:r>
        <w:rPr/>
        <w:t>patients,</w:t>
      </w:r>
      <w:r>
        <w:rPr>
          <w:spacing w:val="-7"/>
        </w:rPr>
        <w:t> </w:t>
      </w:r>
      <w:r>
        <w:rPr/>
        <w:t>clonal</w:t>
      </w:r>
      <w:r>
        <w:rPr>
          <w:spacing w:val="-9"/>
        </w:rPr>
        <w:t> </w:t>
      </w:r>
      <w:r>
        <w:rPr/>
        <w:t>B-cell populations</w:t>
      </w:r>
      <w:r>
        <w:rPr>
          <w:spacing w:val="-4"/>
        </w:rPr>
        <w:t> </w:t>
      </w:r>
      <w:r>
        <w:rPr/>
        <w:t>were</w:t>
      </w:r>
      <w:r>
        <w:rPr>
          <w:spacing w:val="-4"/>
        </w:rPr>
        <w:t> </w:t>
      </w:r>
      <w:r>
        <w:rPr/>
        <w:t>found</w:t>
      </w:r>
      <w:r>
        <w:rPr>
          <w:spacing w:val="-4"/>
        </w:rPr>
        <w:t> </w:t>
      </w:r>
      <w:r>
        <w:rPr/>
        <w:t>by</w:t>
      </w:r>
      <w:r>
        <w:rPr>
          <w:spacing w:val="-7"/>
        </w:rPr>
        <w:t> </w:t>
      </w:r>
      <w:r>
        <w:rPr/>
        <w:t>one</w:t>
      </w:r>
      <w:r>
        <w:rPr>
          <w:spacing w:val="-5"/>
        </w:rPr>
        <w:t> </w:t>
      </w:r>
      <w:r>
        <w:rPr/>
        <w:t>or</w:t>
      </w:r>
      <w:r>
        <w:rPr>
          <w:spacing w:val="-6"/>
        </w:rPr>
        <w:t> </w:t>
      </w:r>
      <w:r>
        <w:rPr/>
        <w:t>both</w:t>
      </w:r>
      <w:r>
        <w:rPr>
          <w:spacing w:val="-4"/>
        </w:rPr>
        <w:t> </w:t>
      </w:r>
      <w:r>
        <w:rPr/>
        <w:t>tests.</w:t>
      </w:r>
      <w:r>
        <w:rPr>
          <w:spacing w:val="-4"/>
        </w:rPr>
        <w:t> </w:t>
      </w:r>
      <w:r>
        <w:rPr/>
        <w:t>These</w:t>
      </w:r>
      <w:r>
        <w:rPr>
          <w:spacing w:val="-4"/>
        </w:rPr>
        <w:t> </w:t>
      </w:r>
      <w:r>
        <w:rPr/>
        <w:t>fin- dings</w:t>
      </w:r>
      <w:r>
        <w:rPr>
          <w:spacing w:val="-3"/>
        </w:rPr>
        <w:t> </w:t>
      </w:r>
      <w:r>
        <w:rPr/>
        <w:t>could not be confirmed in other studies</w:t>
      </w:r>
      <w:r>
        <w:rPr>
          <w:spacing w:val="-1"/>
        </w:rPr>
        <w:t> </w:t>
      </w:r>
      <w:r>
        <w:rPr/>
        <w:t>[7].</w:t>
      </w:r>
      <w:r>
        <w:rPr>
          <w:spacing w:val="-1"/>
        </w:rPr>
        <w:t> </w:t>
      </w:r>
      <w:r>
        <w:rPr/>
        <w:t>The- refore,</w:t>
      </w:r>
      <w:r>
        <w:rPr>
          <w:spacing w:val="29"/>
        </w:rPr>
        <w:t> </w:t>
      </w:r>
      <w:r>
        <w:rPr/>
        <w:t>further</w:t>
      </w:r>
      <w:r>
        <w:rPr>
          <w:spacing w:val="28"/>
        </w:rPr>
        <w:t> </w:t>
      </w:r>
      <w:r>
        <w:rPr/>
        <w:t>analysis</w:t>
      </w:r>
      <w:r>
        <w:rPr>
          <w:spacing w:val="31"/>
        </w:rPr>
        <w:t> </w:t>
      </w:r>
      <w:r>
        <w:rPr/>
        <w:t>must</w:t>
      </w:r>
      <w:r>
        <w:rPr>
          <w:spacing w:val="28"/>
        </w:rPr>
        <w:t> </w:t>
      </w:r>
      <w:r>
        <w:rPr/>
        <w:t>investigate</w:t>
      </w:r>
      <w:r>
        <w:rPr>
          <w:spacing w:val="31"/>
        </w:rPr>
        <w:t> </w:t>
      </w:r>
      <w:r>
        <w:rPr/>
        <w:t>the</w:t>
      </w:r>
      <w:r>
        <w:rPr>
          <w:spacing w:val="28"/>
        </w:rPr>
        <w:t> </w:t>
      </w:r>
      <w:r>
        <w:rPr/>
        <w:t>clonality of</w:t>
      </w:r>
      <w:r>
        <w:rPr>
          <w:spacing w:val="-4"/>
        </w:rPr>
        <w:t> </w:t>
      </w:r>
      <w:r>
        <w:rPr/>
        <w:t>the</w:t>
      </w:r>
      <w:r>
        <w:rPr>
          <w:spacing w:val="-3"/>
        </w:rPr>
        <w:t> </w:t>
      </w:r>
      <w:r>
        <w:rPr/>
        <w:t>B-cell</w:t>
      </w:r>
      <w:r>
        <w:rPr>
          <w:spacing w:val="-2"/>
        </w:rPr>
        <w:t> </w:t>
      </w:r>
      <w:r>
        <w:rPr/>
        <w:t>population</w:t>
      </w:r>
      <w:r>
        <w:rPr>
          <w:spacing w:val="-3"/>
        </w:rPr>
        <w:t> </w:t>
      </w:r>
      <w:r>
        <w:rPr/>
        <w:t>in</w:t>
      </w:r>
      <w:r>
        <w:rPr>
          <w:spacing w:val="-3"/>
        </w:rPr>
        <w:t> </w:t>
      </w:r>
      <w:r>
        <w:rPr/>
        <w:t>patients</w:t>
      </w:r>
      <w:r>
        <w:rPr>
          <w:spacing w:val="-3"/>
        </w:rPr>
        <w:t> </w:t>
      </w:r>
      <w:r>
        <w:rPr/>
        <w:t>with</w:t>
      </w:r>
      <w:r>
        <w:rPr>
          <w:spacing w:val="-1"/>
        </w:rPr>
        <w:t> </w:t>
      </w:r>
      <w:r>
        <w:rPr/>
        <w:t>ITP</w:t>
      </w:r>
      <w:r>
        <w:rPr>
          <w:spacing w:val="-1"/>
        </w:rPr>
        <w:t> </w:t>
      </w:r>
      <w:r>
        <w:rPr/>
        <w:t>with</w:t>
      </w:r>
      <w:r>
        <w:rPr>
          <w:spacing w:val="-3"/>
        </w:rPr>
        <w:t> </w:t>
      </w:r>
      <w:r>
        <w:rPr/>
        <w:t>more sensitive DNA assays.</w:t>
      </w:r>
    </w:p>
    <w:p>
      <w:pPr>
        <w:pStyle w:val="BodyText"/>
        <w:spacing w:before="2"/>
        <w:ind w:left="238" w:right="47"/>
        <w:jc w:val="both"/>
      </w:pPr>
      <w:r>
        <w:rPr/>
        <w:t>The aim of this study was to explore the hypothesis of clonal</w:t>
      </w:r>
      <w:r>
        <w:rPr>
          <w:spacing w:val="-9"/>
        </w:rPr>
        <w:t> </w:t>
      </w:r>
      <w:r>
        <w:rPr/>
        <w:t>B</w:t>
      </w:r>
      <w:r>
        <w:rPr>
          <w:spacing w:val="-8"/>
        </w:rPr>
        <w:t> </w:t>
      </w:r>
      <w:r>
        <w:rPr/>
        <w:t>cell</w:t>
      </w:r>
      <w:r>
        <w:rPr>
          <w:spacing w:val="-9"/>
        </w:rPr>
        <w:t> </w:t>
      </w:r>
      <w:r>
        <w:rPr/>
        <w:t>expansions</w:t>
      </w:r>
      <w:r>
        <w:rPr>
          <w:spacing w:val="-7"/>
        </w:rPr>
        <w:t> </w:t>
      </w:r>
      <w:r>
        <w:rPr/>
        <w:t>in</w:t>
      </w:r>
      <w:r>
        <w:rPr>
          <w:spacing w:val="-8"/>
        </w:rPr>
        <w:t> </w:t>
      </w:r>
      <w:r>
        <w:rPr/>
        <w:t>chronic</w:t>
      </w:r>
      <w:r>
        <w:rPr>
          <w:spacing w:val="-7"/>
        </w:rPr>
        <w:t> </w:t>
      </w:r>
      <w:r>
        <w:rPr/>
        <w:t>ITP</w:t>
      </w:r>
      <w:r>
        <w:rPr>
          <w:spacing w:val="-7"/>
        </w:rPr>
        <w:t> </w:t>
      </w:r>
      <w:r>
        <w:rPr/>
        <w:t>by</w:t>
      </w:r>
      <w:r>
        <w:rPr>
          <w:spacing w:val="-12"/>
        </w:rPr>
        <w:t> </w:t>
      </w:r>
      <w:r>
        <w:rPr/>
        <w:t>the</w:t>
      </w:r>
      <w:r>
        <w:rPr>
          <w:spacing w:val="-9"/>
        </w:rPr>
        <w:t> </w:t>
      </w:r>
      <w:r>
        <w:rPr/>
        <w:t>sensitive method of immunoglobulin gene fingerprinting.</w:t>
      </w:r>
    </w:p>
    <w:p>
      <w:pPr>
        <w:pStyle w:val="BodyText"/>
        <w:spacing w:before="6"/>
      </w:pPr>
    </w:p>
    <w:p>
      <w:pPr>
        <w:pStyle w:val="Heading4"/>
        <w:jc w:val="both"/>
      </w:pPr>
      <w:r>
        <w:rPr/>
        <w:t>Materials</w:t>
      </w:r>
      <w:r>
        <w:rPr>
          <w:spacing w:val="-3"/>
        </w:rPr>
        <w:t> </w:t>
      </w:r>
      <w:r>
        <w:rPr/>
        <w:t>and</w:t>
      </w:r>
      <w:r>
        <w:rPr>
          <w:spacing w:val="-5"/>
        </w:rPr>
        <w:t> </w:t>
      </w:r>
      <w:r>
        <w:rPr>
          <w:spacing w:val="-2"/>
        </w:rPr>
        <w:t>methods</w:t>
      </w:r>
    </w:p>
    <w:p>
      <w:pPr>
        <w:pStyle w:val="BodyText"/>
        <w:spacing w:before="6"/>
        <w:rPr>
          <w:b/>
          <w:sz w:val="20"/>
        </w:rPr>
      </w:pPr>
    </w:p>
    <w:p>
      <w:pPr>
        <w:pStyle w:val="BodyText"/>
        <w:ind w:left="238" w:right="41"/>
        <w:jc w:val="both"/>
      </w:pPr>
      <w:r>
        <w:rPr/>
        <w:t>We investigated 40 patients (28 women and 12 men) with</w:t>
      </w:r>
      <w:r>
        <w:rPr>
          <w:spacing w:val="-14"/>
        </w:rPr>
        <w:t> </w:t>
      </w:r>
      <w:r>
        <w:rPr/>
        <w:t>chronic</w:t>
      </w:r>
      <w:r>
        <w:rPr>
          <w:spacing w:val="-13"/>
        </w:rPr>
        <w:t> </w:t>
      </w:r>
      <w:r>
        <w:rPr/>
        <w:t>ITP</w:t>
      </w:r>
      <w:r>
        <w:rPr>
          <w:spacing w:val="-13"/>
        </w:rPr>
        <w:t> </w:t>
      </w:r>
      <w:r>
        <w:rPr/>
        <w:t>for</w:t>
      </w:r>
      <w:r>
        <w:rPr>
          <w:spacing w:val="-13"/>
        </w:rPr>
        <w:t> </w:t>
      </w:r>
      <w:r>
        <w:rPr/>
        <w:t>clonal</w:t>
      </w:r>
      <w:r>
        <w:rPr>
          <w:spacing w:val="-13"/>
        </w:rPr>
        <w:t> </w:t>
      </w:r>
      <w:r>
        <w:rPr/>
        <w:t>B</w:t>
      </w:r>
      <w:r>
        <w:rPr>
          <w:spacing w:val="-13"/>
        </w:rPr>
        <w:t> </w:t>
      </w:r>
      <w:r>
        <w:rPr/>
        <w:t>cell</w:t>
      </w:r>
      <w:r>
        <w:rPr>
          <w:spacing w:val="-13"/>
        </w:rPr>
        <w:t> </w:t>
      </w:r>
      <w:r>
        <w:rPr/>
        <w:t>expansions</w:t>
      </w:r>
      <w:r>
        <w:rPr>
          <w:spacing w:val="-13"/>
        </w:rPr>
        <w:t> </w:t>
      </w:r>
      <w:r>
        <w:rPr/>
        <w:t>using</w:t>
      </w:r>
      <w:r>
        <w:rPr>
          <w:spacing w:val="-14"/>
        </w:rPr>
        <w:t> </w:t>
      </w:r>
      <w:r>
        <w:rPr/>
        <w:t>sen- sitive</w:t>
      </w:r>
      <w:r>
        <w:rPr>
          <w:spacing w:val="-11"/>
        </w:rPr>
        <w:t> </w:t>
      </w:r>
      <w:r>
        <w:rPr/>
        <w:t>RT-PCR</w:t>
      </w:r>
      <w:r>
        <w:rPr>
          <w:spacing w:val="-13"/>
        </w:rPr>
        <w:t> </w:t>
      </w:r>
      <w:r>
        <w:rPr/>
        <w:t>technique</w:t>
      </w:r>
      <w:r>
        <w:rPr>
          <w:spacing w:val="-13"/>
        </w:rPr>
        <w:t> </w:t>
      </w:r>
      <w:r>
        <w:rPr/>
        <w:t>for</w:t>
      </w:r>
      <w:r>
        <w:rPr>
          <w:spacing w:val="-13"/>
        </w:rPr>
        <w:t> </w:t>
      </w:r>
      <w:r>
        <w:rPr/>
        <w:t>analysing</w:t>
      </w:r>
      <w:r>
        <w:rPr>
          <w:spacing w:val="-11"/>
        </w:rPr>
        <w:t> </w:t>
      </w:r>
      <w:r>
        <w:rPr/>
        <w:t>Ig-gene</w:t>
      </w:r>
      <w:r>
        <w:rPr>
          <w:spacing w:val="-13"/>
        </w:rPr>
        <w:t> </w:t>
      </w:r>
      <w:r>
        <w:rPr/>
        <w:t>rearran- gements. The average age of the group was 46.8±6.8 years. The diagnosis of ITP was established based on the standard clinical and laboratory parameters in our </w:t>
      </w:r>
      <w:r>
        <w:rPr>
          <w:spacing w:val="-2"/>
        </w:rPr>
        <w:t>department.</w:t>
      </w:r>
    </w:p>
    <w:p>
      <w:pPr>
        <w:pStyle w:val="BodyText"/>
        <w:ind w:left="238" w:right="47"/>
        <w:jc w:val="both"/>
      </w:pPr>
      <w:r>
        <w:rPr/>
        <w:t>RNA was isolated from peripheral blood mononuclear cells, separated on a Ficoll gradient, by the method of Chomcynski and Sacchi [11]. The RNA was reverse transcribed</w:t>
      </w:r>
      <w:r>
        <w:rPr>
          <w:spacing w:val="27"/>
        </w:rPr>
        <w:t> </w:t>
      </w:r>
      <w:r>
        <w:rPr/>
        <w:t>(RT)</w:t>
      </w:r>
      <w:r>
        <w:rPr>
          <w:spacing w:val="29"/>
        </w:rPr>
        <w:t> </w:t>
      </w:r>
      <w:r>
        <w:rPr/>
        <w:t>into</w:t>
      </w:r>
      <w:r>
        <w:rPr>
          <w:spacing w:val="29"/>
        </w:rPr>
        <w:t> </w:t>
      </w:r>
      <w:r>
        <w:rPr/>
        <w:t>cDNA</w:t>
      </w:r>
      <w:r>
        <w:rPr>
          <w:spacing w:val="29"/>
        </w:rPr>
        <w:t> </w:t>
      </w:r>
      <w:r>
        <w:rPr/>
        <w:t>using</w:t>
      </w:r>
      <w:r>
        <w:rPr>
          <w:spacing w:val="29"/>
        </w:rPr>
        <w:t> </w:t>
      </w:r>
      <w:r>
        <w:rPr/>
        <w:t>random</w:t>
      </w:r>
      <w:r>
        <w:rPr>
          <w:spacing w:val="25"/>
        </w:rPr>
        <w:t> </w:t>
      </w:r>
      <w:r>
        <w:rPr>
          <w:spacing w:val="-2"/>
        </w:rPr>
        <w:t>hexamers</w:t>
      </w:r>
    </w:p>
    <w:p>
      <w:pPr>
        <w:pStyle w:val="BodyText"/>
        <w:spacing w:before="92"/>
        <w:ind w:left="238" w:right="288"/>
        <w:jc w:val="both"/>
      </w:pPr>
      <w:r>
        <w:rPr/>
        <w:br w:type="column"/>
      </w:r>
      <w:r>
        <w:rPr/>
        <w:t>and the GeneAmp RNA/PCR kit (Perkin Elmer Cetus, </w:t>
      </w:r>
      <w:r>
        <w:rPr>
          <w:spacing w:val="-4"/>
        </w:rPr>
        <w:t>Norwalk,</w:t>
      </w:r>
      <w:r>
        <w:rPr>
          <w:spacing w:val="-8"/>
        </w:rPr>
        <w:t> </w:t>
      </w:r>
      <w:r>
        <w:rPr>
          <w:spacing w:val="-4"/>
        </w:rPr>
        <w:t>CT,</w:t>
      </w:r>
      <w:r>
        <w:rPr>
          <w:spacing w:val="-8"/>
        </w:rPr>
        <w:t> </w:t>
      </w:r>
      <w:r>
        <w:rPr>
          <w:spacing w:val="-4"/>
        </w:rPr>
        <w:t>USA),</w:t>
      </w:r>
      <w:r>
        <w:rPr>
          <w:spacing w:val="-8"/>
        </w:rPr>
        <w:t> </w:t>
      </w:r>
      <w:r>
        <w:rPr>
          <w:spacing w:val="-4"/>
        </w:rPr>
        <w:t>following</w:t>
      </w:r>
      <w:r>
        <w:rPr>
          <w:spacing w:val="-8"/>
        </w:rPr>
        <w:t> </w:t>
      </w:r>
      <w:r>
        <w:rPr>
          <w:spacing w:val="-4"/>
        </w:rPr>
        <w:t>the</w:t>
      </w:r>
      <w:r>
        <w:rPr>
          <w:spacing w:val="-9"/>
        </w:rPr>
        <w:t> </w:t>
      </w:r>
      <w:r>
        <w:rPr>
          <w:spacing w:val="-4"/>
        </w:rPr>
        <w:t>procedure</w:t>
      </w:r>
      <w:r>
        <w:rPr>
          <w:spacing w:val="-9"/>
        </w:rPr>
        <w:t> </w:t>
      </w:r>
      <w:r>
        <w:rPr>
          <w:spacing w:val="-4"/>
        </w:rPr>
        <w:t>recommen- </w:t>
      </w:r>
      <w:r>
        <w:rPr/>
        <w:t>ded</w:t>
      </w:r>
      <w:r>
        <w:rPr>
          <w:spacing w:val="-5"/>
        </w:rPr>
        <w:t> </w:t>
      </w:r>
      <w:r>
        <w:rPr/>
        <w:t>by</w:t>
      </w:r>
      <w:r>
        <w:rPr>
          <w:spacing w:val="-10"/>
        </w:rPr>
        <w:t> </w:t>
      </w:r>
      <w:r>
        <w:rPr/>
        <w:t>the</w:t>
      </w:r>
      <w:r>
        <w:rPr>
          <w:spacing w:val="-7"/>
        </w:rPr>
        <w:t> </w:t>
      </w:r>
      <w:r>
        <w:rPr/>
        <w:t>manufacturer.</w:t>
      </w:r>
      <w:r>
        <w:rPr>
          <w:spacing w:val="-8"/>
        </w:rPr>
        <w:t> </w:t>
      </w:r>
      <w:r>
        <w:rPr/>
        <w:t>The</w:t>
      </w:r>
      <w:r>
        <w:rPr>
          <w:spacing w:val="-7"/>
        </w:rPr>
        <w:t> </w:t>
      </w:r>
      <w:r>
        <w:rPr/>
        <w:t>RT</w:t>
      </w:r>
      <w:r>
        <w:rPr>
          <w:spacing w:val="-8"/>
        </w:rPr>
        <w:t> </w:t>
      </w:r>
      <w:r>
        <w:rPr/>
        <w:t>product</w:t>
      </w:r>
      <w:r>
        <w:rPr>
          <w:spacing w:val="-7"/>
        </w:rPr>
        <w:t> </w:t>
      </w:r>
      <w:r>
        <w:rPr/>
        <w:t>was</w:t>
      </w:r>
      <w:r>
        <w:rPr>
          <w:spacing w:val="-7"/>
        </w:rPr>
        <w:t> </w:t>
      </w:r>
      <w:r>
        <w:rPr/>
        <w:t>then</w:t>
      </w:r>
      <w:r>
        <w:rPr>
          <w:spacing w:val="-6"/>
        </w:rPr>
        <w:t> </w:t>
      </w:r>
      <w:r>
        <w:rPr/>
        <w:t>am- plified using specific oligonucleotides FW3 (hV2 5’- CTG</w:t>
      </w:r>
      <w:r>
        <w:rPr>
          <w:spacing w:val="-7"/>
        </w:rPr>
        <w:t> </w:t>
      </w:r>
      <w:r>
        <w:rPr/>
        <w:t>AGG</w:t>
      </w:r>
      <w:r>
        <w:rPr>
          <w:spacing w:val="-9"/>
        </w:rPr>
        <w:t> </w:t>
      </w:r>
      <w:r>
        <w:rPr/>
        <w:t>ACA</w:t>
      </w:r>
      <w:r>
        <w:rPr>
          <w:spacing w:val="-9"/>
        </w:rPr>
        <w:t> </w:t>
      </w:r>
      <w:r>
        <w:rPr/>
        <w:t>CGG</w:t>
      </w:r>
      <w:r>
        <w:rPr>
          <w:spacing w:val="-9"/>
        </w:rPr>
        <w:t> </w:t>
      </w:r>
      <w:r>
        <w:rPr/>
        <w:t>CCG</w:t>
      </w:r>
      <w:r>
        <w:rPr>
          <w:spacing w:val="-9"/>
        </w:rPr>
        <w:t> </w:t>
      </w:r>
      <w:r>
        <w:rPr/>
        <w:t>TGT</w:t>
      </w:r>
      <w:r>
        <w:rPr>
          <w:spacing w:val="-7"/>
        </w:rPr>
        <w:t> </w:t>
      </w:r>
      <w:r>
        <w:rPr/>
        <w:t>ATT</w:t>
      </w:r>
      <w:r>
        <w:rPr>
          <w:spacing w:val="-7"/>
        </w:rPr>
        <w:t> </w:t>
      </w:r>
      <w:r>
        <w:rPr/>
        <w:t>ACT</w:t>
      </w:r>
      <w:r>
        <w:rPr>
          <w:spacing w:val="-7"/>
        </w:rPr>
        <w:t> </w:t>
      </w:r>
      <w:r>
        <w:rPr/>
        <w:t>G-3’)</w:t>
      </w:r>
      <w:r>
        <w:rPr>
          <w:spacing w:val="-8"/>
        </w:rPr>
        <w:t> </w:t>
      </w:r>
      <w:r>
        <w:rPr/>
        <w:t>and IgM</w:t>
      </w:r>
      <w:r>
        <w:rPr>
          <w:spacing w:val="-14"/>
        </w:rPr>
        <w:t> </w:t>
      </w:r>
      <w:r>
        <w:rPr/>
        <w:t>(hM</w:t>
      </w:r>
      <w:r>
        <w:rPr>
          <w:spacing w:val="-13"/>
        </w:rPr>
        <w:t> </w:t>
      </w:r>
      <w:r>
        <w:rPr/>
        <w:t>5’-GGA</w:t>
      </w:r>
      <w:r>
        <w:rPr>
          <w:spacing w:val="-13"/>
        </w:rPr>
        <w:t> </w:t>
      </w:r>
      <w:r>
        <w:rPr/>
        <w:t>AAA</w:t>
      </w:r>
      <w:r>
        <w:rPr>
          <w:spacing w:val="-12"/>
        </w:rPr>
        <w:t> </w:t>
      </w:r>
      <w:r>
        <w:rPr/>
        <w:t>GGG</w:t>
      </w:r>
      <w:r>
        <w:rPr>
          <w:spacing w:val="-13"/>
        </w:rPr>
        <w:t> </w:t>
      </w:r>
      <w:r>
        <w:rPr/>
        <w:t>TTG</w:t>
      </w:r>
      <w:r>
        <w:rPr>
          <w:spacing w:val="-13"/>
        </w:rPr>
        <w:t> </w:t>
      </w:r>
      <w:r>
        <w:rPr/>
        <w:t>GGG</w:t>
      </w:r>
      <w:r>
        <w:rPr>
          <w:spacing w:val="-12"/>
        </w:rPr>
        <w:t> </w:t>
      </w:r>
      <w:r>
        <w:rPr/>
        <w:t>CGG</w:t>
      </w:r>
      <w:r>
        <w:rPr>
          <w:spacing w:val="-13"/>
        </w:rPr>
        <w:t> </w:t>
      </w:r>
      <w:r>
        <w:rPr/>
        <w:t>AT-3’), </w:t>
      </w:r>
      <w:r>
        <w:rPr>
          <w:spacing w:val="-6"/>
        </w:rPr>
        <w:t>or</w:t>
      </w:r>
      <w:r>
        <w:rPr>
          <w:spacing w:val="-11"/>
        </w:rPr>
        <w:t> </w:t>
      </w:r>
      <w:r>
        <w:rPr>
          <w:spacing w:val="-6"/>
        </w:rPr>
        <w:t>IgG</w:t>
      </w:r>
      <w:r>
        <w:rPr>
          <w:spacing w:val="-9"/>
        </w:rPr>
        <w:t> </w:t>
      </w:r>
      <w:r>
        <w:rPr>
          <w:spacing w:val="-6"/>
        </w:rPr>
        <w:t>(hGc</w:t>
      </w:r>
      <w:r>
        <w:rPr>
          <w:spacing w:val="-10"/>
        </w:rPr>
        <w:t> </w:t>
      </w:r>
      <w:r>
        <w:rPr>
          <w:spacing w:val="-6"/>
        </w:rPr>
        <w:t>5’-GGA</w:t>
      </w:r>
      <w:r>
        <w:rPr>
          <w:spacing w:val="-11"/>
        </w:rPr>
        <w:t> </w:t>
      </w:r>
      <w:r>
        <w:rPr>
          <w:spacing w:val="-6"/>
        </w:rPr>
        <w:t>AGA</w:t>
      </w:r>
      <w:r>
        <w:rPr>
          <w:spacing w:val="-12"/>
        </w:rPr>
        <w:t> </w:t>
      </w:r>
      <w:r>
        <w:rPr>
          <w:spacing w:val="-6"/>
        </w:rPr>
        <w:t>CCG</w:t>
      </w:r>
      <w:r>
        <w:rPr>
          <w:spacing w:val="-12"/>
        </w:rPr>
        <w:t> </w:t>
      </w:r>
      <w:r>
        <w:rPr>
          <w:spacing w:val="-6"/>
        </w:rPr>
        <w:t>ATG</w:t>
      </w:r>
      <w:r>
        <w:rPr>
          <w:spacing w:val="-12"/>
        </w:rPr>
        <w:t> </w:t>
      </w:r>
      <w:r>
        <w:rPr>
          <w:spacing w:val="-6"/>
        </w:rPr>
        <w:t>GGC</w:t>
      </w:r>
      <w:r>
        <w:rPr>
          <w:spacing w:val="-12"/>
        </w:rPr>
        <w:t> </w:t>
      </w:r>
      <w:r>
        <w:rPr>
          <w:spacing w:val="-6"/>
        </w:rPr>
        <w:t>CCT</w:t>
      </w:r>
      <w:r>
        <w:rPr>
          <w:spacing w:val="-11"/>
        </w:rPr>
        <w:t> </w:t>
      </w:r>
      <w:r>
        <w:rPr>
          <w:spacing w:val="-6"/>
        </w:rPr>
        <w:t>TG-3’).</w:t>
      </w:r>
    </w:p>
    <w:p>
      <w:pPr>
        <w:pStyle w:val="BodyText"/>
        <w:ind w:left="238" w:right="292"/>
        <w:jc w:val="both"/>
      </w:pPr>
      <w:r>
        <w:rPr/>
        <w:t>The PCRs were performed with 50 pmol of each pri- mer</w:t>
      </w:r>
      <w:r>
        <w:rPr>
          <w:spacing w:val="-4"/>
        </w:rPr>
        <w:t> </w:t>
      </w:r>
      <w:r>
        <w:rPr/>
        <w:t>using</w:t>
      </w:r>
      <w:r>
        <w:rPr>
          <w:spacing w:val="-3"/>
        </w:rPr>
        <w:t> </w:t>
      </w:r>
      <w:r>
        <w:rPr/>
        <w:t>35</w:t>
      </w:r>
      <w:r>
        <w:rPr>
          <w:spacing w:val="-3"/>
        </w:rPr>
        <w:t> </w:t>
      </w:r>
      <w:r>
        <w:rPr/>
        <w:t>cycles</w:t>
      </w:r>
      <w:r>
        <w:rPr>
          <w:spacing w:val="-4"/>
        </w:rPr>
        <w:t> </w:t>
      </w:r>
      <w:r>
        <w:rPr/>
        <w:t>of</w:t>
      </w:r>
      <w:r>
        <w:rPr>
          <w:spacing w:val="-4"/>
        </w:rPr>
        <w:t> </w:t>
      </w:r>
      <w:r>
        <w:rPr/>
        <w:t>denaturation</w:t>
      </w:r>
      <w:r>
        <w:rPr>
          <w:spacing w:val="-3"/>
        </w:rPr>
        <w:t> </w:t>
      </w:r>
      <w:r>
        <w:rPr/>
        <w:t>at</w:t>
      </w:r>
      <w:r>
        <w:rPr>
          <w:spacing w:val="-4"/>
        </w:rPr>
        <w:t> </w:t>
      </w:r>
      <w:r>
        <w:rPr/>
        <w:t>95</w:t>
      </w:r>
      <w:r>
        <w:rPr>
          <w:rFonts w:ascii="Symbol" w:hAnsi="Symbol"/>
        </w:rPr>
        <w:t></w:t>
      </w:r>
      <w:r>
        <w:rPr/>
        <w:t>C</w:t>
      </w:r>
      <w:r>
        <w:rPr>
          <w:spacing w:val="-3"/>
        </w:rPr>
        <w:t> </w:t>
      </w:r>
      <w:r>
        <w:rPr/>
        <w:t>for</w:t>
      </w:r>
      <w:r>
        <w:rPr>
          <w:spacing w:val="-4"/>
        </w:rPr>
        <w:t> </w:t>
      </w:r>
      <w:r>
        <w:rPr/>
        <w:t>1</w:t>
      </w:r>
      <w:r>
        <w:rPr>
          <w:spacing w:val="-3"/>
        </w:rPr>
        <w:t> </w:t>
      </w:r>
      <w:r>
        <w:rPr/>
        <w:t>min., annealing at 64</w:t>
      </w:r>
      <w:r>
        <w:rPr>
          <w:rFonts w:ascii="Symbol" w:hAnsi="Symbol"/>
        </w:rPr>
        <w:t></w:t>
      </w:r>
      <w:r>
        <w:rPr/>
        <w:t>C for 1 min. and synthesis at 72</w:t>
      </w:r>
      <w:r>
        <w:rPr>
          <w:rFonts w:ascii="Symbol" w:hAnsi="Symbol"/>
        </w:rPr>
        <w:t></w:t>
      </w:r>
      <w:r>
        <w:rPr/>
        <w:t>C for </w:t>
      </w:r>
      <w:r>
        <w:rPr>
          <w:spacing w:val="-2"/>
        </w:rPr>
        <w:t>1</w:t>
      </w:r>
      <w:r>
        <w:rPr>
          <w:spacing w:val="-9"/>
        </w:rPr>
        <w:t> </w:t>
      </w:r>
      <w:r>
        <w:rPr>
          <w:spacing w:val="-2"/>
        </w:rPr>
        <w:t>min.</w:t>
      </w:r>
      <w:r>
        <w:rPr>
          <w:spacing w:val="-9"/>
        </w:rPr>
        <w:t> </w:t>
      </w:r>
      <w:r>
        <w:rPr>
          <w:spacing w:val="-2"/>
        </w:rPr>
        <w:t>and</w:t>
      </w:r>
      <w:r>
        <w:rPr>
          <w:spacing w:val="-11"/>
        </w:rPr>
        <w:t> </w:t>
      </w:r>
      <w:r>
        <w:rPr>
          <w:spacing w:val="-2"/>
        </w:rPr>
        <w:t>30</w:t>
      </w:r>
      <w:r>
        <w:rPr>
          <w:spacing w:val="-9"/>
        </w:rPr>
        <w:t> </w:t>
      </w:r>
      <w:r>
        <w:rPr>
          <w:spacing w:val="-2"/>
        </w:rPr>
        <w:t>sec.</w:t>
      </w:r>
      <w:r>
        <w:rPr>
          <w:spacing w:val="-9"/>
        </w:rPr>
        <w:t> </w:t>
      </w:r>
      <w:r>
        <w:rPr>
          <w:spacing w:val="-2"/>
        </w:rPr>
        <w:t>[12],</w:t>
      </w:r>
      <w:r>
        <w:rPr>
          <w:spacing w:val="-11"/>
        </w:rPr>
        <w:t> </w:t>
      </w:r>
      <w:r>
        <w:rPr>
          <w:spacing w:val="-2"/>
        </w:rPr>
        <w:t>2</w:t>
      </w:r>
      <w:r>
        <w:rPr>
          <w:spacing w:val="-7"/>
        </w:rPr>
        <w:t> </w:t>
      </w:r>
      <w:r>
        <w:rPr>
          <w:rFonts w:ascii="Symbol" w:hAnsi="Symbol"/>
          <w:spacing w:val="-2"/>
        </w:rPr>
        <w:t></w:t>
      </w:r>
      <w:r>
        <w:rPr>
          <w:spacing w:val="-2"/>
        </w:rPr>
        <w:t>l</w:t>
      </w:r>
      <w:r>
        <w:rPr>
          <w:spacing w:val="-12"/>
        </w:rPr>
        <w:t> </w:t>
      </w:r>
      <w:r>
        <w:rPr>
          <w:spacing w:val="-2"/>
        </w:rPr>
        <w:t>of</w:t>
      </w:r>
      <w:r>
        <w:rPr>
          <w:spacing w:val="-11"/>
        </w:rPr>
        <w:t> </w:t>
      </w:r>
      <w:r>
        <w:rPr>
          <w:spacing w:val="-2"/>
        </w:rPr>
        <w:t>each</w:t>
      </w:r>
      <w:r>
        <w:rPr>
          <w:spacing w:val="-10"/>
        </w:rPr>
        <w:t> </w:t>
      </w:r>
      <w:r>
        <w:rPr>
          <w:spacing w:val="-2"/>
        </w:rPr>
        <w:t>reaction</w:t>
      </w:r>
      <w:r>
        <w:rPr>
          <w:spacing w:val="-9"/>
        </w:rPr>
        <w:t> </w:t>
      </w:r>
      <w:r>
        <w:rPr>
          <w:spacing w:val="-2"/>
        </w:rPr>
        <w:t>were</w:t>
      </w:r>
      <w:r>
        <w:rPr>
          <w:spacing w:val="-9"/>
        </w:rPr>
        <w:t> </w:t>
      </w:r>
      <w:r>
        <w:rPr>
          <w:spacing w:val="-2"/>
        </w:rPr>
        <w:t>analy- </w:t>
      </w:r>
      <w:r>
        <w:rPr/>
        <w:t>zed on denaturing 6M urea 6% polyacrylamide gel or with an ABI prism 310 DNA analyser.</w:t>
      </w:r>
    </w:p>
    <w:p>
      <w:pPr>
        <w:pStyle w:val="BodyText"/>
        <w:spacing w:before="1"/>
        <w:ind w:left="238" w:right="290"/>
        <w:jc w:val="both"/>
      </w:pPr>
      <w:r>
        <w:rPr/>
        <w:t>We also analyzed the presence of anti-platelet antibo- dies</w:t>
      </w:r>
      <w:r>
        <w:rPr>
          <w:spacing w:val="-4"/>
        </w:rPr>
        <w:t> </w:t>
      </w:r>
      <w:r>
        <w:rPr/>
        <w:t>in</w:t>
      </w:r>
      <w:r>
        <w:rPr>
          <w:spacing w:val="-11"/>
        </w:rPr>
        <w:t> </w:t>
      </w:r>
      <w:r>
        <w:rPr/>
        <w:t>15</w:t>
      </w:r>
      <w:r>
        <w:rPr>
          <w:spacing w:val="-11"/>
        </w:rPr>
        <w:t> </w:t>
      </w:r>
      <w:r>
        <w:rPr/>
        <w:t>patients</w:t>
      </w:r>
      <w:r>
        <w:rPr>
          <w:spacing w:val="-9"/>
        </w:rPr>
        <w:t> </w:t>
      </w:r>
      <w:r>
        <w:rPr/>
        <w:t>with</w:t>
      </w:r>
      <w:r>
        <w:rPr>
          <w:spacing w:val="-8"/>
        </w:rPr>
        <w:t> </w:t>
      </w:r>
      <w:r>
        <w:rPr/>
        <w:t>ITP</w:t>
      </w:r>
      <w:r>
        <w:rPr>
          <w:spacing w:val="-8"/>
        </w:rPr>
        <w:t> </w:t>
      </w:r>
      <w:r>
        <w:rPr/>
        <w:t>by</w:t>
      </w:r>
      <w:r>
        <w:rPr>
          <w:spacing w:val="-12"/>
        </w:rPr>
        <w:t> </w:t>
      </w:r>
      <w:r>
        <w:rPr/>
        <w:t>the</w:t>
      </w:r>
      <w:r>
        <w:rPr>
          <w:spacing w:val="-8"/>
        </w:rPr>
        <w:t> </w:t>
      </w:r>
      <w:r>
        <w:rPr/>
        <w:t>indirect</w:t>
      </w:r>
      <w:r>
        <w:rPr>
          <w:spacing w:val="-9"/>
        </w:rPr>
        <w:t> </w:t>
      </w:r>
      <w:r>
        <w:rPr/>
        <w:t>MAIPA</w:t>
      </w:r>
      <w:r>
        <w:rPr>
          <w:spacing w:val="-10"/>
        </w:rPr>
        <w:t> </w:t>
      </w:r>
      <w:r>
        <w:rPr/>
        <w:t>me- thod [10]. For the detection of anti-platelet antibodies in</w:t>
      </w:r>
      <w:r>
        <w:rPr>
          <w:spacing w:val="-4"/>
        </w:rPr>
        <w:t> </w:t>
      </w:r>
      <w:r>
        <w:rPr/>
        <w:t>patients</w:t>
      </w:r>
      <w:r>
        <w:rPr>
          <w:spacing w:val="-4"/>
        </w:rPr>
        <w:t> </w:t>
      </w:r>
      <w:r>
        <w:rPr/>
        <w:t>with</w:t>
      </w:r>
      <w:r>
        <w:rPr>
          <w:spacing w:val="-2"/>
        </w:rPr>
        <w:t> </w:t>
      </w:r>
      <w:r>
        <w:rPr/>
        <w:t>ITP</w:t>
      </w:r>
      <w:r>
        <w:rPr>
          <w:spacing w:val="-1"/>
        </w:rPr>
        <w:t> </w:t>
      </w:r>
      <w:r>
        <w:rPr/>
        <w:t>we</w:t>
      </w:r>
      <w:r>
        <w:rPr>
          <w:spacing w:val="-4"/>
        </w:rPr>
        <w:t> </w:t>
      </w:r>
      <w:r>
        <w:rPr/>
        <w:t>used</w:t>
      </w:r>
      <w:r>
        <w:rPr>
          <w:spacing w:val="-7"/>
        </w:rPr>
        <w:t> </w:t>
      </w:r>
      <w:r>
        <w:rPr/>
        <w:t>modified</w:t>
      </w:r>
      <w:r>
        <w:rPr>
          <w:spacing w:val="-4"/>
        </w:rPr>
        <w:t> </w:t>
      </w:r>
      <w:r>
        <w:rPr/>
        <w:t>indirect</w:t>
      </w:r>
      <w:r>
        <w:rPr>
          <w:spacing w:val="-6"/>
        </w:rPr>
        <w:t> </w:t>
      </w:r>
      <w:r>
        <w:rPr/>
        <w:t>MAIPA </w:t>
      </w:r>
      <w:r>
        <w:rPr>
          <w:spacing w:val="-4"/>
        </w:rPr>
        <w:t>(Monoclonal antibody-specific immobilisation of platelet </w:t>
      </w:r>
      <w:r>
        <w:rPr/>
        <w:t>antigens) method. For that purpose we used microtiter plates coated overnight at 4</w:t>
      </w:r>
      <w:r>
        <w:rPr>
          <w:rFonts w:ascii="Symbol" w:hAnsi="Symbol"/>
        </w:rPr>
        <w:t></w:t>
      </w:r>
      <w:r>
        <w:rPr/>
        <w:t>C with 100 </w:t>
      </w:r>
      <w:r>
        <w:rPr>
          <w:rFonts w:ascii="Symbol" w:hAnsi="Symbol"/>
        </w:rPr>
        <w:t></w:t>
      </w:r>
      <w:r>
        <w:rPr/>
        <w:t>l of Sigma goat antimouse IgG (light chain specific) antibodies (C.No. M 1397) with concentration of 1 </w:t>
      </w:r>
      <w:r>
        <w:rPr>
          <w:rFonts w:ascii="Symbol" w:hAnsi="Symbol"/>
        </w:rPr>
        <w:t></w:t>
      </w:r>
      <w:r>
        <w:rPr/>
        <w:t>g/ml in 0.05 M carbonate buffer pH 9.6. After four washes with</w:t>
      </w:r>
      <w:r>
        <w:rPr>
          <w:spacing w:val="40"/>
        </w:rPr>
        <w:t> </w:t>
      </w:r>
      <w:r>
        <w:rPr/>
        <w:t>200 </w:t>
      </w:r>
      <w:r>
        <w:rPr>
          <w:rFonts w:ascii="Symbol" w:hAnsi="Symbol"/>
        </w:rPr>
        <w:t></w:t>
      </w:r>
      <w:r>
        <w:rPr/>
        <w:t>l of PBS-Tween solution, the remaining binding sites</w:t>
      </w:r>
      <w:r>
        <w:rPr>
          <w:spacing w:val="-5"/>
        </w:rPr>
        <w:t> </w:t>
      </w:r>
      <w:r>
        <w:rPr/>
        <w:t>were</w:t>
      </w:r>
      <w:r>
        <w:rPr>
          <w:spacing w:val="-5"/>
        </w:rPr>
        <w:t> </w:t>
      </w:r>
      <w:r>
        <w:rPr/>
        <w:t>blocked</w:t>
      </w:r>
      <w:r>
        <w:rPr>
          <w:spacing w:val="-4"/>
        </w:rPr>
        <w:t> </w:t>
      </w:r>
      <w:r>
        <w:rPr/>
        <w:t>for</w:t>
      </w:r>
      <w:r>
        <w:rPr>
          <w:spacing w:val="-5"/>
        </w:rPr>
        <w:t> </w:t>
      </w:r>
      <w:r>
        <w:rPr/>
        <w:t>60</w:t>
      </w:r>
      <w:r>
        <w:rPr>
          <w:spacing w:val="-4"/>
        </w:rPr>
        <w:t> </w:t>
      </w:r>
      <w:r>
        <w:rPr/>
        <w:t>minutes</w:t>
      </w:r>
      <w:r>
        <w:rPr>
          <w:spacing w:val="-5"/>
        </w:rPr>
        <w:t> </w:t>
      </w:r>
      <w:r>
        <w:rPr/>
        <w:t>with</w:t>
      </w:r>
      <w:r>
        <w:rPr>
          <w:spacing w:val="-6"/>
        </w:rPr>
        <w:t> </w:t>
      </w:r>
      <w:r>
        <w:rPr/>
        <w:t>200</w:t>
      </w:r>
      <w:r>
        <w:rPr>
          <w:spacing w:val="-2"/>
        </w:rPr>
        <w:t> </w:t>
      </w:r>
      <w:r>
        <w:rPr>
          <w:rFonts w:ascii="Symbol" w:hAnsi="Symbol"/>
        </w:rPr>
        <w:t></w:t>
      </w:r>
      <w:r>
        <w:rPr/>
        <w:t>l</w:t>
      </w:r>
      <w:r>
        <w:rPr>
          <w:spacing w:val="-6"/>
        </w:rPr>
        <w:t> </w:t>
      </w:r>
      <w:r>
        <w:rPr/>
        <w:t>2%</w:t>
      </w:r>
      <w:r>
        <w:rPr>
          <w:spacing w:val="-7"/>
        </w:rPr>
        <w:t> </w:t>
      </w:r>
      <w:r>
        <w:rPr/>
        <w:t>BSA (bovine serum albumin) in phosphate buffer saline (PBS)-Tween.</w:t>
      </w:r>
      <w:r>
        <w:rPr>
          <w:spacing w:val="-4"/>
        </w:rPr>
        <w:t> </w:t>
      </w:r>
      <w:r>
        <w:rPr/>
        <w:t>After</w:t>
      </w:r>
      <w:r>
        <w:rPr>
          <w:spacing w:val="-3"/>
        </w:rPr>
        <w:t> </w:t>
      </w:r>
      <w:r>
        <w:rPr/>
        <w:t>this</w:t>
      </w:r>
      <w:r>
        <w:rPr>
          <w:spacing w:val="-3"/>
        </w:rPr>
        <w:t> </w:t>
      </w:r>
      <w:r>
        <w:rPr/>
        <w:t>step</w:t>
      </w:r>
      <w:r>
        <w:rPr>
          <w:spacing w:val="-2"/>
        </w:rPr>
        <w:t> </w:t>
      </w:r>
      <w:r>
        <w:rPr/>
        <w:t>plates</w:t>
      </w:r>
      <w:r>
        <w:rPr>
          <w:spacing w:val="-3"/>
        </w:rPr>
        <w:t> </w:t>
      </w:r>
      <w:r>
        <w:rPr/>
        <w:t>were</w:t>
      </w:r>
      <w:r>
        <w:rPr>
          <w:spacing w:val="-2"/>
        </w:rPr>
        <w:t> </w:t>
      </w:r>
      <w:r>
        <w:rPr/>
        <w:t>incubated</w:t>
      </w:r>
      <w:r>
        <w:rPr>
          <w:spacing w:val="-2"/>
        </w:rPr>
        <w:t> </w:t>
      </w:r>
      <w:r>
        <w:rPr/>
        <w:t>for two hours with DAKO monoclonal anti-CD41 (M 7057),</w:t>
      </w:r>
      <w:r>
        <w:rPr>
          <w:spacing w:val="1"/>
        </w:rPr>
        <w:t> </w:t>
      </w:r>
      <w:r>
        <w:rPr/>
        <w:t>anti-CD42b</w:t>
      </w:r>
      <w:r>
        <w:rPr>
          <w:spacing w:val="4"/>
        </w:rPr>
        <w:t> </w:t>
      </w:r>
      <w:r>
        <w:rPr/>
        <w:t>(M</w:t>
      </w:r>
      <w:r>
        <w:rPr>
          <w:spacing w:val="2"/>
        </w:rPr>
        <w:t> </w:t>
      </w:r>
      <w:r>
        <w:rPr/>
        <w:t>0719)</w:t>
      </w:r>
      <w:r>
        <w:rPr>
          <w:spacing w:val="3"/>
        </w:rPr>
        <w:t> </w:t>
      </w:r>
      <w:r>
        <w:rPr/>
        <w:t>and</w:t>
      </w:r>
      <w:r>
        <w:rPr>
          <w:spacing w:val="3"/>
        </w:rPr>
        <w:t> </w:t>
      </w:r>
      <w:r>
        <w:rPr/>
        <w:t>anti-CD61</w:t>
      </w:r>
      <w:r>
        <w:rPr>
          <w:spacing w:val="4"/>
        </w:rPr>
        <w:t> </w:t>
      </w:r>
      <w:r>
        <w:rPr/>
        <w:t>(M</w:t>
      </w:r>
      <w:r>
        <w:rPr>
          <w:spacing w:val="1"/>
        </w:rPr>
        <w:t> </w:t>
      </w:r>
      <w:r>
        <w:rPr>
          <w:spacing w:val="-2"/>
        </w:rPr>
        <w:t>0753)</w:t>
      </w:r>
    </w:p>
    <w:p>
      <w:pPr>
        <w:pStyle w:val="BodyText"/>
        <w:spacing w:before="2"/>
        <w:ind w:left="238" w:right="290"/>
        <w:jc w:val="both"/>
      </w:pPr>
      <w:r>
        <w:rPr/>
        <w:t>antibodies (0.5 </w:t>
      </w:r>
      <w:r>
        <w:rPr>
          <w:rFonts w:ascii="Symbol" w:hAnsi="Symbol"/>
        </w:rPr>
        <w:t></w:t>
      </w:r>
      <w:r>
        <w:rPr/>
        <w:t>g/ml) in PBS/1% BSA. After this incubation,</w:t>
      </w:r>
      <w:r>
        <w:rPr>
          <w:spacing w:val="-3"/>
        </w:rPr>
        <w:t> </w:t>
      </w:r>
      <w:r>
        <w:rPr/>
        <w:t>plates</w:t>
      </w:r>
      <w:r>
        <w:rPr>
          <w:spacing w:val="-4"/>
        </w:rPr>
        <w:t> </w:t>
      </w:r>
      <w:r>
        <w:rPr/>
        <w:t>were</w:t>
      </w:r>
      <w:r>
        <w:rPr>
          <w:spacing w:val="-5"/>
        </w:rPr>
        <w:t> </w:t>
      </w:r>
      <w:r>
        <w:rPr/>
        <w:t>again</w:t>
      </w:r>
      <w:r>
        <w:rPr>
          <w:spacing w:val="-5"/>
        </w:rPr>
        <w:t> </w:t>
      </w:r>
      <w:r>
        <w:rPr/>
        <w:t>washed</w:t>
      </w:r>
      <w:r>
        <w:rPr>
          <w:spacing w:val="-3"/>
        </w:rPr>
        <w:t> </w:t>
      </w:r>
      <w:r>
        <w:rPr/>
        <w:t>with</w:t>
      </w:r>
      <w:r>
        <w:rPr>
          <w:spacing w:val="-5"/>
        </w:rPr>
        <w:t> </w:t>
      </w:r>
      <w:r>
        <w:rPr/>
        <w:t>PBS-Tween solution 4 times.</w:t>
      </w:r>
      <w:r>
        <w:rPr>
          <w:spacing w:val="40"/>
        </w:rPr>
        <w:t> </w:t>
      </w:r>
      <w:r>
        <w:rPr/>
        <w:t>These plates were ready for use.</w:t>
      </w:r>
    </w:p>
    <w:p>
      <w:pPr>
        <w:pStyle w:val="BodyText"/>
        <w:ind w:left="238" w:right="292"/>
        <w:jc w:val="both"/>
      </w:pPr>
      <w:r>
        <w:rPr/>
        <w:t>For the Indirect MAIPA method we used serum from patients and already prepared test platelets form blood group O, Rh+. Test platelets were obtained from peri- pheral blood with EDTA from blood donors. After centrifugation of peripheral blood at 190 g for 10 minutes platelet rich plasma (PRP) was obtained. This platelet rich plasma was recentrifuged at 1600 g for 10 minutes. Test platelets (1x10</w:t>
      </w:r>
      <w:r>
        <w:rPr>
          <w:position w:val="7"/>
          <w:sz w:val="14"/>
        </w:rPr>
        <w:t>8</w:t>
      </w:r>
      <w:r>
        <w:rPr/>
        <w:t>) were washed three ti- mes with 1% disodium EDTA in phosphate-buffered saline (PBS) and incubated with 100 </w:t>
      </w:r>
      <w:r>
        <w:rPr>
          <w:rFonts w:ascii="Symbol" w:hAnsi="Symbol"/>
        </w:rPr>
        <w:t></w:t>
      </w:r>
      <w:r>
        <w:rPr/>
        <w:t>l patient serum for one hour at room temperature. After this, platelets were washed for three times with PBS and solubilized with</w:t>
      </w:r>
      <w:r>
        <w:rPr>
          <w:spacing w:val="24"/>
        </w:rPr>
        <w:t> </w:t>
      </w:r>
      <w:r>
        <w:rPr/>
        <w:t>1000</w:t>
      </w:r>
      <w:r>
        <w:rPr>
          <w:spacing w:val="24"/>
        </w:rPr>
        <w:t> </w:t>
      </w:r>
      <w:r>
        <w:rPr>
          <w:rFonts w:ascii="Symbol" w:hAnsi="Symbol"/>
        </w:rPr>
        <w:t></w:t>
      </w:r>
      <w:r>
        <w:rPr/>
        <w:t>l</w:t>
      </w:r>
      <w:r>
        <w:rPr>
          <w:spacing w:val="23"/>
        </w:rPr>
        <w:t> </w:t>
      </w:r>
      <w:r>
        <w:rPr/>
        <w:t>solubilizing</w:t>
      </w:r>
      <w:r>
        <w:rPr>
          <w:spacing w:val="24"/>
        </w:rPr>
        <w:t> </w:t>
      </w:r>
      <w:r>
        <w:rPr/>
        <w:t>solution</w:t>
      </w:r>
      <w:r>
        <w:rPr>
          <w:spacing w:val="24"/>
        </w:rPr>
        <w:t> </w:t>
      </w:r>
      <w:r>
        <w:rPr/>
        <w:t>(50</w:t>
      </w:r>
      <w:r>
        <w:rPr>
          <w:spacing w:val="24"/>
        </w:rPr>
        <w:t> </w:t>
      </w:r>
      <w:r>
        <w:rPr/>
        <w:t>mM</w:t>
      </w:r>
      <w:r>
        <w:rPr>
          <w:spacing w:val="23"/>
        </w:rPr>
        <w:t> </w:t>
      </w:r>
      <w:r>
        <w:rPr/>
        <w:t>Tris,</w:t>
      </w:r>
      <w:r>
        <w:rPr>
          <w:spacing w:val="26"/>
        </w:rPr>
        <w:t> </w:t>
      </w:r>
      <w:r>
        <w:rPr>
          <w:spacing w:val="-5"/>
        </w:rPr>
        <w:t>145</w:t>
      </w:r>
    </w:p>
    <w:p>
      <w:pPr>
        <w:pStyle w:val="BodyText"/>
        <w:ind w:left="238" w:right="289"/>
        <w:jc w:val="both"/>
      </w:pPr>
      <w:r>
        <w:rPr/>
        <w:t>mM NaCl, pH 8.2, 1%TritonX 100 with 100 </w:t>
      </w:r>
      <w:r>
        <w:rPr>
          <w:rFonts w:ascii="Symbol" w:hAnsi="Symbol"/>
        </w:rPr>
        <w:t></w:t>
      </w:r>
      <w:r>
        <w:rPr/>
        <w:t>g/ml Leupeptin) for 30 minutes at 4</w:t>
      </w:r>
      <w:r>
        <w:rPr>
          <w:rFonts w:ascii="Symbol" w:hAnsi="Symbol"/>
        </w:rPr>
        <w:t></w:t>
      </w:r>
      <w:r>
        <w:rPr/>
        <w:t>C. After this step, they were centrifuged for 30 min. at 4</w:t>
      </w:r>
      <w:r>
        <w:rPr>
          <w:rFonts w:ascii="Symbol" w:hAnsi="Symbol"/>
        </w:rPr>
        <w:t></w:t>
      </w:r>
      <w:r>
        <w:rPr/>
        <w:t>C at 13 000 rpm.</w:t>
      </w:r>
      <w:r>
        <w:rPr>
          <w:spacing w:val="80"/>
        </w:rPr>
        <w:t> </w:t>
      </w:r>
      <w:r>
        <w:rPr/>
        <w:t>100 </w:t>
      </w:r>
      <w:r>
        <w:rPr>
          <w:rFonts w:ascii="Symbol" w:hAnsi="Symbol"/>
        </w:rPr>
        <w:t></w:t>
      </w:r>
      <w:r>
        <w:rPr/>
        <w:t>l of the supernatant was mixed with 300 </w:t>
      </w:r>
      <w:r>
        <w:rPr>
          <w:rFonts w:ascii="Symbol" w:hAnsi="Symbol"/>
        </w:rPr>
        <w:t></w:t>
      </w:r>
      <w:r>
        <w:rPr/>
        <w:t>l PBS buffer and 100 </w:t>
      </w:r>
      <w:r>
        <w:rPr>
          <w:rFonts w:ascii="Symbol" w:hAnsi="Symbol"/>
        </w:rPr>
        <w:t></w:t>
      </w:r>
      <w:r>
        <w:rPr/>
        <w:t>l of this solution was incubated in al- ready prepared microtiter plates for 90 min. at 4</w:t>
      </w:r>
      <w:r>
        <w:rPr>
          <w:rFonts w:ascii="Symbol" w:hAnsi="Symbol"/>
        </w:rPr>
        <w:t></w:t>
      </w:r>
      <w:r>
        <w:rPr/>
        <w:t>C in duplicate. Plates were then washed four times with PBS,</w:t>
      </w:r>
      <w:r>
        <w:rPr>
          <w:spacing w:val="-11"/>
        </w:rPr>
        <w:t> </w:t>
      </w:r>
      <w:r>
        <w:rPr/>
        <w:t>1%</w:t>
      </w:r>
      <w:r>
        <w:rPr>
          <w:spacing w:val="-12"/>
        </w:rPr>
        <w:t> </w:t>
      </w:r>
      <w:r>
        <w:rPr/>
        <w:t>TritonX</w:t>
      </w:r>
      <w:r>
        <w:rPr>
          <w:spacing w:val="-11"/>
        </w:rPr>
        <w:t> </w:t>
      </w:r>
      <w:r>
        <w:rPr/>
        <w:t>100</w:t>
      </w:r>
      <w:r>
        <w:rPr>
          <w:spacing w:val="-11"/>
        </w:rPr>
        <w:t> </w:t>
      </w:r>
      <w:r>
        <w:rPr/>
        <w:t>and</w:t>
      </w:r>
      <w:r>
        <w:rPr>
          <w:spacing w:val="-11"/>
        </w:rPr>
        <w:t> </w:t>
      </w:r>
      <w:r>
        <w:rPr/>
        <w:t>0.1</w:t>
      </w:r>
      <w:r>
        <w:rPr>
          <w:spacing w:val="-11"/>
        </w:rPr>
        <w:t> </w:t>
      </w:r>
      <w:r>
        <w:rPr/>
        <w:t>Tween20</w:t>
      </w:r>
      <w:r>
        <w:rPr>
          <w:spacing w:val="-9"/>
        </w:rPr>
        <w:t> </w:t>
      </w:r>
      <w:r>
        <w:rPr/>
        <w:t>solution.</w:t>
      </w:r>
      <w:r>
        <w:rPr>
          <w:spacing w:val="-11"/>
        </w:rPr>
        <w:t> </w:t>
      </w:r>
      <w:r>
        <w:rPr/>
        <w:t>100</w:t>
      </w:r>
      <w:r>
        <w:rPr>
          <w:rFonts w:ascii="Symbol" w:hAnsi="Symbol"/>
        </w:rPr>
        <w:t></w:t>
      </w:r>
      <w:r>
        <w:rPr/>
        <w:t>l of anti-human IgG-horseradish peroxidase (Sigma, A 0170) antibodies (1:10000) were added to the wells</w:t>
      </w:r>
      <w:r>
        <w:rPr>
          <w:spacing w:val="40"/>
        </w:rPr>
        <w:t> </w:t>
      </w:r>
      <w:r>
        <w:rPr/>
        <w:t>and</w:t>
      </w:r>
      <w:r>
        <w:rPr>
          <w:spacing w:val="31"/>
        </w:rPr>
        <w:t> </w:t>
      </w:r>
      <w:r>
        <w:rPr/>
        <w:t>incubated</w:t>
      </w:r>
      <w:r>
        <w:rPr>
          <w:spacing w:val="31"/>
        </w:rPr>
        <w:t> </w:t>
      </w:r>
      <w:r>
        <w:rPr/>
        <w:t>for</w:t>
      </w:r>
      <w:r>
        <w:rPr>
          <w:spacing w:val="31"/>
        </w:rPr>
        <w:t> </w:t>
      </w:r>
      <w:r>
        <w:rPr/>
        <w:t>120</w:t>
      </w:r>
      <w:r>
        <w:rPr>
          <w:spacing w:val="31"/>
        </w:rPr>
        <w:t> </w:t>
      </w:r>
      <w:r>
        <w:rPr/>
        <w:t>minutes</w:t>
      </w:r>
      <w:r>
        <w:rPr>
          <w:spacing w:val="30"/>
        </w:rPr>
        <w:t> </w:t>
      </w:r>
      <w:r>
        <w:rPr/>
        <w:t>at</w:t>
      </w:r>
      <w:r>
        <w:rPr>
          <w:spacing w:val="30"/>
        </w:rPr>
        <w:t> </w:t>
      </w:r>
      <w:r>
        <w:rPr/>
        <w:t>4</w:t>
      </w:r>
      <w:r>
        <w:rPr>
          <w:rFonts w:ascii="Symbol" w:hAnsi="Symbol"/>
        </w:rPr>
        <w:t></w:t>
      </w:r>
      <w:r>
        <w:rPr/>
        <w:t>C.</w:t>
      </w:r>
      <w:r>
        <w:rPr>
          <w:spacing w:val="31"/>
        </w:rPr>
        <w:t> </w:t>
      </w:r>
      <w:r>
        <w:rPr/>
        <w:t>When</w:t>
      </w:r>
      <w:r>
        <w:rPr>
          <w:spacing w:val="31"/>
        </w:rPr>
        <w:t> </w:t>
      </w:r>
      <w:r>
        <w:rPr>
          <w:spacing w:val="-2"/>
        </w:rPr>
        <w:t>kappa/</w:t>
      </w:r>
    </w:p>
    <w:p>
      <w:pPr>
        <w:spacing w:after="0"/>
        <w:jc w:val="both"/>
        <w:sectPr>
          <w:type w:val="continuous"/>
          <w:pgSz w:w="11910" w:h="16840"/>
          <w:pgMar w:header="854" w:footer="0" w:top="740" w:bottom="0" w:left="900" w:right="840"/>
          <w:cols w:num="2" w:equalWidth="0">
            <w:col w:w="4925" w:space="73"/>
            <w:col w:w="5172"/>
          </w:cols>
        </w:sectPr>
      </w:pPr>
    </w:p>
    <w:p>
      <w:pPr>
        <w:spacing w:line="179" w:lineRule="exact" w:before="0"/>
        <w:ind w:left="238" w:right="0" w:firstLine="0"/>
        <w:jc w:val="left"/>
        <w:rPr>
          <w:rFonts w:ascii="Arial"/>
          <w:sz w:val="16"/>
        </w:rPr>
      </w:pPr>
      <w:r>
        <w:rPr>
          <w:rFonts w:ascii="Arial"/>
          <w:color w:val="808080"/>
          <w:sz w:val="16"/>
        </w:rPr>
        <w:t>Pavkovic</w:t>
      </w:r>
      <w:r>
        <w:rPr>
          <w:rFonts w:ascii="Arial"/>
          <w:color w:val="808080"/>
          <w:spacing w:val="-7"/>
          <w:sz w:val="16"/>
        </w:rPr>
        <w:t> </w:t>
      </w:r>
      <w:r>
        <w:rPr>
          <w:rFonts w:ascii="Arial"/>
          <w:color w:val="808080"/>
          <w:sz w:val="16"/>
        </w:rPr>
        <w:t>M.</w:t>
      </w:r>
      <w:r>
        <w:rPr>
          <w:rFonts w:ascii="Arial"/>
          <w:color w:val="808080"/>
          <w:spacing w:val="-2"/>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p>
      <w:pPr>
        <w:pStyle w:val="BodyText"/>
        <w:spacing w:before="10"/>
        <w:rPr>
          <w:rFonts w:ascii="Arial"/>
          <w:sz w:val="3"/>
        </w:rPr>
      </w:pPr>
      <w:r>
        <w:rPr/>
        <w:pict>
          <v:rect style="position:absolute;margin-left:55.439999pt;margin-top:3.464702pt;width:484.68pt;height:.48pt;mso-position-horizontal-relative:page;mso-position-vertical-relative:paragraph;z-index:-15722496;mso-wrap-distance-left:0;mso-wrap-distance-right:0" id="docshape479" filled="true" fillcolor="#000000" stroked="false">
            <v:fill type="solid"/>
            <w10:wrap type="topAndBottom"/>
          </v:rect>
        </w:pict>
      </w:r>
    </w:p>
    <w:p>
      <w:pPr>
        <w:pStyle w:val="BodyText"/>
        <w:spacing w:before="9"/>
        <w:rPr>
          <w:rFonts w:ascii="Arial"/>
          <w:sz w:val="14"/>
        </w:rPr>
      </w:pPr>
    </w:p>
    <w:p>
      <w:pPr>
        <w:spacing w:after="0"/>
        <w:rPr>
          <w:rFonts w:ascii="Arial"/>
          <w:sz w:val="14"/>
        </w:rPr>
        <w:sectPr>
          <w:headerReference w:type="even" r:id="rId462"/>
          <w:headerReference w:type="default" r:id="rId463"/>
          <w:pgSz w:w="11910" w:h="16840"/>
          <w:pgMar w:header="854" w:footer="0" w:top="1020" w:bottom="280" w:left="900" w:right="840"/>
        </w:sectPr>
      </w:pPr>
    </w:p>
    <w:p>
      <w:pPr>
        <w:pStyle w:val="BodyText"/>
        <w:spacing w:before="100"/>
        <w:ind w:left="238" w:right="38"/>
        <w:jc w:val="both"/>
      </w:pPr>
      <w:r>
        <w:rPr/>
        <w:t>lambda specific MAIPA was performed we used anti- human kappa (Sigma, A 1764) or anti-human lambda- HRP antibodies (Biosource Int. AHI 0904) (1:2000). After this step, plates were washed for six times with washing buffer and 200 </w:t>
      </w:r>
      <w:r>
        <w:rPr>
          <w:rFonts w:ascii="Symbol" w:hAnsi="Symbol"/>
        </w:rPr>
        <w:t></w:t>
      </w:r>
      <w:r>
        <w:rPr/>
        <w:t>l of OPD (Sigma substrate</w:t>
      </w:r>
      <w:r>
        <w:rPr>
          <w:spacing w:val="40"/>
        </w:rPr>
        <w:t> </w:t>
      </w:r>
      <w:r>
        <w:rPr/>
        <w:t>for peroxidase) was added for 30 min. and incubated</w:t>
      </w:r>
    </w:p>
    <w:p>
      <w:pPr>
        <w:pStyle w:val="BodyText"/>
        <w:spacing w:before="5"/>
        <w:rPr>
          <w:sz w:val="19"/>
        </w:rPr>
      </w:pPr>
      <w:r>
        <w:rPr/>
        <w:drawing>
          <wp:anchor distT="0" distB="0" distL="0" distR="0" allowOverlap="1" layoutInCell="1" locked="0" behindDoc="0" simplePos="0" relativeHeight="13">
            <wp:simplePos x="0" y="0"/>
            <wp:positionH relativeFrom="page">
              <wp:posOffset>722630</wp:posOffset>
            </wp:positionH>
            <wp:positionV relativeFrom="paragraph">
              <wp:posOffset>157318</wp:posOffset>
            </wp:positionV>
            <wp:extent cx="2742816" cy="3017520"/>
            <wp:effectExtent l="0" t="0" r="0" b="0"/>
            <wp:wrapTopAndBottom/>
            <wp:docPr id="5" name="image444.jpeg"/>
            <wp:cNvGraphicFramePr>
              <a:graphicFrameLocks noChangeAspect="1"/>
            </wp:cNvGraphicFramePr>
            <a:graphic>
              <a:graphicData uri="http://schemas.openxmlformats.org/drawingml/2006/picture">
                <pic:pic>
                  <pic:nvPicPr>
                    <pic:cNvPr id="6" name="image444.jpeg"/>
                    <pic:cNvPicPr/>
                  </pic:nvPicPr>
                  <pic:blipFill>
                    <a:blip r:embed="rId464" cstate="print"/>
                    <a:stretch>
                      <a:fillRect/>
                    </a:stretch>
                  </pic:blipFill>
                  <pic:spPr>
                    <a:xfrm>
                      <a:off x="0" y="0"/>
                      <a:ext cx="2742816" cy="3017520"/>
                    </a:xfrm>
                    <a:prstGeom prst="rect">
                      <a:avLst/>
                    </a:prstGeom>
                  </pic:spPr>
                </pic:pic>
              </a:graphicData>
            </a:graphic>
          </wp:anchor>
        </w:drawing>
      </w:r>
    </w:p>
    <w:p>
      <w:pPr>
        <w:spacing w:before="27"/>
        <w:ind w:left="238" w:right="0" w:firstLine="0"/>
        <w:jc w:val="left"/>
        <w:rPr>
          <w:sz w:val="18"/>
        </w:rPr>
      </w:pPr>
      <w:r>
        <w:rPr>
          <w:b/>
          <w:sz w:val="18"/>
        </w:rPr>
        <w:t>Fig.</w:t>
      </w:r>
      <w:r>
        <w:rPr>
          <w:b/>
          <w:spacing w:val="-6"/>
          <w:sz w:val="18"/>
        </w:rPr>
        <w:t> </w:t>
      </w:r>
      <w:r>
        <w:rPr>
          <w:b/>
          <w:sz w:val="18"/>
        </w:rPr>
        <w:t>1.</w:t>
      </w:r>
      <w:r>
        <w:rPr>
          <w:b/>
          <w:spacing w:val="-3"/>
          <w:sz w:val="18"/>
        </w:rPr>
        <w:t> </w:t>
      </w:r>
      <w:r>
        <w:rPr>
          <w:sz w:val="18"/>
        </w:rPr>
        <w:t>Ig</w:t>
      </w:r>
      <w:r>
        <w:rPr>
          <w:spacing w:val="-5"/>
          <w:sz w:val="18"/>
        </w:rPr>
        <w:t> </w:t>
      </w:r>
      <w:r>
        <w:rPr>
          <w:sz w:val="18"/>
        </w:rPr>
        <w:t>gene</w:t>
      </w:r>
      <w:r>
        <w:rPr>
          <w:spacing w:val="-5"/>
          <w:sz w:val="18"/>
        </w:rPr>
        <w:t> </w:t>
      </w:r>
      <w:r>
        <w:rPr>
          <w:sz w:val="18"/>
        </w:rPr>
        <w:t>rearrangement</w:t>
      </w:r>
      <w:r>
        <w:rPr>
          <w:spacing w:val="-4"/>
          <w:sz w:val="18"/>
        </w:rPr>
        <w:t> </w:t>
      </w:r>
      <w:r>
        <w:rPr>
          <w:sz w:val="18"/>
        </w:rPr>
        <w:t>on</w:t>
      </w:r>
      <w:r>
        <w:rPr>
          <w:spacing w:val="-5"/>
          <w:sz w:val="18"/>
        </w:rPr>
        <w:t> </w:t>
      </w:r>
      <w:r>
        <w:rPr>
          <w:sz w:val="18"/>
        </w:rPr>
        <w:t>6%</w:t>
      </w:r>
      <w:r>
        <w:rPr>
          <w:spacing w:val="-5"/>
          <w:sz w:val="18"/>
        </w:rPr>
        <w:t> </w:t>
      </w:r>
      <w:r>
        <w:rPr>
          <w:sz w:val="18"/>
        </w:rPr>
        <w:t>polyacrilamide</w:t>
      </w:r>
      <w:r>
        <w:rPr>
          <w:spacing w:val="-5"/>
          <w:sz w:val="18"/>
        </w:rPr>
        <w:t> </w:t>
      </w:r>
      <w:r>
        <w:rPr>
          <w:sz w:val="18"/>
        </w:rPr>
        <w:t>gels</w:t>
      </w:r>
      <w:r>
        <w:rPr>
          <w:spacing w:val="-4"/>
          <w:sz w:val="18"/>
        </w:rPr>
        <w:t> </w:t>
      </w:r>
      <w:r>
        <w:rPr>
          <w:sz w:val="18"/>
        </w:rPr>
        <w:t>and analyzed by ABI Prism 310</w:t>
      </w:r>
    </w:p>
    <w:p>
      <w:pPr>
        <w:pStyle w:val="BodyText"/>
        <w:spacing w:line="237" w:lineRule="auto" w:before="103"/>
        <w:ind w:left="237" w:right="290"/>
        <w:jc w:val="both"/>
      </w:pPr>
      <w:r>
        <w:rPr/>
        <w:br w:type="column"/>
      </w:r>
      <w:r>
        <w:rPr/>
        <w:t>in dark. Reaction was stopped with 50 </w:t>
      </w:r>
      <w:r>
        <w:rPr>
          <w:rFonts w:ascii="Symbol" w:hAnsi="Symbol"/>
        </w:rPr>
        <w:t></w:t>
      </w:r>
      <w:r>
        <w:rPr/>
        <w:t>l of 2M </w:t>
      </w:r>
      <w:r>
        <w:rPr>
          <w:position w:val="2"/>
        </w:rPr>
        <w:t>H</w:t>
      </w:r>
      <w:r>
        <w:rPr>
          <w:sz w:val="14"/>
        </w:rPr>
        <w:t>2</w:t>
      </w:r>
      <w:r>
        <w:rPr>
          <w:position w:val="2"/>
        </w:rPr>
        <w:t>SO</w:t>
      </w:r>
      <w:r>
        <w:rPr>
          <w:sz w:val="14"/>
        </w:rPr>
        <w:t>4</w:t>
      </w:r>
      <w:r>
        <w:rPr>
          <w:position w:val="2"/>
        </w:rPr>
        <w:t>for 15 min. at room temperature. OD (optical </w:t>
      </w:r>
      <w:r>
        <w:rPr/>
        <w:t>density) values were read with Elisa reader. Positive results were wells in which OD was two times higher than negative controls.</w:t>
      </w:r>
    </w:p>
    <w:p>
      <w:pPr>
        <w:pStyle w:val="BodyText"/>
        <w:spacing w:before="2"/>
        <w:rPr>
          <w:sz w:val="18"/>
        </w:rPr>
      </w:pPr>
    </w:p>
    <w:p>
      <w:pPr>
        <w:pStyle w:val="Heading4"/>
        <w:ind w:left="237"/>
      </w:pPr>
      <w:r>
        <w:rPr>
          <w:spacing w:val="-2"/>
        </w:rPr>
        <w:t>Results</w:t>
      </w:r>
    </w:p>
    <w:p>
      <w:pPr>
        <w:pStyle w:val="BodyText"/>
        <w:spacing w:before="6"/>
        <w:rPr>
          <w:b/>
          <w:sz w:val="20"/>
        </w:rPr>
      </w:pPr>
    </w:p>
    <w:p>
      <w:pPr>
        <w:pStyle w:val="BodyText"/>
        <w:ind w:left="237" w:right="292"/>
        <w:jc w:val="both"/>
      </w:pPr>
      <w:r>
        <w:rPr/>
        <w:t>In our study we analyzed 40 patients with ITP and de- </w:t>
      </w:r>
      <w:r>
        <w:rPr>
          <w:spacing w:val="-2"/>
        </w:rPr>
        <w:t>tected</w:t>
      </w:r>
      <w:r>
        <w:rPr>
          <w:spacing w:val="-2"/>
        </w:rPr>
        <w:t> polyclonal immunoglobulin gene rearrangements </w:t>
      </w:r>
      <w:r>
        <w:rPr/>
        <w:t>in IgM heavy chain in all patients. In the analysis of IgG heavy chain mRNA we detected monoclonal Ig gene</w:t>
      </w:r>
      <w:r>
        <w:rPr>
          <w:spacing w:val="-1"/>
        </w:rPr>
        <w:t> </w:t>
      </w:r>
      <w:r>
        <w:rPr/>
        <w:t>rearrangement</w:t>
      </w:r>
      <w:r>
        <w:rPr>
          <w:spacing w:val="-2"/>
        </w:rPr>
        <w:t> </w:t>
      </w:r>
      <w:r>
        <w:rPr/>
        <w:t>in</w:t>
      </w:r>
      <w:r>
        <w:rPr>
          <w:spacing w:val="-1"/>
        </w:rPr>
        <w:t> </w:t>
      </w:r>
      <w:r>
        <w:rPr/>
        <w:t>only</w:t>
      </w:r>
      <w:r>
        <w:rPr>
          <w:spacing w:val="-1"/>
        </w:rPr>
        <w:t> </w:t>
      </w:r>
      <w:r>
        <w:rPr/>
        <w:t>1/40</w:t>
      </w:r>
      <w:r>
        <w:rPr>
          <w:spacing w:val="-1"/>
        </w:rPr>
        <w:t> </w:t>
      </w:r>
      <w:r>
        <w:rPr/>
        <w:t>patient</w:t>
      </w:r>
      <w:r>
        <w:rPr>
          <w:spacing w:val="-1"/>
        </w:rPr>
        <w:t> </w:t>
      </w:r>
      <w:r>
        <w:rPr/>
        <w:t>(Figure</w:t>
      </w:r>
      <w:r>
        <w:rPr>
          <w:spacing w:val="-1"/>
        </w:rPr>
        <w:t> </w:t>
      </w:r>
      <w:r>
        <w:rPr/>
        <w:t>1)</w:t>
      </w:r>
      <w:r>
        <w:rPr>
          <w:spacing w:val="-1"/>
        </w:rPr>
        <w:t> </w:t>
      </w:r>
      <w:r>
        <w:rPr/>
        <w:t>and polyclonal rearrangement with one prominent band in 3/40</w:t>
      </w:r>
      <w:r>
        <w:rPr>
          <w:spacing w:val="-2"/>
        </w:rPr>
        <w:t> </w:t>
      </w:r>
      <w:r>
        <w:rPr/>
        <w:t>patients.</w:t>
      </w:r>
      <w:r>
        <w:rPr>
          <w:spacing w:val="40"/>
        </w:rPr>
        <w:t> </w:t>
      </w:r>
      <w:r>
        <w:rPr/>
        <w:t>Average</w:t>
      </w:r>
      <w:r>
        <w:rPr>
          <w:spacing w:val="-2"/>
        </w:rPr>
        <w:t> </w:t>
      </w:r>
      <w:r>
        <w:rPr/>
        <w:t>count of</w:t>
      </w:r>
      <w:r>
        <w:rPr>
          <w:spacing w:val="-2"/>
        </w:rPr>
        <w:t> </w:t>
      </w:r>
      <w:r>
        <w:rPr/>
        <w:t>platelets</w:t>
      </w:r>
      <w:r>
        <w:rPr>
          <w:spacing w:val="-2"/>
        </w:rPr>
        <w:t> </w:t>
      </w:r>
      <w:r>
        <w:rPr/>
        <w:t>at</w:t>
      </w:r>
      <w:r>
        <w:rPr>
          <w:spacing w:val="-3"/>
        </w:rPr>
        <w:t> </w:t>
      </w:r>
      <w:r>
        <w:rPr/>
        <w:t>the</w:t>
      </w:r>
      <w:r>
        <w:rPr>
          <w:spacing w:val="-2"/>
        </w:rPr>
        <w:t> </w:t>
      </w:r>
      <w:r>
        <w:rPr/>
        <w:t>time</w:t>
      </w:r>
      <w:r>
        <w:rPr>
          <w:spacing w:val="-2"/>
        </w:rPr>
        <w:t> </w:t>
      </w:r>
      <w:r>
        <w:rPr/>
        <w:t>of analysis was 20.8x10</w:t>
      </w:r>
      <w:r>
        <w:rPr>
          <w:position w:val="7"/>
          <w:sz w:val="14"/>
        </w:rPr>
        <w:t>9</w:t>
      </w:r>
      <w:r>
        <w:rPr/>
        <w:t>/L±22.3 and the median was 12x10</w:t>
      </w:r>
      <w:r>
        <w:rPr>
          <w:position w:val="7"/>
          <w:sz w:val="14"/>
        </w:rPr>
        <w:t>9</w:t>
      </w:r>
      <w:r>
        <w:rPr/>
        <w:t>/L (Table 1). Table 2 presents OD value for indirect kappa/lambda specific MAIPA in</w:t>
      </w:r>
      <w:r>
        <w:rPr>
          <w:spacing w:val="-1"/>
        </w:rPr>
        <w:t> </w:t>
      </w:r>
      <w:r>
        <w:rPr/>
        <w:t>ITP patients with already detected anti-platelet antibodies specific for CD 61 (GP IIIa).</w:t>
      </w:r>
    </w:p>
    <w:p>
      <w:pPr>
        <w:pStyle w:val="BodyText"/>
        <w:spacing w:before="4"/>
        <w:rPr>
          <w:sz w:val="20"/>
        </w:rPr>
      </w:pPr>
    </w:p>
    <w:p>
      <w:pPr>
        <w:spacing w:before="0"/>
        <w:ind w:left="439" w:right="0" w:firstLine="0"/>
        <w:jc w:val="left"/>
        <w:rPr>
          <w:sz w:val="18"/>
        </w:rPr>
      </w:pPr>
      <w:r>
        <w:rPr>
          <w:b/>
          <w:sz w:val="18"/>
        </w:rPr>
        <w:t>Table</w:t>
      </w:r>
      <w:r>
        <w:rPr>
          <w:b/>
          <w:spacing w:val="-1"/>
          <w:sz w:val="18"/>
        </w:rPr>
        <w:t> </w:t>
      </w:r>
      <w:r>
        <w:rPr>
          <w:b/>
          <w:sz w:val="18"/>
        </w:rPr>
        <w:t>1. </w:t>
      </w:r>
      <w:r>
        <w:rPr>
          <w:sz w:val="18"/>
        </w:rPr>
        <w:t>Platelet</w:t>
      </w:r>
      <w:r>
        <w:rPr>
          <w:spacing w:val="-3"/>
          <w:sz w:val="18"/>
        </w:rPr>
        <w:t> </w:t>
      </w:r>
      <w:r>
        <w:rPr>
          <w:sz w:val="18"/>
        </w:rPr>
        <w:t>number</w:t>
      </w:r>
      <w:r>
        <w:rPr>
          <w:spacing w:val="-1"/>
          <w:sz w:val="18"/>
        </w:rPr>
        <w:t> </w:t>
      </w:r>
      <w:r>
        <w:rPr>
          <w:sz w:val="18"/>
        </w:rPr>
        <w:t>at the</w:t>
      </w:r>
      <w:r>
        <w:rPr>
          <w:spacing w:val="-2"/>
          <w:sz w:val="18"/>
        </w:rPr>
        <w:t> </w:t>
      </w:r>
      <w:r>
        <w:rPr>
          <w:sz w:val="18"/>
        </w:rPr>
        <w:t>time</w:t>
      </w:r>
      <w:r>
        <w:rPr>
          <w:spacing w:val="-2"/>
          <w:sz w:val="18"/>
        </w:rPr>
        <w:t> </w:t>
      </w:r>
      <w:r>
        <w:rPr>
          <w:sz w:val="18"/>
        </w:rPr>
        <w:t>of</w:t>
      </w:r>
      <w:r>
        <w:rPr>
          <w:spacing w:val="-2"/>
          <w:sz w:val="18"/>
        </w:rPr>
        <w:t> analysis</w:t>
      </w:r>
    </w:p>
    <w:p>
      <w:pPr>
        <w:pStyle w:val="BodyText"/>
        <w:spacing w:line="20" w:lineRule="exact"/>
        <w:ind w:left="331"/>
        <w:rPr>
          <w:sz w:val="2"/>
        </w:rPr>
      </w:pPr>
      <w:r>
        <w:rPr>
          <w:sz w:val="2"/>
        </w:rPr>
        <w:pict>
          <v:group style="width:222.55pt;height:.5pt;mso-position-horizontal-relative:char;mso-position-vertical-relative:line" id="docshapegroup480" coordorigin="0,0" coordsize="4451,10">
            <v:shape style="position:absolute;left:0;top:0;width:4451;height:10" id="docshape481" coordorigin="0,0" coordsize="4451,10" path="m2554,0l0,0,0,10,2554,10,2554,0xm4450,0l2564,0,2554,0,2554,10,2564,10,4450,10,4450,0xe" filled="true" fillcolor="#000000" stroked="false">
              <v:path arrowok="t"/>
              <v:fill type="solid"/>
            </v:shape>
          </v:group>
        </w:pict>
      </w:r>
      <w:r>
        <w:rPr>
          <w:sz w:val="2"/>
        </w:rPr>
      </w:r>
    </w:p>
    <w:p>
      <w:pPr>
        <w:tabs>
          <w:tab w:pos="3214" w:val="left" w:leader="none"/>
        </w:tabs>
        <w:spacing w:before="0"/>
        <w:ind w:left="588" w:right="0" w:firstLine="0"/>
        <w:jc w:val="left"/>
        <w:rPr>
          <w:b/>
          <w:sz w:val="18"/>
        </w:rPr>
      </w:pPr>
      <w:r>
        <w:rPr>
          <w:b/>
          <w:sz w:val="18"/>
        </w:rPr>
        <w:t>Number</w:t>
      </w:r>
      <w:r>
        <w:rPr>
          <w:b/>
          <w:spacing w:val="-5"/>
          <w:sz w:val="18"/>
        </w:rPr>
        <w:t> </w:t>
      </w:r>
      <w:r>
        <w:rPr>
          <w:b/>
          <w:sz w:val="18"/>
        </w:rPr>
        <w:t>of</w:t>
      </w:r>
      <w:r>
        <w:rPr>
          <w:b/>
          <w:spacing w:val="-3"/>
          <w:sz w:val="18"/>
        </w:rPr>
        <w:t> </w:t>
      </w:r>
      <w:r>
        <w:rPr>
          <w:b/>
          <w:sz w:val="18"/>
        </w:rPr>
        <w:t>patients</w:t>
      </w:r>
      <w:r>
        <w:rPr>
          <w:b/>
          <w:spacing w:val="-3"/>
          <w:sz w:val="18"/>
        </w:rPr>
        <w:t> </w:t>
      </w:r>
      <w:r>
        <w:rPr>
          <w:b/>
          <w:spacing w:val="-2"/>
          <w:sz w:val="18"/>
        </w:rPr>
        <w:t>(n=40)</w:t>
      </w:r>
      <w:r>
        <w:rPr>
          <w:b/>
          <w:sz w:val="18"/>
        </w:rPr>
        <w:tab/>
        <w:t>Platelet</w:t>
      </w:r>
      <w:r>
        <w:rPr>
          <w:b/>
          <w:spacing w:val="-3"/>
          <w:sz w:val="18"/>
        </w:rPr>
        <w:t> </w:t>
      </w:r>
      <w:r>
        <w:rPr>
          <w:b/>
          <w:spacing w:val="-2"/>
          <w:sz w:val="18"/>
        </w:rPr>
        <w:t>number</w:t>
      </w:r>
    </w:p>
    <w:p>
      <w:pPr>
        <w:pStyle w:val="BodyText"/>
        <w:spacing w:line="20" w:lineRule="exact"/>
        <w:ind w:left="331"/>
        <w:rPr>
          <w:sz w:val="2"/>
        </w:rPr>
      </w:pPr>
      <w:r>
        <w:rPr>
          <w:sz w:val="2"/>
        </w:rPr>
        <w:pict>
          <v:group style="width:222.55pt;height:.5pt;mso-position-horizontal-relative:char;mso-position-vertical-relative:line" id="docshapegroup482" coordorigin="0,0" coordsize="4451,10">
            <v:shape style="position:absolute;left:0;top:0;width:4451;height:10" id="docshape483" coordorigin="0,0" coordsize="4451,10" path="m2554,0l0,0,0,10,2554,10,2554,0xm4450,0l2564,0,2554,0,2554,10,2564,10,4450,10,4450,0xe" filled="true" fillcolor="#000000" stroked="false">
              <v:path arrowok="t"/>
              <v:fill type="solid"/>
            </v:shape>
          </v:group>
        </w:pict>
      </w:r>
      <w:r>
        <w:rPr>
          <w:sz w:val="2"/>
        </w:rPr>
      </w:r>
    </w:p>
    <w:p>
      <w:pPr>
        <w:tabs>
          <w:tab w:pos="3428" w:val="left" w:leader="none"/>
        </w:tabs>
        <w:spacing w:line="188" w:lineRule="exact" w:before="0"/>
        <w:ind w:left="439" w:right="0" w:firstLine="0"/>
        <w:jc w:val="left"/>
        <w:rPr>
          <w:sz w:val="18"/>
        </w:rPr>
      </w:pPr>
      <w:r>
        <w:rPr>
          <w:sz w:val="18"/>
        </w:rPr>
        <w:t>Average</w:t>
      </w:r>
      <w:r>
        <w:rPr>
          <w:spacing w:val="-4"/>
          <w:sz w:val="18"/>
        </w:rPr>
        <w:t> </w:t>
      </w:r>
      <w:r>
        <w:rPr>
          <w:sz w:val="18"/>
        </w:rPr>
        <w:t>(Mean)</w:t>
      </w:r>
      <w:r>
        <w:rPr>
          <w:spacing w:val="-3"/>
          <w:sz w:val="18"/>
        </w:rPr>
        <w:t> </w:t>
      </w:r>
      <w:r>
        <w:rPr>
          <w:spacing w:val="-2"/>
          <w:sz w:val="18"/>
        </w:rPr>
        <w:t>number</w:t>
      </w:r>
      <w:r>
        <w:rPr>
          <w:sz w:val="18"/>
        </w:rPr>
        <w:tab/>
      </w:r>
      <w:r>
        <w:rPr>
          <w:spacing w:val="-2"/>
          <w:sz w:val="18"/>
        </w:rPr>
        <w:t>20.8x10</w:t>
      </w:r>
      <w:r>
        <w:rPr>
          <w:spacing w:val="-2"/>
          <w:sz w:val="18"/>
          <w:vertAlign w:val="superscript"/>
        </w:rPr>
        <w:t>9</w:t>
      </w:r>
      <w:r>
        <w:rPr>
          <w:spacing w:val="-2"/>
          <w:sz w:val="18"/>
          <w:vertAlign w:val="baseline"/>
        </w:rPr>
        <w:t>/L</w:t>
      </w:r>
    </w:p>
    <w:p>
      <w:pPr>
        <w:tabs>
          <w:tab w:pos="3495" w:val="left" w:leader="none"/>
        </w:tabs>
        <w:spacing w:line="207" w:lineRule="exact" w:before="0"/>
        <w:ind w:left="439" w:right="0" w:firstLine="0"/>
        <w:jc w:val="left"/>
        <w:rPr>
          <w:sz w:val="18"/>
        </w:rPr>
      </w:pPr>
      <w:r>
        <w:rPr>
          <w:spacing w:val="-2"/>
          <w:sz w:val="18"/>
        </w:rPr>
        <w:t>Median</w:t>
      </w:r>
      <w:r>
        <w:rPr>
          <w:sz w:val="18"/>
        </w:rPr>
        <w:tab/>
      </w:r>
      <w:r>
        <w:rPr>
          <w:spacing w:val="-2"/>
          <w:sz w:val="18"/>
        </w:rPr>
        <w:t>12x10</w:t>
      </w:r>
      <w:r>
        <w:rPr>
          <w:spacing w:val="-2"/>
          <w:sz w:val="18"/>
          <w:vertAlign w:val="superscript"/>
        </w:rPr>
        <w:t>9</w:t>
      </w:r>
      <w:r>
        <w:rPr>
          <w:spacing w:val="-2"/>
          <w:sz w:val="18"/>
          <w:vertAlign w:val="baseline"/>
        </w:rPr>
        <w:t>/L</w:t>
      </w:r>
    </w:p>
    <w:p>
      <w:pPr>
        <w:tabs>
          <w:tab w:pos="3428" w:val="left" w:leader="none"/>
        </w:tabs>
        <w:spacing w:line="207" w:lineRule="exact" w:before="2"/>
        <w:ind w:left="439" w:right="0" w:firstLine="0"/>
        <w:jc w:val="left"/>
        <w:rPr>
          <w:sz w:val="18"/>
        </w:rPr>
      </w:pPr>
      <w:r>
        <w:rPr>
          <w:sz w:val="18"/>
        </w:rPr>
        <w:t>Standard</w:t>
      </w:r>
      <w:r>
        <w:rPr>
          <w:spacing w:val="-3"/>
          <w:sz w:val="18"/>
        </w:rPr>
        <w:t> </w:t>
      </w:r>
      <w:r>
        <w:rPr>
          <w:spacing w:val="-2"/>
          <w:sz w:val="18"/>
        </w:rPr>
        <w:t>deviation</w:t>
      </w:r>
      <w:r>
        <w:rPr>
          <w:sz w:val="18"/>
        </w:rPr>
        <w:tab/>
      </w:r>
      <w:r>
        <w:rPr>
          <w:spacing w:val="-2"/>
          <w:sz w:val="18"/>
        </w:rPr>
        <w:t>22.3x10</w:t>
      </w:r>
      <w:r>
        <w:rPr>
          <w:spacing w:val="-2"/>
          <w:sz w:val="18"/>
          <w:vertAlign w:val="superscript"/>
        </w:rPr>
        <w:t>9</w:t>
      </w:r>
      <w:r>
        <w:rPr>
          <w:spacing w:val="-2"/>
          <w:sz w:val="18"/>
          <w:vertAlign w:val="baseline"/>
        </w:rPr>
        <w:t>/L</w:t>
      </w:r>
    </w:p>
    <w:p>
      <w:pPr>
        <w:tabs>
          <w:tab w:pos="3540" w:val="left" w:leader="none"/>
        </w:tabs>
        <w:spacing w:line="206" w:lineRule="exact" w:before="0"/>
        <w:ind w:left="439" w:right="0" w:firstLine="0"/>
        <w:jc w:val="left"/>
        <w:rPr>
          <w:sz w:val="18"/>
        </w:rPr>
      </w:pPr>
      <w:r>
        <w:rPr>
          <w:sz w:val="18"/>
        </w:rPr>
        <w:t>Minimum</w:t>
      </w:r>
      <w:r>
        <w:rPr>
          <w:spacing w:val="-4"/>
          <w:sz w:val="18"/>
        </w:rPr>
        <w:t> </w:t>
      </w:r>
      <w:r>
        <w:rPr>
          <w:spacing w:val="-2"/>
          <w:sz w:val="18"/>
        </w:rPr>
        <w:t>value</w:t>
      </w:r>
      <w:r>
        <w:rPr>
          <w:sz w:val="18"/>
        </w:rPr>
        <w:tab/>
      </w:r>
      <w:r>
        <w:rPr>
          <w:spacing w:val="-2"/>
          <w:sz w:val="18"/>
        </w:rPr>
        <w:t>1x10</w:t>
      </w:r>
      <w:r>
        <w:rPr>
          <w:spacing w:val="-2"/>
          <w:sz w:val="18"/>
          <w:vertAlign w:val="superscript"/>
        </w:rPr>
        <w:t>9</w:t>
      </w:r>
      <w:r>
        <w:rPr>
          <w:spacing w:val="-2"/>
          <w:sz w:val="18"/>
          <w:vertAlign w:val="baseline"/>
        </w:rPr>
        <w:t>/L</w:t>
      </w:r>
    </w:p>
    <w:p>
      <w:pPr>
        <w:tabs>
          <w:tab w:pos="3495" w:val="left" w:leader="none"/>
        </w:tabs>
        <w:spacing w:line="207" w:lineRule="exact" w:before="0"/>
        <w:ind w:left="439" w:right="0" w:firstLine="0"/>
        <w:jc w:val="left"/>
        <w:rPr>
          <w:sz w:val="18"/>
        </w:rPr>
      </w:pPr>
      <w:r>
        <w:rPr>
          <w:sz w:val="18"/>
        </w:rPr>
        <w:t>Maximum</w:t>
      </w:r>
      <w:r>
        <w:rPr>
          <w:spacing w:val="-5"/>
          <w:sz w:val="18"/>
        </w:rPr>
        <w:t> </w:t>
      </w:r>
      <w:r>
        <w:rPr>
          <w:spacing w:val="-2"/>
          <w:sz w:val="18"/>
        </w:rPr>
        <w:t>value</w:t>
      </w:r>
      <w:r>
        <w:rPr>
          <w:sz w:val="18"/>
        </w:rPr>
        <w:tab/>
      </w:r>
      <w:r>
        <w:rPr>
          <w:spacing w:val="-2"/>
          <w:sz w:val="18"/>
        </w:rPr>
        <w:t>86x10</w:t>
      </w:r>
      <w:r>
        <w:rPr>
          <w:spacing w:val="-2"/>
          <w:sz w:val="18"/>
          <w:vertAlign w:val="superscript"/>
        </w:rPr>
        <w:t>9</w:t>
      </w:r>
      <w:r>
        <w:rPr>
          <w:spacing w:val="-2"/>
          <w:sz w:val="18"/>
          <w:vertAlign w:val="baseline"/>
        </w:rPr>
        <w:t>/L</w:t>
      </w:r>
    </w:p>
    <w:p>
      <w:pPr>
        <w:tabs>
          <w:tab w:pos="3495" w:val="left" w:leader="none"/>
        </w:tabs>
        <w:spacing w:before="0"/>
        <w:ind w:left="439" w:right="0" w:firstLine="0"/>
        <w:jc w:val="left"/>
        <w:rPr>
          <w:sz w:val="18"/>
        </w:rPr>
      </w:pPr>
      <w:r>
        <w:rPr>
          <w:spacing w:val="-2"/>
          <w:sz w:val="18"/>
        </w:rPr>
        <w:t>Range</w:t>
      </w:r>
      <w:r>
        <w:rPr>
          <w:sz w:val="18"/>
        </w:rPr>
        <w:tab/>
      </w:r>
      <w:r>
        <w:rPr>
          <w:spacing w:val="-2"/>
          <w:sz w:val="18"/>
        </w:rPr>
        <w:t>85x10</w:t>
      </w:r>
      <w:r>
        <w:rPr>
          <w:spacing w:val="-2"/>
          <w:sz w:val="18"/>
          <w:vertAlign w:val="superscript"/>
        </w:rPr>
        <w:t>9</w:t>
      </w:r>
      <w:r>
        <w:rPr>
          <w:spacing w:val="-2"/>
          <w:sz w:val="18"/>
          <w:vertAlign w:val="baseline"/>
        </w:rPr>
        <w:t>/L</w:t>
      </w:r>
    </w:p>
    <w:p>
      <w:pPr>
        <w:pStyle w:val="BodyText"/>
        <w:spacing w:line="20" w:lineRule="exact"/>
        <w:ind w:left="317"/>
        <w:rPr>
          <w:sz w:val="2"/>
        </w:rPr>
      </w:pPr>
      <w:r>
        <w:rPr>
          <w:sz w:val="2"/>
        </w:rPr>
        <w:pict>
          <v:group style="width:223.25pt;height:.5pt;mso-position-horizontal-relative:char;mso-position-vertical-relative:line" id="docshapegroup484" coordorigin="0,0" coordsize="4465,10">
            <v:shape style="position:absolute;left:0;top:0;width:4465;height:10" id="docshape485" coordorigin="0,0" coordsize="4465,10" path="m4465,0l2568,0,2564,0,2554,0,0,0,0,10,2554,10,2564,10,2568,10,4465,10,4465,0xe" filled="true" fillcolor="#000000" stroked="false">
              <v:path arrowok="t"/>
              <v:fill type="solid"/>
            </v:shape>
          </v:group>
        </w:pict>
      </w:r>
      <w:r>
        <w:rPr>
          <w:sz w:val="2"/>
        </w:rPr>
      </w:r>
    </w:p>
    <w:p>
      <w:pPr>
        <w:spacing w:after="0" w:line="20" w:lineRule="exact"/>
        <w:rPr>
          <w:sz w:val="2"/>
        </w:rPr>
        <w:sectPr>
          <w:type w:val="continuous"/>
          <w:pgSz w:w="11910" w:h="16840"/>
          <w:pgMar w:header="835" w:footer="0" w:top="740" w:bottom="0" w:left="900" w:right="840"/>
          <w:cols w:num="2" w:equalWidth="0">
            <w:col w:w="4917" w:space="81"/>
            <w:col w:w="5172"/>
          </w:cols>
        </w:sectPr>
      </w:pPr>
    </w:p>
    <w:p>
      <w:pPr>
        <w:pStyle w:val="BodyText"/>
        <w:spacing w:before="3"/>
        <w:rPr>
          <w:sz w:val="19"/>
        </w:rPr>
      </w:pPr>
    </w:p>
    <w:p>
      <w:pPr>
        <w:spacing w:before="92" w:after="7"/>
        <w:ind w:left="900" w:right="1141" w:firstLine="0"/>
        <w:jc w:val="left"/>
        <w:rPr>
          <w:sz w:val="18"/>
        </w:rPr>
      </w:pPr>
      <w:r>
        <w:rPr>
          <w:b/>
          <w:sz w:val="18"/>
        </w:rPr>
        <w:t>Table 2. </w:t>
      </w:r>
      <w:r>
        <w:rPr>
          <w:sz w:val="18"/>
        </w:rPr>
        <w:t>OD value for indirect kappa/lambda specific MAIPA in ITP patients with already detected anti-platelet antibodies specific for CD 61 (GP IIIa)</w:t>
      </w:r>
    </w:p>
    <w:p>
      <w:pPr>
        <w:pStyle w:val="BodyText"/>
        <w:spacing w:line="20" w:lineRule="exact"/>
        <w:ind w:left="792"/>
        <w:rPr>
          <w:sz w:val="2"/>
        </w:rPr>
      </w:pPr>
      <w:r>
        <w:rPr>
          <w:sz w:val="2"/>
        </w:rPr>
        <w:pict>
          <v:group style="width:426.2pt;height:.5pt;mso-position-horizontal-relative:char;mso-position-vertical-relative:line" id="docshapegroup486" coordorigin="0,0" coordsize="8524,10">
            <v:shape style="position:absolute;left:0;top:0;width:8524;height:10" id="docshape487" coordorigin="0,0" coordsize="8524,10" path="m2808,0l0,0,0,10,2808,10,2808,0xm8524,0l5699,0,5689,0,2818,0,2809,0,2809,10,2818,10,5689,10,5699,10,8524,10,8524,0xe" filled="true" fillcolor="#000000" stroked="false">
              <v:path arrowok="t"/>
              <v:fill type="solid"/>
            </v:shape>
          </v:group>
        </w:pict>
      </w:r>
      <w:r>
        <w:rPr>
          <w:sz w:val="2"/>
        </w:rPr>
      </w:r>
    </w:p>
    <w:p>
      <w:pPr>
        <w:tabs>
          <w:tab w:pos="5625" w:val="left" w:leader="none"/>
        </w:tabs>
        <w:spacing w:line="196" w:lineRule="exact" w:before="0"/>
        <w:ind w:left="2817" w:right="0" w:firstLine="0"/>
        <w:jc w:val="center"/>
        <w:rPr>
          <w:b/>
          <w:sz w:val="18"/>
        </w:rPr>
      </w:pPr>
      <w:r>
        <w:rPr>
          <w:b/>
          <w:sz w:val="18"/>
        </w:rPr>
        <w:t>Anti-human</w:t>
      </w:r>
      <w:r>
        <w:rPr>
          <w:b/>
          <w:spacing w:val="-4"/>
          <w:sz w:val="18"/>
        </w:rPr>
        <w:t> </w:t>
      </w:r>
      <w:r>
        <w:rPr>
          <w:b/>
          <w:sz w:val="18"/>
        </w:rPr>
        <w:t>kappa</w:t>
      </w:r>
      <w:r>
        <w:rPr>
          <w:b/>
          <w:spacing w:val="-4"/>
          <w:sz w:val="18"/>
        </w:rPr>
        <w:t> </w:t>
      </w:r>
      <w:r>
        <w:rPr>
          <w:b/>
          <w:spacing w:val="-5"/>
          <w:sz w:val="18"/>
        </w:rPr>
        <w:t>Ab</w:t>
      </w:r>
      <w:r>
        <w:rPr>
          <w:b/>
          <w:sz w:val="18"/>
        </w:rPr>
        <w:tab/>
        <w:t>Anti-human</w:t>
      </w:r>
      <w:r>
        <w:rPr>
          <w:b/>
          <w:spacing w:val="-6"/>
          <w:sz w:val="18"/>
        </w:rPr>
        <w:t> </w:t>
      </w:r>
      <w:r>
        <w:rPr>
          <w:b/>
          <w:sz w:val="18"/>
        </w:rPr>
        <w:t>lambda</w:t>
      </w:r>
      <w:r>
        <w:rPr>
          <w:b/>
          <w:spacing w:val="-5"/>
          <w:sz w:val="18"/>
        </w:rPr>
        <w:t> Ab</w:t>
      </w:r>
    </w:p>
    <w:p>
      <w:pPr>
        <w:tabs>
          <w:tab w:pos="3733" w:val="left" w:leader="none"/>
          <w:tab w:pos="4751" w:val="left" w:leader="none"/>
          <w:tab w:pos="5651" w:val="left" w:leader="none"/>
          <w:tab w:pos="6568" w:val="left" w:leader="none"/>
          <w:tab w:pos="7610" w:val="left" w:leader="none"/>
        </w:tabs>
        <w:spacing w:line="207" w:lineRule="exact" w:before="0"/>
        <w:ind w:left="2816" w:right="0" w:firstLine="0"/>
        <w:jc w:val="center"/>
        <w:rPr>
          <w:b/>
          <w:sz w:val="18"/>
        </w:rPr>
      </w:pPr>
      <w:r>
        <w:rPr/>
        <w:pict>
          <v:shape style="position:absolute;margin-left:84.624001pt;margin-top:10.427756pt;width:426.2pt;height:.5pt;mso-position-horizontal-relative:page;mso-position-vertical-relative:paragraph;z-index:15737856" id="docshape488" coordorigin="1692,209" coordsize="8524,10" path="m4501,209l1692,209,1692,218,4501,218,4501,209xm8291,209l8281,209,7391,209,7381,209,6491,209,6481,209,6481,209,5502,209,5492,209,4511,209,4501,209,4501,218,4511,218,5492,218,5502,218,6481,218,6481,218,6491,218,7381,218,7391,218,8281,218,8291,218,8291,209xm9362,209l8292,209,8292,218,9362,218,9362,209xm10216,209l9372,209,9362,209,9362,218,9372,218,10216,218,10216,209xe" filled="true" fillcolor="#000000" stroked="false">
            <v:path arrowok="t"/>
            <v:fill type="solid"/>
            <w10:wrap type="none"/>
          </v:shape>
        </w:pict>
      </w:r>
      <w:r>
        <w:rPr>
          <w:b/>
          <w:sz w:val="18"/>
        </w:rPr>
        <w:t>CD</w:t>
      </w:r>
      <w:r>
        <w:rPr>
          <w:b/>
          <w:spacing w:val="-2"/>
          <w:sz w:val="18"/>
        </w:rPr>
        <w:t> </w:t>
      </w:r>
      <w:r>
        <w:rPr>
          <w:b/>
          <w:spacing w:val="-5"/>
          <w:sz w:val="18"/>
        </w:rPr>
        <w:t>41</w:t>
      </w:r>
      <w:r>
        <w:rPr>
          <w:b/>
          <w:sz w:val="18"/>
        </w:rPr>
        <w:tab/>
        <w:t>CD</w:t>
      </w:r>
      <w:r>
        <w:rPr>
          <w:b/>
          <w:spacing w:val="-1"/>
          <w:sz w:val="18"/>
        </w:rPr>
        <w:t> </w:t>
      </w:r>
      <w:r>
        <w:rPr>
          <w:b/>
          <w:sz w:val="18"/>
        </w:rPr>
        <w:t>42</w:t>
      </w:r>
      <w:r>
        <w:rPr>
          <w:b/>
          <w:spacing w:val="1"/>
          <w:sz w:val="18"/>
        </w:rPr>
        <w:t> </w:t>
      </w:r>
      <w:r>
        <w:rPr>
          <w:b/>
          <w:spacing w:val="-10"/>
          <w:sz w:val="18"/>
        </w:rPr>
        <w:t>b</w:t>
      </w:r>
      <w:r>
        <w:rPr>
          <w:b/>
          <w:sz w:val="18"/>
        </w:rPr>
        <w:tab/>
        <w:t>CD</w:t>
      </w:r>
      <w:r>
        <w:rPr>
          <w:b/>
          <w:spacing w:val="-2"/>
          <w:sz w:val="18"/>
        </w:rPr>
        <w:t> </w:t>
      </w:r>
      <w:r>
        <w:rPr>
          <w:b/>
          <w:spacing w:val="-5"/>
          <w:sz w:val="18"/>
        </w:rPr>
        <w:t>61</w:t>
      </w:r>
      <w:r>
        <w:rPr>
          <w:b/>
          <w:sz w:val="18"/>
        </w:rPr>
        <w:tab/>
        <w:t>CD</w:t>
      </w:r>
      <w:r>
        <w:rPr>
          <w:b/>
          <w:spacing w:val="-4"/>
          <w:sz w:val="18"/>
        </w:rPr>
        <w:t> </w:t>
      </w:r>
      <w:r>
        <w:rPr>
          <w:b/>
          <w:spacing w:val="-5"/>
          <w:sz w:val="18"/>
        </w:rPr>
        <w:t>41</w:t>
      </w:r>
      <w:r>
        <w:rPr>
          <w:b/>
          <w:sz w:val="18"/>
        </w:rPr>
        <w:tab/>
        <w:t>CD</w:t>
      </w:r>
      <w:r>
        <w:rPr>
          <w:b/>
          <w:spacing w:val="-1"/>
          <w:sz w:val="18"/>
        </w:rPr>
        <w:t> </w:t>
      </w:r>
      <w:r>
        <w:rPr>
          <w:b/>
          <w:sz w:val="18"/>
        </w:rPr>
        <w:t>42</w:t>
      </w:r>
      <w:r>
        <w:rPr>
          <w:b/>
          <w:spacing w:val="1"/>
          <w:sz w:val="18"/>
        </w:rPr>
        <w:t> </w:t>
      </w:r>
      <w:r>
        <w:rPr>
          <w:b/>
          <w:spacing w:val="-10"/>
          <w:sz w:val="18"/>
        </w:rPr>
        <w:t>b</w:t>
      </w:r>
      <w:r>
        <w:rPr>
          <w:b/>
          <w:sz w:val="18"/>
        </w:rPr>
        <w:tab/>
        <w:t>CD</w:t>
      </w:r>
      <w:r>
        <w:rPr>
          <w:b/>
          <w:spacing w:val="-4"/>
          <w:sz w:val="18"/>
        </w:rPr>
        <w:t> </w:t>
      </w:r>
      <w:r>
        <w:rPr>
          <w:b/>
          <w:spacing w:val="-5"/>
          <w:sz w:val="18"/>
        </w:rPr>
        <w:t>61</w:t>
      </w:r>
    </w:p>
    <w:p>
      <w:pPr>
        <w:tabs>
          <w:tab w:pos="3891" w:val="left" w:leader="none"/>
          <w:tab w:pos="4882" w:val="left" w:leader="none"/>
          <w:tab w:pos="5828" w:val="left" w:leader="none"/>
          <w:tab w:pos="6728" w:val="left" w:leader="none"/>
          <w:tab w:pos="7717" w:val="left" w:leader="none"/>
          <w:tab w:pos="9045" w:val="right" w:leader="none"/>
        </w:tabs>
        <w:spacing w:before="6"/>
        <w:ind w:left="900" w:right="0" w:firstLine="0"/>
        <w:jc w:val="left"/>
        <w:rPr>
          <w:sz w:val="18"/>
        </w:rPr>
      </w:pPr>
      <w:r>
        <w:rPr>
          <w:sz w:val="18"/>
        </w:rPr>
        <w:t>Negative</w:t>
      </w:r>
      <w:r>
        <w:rPr>
          <w:spacing w:val="-8"/>
          <w:sz w:val="18"/>
        </w:rPr>
        <w:t> </w:t>
      </w:r>
      <w:r>
        <w:rPr>
          <w:spacing w:val="-2"/>
          <w:sz w:val="18"/>
        </w:rPr>
        <w:t>controls</w:t>
      </w:r>
      <w:r>
        <w:rPr>
          <w:sz w:val="18"/>
        </w:rPr>
        <w:tab/>
      </w:r>
      <w:r>
        <w:rPr>
          <w:spacing w:val="-4"/>
          <w:w w:val="95"/>
          <w:sz w:val="18"/>
        </w:rPr>
        <w:t>0.094</w:t>
      </w:r>
      <w:r>
        <w:rPr>
          <w:sz w:val="18"/>
        </w:rPr>
        <w:tab/>
      </w:r>
      <w:r>
        <w:rPr>
          <w:spacing w:val="-4"/>
          <w:sz w:val="18"/>
        </w:rPr>
        <w:t>0.087</w:t>
      </w:r>
      <w:r>
        <w:rPr>
          <w:sz w:val="18"/>
        </w:rPr>
        <w:tab/>
      </w:r>
      <w:r>
        <w:rPr>
          <w:spacing w:val="-2"/>
          <w:sz w:val="18"/>
        </w:rPr>
        <w:t>0.076</w:t>
      </w:r>
      <w:r>
        <w:rPr>
          <w:sz w:val="18"/>
        </w:rPr>
        <w:tab/>
      </w:r>
      <w:r>
        <w:rPr>
          <w:spacing w:val="-2"/>
          <w:sz w:val="18"/>
        </w:rPr>
        <w:t>0.086</w:t>
      </w:r>
      <w:r>
        <w:rPr>
          <w:sz w:val="18"/>
        </w:rPr>
        <w:tab/>
      </w:r>
      <w:r>
        <w:rPr>
          <w:spacing w:val="-2"/>
          <w:sz w:val="18"/>
        </w:rPr>
        <w:t>0.075</w:t>
      </w:r>
      <w:r>
        <w:rPr>
          <w:sz w:val="18"/>
        </w:rPr>
        <w:tab/>
      </w:r>
      <w:r>
        <w:rPr>
          <w:spacing w:val="-4"/>
          <w:sz w:val="18"/>
        </w:rPr>
        <w:t>0.91</w:t>
      </w:r>
    </w:p>
    <w:p>
      <w:pPr>
        <w:tabs>
          <w:tab w:pos="3891" w:val="left" w:leader="none"/>
          <w:tab w:pos="4882" w:val="left" w:leader="none"/>
          <w:tab w:pos="5828" w:val="left" w:leader="none"/>
          <w:tab w:pos="6728" w:val="left" w:leader="none"/>
          <w:tab w:pos="7717" w:val="left" w:leader="none"/>
          <w:tab w:pos="9091" w:val="right" w:leader="none"/>
        </w:tabs>
        <w:spacing w:line="255" w:lineRule="exact" w:before="3"/>
        <w:ind w:left="900" w:right="0" w:firstLine="0"/>
        <w:jc w:val="left"/>
        <w:rPr>
          <w:sz w:val="18"/>
        </w:rPr>
      </w:pPr>
      <w:r>
        <w:rPr>
          <w:position w:val="10"/>
          <w:sz w:val="18"/>
        </w:rPr>
        <w:t>Patient</w:t>
      </w:r>
      <w:r>
        <w:rPr>
          <w:spacing w:val="-2"/>
          <w:position w:val="10"/>
          <w:sz w:val="18"/>
        </w:rPr>
        <w:t> </w:t>
      </w:r>
      <w:r>
        <w:rPr>
          <w:position w:val="10"/>
          <w:sz w:val="18"/>
        </w:rPr>
        <w:t>No</w:t>
      </w:r>
      <w:r>
        <w:rPr>
          <w:spacing w:val="-3"/>
          <w:position w:val="10"/>
          <w:sz w:val="18"/>
        </w:rPr>
        <w:t> </w:t>
      </w:r>
      <w:r>
        <w:rPr>
          <w:spacing w:val="-10"/>
          <w:position w:val="10"/>
          <w:sz w:val="18"/>
        </w:rPr>
        <w:t>3</w:t>
      </w:r>
      <w:r>
        <w:rPr>
          <w:position w:val="10"/>
          <w:sz w:val="18"/>
        </w:rPr>
        <w:tab/>
      </w:r>
      <w:r>
        <w:rPr>
          <w:spacing w:val="-4"/>
          <w:w w:val="95"/>
          <w:sz w:val="18"/>
        </w:rPr>
        <w:t>0.112</w:t>
      </w:r>
      <w:r>
        <w:rPr>
          <w:sz w:val="18"/>
        </w:rPr>
        <w:tab/>
      </w:r>
      <w:r>
        <w:rPr>
          <w:spacing w:val="-4"/>
          <w:sz w:val="18"/>
        </w:rPr>
        <w:t>0.123</w:t>
      </w:r>
      <w:r>
        <w:rPr>
          <w:sz w:val="18"/>
        </w:rPr>
        <w:tab/>
      </w:r>
      <w:r>
        <w:rPr>
          <w:spacing w:val="-2"/>
          <w:sz w:val="18"/>
        </w:rPr>
        <w:t>0.105</w:t>
      </w:r>
      <w:r>
        <w:rPr>
          <w:sz w:val="18"/>
        </w:rPr>
        <w:tab/>
      </w:r>
      <w:r>
        <w:rPr>
          <w:spacing w:val="-2"/>
          <w:sz w:val="18"/>
        </w:rPr>
        <w:t>0.114</w:t>
      </w:r>
      <w:r>
        <w:rPr>
          <w:sz w:val="18"/>
        </w:rPr>
        <w:tab/>
      </w:r>
      <w:r>
        <w:rPr>
          <w:spacing w:val="-2"/>
          <w:sz w:val="18"/>
        </w:rPr>
        <w:t>0.108</w:t>
      </w:r>
      <w:r>
        <w:rPr>
          <w:sz w:val="18"/>
        </w:rPr>
        <w:tab/>
      </w:r>
      <w:r>
        <w:rPr>
          <w:spacing w:val="-2"/>
          <w:sz w:val="18"/>
        </w:rPr>
        <w:t>0.098</w:t>
      </w:r>
    </w:p>
    <w:p>
      <w:pPr>
        <w:spacing w:line="155" w:lineRule="exact" w:before="0"/>
        <w:ind w:left="900" w:right="0" w:firstLine="0"/>
        <w:jc w:val="left"/>
        <w:rPr>
          <w:sz w:val="18"/>
        </w:rPr>
      </w:pPr>
      <w:r>
        <w:rPr>
          <w:sz w:val="18"/>
        </w:rPr>
        <w:t>(negative</w:t>
      </w:r>
      <w:r>
        <w:rPr>
          <w:spacing w:val="-8"/>
          <w:sz w:val="18"/>
        </w:rPr>
        <w:t> </w:t>
      </w:r>
      <w:r>
        <w:rPr>
          <w:spacing w:val="-2"/>
          <w:sz w:val="18"/>
        </w:rPr>
        <w:t>results)</w:t>
      </w:r>
    </w:p>
    <w:p>
      <w:pPr>
        <w:spacing w:after="0" w:line="155" w:lineRule="exact"/>
        <w:jc w:val="left"/>
        <w:rPr>
          <w:sz w:val="18"/>
        </w:rPr>
        <w:sectPr>
          <w:type w:val="continuous"/>
          <w:pgSz w:w="11910" w:h="16840"/>
          <w:pgMar w:header="835" w:footer="0" w:top="740" w:bottom="0" w:left="900" w:right="840"/>
        </w:sectPr>
      </w:pPr>
    </w:p>
    <w:p>
      <w:pPr>
        <w:spacing w:line="207" w:lineRule="exact" w:before="0"/>
        <w:ind w:left="900" w:right="0" w:firstLine="0"/>
        <w:jc w:val="left"/>
        <w:rPr>
          <w:sz w:val="18"/>
        </w:rPr>
      </w:pPr>
      <w:r>
        <w:rPr>
          <w:sz w:val="18"/>
        </w:rPr>
        <w:t>Patient</w:t>
      </w:r>
      <w:r>
        <w:rPr>
          <w:spacing w:val="-2"/>
          <w:sz w:val="18"/>
        </w:rPr>
        <w:t> </w:t>
      </w:r>
      <w:r>
        <w:rPr>
          <w:sz w:val="18"/>
        </w:rPr>
        <w:t>No</w:t>
      </w:r>
      <w:r>
        <w:rPr>
          <w:spacing w:val="-3"/>
          <w:sz w:val="18"/>
        </w:rPr>
        <w:t> </w:t>
      </w:r>
      <w:r>
        <w:rPr>
          <w:spacing w:val="-10"/>
          <w:sz w:val="18"/>
        </w:rPr>
        <w:t>5</w:t>
      </w:r>
    </w:p>
    <w:p>
      <w:pPr>
        <w:tabs>
          <w:tab w:pos="1891" w:val="left" w:leader="none"/>
          <w:tab w:pos="2837" w:val="left" w:leader="none"/>
          <w:tab w:pos="3737" w:val="left" w:leader="none"/>
          <w:tab w:pos="4726" w:val="left" w:leader="none"/>
          <w:tab w:pos="6100" w:val="right" w:leader="none"/>
        </w:tabs>
        <w:spacing w:line="106" w:lineRule="exact" w:before="110"/>
        <w:ind w:left="900" w:right="0" w:firstLine="0"/>
        <w:jc w:val="left"/>
        <w:rPr>
          <w:b/>
          <w:sz w:val="18"/>
        </w:rPr>
      </w:pPr>
      <w:r>
        <w:rPr/>
        <w:br w:type="column"/>
      </w:r>
      <w:r>
        <w:rPr>
          <w:spacing w:val="-2"/>
          <w:sz w:val="18"/>
        </w:rPr>
        <w:t>0.102</w:t>
      </w:r>
      <w:r>
        <w:rPr>
          <w:sz w:val="18"/>
        </w:rPr>
        <w:tab/>
      </w:r>
      <w:r>
        <w:rPr>
          <w:spacing w:val="-2"/>
          <w:sz w:val="18"/>
        </w:rPr>
        <w:t>0.113</w:t>
      </w:r>
      <w:r>
        <w:rPr>
          <w:sz w:val="18"/>
        </w:rPr>
        <w:tab/>
      </w:r>
      <w:r>
        <w:rPr>
          <w:b/>
          <w:spacing w:val="-4"/>
          <w:sz w:val="18"/>
        </w:rPr>
        <w:t>0.614</w:t>
      </w:r>
      <w:r>
        <w:rPr>
          <w:b/>
          <w:sz w:val="18"/>
        </w:rPr>
        <w:tab/>
      </w:r>
      <w:r>
        <w:rPr>
          <w:spacing w:val="-4"/>
          <w:w w:val="95"/>
          <w:sz w:val="18"/>
        </w:rPr>
        <w:t>0.108</w:t>
      </w:r>
      <w:r>
        <w:rPr>
          <w:sz w:val="18"/>
        </w:rPr>
        <w:tab/>
      </w:r>
      <w:r>
        <w:rPr>
          <w:spacing w:val="-4"/>
          <w:sz w:val="18"/>
        </w:rPr>
        <w:t>0.098</w:t>
      </w:r>
      <w:r>
        <w:rPr>
          <w:sz w:val="18"/>
        </w:rPr>
        <w:tab/>
      </w:r>
      <w:r>
        <w:rPr>
          <w:b/>
          <w:spacing w:val="-2"/>
          <w:sz w:val="18"/>
        </w:rPr>
        <w:t>0.496</w:t>
      </w:r>
    </w:p>
    <w:p>
      <w:pPr>
        <w:spacing w:after="0" w:line="106" w:lineRule="exact"/>
        <w:jc w:val="left"/>
        <w:rPr>
          <w:sz w:val="18"/>
        </w:rPr>
        <w:sectPr>
          <w:type w:val="continuous"/>
          <w:pgSz w:w="11910" w:h="16840"/>
          <w:pgMar w:header="835" w:footer="0" w:top="740" w:bottom="0" w:left="900" w:right="840"/>
          <w:cols w:num="2" w:equalWidth="0">
            <w:col w:w="1841" w:space="1150"/>
            <w:col w:w="7179"/>
          </w:cols>
        </w:sectPr>
      </w:pPr>
    </w:p>
    <w:p>
      <w:pPr>
        <w:tabs>
          <w:tab w:pos="9316" w:val="left" w:leader="none"/>
        </w:tabs>
        <w:spacing w:line="199" w:lineRule="exact" w:before="0"/>
        <w:ind w:left="778" w:right="0" w:firstLine="0"/>
        <w:jc w:val="left"/>
        <w:rPr>
          <w:sz w:val="18"/>
        </w:rPr>
      </w:pPr>
      <w:r>
        <w:rPr>
          <w:spacing w:val="74"/>
          <w:sz w:val="18"/>
          <w:u w:val="single"/>
        </w:rPr>
        <w:t> </w:t>
      </w:r>
      <w:r>
        <w:rPr>
          <w:sz w:val="18"/>
          <w:u w:val="single"/>
        </w:rPr>
        <w:t>(positive</w:t>
      </w:r>
      <w:r>
        <w:rPr>
          <w:spacing w:val="-1"/>
          <w:sz w:val="18"/>
          <w:u w:val="single"/>
        </w:rPr>
        <w:t> </w:t>
      </w:r>
      <w:r>
        <w:rPr>
          <w:spacing w:val="-2"/>
          <w:sz w:val="18"/>
          <w:u w:val="single"/>
        </w:rPr>
        <w:t>results)</w:t>
      </w:r>
      <w:r>
        <w:rPr>
          <w:sz w:val="18"/>
          <w:u w:val="single"/>
        </w:rPr>
        <w:tab/>
      </w:r>
    </w:p>
    <w:p>
      <w:pPr>
        <w:spacing w:after="0" w:line="199" w:lineRule="exact"/>
        <w:jc w:val="left"/>
        <w:rPr>
          <w:sz w:val="18"/>
        </w:rPr>
        <w:sectPr>
          <w:type w:val="continuous"/>
          <w:pgSz w:w="11910" w:h="16840"/>
          <w:pgMar w:header="835" w:footer="0" w:top="740" w:bottom="0" w:left="900" w:right="840"/>
        </w:sectPr>
      </w:pPr>
    </w:p>
    <w:p>
      <w:pPr>
        <w:pStyle w:val="Heading4"/>
        <w:spacing w:before="254"/>
      </w:pPr>
      <w:r>
        <w:rPr>
          <w:spacing w:val="-2"/>
        </w:rPr>
        <w:t>Discussion</w:t>
      </w:r>
    </w:p>
    <w:p>
      <w:pPr>
        <w:pStyle w:val="BodyText"/>
        <w:spacing w:before="237"/>
        <w:ind w:left="238" w:right="38"/>
        <w:jc w:val="both"/>
      </w:pPr>
      <w:r>
        <w:rPr/>
        <w:t>Several studies have investigated the clonality of the platelet autoantibodies in patients with ITP by a light- chain-specific MAIPA assay (8-10,13) and showed</w:t>
      </w:r>
      <w:r>
        <w:rPr>
          <w:spacing w:val="40"/>
        </w:rPr>
        <w:t> </w:t>
      </w:r>
      <w:r>
        <w:rPr/>
        <w:t>that clonal restriction of autoantibodies was present in a proportion of patients with ITP. The study of Stockenberg </w:t>
      </w:r>
      <w:r>
        <w:rPr>
          <w:i/>
        </w:rPr>
        <w:t>et al</w:t>
      </w:r>
      <w:r>
        <w:rPr/>
        <w:t>. [8] showed that 75% of analyzed patients by a light-chain-specific MAIPA assay had light chain restricted autoantibodies. We also analyzed the presence of anti-platelet autoantibodies using the modified indirect MAIPA method in 15 patients with ITP and we detected anti-platelet autoantibodies in only 5 of 15 patients (33%). In patients with positive indirect MAIPA we performed </w:t>
      </w:r>
      <w:r>
        <w:rPr>
          <w:rFonts w:ascii="Symbol" w:hAnsi="Symbol"/>
        </w:rPr>
        <w:t></w:t>
      </w:r>
      <w:r>
        <w:rPr/>
        <w:t>/</w:t>
      </w:r>
      <w:r>
        <w:rPr>
          <w:rFonts w:ascii="Symbol" w:hAnsi="Symbol"/>
        </w:rPr>
        <w:t></w:t>
      </w:r>
      <w:r>
        <w:rPr>
          <w:spacing w:val="80"/>
        </w:rPr>
        <w:t> </w:t>
      </w:r>
      <w:r>
        <w:rPr/>
        <w:t>specific MAIPA</w:t>
      </w:r>
      <w:r>
        <w:rPr>
          <w:spacing w:val="40"/>
        </w:rPr>
        <w:t> </w:t>
      </w:r>
      <w:r>
        <w:rPr/>
        <w:t>in order to analyze the light chain restriction of auto- antibodies. This analysis showed polyclonal anti-pla- telet antibodies in all 5 MAIPA positive patients.</w:t>
      </w:r>
    </w:p>
    <w:p>
      <w:pPr>
        <w:pStyle w:val="BodyText"/>
        <w:spacing w:before="250"/>
        <w:ind w:left="238" w:right="290"/>
        <w:jc w:val="both"/>
      </w:pPr>
      <w:r>
        <w:rPr/>
        <w:br w:type="column"/>
      </w:r>
      <w:r>
        <w:rPr/>
        <w:t>The study performed by Roark </w:t>
      </w:r>
      <w:r>
        <w:rPr>
          <w:i/>
        </w:rPr>
        <w:t>et al</w:t>
      </w:r>
      <w:r>
        <w:rPr/>
        <w:t>. [14] constructed phage</w:t>
      </w:r>
      <w:r>
        <w:rPr>
          <w:spacing w:val="-14"/>
        </w:rPr>
        <w:t> </w:t>
      </w:r>
      <w:r>
        <w:rPr/>
        <w:t>display</w:t>
      </w:r>
      <w:r>
        <w:rPr>
          <w:spacing w:val="-13"/>
        </w:rPr>
        <w:t> </w:t>
      </w:r>
      <w:r>
        <w:rPr/>
        <w:t>libraries</w:t>
      </w:r>
      <w:r>
        <w:rPr>
          <w:spacing w:val="-13"/>
        </w:rPr>
        <w:t> </w:t>
      </w:r>
      <w:r>
        <w:rPr/>
        <w:t>from</w:t>
      </w:r>
      <w:r>
        <w:rPr>
          <w:spacing w:val="-13"/>
        </w:rPr>
        <w:t> </w:t>
      </w:r>
      <w:r>
        <w:rPr/>
        <w:t>splenocytes</w:t>
      </w:r>
      <w:r>
        <w:rPr>
          <w:spacing w:val="-13"/>
        </w:rPr>
        <w:t> </w:t>
      </w:r>
      <w:r>
        <w:rPr/>
        <w:t>from</w:t>
      </w:r>
      <w:r>
        <w:rPr>
          <w:spacing w:val="-13"/>
        </w:rPr>
        <w:t> </w:t>
      </w:r>
      <w:r>
        <w:rPr/>
        <w:t>2</w:t>
      </w:r>
      <w:r>
        <w:rPr>
          <w:spacing w:val="-13"/>
        </w:rPr>
        <w:t> </w:t>
      </w:r>
      <w:r>
        <w:rPr/>
        <w:t>patients with chronic ITP, and competitive cell-surface selec- tion was used to isolate several dozen unique IgG platelet-specific autoantibodies. Platelet-reactive Fabs in both patients were associated almost exclusively with rearrangements of a single Ig heavy-chain va- riable-region gene (V(H)3-30), despite an apparent di- versity of antigen specificities. Comparative analysis</w:t>
      </w:r>
      <w:r>
        <w:rPr>
          <w:spacing w:val="40"/>
        </w:rPr>
        <w:t> </w:t>
      </w:r>
      <w:r>
        <w:rPr/>
        <w:t>of platelet-reactive Fab Ig gene rearrangements from </w:t>
      </w:r>
      <w:r>
        <w:rPr>
          <w:spacing w:val="-4"/>
        </w:rPr>
        <w:t>each patient suggested that they</w:t>
      </w:r>
      <w:r>
        <w:rPr>
          <w:spacing w:val="-6"/>
        </w:rPr>
        <w:t> </w:t>
      </w:r>
      <w:r>
        <w:rPr>
          <w:spacing w:val="-4"/>
        </w:rPr>
        <w:t>evolved from</w:t>
      </w:r>
      <w:r>
        <w:rPr>
          <w:spacing w:val="-5"/>
        </w:rPr>
        <w:t> </w:t>
      </w:r>
      <w:r>
        <w:rPr>
          <w:spacing w:val="-4"/>
        </w:rPr>
        <w:t>a restricted </w:t>
      </w:r>
      <w:r>
        <w:rPr/>
        <w:t>number</w:t>
      </w:r>
      <w:r>
        <w:rPr>
          <w:spacing w:val="-9"/>
        </w:rPr>
        <w:t> </w:t>
      </w:r>
      <w:r>
        <w:rPr/>
        <w:t>of</w:t>
      </w:r>
      <w:r>
        <w:rPr>
          <w:spacing w:val="-9"/>
        </w:rPr>
        <w:t> </w:t>
      </w:r>
      <w:r>
        <w:rPr/>
        <w:t>B-cell</w:t>
      </w:r>
      <w:r>
        <w:rPr>
          <w:spacing w:val="-9"/>
        </w:rPr>
        <w:t> </w:t>
      </w:r>
      <w:r>
        <w:rPr/>
        <w:t>clones</w:t>
      </w:r>
      <w:r>
        <w:rPr>
          <w:spacing w:val="-7"/>
        </w:rPr>
        <w:t> </w:t>
      </w:r>
      <w:r>
        <w:rPr/>
        <w:t>through</w:t>
      </w:r>
      <w:r>
        <w:rPr>
          <w:spacing w:val="-10"/>
        </w:rPr>
        <w:t> </w:t>
      </w:r>
      <w:r>
        <w:rPr/>
        <w:t>somatic</w:t>
      </w:r>
      <w:r>
        <w:rPr>
          <w:spacing w:val="-7"/>
        </w:rPr>
        <w:t> </w:t>
      </w:r>
      <w:r>
        <w:rPr/>
        <w:t>mutation</w:t>
      </w:r>
      <w:r>
        <w:rPr>
          <w:spacing w:val="-8"/>
        </w:rPr>
        <w:t> </w:t>
      </w:r>
      <w:r>
        <w:rPr/>
        <w:t>with high replacement-to-silent mutation ratios. Although V(H)3-30-encoded heavy</w:t>
      </w:r>
      <w:r>
        <w:rPr>
          <w:spacing w:val="-4"/>
        </w:rPr>
        <w:t> </w:t>
      </w:r>
      <w:r>
        <w:rPr/>
        <w:t>chains were found with light chains encoded by several different Ig genes, molecu- lar repairing experiments showed an exquisite restrict- tion on</w:t>
      </w:r>
      <w:r>
        <w:rPr>
          <w:spacing w:val="-6"/>
        </w:rPr>
        <w:t> </w:t>
      </w:r>
      <w:r>
        <w:rPr/>
        <w:t>the</w:t>
      </w:r>
      <w:r>
        <w:rPr>
          <w:spacing w:val="-6"/>
        </w:rPr>
        <w:t> </w:t>
      </w:r>
      <w:r>
        <w:rPr/>
        <w:t>specific</w:t>
      </w:r>
      <w:r>
        <w:rPr>
          <w:spacing w:val="-6"/>
        </w:rPr>
        <w:t> </w:t>
      </w:r>
      <w:r>
        <w:rPr/>
        <w:t>heavy-</w:t>
      </w:r>
      <w:r>
        <w:rPr>
          <w:spacing w:val="-6"/>
        </w:rPr>
        <w:t> </w:t>
      </w:r>
      <w:r>
        <w:rPr/>
        <w:t>and</w:t>
      </w:r>
      <w:r>
        <w:rPr>
          <w:spacing w:val="-6"/>
        </w:rPr>
        <w:t> </w:t>
      </w:r>
      <w:r>
        <w:rPr/>
        <w:t>light-chain</w:t>
      </w:r>
      <w:r>
        <w:rPr>
          <w:spacing w:val="-6"/>
        </w:rPr>
        <w:t> </w:t>
      </w:r>
      <w:r>
        <w:rPr/>
        <w:t>pairings</w:t>
      </w:r>
      <w:r>
        <w:rPr>
          <w:spacing w:val="-5"/>
        </w:rPr>
        <w:t> </w:t>
      </w:r>
      <w:r>
        <w:rPr/>
        <w:t>that permitted</w:t>
      </w:r>
      <w:r>
        <w:rPr>
          <w:spacing w:val="25"/>
        </w:rPr>
        <w:t> </w:t>
      </w:r>
      <w:r>
        <w:rPr/>
        <w:t>platelet</w:t>
      </w:r>
      <w:r>
        <w:rPr>
          <w:spacing w:val="26"/>
        </w:rPr>
        <w:t> </w:t>
      </w:r>
      <w:r>
        <w:rPr/>
        <w:t>reactivity.</w:t>
      </w:r>
      <w:r>
        <w:rPr>
          <w:spacing w:val="30"/>
        </w:rPr>
        <w:t> </w:t>
      </w:r>
      <w:r>
        <w:rPr/>
        <w:t>Together,</w:t>
      </w:r>
      <w:r>
        <w:rPr>
          <w:spacing w:val="27"/>
        </w:rPr>
        <w:t> </w:t>
      </w:r>
      <w:r>
        <w:rPr/>
        <w:t>these</w:t>
      </w:r>
      <w:r>
        <w:rPr>
          <w:spacing w:val="28"/>
        </w:rPr>
        <w:t> </w:t>
      </w:r>
      <w:r>
        <w:rPr/>
        <w:t>data</w:t>
      </w:r>
      <w:r>
        <w:rPr>
          <w:spacing w:val="28"/>
        </w:rPr>
        <w:t> </w:t>
      </w:r>
      <w:r>
        <w:rPr>
          <w:spacing w:val="-5"/>
        </w:rPr>
        <w:t>su-</w:t>
      </w:r>
    </w:p>
    <w:p>
      <w:pPr>
        <w:spacing w:after="0"/>
        <w:jc w:val="both"/>
        <w:sectPr>
          <w:type w:val="continuous"/>
          <w:pgSz w:w="11910" w:h="16840"/>
          <w:pgMar w:header="835" w:footer="0" w:top="740" w:bottom="0" w:left="900" w:right="840"/>
          <w:cols w:num="2" w:equalWidth="0">
            <w:col w:w="4918" w:space="79"/>
            <w:col w:w="5173"/>
          </w:cols>
        </w:sectPr>
      </w:pPr>
    </w:p>
    <w:p>
      <w:pPr>
        <w:pStyle w:val="BodyText"/>
        <w:spacing w:before="5"/>
        <w:rPr>
          <w:sz w:val="23"/>
        </w:rPr>
      </w:pPr>
    </w:p>
    <w:p>
      <w:pPr>
        <w:pStyle w:val="BodyText"/>
        <w:ind w:left="238" w:right="40"/>
        <w:jc w:val="both"/>
      </w:pPr>
      <w:r>
        <w:rPr/>
        <w:t>ggest that the development of platelet-reactive antibo- dies associated</w:t>
      </w:r>
      <w:r>
        <w:rPr>
          <w:spacing w:val="-5"/>
        </w:rPr>
        <w:t> </w:t>
      </w:r>
      <w:r>
        <w:rPr/>
        <w:t>with</w:t>
      </w:r>
      <w:r>
        <w:rPr>
          <w:spacing w:val="-5"/>
        </w:rPr>
        <w:t> </w:t>
      </w:r>
      <w:r>
        <w:rPr/>
        <w:t>ITP</w:t>
      </w:r>
      <w:r>
        <w:rPr>
          <w:spacing w:val="-5"/>
        </w:rPr>
        <w:t> </w:t>
      </w:r>
      <w:r>
        <w:rPr/>
        <w:t>is</w:t>
      </w:r>
      <w:r>
        <w:rPr>
          <w:spacing w:val="-7"/>
        </w:rPr>
        <w:t> </w:t>
      </w:r>
      <w:r>
        <w:rPr/>
        <w:t>driven</w:t>
      </w:r>
      <w:r>
        <w:rPr>
          <w:spacing w:val="-7"/>
        </w:rPr>
        <w:t> </w:t>
      </w:r>
      <w:r>
        <w:rPr/>
        <w:t>by</w:t>
      </w:r>
      <w:r>
        <w:rPr>
          <w:spacing w:val="-9"/>
        </w:rPr>
        <w:t> </w:t>
      </w:r>
      <w:r>
        <w:rPr/>
        <w:t>an</w:t>
      </w:r>
      <w:r>
        <w:rPr>
          <w:spacing w:val="-7"/>
        </w:rPr>
        <w:t> </w:t>
      </w:r>
      <w:r>
        <w:rPr/>
        <w:t>encounter</w:t>
      </w:r>
      <w:r>
        <w:rPr>
          <w:spacing w:val="-7"/>
        </w:rPr>
        <w:t> </w:t>
      </w:r>
      <w:r>
        <w:rPr/>
        <w:t>with diverse platelet antigens through the clonal expansion of</w:t>
      </w:r>
      <w:r>
        <w:rPr>
          <w:spacing w:val="-2"/>
        </w:rPr>
        <w:t> </w:t>
      </w:r>
      <w:r>
        <w:rPr/>
        <w:t>B</w:t>
      </w:r>
      <w:r>
        <w:rPr>
          <w:spacing w:val="-2"/>
        </w:rPr>
        <w:t> </w:t>
      </w:r>
      <w:r>
        <w:rPr/>
        <w:t>cells</w:t>
      </w:r>
      <w:r>
        <w:rPr>
          <w:spacing w:val="-2"/>
        </w:rPr>
        <w:t> </w:t>
      </w:r>
      <w:r>
        <w:rPr/>
        <w:t>using</w:t>
      </w:r>
      <w:r>
        <w:rPr>
          <w:spacing w:val="-2"/>
        </w:rPr>
        <w:t> </w:t>
      </w:r>
      <w:r>
        <w:rPr/>
        <w:t>genetically</w:t>
      </w:r>
      <w:r>
        <w:rPr>
          <w:spacing w:val="-4"/>
        </w:rPr>
        <w:t> </w:t>
      </w:r>
      <w:r>
        <w:rPr/>
        <w:t>restricted</w:t>
      </w:r>
      <w:r>
        <w:rPr>
          <w:spacing w:val="-2"/>
        </w:rPr>
        <w:t> </w:t>
      </w:r>
      <w:r>
        <w:rPr/>
        <w:t>and</w:t>
      </w:r>
      <w:r>
        <w:rPr>
          <w:spacing w:val="-2"/>
        </w:rPr>
        <w:t> </w:t>
      </w:r>
      <w:r>
        <w:rPr/>
        <w:t>highly</w:t>
      </w:r>
      <w:r>
        <w:rPr>
          <w:spacing w:val="-6"/>
        </w:rPr>
        <w:t> </w:t>
      </w:r>
      <w:r>
        <w:rPr/>
        <w:t>speci- </w:t>
      </w:r>
      <w:r>
        <w:rPr>
          <w:spacing w:val="-4"/>
        </w:rPr>
        <w:t>fic</w:t>
      </w:r>
      <w:r>
        <w:rPr/>
        <w:t> </w:t>
      </w:r>
      <w:r>
        <w:rPr>
          <w:spacing w:val="-4"/>
        </w:rPr>
        <w:t>combinations</w:t>
      </w:r>
      <w:r>
        <w:rPr>
          <w:spacing w:val="-11"/>
        </w:rPr>
        <w:t> </w:t>
      </w:r>
      <w:r>
        <w:rPr>
          <w:spacing w:val="-4"/>
        </w:rPr>
        <w:t>of</w:t>
      </w:r>
      <w:r>
        <w:rPr>
          <w:spacing w:val="-9"/>
        </w:rPr>
        <w:t> </w:t>
      </w:r>
      <w:r>
        <w:rPr>
          <w:spacing w:val="-4"/>
        </w:rPr>
        <w:t>heavy-</w:t>
      </w:r>
      <w:r>
        <w:rPr>
          <w:spacing w:val="-9"/>
        </w:rPr>
        <w:t> </w:t>
      </w:r>
      <w:r>
        <w:rPr>
          <w:spacing w:val="-4"/>
        </w:rPr>
        <w:t>and</w:t>
      </w:r>
      <w:r>
        <w:rPr>
          <w:spacing w:val="-11"/>
        </w:rPr>
        <w:t> </w:t>
      </w:r>
      <w:r>
        <w:rPr>
          <w:spacing w:val="-4"/>
        </w:rPr>
        <w:t>light-chain</w:t>
      </w:r>
      <w:r>
        <w:rPr>
          <w:spacing w:val="-8"/>
        </w:rPr>
        <w:t> </w:t>
      </w:r>
      <w:r>
        <w:rPr>
          <w:spacing w:val="-4"/>
        </w:rPr>
        <w:t>gene</w:t>
      </w:r>
      <w:r>
        <w:rPr>
          <w:spacing w:val="-11"/>
        </w:rPr>
        <w:t> </w:t>
      </w:r>
      <w:r>
        <w:rPr>
          <w:spacing w:val="-4"/>
        </w:rPr>
        <w:t>products.</w:t>
      </w:r>
    </w:p>
    <w:p>
      <w:pPr>
        <w:pStyle w:val="BodyText"/>
        <w:spacing w:before="6"/>
      </w:pPr>
    </w:p>
    <w:p>
      <w:pPr>
        <w:pStyle w:val="Heading4"/>
      </w:pPr>
      <w:r>
        <w:rPr>
          <w:spacing w:val="-2"/>
        </w:rPr>
        <w:t>Conclusion</w:t>
      </w:r>
    </w:p>
    <w:p>
      <w:pPr>
        <w:pStyle w:val="BodyText"/>
        <w:spacing w:before="6"/>
        <w:rPr>
          <w:b/>
          <w:sz w:val="20"/>
        </w:rPr>
      </w:pPr>
    </w:p>
    <w:p>
      <w:pPr>
        <w:pStyle w:val="BodyText"/>
        <w:ind w:left="238" w:right="38"/>
        <w:jc w:val="both"/>
      </w:pPr>
      <w:r>
        <w:rPr/>
        <w:t>In conclusion, our study indicates that clonal B-cell expansions are rare in patients with chronic ITP. Most probably, the clonal B-cell expansion responsible for the production of autoantibodies in ITP, if present, is below the detection limit.</w:t>
      </w:r>
    </w:p>
    <w:p>
      <w:pPr>
        <w:pStyle w:val="BodyText"/>
        <w:spacing w:before="10"/>
        <w:rPr>
          <w:sz w:val="20"/>
        </w:rPr>
      </w:pPr>
    </w:p>
    <w:p>
      <w:pPr>
        <w:pStyle w:val="BodyText"/>
        <w:ind w:left="238" w:right="42"/>
        <w:jc w:val="both"/>
      </w:pPr>
      <w:r>
        <w:rPr>
          <w:b/>
          <w:i/>
        </w:rPr>
        <w:t>Acknowledgments. </w:t>
      </w:r>
      <w:r>
        <w:rPr/>
        <w:t>This study</w:t>
      </w:r>
      <w:r>
        <w:rPr>
          <w:spacing w:val="-3"/>
        </w:rPr>
        <w:t> </w:t>
      </w:r>
      <w:r>
        <w:rPr/>
        <w:t>was funded by</w:t>
      </w:r>
      <w:r>
        <w:rPr>
          <w:spacing w:val="-3"/>
        </w:rPr>
        <w:t> </w:t>
      </w:r>
      <w:r>
        <w:rPr/>
        <w:t>the CRP MAC 98/01 projects of the International Center for Genetic Engineering and Biotechnology (principal investigator: Dimitar Efremov) and 40079198/0</w:t>
      </w:r>
      <w:r>
        <w:rPr>
          <w:spacing w:val="-1"/>
        </w:rPr>
        <w:t> </w:t>
      </w:r>
      <w:r>
        <w:rPr/>
        <w:t>by</w:t>
      </w:r>
      <w:r>
        <w:rPr>
          <w:spacing w:val="-3"/>
        </w:rPr>
        <w:t> </w:t>
      </w:r>
      <w:r>
        <w:rPr/>
        <w:t>the Ministry of Education and Science of Republic of Macedonia (principal investigator: Dimitar Efremov).</w:t>
      </w:r>
    </w:p>
    <w:p>
      <w:pPr>
        <w:pStyle w:val="BodyText"/>
        <w:spacing w:before="3"/>
      </w:pPr>
    </w:p>
    <w:p>
      <w:pPr>
        <w:spacing w:before="1"/>
        <w:ind w:left="238" w:right="0" w:firstLine="0"/>
        <w:jc w:val="left"/>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3"/>
      </w:pPr>
    </w:p>
    <w:p>
      <w:pPr>
        <w:pStyle w:val="Heading4"/>
      </w:pPr>
      <w:r>
        <w:rPr>
          <w:spacing w:val="-2"/>
        </w:rPr>
        <w:t>References</w:t>
      </w:r>
    </w:p>
    <w:p>
      <w:pPr>
        <w:pStyle w:val="BodyText"/>
        <w:spacing w:before="8"/>
        <w:rPr>
          <w:b/>
        </w:rPr>
      </w:pPr>
    </w:p>
    <w:p>
      <w:pPr>
        <w:pStyle w:val="ListParagraph"/>
        <w:numPr>
          <w:ilvl w:val="0"/>
          <w:numId w:val="3"/>
        </w:numPr>
        <w:tabs>
          <w:tab w:pos="626" w:val="left" w:leader="none"/>
          <w:tab w:pos="627" w:val="left" w:leader="none"/>
        </w:tabs>
        <w:spacing w:line="207" w:lineRule="exact" w:before="0" w:after="0"/>
        <w:ind w:left="626" w:right="0" w:hanging="389"/>
        <w:jc w:val="left"/>
        <w:rPr>
          <w:sz w:val="18"/>
        </w:rPr>
      </w:pPr>
      <w:r>
        <w:rPr>
          <w:spacing w:val="-2"/>
          <w:sz w:val="18"/>
        </w:rPr>
        <w:t>McMillan</w:t>
      </w:r>
      <w:r>
        <w:rPr>
          <w:spacing w:val="3"/>
          <w:sz w:val="18"/>
        </w:rPr>
        <w:t> </w:t>
      </w:r>
      <w:r>
        <w:rPr>
          <w:spacing w:val="-2"/>
          <w:sz w:val="18"/>
        </w:rPr>
        <w:t>R.</w:t>
      </w:r>
      <w:r>
        <w:rPr>
          <w:spacing w:val="4"/>
          <w:sz w:val="18"/>
        </w:rPr>
        <w:t> </w:t>
      </w:r>
      <w:r>
        <w:rPr>
          <w:spacing w:val="-2"/>
          <w:sz w:val="18"/>
        </w:rPr>
        <w:t>Chronic</w:t>
      </w:r>
      <w:r>
        <w:rPr>
          <w:spacing w:val="2"/>
          <w:sz w:val="18"/>
        </w:rPr>
        <w:t> </w:t>
      </w:r>
      <w:r>
        <w:rPr>
          <w:spacing w:val="-2"/>
          <w:sz w:val="18"/>
        </w:rPr>
        <w:t>idiopathic</w:t>
      </w:r>
      <w:r>
        <w:rPr>
          <w:spacing w:val="2"/>
          <w:sz w:val="18"/>
        </w:rPr>
        <w:t> </w:t>
      </w:r>
      <w:r>
        <w:rPr>
          <w:spacing w:val="-2"/>
          <w:sz w:val="18"/>
        </w:rPr>
        <w:t>thrombocytopenic</w:t>
      </w:r>
      <w:r>
        <w:rPr>
          <w:spacing w:val="2"/>
          <w:sz w:val="18"/>
        </w:rPr>
        <w:t> </w:t>
      </w:r>
      <w:r>
        <w:rPr>
          <w:spacing w:val="-2"/>
          <w:sz w:val="18"/>
        </w:rPr>
        <w:t>purpura.</w:t>
      </w:r>
    </w:p>
    <w:p>
      <w:pPr>
        <w:spacing w:line="207" w:lineRule="exact" w:before="0"/>
        <w:ind w:left="626" w:right="0" w:firstLine="0"/>
        <w:jc w:val="left"/>
        <w:rPr>
          <w:sz w:val="18"/>
        </w:rPr>
      </w:pPr>
      <w:r>
        <w:rPr>
          <w:i/>
          <w:sz w:val="18"/>
        </w:rPr>
        <w:t>N</w:t>
      </w:r>
      <w:r>
        <w:rPr>
          <w:i/>
          <w:spacing w:val="-4"/>
          <w:sz w:val="18"/>
        </w:rPr>
        <w:t> </w:t>
      </w:r>
      <w:r>
        <w:rPr>
          <w:i/>
          <w:sz w:val="18"/>
        </w:rPr>
        <w:t>Eng</w:t>
      </w:r>
      <w:r>
        <w:rPr>
          <w:i/>
          <w:spacing w:val="-2"/>
          <w:sz w:val="18"/>
        </w:rPr>
        <w:t> </w:t>
      </w:r>
      <w:r>
        <w:rPr>
          <w:i/>
          <w:sz w:val="18"/>
        </w:rPr>
        <w:t>J</w:t>
      </w:r>
      <w:r>
        <w:rPr>
          <w:i/>
          <w:spacing w:val="-2"/>
          <w:sz w:val="18"/>
        </w:rPr>
        <w:t> </w:t>
      </w:r>
      <w:r>
        <w:rPr>
          <w:i/>
          <w:sz w:val="18"/>
        </w:rPr>
        <w:t>Med</w:t>
      </w:r>
      <w:r>
        <w:rPr>
          <w:i/>
          <w:spacing w:val="1"/>
          <w:sz w:val="18"/>
        </w:rPr>
        <w:t> </w:t>
      </w:r>
      <w:r>
        <w:rPr>
          <w:sz w:val="18"/>
        </w:rPr>
        <w:t>1981;</w:t>
      </w:r>
      <w:r>
        <w:rPr>
          <w:spacing w:val="-1"/>
          <w:sz w:val="18"/>
        </w:rPr>
        <w:t> </w:t>
      </w:r>
      <w:r>
        <w:rPr>
          <w:sz w:val="18"/>
        </w:rPr>
        <w:t>304:</w:t>
      </w:r>
      <w:r>
        <w:rPr>
          <w:spacing w:val="-1"/>
          <w:sz w:val="18"/>
        </w:rPr>
        <w:t> </w:t>
      </w:r>
      <w:r>
        <w:rPr>
          <w:spacing w:val="-4"/>
          <w:sz w:val="18"/>
        </w:rPr>
        <w:t>1135.</w:t>
      </w:r>
    </w:p>
    <w:p>
      <w:pPr>
        <w:pStyle w:val="ListParagraph"/>
        <w:numPr>
          <w:ilvl w:val="0"/>
          <w:numId w:val="3"/>
        </w:numPr>
        <w:tabs>
          <w:tab w:pos="627" w:val="left" w:leader="none"/>
        </w:tabs>
        <w:spacing w:line="240" w:lineRule="auto" w:before="0" w:after="0"/>
        <w:ind w:left="626" w:right="40" w:hanging="389"/>
        <w:jc w:val="both"/>
        <w:rPr>
          <w:sz w:val="18"/>
        </w:rPr>
      </w:pPr>
      <w:r>
        <w:rPr>
          <w:sz w:val="18"/>
        </w:rPr>
        <w:t>Cines DB, Bussel JB, Liebman HA, Luning Park ET. The ITP syndrome: pathogenic and clinical diversity. </w:t>
      </w:r>
      <w:r>
        <w:rPr>
          <w:i/>
          <w:sz w:val="18"/>
        </w:rPr>
        <w:t>Blood</w:t>
      </w:r>
      <w:r>
        <w:rPr>
          <w:i/>
          <w:sz w:val="18"/>
        </w:rPr>
        <w:t> </w:t>
      </w:r>
      <w:r>
        <w:rPr>
          <w:sz w:val="18"/>
        </w:rPr>
        <w:t>2009; 113: 6511-6521.</w:t>
      </w:r>
    </w:p>
    <w:p>
      <w:pPr>
        <w:pStyle w:val="ListParagraph"/>
        <w:numPr>
          <w:ilvl w:val="0"/>
          <w:numId w:val="3"/>
        </w:numPr>
        <w:tabs>
          <w:tab w:pos="627" w:val="left" w:leader="none"/>
        </w:tabs>
        <w:spacing w:line="240" w:lineRule="auto" w:before="1" w:after="0"/>
        <w:ind w:left="626" w:right="38" w:hanging="389"/>
        <w:jc w:val="both"/>
        <w:rPr>
          <w:sz w:val="18"/>
        </w:rPr>
      </w:pPr>
      <w:r>
        <w:rPr>
          <w:sz w:val="18"/>
        </w:rPr>
        <w:t>Li</w:t>
      </w:r>
      <w:r>
        <w:rPr>
          <w:spacing w:val="-12"/>
          <w:sz w:val="18"/>
        </w:rPr>
        <w:t> </w:t>
      </w:r>
      <w:r>
        <w:rPr>
          <w:sz w:val="18"/>
        </w:rPr>
        <w:t>J,</w:t>
      </w:r>
      <w:r>
        <w:rPr>
          <w:spacing w:val="-11"/>
          <w:sz w:val="18"/>
        </w:rPr>
        <w:t> </w:t>
      </w:r>
      <w:r>
        <w:rPr>
          <w:sz w:val="18"/>
        </w:rPr>
        <w:t>Sullivan</w:t>
      </w:r>
      <w:r>
        <w:rPr>
          <w:spacing w:val="-11"/>
          <w:sz w:val="18"/>
        </w:rPr>
        <w:t> </w:t>
      </w:r>
      <w:r>
        <w:rPr>
          <w:sz w:val="18"/>
        </w:rPr>
        <w:t>JA,</w:t>
      </w:r>
      <w:r>
        <w:rPr>
          <w:spacing w:val="-11"/>
          <w:sz w:val="18"/>
        </w:rPr>
        <w:t> </w:t>
      </w:r>
      <w:r>
        <w:rPr>
          <w:sz w:val="18"/>
        </w:rPr>
        <w:t>Ni</w:t>
      </w:r>
      <w:r>
        <w:rPr>
          <w:spacing w:val="-12"/>
          <w:sz w:val="18"/>
        </w:rPr>
        <w:t> </w:t>
      </w:r>
      <w:r>
        <w:rPr>
          <w:sz w:val="18"/>
        </w:rPr>
        <w:t>H.</w:t>
      </w:r>
      <w:r>
        <w:rPr>
          <w:spacing w:val="-11"/>
          <w:sz w:val="18"/>
        </w:rPr>
        <w:t> </w:t>
      </w:r>
      <w:r>
        <w:rPr>
          <w:sz w:val="18"/>
        </w:rPr>
        <w:t>Pathophysiology</w:t>
      </w:r>
      <w:r>
        <w:rPr>
          <w:spacing w:val="-11"/>
          <w:sz w:val="18"/>
        </w:rPr>
        <w:t> </w:t>
      </w:r>
      <w:r>
        <w:rPr>
          <w:sz w:val="18"/>
        </w:rPr>
        <w:t>of</w:t>
      </w:r>
      <w:r>
        <w:rPr>
          <w:spacing w:val="-11"/>
          <w:sz w:val="18"/>
        </w:rPr>
        <w:t> </w:t>
      </w:r>
      <w:r>
        <w:rPr>
          <w:sz w:val="18"/>
        </w:rPr>
        <w:t>immune</w:t>
      </w:r>
      <w:r>
        <w:rPr>
          <w:spacing w:val="-12"/>
          <w:sz w:val="18"/>
        </w:rPr>
        <w:t> </w:t>
      </w:r>
      <w:r>
        <w:rPr>
          <w:sz w:val="18"/>
        </w:rPr>
        <w:t>throm- bocytopenia. </w:t>
      </w:r>
      <w:r>
        <w:rPr>
          <w:i/>
          <w:sz w:val="18"/>
        </w:rPr>
        <w:t>Curr Opin Hematol.</w:t>
      </w:r>
      <w:r>
        <w:rPr>
          <w:i/>
          <w:spacing w:val="40"/>
          <w:sz w:val="18"/>
        </w:rPr>
        <w:t> </w:t>
      </w:r>
      <w:r>
        <w:rPr>
          <w:sz w:val="18"/>
        </w:rPr>
        <w:t>2018; 25(5): 373-381.</w:t>
      </w:r>
    </w:p>
    <w:p>
      <w:pPr>
        <w:pStyle w:val="ListParagraph"/>
        <w:numPr>
          <w:ilvl w:val="0"/>
          <w:numId w:val="3"/>
        </w:numPr>
        <w:tabs>
          <w:tab w:pos="627" w:val="left" w:leader="none"/>
        </w:tabs>
        <w:spacing w:line="240" w:lineRule="auto" w:before="0" w:after="0"/>
        <w:ind w:left="626" w:right="43" w:hanging="389"/>
        <w:jc w:val="both"/>
        <w:rPr>
          <w:sz w:val="18"/>
        </w:rPr>
      </w:pPr>
      <w:r>
        <w:rPr>
          <w:sz w:val="18"/>
        </w:rPr>
        <w:t>McMillan R. The pathogenesis of chronic immune throm- bocytopenic purpura. </w:t>
      </w:r>
      <w:r>
        <w:rPr>
          <w:i/>
          <w:sz w:val="18"/>
        </w:rPr>
        <w:t>Semin Hematol </w:t>
      </w:r>
      <w:r>
        <w:rPr>
          <w:sz w:val="18"/>
        </w:rPr>
        <w:t>2007; 44: S3-S11.</w:t>
      </w:r>
    </w:p>
    <w:p>
      <w:pPr>
        <w:spacing w:line="240" w:lineRule="auto" w:before="7"/>
        <w:rPr>
          <w:sz w:val="23"/>
        </w:rPr>
      </w:pPr>
      <w:r>
        <w:rPr/>
        <w:br w:type="column"/>
      </w:r>
      <w:r>
        <w:rPr>
          <w:sz w:val="23"/>
        </w:rPr>
      </w:r>
    </w:p>
    <w:p>
      <w:pPr>
        <w:pStyle w:val="ListParagraph"/>
        <w:numPr>
          <w:ilvl w:val="0"/>
          <w:numId w:val="3"/>
        </w:numPr>
        <w:tabs>
          <w:tab w:pos="627" w:val="left" w:leader="none"/>
        </w:tabs>
        <w:spacing w:line="240" w:lineRule="auto" w:before="0" w:after="0"/>
        <w:ind w:left="626" w:right="290" w:hanging="389"/>
        <w:jc w:val="both"/>
        <w:rPr>
          <w:sz w:val="18"/>
        </w:rPr>
      </w:pPr>
      <w:r>
        <w:rPr>
          <w:sz w:val="18"/>
        </w:rPr>
        <w:t>Cooper</w:t>
      </w:r>
      <w:r>
        <w:rPr>
          <w:spacing w:val="-1"/>
          <w:sz w:val="18"/>
        </w:rPr>
        <w:t> </w:t>
      </w:r>
      <w:r>
        <w:rPr>
          <w:sz w:val="18"/>
        </w:rPr>
        <w:t>N,</w:t>
      </w:r>
      <w:r>
        <w:rPr>
          <w:spacing w:val="-1"/>
          <w:sz w:val="18"/>
        </w:rPr>
        <w:t> </w:t>
      </w:r>
      <w:r>
        <w:rPr>
          <w:sz w:val="18"/>
        </w:rPr>
        <w:t>Stasi</w:t>
      </w:r>
      <w:r>
        <w:rPr>
          <w:spacing w:val="-1"/>
          <w:sz w:val="18"/>
        </w:rPr>
        <w:t> </w:t>
      </w:r>
      <w:r>
        <w:rPr>
          <w:sz w:val="18"/>
        </w:rPr>
        <w:t>R,</w:t>
      </w:r>
      <w:r>
        <w:rPr>
          <w:spacing w:val="-1"/>
          <w:sz w:val="18"/>
        </w:rPr>
        <w:t> </w:t>
      </w:r>
      <w:r>
        <w:rPr>
          <w:sz w:val="18"/>
        </w:rPr>
        <w:t>Cunningham-Rundles</w:t>
      </w:r>
      <w:r>
        <w:rPr>
          <w:spacing w:val="-1"/>
          <w:sz w:val="18"/>
        </w:rPr>
        <w:t> </w:t>
      </w:r>
      <w:r>
        <w:rPr>
          <w:sz w:val="18"/>
        </w:rPr>
        <w:t>S, </w:t>
      </w:r>
      <w:r>
        <w:rPr>
          <w:i/>
          <w:sz w:val="18"/>
        </w:rPr>
        <w:t>et</w:t>
      </w:r>
      <w:r>
        <w:rPr>
          <w:i/>
          <w:spacing w:val="-1"/>
          <w:sz w:val="18"/>
        </w:rPr>
        <w:t> </w:t>
      </w:r>
      <w:r>
        <w:rPr>
          <w:i/>
          <w:sz w:val="18"/>
        </w:rPr>
        <w:t>al</w:t>
      </w:r>
      <w:r>
        <w:rPr>
          <w:sz w:val="18"/>
        </w:rPr>
        <w:t>.</w:t>
      </w:r>
      <w:r>
        <w:rPr>
          <w:spacing w:val="-3"/>
          <w:sz w:val="18"/>
        </w:rPr>
        <w:t> </w:t>
      </w:r>
      <w:r>
        <w:rPr>
          <w:sz w:val="18"/>
        </w:rPr>
        <w:t>Platelet- associated antibodies, cellular immunity and FCGR3a genotype influence the response to rituximab in immune thrombocytopenia. </w:t>
      </w:r>
      <w:r>
        <w:rPr>
          <w:i/>
          <w:sz w:val="18"/>
        </w:rPr>
        <w:t>Br J Haematol </w:t>
      </w:r>
      <w:r>
        <w:rPr>
          <w:sz w:val="18"/>
        </w:rPr>
        <w:t>2012: 158: 539-547.</w:t>
      </w:r>
    </w:p>
    <w:p>
      <w:pPr>
        <w:pStyle w:val="ListParagraph"/>
        <w:numPr>
          <w:ilvl w:val="0"/>
          <w:numId w:val="3"/>
        </w:numPr>
        <w:tabs>
          <w:tab w:pos="627" w:val="left" w:leader="none"/>
        </w:tabs>
        <w:spacing w:line="240" w:lineRule="auto" w:before="0" w:after="0"/>
        <w:ind w:left="626" w:right="291" w:hanging="389"/>
        <w:jc w:val="both"/>
        <w:rPr>
          <w:sz w:val="18"/>
        </w:rPr>
      </w:pPr>
      <w:r>
        <w:rPr>
          <w:sz w:val="18"/>
        </w:rPr>
        <w:t>Leeuwen EF, van der Vent JT, Engelfriet CP, von dem </w:t>
      </w:r>
      <w:r>
        <w:rPr>
          <w:spacing w:val="-2"/>
          <w:sz w:val="18"/>
        </w:rPr>
        <w:t>Borne</w:t>
      </w:r>
      <w:r>
        <w:rPr>
          <w:spacing w:val="-3"/>
          <w:sz w:val="18"/>
        </w:rPr>
        <w:t> </w:t>
      </w:r>
      <w:r>
        <w:rPr>
          <w:spacing w:val="-2"/>
          <w:sz w:val="18"/>
        </w:rPr>
        <w:t>AEGKr.</w:t>
      </w:r>
      <w:r>
        <w:rPr>
          <w:spacing w:val="-3"/>
          <w:sz w:val="18"/>
        </w:rPr>
        <w:t> </w:t>
      </w:r>
      <w:r>
        <w:rPr>
          <w:spacing w:val="-2"/>
          <w:sz w:val="18"/>
        </w:rPr>
        <w:t>Specificity</w:t>
      </w:r>
      <w:r>
        <w:rPr>
          <w:spacing w:val="-6"/>
          <w:sz w:val="18"/>
        </w:rPr>
        <w:t> </w:t>
      </w:r>
      <w:r>
        <w:rPr>
          <w:spacing w:val="-2"/>
          <w:sz w:val="18"/>
        </w:rPr>
        <w:t>of</w:t>
      </w:r>
      <w:r>
        <w:rPr>
          <w:spacing w:val="-3"/>
          <w:sz w:val="18"/>
        </w:rPr>
        <w:t> </w:t>
      </w:r>
      <w:r>
        <w:rPr>
          <w:spacing w:val="-2"/>
          <w:sz w:val="18"/>
        </w:rPr>
        <w:t>autoantibodies</w:t>
      </w:r>
      <w:r>
        <w:rPr>
          <w:spacing w:val="-4"/>
          <w:sz w:val="18"/>
        </w:rPr>
        <w:t> </w:t>
      </w:r>
      <w:r>
        <w:rPr>
          <w:spacing w:val="-2"/>
          <w:sz w:val="18"/>
        </w:rPr>
        <w:t>in</w:t>
      </w:r>
      <w:r>
        <w:rPr>
          <w:spacing w:val="-3"/>
          <w:sz w:val="18"/>
        </w:rPr>
        <w:t> </w:t>
      </w:r>
      <w:r>
        <w:rPr>
          <w:spacing w:val="-2"/>
          <w:sz w:val="18"/>
        </w:rPr>
        <w:t>autoimmune </w:t>
      </w:r>
      <w:r>
        <w:rPr>
          <w:sz w:val="18"/>
        </w:rPr>
        <w:t>thrombocytopenia. </w:t>
      </w:r>
      <w:r>
        <w:rPr>
          <w:i/>
          <w:sz w:val="18"/>
        </w:rPr>
        <w:t>Blood </w:t>
      </w:r>
      <w:r>
        <w:rPr>
          <w:sz w:val="18"/>
        </w:rPr>
        <w:t>1982; 59: 23-26.</w:t>
      </w:r>
    </w:p>
    <w:p>
      <w:pPr>
        <w:pStyle w:val="ListParagraph"/>
        <w:numPr>
          <w:ilvl w:val="0"/>
          <w:numId w:val="3"/>
        </w:numPr>
        <w:tabs>
          <w:tab w:pos="627" w:val="left" w:leader="none"/>
        </w:tabs>
        <w:spacing w:line="240" w:lineRule="auto" w:before="0" w:after="0"/>
        <w:ind w:left="626" w:right="290" w:hanging="389"/>
        <w:jc w:val="both"/>
        <w:rPr>
          <w:sz w:val="18"/>
        </w:rPr>
      </w:pPr>
      <w:r>
        <w:rPr>
          <w:sz w:val="18"/>
        </w:rPr>
        <w:t>Stockelberg D, Hou M, Jacobsson S, </w:t>
      </w:r>
      <w:r>
        <w:rPr>
          <w:i/>
          <w:sz w:val="18"/>
        </w:rPr>
        <w:t>et al</w:t>
      </w:r>
      <w:r>
        <w:rPr>
          <w:sz w:val="18"/>
        </w:rPr>
        <w:t>. Light chain- </w:t>
      </w:r>
      <w:r>
        <w:rPr>
          <w:spacing w:val="-2"/>
          <w:sz w:val="18"/>
        </w:rPr>
        <w:t>restricted</w:t>
      </w:r>
      <w:r>
        <w:rPr>
          <w:spacing w:val="-2"/>
          <w:sz w:val="18"/>
        </w:rPr>
        <w:t> autoantibodies</w:t>
      </w:r>
      <w:r>
        <w:rPr>
          <w:spacing w:val="-2"/>
          <w:sz w:val="18"/>
        </w:rPr>
        <w:t> in</w:t>
      </w:r>
      <w:r>
        <w:rPr>
          <w:spacing w:val="-2"/>
          <w:sz w:val="18"/>
        </w:rPr>
        <w:t> chronic</w:t>
      </w:r>
      <w:r>
        <w:rPr>
          <w:spacing w:val="-2"/>
          <w:sz w:val="18"/>
        </w:rPr>
        <w:t> idiopathic</w:t>
      </w:r>
      <w:r>
        <w:rPr>
          <w:spacing w:val="-2"/>
          <w:sz w:val="18"/>
        </w:rPr>
        <w:t> thrombocyto- </w:t>
      </w:r>
      <w:r>
        <w:rPr>
          <w:sz w:val="18"/>
        </w:rPr>
        <w:t>penic purpura, but no evidence for circulating clone B- lymphocytes. </w:t>
      </w:r>
      <w:r>
        <w:rPr>
          <w:i/>
          <w:sz w:val="18"/>
        </w:rPr>
        <w:t>Ann Hematol </w:t>
      </w:r>
      <w:r>
        <w:rPr>
          <w:sz w:val="18"/>
        </w:rPr>
        <w:t>1996; 72: 29-34.</w:t>
      </w:r>
    </w:p>
    <w:p>
      <w:pPr>
        <w:pStyle w:val="ListParagraph"/>
        <w:numPr>
          <w:ilvl w:val="0"/>
          <w:numId w:val="3"/>
        </w:numPr>
        <w:tabs>
          <w:tab w:pos="627" w:val="left" w:leader="none"/>
        </w:tabs>
        <w:spacing w:line="240" w:lineRule="auto" w:before="1" w:after="0"/>
        <w:ind w:left="626" w:right="293" w:hanging="389"/>
        <w:jc w:val="both"/>
        <w:rPr>
          <w:sz w:val="18"/>
        </w:rPr>
      </w:pPr>
      <w:r>
        <w:rPr>
          <w:sz w:val="18"/>
        </w:rPr>
        <w:t>Stockelberg D, Hou M, Jacobsson S, </w:t>
      </w:r>
      <w:r>
        <w:rPr>
          <w:i/>
          <w:sz w:val="18"/>
        </w:rPr>
        <w:t>et al</w:t>
      </w:r>
      <w:r>
        <w:rPr>
          <w:sz w:val="18"/>
        </w:rPr>
        <w:t>. Evidence for a light chain restriction of glycoprotein Ib/IX and IIb/IIIa reactive</w:t>
      </w:r>
      <w:r>
        <w:rPr>
          <w:spacing w:val="-5"/>
          <w:sz w:val="18"/>
        </w:rPr>
        <w:t> </w:t>
      </w:r>
      <w:r>
        <w:rPr>
          <w:sz w:val="18"/>
        </w:rPr>
        <w:t>antibodies</w:t>
      </w:r>
      <w:r>
        <w:rPr>
          <w:spacing w:val="-8"/>
          <w:sz w:val="18"/>
        </w:rPr>
        <w:t> </w:t>
      </w:r>
      <w:r>
        <w:rPr>
          <w:sz w:val="18"/>
        </w:rPr>
        <w:t>in</w:t>
      </w:r>
      <w:r>
        <w:rPr>
          <w:spacing w:val="-6"/>
          <w:sz w:val="18"/>
        </w:rPr>
        <w:t> </w:t>
      </w:r>
      <w:r>
        <w:rPr>
          <w:sz w:val="18"/>
        </w:rPr>
        <w:t>chronic</w:t>
      </w:r>
      <w:r>
        <w:rPr>
          <w:spacing w:val="-7"/>
          <w:sz w:val="18"/>
        </w:rPr>
        <w:t> </w:t>
      </w:r>
      <w:r>
        <w:rPr>
          <w:sz w:val="18"/>
        </w:rPr>
        <w:t>idiopathic</w:t>
      </w:r>
      <w:r>
        <w:rPr>
          <w:spacing w:val="-7"/>
          <w:sz w:val="18"/>
        </w:rPr>
        <w:t> </w:t>
      </w:r>
      <w:r>
        <w:rPr>
          <w:sz w:val="18"/>
        </w:rPr>
        <w:t>thrombocytopenic purpura (ITP). </w:t>
      </w:r>
      <w:r>
        <w:rPr>
          <w:i/>
          <w:sz w:val="18"/>
        </w:rPr>
        <w:t>Br J Haematol </w:t>
      </w:r>
      <w:r>
        <w:rPr>
          <w:sz w:val="18"/>
        </w:rPr>
        <w:t>1995; 90: 175-179.</w:t>
      </w:r>
    </w:p>
    <w:p>
      <w:pPr>
        <w:pStyle w:val="ListParagraph"/>
        <w:numPr>
          <w:ilvl w:val="0"/>
          <w:numId w:val="3"/>
        </w:numPr>
        <w:tabs>
          <w:tab w:pos="627" w:val="left" w:leader="none"/>
        </w:tabs>
        <w:spacing w:line="240" w:lineRule="auto" w:before="0" w:after="0"/>
        <w:ind w:left="626" w:right="291" w:hanging="389"/>
        <w:jc w:val="both"/>
        <w:rPr>
          <w:sz w:val="18"/>
        </w:rPr>
      </w:pPr>
      <w:r>
        <w:rPr>
          <w:spacing w:val="-2"/>
          <w:sz w:val="18"/>
        </w:rPr>
        <w:t>McMillan</w:t>
      </w:r>
      <w:r>
        <w:rPr>
          <w:spacing w:val="-9"/>
          <w:sz w:val="18"/>
        </w:rPr>
        <w:t> </w:t>
      </w:r>
      <w:r>
        <w:rPr>
          <w:spacing w:val="-2"/>
          <w:sz w:val="18"/>
        </w:rPr>
        <w:t>R,</w:t>
      </w:r>
      <w:r>
        <w:rPr>
          <w:spacing w:val="-8"/>
          <w:sz w:val="18"/>
        </w:rPr>
        <w:t> </w:t>
      </w:r>
      <w:r>
        <w:rPr>
          <w:spacing w:val="-2"/>
          <w:sz w:val="18"/>
        </w:rPr>
        <w:t>Lopez-Dee</w:t>
      </w:r>
      <w:r>
        <w:rPr>
          <w:spacing w:val="-9"/>
          <w:sz w:val="18"/>
        </w:rPr>
        <w:t> </w:t>
      </w:r>
      <w:r>
        <w:rPr>
          <w:spacing w:val="-2"/>
          <w:sz w:val="18"/>
        </w:rPr>
        <w:t>J,</w:t>
      </w:r>
      <w:r>
        <w:rPr>
          <w:spacing w:val="-9"/>
          <w:sz w:val="18"/>
        </w:rPr>
        <w:t> </w:t>
      </w:r>
      <w:r>
        <w:rPr>
          <w:spacing w:val="-2"/>
          <w:sz w:val="18"/>
        </w:rPr>
        <w:t>Bowditch</w:t>
      </w:r>
      <w:r>
        <w:rPr>
          <w:spacing w:val="-9"/>
          <w:sz w:val="18"/>
        </w:rPr>
        <w:t> </w:t>
      </w:r>
      <w:r>
        <w:rPr>
          <w:spacing w:val="-2"/>
          <w:sz w:val="18"/>
        </w:rPr>
        <w:t>R.</w:t>
      </w:r>
      <w:r>
        <w:rPr>
          <w:spacing w:val="-9"/>
          <w:sz w:val="18"/>
        </w:rPr>
        <w:t> </w:t>
      </w:r>
      <w:r>
        <w:rPr>
          <w:spacing w:val="-2"/>
          <w:sz w:val="18"/>
        </w:rPr>
        <w:t>Clonal</w:t>
      </w:r>
      <w:r>
        <w:rPr>
          <w:spacing w:val="-9"/>
          <w:sz w:val="18"/>
        </w:rPr>
        <w:t> </w:t>
      </w:r>
      <w:r>
        <w:rPr>
          <w:spacing w:val="-2"/>
          <w:sz w:val="18"/>
        </w:rPr>
        <w:t>restriction</w:t>
      </w:r>
      <w:r>
        <w:rPr>
          <w:spacing w:val="-9"/>
          <w:sz w:val="18"/>
        </w:rPr>
        <w:t> </w:t>
      </w:r>
      <w:r>
        <w:rPr>
          <w:spacing w:val="-2"/>
          <w:sz w:val="18"/>
        </w:rPr>
        <w:t>of platelet-associated</w:t>
      </w:r>
      <w:r>
        <w:rPr>
          <w:spacing w:val="-2"/>
          <w:sz w:val="18"/>
        </w:rPr>
        <w:t> anti-GPIIb/IIIa</w:t>
      </w:r>
      <w:r>
        <w:rPr>
          <w:spacing w:val="-3"/>
          <w:sz w:val="18"/>
        </w:rPr>
        <w:t> </w:t>
      </w:r>
      <w:r>
        <w:rPr>
          <w:spacing w:val="-2"/>
          <w:sz w:val="18"/>
        </w:rPr>
        <w:t>autoantibodies</w:t>
      </w:r>
      <w:r>
        <w:rPr>
          <w:spacing w:val="-2"/>
          <w:sz w:val="18"/>
        </w:rPr>
        <w:t> in</w:t>
      </w:r>
      <w:r>
        <w:rPr>
          <w:spacing w:val="-3"/>
          <w:sz w:val="18"/>
        </w:rPr>
        <w:t> </w:t>
      </w:r>
      <w:r>
        <w:rPr>
          <w:spacing w:val="-2"/>
          <w:sz w:val="18"/>
        </w:rPr>
        <w:t>patients </w:t>
      </w:r>
      <w:r>
        <w:rPr>
          <w:sz w:val="18"/>
        </w:rPr>
        <w:t>with chronic ITP. </w:t>
      </w:r>
      <w:r>
        <w:rPr>
          <w:i/>
          <w:sz w:val="18"/>
        </w:rPr>
        <w:t>Thrombos Haemost </w:t>
      </w:r>
      <w:r>
        <w:rPr>
          <w:sz w:val="18"/>
        </w:rPr>
        <w:t>2001; 85: 821-823.</w:t>
      </w:r>
    </w:p>
    <w:p>
      <w:pPr>
        <w:pStyle w:val="ListParagraph"/>
        <w:numPr>
          <w:ilvl w:val="0"/>
          <w:numId w:val="3"/>
        </w:numPr>
        <w:tabs>
          <w:tab w:pos="627" w:val="left" w:leader="none"/>
        </w:tabs>
        <w:spacing w:line="240" w:lineRule="auto" w:before="0" w:after="0"/>
        <w:ind w:left="626" w:right="294" w:hanging="389"/>
        <w:jc w:val="both"/>
        <w:rPr>
          <w:sz w:val="18"/>
        </w:rPr>
      </w:pPr>
      <w:r>
        <w:rPr>
          <w:sz w:val="18"/>
        </w:rPr>
        <w:t>Van der Harst D, Jong D, Limpens J, </w:t>
      </w:r>
      <w:r>
        <w:rPr>
          <w:i/>
          <w:sz w:val="18"/>
        </w:rPr>
        <w:t>et al</w:t>
      </w:r>
      <w:r>
        <w:rPr>
          <w:sz w:val="18"/>
        </w:rPr>
        <w:t>. Clonal B-Cell Populations</w:t>
      </w:r>
      <w:r>
        <w:rPr>
          <w:spacing w:val="-8"/>
          <w:sz w:val="18"/>
        </w:rPr>
        <w:t> </w:t>
      </w:r>
      <w:r>
        <w:rPr>
          <w:sz w:val="18"/>
        </w:rPr>
        <w:t>in</w:t>
      </w:r>
      <w:r>
        <w:rPr>
          <w:spacing w:val="-8"/>
          <w:sz w:val="18"/>
        </w:rPr>
        <w:t> </w:t>
      </w:r>
      <w:r>
        <w:rPr>
          <w:sz w:val="18"/>
        </w:rPr>
        <w:t>Patients</w:t>
      </w:r>
      <w:r>
        <w:rPr>
          <w:spacing w:val="-7"/>
          <w:sz w:val="18"/>
        </w:rPr>
        <w:t> </w:t>
      </w:r>
      <w:r>
        <w:rPr>
          <w:sz w:val="18"/>
        </w:rPr>
        <w:t>With</w:t>
      </w:r>
      <w:r>
        <w:rPr>
          <w:spacing w:val="-6"/>
          <w:sz w:val="18"/>
        </w:rPr>
        <w:t> </w:t>
      </w:r>
      <w:r>
        <w:rPr>
          <w:sz w:val="18"/>
        </w:rPr>
        <w:t>Idiopathic</w:t>
      </w:r>
      <w:r>
        <w:rPr>
          <w:spacing w:val="-7"/>
          <w:sz w:val="18"/>
        </w:rPr>
        <w:t> </w:t>
      </w:r>
      <w:r>
        <w:rPr>
          <w:sz w:val="18"/>
        </w:rPr>
        <w:t>Thrombocytopenic Purpura. </w:t>
      </w:r>
      <w:r>
        <w:rPr>
          <w:i/>
          <w:sz w:val="18"/>
        </w:rPr>
        <w:t>Blood </w:t>
      </w:r>
      <w:r>
        <w:rPr>
          <w:sz w:val="18"/>
        </w:rPr>
        <w:t>1990; 76: 2321-2326.</w:t>
      </w:r>
    </w:p>
    <w:p>
      <w:pPr>
        <w:pStyle w:val="ListParagraph"/>
        <w:numPr>
          <w:ilvl w:val="0"/>
          <w:numId w:val="3"/>
        </w:numPr>
        <w:tabs>
          <w:tab w:pos="627" w:val="left" w:leader="none"/>
        </w:tabs>
        <w:spacing w:line="240" w:lineRule="auto" w:before="0" w:after="0"/>
        <w:ind w:left="626" w:right="290" w:hanging="389"/>
        <w:jc w:val="both"/>
        <w:rPr>
          <w:sz w:val="18"/>
        </w:rPr>
      </w:pPr>
      <w:r>
        <w:rPr>
          <w:sz w:val="18"/>
        </w:rPr>
        <w:t>Chomzynski P, Sacchi N. Single-step method of RNA isolation by acid guanidinium thiocyanate-phenol-chloro- phorm extraction. </w:t>
      </w:r>
      <w:r>
        <w:rPr>
          <w:i/>
          <w:sz w:val="18"/>
        </w:rPr>
        <w:t>Anal Biochem. </w:t>
      </w:r>
      <w:r>
        <w:rPr>
          <w:sz w:val="18"/>
        </w:rPr>
        <w:t>1987; 162: 156-115.</w:t>
      </w:r>
    </w:p>
    <w:p>
      <w:pPr>
        <w:pStyle w:val="ListParagraph"/>
        <w:numPr>
          <w:ilvl w:val="0"/>
          <w:numId w:val="3"/>
        </w:numPr>
        <w:tabs>
          <w:tab w:pos="627" w:val="left" w:leader="none"/>
        </w:tabs>
        <w:spacing w:line="240" w:lineRule="auto" w:before="0" w:after="0"/>
        <w:ind w:left="626" w:right="290" w:hanging="389"/>
        <w:jc w:val="both"/>
        <w:rPr>
          <w:sz w:val="18"/>
        </w:rPr>
      </w:pPr>
      <w:r>
        <w:rPr>
          <w:sz w:val="18"/>
        </w:rPr>
        <w:t>Efremov DG, Ivanovski M, Batista FD, </w:t>
      </w:r>
      <w:r>
        <w:rPr>
          <w:i/>
          <w:sz w:val="18"/>
        </w:rPr>
        <w:t>et al</w:t>
      </w:r>
      <w:r>
        <w:rPr>
          <w:sz w:val="18"/>
        </w:rPr>
        <w:t>. IgM-pro- ducing Chronic Lymphocytic Leukemia cells undergo immunoglobuline isotype-switching without acquiring somatic mutations</w:t>
      </w:r>
      <w:r>
        <w:rPr>
          <w:i/>
          <w:sz w:val="18"/>
        </w:rPr>
        <w:t>. J Clin Invest </w:t>
      </w:r>
      <w:r>
        <w:rPr>
          <w:sz w:val="18"/>
        </w:rPr>
        <w:t>1996; 98: 290-298.</w:t>
      </w:r>
    </w:p>
    <w:p>
      <w:pPr>
        <w:pStyle w:val="ListParagraph"/>
        <w:numPr>
          <w:ilvl w:val="0"/>
          <w:numId w:val="3"/>
        </w:numPr>
        <w:tabs>
          <w:tab w:pos="627" w:val="left" w:leader="none"/>
        </w:tabs>
        <w:spacing w:line="240" w:lineRule="auto" w:before="0" w:after="0"/>
        <w:ind w:left="626" w:right="293" w:hanging="389"/>
        <w:jc w:val="both"/>
        <w:rPr>
          <w:sz w:val="18"/>
        </w:rPr>
      </w:pPr>
      <w:r>
        <w:rPr>
          <w:sz w:val="18"/>
        </w:rPr>
        <w:t>Christie DJ, Sauro SC, Fairbanks KD, Kay NE. Detection of clonal platelet antibodies in immunologically-mediated thrombocytopenias:</w:t>
      </w:r>
      <w:r>
        <w:rPr>
          <w:spacing w:val="-6"/>
          <w:sz w:val="18"/>
        </w:rPr>
        <w:t> </w:t>
      </w:r>
      <w:r>
        <w:rPr>
          <w:sz w:val="18"/>
        </w:rPr>
        <w:t>association</w:t>
      </w:r>
      <w:r>
        <w:rPr>
          <w:spacing w:val="-8"/>
          <w:sz w:val="18"/>
        </w:rPr>
        <w:t> </w:t>
      </w:r>
      <w:r>
        <w:rPr>
          <w:sz w:val="18"/>
        </w:rPr>
        <w:t>with</w:t>
      </w:r>
      <w:r>
        <w:rPr>
          <w:spacing w:val="-6"/>
          <w:sz w:val="18"/>
        </w:rPr>
        <w:t> </w:t>
      </w:r>
      <w:r>
        <w:rPr>
          <w:sz w:val="18"/>
        </w:rPr>
        <w:t>circulating</w:t>
      </w:r>
      <w:r>
        <w:rPr>
          <w:spacing w:val="-8"/>
          <w:sz w:val="18"/>
        </w:rPr>
        <w:t> </w:t>
      </w:r>
      <w:r>
        <w:rPr>
          <w:sz w:val="18"/>
        </w:rPr>
        <w:t>clonal/oli- goclonal B cells. </w:t>
      </w:r>
      <w:r>
        <w:rPr>
          <w:i/>
          <w:sz w:val="18"/>
        </w:rPr>
        <w:t>Br J Haematol </w:t>
      </w:r>
      <w:r>
        <w:rPr>
          <w:sz w:val="18"/>
        </w:rPr>
        <w:t>1993; 85: 277-284.</w:t>
      </w:r>
    </w:p>
    <w:p>
      <w:pPr>
        <w:pStyle w:val="ListParagraph"/>
        <w:numPr>
          <w:ilvl w:val="0"/>
          <w:numId w:val="3"/>
        </w:numPr>
        <w:tabs>
          <w:tab w:pos="627" w:val="left" w:leader="none"/>
        </w:tabs>
        <w:spacing w:line="240" w:lineRule="auto" w:before="0" w:after="0"/>
        <w:ind w:left="626" w:right="292" w:hanging="389"/>
        <w:jc w:val="both"/>
        <w:rPr>
          <w:sz w:val="18"/>
        </w:rPr>
      </w:pPr>
      <w:r>
        <w:rPr>
          <w:sz w:val="18"/>
        </w:rPr>
        <w:t>Roark JH, Bussel JB, Cines DB, Siegel DL. Genetic analysis of autoantibodies in idiopathic purpura reveals evidence</w:t>
      </w:r>
      <w:r>
        <w:rPr>
          <w:spacing w:val="-1"/>
          <w:sz w:val="18"/>
        </w:rPr>
        <w:t> </w:t>
      </w:r>
      <w:r>
        <w:rPr>
          <w:sz w:val="18"/>
        </w:rPr>
        <w:t>of</w:t>
      </w:r>
      <w:r>
        <w:rPr>
          <w:spacing w:val="-3"/>
          <w:sz w:val="18"/>
        </w:rPr>
        <w:t> </w:t>
      </w:r>
      <w:r>
        <w:rPr>
          <w:sz w:val="18"/>
        </w:rPr>
        <w:t>clonal expansion and</w:t>
      </w:r>
      <w:r>
        <w:rPr>
          <w:spacing w:val="-2"/>
          <w:sz w:val="18"/>
        </w:rPr>
        <w:t> </w:t>
      </w:r>
      <w:r>
        <w:rPr>
          <w:sz w:val="18"/>
        </w:rPr>
        <w:t>somatic mutation. </w:t>
      </w:r>
      <w:r>
        <w:rPr>
          <w:i/>
          <w:sz w:val="18"/>
        </w:rPr>
        <w:t>Blood</w:t>
      </w:r>
      <w:r>
        <w:rPr>
          <w:i/>
          <w:sz w:val="18"/>
        </w:rPr>
        <w:t> </w:t>
      </w:r>
      <w:r>
        <w:rPr>
          <w:sz w:val="18"/>
        </w:rPr>
        <w:t>2002; 100: 1388-1408.</w:t>
      </w:r>
    </w:p>
    <w:p>
      <w:pPr>
        <w:spacing w:after="0" w:line="240" w:lineRule="auto"/>
        <w:jc w:val="both"/>
        <w:rPr>
          <w:sz w:val="18"/>
        </w:rPr>
        <w:sectPr>
          <w:pgSz w:w="11910" w:h="16840"/>
          <w:pgMar w:header="835" w:footer="0" w:top="1300" w:bottom="280" w:left="900" w:right="840"/>
          <w:cols w:num="2" w:equalWidth="0">
            <w:col w:w="4919" w:space="79"/>
            <w:col w:w="5172"/>
          </w:cols>
        </w:sectPr>
      </w:pPr>
    </w:p>
    <w:p>
      <w:pPr>
        <w:tabs>
          <w:tab w:pos="9203" w:val="left" w:leader="none"/>
        </w:tabs>
        <w:spacing w:before="75"/>
        <w:ind w:left="238" w:right="0" w:firstLine="0"/>
        <w:jc w:val="left"/>
        <w:rPr>
          <w:rFonts w:ascii="Courier New"/>
          <w:sz w:val="48"/>
        </w:rPr>
      </w:pPr>
      <w:r>
        <w:rPr/>
        <w:pict>
          <v:shape style="position:absolute;margin-left:528.580017pt;margin-top:4.037615pt;width:10.1pt;height:11.05pt;mso-position-horizontal-relative:page;mso-position-vertical-relative:paragraph;z-index:-17644544" type="#_x0000_t202" id="docshape489" filled="false" stroked="false">
            <v:textbox inset="0,0,0,0">
              <w:txbxContent>
                <w:p>
                  <w:pPr>
                    <w:spacing w:line="221" w:lineRule="exact" w:before="0"/>
                    <w:ind w:left="0" w:right="0" w:firstLine="0"/>
                    <w:jc w:val="left"/>
                    <w:rPr>
                      <w:sz w:val="20"/>
                    </w:rPr>
                  </w:pPr>
                  <w:r>
                    <w:rPr>
                      <w:spacing w:val="-5"/>
                      <w:sz w:val="20"/>
                    </w:rPr>
                    <w:t>10</w:t>
                  </w:r>
                </w:p>
              </w:txbxContent>
            </v:textbox>
            <w10:wrap type="none"/>
          </v:shape>
        </w:pict>
      </w: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10-</w:t>
      </w:r>
      <w:r>
        <w:rPr>
          <w:spacing w:val="-5"/>
          <w:w w:val="105"/>
          <w:sz w:val="24"/>
        </w:rPr>
        <w:t>13</w:t>
      </w:r>
      <w:r>
        <w:rPr>
          <w:sz w:val="24"/>
        </w:rPr>
        <w:tab/>
      </w:r>
      <w:r>
        <w:rPr>
          <w:rFonts w:ascii="Courier New"/>
          <w:color w:val="999999"/>
          <w:spacing w:val="-5"/>
          <w:w w:val="105"/>
          <w:position w:val="-23"/>
          <w:sz w:val="48"/>
        </w:rPr>
        <w:t>MMP</w:t>
      </w:r>
    </w:p>
    <w:p>
      <w:pPr>
        <w:spacing w:before="210"/>
        <w:ind w:left="238" w:right="0" w:firstLine="0"/>
        <w:jc w:val="left"/>
        <w:rPr>
          <w:i/>
          <w:sz w:val="24"/>
        </w:rPr>
      </w:pPr>
      <w:r>
        <w:rPr>
          <w:i/>
          <w:sz w:val="24"/>
        </w:rPr>
        <w:t>Original</w:t>
      </w:r>
      <w:r>
        <w:rPr>
          <w:i/>
          <w:spacing w:val="-9"/>
          <w:sz w:val="24"/>
        </w:rPr>
        <w:t> </w:t>
      </w:r>
      <w:r>
        <w:rPr>
          <w:i/>
          <w:spacing w:val="-2"/>
          <w:sz w:val="24"/>
        </w:rPr>
        <w:t>article</w:t>
      </w:r>
    </w:p>
    <w:p>
      <w:pPr>
        <w:pStyle w:val="BodyText"/>
        <w:spacing w:before="8"/>
        <w:rPr>
          <w:i/>
        </w:rPr>
      </w:pPr>
    </w:p>
    <w:p>
      <w:pPr>
        <w:spacing w:before="0"/>
        <w:ind w:left="238" w:right="294" w:firstLine="0"/>
        <w:jc w:val="left"/>
        <w:rPr>
          <w:b/>
          <w:sz w:val="22"/>
        </w:rPr>
      </w:pPr>
      <w:r>
        <w:rPr>
          <w:b/>
          <w:sz w:val="22"/>
        </w:rPr>
        <w:t>EVALUATION</w:t>
      </w:r>
      <w:r>
        <w:rPr>
          <w:b/>
          <w:spacing w:val="-4"/>
          <w:sz w:val="22"/>
        </w:rPr>
        <w:t> </w:t>
      </w:r>
      <w:r>
        <w:rPr>
          <w:b/>
          <w:sz w:val="22"/>
        </w:rPr>
        <w:t>OF</w:t>
      </w:r>
      <w:r>
        <w:rPr>
          <w:b/>
          <w:spacing w:val="-2"/>
          <w:sz w:val="22"/>
        </w:rPr>
        <w:t> </w:t>
      </w:r>
      <w:r>
        <w:rPr>
          <w:b/>
          <w:sz w:val="22"/>
        </w:rPr>
        <w:t>THE</w:t>
      </w:r>
      <w:r>
        <w:rPr>
          <w:b/>
          <w:spacing w:val="-4"/>
          <w:sz w:val="22"/>
        </w:rPr>
        <w:t> </w:t>
      </w:r>
      <w:r>
        <w:rPr>
          <w:b/>
          <w:sz w:val="22"/>
        </w:rPr>
        <w:t>ANALYTICAL</w:t>
      </w:r>
      <w:r>
        <w:rPr>
          <w:b/>
          <w:spacing w:val="-4"/>
          <w:sz w:val="22"/>
        </w:rPr>
        <w:t> </w:t>
      </w:r>
      <w:r>
        <w:rPr>
          <w:b/>
          <w:sz w:val="22"/>
        </w:rPr>
        <w:t>VALUE</w:t>
      </w:r>
      <w:r>
        <w:rPr>
          <w:b/>
          <w:spacing w:val="-2"/>
          <w:sz w:val="22"/>
        </w:rPr>
        <w:t> </w:t>
      </w:r>
      <w:r>
        <w:rPr>
          <w:b/>
          <w:sz w:val="22"/>
        </w:rPr>
        <w:t>OF</w:t>
      </w:r>
      <w:r>
        <w:rPr>
          <w:b/>
          <w:spacing w:val="-2"/>
          <w:sz w:val="22"/>
        </w:rPr>
        <w:t> </w:t>
      </w:r>
      <w:r>
        <w:rPr>
          <w:b/>
          <w:sz w:val="22"/>
        </w:rPr>
        <w:t>SARS-CoV-2</w:t>
      </w:r>
      <w:r>
        <w:rPr>
          <w:b/>
          <w:spacing w:val="-3"/>
          <w:sz w:val="22"/>
        </w:rPr>
        <w:t> </w:t>
      </w:r>
      <w:r>
        <w:rPr>
          <w:b/>
          <w:sz w:val="22"/>
        </w:rPr>
        <w:t>ANTIGEN</w:t>
      </w:r>
      <w:r>
        <w:rPr>
          <w:b/>
          <w:spacing w:val="-4"/>
          <w:sz w:val="22"/>
        </w:rPr>
        <w:t> </w:t>
      </w:r>
      <w:r>
        <w:rPr>
          <w:b/>
          <w:sz w:val="22"/>
        </w:rPr>
        <w:t>TEST</w:t>
      </w:r>
      <w:r>
        <w:rPr>
          <w:b/>
          <w:spacing w:val="-2"/>
          <w:sz w:val="22"/>
        </w:rPr>
        <w:t> </w:t>
      </w:r>
      <w:r>
        <w:rPr>
          <w:b/>
          <w:sz w:val="22"/>
        </w:rPr>
        <w:t>IN</w:t>
      </w:r>
      <w:r>
        <w:rPr>
          <w:b/>
          <w:spacing w:val="-3"/>
          <w:sz w:val="22"/>
        </w:rPr>
        <w:t> </w:t>
      </w:r>
      <w:r>
        <w:rPr>
          <w:b/>
          <w:sz w:val="22"/>
        </w:rPr>
        <w:t>RELATION TO Ct-VALUES OF RT-qPCR IN PATIENTS SUSPECTED OF COVID-19</w:t>
      </w:r>
    </w:p>
    <w:p>
      <w:pPr>
        <w:pStyle w:val="BodyText"/>
        <w:spacing w:before="10"/>
        <w:rPr>
          <w:b/>
          <w:sz w:val="20"/>
        </w:rPr>
      </w:pPr>
    </w:p>
    <w:p>
      <w:pPr>
        <w:spacing w:before="1"/>
        <w:ind w:left="238" w:right="294" w:firstLine="0"/>
        <w:jc w:val="left"/>
        <w:rPr>
          <w:b/>
          <w:sz w:val="22"/>
        </w:rPr>
      </w:pPr>
      <w:r>
        <w:rPr>
          <w:b/>
          <w:sz w:val="22"/>
        </w:rPr>
        <w:t>ЕВАЛУАЦИЈА НА АНАЛИТИЧКАТА ВРЕДНОСТ НА SARS-CoV-2 АНТИГЕНСКИ ТЕСТ ВО ОДНОС НА Ct ВРЕДНОСТИТЕ НА РТ-ПВР КАЈ ПАЦИЕНТИ СУСПЕКТНИ ЗА КОВИД-19</w:t>
      </w:r>
    </w:p>
    <w:p>
      <w:pPr>
        <w:pStyle w:val="BodyText"/>
        <w:spacing w:before="6"/>
        <w:rPr>
          <w:b/>
          <w:sz w:val="20"/>
        </w:rPr>
      </w:pPr>
    </w:p>
    <w:p>
      <w:pPr>
        <w:pStyle w:val="Heading1"/>
      </w:pPr>
      <w:r>
        <w:rPr/>
        <w:t>Gorica</w:t>
      </w:r>
      <w:r>
        <w:rPr>
          <w:spacing w:val="-4"/>
        </w:rPr>
        <w:t> </w:t>
      </w:r>
      <w:r>
        <w:rPr/>
        <w:t>Popova</w:t>
      </w:r>
      <w:r>
        <w:rPr>
          <w:vertAlign w:val="superscript"/>
        </w:rPr>
        <w:t>1</w:t>
      </w:r>
      <w:r>
        <w:rPr>
          <w:vertAlign w:val="baseline"/>
        </w:rPr>
        <w:t>,</w:t>
      </w:r>
      <w:r>
        <w:rPr>
          <w:spacing w:val="-1"/>
          <w:vertAlign w:val="baseline"/>
        </w:rPr>
        <w:t> </w:t>
      </w:r>
      <w:r>
        <w:rPr>
          <w:vertAlign w:val="baseline"/>
        </w:rPr>
        <w:t>Katerina</w:t>
      </w:r>
      <w:r>
        <w:rPr>
          <w:spacing w:val="-4"/>
          <w:vertAlign w:val="baseline"/>
        </w:rPr>
        <w:t> </w:t>
      </w:r>
      <w:r>
        <w:rPr>
          <w:vertAlign w:val="baseline"/>
        </w:rPr>
        <w:t>Boskovska</w:t>
      </w:r>
      <w:r>
        <w:rPr>
          <w:vertAlign w:val="superscript"/>
        </w:rPr>
        <w:t>1</w:t>
      </w:r>
      <w:r>
        <w:rPr>
          <w:vertAlign w:val="baseline"/>
        </w:rPr>
        <w:t>,</w:t>
      </w:r>
      <w:r>
        <w:rPr>
          <w:spacing w:val="1"/>
          <w:vertAlign w:val="baseline"/>
        </w:rPr>
        <w:t> </w:t>
      </w:r>
      <w:r>
        <w:rPr>
          <w:vertAlign w:val="baseline"/>
        </w:rPr>
        <w:t>Ivana</w:t>
      </w:r>
      <w:r>
        <w:rPr>
          <w:spacing w:val="-3"/>
          <w:vertAlign w:val="baseline"/>
        </w:rPr>
        <w:t> </w:t>
      </w:r>
      <w:r>
        <w:rPr>
          <w:vertAlign w:val="baseline"/>
        </w:rPr>
        <w:t>Arnaudova</w:t>
      </w:r>
      <w:r>
        <w:rPr>
          <w:spacing w:val="-2"/>
          <w:vertAlign w:val="baseline"/>
        </w:rPr>
        <w:t> </w:t>
      </w:r>
      <w:r>
        <w:rPr>
          <w:vertAlign w:val="baseline"/>
        </w:rPr>
        <w:t>Danevska</w:t>
      </w:r>
      <w:r>
        <w:rPr>
          <w:vertAlign w:val="superscript"/>
        </w:rPr>
        <w:t>1</w:t>
      </w:r>
      <w:r>
        <w:rPr>
          <w:vertAlign w:val="baseline"/>
        </w:rPr>
        <w:t>,</w:t>
      </w:r>
      <w:r>
        <w:rPr>
          <w:spacing w:val="-2"/>
          <w:vertAlign w:val="baseline"/>
        </w:rPr>
        <w:t> </w:t>
      </w:r>
      <w:r>
        <w:rPr>
          <w:vertAlign w:val="baseline"/>
        </w:rPr>
        <w:t>Katerina</w:t>
      </w:r>
      <w:r>
        <w:rPr>
          <w:spacing w:val="-1"/>
          <w:vertAlign w:val="baseline"/>
        </w:rPr>
        <w:t> </w:t>
      </w:r>
      <w:r>
        <w:rPr>
          <w:spacing w:val="-2"/>
          <w:vertAlign w:val="baseline"/>
        </w:rPr>
        <w:t>Blagoevska</w:t>
      </w:r>
      <w:r>
        <w:rPr>
          <w:spacing w:val="-2"/>
          <w:vertAlign w:val="superscript"/>
        </w:rPr>
        <w:t>2</w:t>
      </w:r>
    </w:p>
    <w:p>
      <w:pPr>
        <w:spacing w:before="242"/>
        <w:ind w:left="238" w:right="0" w:firstLine="0"/>
        <w:jc w:val="left"/>
        <w:rPr>
          <w:sz w:val="22"/>
        </w:rPr>
      </w:pPr>
      <w:r>
        <w:rPr>
          <w:sz w:val="22"/>
          <w:vertAlign w:val="superscript"/>
        </w:rPr>
        <w:t>1</w:t>
      </w:r>
      <w:r>
        <w:rPr>
          <w:sz w:val="22"/>
          <w:vertAlign w:val="baseline"/>
        </w:rPr>
        <w:t>Institutе</w:t>
      </w:r>
      <w:r>
        <w:rPr>
          <w:spacing w:val="40"/>
          <w:sz w:val="22"/>
          <w:vertAlign w:val="baseline"/>
        </w:rPr>
        <w:t> </w:t>
      </w:r>
      <w:r>
        <w:rPr>
          <w:sz w:val="22"/>
          <w:vertAlign w:val="baseline"/>
        </w:rPr>
        <w:t>of</w:t>
      </w:r>
      <w:r>
        <w:rPr>
          <w:spacing w:val="40"/>
          <w:sz w:val="22"/>
          <w:vertAlign w:val="baseline"/>
        </w:rPr>
        <w:t> </w:t>
      </w:r>
      <w:r>
        <w:rPr>
          <w:sz w:val="22"/>
          <w:vertAlign w:val="baseline"/>
        </w:rPr>
        <w:t>Respiratory</w:t>
      </w:r>
      <w:r>
        <w:rPr>
          <w:spacing w:val="40"/>
          <w:sz w:val="22"/>
          <w:vertAlign w:val="baseline"/>
        </w:rPr>
        <w:t> </w:t>
      </w:r>
      <w:r>
        <w:rPr>
          <w:sz w:val="22"/>
          <w:vertAlign w:val="baseline"/>
        </w:rPr>
        <w:t>Diseases</w:t>
      </w:r>
      <w:r>
        <w:rPr>
          <w:spacing w:val="40"/>
          <w:sz w:val="22"/>
          <w:vertAlign w:val="baseline"/>
        </w:rPr>
        <w:t> </w:t>
      </w:r>
      <w:r>
        <w:rPr>
          <w:sz w:val="22"/>
          <w:vertAlign w:val="baseline"/>
        </w:rPr>
        <w:t>in</w:t>
      </w:r>
      <w:r>
        <w:rPr>
          <w:spacing w:val="40"/>
          <w:sz w:val="22"/>
          <w:vertAlign w:val="baseline"/>
        </w:rPr>
        <w:t> </w:t>
      </w:r>
      <w:r>
        <w:rPr>
          <w:sz w:val="22"/>
          <w:vertAlign w:val="baseline"/>
        </w:rPr>
        <w:t>Children,</w:t>
      </w:r>
      <w:r>
        <w:rPr>
          <w:spacing w:val="40"/>
          <w:sz w:val="22"/>
          <w:vertAlign w:val="baseline"/>
        </w:rPr>
        <w:t> </w:t>
      </w:r>
      <w:r>
        <w:rPr>
          <w:sz w:val="22"/>
          <w:vertAlign w:val="baseline"/>
        </w:rPr>
        <w:t>Skopje,</w:t>
      </w:r>
      <w:r>
        <w:rPr>
          <w:spacing w:val="40"/>
          <w:sz w:val="22"/>
          <w:vertAlign w:val="baseline"/>
        </w:rPr>
        <w:t> </w:t>
      </w:r>
      <w:r>
        <w:rPr>
          <w:sz w:val="22"/>
          <w:vertAlign w:val="superscript"/>
        </w:rPr>
        <w:t>2</w:t>
      </w:r>
      <w:r>
        <w:rPr>
          <w:sz w:val="22"/>
          <w:vertAlign w:val="baseline"/>
        </w:rPr>
        <w:t>Faculty</w:t>
      </w:r>
      <w:r>
        <w:rPr>
          <w:spacing w:val="40"/>
          <w:sz w:val="22"/>
          <w:vertAlign w:val="baseline"/>
        </w:rPr>
        <w:t> </w:t>
      </w:r>
      <w:r>
        <w:rPr>
          <w:sz w:val="22"/>
          <w:vertAlign w:val="baseline"/>
        </w:rPr>
        <w:t>of</w:t>
      </w:r>
      <w:r>
        <w:rPr>
          <w:spacing w:val="40"/>
          <w:sz w:val="22"/>
          <w:vertAlign w:val="baseline"/>
        </w:rPr>
        <w:t> </w:t>
      </w:r>
      <w:r>
        <w:rPr>
          <w:sz w:val="22"/>
          <w:vertAlign w:val="baseline"/>
        </w:rPr>
        <w:t>Veterinary</w:t>
      </w:r>
      <w:r>
        <w:rPr>
          <w:spacing w:val="40"/>
          <w:sz w:val="22"/>
          <w:vertAlign w:val="baseline"/>
        </w:rPr>
        <w:t> </w:t>
      </w:r>
      <w:r>
        <w:rPr>
          <w:sz w:val="22"/>
          <w:vertAlign w:val="baseline"/>
        </w:rPr>
        <w:t>Medicine,</w:t>
      </w:r>
      <w:r>
        <w:rPr>
          <w:spacing w:val="40"/>
          <w:sz w:val="22"/>
          <w:vertAlign w:val="baseline"/>
        </w:rPr>
        <w:t> </w:t>
      </w:r>
      <w:r>
        <w:rPr>
          <w:sz w:val="22"/>
          <w:vertAlign w:val="baseline"/>
        </w:rPr>
        <w:t>Ss</w:t>
      </w:r>
      <w:r>
        <w:rPr>
          <w:spacing w:val="40"/>
          <w:sz w:val="22"/>
          <w:vertAlign w:val="baseline"/>
        </w:rPr>
        <w:t> </w:t>
      </w:r>
      <w:r>
        <w:rPr>
          <w:sz w:val="22"/>
          <w:vertAlign w:val="baseline"/>
        </w:rPr>
        <w:t>Cyril</w:t>
      </w:r>
      <w:r>
        <w:rPr>
          <w:spacing w:val="40"/>
          <w:sz w:val="22"/>
          <w:vertAlign w:val="baseline"/>
        </w:rPr>
        <w:t> </w:t>
      </w:r>
      <w:r>
        <w:rPr>
          <w:sz w:val="22"/>
          <w:vertAlign w:val="baseline"/>
        </w:rPr>
        <w:t>and Methodius University Skopje, Republic of North Macedonia</w:t>
      </w:r>
    </w:p>
    <w:p>
      <w:pPr>
        <w:pStyle w:val="BodyText"/>
        <w:spacing w:before="1"/>
        <w:rPr>
          <w:sz w:val="13"/>
        </w:rPr>
      </w:pPr>
    </w:p>
    <w:p>
      <w:pPr>
        <w:spacing w:after="0"/>
        <w:rPr>
          <w:sz w:val="13"/>
        </w:rPr>
        <w:sectPr>
          <w:headerReference w:type="even" r:id="rId465"/>
          <w:pgSz w:w="11910" w:h="16840"/>
          <w:pgMar w:header="0" w:footer="0" w:top="760" w:bottom="280" w:left="900" w:right="840"/>
        </w:sectPr>
      </w:pPr>
    </w:p>
    <w:p>
      <w:pPr>
        <w:pStyle w:val="Heading4"/>
        <w:spacing w:before="97"/>
      </w:pPr>
      <w:r>
        <w:rPr>
          <w:spacing w:val="-2"/>
        </w:rPr>
        <w:t>Abstract</w:t>
      </w:r>
    </w:p>
    <w:p>
      <w:pPr>
        <w:pStyle w:val="BodyText"/>
        <w:spacing w:before="6"/>
        <w:rPr>
          <w:b/>
          <w:sz w:val="20"/>
        </w:rPr>
      </w:pPr>
    </w:p>
    <w:p>
      <w:pPr>
        <w:pStyle w:val="BodyText"/>
        <w:ind w:left="238" w:right="47"/>
        <w:jc w:val="both"/>
      </w:pPr>
      <w:r>
        <w:rPr>
          <w:b/>
        </w:rPr>
        <w:t>Introduction. </w:t>
      </w:r>
      <w:r>
        <w:rPr/>
        <w:t>COVID-19 pandemic threatens global human health. Reverse-transcription quantitative poly- merase chain reaction (RT-qPCR) is a reference test</w:t>
      </w:r>
      <w:r>
        <w:rPr>
          <w:spacing w:val="40"/>
        </w:rPr>
        <w:t> </w:t>
      </w:r>
      <w:r>
        <w:rPr/>
        <w:t>for identification of acute SARS-CoV-2 infection, but it is associated with results delay. There is a need of fast and reliable tests which can improve the efforts of controlling the transmission of SARS-CoV-2.</w:t>
      </w:r>
    </w:p>
    <w:p>
      <w:pPr>
        <w:pStyle w:val="BodyText"/>
        <w:ind w:left="238" w:right="47"/>
        <w:jc w:val="both"/>
      </w:pPr>
      <w:r>
        <w:rPr>
          <w:b/>
        </w:rPr>
        <w:t>Aim. </w:t>
      </w:r>
      <w:r>
        <w:rPr/>
        <w:t>The aim of this study was to determine the ana- lytical</w:t>
      </w:r>
      <w:r>
        <w:rPr>
          <w:spacing w:val="-1"/>
        </w:rPr>
        <w:t> </w:t>
      </w:r>
      <w:r>
        <w:rPr/>
        <w:t>value of the rapid SARS-CoV-2 Ag-test</w:t>
      </w:r>
      <w:r>
        <w:rPr>
          <w:spacing w:val="-1"/>
        </w:rPr>
        <w:t> </w:t>
      </w:r>
      <w:r>
        <w:rPr/>
        <w:t>in rela- tion to the Ct values of the RT-qPCR.</w:t>
      </w:r>
    </w:p>
    <w:p>
      <w:pPr>
        <w:pStyle w:val="BodyText"/>
        <w:ind w:left="238" w:right="42"/>
        <w:jc w:val="both"/>
      </w:pPr>
      <w:r>
        <w:rPr>
          <w:b/>
        </w:rPr>
        <w:t>Methods. </w:t>
      </w:r>
      <w:r>
        <w:rPr/>
        <w:t>The study group comprised outpatients sus- pected</w:t>
      </w:r>
      <w:r>
        <w:rPr>
          <w:spacing w:val="-14"/>
        </w:rPr>
        <w:t> </w:t>
      </w:r>
      <w:r>
        <w:rPr/>
        <w:t>for</w:t>
      </w:r>
      <w:r>
        <w:rPr>
          <w:spacing w:val="-13"/>
        </w:rPr>
        <w:t> </w:t>
      </w:r>
      <w:r>
        <w:rPr/>
        <w:t>COVID-19,</w:t>
      </w:r>
      <w:r>
        <w:rPr>
          <w:spacing w:val="-13"/>
        </w:rPr>
        <w:t> </w:t>
      </w:r>
      <w:r>
        <w:rPr/>
        <w:t>sampled</w:t>
      </w:r>
      <w:r>
        <w:rPr>
          <w:spacing w:val="-13"/>
        </w:rPr>
        <w:t> </w:t>
      </w:r>
      <w:r>
        <w:rPr/>
        <w:t>twice,</w:t>
      </w:r>
      <w:r>
        <w:rPr>
          <w:spacing w:val="-13"/>
        </w:rPr>
        <w:t> </w:t>
      </w:r>
      <w:r>
        <w:rPr/>
        <w:t>first</w:t>
      </w:r>
      <w:r>
        <w:rPr>
          <w:spacing w:val="-13"/>
        </w:rPr>
        <w:t> </w:t>
      </w:r>
      <w:r>
        <w:rPr/>
        <w:t>for</w:t>
      </w:r>
      <w:r>
        <w:rPr>
          <w:spacing w:val="-13"/>
        </w:rPr>
        <w:t> </w:t>
      </w:r>
      <w:r>
        <w:rPr/>
        <w:t>the</w:t>
      </w:r>
      <w:r>
        <w:rPr>
          <w:spacing w:val="-13"/>
        </w:rPr>
        <w:t> </w:t>
      </w:r>
      <w:r>
        <w:rPr/>
        <w:t>routi- ne</w:t>
      </w:r>
      <w:r>
        <w:rPr>
          <w:spacing w:val="-9"/>
        </w:rPr>
        <w:t> </w:t>
      </w:r>
      <w:r>
        <w:rPr/>
        <w:t>RT-qPCR,</w:t>
      </w:r>
      <w:r>
        <w:rPr>
          <w:spacing w:val="-12"/>
        </w:rPr>
        <w:t> </w:t>
      </w:r>
      <w:r>
        <w:rPr/>
        <w:t>and</w:t>
      </w:r>
      <w:r>
        <w:rPr>
          <w:spacing w:val="-12"/>
        </w:rPr>
        <w:t> </w:t>
      </w:r>
      <w:r>
        <w:rPr/>
        <w:t>second</w:t>
      </w:r>
      <w:r>
        <w:rPr>
          <w:spacing w:val="-11"/>
        </w:rPr>
        <w:t> </w:t>
      </w:r>
      <w:r>
        <w:rPr/>
        <w:t>for</w:t>
      </w:r>
      <w:r>
        <w:rPr>
          <w:spacing w:val="-11"/>
        </w:rPr>
        <w:t> </w:t>
      </w:r>
      <w:r>
        <w:rPr/>
        <w:t>SARS-CoV-2</w:t>
      </w:r>
      <w:r>
        <w:rPr>
          <w:spacing w:val="-11"/>
        </w:rPr>
        <w:t> </w:t>
      </w:r>
      <w:r>
        <w:rPr/>
        <w:t>antigen</w:t>
      </w:r>
      <w:r>
        <w:rPr>
          <w:spacing w:val="-11"/>
        </w:rPr>
        <w:t> </w:t>
      </w:r>
      <w:r>
        <w:rPr/>
        <w:t>tes- ting. The results obtained by the rapid antigen test (Panbio™</w:t>
      </w:r>
      <w:r>
        <w:rPr>
          <w:spacing w:val="-4"/>
        </w:rPr>
        <w:t> </w:t>
      </w:r>
      <w:r>
        <w:rPr/>
        <w:t>COVID-19)</w:t>
      </w:r>
      <w:r>
        <w:rPr>
          <w:spacing w:val="-3"/>
        </w:rPr>
        <w:t> </w:t>
      </w:r>
      <w:r>
        <w:rPr/>
        <w:t>were</w:t>
      </w:r>
      <w:r>
        <w:rPr>
          <w:spacing w:val="-4"/>
        </w:rPr>
        <w:t> </w:t>
      </w:r>
      <w:r>
        <w:rPr/>
        <w:t>evaluated</w:t>
      </w:r>
      <w:r>
        <w:rPr>
          <w:spacing w:val="-2"/>
        </w:rPr>
        <w:t> </w:t>
      </w:r>
      <w:r>
        <w:rPr/>
        <w:t>in</w:t>
      </w:r>
      <w:r>
        <w:rPr>
          <w:spacing w:val="-2"/>
        </w:rPr>
        <w:t> </w:t>
      </w:r>
      <w:r>
        <w:rPr/>
        <w:t>relation</w:t>
      </w:r>
      <w:r>
        <w:rPr>
          <w:spacing w:val="-2"/>
        </w:rPr>
        <w:t> </w:t>
      </w:r>
      <w:r>
        <w:rPr/>
        <w:t>to</w:t>
      </w:r>
      <w:r>
        <w:rPr>
          <w:spacing w:val="-2"/>
        </w:rPr>
        <w:t> </w:t>
      </w:r>
      <w:r>
        <w:rPr/>
        <w:t>Ct values of the SARS-CoV-2 E-gene, obtained by RT- qPCR Allplex 19-nCoV multiplex assay platform.</w:t>
      </w:r>
    </w:p>
    <w:p>
      <w:pPr>
        <w:pStyle w:val="BodyText"/>
        <w:spacing w:line="237" w:lineRule="auto" w:before="4"/>
        <w:ind w:left="238" w:right="38"/>
        <w:jc w:val="both"/>
      </w:pPr>
      <w:r>
        <w:rPr>
          <w:b/>
        </w:rPr>
        <w:t>Results</w:t>
      </w:r>
      <w:r>
        <w:rPr/>
        <w:t>.</w:t>
      </w:r>
      <w:r>
        <w:rPr>
          <w:spacing w:val="-14"/>
        </w:rPr>
        <w:t> </w:t>
      </w:r>
      <w:r>
        <w:rPr/>
        <w:t>SARS-CoV-2</w:t>
      </w:r>
      <w:r>
        <w:rPr>
          <w:spacing w:val="-13"/>
        </w:rPr>
        <w:t> </w:t>
      </w:r>
      <w:r>
        <w:rPr/>
        <w:t>prevalence,</w:t>
      </w:r>
      <w:r>
        <w:rPr>
          <w:spacing w:val="-13"/>
        </w:rPr>
        <w:t> </w:t>
      </w:r>
      <w:r>
        <w:rPr/>
        <w:t>based</w:t>
      </w:r>
      <w:r>
        <w:rPr>
          <w:spacing w:val="-13"/>
        </w:rPr>
        <w:t> </w:t>
      </w:r>
      <w:r>
        <w:rPr/>
        <w:t>on</w:t>
      </w:r>
      <w:r>
        <w:rPr>
          <w:spacing w:val="-13"/>
        </w:rPr>
        <w:t> </w:t>
      </w:r>
      <w:r>
        <w:rPr/>
        <w:t>RT-qPCR, </w:t>
      </w:r>
      <w:r>
        <w:rPr>
          <w:spacing w:val="-6"/>
        </w:rPr>
        <w:t>was</w:t>
      </w:r>
      <w:r>
        <w:rPr>
          <w:spacing w:val="-8"/>
        </w:rPr>
        <w:t> </w:t>
      </w:r>
      <w:r>
        <w:rPr>
          <w:spacing w:val="-6"/>
        </w:rPr>
        <w:t>50.8%</w:t>
      </w:r>
      <w:r>
        <w:rPr>
          <w:spacing w:val="-7"/>
        </w:rPr>
        <w:t> </w:t>
      </w:r>
      <w:r>
        <w:rPr>
          <w:spacing w:val="-6"/>
        </w:rPr>
        <w:t>(186/366).</w:t>
      </w:r>
      <w:r>
        <w:rPr>
          <w:spacing w:val="-7"/>
        </w:rPr>
        <w:t> </w:t>
      </w:r>
      <w:r>
        <w:rPr>
          <w:spacing w:val="-6"/>
        </w:rPr>
        <w:t>Specificity</w:t>
      </w:r>
      <w:r>
        <w:rPr>
          <w:spacing w:val="-7"/>
        </w:rPr>
        <w:t> </w:t>
      </w:r>
      <w:r>
        <w:rPr>
          <w:spacing w:val="-6"/>
        </w:rPr>
        <w:t>of</w:t>
      </w:r>
      <w:r>
        <w:rPr>
          <w:spacing w:val="-7"/>
        </w:rPr>
        <w:t> </w:t>
      </w:r>
      <w:r>
        <w:rPr>
          <w:spacing w:val="-6"/>
        </w:rPr>
        <w:t>the</w:t>
      </w:r>
      <w:r>
        <w:rPr>
          <w:spacing w:val="-7"/>
        </w:rPr>
        <w:t> </w:t>
      </w:r>
      <w:r>
        <w:rPr>
          <w:spacing w:val="-6"/>
        </w:rPr>
        <w:t>Panbio</w:t>
      </w:r>
      <w:r>
        <w:rPr>
          <w:spacing w:val="-6"/>
          <w:position w:val="7"/>
          <w:sz w:val="14"/>
        </w:rPr>
        <w:t>TM</w:t>
      </w:r>
      <w:r>
        <w:rPr>
          <w:spacing w:val="-3"/>
          <w:position w:val="7"/>
          <w:sz w:val="14"/>
        </w:rPr>
        <w:t> </w:t>
      </w:r>
      <w:r>
        <w:rPr>
          <w:spacing w:val="-6"/>
        </w:rPr>
        <w:t>COVID- </w:t>
      </w:r>
      <w:r>
        <w:rPr>
          <w:spacing w:val="-2"/>
        </w:rPr>
        <w:t>19</w:t>
      </w:r>
      <w:r>
        <w:rPr>
          <w:spacing w:val="-12"/>
        </w:rPr>
        <w:t> </w:t>
      </w:r>
      <w:r>
        <w:rPr>
          <w:spacing w:val="-2"/>
        </w:rPr>
        <w:t>Ag</w:t>
      </w:r>
      <w:r>
        <w:rPr>
          <w:spacing w:val="-11"/>
        </w:rPr>
        <w:t> </w:t>
      </w:r>
      <w:r>
        <w:rPr>
          <w:spacing w:val="-2"/>
        </w:rPr>
        <w:t>Rapid</w:t>
      </w:r>
      <w:r>
        <w:rPr>
          <w:spacing w:val="-11"/>
        </w:rPr>
        <w:t> </w:t>
      </w:r>
      <w:r>
        <w:rPr>
          <w:spacing w:val="-2"/>
        </w:rPr>
        <w:t>Test</w:t>
      </w:r>
      <w:r>
        <w:rPr>
          <w:spacing w:val="-11"/>
        </w:rPr>
        <w:t> </w:t>
      </w:r>
      <w:r>
        <w:rPr>
          <w:spacing w:val="-2"/>
        </w:rPr>
        <w:t>was</w:t>
      </w:r>
      <w:r>
        <w:rPr>
          <w:spacing w:val="-11"/>
        </w:rPr>
        <w:t> </w:t>
      </w:r>
      <w:r>
        <w:rPr>
          <w:spacing w:val="-2"/>
        </w:rPr>
        <w:t>100%.</w:t>
      </w:r>
      <w:r>
        <w:rPr>
          <w:spacing w:val="-11"/>
        </w:rPr>
        <w:t> </w:t>
      </w:r>
      <w:r>
        <w:rPr>
          <w:spacing w:val="-2"/>
        </w:rPr>
        <w:t>Test</w:t>
      </w:r>
      <w:r>
        <w:rPr>
          <w:spacing w:val="-11"/>
        </w:rPr>
        <w:t> </w:t>
      </w:r>
      <w:r>
        <w:rPr>
          <w:spacing w:val="-2"/>
        </w:rPr>
        <w:t>sensitivity</w:t>
      </w:r>
      <w:r>
        <w:rPr>
          <w:spacing w:val="-11"/>
        </w:rPr>
        <w:t> </w:t>
      </w:r>
      <w:r>
        <w:rPr>
          <w:spacing w:val="-2"/>
        </w:rPr>
        <w:t>was</w:t>
      </w:r>
      <w:r>
        <w:rPr>
          <w:spacing w:val="-12"/>
        </w:rPr>
        <w:t> </w:t>
      </w:r>
      <w:r>
        <w:rPr>
          <w:spacing w:val="-2"/>
        </w:rPr>
        <w:t>73.8%. </w:t>
      </w:r>
      <w:r>
        <w:rPr/>
        <w:t>Restricting RT-qPCR to Ct-values&lt;30 increased test sensitivity to 91.2%.</w:t>
      </w:r>
    </w:p>
    <w:p>
      <w:pPr>
        <w:pStyle w:val="BodyText"/>
        <w:spacing w:before="5"/>
        <w:ind w:left="238" w:right="47"/>
        <w:jc w:val="both"/>
      </w:pPr>
      <w:r>
        <w:rPr>
          <w:b/>
        </w:rPr>
        <w:t>Conclusion.</w:t>
      </w:r>
      <w:r>
        <w:rPr>
          <w:b/>
          <w:spacing w:val="-7"/>
        </w:rPr>
        <w:t> </w:t>
      </w:r>
      <w:r>
        <w:rPr/>
        <w:t>The</w:t>
      </w:r>
      <w:r>
        <w:rPr>
          <w:spacing w:val="-7"/>
        </w:rPr>
        <w:t> </w:t>
      </w:r>
      <w:r>
        <w:rPr/>
        <w:t>findings</w:t>
      </w:r>
      <w:r>
        <w:rPr>
          <w:spacing w:val="-7"/>
        </w:rPr>
        <w:t> </w:t>
      </w:r>
      <w:r>
        <w:rPr/>
        <w:t>underscored</w:t>
      </w:r>
      <w:r>
        <w:rPr>
          <w:spacing w:val="-7"/>
        </w:rPr>
        <w:t> </w:t>
      </w:r>
      <w:r>
        <w:rPr/>
        <w:t>the</w:t>
      </w:r>
      <w:r>
        <w:rPr>
          <w:spacing w:val="-7"/>
        </w:rPr>
        <w:t> </w:t>
      </w:r>
      <w:r>
        <w:rPr/>
        <w:t>epidemiolo- gical value of the rapid Ag-test since it reliably identi- fies</w:t>
      </w:r>
      <w:r>
        <w:rPr>
          <w:spacing w:val="-4"/>
        </w:rPr>
        <w:t> </w:t>
      </w:r>
      <w:r>
        <w:rPr/>
        <w:t>contagious</w:t>
      </w:r>
      <w:r>
        <w:rPr>
          <w:spacing w:val="-3"/>
        </w:rPr>
        <w:t> </w:t>
      </w:r>
      <w:r>
        <w:rPr/>
        <w:t>SARS-CoV-2</w:t>
      </w:r>
      <w:r>
        <w:rPr>
          <w:spacing w:val="-4"/>
        </w:rPr>
        <w:t> </w:t>
      </w:r>
      <w:r>
        <w:rPr/>
        <w:t>infected</w:t>
      </w:r>
      <w:r>
        <w:rPr>
          <w:spacing w:val="-3"/>
        </w:rPr>
        <w:t> </w:t>
      </w:r>
      <w:r>
        <w:rPr/>
        <w:t>individuals</w:t>
      </w:r>
      <w:r>
        <w:rPr>
          <w:spacing w:val="-3"/>
        </w:rPr>
        <w:t> </w:t>
      </w:r>
      <w:r>
        <w:rPr>
          <w:spacing w:val="-5"/>
        </w:rPr>
        <w:t>who</w:t>
      </w:r>
    </w:p>
    <w:p>
      <w:pPr>
        <w:pStyle w:val="BodyText"/>
        <w:spacing w:before="92"/>
        <w:ind w:left="238" w:right="290"/>
      </w:pPr>
      <w:r>
        <w:rPr/>
        <w:br w:type="column"/>
      </w:r>
      <w:r>
        <w:rPr/>
        <w:t>но</w:t>
      </w:r>
      <w:r>
        <w:rPr>
          <w:spacing w:val="-4"/>
        </w:rPr>
        <w:t> </w:t>
      </w:r>
      <w:r>
        <w:rPr/>
        <w:t>со</w:t>
      </w:r>
      <w:r>
        <w:rPr>
          <w:spacing w:val="-4"/>
        </w:rPr>
        <w:t> </w:t>
      </w:r>
      <w:r>
        <w:rPr/>
        <w:t>доцнење</w:t>
      </w:r>
      <w:r>
        <w:rPr>
          <w:spacing w:val="-4"/>
        </w:rPr>
        <w:t> </w:t>
      </w:r>
      <w:r>
        <w:rPr/>
        <w:t>на</w:t>
      </w:r>
      <w:r>
        <w:rPr>
          <w:spacing w:val="-4"/>
        </w:rPr>
        <w:t> </w:t>
      </w:r>
      <w:r>
        <w:rPr/>
        <w:t>резултатите.</w:t>
      </w:r>
      <w:r>
        <w:rPr>
          <w:spacing w:val="-4"/>
        </w:rPr>
        <w:t> </w:t>
      </w:r>
      <w:r>
        <w:rPr/>
        <w:t>Од</w:t>
      </w:r>
      <w:r>
        <w:rPr>
          <w:spacing w:val="-4"/>
        </w:rPr>
        <w:t> </w:t>
      </w:r>
      <w:r>
        <w:rPr/>
        <w:t>тука</w:t>
      </w:r>
      <w:r>
        <w:rPr>
          <w:spacing w:val="-4"/>
        </w:rPr>
        <w:t> </w:t>
      </w:r>
      <w:r>
        <w:rPr/>
        <w:t>произлегува потребата</w:t>
      </w:r>
      <w:r>
        <w:rPr>
          <w:spacing w:val="40"/>
        </w:rPr>
        <w:t> </w:t>
      </w:r>
      <w:r>
        <w:rPr/>
        <w:t>од</w:t>
      </w:r>
      <w:r>
        <w:rPr>
          <w:spacing w:val="40"/>
        </w:rPr>
        <w:t> </w:t>
      </w:r>
      <w:r>
        <w:rPr/>
        <w:t>брзи</w:t>
      </w:r>
      <w:r>
        <w:rPr>
          <w:spacing w:val="40"/>
        </w:rPr>
        <w:t> </w:t>
      </w:r>
      <w:r>
        <w:rPr/>
        <w:t>и</w:t>
      </w:r>
      <w:r>
        <w:rPr>
          <w:spacing w:val="40"/>
        </w:rPr>
        <w:t> </w:t>
      </w:r>
      <w:r>
        <w:rPr/>
        <w:t>сигурни</w:t>
      </w:r>
      <w:r>
        <w:rPr>
          <w:spacing w:val="40"/>
        </w:rPr>
        <w:t> </w:t>
      </w:r>
      <w:r>
        <w:rPr/>
        <w:t>тестови</w:t>
      </w:r>
      <w:r>
        <w:rPr>
          <w:spacing w:val="40"/>
        </w:rPr>
        <w:t> </w:t>
      </w:r>
      <w:r>
        <w:rPr/>
        <w:t>кои</w:t>
      </w:r>
      <w:r>
        <w:rPr>
          <w:spacing w:val="40"/>
        </w:rPr>
        <w:t> </w:t>
      </w:r>
      <w:r>
        <w:rPr/>
        <w:t>ќе</w:t>
      </w:r>
      <w:r>
        <w:rPr>
          <w:spacing w:val="40"/>
        </w:rPr>
        <w:t> </w:t>
      </w:r>
      <w:r>
        <w:rPr/>
        <w:t>по- могнат во контрола на ширењето на SARS-CoV-2. </w:t>
      </w:r>
      <w:r>
        <w:rPr>
          <w:b/>
        </w:rPr>
        <w:t>Цел.</w:t>
      </w:r>
      <w:r>
        <w:rPr>
          <w:b/>
          <w:spacing w:val="80"/>
        </w:rPr>
        <w:t> </w:t>
      </w:r>
      <w:r>
        <w:rPr/>
        <w:t>Да</w:t>
      </w:r>
      <w:r>
        <w:rPr>
          <w:spacing w:val="80"/>
        </w:rPr>
        <w:t> </w:t>
      </w:r>
      <w:r>
        <w:rPr/>
        <w:t>се</w:t>
      </w:r>
      <w:r>
        <w:rPr>
          <w:spacing w:val="80"/>
        </w:rPr>
        <w:t> </w:t>
      </w:r>
      <w:r>
        <w:rPr/>
        <w:t>одреди</w:t>
      </w:r>
      <w:r>
        <w:rPr>
          <w:spacing w:val="80"/>
        </w:rPr>
        <w:t> </w:t>
      </w:r>
      <w:r>
        <w:rPr/>
        <w:t>аналитичката</w:t>
      </w:r>
      <w:r>
        <w:rPr>
          <w:spacing w:val="80"/>
        </w:rPr>
        <w:t> </w:t>
      </w:r>
      <w:r>
        <w:rPr/>
        <w:t>вредност</w:t>
      </w:r>
      <w:r>
        <w:rPr>
          <w:spacing w:val="80"/>
        </w:rPr>
        <w:t> </w:t>
      </w:r>
      <w:r>
        <w:rPr/>
        <w:t>на SARS-CoV-2</w:t>
      </w:r>
      <w:r>
        <w:rPr>
          <w:spacing w:val="40"/>
        </w:rPr>
        <w:t> </w:t>
      </w:r>
      <w:r>
        <w:rPr/>
        <w:t>антигенски</w:t>
      </w:r>
      <w:r>
        <w:rPr>
          <w:spacing w:val="40"/>
        </w:rPr>
        <w:t> </w:t>
      </w:r>
      <w:r>
        <w:rPr/>
        <w:t>тест</w:t>
      </w:r>
      <w:r>
        <w:rPr>
          <w:spacing w:val="40"/>
        </w:rPr>
        <w:t> </w:t>
      </w:r>
      <w:r>
        <w:rPr/>
        <w:t>преку</w:t>
      </w:r>
      <w:r>
        <w:rPr>
          <w:spacing w:val="40"/>
        </w:rPr>
        <w:t> </w:t>
      </w:r>
      <w:r>
        <w:rPr/>
        <w:t>споредба</w:t>
      </w:r>
      <w:r>
        <w:rPr>
          <w:spacing w:val="40"/>
        </w:rPr>
        <w:t> </w:t>
      </w:r>
      <w:r>
        <w:rPr/>
        <w:t>со Ct-вредностите добиени со РТ-ПВР.</w:t>
      </w:r>
    </w:p>
    <w:p>
      <w:pPr>
        <w:pStyle w:val="BodyText"/>
        <w:spacing w:before="1"/>
        <w:ind w:left="238" w:right="283"/>
      </w:pPr>
      <w:r>
        <w:rPr>
          <w:b/>
          <w:spacing w:val="-2"/>
        </w:rPr>
        <w:t>Методи.</w:t>
      </w:r>
      <w:r>
        <w:rPr>
          <w:b/>
          <w:spacing w:val="-12"/>
        </w:rPr>
        <w:t> </w:t>
      </w:r>
      <w:r>
        <w:rPr>
          <w:spacing w:val="-2"/>
        </w:rPr>
        <w:t>Испитувана</w:t>
      </w:r>
      <w:r>
        <w:rPr>
          <w:spacing w:val="-11"/>
        </w:rPr>
        <w:t> </w:t>
      </w:r>
      <w:r>
        <w:rPr>
          <w:spacing w:val="-2"/>
        </w:rPr>
        <w:t>група</w:t>
      </w:r>
      <w:r>
        <w:rPr>
          <w:spacing w:val="-11"/>
        </w:rPr>
        <w:t> </w:t>
      </w:r>
      <w:r>
        <w:rPr>
          <w:spacing w:val="-2"/>
        </w:rPr>
        <w:t>беа</w:t>
      </w:r>
      <w:r>
        <w:rPr>
          <w:spacing w:val="-11"/>
        </w:rPr>
        <w:t> </w:t>
      </w:r>
      <w:r>
        <w:rPr>
          <w:spacing w:val="-2"/>
        </w:rPr>
        <w:t>амбулантски</w:t>
      </w:r>
      <w:r>
        <w:rPr>
          <w:spacing w:val="-11"/>
        </w:rPr>
        <w:t> </w:t>
      </w:r>
      <w:r>
        <w:rPr>
          <w:spacing w:val="-2"/>
        </w:rPr>
        <w:t>пациен- </w:t>
      </w:r>
      <w:r>
        <w:rPr/>
        <w:t>ти</w:t>
      </w:r>
      <w:r>
        <w:rPr>
          <w:spacing w:val="-5"/>
        </w:rPr>
        <w:t> </w:t>
      </w:r>
      <w:r>
        <w:rPr/>
        <w:t>суспектни за</w:t>
      </w:r>
      <w:r>
        <w:rPr>
          <w:spacing w:val="-2"/>
        </w:rPr>
        <w:t> </w:t>
      </w:r>
      <w:r>
        <w:rPr/>
        <w:t>КОВИД-19, од</w:t>
      </w:r>
      <w:r>
        <w:rPr>
          <w:spacing w:val="-2"/>
        </w:rPr>
        <w:t> </w:t>
      </w:r>
      <w:r>
        <w:rPr/>
        <w:t>кои</w:t>
      </w:r>
      <w:r>
        <w:rPr>
          <w:spacing w:val="-3"/>
        </w:rPr>
        <w:t> </w:t>
      </w:r>
      <w:r>
        <w:rPr/>
        <w:t>беа</w:t>
      </w:r>
      <w:r>
        <w:rPr>
          <w:spacing w:val="-2"/>
        </w:rPr>
        <w:t> </w:t>
      </w:r>
      <w:r>
        <w:rPr/>
        <w:t>земени</w:t>
      </w:r>
      <w:r>
        <w:rPr>
          <w:spacing w:val="-3"/>
        </w:rPr>
        <w:t> </w:t>
      </w:r>
      <w:r>
        <w:rPr/>
        <w:t>при- мероци,</w:t>
      </w:r>
      <w:r>
        <w:rPr>
          <w:spacing w:val="-4"/>
        </w:rPr>
        <w:t> </w:t>
      </w:r>
      <w:r>
        <w:rPr/>
        <w:t>прво</w:t>
      </w:r>
      <w:r>
        <w:rPr>
          <w:spacing w:val="-4"/>
        </w:rPr>
        <w:t> </w:t>
      </w:r>
      <w:r>
        <w:rPr/>
        <w:t>за</w:t>
      </w:r>
      <w:r>
        <w:rPr>
          <w:spacing w:val="-4"/>
        </w:rPr>
        <w:t> </w:t>
      </w:r>
      <w:r>
        <w:rPr/>
        <w:t>рутинско</w:t>
      </w:r>
      <w:r>
        <w:rPr>
          <w:spacing w:val="-4"/>
        </w:rPr>
        <w:t> </w:t>
      </w:r>
      <w:r>
        <w:rPr/>
        <w:t>РТ-ПВР</w:t>
      </w:r>
      <w:r>
        <w:rPr>
          <w:spacing w:val="-2"/>
        </w:rPr>
        <w:t> </w:t>
      </w:r>
      <w:r>
        <w:rPr/>
        <w:t>тестирање</w:t>
      </w:r>
      <w:r>
        <w:rPr>
          <w:spacing w:val="-4"/>
        </w:rPr>
        <w:t> </w:t>
      </w:r>
      <w:r>
        <w:rPr/>
        <w:t>и</w:t>
      </w:r>
      <w:r>
        <w:rPr>
          <w:spacing w:val="-4"/>
        </w:rPr>
        <w:t> </w:t>
      </w:r>
      <w:r>
        <w:rPr/>
        <w:t>вто- ро</w:t>
      </w:r>
      <w:r>
        <w:rPr>
          <w:spacing w:val="-2"/>
        </w:rPr>
        <w:t> </w:t>
      </w:r>
      <w:r>
        <w:rPr/>
        <w:t>за</w:t>
      </w:r>
      <w:r>
        <w:rPr>
          <w:spacing w:val="-8"/>
        </w:rPr>
        <w:t> </w:t>
      </w:r>
      <w:r>
        <w:rPr/>
        <w:t>SARS-CoV-2</w:t>
      </w:r>
      <w:r>
        <w:rPr>
          <w:spacing w:val="-8"/>
        </w:rPr>
        <w:t> </w:t>
      </w:r>
      <w:r>
        <w:rPr/>
        <w:t>антигенски</w:t>
      </w:r>
      <w:r>
        <w:rPr>
          <w:spacing w:val="-8"/>
        </w:rPr>
        <w:t> </w:t>
      </w:r>
      <w:r>
        <w:rPr/>
        <w:t>тест.</w:t>
      </w:r>
      <w:r>
        <w:rPr>
          <w:spacing w:val="-6"/>
        </w:rPr>
        <w:t> </w:t>
      </w:r>
      <w:r>
        <w:rPr/>
        <w:t>Резултатите</w:t>
      </w:r>
      <w:r>
        <w:rPr>
          <w:spacing w:val="-6"/>
        </w:rPr>
        <w:t> </w:t>
      </w:r>
      <w:r>
        <w:rPr/>
        <w:t>до- </w:t>
      </w:r>
      <w:r>
        <w:rPr>
          <w:spacing w:val="-6"/>
        </w:rPr>
        <w:t>биени</w:t>
      </w:r>
      <w:r>
        <w:rPr>
          <w:spacing w:val="-8"/>
        </w:rPr>
        <w:t> </w:t>
      </w:r>
      <w:r>
        <w:rPr>
          <w:spacing w:val="-6"/>
        </w:rPr>
        <w:t>од</w:t>
      </w:r>
      <w:r>
        <w:rPr>
          <w:spacing w:val="-7"/>
        </w:rPr>
        <w:t> </w:t>
      </w:r>
      <w:r>
        <w:rPr>
          <w:spacing w:val="-6"/>
        </w:rPr>
        <w:t>брзиот</w:t>
      </w:r>
      <w:r>
        <w:rPr>
          <w:spacing w:val="-7"/>
        </w:rPr>
        <w:t> </w:t>
      </w:r>
      <w:r>
        <w:rPr>
          <w:spacing w:val="-6"/>
        </w:rPr>
        <w:t>антигенски</w:t>
      </w:r>
      <w:r>
        <w:rPr>
          <w:spacing w:val="-7"/>
        </w:rPr>
        <w:t> </w:t>
      </w:r>
      <w:r>
        <w:rPr>
          <w:spacing w:val="-6"/>
        </w:rPr>
        <w:t>тест</w:t>
      </w:r>
      <w:r>
        <w:rPr>
          <w:spacing w:val="-7"/>
        </w:rPr>
        <w:t> </w:t>
      </w:r>
      <w:r>
        <w:rPr>
          <w:spacing w:val="-6"/>
        </w:rPr>
        <w:t>(Panbio™</w:t>
      </w:r>
      <w:r>
        <w:rPr>
          <w:spacing w:val="-7"/>
        </w:rPr>
        <w:t> </w:t>
      </w:r>
      <w:r>
        <w:rPr>
          <w:spacing w:val="-6"/>
        </w:rPr>
        <w:t>COVID-19) </w:t>
      </w:r>
      <w:r>
        <w:rPr/>
        <w:t>беа компарирани со Ct-вредностите на Е-генот до- </w:t>
      </w:r>
      <w:r>
        <w:rPr>
          <w:spacing w:val="-4"/>
        </w:rPr>
        <w:t>биени</w:t>
      </w:r>
      <w:r>
        <w:rPr>
          <w:spacing w:val="-10"/>
        </w:rPr>
        <w:t> </w:t>
      </w:r>
      <w:r>
        <w:rPr>
          <w:spacing w:val="-4"/>
        </w:rPr>
        <w:t>со</w:t>
      </w:r>
      <w:r>
        <w:rPr>
          <w:spacing w:val="-15"/>
        </w:rPr>
        <w:t> </w:t>
      </w:r>
      <w:r>
        <w:rPr>
          <w:spacing w:val="-4"/>
        </w:rPr>
        <w:t>мултиплекс</w:t>
      </w:r>
      <w:r>
        <w:rPr>
          <w:spacing w:val="-12"/>
        </w:rPr>
        <w:t> </w:t>
      </w:r>
      <w:r>
        <w:rPr>
          <w:spacing w:val="-4"/>
        </w:rPr>
        <w:t>РТ-ПВР</w:t>
      </w:r>
      <w:r>
        <w:rPr>
          <w:spacing w:val="-12"/>
        </w:rPr>
        <w:t> </w:t>
      </w:r>
      <w:r>
        <w:rPr>
          <w:spacing w:val="-4"/>
        </w:rPr>
        <w:t>(Allplex</w:t>
      </w:r>
      <w:r>
        <w:rPr>
          <w:spacing w:val="-12"/>
        </w:rPr>
        <w:t> </w:t>
      </w:r>
      <w:r>
        <w:rPr>
          <w:spacing w:val="-4"/>
        </w:rPr>
        <w:t>19-nCoV</w:t>
      </w:r>
      <w:r>
        <w:rPr>
          <w:spacing w:val="-14"/>
        </w:rPr>
        <w:t> </w:t>
      </w:r>
      <w:r>
        <w:rPr>
          <w:spacing w:val="-4"/>
        </w:rPr>
        <w:t>assay). </w:t>
      </w:r>
      <w:r>
        <w:rPr>
          <w:b/>
          <w:spacing w:val="-4"/>
        </w:rPr>
        <w:t>Резултати. </w:t>
      </w:r>
      <w:r>
        <w:rPr>
          <w:spacing w:val="-4"/>
        </w:rPr>
        <w:t>Преваленцата на SARS-CoV-2, заснована </w:t>
      </w:r>
      <w:r>
        <w:rPr/>
        <w:t>на</w:t>
      </w:r>
      <w:r>
        <w:rPr>
          <w:spacing w:val="40"/>
        </w:rPr>
        <w:t> </w:t>
      </w:r>
      <w:r>
        <w:rPr/>
        <w:t>РТ-ПВР,</w:t>
      </w:r>
      <w:r>
        <w:rPr>
          <w:spacing w:val="40"/>
        </w:rPr>
        <w:t> </w:t>
      </w:r>
      <w:r>
        <w:rPr/>
        <w:t>изнесуваше</w:t>
      </w:r>
      <w:r>
        <w:rPr>
          <w:spacing w:val="40"/>
        </w:rPr>
        <w:t> </w:t>
      </w:r>
      <w:r>
        <w:rPr/>
        <w:t>50,8%</w:t>
      </w:r>
      <w:r>
        <w:rPr>
          <w:spacing w:val="40"/>
        </w:rPr>
        <w:t> </w:t>
      </w:r>
      <w:r>
        <w:rPr/>
        <w:t>(186/366).</w:t>
      </w:r>
      <w:r>
        <w:rPr>
          <w:spacing w:val="40"/>
        </w:rPr>
        <w:t> </w:t>
      </w:r>
      <w:r>
        <w:rPr/>
        <w:t>Специ- фичноста</w:t>
      </w:r>
      <w:r>
        <w:rPr>
          <w:spacing w:val="-1"/>
        </w:rPr>
        <w:t> </w:t>
      </w:r>
      <w:r>
        <w:rPr/>
        <w:t>на</w:t>
      </w:r>
      <w:r>
        <w:rPr>
          <w:spacing w:val="-9"/>
        </w:rPr>
        <w:t> </w:t>
      </w:r>
      <w:r>
        <w:rPr/>
        <w:t>брзиот</w:t>
      </w:r>
      <w:r>
        <w:rPr>
          <w:spacing w:val="-9"/>
        </w:rPr>
        <w:t> </w:t>
      </w:r>
      <w:r>
        <w:rPr/>
        <w:t>Panbio</w:t>
      </w:r>
      <w:r>
        <w:rPr>
          <w:position w:val="7"/>
          <w:sz w:val="14"/>
        </w:rPr>
        <w:t>TM</w:t>
      </w:r>
      <w:r>
        <w:rPr>
          <w:spacing w:val="10"/>
          <w:position w:val="7"/>
          <w:sz w:val="14"/>
        </w:rPr>
        <w:t> </w:t>
      </w:r>
      <w:r>
        <w:rPr/>
        <w:t>COVID-19</w:t>
      </w:r>
      <w:r>
        <w:rPr>
          <w:spacing w:val="-9"/>
        </w:rPr>
        <w:t> </w:t>
      </w:r>
      <w:r>
        <w:rPr/>
        <w:t>Ag</w:t>
      </w:r>
      <w:r>
        <w:rPr>
          <w:spacing w:val="-9"/>
        </w:rPr>
        <w:t> </w:t>
      </w:r>
      <w:r>
        <w:rPr/>
        <w:t>тест</w:t>
      </w:r>
      <w:r>
        <w:rPr>
          <w:spacing w:val="-9"/>
        </w:rPr>
        <w:t> </w:t>
      </w:r>
      <w:r>
        <w:rPr/>
        <w:t>бе- </w:t>
      </w:r>
      <w:r>
        <w:rPr>
          <w:spacing w:val="-4"/>
        </w:rPr>
        <w:t>ше</w:t>
      </w:r>
      <w:r>
        <w:rPr>
          <w:spacing w:val="-10"/>
        </w:rPr>
        <w:t> </w:t>
      </w:r>
      <w:r>
        <w:rPr>
          <w:spacing w:val="-4"/>
        </w:rPr>
        <w:t>100%.</w:t>
      </w:r>
      <w:r>
        <w:rPr>
          <w:spacing w:val="-9"/>
        </w:rPr>
        <w:t> </w:t>
      </w:r>
      <w:r>
        <w:rPr>
          <w:spacing w:val="-4"/>
        </w:rPr>
        <w:t>Сензитивноста</w:t>
      </w:r>
      <w:r>
        <w:rPr>
          <w:spacing w:val="-9"/>
        </w:rPr>
        <w:t> </w:t>
      </w:r>
      <w:r>
        <w:rPr>
          <w:spacing w:val="-4"/>
        </w:rPr>
        <w:t>на</w:t>
      </w:r>
      <w:r>
        <w:rPr>
          <w:spacing w:val="-9"/>
        </w:rPr>
        <w:t> </w:t>
      </w:r>
      <w:r>
        <w:rPr>
          <w:spacing w:val="-4"/>
        </w:rPr>
        <w:t>тестот</w:t>
      </w:r>
      <w:r>
        <w:rPr>
          <w:spacing w:val="-9"/>
        </w:rPr>
        <w:t> </w:t>
      </w:r>
      <w:r>
        <w:rPr>
          <w:spacing w:val="-4"/>
        </w:rPr>
        <w:t>изнесуваше</w:t>
      </w:r>
      <w:r>
        <w:rPr>
          <w:spacing w:val="-9"/>
        </w:rPr>
        <w:t> </w:t>
      </w:r>
      <w:r>
        <w:rPr>
          <w:spacing w:val="-4"/>
        </w:rPr>
        <w:t>73,8%. </w:t>
      </w:r>
      <w:r>
        <w:rPr/>
        <w:t>При</w:t>
      </w:r>
      <w:r>
        <w:rPr>
          <w:spacing w:val="40"/>
        </w:rPr>
        <w:t> </w:t>
      </w:r>
      <w:r>
        <w:rPr/>
        <w:t>ограничување</w:t>
      </w:r>
      <w:r>
        <w:rPr>
          <w:spacing w:val="40"/>
        </w:rPr>
        <w:t> </w:t>
      </w:r>
      <w:r>
        <w:rPr/>
        <w:t>на</w:t>
      </w:r>
      <w:r>
        <w:rPr>
          <w:spacing w:val="40"/>
        </w:rPr>
        <w:t> </w:t>
      </w:r>
      <w:r>
        <w:rPr/>
        <w:t>Ct-вредностите</w:t>
      </w:r>
      <w:r>
        <w:rPr>
          <w:spacing w:val="40"/>
        </w:rPr>
        <w:t> </w:t>
      </w:r>
      <w:r>
        <w:rPr/>
        <w:t>на</w:t>
      </w:r>
      <w:r>
        <w:rPr>
          <w:spacing w:val="39"/>
        </w:rPr>
        <w:t> </w:t>
      </w:r>
      <w:r>
        <w:rPr/>
        <w:t>РТ-ПВР на</w:t>
      </w:r>
      <w:r>
        <w:rPr>
          <w:spacing w:val="-14"/>
        </w:rPr>
        <w:t> </w:t>
      </w:r>
      <w:r>
        <w:rPr/>
        <w:t>&lt;30</w:t>
      </w:r>
      <w:r>
        <w:rPr>
          <w:spacing w:val="-13"/>
        </w:rPr>
        <w:t> </w:t>
      </w:r>
      <w:r>
        <w:rPr/>
        <w:t>сензитивноста</w:t>
      </w:r>
      <w:r>
        <w:rPr>
          <w:spacing w:val="-13"/>
        </w:rPr>
        <w:t> </w:t>
      </w:r>
      <w:r>
        <w:rPr/>
        <w:t>на</w:t>
      </w:r>
      <w:r>
        <w:rPr>
          <w:spacing w:val="-13"/>
        </w:rPr>
        <w:t> </w:t>
      </w:r>
      <w:r>
        <w:rPr/>
        <w:t>тестот</w:t>
      </w:r>
      <w:r>
        <w:rPr>
          <w:spacing w:val="-13"/>
        </w:rPr>
        <w:t> </w:t>
      </w:r>
      <w:r>
        <w:rPr/>
        <w:t>се</w:t>
      </w:r>
      <w:r>
        <w:rPr>
          <w:spacing w:val="-13"/>
        </w:rPr>
        <w:t> </w:t>
      </w:r>
      <w:r>
        <w:rPr/>
        <w:t>зголеми</w:t>
      </w:r>
      <w:r>
        <w:rPr>
          <w:spacing w:val="-13"/>
        </w:rPr>
        <w:t> </w:t>
      </w:r>
      <w:r>
        <w:rPr/>
        <w:t>на</w:t>
      </w:r>
      <w:r>
        <w:rPr>
          <w:spacing w:val="-13"/>
        </w:rPr>
        <w:t> </w:t>
      </w:r>
      <w:r>
        <w:rPr/>
        <w:t>91,2%. </w:t>
      </w:r>
      <w:r>
        <w:rPr>
          <w:b/>
          <w:spacing w:val="-4"/>
        </w:rPr>
        <w:t>Заклучок.</w:t>
      </w:r>
      <w:r>
        <w:rPr>
          <w:b/>
          <w:spacing w:val="-9"/>
        </w:rPr>
        <w:t> </w:t>
      </w:r>
      <w:r>
        <w:rPr>
          <w:spacing w:val="-4"/>
        </w:rPr>
        <w:t>Резултатите</w:t>
      </w:r>
      <w:r>
        <w:rPr>
          <w:spacing w:val="-9"/>
        </w:rPr>
        <w:t> </w:t>
      </w:r>
      <w:r>
        <w:rPr>
          <w:spacing w:val="-4"/>
        </w:rPr>
        <w:t>ја</w:t>
      </w:r>
      <w:r>
        <w:rPr>
          <w:spacing w:val="-9"/>
        </w:rPr>
        <w:t> </w:t>
      </w:r>
      <w:r>
        <w:rPr>
          <w:spacing w:val="-4"/>
        </w:rPr>
        <w:t>потенцираат</w:t>
      </w:r>
      <w:r>
        <w:rPr>
          <w:spacing w:val="-9"/>
        </w:rPr>
        <w:t> </w:t>
      </w:r>
      <w:r>
        <w:rPr>
          <w:spacing w:val="-4"/>
        </w:rPr>
        <w:t>епидемиолош- </w:t>
      </w:r>
      <w:r>
        <w:rPr/>
        <w:t>ката</w:t>
      </w:r>
      <w:r>
        <w:rPr>
          <w:spacing w:val="40"/>
        </w:rPr>
        <w:t> </w:t>
      </w:r>
      <w:r>
        <w:rPr/>
        <w:t>вредност</w:t>
      </w:r>
      <w:r>
        <w:rPr>
          <w:spacing w:val="40"/>
        </w:rPr>
        <w:t> </w:t>
      </w:r>
      <w:r>
        <w:rPr/>
        <w:t>на</w:t>
      </w:r>
      <w:r>
        <w:rPr>
          <w:spacing w:val="40"/>
        </w:rPr>
        <w:t> </w:t>
      </w:r>
      <w:r>
        <w:rPr/>
        <w:t>брзиот</w:t>
      </w:r>
      <w:r>
        <w:rPr>
          <w:spacing w:val="40"/>
        </w:rPr>
        <w:t> </w:t>
      </w:r>
      <w:r>
        <w:rPr/>
        <w:t>антигенски</w:t>
      </w:r>
      <w:r>
        <w:rPr>
          <w:spacing w:val="40"/>
        </w:rPr>
        <w:t> </w:t>
      </w:r>
      <w:r>
        <w:rPr/>
        <w:t>тест</w:t>
      </w:r>
      <w:r>
        <w:rPr>
          <w:spacing w:val="40"/>
        </w:rPr>
        <w:t> </w:t>
      </w:r>
      <w:r>
        <w:rPr/>
        <w:t>кој</w:t>
      </w:r>
      <w:r>
        <w:rPr>
          <w:spacing w:val="40"/>
        </w:rPr>
        <w:t> </w:t>
      </w:r>
      <w:r>
        <w:rPr/>
        <w:t>со сигурност</w:t>
      </w:r>
      <w:r>
        <w:rPr>
          <w:spacing w:val="40"/>
        </w:rPr>
        <w:t> </w:t>
      </w:r>
      <w:r>
        <w:rPr/>
        <w:t>ги</w:t>
      </w:r>
      <w:r>
        <w:rPr>
          <w:spacing w:val="80"/>
        </w:rPr>
        <w:t> </w:t>
      </w:r>
      <w:r>
        <w:rPr/>
        <w:t>детектира</w:t>
      </w:r>
      <w:r>
        <w:rPr>
          <w:spacing w:val="40"/>
        </w:rPr>
        <w:t> </w:t>
      </w:r>
      <w:r>
        <w:rPr/>
        <w:t>инфицираните</w:t>
      </w:r>
      <w:r>
        <w:rPr>
          <w:spacing w:val="80"/>
        </w:rPr>
        <w:t> </w:t>
      </w:r>
      <w:r>
        <w:rPr/>
        <w:t>лица</w:t>
      </w:r>
      <w:r>
        <w:rPr>
          <w:spacing w:val="80"/>
        </w:rPr>
        <w:t> </w:t>
      </w:r>
      <w:r>
        <w:rPr/>
        <w:t>со SARS-CoV-2</w:t>
      </w:r>
      <w:r>
        <w:rPr>
          <w:spacing w:val="40"/>
        </w:rPr>
        <w:t> </w:t>
      </w:r>
      <w:r>
        <w:rPr/>
        <w:t>кои</w:t>
      </w:r>
      <w:r>
        <w:rPr>
          <w:spacing w:val="40"/>
        </w:rPr>
        <w:t> </w:t>
      </w:r>
      <w:r>
        <w:rPr/>
        <w:t>се</w:t>
      </w:r>
      <w:r>
        <w:rPr>
          <w:spacing w:val="40"/>
        </w:rPr>
        <w:t> </w:t>
      </w:r>
      <w:r>
        <w:rPr/>
        <w:t>заразни</w:t>
      </w:r>
      <w:r>
        <w:rPr>
          <w:spacing w:val="40"/>
        </w:rPr>
        <w:t> </w:t>
      </w:r>
      <w:r>
        <w:rPr/>
        <w:t>и</w:t>
      </w:r>
      <w:r>
        <w:rPr>
          <w:spacing w:val="40"/>
        </w:rPr>
        <w:t> </w:t>
      </w:r>
      <w:r>
        <w:rPr/>
        <w:t>активно</w:t>
      </w:r>
      <w:r>
        <w:rPr>
          <w:spacing w:val="40"/>
        </w:rPr>
        <w:t> </w:t>
      </w:r>
      <w:r>
        <w:rPr/>
        <w:t>го</w:t>
      </w:r>
      <w:r>
        <w:rPr>
          <w:spacing w:val="40"/>
        </w:rPr>
        <w:t> </w:t>
      </w:r>
      <w:r>
        <w:rPr/>
        <w:t>шират вирусот во заедницата.</w:t>
      </w:r>
    </w:p>
    <w:p>
      <w:pPr>
        <w:pStyle w:val="BodyText"/>
        <w:spacing w:before="5"/>
        <w:rPr>
          <w:sz w:val="20"/>
        </w:rPr>
      </w:pPr>
    </w:p>
    <w:p>
      <w:pPr>
        <w:pStyle w:val="BodyText"/>
        <w:spacing w:before="1"/>
        <w:ind w:left="238" w:right="290"/>
      </w:pPr>
      <w:r>
        <w:rPr>
          <w:b/>
        </w:rPr>
        <w:t>Клучни зборови</w:t>
      </w:r>
      <w:r>
        <w:rPr/>
        <w:t>: КОВИД-19, РТ-ПВР, Брз SARS- CoV-2 Аг тест, сензитивност, специфичност</w:t>
      </w:r>
    </w:p>
    <w:p>
      <w:pPr>
        <w:spacing w:after="0"/>
        <w:sectPr>
          <w:type w:val="continuous"/>
          <w:pgSz w:w="11910" w:h="16840"/>
          <w:pgMar w:header="0" w:footer="0" w:top="740" w:bottom="0" w:left="900" w:right="840"/>
          <w:cols w:num="2" w:equalWidth="0">
            <w:col w:w="4926" w:space="71"/>
            <w:col w:w="5173"/>
          </w:cols>
        </w:sectPr>
      </w:pPr>
    </w:p>
    <w:p>
      <w:pPr>
        <w:pStyle w:val="BodyText"/>
        <w:tabs>
          <w:tab w:pos="5235" w:val="left" w:leader="none"/>
          <w:tab w:pos="9800" w:val="left" w:leader="none"/>
        </w:tabs>
        <w:spacing w:line="240" w:lineRule="exact"/>
        <w:ind w:left="238"/>
      </w:pPr>
      <w:r>
        <w:rPr/>
        <w:t>actively</w:t>
      </w:r>
      <w:r>
        <w:rPr>
          <w:spacing w:val="-7"/>
        </w:rPr>
        <w:t> </w:t>
      </w:r>
      <w:r>
        <w:rPr/>
        <w:t>spread</w:t>
      </w:r>
      <w:r>
        <w:rPr>
          <w:spacing w:val="-3"/>
        </w:rPr>
        <w:t> </w:t>
      </w:r>
      <w:r>
        <w:rPr/>
        <w:t>the</w:t>
      </w:r>
      <w:r>
        <w:rPr>
          <w:spacing w:val="-3"/>
        </w:rPr>
        <w:t> </w:t>
      </w:r>
      <w:r>
        <w:rPr/>
        <w:t>virus</w:t>
      </w:r>
      <w:r>
        <w:rPr>
          <w:spacing w:val="-4"/>
        </w:rPr>
        <w:t> </w:t>
      </w:r>
      <w:r>
        <w:rPr/>
        <w:t>in</w:t>
      </w:r>
      <w:r>
        <w:rPr>
          <w:spacing w:val="-3"/>
        </w:rPr>
        <w:t> </w:t>
      </w:r>
      <w:r>
        <w:rPr/>
        <w:t>the</w:t>
      </w:r>
      <w:r>
        <w:rPr>
          <w:spacing w:val="-3"/>
        </w:rPr>
        <w:t> </w:t>
      </w:r>
      <w:r>
        <w:rPr>
          <w:spacing w:val="-2"/>
        </w:rPr>
        <w:t>community.</w:t>
      </w:r>
      <w:r>
        <w:rPr/>
        <w:tab/>
      </w:r>
      <w:r>
        <w:rPr>
          <w:u w:val="single"/>
        </w:rPr>
        <w:tab/>
      </w:r>
    </w:p>
    <w:p>
      <w:pPr>
        <w:pStyle w:val="BodyText"/>
        <w:spacing w:before="1"/>
        <w:rPr>
          <w:sz w:val="13"/>
        </w:rPr>
      </w:pPr>
    </w:p>
    <w:p>
      <w:pPr>
        <w:spacing w:after="0"/>
        <w:rPr>
          <w:sz w:val="13"/>
        </w:rPr>
        <w:sectPr>
          <w:type w:val="continuous"/>
          <w:pgSz w:w="11910" w:h="16840"/>
          <w:pgMar w:header="0" w:footer="0" w:top="740" w:bottom="0" w:left="900" w:right="840"/>
        </w:sectPr>
      </w:pPr>
    </w:p>
    <w:p>
      <w:pPr>
        <w:pStyle w:val="BodyText"/>
        <w:spacing w:before="93"/>
        <w:ind w:left="238"/>
      </w:pPr>
      <w:r>
        <w:rPr/>
        <w:pict>
          <v:rect style="position:absolute;margin-left:497.899994pt;margin-top:41.649994pt;width:81pt;height:31.8pt;mso-position-horizontal-relative:page;mso-position-vertical-relative:page;z-index:-17644032" id="docshape490" filled="true" fillcolor="#ffffff" stroked="false">
            <v:fill type="solid"/>
            <w10:wrap type="none"/>
          </v:rect>
        </w:pict>
      </w:r>
      <w:r>
        <w:rPr>
          <w:b/>
          <w:spacing w:val="-2"/>
        </w:rPr>
        <w:t>Keywords:</w:t>
      </w:r>
      <w:r>
        <w:rPr>
          <w:b/>
        </w:rPr>
        <w:t> </w:t>
      </w:r>
      <w:r>
        <w:rPr>
          <w:spacing w:val="-2"/>
        </w:rPr>
        <w:t>COVID-19,</w:t>
      </w:r>
      <w:r>
        <w:rPr>
          <w:spacing w:val="-2"/>
        </w:rPr>
        <w:t> RT-qPCR,</w:t>
      </w:r>
      <w:r>
        <w:rPr>
          <w:spacing w:val="-2"/>
        </w:rPr>
        <w:t> rapid</w:t>
      </w:r>
      <w:r>
        <w:rPr>
          <w:spacing w:val="-2"/>
        </w:rPr>
        <w:t> SARS-CoV-2 </w:t>
      </w:r>
      <w:r>
        <w:rPr/>
        <w:t>Ag test, sensitivity, specificity</w:t>
      </w:r>
    </w:p>
    <w:p>
      <w:pPr>
        <w:pStyle w:val="BodyText"/>
        <w:spacing w:before="5"/>
        <w:rPr>
          <w:sz w:val="18"/>
        </w:rPr>
      </w:pPr>
      <w:r>
        <w:rPr/>
        <w:pict>
          <v:shape style="position:absolute;margin-left:56.903999pt;margin-top:11.836206pt;width:225.9pt;height:.1pt;mso-position-horizontal-relative:page;mso-position-vertical-relative:paragraph;z-index:-15718912;mso-wrap-distance-left:0;mso-wrap-distance-right:0" id="docshape491" coordorigin="1138,237" coordsize="4518,0" path="m1138,237l5656,237e" filled="false" stroked="true" strokeweight=".4224pt" strokecolor="#000000">
            <v:path arrowok="t"/>
            <v:stroke dashstyle="solid"/>
            <w10:wrap type="topAndBottom"/>
          </v:shape>
        </w:pict>
      </w:r>
    </w:p>
    <w:p>
      <w:pPr>
        <w:pStyle w:val="BodyText"/>
        <w:spacing w:before="4"/>
      </w:pPr>
    </w:p>
    <w:p>
      <w:pPr>
        <w:pStyle w:val="Heading4"/>
      </w:pPr>
      <w:r>
        <w:rPr>
          <w:spacing w:val="-2"/>
        </w:rPr>
        <w:t>Апстракт</w:t>
      </w:r>
    </w:p>
    <w:p>
      <w:pPr>
        <w:pStyle w:val="BodyText"/>
        <w:spacing w:before="6"/>
        <w:rPr>
          <w:b/>
          <w:sz w:val="20"/>
        </w:rPr>
      </w:pPr>
    </w:p>
    <w:p>
      <w:pPr>
        <w:pStyle w:val="BodyText"/>
        <w:ind w:left="238" w:right="38"/>
        <w:jc w:val="both"/>
      </w:pPr>
      <w:r>
        <w:rPr>
          <w:b/>
        </w:rPr>
        <w:t>Вовед.</w:t>
      </w:r>
      <w:r>
        <w:rPr>
          <w:b/>
          <w:spacing w:val="-8"/>
        </w:rPr>
        <w:t> </w:t>
      </w:r>
      <w:r>
        <w:rPr/>
        <w:t>Здравјето</w:t>
      </w:r>
      <w:r>
        <w:rPr>
          <w:spacing w:val="-8"/>
        </w:rPr>
        <w:t> </w:t>
      </w:r>
      <w:r>
        <w:rPr/>
        <w:t>на</w:t>
      </w:r>
      <w:r>
        <w:rPr>
          <w:spacing w:val="-8"/>
        </w:rPr>
        <w:t> </w:t>
      </w:r>
      <w:r>
        <w:rPr/>
        <w:t>луѓето,</w:t>
      </w:r>
      <w:r>
        <w:rPr>
          <w:spacing w:val="-7"/>
        </w:rPr>
        <w:t> </w:t>
      </w:r>
      <w:r>
        <w:rPr/>
        <w:t>на</w:t>
      </w:r>
      <w:r>
        <w:rPr>
          <w:spacing w:val="-8"/>
        </w:rPr>
        <w:t> </w:t>
      </w:r>
      <w:r>
        <w:rPr/>
        <w:t>глобално</w:t>
      </w:r>
      <w:r>
        <w:rPr>
          <w:spacing w:val="-8"/>
        </w:rPr>
        <w:t> </w:t>
      </w:r>
      <w:r>
        <w:rPr/>
        <w:t>ниво,</w:t>
      </w:r>
      <w:r>
        <w:rPr>
          <w:spacing w:val="-8"/>
        </w:rPr>
        <w:t> </w:t>
      </w:r>
      <w:r>
        <w:rPr/>
        <w:t>е</w:t>
      </w:r>
      <w:r>
        <w:rPr>
          <w:spacing w:val="-8"/>
        </w:rPr>
        <w:t> </w:t>
      </w:r>
      <w:r>
        <w:rPr/>
        <w:t>заг- розено</w:t>
      </w:r>
      <w:r>
        <w:rPr>
          <w:spacing w:val="-14"/>
        </w:rPr>
        <w:t> </w:t>
      </w:r>
      <w:r>
        <w:rPr/>
        <w:t>поради</w:t>
      </w:r>
      <w:r>
        <w:rPr>
          <w:spacing w:val="-13"/>
        </w:rPr>
        <w:t> </w:t>
      </w:r>
      <w:r>
        <w:rPr/>
        <w:t>пандемијата</w:t>
      </w:r>
      <w:r>
        <w:rPr>
          <w:spacing w:val="-13"/>
        </w:rPr>
        <w:t> </w:t>
      </w:r>
      <w:r>
        <w:rPr/>
        <w:t>со</w:t>
      </w:r>
      <w:r>
        <w:rPr>
          <w:spacing w:val="-13"/>
        </w:rPr>
        <w:t> </w:t>
      </w:r>
      <w:r>
        <w:rPr/>
        <w:t>КОВИД-19.</w:t>
      </w:r>
      <w:r>
        <w:rPr>
          <w:spacing w:val="-13"/>
        </w:rPr>
        <w:t> </w:t>
      </w:r>
      <w:r>
        <w:rPr/>
        <w:t>Референ- тен</w:t>
      </w:r>
      <w:r>
        <w:rPr>
          <w:spacing w:val="-3"/>
        </w:rPr>
        <w:t> </w:t>
      </w:r>
      <w:r>
        <w:rPr/>
        <w:t>тест за идентификација на акутна инфекција со SARS-CoV-2 e РТ-ПВР, но</w:t>
      </w:r>
      <w:r>
        <w:rPr>
          <w:spacing w:val="-3"/>
        </w:rPr>
        <w:t> </w:t>
      </w:r>
      <w:r>
        <w:rPr/>
        <w:t>ова тестирање е поврза-</w:t>
      </w:r>
    </w:p>
    <w:p>
      <w:pPr>
        <w:pStyle w:val="BodyText"/>
        <w:rPr>
          <w:sz w:val="20"/>
        </w:rPr>
      </w:pPr>
    </w:p>
    <w:p>
      <w:pPr>
        <w:pStyle w:val="BodyText"/>
        <w:spacing w:before="8"/>
        <w:rPr>
          <w:sz w:val="14"/>
        </w:rPr>
      </w:pPr>
      <w:r>
        <w:rPr/>
        <w:pict>
          <v:shape style="position:absolute;margin-left:56.903999pt;margin-top:9.688962pt;width:96.05pt;height:.1pt;mso-position-horizontal-relative:page;mso-position-vertical-relative:paragraph;z-index:-15718400;mso-wrap-distance-left:0;mso-wrap-distance-right:0" id="docshape492" coordorigin="1138,194" coordsize="1921,0" path="m1138,194l3059,194e" filled="false" stroked="true" strokeweight=".32964pt" strokecolor="#000000">
            <v:path arrowok="t"/>
            <v:stroke dashstyle="solid"/>
            <w10:wrap type="topAndBottom"/>
          </v:shape>
        </w:pict>
      </w:r>
    </w:p>
    <w:p>
      <w:pPr>
        <w:spacing w:before="0"/>
        <w:ind w:left="238" w:right="40" w:firstLine="0"/>
        <w:jc w:val="both"/>
        <w:rPr>
          <w:sz w:val="16"/>
        </w:rPr>
      </w:pPr>
      <w:r>
        <w:rPr>
          <w:i/>
          <w:sz w:val="16"/>
        </w:rPr>
        <w:t>Correspondence</w:t>
      </w:r>
      <w:r>
        <w:rPr>
          <w:i/>
          <w:spacing w:val="-10"/>
          <w:sz w:val="16"/>
        </w:rPr>
        <w:t> </w:t>
      </w:r>
      <w:r>
        <w:rPr>
          <w:i/>
          <w:sz w:val="16"/>
        </w:rPr>
        <w:t>to:</w:t>
      </w:r>
      <w:r>
        <w:rPr>
          <w:i/>
          <w:spacing w:val="80"/>
          <w:sz w:val="16"/>
        </w:rPr>
        <w:t>  </w:t>
      </w:r>
      <w:r>
        <w:rPr>
          <w:sz w:val="16"/>
        </w:rPr>
        <w:t>Gorica</w:t>
      </w:r>
      <w:r>
        <w:rPr>
          <w:spacing w:val="-8"/>
          <w:sz w:val="16"/>
        </w:rPr>
        <w:t> </w:t>
      </w:r>
      <w:r>
        <w:rPr>
          <w:sz w:val="16"/>
        </w:rPr>
        <w:t>Popova,</w:t>
      </w:r>
      <w:r>
        <w:rPr>
          <w:spacing w:val="-6"/>
          <w:sz w:val="16"/>
        </w:rPr>
        <w:t> </w:t>
      </w:r>
      <w:r>
        <w:rPr>
          <w:sz w:val="16"/>
        </w:rPr>
        <w:t>Institutе</w:t>
      </w:r>
      <w:r>
        <w:rPr>
          <w:spacing w:val="-10"/>
          <w:sz w:val="16"/>
        </w:rPr>
        <w:t> </w:t>
      </w:r>
      <w:r>
        <w:rPr>
          <w:sz w:val="16"/>
        </w:rPr>
        <w:t>of</w:t>
      </w:r>
      <w:r>
        <w:rPr>
          <w:spacing w:val="-9"/>
          <w:sz w:val="16"/>
        </w:rPr>
        <w:t> </w:t>
      </w:r>
      <w:r>
        <w:rPr>
          <w:sz w:val="16"/>
        </w:rPr>
        <w:t>Respiratory</w:t>
      </w:r>
      <w:r>
        <w:rPr>
          <w:spacing w:val="-9"/>
          <w:sz w:val="16"/>
        </w:rPr>
        <w:t> </w:t>
      </w:r>
      <w:r>
        <w:rPr>
          <w:sz w:val="16"/>
        </w:rPr>
        <w:t>Diseases</w:t>
      </w:r>
      <w:r>
        <w:rPr>
          <w:spacing w:val="40"/>
          <w:sz w:val="16"/>
        </w:rPr>
        <w:t> </w:t>
      </w:r>
      <w:r>
        <w:rPr>
          <w:spacing w:val="-6"/>
          <w:sz w:val="16"/>
        </w:rPr>
        <w:t>in</w:t>
      </w:r>
      <w:r>
        <w:rPr>
          <w:spacing w:val="-15"/>
          <w:sz w:val="16"/>
        </w:rPr>
        <w:t> </w:t>
      </w:r>
      <w:r>
        <w:rPr>
          <w:spacing w:val="-6"/>
          <w:sz w:val="16"/>
        </w:rPr>
        <w:t>Children,</w:t>
      </w:r>
      <w:r>
        <w:rPr>
          <w:spacing w:val="-18"/>
          <w:sz w:val="16"/>
        </w:rPr>
        <w:t> </w:t>
      </w:r>
      <w:r>
        <w:rPr>
          <w:spacing w:val="-6"/>
          <w:sz w:val="16"/>
        </w:rPr>
        <w:t>1000</w:t>
      </w:r>
      <w:r>
        <w:rPr>
          <w:spacing w:val="-15"/>
          <w:sz w:val="16"/>
        </w:rPr>
        <w:t> </w:t>
      </w:r>
      <w:r>
        <w:rPr>
          <w:spacing w:val="-6"/>
          <w:sz w:val="16"/>
        </w:rPr>
        <w:t>Skopje,</w:t>
      </w:r>
      <w:r>
        <w:rPr>
          <w:spacing w:val="-18"/>
          <w:sz w:val="16"/>
        </w:rPr>
        <w:t> </w:t>
      </w:r>
      <w:r>
        <w:rPr>
          <w:spacing w:val="-6"/>
          <w:sz w:val="16"/>
        </w:rPr>
        <w:t>R.</w:t>
      </w:r>
      <w:r>
        <w:rPr>
          <w:spacing w:val="-16"/>
          <w:sz w:val="16"/>
        </w:rPr>
        <w:t> </w:t>
      </w:r>
      <w:r>
        <w:rPr>
          <w:spacing w:val="-6"/>
          <w:sz w:val="16"/>
        </w:rPr>
        <w:t>N.</w:t>
      </w:r>
      <w:r>
        <w:rPr>
          <w:spacing w:val="-18"/>
          <w:sz w:val="16"/>
        </w:rPr>
        <w:t> </w:t>
      </w:r>
      <w:r>
        <w:rPr>
          <w:spacing w:val="-6"/>
          <w:sz w:val="16"/>
        </w:rPr>
        <w:t>Macedonia;</w:t>
      </w:r>
      <w:r>
        <w:rPr>
          <w:spacing w:val="-16"/>
          <w:sz w:val="16"/>
        </w:rPr>
        <w:t> </w:t>
      </w:r>
      <w:r>
        <w:rPr>
          <w:spacing w:val="-6"/>
          <w:sz w:val="16"/>
        </w:rPr>
        <w:t>E-mail:</w:t>
      </w:r>
      <w:r>
        <w:rPr>
          <w:spacing w:val="-18"/>
          <w:sz w:val="16"/>
        </w:rPr>
        <w:t> </w:t>
      </w:r>
      <w:hyperlink r:id="rId466">
        <w:r>
          <w:rPr>
            <w:spacing w:val="-6"/>
            <w:sz w:val="16"/>
          </w:rPr>
          <w:t>gorica.popova@yahoo.com</w:t>
        </w:r>
      </w:hyperlink>
    </w:p>
    <w:p>
      <w:pPr>
        <w:pStyle w:val="Heading4"/>
        <w:spacing w:before="97"/>
      </w:pPr>
      <w:r>
        <w:rPr>
          <w:b w:val="0"/>
        </w:rPr>
        <w:br w:type="column"/>
      </w:r>
      <w:r>
        <w:rPr>
          <w:spacing w:val="-2"/>
        </w:rPr>
        <w:t>Introduction</w:t>
      </w:r>
    </w:p>
    <w:p>
      <w:pPr>
        <w:pStyle w:val="BodyText"/>
        <w:spacing w:before="6"/>
        <w:rPr>
          <w:b/>
          <w:sz w:val="20"/>
        </w:rPr>
      </w:pPr>
    </w:p>
    <w:p>
      <w:pPr>
        <w:pStyle w:val="BodyText"/>
        <w:ind w:left="238" w:right="290"/>
        <w:jc w:val="both"/>
      </w:pPr>
      <w:r>
        <w:rPr/>
        <w:t>Severe acute respiratory syndrome coronavirus 2 (SARS-CoV-2), a novel corona virus, emerged in December</w:t>
      </w:r>
      <w:r>
        <w:rPr>
          <w:spacing w:val="-4"/>
        </w:rPr>
        <w:t> </w:t>
      </w:r>
      <w:r>
        <w:rPr/>
        <w:t>2019</w:t>
      </w:r>
      <w:r>
        <w:rPr>
          <w:spacing w:val="-3"/>
        </w:rPr>
        <w:t> </w:t>
      </w:r>
      <w:r>
        <w:rPr/>
        <w:t>in</w:t>
      </w:r>
      <w:r>
        <w:rPr>
          <w:spacing w:val="-3"/>
        </w:rPr>
        <w:t> </w:t>
      </w:r>
      <w:r>
        <w:rPr/>
        <w:t>Wuhan,</w:t>
      </w:r>
      <w:r>
        <w:rPr>
          <w:spacing w:val="-3"/>
        </w:rPr>
        <w:t> </w:t>
      </w:r>
      <w:r>
        <w:rPr/>
        <w:t>China</w:t>
      </w:r>
      <w:r>
        <w:rPr>
          <w:spacing w:val="-3"/>
        </w:rPr>
        <w:t> </w:t>
      </w:r>
      <w:r>
        <w:rPr/>
        <w:t>[1],</w:t>
      </w:r>
      <w:r>
        <w:rPr>
          <w:spacing w:val="-3"/>
        </w:rPr>
        <w:t> </w:t>
      </w:r>
      <w:r>
        <w:rPr/>
        <w:t>and</w:t>
      </w:r>
      <w:r>
        <w:rPr>
          <w:spacing w:val="-3"/>
        </w:rPr>
        <w:t> </w:t>
      </w:r>
      <w:r>
        <w:rPr/>
        <w:t>within</w:t>
      </w:r>
      <w:r>
        <w:rPr>
          <w:spacing w:val="-3"/>
        </w:rPr>
        <w:t> </w:t>
      </w:r>
      <w:r>
        <w:rPr/>
        <w:t>a</w:t>
      </w:r>
      <w:r>
        <w:rPr>
          <w:spacing w:val="-3"/>
        </w:rPr>
        <w:t> </w:t>
      </w:r>
      <w:r>
        <w:rPr/>
        <w:t>few months had spread worldwide. To date, 89.9 million have been infected with SARS-CoV-2, and 1.9 million have died from coronavirus disease 2019 (COVID-19) [2]. In this pandemic situation, early diagnosis of in- fectious patients is especially important for implemen- tation of relevant epidemiological measures for dis- continuation of the SARS-CoV-2 transmission chain. </w:t>
      </w:r>
      <w:r>
        <w:rPr>
          <w:spacing w:val="-4"/>
        </w:rPr>
        <w:t>Reverse-transcription</w:t>
      </w:r>
      <w:r>
        <w:rPr>
          <w:spacing w:val="-9"/>
        </w:rPr>
        <w:t> </w:t>
      </w:r>
      <w:r>
        <w:rPr>
          <w:spacing w:val="-4"/>
        </w:rPr>
        <w:t>quantitative</w:t>
      </w:r>
      <w:r>
        <w:rPr>
          <w:spacing w:val="-9"/>
        </w:rPr>
        <w:t> </w:t>
      </w:r>
      <w:r>
        <w:rPr>
          <w:spacing w:val="-4"/>
        </w:rPr>
        <w:t>polymerase</w:t>
      </w:r>
      <w:r>
        <w:rPr>
          <w:spacing w:val="-9"/>
        </w:rPr>
        <w:t> </w:t>
      </w:r>
      <w:r>
        <w:rPr>
          <w:spacing w:val="-4"/>
        </w:rPr>
        <w:t>chain</w:t>
      </w:r>
      <w:r>
        <w:rPr>
          <w:spacing w:val="-9"/>
        </w:rPr>
        <w:t> </w:t>
      </w:r>
      <w:r>
        <w:rPr>
          <w:spacing w:val="-4"/>
        </w:rPr>
        <w:t>reac- </w:t>
      </w:r>
      <w:r>
        <w:rPr/>
        <w:t>tion</w:t>
      </w:r>
      <w:r>
        <w:rPr>
          <w:spacing w:val="1"/>
        </w:rPr>
        <w:t> </w:t>
      </w:r>
      <w:r>
        <w:rPr/>
        <w:t>(RT-qPCR)</w:t>
      </w:r>
      <w:r>
        <w:rPr>
          <w:spacing w:val="2"/>
        </w:rPr>
        <w:t> </w:t>
      </w:r>
      <w:r>
        <w:rPr/>
        <w:t>is</w:t>
      </w:r>
      <w:r>
        <w:rPr>
          <w:spacing w:val="3"/>
        </w:rPr>
        <w:t> </w:t>
      </w:r>
      <w:r>
        <w:rPr/>
        <w:t>a</w:t>
      </w:r>
      <w:r>
        <w:rPr>
          <w:spacing w:val="3"/>
        </w:rPr>
        <w:t> </w:t>
      </w:r>
      <w:r>
        <w:rPr/>
        <w:t>reference</w:t>
      </w:r>
      <w:r>
        <w:rPr>
          <w:spacing w:val="3"/>
        </w:rPr>
        <w:t> </w:t>
      </w:r>
      <w:r>
        <w:rPr/>
        <w:t>test</w:t>
      </w:r>
      <w:r>
        <w:rPr>
          <w:spacing w:val="2"/>
        </w:rPr>
        <w:t> </w:t>
      </w:r>
      <w:r>
        <w:rPr/>
        <w:t>for</w:t>
      </w:r>
      <w:r>
        <w:rPr>
          <w:spacing w:val="2"/>
        </w:rPr>
        <w:t> </w:t>
      </w:r>
      <w:r>
        <w:rPr/>
        <w:t>identification</w:t>
      </w:r>
      <w:r>
        <w:rPr>
          <w:spacing w:val="4"/>
        </w:rPr>
        <w:t> </w:t>
      </w:r>
      <w:r>
        <w:rPr>
          <w:spacing w:val="-5"/>
        </w:rPr>
        <w:t>of</w:t>
      </w:r>
    </w:p>
    <w:p>
      <w:pPr>
        <w:spacing w:after="0"/>
        <w:jc w:val="both"/>
        <w:sectPr>
          <w:type w:val="continuous"/>
          <w:pgSz w:w="11910" w:h="16840"/>
          <w:pgMar w:header="0" w:footer="0" w:top="740" w:bottom="0" w:left="900" w:right="840"/>
          <w:cols w:num="2" w:equalWidth="0">
            <w:col w:w="4921" w:space="76"/>
            <w:col w:w="5173"/>
          </w:cols>
        </w:sectPr>
      </w:pPr>
    </w:p>
    <w:p>
      <w:pPr>
        <w:pStyle w:val="BodyText"/>
        <w:spacing w:before="5"/>
        <w:rPr>
          <w:sz w:val="15"/>
        </w:rPr>
      </w:pPr>
    </w:p>
    <w:p>
      <w:pPr>
        <w:spacing w:after="0"/>
        <w:rPr>
          <w:sz w:val="15"/>
        </w:rPr>
        <w:sectPr>
          <w:headerReference w:type="default" r:id="rId467"/>
          <w:headerReference w:type="even" r:id="rId468"/>
          <w:pgSz w:w="11910" w:h="16840"/>
          <w:pgMar w:header="835" w:footer="0" w:top="1300" w:bottom="280" w:left="900" w:right="840"/>
          <w:pgNumType w:start="11"/>
        </w:sectPr>
      </w:pPr>
    </w:p>
    <w:p>
      <w:pPr>
        <w:pStyle w:val="BodyText"/>
        <w:spacing w:before="92"/>
        <w:ind w:left="238" w:right="38"/>
        <w:jc w:val="both"/>
      </w:pPr>
      <w:r>
        <w:rPr/>
        <w:t>acute SARS-CoV-2 infection and it is routinely used</w:t>
      </w:r>
      <w:r>
        <w:rPr>
          <w:spacing w:val="80"/>
        </w:rPr>
        <w:t> </w:t>
      </w:r>
      <w:r>
        <w:rPr/>
        <w:t>in clinical practice [3]. Despite its high sensitivity and specificity, RT-qPCR test typically takes 4-5 h for re- sults</w:t>
      </w:r>
      <w:r>
        <w:rPr>
          <w:spacing w:val="-7"/>
        </w:rPr>
        <w:t> </w:t>
      </w:r>
      <w:r>
        <w:rPr/>
        <w:t>and</w:t>
      </w:r>
      <w:r>
        <w:rPr>
          <w:spacing w:val="-10"/>
        </w:rPr>
        <w:t> </w:t>
      </w:r>
      <w:r>
        <w:rPr/>
        <w:t>requires</w:t>
      </w:r>
      <w:r>
        <w:rPr>
          <w:spacing w:val="-12"/>
        </w:rPr>
        <w:t> </w:t>
      </w:r>
      <w:r>
        <w:rPr/>
        <w:t>specialized</w:t>
      </w:r>
      <w:r>
        <w:rPr>
          <w:spacing w:val="-10"/>
        </w:rPr>
        <w:t> </w:t>
      </w:r>
      <w:r>
        <w:rPr/>
        <w:t>laboratory</w:t>
      </w:r>
      <w:r>
        <w:rPr>
          <w:spacing w:val="-13"/>
        </w:rPr>
        <w:t> </w:t>
      </w:r>
      <w:r>
        <w:rPr/>
        <w:t>equipment</w:t>
      </w:r>
      <w:r>
        <w:rPr>
          <w:spacing w:val="-12"/>
        </w:rPr>
        <w:t> </w:t>
      </w:r>
      <w:r>
        <w:rPr/>
        <w:t>and skilled</w:t>
      </w:r>
      <w:r>
        <w:rPr>
          <w:spacing w:val="-5"/>
        </w:rPr>
        <w:t> </w:t>
      </w:r>
      <w:r>
        <w:rPr/>
        <w:t>technicians.</w:t>
      </w:r>
      <w:r>
        <w:rPr>
          <w:spacing w:val="-5"/>
        </w:rPr>
        <w:t> </w:t>
      </w:r>
      <w:r>
        <w:rPr/>
        <w:t>Therefore,</w:t>
      </w:r>
      <w:r>
        <w:rPr>
          <w:spacing w:val="-5"/>
        </w:rPr>
        <w:t> </w:t>
      </w:r>
      <w:r>
        <w:rPr/>
        <w:t>the</w:t>
      </w:r>
      <w:r>
        <w:rPr>
          <w:spacing w:val="-5"/>
        </w:rPr>
        <w:t> </w:t>
      </w:r>
      <w:r>
        <w:rPr/>
        <w:t>need</w:t>
      </w:r>
      <w:r>
        <w:rPr>
          <w:spacing w:val="-8"/>
        </w:rPr>
        <w:t> </w:t>
      </w:r>
      <w:r>
        <w:rPr/>
        <w:t>of</w:t>
      </w:r>
      <w:r>
        <w:rPr>
          <w:spacing w:val="-6"/>
        </w:rPr>
        <w:t> </w:t>
      </w:r>
      <w:r>
        <w:rPr/>
        <w:t>inexpensive, reliable</w:t>
      </w:r>
      <w:r>
        <w:rPr>
          <w:spacing w:val="-5"/>
        </w:rPr>
        <w:t> </w:t>
      </w:r>
      <w:r>
        <w:rPr/>
        <w:t>tests</w:t>
      </w:r>
      <w:r>
        <w:rPr>
          <w:spacing w:val="-5"/>
        </w:rPr>
        <w:t> </w:t>
      </w:r>
      <w:r>
        <w:rPr/>
        <w:t>for</w:t>
      </w:r>
      <w:r>
        <w:rPr>
          <w:spacing w:val="-5"/>
        </w:rPr>
        <w:t> </w:t>
      </w:r>
      <w:r>
        <w:rPr/>
        <w:t>detection</w:t>
      </w:r>
      <w:r>
        <w:rPr>
          <w:spacing w:val="-5"/>
        </w:rPr>
        <w:t> </w:t>
      </w:r>
      <w:r>
        <w:rPr/>
        <w:t>of</w:t>
      </w:r>
      <w:r>
        <w:rPr>
          <w:spacing w:val="-4"/>
        </w:rPr>
        <w:t> </w:t>
      </w:r>
      <w:r>
        <w:rPr/>
        <w:t>SARS-COV-2</w:t>
      </w:r>
      <w:r>
        <w:rPr>
          <w:spacing w:val="-5"/>
        </w:rPr>
        <w:t> </w:t>
      </w:r>
      <w:r>
        <w:rPr/>
        <w:t>was</w:t>
      </w:r>
      <w:r>
        <w:rPr>
          <w:spacing w:val="-5"/>
        </w:rPr>
        <w:t> </w:t>
      </w:r>
      <w:r>
        <w:rPr/>
        <w:t>recog- </w:t>
      </w:r>
      <w:r>
        <w:rPr>
          <w:spacing w:val="-2"/>
        </w:rPr>
        <w:t>nized</w:t>
      </w:r>
      <w:r>
        <w:rPr>
          <w:spacing w:val="-6"/>
        </w:rPr>
        <w:t> </w:t>
      </w:r>
      <w:r>
        <w:rPr>
          <w:spacing w:val="-2"/>
        </w:rPr>
        <w:t>by</w:t>
      </w:r>
      <w:r>
        <w:rPr>
          <w:spacing w:val="-10"/>
        </w:rPr>
        <w:t> </w:t>
      </w:r>
      <w:r>
        <w:rPr>
          <w:spacing w:val="-2"/>
        </w:rPr>
        <w:t>the</w:t>
      </w:r>
      <w:r>
        <w:rPr>
          <w:spacing w:val="-11"/>
        </w:rPr>
        <w:t> </w:t>
      </w:r>
      <w:r>
        <w:rPr>
          <w:spacing w:val="-2"/>
        </w:rPr>
        <w:t>WHO</w:t>
      </w:r>
      <w:r>
        <w:rPr>
          <w:spacing w:val="-9"/>
        </w:rPr>
        <w:t> </w:t>
      </w:r>
      <w:r>
        <w:rPr>
          <w:spacing w:val="-2"/>
        </w:rPr>
        <w:t>[4].</w:t>
      </w:r>
      <w:r>
        <w:rPr>
          <w:spacing w:val="-8"/>
        </w:rPr>
        <w:t> </w:t>
      </w:r>
      <w:r>
        <w:rPr>
          <w:spacing w:val="-2"/>
        </w:rPr>
        <w:t>Lateral</w:t>
      </w:r>
      <w:r>
        <w:rPr>
          <w:spacing w:val="-9"/>
        </w:rPr>
        <w:t> </w:t>
      </w:r>
      <w:r>
        <w:rPr>
          <w:spacing w:val="-2"/>
        </w:rPr>
        <w:t>Flow</w:t>
      </w:r>
      <w:r>
        <w:rPr>
          <w:spacing w:val="-12"/>
        </w:rPr>
        <w:t> </w:t>
      </w:r>
      <w:r>
        <w:rPr>
          <w:spacing w:val="-2"/>
        </w:rPr>
        <w:t>Assay</w:t>
      </w:r>
      <w:r>
        <w:rPr>
          <w:spacing w:val="-9"/>
        </w:rPr>
        <w:t> </w:t>
      </w:r>
      <w:r>
        <w:rPr>
          <w:spacing w:val="-2"/>
        </w:rPr>
        <w:t>(LFA)-based </w:t>
      </w:r>
      <w:r>
        <w:rPr/>
        <w:t>point of care tests (POCT) for rapid antigen detection seems to be a good choice. They</w:t>
      </w:r>
      <w:r>
        <w:rPr>
          <w:spacing w:val="-3"/>
        </w:rPr>
        <w:t> </w:t>
      </w:r>
      <w:r>
        <w:rPr/>
        <w:t>do not</w:t>
      </w:r>
      <w:r>
        <w:rPr>
          <w:spacing w:val="-1"/>
        </w:rPr>
        <w:t> </w:t>
      </w:r>
      <w:r>
        <w:rPr/>
        <w:t>require special equipment</w:t>
      </w:r>
      <w:r>
        <w:rPr>
          <w:spacing w:val="-14"/>
        </w:rPr>
        <w:t> </w:t>
      </w:r>
      <w:r>
        <w:rPr/>
        <w:t>or</w:t>
      </w:r>
      <w:r>
        <w:rPr>
          <w:spacing w:val="-11"/>
        </w:rPr>
        <w:t> </w:t>
      </w:r>
      <w:r>
        <w:rPr/>
        <w:t>specially</w:t>
      </w:r>
      <w:r>
        <w:rPr>
          <w:spacing w:val="-14"/>
        </w:rPr>
        <w:t> </w:t>
      </w:r>
      <w:r>
        <w:rPr/>
        <w:t>trained</w:t>
      </w:r>
      <w:r>
        <w:rPr>
          <w:spacing w:val="-13"/>
        </w:rPr>
        <w:t> </w:t>
      </w:r>
      <w:r>
        <w:rPr/>
        <w:t>staff</w:t>
      </w:r>
      <w:r>
        <w:rPr>
          <w:spacing w:val="-13"/>
        </w:rPr>
        <w:t> </w:t>
      </w:r>
      <w:r>
        <w:rPr/>
        <w:t>and</w:t>
      </w:r>
      <w:r>
        <w:rPr>
          <w:spacing w:val="-12"/>
        </w:rPr>
        <w:t> </w:t>
      </w:r>
      <w:r>
        <w:rPr/>
        <w:t>generate</w:t>
      </w:r>
      <w:r>
        <w:rPr>
          <w:spacing w:val="-13"/>
        </w:rPr>
        <w:t> </w:t>
      </w:r>
      <w:r>
        <w:rPr/>
        <w:t>results within</w:t>
      </w:r>
      <w:r>
        <w:rPr>
          <w:spacing w:val="-11"/>
        </w:rPr>
        <w:t> </w:t>
      </w:r>
      <w:r>
        <w:rPr/>
        <w:t>20</w:t>
      </w:r>
      <w:r>
        <w:rPr>
          <w:spacing w:val="-9"/>
        </w:rPr>
        <w:t> </w:t>
      </w:r>
      <w:r>
        <w:rPr/>
        <w:t>minutes</w:t>
      </w:r>
      <w:r>
        <w:rPr>
          <w:spacing w:val="-10"/>
        </w:rPr>
        <w:t> </w:t>
      </w:r>
      <w:r>
        <w:rPr/>
        <w:t>[5].</w:t>
      </w:r>
      <w:r>
        <w:rPr>
          <w:spacing w:val="-11"/>
        </w:rPr>
        <w:t> </w:t>
      </w:r>
      <w:r>
        <w:rPr/>
        <w:t>Considering</w:t>
      </w:r>
      <w:r>
        <w:rPr>
          <w:spacing w:val="-11"/>
        </w:rPr>
        <w:t> </w:t>
      </w:r>
      <w:r>
        <w:rPr/>
        <w:t>short</w:t>
      </w:r>
      <w:r>
        <w:rPr>
          <w:spacing w:val="-11"/>
        </w:rPr>
        <w:t> </w:t>
      </w:r>
      <w:r>
        <w:rPr/>
        <w:t>turn</w:t>
      </w:r>
      <w:r>
        <w:rPr>
          <w:spacing w:val="-9"/>
        </w:rPr>
        <w:t> </w:t>
      </w:r>
      <w:r>
        <w:rPr/>
        <w:t>around</w:t>
      </w:r>
      <w:r>
        <w:rPr>
          <w:spacing w:val="-10"/>
        </w:rPr>
        <w:t> </w:t>
      </w:r>
      <w:r>
        <w:rPr/>
        <w:t>ti- mes, this testing system enables expanding of the tes- ting and therefore detection</w:t>
      </w:r>
      <w:r>
        <w:rPr>
          <w:spacing w:val="-1"/>
        </w:rPr>
        <w:t> </w:t>
      </w:r>
      <w:r>
        <w:rPr/>
        <w:t>of a larger number of con- tagious people. However, the diagnostic value of the rapid tests should be based on comparing the test re- sults</w:t>
      </w:r>
      <w:r>
        <w:rPr>
          <w:spacing w:val="-14"/>
        </w:rPr>
        <w:t> </w:t>
      </w:r>
      <w:r>
        <w:rPr/>
        <w:t>with</w:t>
      </w:r>
      <w:r>
        <w:rPr>
          <w:spacing w:val="-13"/>
        </w:rPr>
        <w:t> </w:t>
      </w:r>
      <w:r>
        <w:rPr/>
        <w:t>the</w:t>
      </w:r>
      <w:r>
        <w:rPr>
          <w:spacing w:val="-13"/>
        </w:rPr>
        <w:t> </w:t>
      </w:r>
      <w:r>
        <w:rPr/>
        <w:t>results</w:t>
      </w:r>
      <w:r>
        <w:rPr>
          <w:spacing w:val="-13"/>
        </w:rPr>
        <w:t> </w:t>
      </w:r>
      <w:r>
        <w:rPr/>
        <w:t>obtained</w:t>
      </w:r>
      <w:r>
        <w:rPr>
          <w:spacing w:val="-13"/>
        </w:rPr>
        <w:t> </w:t>
      </w:r>
      <w:r>
        <w:rPr/>
        <w:t>by</w:t>
      </w:r>
      <w:r>
        <w:rPr>
          <w:spacing w:val="-13"/>
        </w:rPr>
        <w:t> </w:t>
      </w:r>
      <w:r>
        <w:rPr/>
        <w:t>the</w:t>
      </w:r>
      <w:r>
        <w:rPr>
          <w:spacing w:val="-13"/>
        </w:rPr>
        <w:t> </w:t>
      </w:r>
      <w:r>
        <w:rPr/>
        <w:t>RT-qPCR</w:t>
      </w:r>
      <w:r>
        <w:rPr>
          <w:spacing w:val="-13"/>
        </w:rPr>
        <w:t> </w:t>
      </w:r>
      <w:r>
        <w:rPr/>
        <w:t>as</w:t>
      </w:r>
      <w:r>
        <w:rPr>
          <w:spacing w:val="-14"/>
        </w:rPr>
        <w:t> </w:t>
      </w:r>
      <w:r>
        <w:rPr/>
        <w:t>a</w:t>
      </w:r>
      <w:r>
        <w:rPr>
          <w:spacing w:val="-13"/>
        </w:rPr>
        <w:t> </w:t>
      </w:r>
      <w:r>
        <w:rPr/>
        <w:t>gold standard. There are rapid SARS-CoV-2 Ag detecting tests with a different specificity and sensitivity [6-9].</w:t>
      </w:r>
    </w:p>
    <w:p>
      <w:pPr>
        <w:pStyle w:val="BodyText"/>
        <w:spacing w:before="6"/>
      </w:pPr>
    </w:p>
    <w:p>
      <w:pPr>
        <w:pStyle w:val="Heading4"/>
      </w:pPr>
      <w:r>
        <w:rPr>
          <w:spacing w:val="-5"/>
        </w:rPr>
        <w:t>Aim</w:t>
      </w:r>
    </w:p>
    <w:p>
      <w:pPr>
        <w:pStyle w:val="BodyText"/>
        <w:spacing w:before="6"/>
        <w:rPr>
          <w:b/>
          <w:sz w:val="20"/>
        </w:rPr>
      </w:pPr>
    </w:p>
    <w:p>
      <w:pPr>
        <w:pStyle w:val="BodyText"/>
        <w:ind w:left="238" w:right="39"/>
        <w:jc w:val="both"/>
      </w:pPr>
      <w:r>
        <w:rPr/>
        <w:t>The aim of this study was to determine the analytical value of the Panbio™ COVID-19 Ag rapid test in relation to the Ct values of the SARS-CoV-2 E-gene, </w:t>
      </w:r>
      <w:r>
        <w:rPr>
          <w:spacing w:val="-2"/>
        </w:rPr>
        <w:t>obtained</w:t>
      </w:r>
      <w:r>
        <w:rPr>
          <w:spacing w:val="-12"/>
        </w:rPr>
        <w:t> </w:t>
      </w:r>
      <w:r>
        <w:rPr>
          <w:spacing w:val="-2"/>
        </w:rPr>
        <w:t>by</w:t>
      </w:r>
      <w:r>
        <w:rPr>
          <w:spacing w:val="-11"/>
        </w:rPr>
        <w:t> </w:t>
      </w:r>
      <w:r>
        <w:rPr>
          <w:spacing w:val="-2"/>
        </w:rPr>
        <w:t>RT-qPCR</w:t>
      </w:r>
      <w:r>
        <w:rPr>
          <w:spacing w:val="-11"/>
        </w:rPr>
        <w:t> </w:t>
      </w:r>
      <w:r>
        <w:rPr>
          <w:spacing w:val="-2"/>
        </w:rPr>
        <w:t>Allplex</w:t>
      </w:r>
      <w:r>
        <w:rPr>
          <w:spacing w:val="-11"/>
        </w:rPr>
        <w:t> </w:t>
      </w:r>
      <w:r>
        <w:rPr>
          <w:spacing w:val="-2"/>
        </w:rPr>
        <w:t>19-nCoV</w:t>
      </w:r>
      <w:r>
        <w:rPr>
          <w:spacing w:val="-11"/>
        </w:rPr>
        <w:t> </w:t>
      </w:r>
      <w:r>
        <w:rPr>
          <w:spacing w:val="-2"/>
        </w:rPr>
        <w:t>multiplex</w:t>
      </w:r>
      <w:r>
        <w:rPr>
          <w:spacing w:val="-10"/>
        </w:rPr>
        <w:t> </w:t>
      </w:r>
      <w:r>
        <w:rPr>
          <w:spacing w:val="-2"/>
        </w:rPr>
        <w:t>assay </w:t>
      </w:r>
      <w:r>
        <w:rPr/>
        <w:t>platform, in outpatients suspected for COVID-19.</w:t>
      </w:r>
    </w:p>
    <w:p>
      <w:pPr>
        <w:pStyle w:val="BodyText"/>
        <w:spacing w:before="6"/>
      </w:pPr>
    </w:p>
    <w:p>
      <w:pPr>
        <w:pStyle w:val="Heading4"/>
        <w:jc w:val="both"/>
      </w:pPr>
      <w:r>
        <w:rPr/>
        <w:t>Material</w:t>
      </w:r>
      <w:r>
        <w:rPr>
          <w:spacing w:val="-3"/>
        </w:rPr>
        <w:t> </w:t>
      </w:r>
      <w:r>
        <w:rPr/>
        <w:t>and</w:t>
      </w:r>
      <w:r>
        <w:rPr>
          <w:spacing w:val="-4"/>
        </w:rPr>
        <w:t> </w:t>
      </w:r>
      <w:r>
        <w:rPr>
          <w:spacing w:val="-2"/>
        </w:rPr>
        <w:t>methods</w:t>
      </w:r>
    </w:p>
    <w:p>
      <w:pPr>
        <w:pStyle w:val="BodyText"/>
        <w:spacing w:before="2"/>
        <w:rPr>
          <w:b/>
          <w:sz w:val="20"/>
        </w:rPr>
      </w:pPr>
    </w:p>
    <w:p>
      <w:pPr>
        <w:pStyle w:val="BodyText"/>
        <w:ind w:left="238" w:right="40"/>
        <w:jc w:val="both"/>
      </w:pPr>
      <w:r>
        <w:rPr/>
        <w:t>During the one-month period, from 1</w:t>
      </w:r>
      <w:r>
        <w:rPr>
          <w:position w:val="7"/>
          <w:sz w:val="14"/>
        </w:rPr>
        <w:t>st</w:t>
      </w:r>
      <w:r>
        <w:rPr>
          <w:spacing w:val="40"/>
          <w:position w:val="7"/>
          <w:sz w:val="14"/>
        </w:rPr>
        <w:t> </w:t>
      </w:r>
      <w:r>
        <w:rPr/>
        <w:t>to 30</w:t>
      </w:r>
      <w:r>
        <w:rPr>
          <w:position w:val="7"/>
          <w:sz w:val="14"/>
        </w:rPr>
        <w:t>th</w:t>
      </w:r>
      <w:r>
        <w:rPr>
          <w:spacing w:val="40"/>
          <w:position w:val="7"/>
          <w:sz w:val="14"/>
        </w:rPr>
        <w:t> </w:t>
      </w:r>
      <w:r>
        <w:rPr/>
        <w:t>of December 2020, a total of 366 outpatients visited the COVID-19 testing center, situated at the Institute of </w:t>
      </w:r>
      <w:r>
        <w:rPr>
          <w:spacing w:val="-2"/>
        </w:rPr>
        <w:t>Respiratory</w:t>
      </w:r>
      <w:r>
        <w:rPr>
          <w:spacing w:val="-7"/>
        </w:rPr>
        <w:t> </w:t>
      </w:r>
      <w:r>
        <w:rPr>
          <w:spacing w:val="-2"/>
        </w:rPr>
        <w:t>Disease</w:t>
      </w:r>
      <w:r>
        <w:rPr>
          <w:spacing w:val="-6"/>
        </w:rPr>
        <w:t> </w:t>
      </w:r>
      <w:r>
        <w:rPr>
          <w:spacing w:val="-2"/>
        </w:rPr>
        <w:t>in</w:t>
      </w:r>
      <w:r>
        <w:rPr>
          <w:spacing w:val="-5"/>
        </w:rPr>
        <w:t> </w:t>
      </w:r>
      <w:r>
        <w:rPr>
          <w:spacing w:val="-2"/>
        </w:rPr>
        <w:t>Children,</w:t>
      </w:r>
      <w:r>
        <w:rPr>
          <w:spacing w:val="-5"/>
        </w:rPr>
        <w:t> </w:t>
      </w:r>
      <w:r>
        <w:rPr>
          <w:spacing w:val="-2"/>
        </w:rPr>
        <w:t>Skopje,</w:t>
      </w:r>
      <w:r>
        <w:rPr>
          <w:spacing w:val="-5"/>
        </w:rPr>
        <w:t> </w:t>
      </w:r>
      <w:r>
        <w:rPr>
          <w:spacing w:val="-2"/>
        </w:rPr>
        <w:t>RNM.</w:t>
      </w:r>
      <w:r>
        <w:rPr>
          <w:spacing w:val="-5"/>
        </w:rPr>
        <w:t> </w:t>
      </w:r>
      <w:r>
        <w:rPr>
          <w:spacing w:val="-2"/>
        </w:rPr>
        <w:t>Patients </w:t>
      </w:r>
      <w:r>
        <w:rPr/>
        <w:t>were referred by their general practitioners (GPs) due to high suspicion of COVID-19 aiming to be PCR tested to detect SARS-CoV-2 infection.</w:t>
      </w:r>
    </w:p>
    <w:p>
      <w:pPr>
        <w:pStyle w:val="BodyText"/>
        <w:ind w:left="238" w:right="40"/>
        <w:jc w:val="both"/>
      </w:pPr>
      <w:r>
        <w:rPr/>
        <w:t>Eighty-four of them were sampled twice, first for the </w:t>
      </w:r>
      <w:r>
        <w:rPr>
          <w:spacing w:val="-2"/>
        </w:rPr>
        <w:t>routine</w:t>
      </w:r>
      <w:r>
        <w:rPr>
          <w:spacing w:val="-8"/>
        </w:rPr>
        <w:t> </w:t>
      </w:r>
      <w:r>
        <w:rPr>
          <w:spacing w:val="-2"/>
        </w:rPr>
        <w:t>RT-qPCR</w:t>
      </w:r>
      <w:r>
        <w:rPr>
          <w:spacing w:val="-7"/>
        </w:rPr>
        <w:t> </w:t>
      </w:r>
      <w:r>
        <w:rPr>
          <w:spacing w:val="-2"/>
        </w:rPr>
        <w:t>testing,</w:t>
      </w:r>
      <w:r>
        <w:rPr>
          <w:spacing w:val="-8"/>
        </w:rPr>
        <w:t> </w:t>
      </w:r>
      <w:r>
        <w:rPr>
          <w:spacing w:val="-2"/>
        </w:rPr>
        <w:t>using</w:t>
      </w:r>
      <w:r>
        <w:rPr>
          <w:spacing w:val="-8"/>
        </w:rPr>
        <w:t> </w:t>
      </w:r>
      <w:r>
        <w:rPr>
          <w:spacing w:val="-2"/>
        </w:rPr>
        <w:t>a</w:t>
      </w:r>
      <w:r>
        <w:rPr>
          <w:spacing w:val="-8"/>
        </w:rPr>
        <w:t> </w:t>
      </w:r>
      <w:r>
        <w:rPr>
          <w:spacing w:val="-2"/>
        </w:rPr>
        <w:t>combined</w:t>
      </w:r>
      <w:r>
        <w:rPr>
          <w:spacing w:val="-8"/>
        </w:rPr>
        <w:t> </w:t>
      </w:r>
      <w:r>
        <w:rPr>
          <w:spacing w:val="-2"/>
        </w:rPr>
        <w:t>throat/naso- </w:t>
      </w:r>
      <w:r>
        <w:rPr/>
        <w:t>pharyngeal</w:t>
      </w:r>
      <w:r>
        <w:rPr>
          <w:spacing w:val="-11"/>
        </w:rPr>
        <w:t> </w:t>
      </w:r>
      <w:r>
        <w:rPr/>
        <w:t>swab,</w:t>
      </w:r>
      <w:r>
        <w:rPr>
          <w:spacing w:val="-7"/>
        </w:rPr>
        <w:t> </w:t>
      </w:r>
      <w:r>
        <w:rPr/>
        <w:t>and</w:t>
      </w:r>
      <w:r>
        <w:rPr>
          <w:spacing w:val="-7"/>
        </w:rPr>
        <w:t> </w:t>
      </w:r>
      <w:r>
        <w:rPr/>
        <w:t>second</w:t>
      </w:r>
      <w:r>
        <w:rPr>
          <w:spacing w:val="-9"/>
        </w:rPr>
        <w:t> </w:t>
      </w:r>
      <w:r>
        <w:rPr/>
        <w:t>for</w:t>
      </w:r>
      <w:r>
        <w:rPr>
          <w:spacing w:val="-7"/>
        </w:rPr>
        <w:t> </w:t>
      </w:r>
      <w:r>
        <w:rPr/>
        <w:t>SARS-CoV-2</w:t>
      </w:r>
      <w:r>
        <w:rPr>
          <w:spacing w:val="-7"/>
        </w:rPr>
        <w:t> </w:t>
      </w:r>
      <w:r>
        <w:rPr/>
        <w:t>antigen testing, using additional nasopharyngeal swab.</w:t>
      </w:r>
    </w:p>
    <w:p>
      <w:pPr>
        <w:pStyle w:val="BodyText"/>
        <w:spacing w:before="11"/>
        <w:rPr>
          <w:sz w:val="20"/>
        </w:rPr>
      </w:pPr>
    </w:p>
    <w:p>
      <w:pPr>
        <w:spacing w:before="0"/>
        <w:ind w:left="238" w:right="3331" w:firstLine="0"/>
        <w:jc w:val="left"/>
        <w:rPr>
          <w:i/>
          <w:sz w:val="21"/>
        </w:rPr>
      </w:pPr>
      <w:r>
        <w:rPr>
          <w:i/>
          <w:sz w:val="21"/>
        </w:rPr>
        <w:t>Diagnostic</w:t>
      </w:r>
      <w:r>
        <w:rPr>
          <w:i/>
          <w:spacing w:val="-14"/>
          <w:sz w:val="21"/>
        </w:rPr>
        <w:t> </w:t>
      </w:r>
      <w:r>
        <w:rPr>
          <w:i/>
          <w:sz w:val="21"/>
        </w:rPr>
        <w:t>tests</w:t>
      </w:r>
      <w:r>
        <w:rPr>
          <w:i/>
          <w:sz w:val="21"/>
        </w:rPr>
        <w:t> </w:t>
      </w:r>
      <w:r>
        <w:rPr>
          <w:i/>
          <w:spacing w:val="-2"/>
          <w:sz w:val="21"/>
        </w:rPr>
        <w:t>RT-qPCR</w:t>
      </w:r>
    </w:p>
    <w:p>
      <w:pPr>
        <w:pStyle w:val="BodyText"/>
        <w:rPr>
          <w:i/>
        </w:rPr>
      </w:pPr>
    </w:p>
    <w:p>
      <w:pPr>
        <w:pStyle w:val="BodyText"/>
        <w:ind w:left="238" w:right="38"/>
        <w:jc w:val="both"/>
      </w:pPr>
      <w:r>
        <w:rPr/>
        <w:t>PCR</w:t>
      </w:r>
      <w:r>
        <w:rPr>
          <w:spacing w:val="-4"/>
        </w:rPr>
        <w:t> </w:t>
      </w:r>
      <w:r>
        <w:rPr/>
        <w:t>was</w:t>
      </w:r>
      <w:r>
        <w:rPr>
          <w:spacing w:val="-5"/>
        </w:rPr>
        <w:t> </w:t>
      </w:r>
      <w:r>
        <w:rPr/>
        <w:t>conducted</w:t>
      </w:r>
      <w:r>
        <w:rPr>
          <w:spacing w:val="-4"/>
        </w:rPr>
        <w:t> </w:t>
      </w:r>
      <w:r>
        <w:rPr/>
        <w:t>in</w:t>
      </w:r>
      <w:r>
        <w:rPr>
          <w:spacing w:val="-4"/>
        </w:rPr>
        <w:t> </w:t>
      </w:r>
      <w:r>
        <w:rPr/>
        <w:t>a</w:t>
      </w:r>
      <w:r>
        <w:rPr>
          <w:spacing w:val="-7"/>
        </w:rPr>
        <w:t> </w:t>
      </w:r>
      <w:r>
        <w:rPr/>
        <w:t>certificated</w:t>
      </w:r>
      <w:r>
        <w:rPr>
          <w:spacing w:val="-4"/>
        </w:rPr>
        <w:t> </w:t>
      </w:r>
      <w:r>
        <w:rPr/>
        <w:t>clinical</w:t>
      </w:r>
      <w:r>
        <w:rPr>
          <w:spacing w:val="-6"/>
        </w:rPr>
        <w:t> </w:t>
      </w:r>
      <w:r>
        <w:rPr/>
        <w:t>laboratory situated</w:t>
      </w:r>
      <w:r>
        <w:rPr>
          <w:spacing w:val="-8"/>
        </w:rPr>
        <w:t> </w:t>
      </w:r>
      <w:r>
        <w:rPr/>
        <w:t>at</w:t>
      </w:r>
      <w:r>
        <w:rPr>
          <w:spacing w:val="-7"/>
        </w:rPr>
        <w:t> </w:t>
      </w:r>
      <w:r>
        <w:rPr/>
        <w:t>the</w:t>
      </w:r>
      <w:r>
        <w:rPr>
          <w:spacing w:val="-5"/>
        </w:rPr>
        <w:t> </w:t>
      </w:r>
      <w:r>
        <w:rPr/>
        <w:t>Institute</w:t>
      </w:r>
      <w:r>
        <w:rPr>
          <w:spacing w:val="-6"/>
        </w:rPr>
        <w:t> </w:t>
      </w:r>
      <w:r>
        <w:rPr/>
        <w:t>of</w:t>
      </w:r>
      <w:r>
        <w:rPr>
          <w:spacing w:val="-7"/>
        </w:rPr>
        <w:t> </w:t>
      </w:r>
      <w:r>
        <w:rPr/>
        <w:t>Respiratory</w:t>
      </w:r>
      <w:r>
        <w:rPr>
          <w:spacing w:val="-9"/>
        </w:rPr>
        <w:t> </w:t>
      </w:r>
      <w:r>
        <w:rPr/>
        <w:t>Diseases</w:t>
      </w:r>
      <w:r>
        <w:rPr>
          <w:spacing w:val="-7"/>
        </w:rPr>
        <w:t> </w:t>
      </w:r>
      <w:r>
        <w:rPr/>
        <w:t>in</w:t>
      </w:r>
      <w:r>
        <w:rPr>
          <w:spacing w:val="-6"/>
        </w:rPr>
        <w:t> </w:t>
      </w:r>
      <w:r>
        <w:rPr/>
        <w:t>Chil- dren,</w:t>
      </w:r>
      <w:r>
        <w:rPr>
          <w:spacing w:val="-8"/>
        </w:rPr>
        <w:t> </w:t>
      </w:r>
      <w:r>
        <w:rPr/>
        <w:t>Skopje,</w:t>
      </w:r>
      <w:r>
        <w:rPr>
          <w:spacing w:val="-12"/>
        </w:rPr>
        <w:t> </w:t>
      </w:r>
      <w:r>
        <w:rPr/>
        <w:t>RNM.</w:t>
      </w:r>
      <w:r>
        <w:rPr>
          <w:spacing w:val="-12"/>
        </w:rPr>
        <w:t> </w:t>
      </w:r>
      <w:r>
        <w:rPr/>
        <w:t>After</w:t>
      </w:r>
      <w:r>
        <w:rPr>
          <w:spacing w:val="-13"/>
        </w:rPr>
        <w:t> </w:t>
      </w:r>
      <w:r>
        <w:rPr/>
        <w:t>collection,</w:t>
      </w:r>
      <w:r>
        <w:rPr>
          <w:spacing w:val="-12"/>
        </w:rPr>
        <w:t> </w:t>
      </w:r>
      <w:r>
        <w:rPr/>
        <w:t>swabs</w:t>
      </w:r>
      <w:r>
        <w:rPr>
          <w:spacing w:val="-12"/>
        </w:rPr>
        <w:t> </w:t>
      </w:r>
      <w:r>
        <w:rPr/>
        <w:t>were</w:t>
      </w:r>
      <w:r>
        <w:rPr>
          <w:spacing w:val="-12"/>
        </w:rPr>
        <w:t> </w:t>
      </w:r>
      <w:r>
        <w:rPr/>
        <w:t>trans- ferred into 2 ml PBS (Dulbeco’s Phosphate Buffered Saline, Sigma, Life Science) and transported to the la- boratory</w:t>
      </w:r>
      <w:r>
        <w:rPr>
          <w:spacing w:val="-1"/>
        </w:rPr>
        <w:t> </w:t>
      </w:r>
      <w:r>
        <w:rPr/>
        <w:t>which is located within 2 min of walking dis- tance from the sampling location. All specimens were processed in biosafety level-2 (BSL-2) facilities with full</w:t>
      </w:r>
      <w:r>
        <w:rPr>
          <w:spacing w:val="-14"/>
        </w:rPr>
        <w:t> </w:t>
      </w:r>
      <w:r>
        <w:rPr/>
        <w:t>personal</w:t>
      </w:r>
      <w:r>
        <w:rPr>
          <w:spacing w:val="-13"/>
        </w:rPr>
        <w:t> </w:t>
      </w:r>
      <w:r>
        <w:rPr/>
        <w:t>protective</w:t>
      </w:r>
      <w:r>
        <w:rPr>
          <w:spacing w:val="-13"/>
        </w:rPr>
        <w:t> </w:t>
      </w:r>
      <w:r>
        <w:rPr/>
        <w:t>equipment.</w:t>
      </w:r>
      <w:r>
        <w:rPr>
          <w:spacing w:val="-12"/>
        </w:rPr>
        <w:t> </w:t>
      </w:r>
      <w:r>
        <w:rPr/>
        <w:t>Nucleic</w:t>
      </w:r>
      <w:r>
        <w:rPr>
          <w:spacing w:val="-13"/>
        </w:rPr>
        <w:t> </w:t>
      </w:r>
      <w:r>
        <w:rPr/>
        <w:t>acid</w:t>
      </w:r>
      <w:r>
        <w:rPr>
          <w:spacing w:val="-13"/>
        </w:rPr>
        <w:t> </w:t>
      </w:r>
      <w:r>
        <w:rPr/>
        <w:t>extrac- tion, RT-qPCR and results interpretation were perfor- med according to the instructions of the manufacturer. Briefly, RNA was isolated and purified using the STARMag</w:t>
      </w:r>
      <w:r>
        <w:rPr>
          <w:spacing w:val="5"/>
        </w:rPr>
        <w:t> </w:t>
      </w:r>
      <w:r>
        <w:rPr/>
        <w:t>96</w:t>
      </w:r>
      <w:r>
        <w:rPr>
          <w:spacing w:val="4"/>
        </w:rPr>
        <w:t> </w:t>
      </w:r>
      <w:r>
        <w:rPr/>
        <w:t>ProPrep</w:t>
      </w:r>
      <w:r>
        <w:rPr>
          <w:spacing w:val="3"/>
        </w:rPr>
        <w:t> </w:t>
      </w:r>
      <w:r>
        <w:rPr/>
        <w:t>extraction</w:t>
      </w:r>
      <w:r>
        <w:rPr>
          <w:spacing w:val="6"/>
        </w:rPr>
        <w:t> </w:t>
      </w:r>
      <w:r>
        <w:rPr/>
        <w:t>kit</w:t>
      </w:r>
      <w:r>
        <w:rPr>
          <w:spacing w:val="5"/>
        </w:rPr>
        <w:t> </w:t>
      </w:r>
      <w:r>
        <w:rPr/>
        <w:t>(Seegene,</w:t>
      </w:r>
      <w:r>
        <w:rPr>
          <w:spacing w:val="5"/>
        </w:rPr>
        <w:t> </w:t>
      </w:r>
      <w:r>
        <w:rPr>
          <w:spacing w:val="-2"/>
        </w:rPr>
        <w:t>South-</w:t>
      </w:r>
    </w:p>
    <w:p>
      <w:pPr>
        <w:pStyle w:val="BodyText"/>
        <w:spacing w:before="92"/>
        <w:ind w:left="238" w:right="290"/>
        <w:jc w:val="both"/>
      </w:pPr>
      <w:r>
        <w:rPr/>
        <w:br w:type="column"/>
      </w:r>
      <w:r>
        <w:rPr>
          <w:spacing w:val="-2"/>
        </w:rPr>
        <w:t>Korea)</w:t>
      </w:r>
      <w:r>
        <w:rPr>
          <w:spacing w:val="-11"/>
        </w:rPr>
        <w:t> </w:t>
      </w:r>
      <w:r>
        <w:rPr>
          <w:spacing w:val="-2"/>
        </w:rPr>
        <w:t>on</w:t>
      </w:r>
      <w:r>
        <w:rPr>
          <w:spacing w:val="-9"/>
        </w:rPr>
        <w:t> </w:t>
      </w:r>
      <w:r>
        <w:rPr>
          <w:spacing w:val="-2"/>
        </w:rPr>
        <w:t>an</w:t>
      </w:r>
      <w:r>
        <w:rPr>
          <w:spacing w:val="-10"/>
        </w:rPr>
        <w:t> </w:t>
      </w:r>
      <w:r>
        <w:rPr>
          <w:spacing w:val="-2"/>
        </w:rPr>
        <w:t>automatic</w:t>
      </w:r>
      <w:r>
        <w:rPr>
          <w:spacing w:val="-10"/>
        </w:rPr>
        <w:t> </w:t>
      </w:r>
      <w:r>
        <w:rPr>
          <w:spacing w:val="-2"/>
        </w:rPr>
        <w:t>nucleic</w:t>
      </w:r>
      <w:r>
        <w:rPr>
          <w:spacing w:val="-10"/>
        </w:rPr>
        <w:t> </w:t>
      </w:r>
      <w:r>
        <w:rPr>
          <w:spacing w:val="-2"/>
        </w:rPr>
        <w:t>acid</w:t>
      </w:r>
      <w:r>
        <w:rPr>
          <w:spacing w:val="-10"/>
        </w:rPr>
        <w:t> </w:t>
      </w:r>
      <w:r>
        <w:rPr>
          <w:spacing w:val="-2"/>
        </w:rPr>
        <w:t>extractor</w:t>
      </w:r>
      <w:r>
        <w:rPr>
          <w:spacing w:val="-11"/>
        </w:rPr>
        <w:t> </w:t>
      </w:r>
      <w:r>
        <w:rPr>
          <w:spacing w:val="-2"/>
        </w:rPr>
        <w:t>SEEPREP </w:t>
      </w:r>
      <w:r>
        <w:rPr/>
        <w:t>32 (Seegene South Korea). Amplification was perfor- med in a single tube assay using the Allplex 19-nCoV </w:t>
      </w:r>
      <w:r>
        <w:rPr>
          <w:spacing w:val="-2"/>
        </w:rPr>
        <w:t>multiplex</w:t>
      </w:r>
      <w:r>
        <w:rPr>
          <w:spacing w:val="-12"/>
        </w:rPr>
        <w:t> </w:t>
      </w:r>
      <w:r>
        <w:rPr>
          <w:spacing w:val="-2"/>
        </w:rPr>
        <w:t>platform</w:t>
      </w:r>
      <w:r>
        <w:rPr>
          <w:spacing w:val="-11"/>
        </w:rPr>
        <w:t> </w:t>
      </w:r>
      <w:r>
        <w:rPr>
          <w:spacing w:val="-2"/>
        </w:rPr>
        <w:t>which</w:t>
      </w:r>
      <w:r>
        <w:rPr>
          <w:spacing w:val="-11"/>
        </w:rPr>
        <w:t> </w:t>
      </w:r>
      <w:r>
        <w:rPr>
          <w:spacing w:val="-2"/>
        </w:rPr>
        <w:t>targets</w:t>
      </w:r>
      <w:r>
        <w:rPr>
          <w:spacing w:val="-11"/>
        </w:rPr>
        <w:t> </w:t>
      </w:r>
      <w:r>
        <w:rPr>
          <w:spacing w:val="-2"/>
        </w:rPr>
        <w:t>three</w:t>
      </w:r>
      <w:r>
        <w:rPr>
          <w:spacing w:val="-11"/>
        </w:rPr>
        <w:t> </w:t>
      </w:r>
      <w:r>
        <w:rPr>
          <w:spacing w:val="-2"/>
        </w:rPr>
        <w:t>SARS-CoV-2</w:t>
      </w:r>
      <w:r>
        <w:rPr>
          <w:spacing w:val="-11"/>
        </w:rPr>
        <w:t> </w:t>
      </w:r>
      <w:r>
        <w:rPr>
          <w:spacing w:val="-2"/>
        </w:rPr>
        <w:t>ge- </w:t>
      </w:r>
      <w:r>
        <w:rPr>
          <w:spacing w:val="-4"/>
        </w:rPr>
        <w:t>nes [envelope gene (E) of</w:t>
      </w:r>
      <w:r>
        <w:rPr>
          <w:spacing w:val="-10"/>
        </w:rPr>
        <w:t> </w:t>
      </w:r>
      <w:r>
        <w:rPr>
          <w:i/>
          <w:spacing w:val="-4"/>
        </w:rPr>
        <w:t>Sarbecovirus</w:t>
      </w:r>
      <w:r>
        <w:rPr>
          <w:spacing w:val="-4"/>
        </w:rPr>
        <w:t>, RNA-dependent </w:t>
      </w:r>
      <w:r>
        <w:rPr/>
        <w:t>RNA polymerase (RdRp) and nucleocapsid (N) genes which are specific of SARS-CoV-2], according to the manufacturer’s instructions (Seegene, South Korea). Amplification and detection were performed on a</w:t>
      </w:r>
      <w:r>
        <w:rPr>
          <w:spacing w:val="40"/>
        </w:rPr>
        <w:t> </w:t>
      </w:r>
      <w:r>
        <w:rPr>
          <w:spacing w:val="-2"/>
        </w:rPr>
        <w:t>CFX-96</w:t>
      </w:r>
      <w:r>
        <w:rPr>
          <w:spacing w:val="-12"/>
        </w:rPr>
        <w:t> </w:t>
      </w:r>
      <w:r>
        <w:rPr>
          <w:spacing w:val="-2"/>
        </w:rPr>
        <w:t>real-time</w:t>
      </w:r>
      <w:r>
        <w:rPr>
          <w:spacing w:val="-11"/>
        </w:rPr>
        <w:t> </w:t>
      </w:r>
      <w:r>
        <w:rPr>
          <w:spacing w:val="-2"/>
        </w:rPr>
        <w:t>thermal</w:t>
      </w:r>
      <w:r>
        <w:rPr>
          <w:spacing w:val="-11"/>
        </w:rPr>
        <w:t> </w:t>
      </w:r>
      <w:r>
        <w:rPr>
          <w:spacing w:val="-2"/>
        </w:rPr>
        <w:t>cycler</w:t>
      </w:r>
      <w:r>
        <w:rPr>
          <w:spacing w:val="-11"/>
        </w:rPr>
        <w:t> </w:t>
      </w:r>
      <w:r>
        <w:rPr>
          <w:spacing w:val="-2"/>
        </w:rPr>
        <w:t>(Bio-Rad</w:t>
      </w:r>
      <w:r>
        <w:rPr>
          <w:spacing w:val="-11"/>
        </w:rPr>
        <w:t> </w:t>
      </w:r>
      <w:r>
        <w:rPr>
          <w:spacing w:val="-2"/>
        </w:rPr>
        <w:t>Laboratories, </w:t>
      </w:r>
      <w:r>
        <w:rPr/>
        <w:t>Inc., Hercules, CA, USA). The conditions consisted of 1 cycle of 20 min. at 50 °C, 15 sec. at 95°C and follo- wed</w:t>
      </w:r>
      <w:r>
        <w:rPr>
          <w:spacing w:val="-5"/>
        </w:rPr>
        <w:t> </w:t>
      </w:r>
      <w:r>
        <w:rPr/>
        <w:t>by</w:t>
      </w:r>
      <w:r>
        <w:rPr>
          <w:spacing w:val="-13"/>
        </w:rPr>
        <w:t> </w:t>
      </w:r>
      <w:r>
        <w:rPr/>
        <w:t>45</w:t>
      </w:r>
      <w:r>
        <w:rPr>
          <w:spacing w:val="-11"/>
        </w:rPr>
        <w:t> </w:t>
      </w:r>
      <w:r>
        <w:rPr/>
        <w:t>cycles</w:t>
      </w:r>
      <w:r>
        <w:rPr>
          <w:spacing w:val="-12"/>
        </w:rPr>
        <w:t> </w:t>
      </w:r>
      <w:r>
        <w:rPr/>
        <w:t>of</w:t>
      </w:r>
      <w:r>
        <w:rPr>
          <w:spacing w:val="-12"/>
        </w:rPr>
        <w:t> </w:t>
      </w:r>
      <w:r>
        <w:rPr/>
        <w:t>15</w:t>
      </w:r>
      <w:r>
        <w:rPr>
          <w:spacing w:val="-14"/>
        </w:rPr>
        <w:t> </w:t>
      </w:r>
      <w:r>
        <w:rPr/>
        <w:t>s</w:t>
      </w:r>
      <w:r>
        <w:rPr>
          <w:spacing w:val="-9"/>
        </w:rPr>
        <w:t> </w:t>
      </w:r>
      <w:r>
        <w:rPr/>
        <w:t>at</w:t>
      </w:r>
      <w:r>
        <w:rPr>
          <w:spacing w:val="-10"/>
        </w:rPr>
        <w:t> </w:t>
      </w:r>
      <w:r>
        <w:rPr/>
        <w:t>94</w:t>
      </w:r>
      <w:r>
        <w:rPr>
          <w:spacing w:val="-13"/>
        </w:rPr>
        <w:t> </w:t>
      </w:r>
      <w:r>
        <w:rPr/>
        <w:t>°C,</w:t>
      </w:r>
      <w:r>
        <w:rPr>
          <w:spacing w:val="-11"/>
        </w:rPr>
        <w:t> </w:t>
      </w:r>
      <w:r>
        <w:rPr/>
        <w:t>30</w:t>
      </w:r>
      <w:r>
        <w:rPr>
          <w:spacing w:val="-13"/>
        </w:rPr>
        <w:t> </w:t>
      </w:r>
      <w:r>
        <w:rPr/>
        <w:t>s</w:t>
      </w:r>
      <w:r>
        <w:rPr>
          <w:spacing w:val="-12"/>
        </w:rPr>
        <w:t> </w:t>
      </w:r>
      <w:r>
        <w:rPr/>
        <w:t>at</w:t>
      </w:r>
      <w:r>
        <w:rPr>
          <w:spacing w:val="-10"/>
        </w:rPr>
        <w:t> </w:t>
      </w:r>
      <w:r>
        <w:rPr/>
        <w:t>58</w:t>
      </w:r>
      <w:r>
        <w:rPr>
          <w:spacing w:val="-13"/>
        </w:rPr>
        <w:t> </w:t>
      </w:r>
      <w:r>
        <w:rPr/>
        <w:t>°C.</w:t>
      </w:r>
      <w:r>
        <w:rPr>
          <w:spacing w:val="37"/>
        </w:rPr>
        <w:t> </w:t>
      </w:r>
      <w:r>
        <w:rPr/>
        <w:t>The</w:t>
      </w:r>
      <w:r>
        <w:rPr>
          <w:spacing w:val="-9"/>
        </w:rPr>
        <w:t> </w:t>
      </w:r>
      <w:r>
        <w:rPr/>
        <w:t>re- sults</w:t>
      </w:r>
      <w:r>
        <w:rPr>
          <w:spacing w:val="-8"/>
        </w:rPr>
        <w:t> </w:t>
      </w:r>
      <w:r>
        <w:rPr/>
        <w:t>were</w:t>
      </w:r>
      <w:r>
        <w:rPr>
          <w:spacing w:val="-2"/>
        </w:rPr>
        <w:t> </w:t>
      </w:r>
      <w:r>
        <w:rPr/>
        <w:t>interpreted</w:t>
      </w:r>
      <w:r>
        <w:rPr>
          <w:spacing w:val="-4"/>
        </w:rPr>
        <w:t> </w:t>
      </w:r>
      <w:r>
        <w:rPr/>
        <w:t>with</w:t>
      </w:r>
      <w:r>
        <w:rPr>
          <w:spacing w:val="-4"/>
        </w:rPr>
        <w:t> </w:t>
      </w:r>
      <w:r>
        <w:rPr/>
        <w:t>Seegene</w:t>
      </w:r>
      <w:r>
        <w:rPr>
          <w:spacing w:val="-7"/>
        </w:rPr>
        <w:t> </w:t>
      </w:r>
      <w:r>
        <w:rPr/>
        <w:t>Viewer</w:t>
      </w:r>
      <w:r>
        <w:rPr>
          <w:spacing w:val="-5"/>
        </w:rPr>
        <w:t> </w:t>
      </w:r>
      <w:r>
        <w:rPr/>
        <w:t>data</w:t>
      </w:r>
      <w:r>
        <w:rPr>
          <w:spacing w:val="-4"/>
        </w:rPr>
        <w:t> </w:t>
      </w:r>
      <w:r>
        <w:rPr/>
        <w:t>analy- sis software, in which the threshold Cycle (Ct) was automatically</w:t>
      </w:r>
      <w:r>
        <w:rPr>
          <w:spacing w:val="-6"/>
        </w:rPr>
        <w:t> </w:t>
      </w:r>
      <w:r>
        <w:rPr/>
        <w:t>determined,</w:t>
      </w:r>
      <w:r>
        <w:rPr>
          <w:spacing w:val="-3"/>
        </w:rPr>
        <w:t> </w:t>
      </w:r>
      <w:r>
        <w:rPr/>
        <w:t>and</w:t>
      </w:r>
      <w:r>
        <w:rPr>
          <w:spacing w:val="-3"/>
        </w:rPr>
        <w:t> </w:t>
      </w:r>
      <w:r>
        <w:rPr/>
        <w:t>a</w:t>
      </w:r>
      <w:r>
        <w:rPr>
          <w:spacing w:val="-3"/>
        </w:rPr>
        <w:t> </w:t>
      </w:r>
      <w:r>
        <w:rPr/>
        <w:t>positive</w:t>
      </w:r>
      <w:r>
        <w:rPr>
          <w:spacing w:val="-3"/>
        </w:rPr>
        <w:t> </w:t>
      </w:r>
      <w:r>
        <w:rPr/>
        <w:t>result</w:t>
      </w:r>
      <w:r>
        <w:rPr>
          <w:spacing w:val="-4"/>
        </w:rPr>
        <w:t> </w:t>
      </w:r>
      <w:r>
        <w:rPr/>
        <w:t>was</w:t>
      </w:r>
      <w:r>
        <w:rPr>
          <w:spacing w:val="-4"/>
        </w:rPr>
        <w:t> </w:t>
      </w:r>
      <w:r>
        <w:rPr/>
        <w:t>de- fined as amplification of any of the three SARS-CoV- 2 genes, within the cut-off values </w:t>
      </w:r>
      <w:r>
        <w:rPr>
          <w:u w:val="single"/>
        </w:rPr>
        <w:t>&lt;</w:t>
      </w:r>
      <w:r>
        <w:rPr/>
        <w:t>40.</w:t>
      </w:r>
    </w:p>
    <w:p>
      <w:pPr>
        <w:pStyle w:val="BodyText"/>
        <w:spacing w:before="1"/>
      </w:pPr>
    </w:p>
    <w:p>
      <w:pPr>
        <w:spacing w:before="0"/>
        <w:ind w:left="238" w:right="0" w:firstLine="0"/>
        <w:jc w:val="both"/>
        <w:rPr>
          <w:i/>
          <w:sz w:val="21"/>
        </w:rPr>
      </w:pPr>
      <w:r>
        <w:rPr>
          <w:i/>
          <w:sz w:val="21"/>
        </w:rPr>
        <w:t>LFA</w:t>
      </w:r>
      <w:r>
        <w:rPr>
          <w:i/>
          <w:spacing w:val="-5"/>
          <w:sz w:val="21"/>
        </w:rPr>
        <w:t> </w:t>
      </w:r>
      <w:r>
        <w:rPr>
          <w:i/>
          <w:sz w:val="21"/>
        </w:rPr>
        <w:t>(Lateral</w:t>
      </w:r>
      <w:r>
        <w:rPr>
          <w:i/>
          <w:spacing w:val="-5"/>
          <w:sz w:val="21"/>
        </w:rPr>
        <w:t> </w:t>
      </w:r>
      <w:r>
        <w:rPr>
          <w:i/>
          <w:sz w:val="21"/>
        </w:rPr>
        <w:t>Flow</w:t>
      </w:r>
      <w:r>
        <w:rPr>
          <w:i/>
          <w:spacing w:val="-4"/>
          <w:sz w:val="21"/>
        </w:rPr>
        <w:t> </w:t>
      </w:r>
      <w:r>
        <w:rPr>
          <w:i/>
          <w:spacing w:val="-2"/>
          <w:sz w:val="21"/>
        </w:rPr>
        <w:t>Assay)</w:t>
      </w:r>
    </w:p>
    <w:p>
      <w:pPr>
        <w:pStyle w:val="BodyText"/>
        <w:rPr>
          <w:i/>
        </w:rPr>
      </w:pPr>
    </w:p>
    <w:p>
      <w:pPr>
        <w:pStyle w:val="BodyText"/>
        <w:ind w:left="238" w:right="287"/>
        <w:jc w:val="both"/>
      </w:pPr>
      <w:r>
        <w:rPr>
          <w:spacing w:val="-2"/>
        </w:rPr>
        <w:t>The</w:t>
      </w:r>
      <w:r>
        <w:rPr>
          <w:spacing w:val="-12"/>
        </w:rPr>
        <w:t> </w:t>
      </w:r>
      <w:r>
        <w:rPr>
          <w:spacing w:val="-2"/>
        </w:rPr>
        <w:t>Panbio™</w:t>
      </w:r>
      <w:r>
        <w:rPr>
          <w:spacing w:val="-11"/>
        </w:rPr>
        <w:t> </w:t>
      </w:r>
      <w:r>
        <w:rPr>
          <w:spacing w:val="-2"/>
        </w:rPr>
        <w:t>COVID-19</w:t>
      </w:r>
      <w:r>
        <w:rPr>
          <w:spacing w:val="-11"/>
        </w:rPr>
        <w:t> </w:t>
      </w:r>
      <w:r>
        <w:rPr>
          <w:spacing w:val="-2"/>
        </w:rPr>
        <w:t>Ag</w:t>
      </w:r>
      <w:r>
        <w:rPr>
          <w:spacing w:val="-11"/>
        </w:rPr>
        <w:t> </w:t>
      </w:r>
      <w:r>
        <w:rPr>
          <w:spacing w:val="-2"/>
        </w:rPr>
        <w:t>rapid</w:t>
      </w:r>
      <w:r>
        <w:rPr>
          <w:spacing w:val="-11"/>
        </w:rPr>
        <w:t> </w:t>
      </w:r>
      <w:r>
        <w:rPr>
          <w:spacing w:val="-2"/>
        </w:rPr>
        <w:t>test</w:t>
      </w:r>
      <w:r>
        <w:rPr>
          <w:spacing w:val="-11"/>
        </w:rPr>
        <w:t> </w:t>
      </w:r>
      <w:r>
        <w:rPr>
          <w:spacing w:val="-2"/>
        </w:rPr>
        <w:t>device</w:t>
      </w:r>
      <w:r>
        <w:rPr>
          <w:spacing w:val="-11"/>
        </w:rPr>
        <w:t> </w:t>
      </w:r>
      <w:r>
        <w:rPr>
          <w:spacing w:val="-2"/>
        </w:rPr>
        <w:t>by</w:t>
      </w:r>
      <w:r>
        <w:rPr>
          <w:spacing w:val="-11"/>
        </w:rPr>
        <w:t> </w:t>
      </w:r>
      <w:r>
        <w:rPr>
          <w:spacing w:val="-2"/>
        </w:rPr>
        <w:t>Abbott </w:t>
      </w:r>
      <w:r>
        <w:rPr/>
        <w:t>(Lake</w:t>
      </w:r>
      <w:r>
        <w:rPr>
          <w:spacing w:val="-11"/>
        </w:rPr>
        <w:t> </w:t>
      </w:r>
      <w:r>
        <w:rPr/>
        <w:t>Country,</w:t>
      </w:r>
      <w:r>
        <w:rPr>
          <w:spacing w:val="-8"/>
        </w:rPr>
        <w:t> </w:t>
      </w:r>
      <w:r>
        <w:rPr/>
        <w:t>IL,</w:t>
      </w:r>
      <w:r>
        <w:rPr>
          <w:spacing w:val="-11"/>
        </w:rPr>
        <w:t> </w:t>
      </w:r>
      <w:r>
        <w:rPr/>
        <w:t>U.S.A)</w:t>
      </w:r>
      <w:r>
        <w:rPr>
          <w:spacing w:val="-9"/>
        </w:rPr>
        <w:t> </w:t>
      </w:r>
      <w:r>
        <w:rPr/>
        <w:t>is</w:t>
      </w:r>
      <w:r>
        <w:rPr>
          <w:spacing w:val="-9"/>
        </w:rPr>
        <w:t> </w:t>
      </w:r>
      <w:r>
        <w:rPr/>
        <w:t>a</w:t>
      </w:r>
      <w:r>
        <w:rPr>
          <w:spacing w:val="-9"/>
        </w:rPr>
        <w:t> </w:t>
      </w:r>
      <w:r>
        <w:rPr/>
        <w:t>membrane-based</w:t>
      </w:r>
      <w:r>
        <w:rPr>
          <w:spacing w:val="-9"/>
        </w:rPr>
        <w:t> </w:t>
      </w:r>
      <w:r>
        <w:rPr/>
        <w:t>immu- </w:t>
      </w:r>
      <w:r>
        <w:rPr>
          <w:spacing w:val="-2"/>
        </w:rPr>
        <w:t>nochromatography</w:t>
      </w:r>
      <w:r>
        <w:rPr>
          <w:spacing w:val="-9"/>
        </w:rPr>
        <w:t> </w:t>
      </w:r>
      <w:r>
        <w:rPr>
          <w:spacing w:val="-2"/>
        </w:rPr>
        <w:t>assay</w:t>
      </w:r>
      <w:r>
        <w:rPr>
          <w:spacing w:val="-12"/>
        </w:rPr>
        <w:t> </w:t>
      </w:r>
      <w:r>
        <w:rPr>
          <w:spacing w:val="-2"/>
        </w:rPr>
        <w:t>which</w:t>
      </w:r>
      <w:r>
        <w:rPr>
          <w:spacing w:val="-10"/>
        </w:rPr>
        <w:t> </w:t>
      </w:r>
      <w:r>
        <w:rPr>
          <w:spacing w:val="-2"/>
        </w:rPr>
        <w:t>detects</w:t>
      </w:r>
      <w:r>
        <w:rPr>
          <w:spacing w:val="-9"/>
        </w:rPr>
        <w:t> </w:t>
      </w:r>
      <w:r>
        <w:rPr>
          <w:spacing w:val="-2"/>
        </w:rPr>
        <w:t>the</w:t>
      </w:r>
      <w:r>
        <w:rPr>
          <w:spacing w:val="-11"/>
        </w:rPr>
        <w:t> </w:t>
      </w:r>
      <w:r>
        <w:rPr>
          <w:spacing w:val="-2"/>
        </w:rPr>
        <w:t>nucleocapsid </w:t>
      </w:r>
      <w:r>
        <w:rPr/>
        <w:t>protein of SARS-CoV-2 in nasopharyngeal samples. Collected swabs were transferred into dedicated sam- ple collection tubes containing a sampling buffer and transported</w:t>
      </w:r>
      <w:r>
        <w:rPr>
          <w:spacing w:val="-4"/>
        </w:rPr>
        <w:t> </w:t>
      </w:r>
      <w:r>
        <w:rPr/>
        <w:t>to</w:t>
      </w:r>
      <w:r>
        <w:rPr>
          <w:spacing w:val="-5"/>
        </w:rPr>
        <w:t> </w:t>
      </w:r>
      <w:r>
        <w:rPr/>
        <w:t>the</w:t>
      </w:r>
      <w:r>
        <w:rPr>
          <w:spacing w:val="-5"/>
        </w:rPr>
        <w:t> </w:t>
      </w:r>
      <w:r>
        <w:rPr/>
        <w:t>same</w:t>
      </w:r>
      <w:r>
        <w:rPr>
          <w:spacing w:val="-5"/>
        </w:rPr>
        <w:t> </w:t>
      </w:r>
      <w:r>
        <w:rPr/>
        <w:t>laboratory</w:t>
      </w:r>
      <w:r>
        <w:rPr>
          <w:spacing w:val="-5"/>
        </w:rPr>
        <w:t> </w:t>
      </w:r>
      <w:r>
        <w:rPr/>
        <w:t>where</w:t>
      </w:r>
      <w:r>
        <w:rPr>
          <w:spacing w:val="-4"/>
        </w:rPr>
        <w:t> </w:t>
      </w:r>
      <w:r>
        <w:rPr/>
        <w:t>the</w:t>
      </w:r>
      <w:r>
        <w:rPr>
          <w:spacing w:val="-5"/>
        </w:rPr>
        <w:t> </w:t>
      </w:r>
      <w:r>
        <w:rPr/>
        <w:t>RT-qPCR was conducted. All samples were analyzed within a maximum</w:t>
      </w:r>
      <w:r>
        <w:rPr>
          <w:spacing w:val="-2"/>
        </w:rPr>
        <w:t> </w:t>
      </w:r>
      <w:r>
        <w:rPr/>
        <w:t>of 30 minutes after collection, during which time the samples were kept at ambient temperature. Collected samples were subsequently processed in a level 2 biosafety cabinet. Test results were recorded after 15 min. of assay initiation by two independent observers (blinded to each other and to the PCR results). Intensities of the test bands were compared to the control bands and designated as “++” if the test</w:t>
      </w:r>
      <w:r>
        <w:rPr>
          <w:spacing w:val="80"/>
        </w:rPr>
        <w:t> </w:t>
      </w:r>
      <w:r>
        <w:rPr/>
        <w:t>and control bands intensity were similar or “+” if the test band intensity was weaker than the control band.</w:t>
      </w:r>
    </w:p>
    <w:p>
      <w:pPr>
        <w:pStyle w:val="BodyText"/>
        <w:spacing w:before="6"/>
      </w:pPr>
    </w:p>
    <w:p>
      <w:pPr>
        <w:pStyle w:val="Heading4"/>
      </w:pPr>
      <w:r>
        <w:rPr>
          <w:spacing w:val="-2"/>
        </w:rPr>
        <w:t>Results</w:t>
      </w:r>
    </w:p>
    <w:p>
      <w:pPr>
        <w:pStyle w:val="BodyText"/>
        <w:spacing w:before="6"/>
        <w:rPr>
          <w:b/>
          <w:sz w:val="20"/>
        </w:rPr>
      </w:pPr>
    </w:p>
    <w:p>
      <w:pPr>
        <w:pStyle w:val="BodyText"/>
        <w:spacing w:before="1"/>
        <w:ind w:left="238" w:right="290"/>
        <w:jc w:val="both"/>
      </w:pPr>
      <w:r>
        <w:rPr/>
        <w:t>During December 2020, a total of 366 outpatients</w:t>
      </w:r>
      <w:r>
        <w:rPr>
          <w:spacing w:val="80"/>
        </w:rPr>
        <w:t> </w:t>
      </w:r>
      <w:r>
        <w:rPr/>
        <w:t>were RT-qPCR tested because of high suspicion of Covid-19. According to the results interpreted by Seegene Viewer data analysis software (in which a positive result is defined as amplification of any</w:t>
      </w:r>
      <w:r>
        <w:rPr>
          <w:spacing w:val="-1"/>
        </w:rPr>
        <w:t> </w:t>
      </w:r>
      <w:r>
        <w:rPr/>
        <w:t>of the three SARS-CoV-2 genes within the cut off </w:t>
      </w:r>
      <w:r>
        <w:rPr>
          <w:u w:val="single"/>
        </w:rPr>
        <w:t>&lt;</w:t>
      </w:r>
      <w:r>
        <w:rPr/>
        <w:t> 40) 50.8% (186/366) of all tested samples were recorded</w:t>
      </w:r>
      <w:r>
        <w:rPr>
          <w:spacing w:val="40"/>
        </w:rPr>
        <w:t> </w:t>
      </w:r>
      <w:r>
        <w:rPr/>
        <w:t>as positive. In 16.1% of all positive samples (30/186), test result indicated amplification of only one or two genes. In these cases (previously</w:t>
      </w:r>
      <w:r>
        <w:rPr>
          <w:spacing w:val="-1"/>
        </w:rPr>
        <w:t> </w:t>
      </w:r>
      <w:r>
        <w:rPr/>
        <w:t>categorized as incon- clusive results) the most often detected was N gene with mean Ct-value equal to 38.01 (35.49-39.5).</w:t>
      </w:r>
    </w:p>
    <w:p>
      <w:pPr>
        <w:pStyle w:val="BodyText"/>
        <w:ind w:left="238" w:right="292"/>
        <w:jc w:val="both"/>
      </w:pPr>
      <w:r>
        <w:rPr/>
        <w:t>Of all double tested patients (n=84), 31 were tested positive by both test methods-RT-qPCR and rapid an- tigen</w:t>
      </w:r>
      <w:r>
        <w:rPr>
          <w:spacing w:val="9"/>
        </w:rPr>
        <w:t> </w:t>
      </w:r>
      <w:r>
        <w:rPr/>
        <w:t>(Ag)</w:t>
      </w:r>
      <w:r>
        <w:rPr>
          <w:spacing w:val="8"/>
        </w:rPr>
        <w:t> </w:t>
      </w:r>
      <w:r>
        <w:rPr/>
        <w:t>detecting</w:t>
      </w:r>
      <w:r>
        <w:rPr>
          <w:spacing w:val="10"/>
        </w:rPr>
        <w:t> </w:t>
      </w:r>
      <w:r>
        <w:rPr/>
        <w:t>test,</w:t>
      </w:r>
      <w:r>
        <w:rPr>
          <w:spacing w:val="8"/>
        </w:rPr>
        <w:t> </w:t>
      </w:r>
      <w:r>
        <w:rPr/>
        <w:t>with</w:t>
      </w:r>
      <w:r>
        <w:rPr>
          <w:spacing w:val="10"/>
        </w:rPr>
        <w:t> </w:t>
      </w:r>
      <w:r>
        <w:rPr/>
        <w:t>mean</w:t>
      </w:r>
      <w:r>
        <w:rPr>
          <w:spacing w:val="10"/>
        </w:rPr>
        <w:t> </w:t>
      </w:r>
      <w:r>
        <w:rPr/>
        <w:t>Ct-value</w:t>
      </w:r>
      <w:r>
        <w:rPr>
          <w:spacing w:val="10"/>
        </w:rPr>
        <w:t> </w:t>
      </w:r>
      <w:r>
        <w:rPr/>
        <w:t>of</w:t>
      </w:r>
      <w:r>
        <w:rPr>
          <w:spacing w:val="9"/>
        </w:rPr>
        <w:t> </w:t>
      </w:r>
      <w:r>
        <w:rPr/>
        <w:t>the</w:t>
      </w:r>
      <w:r>
        <w:rPr>
          <w:spacing w:val="10"/>
        </w:rPr>
        <w:t> </w:t>
      </w:r>
      <w:r>
        <w:rPr>
          <w:spacing w:val="-10"/>
        </w:rPr>
        <w:t>E</w:t>
      </w:r>
    </w:p>
    <w:p>
      <w:pPr>
        <w:spacing w:after="0"/>
        <w:jc w:val="both"/>
        <w:sectPr>
          <w:type w:val="continuous"/>
          <w:pgSz w:w="11910" w:h="16840"/>
          <w:pgMar w:header="854" w:footer="0" w:top="740" w:bottom="0" w:left="900" w:right="840"/>
          <w:cols w:num="2" w:equalWidth="0">
            <w:col w:w="4921" w:space="76"/>
            <w:col w:w="5173"/>
          </w:cols>
        </w:sectPr>
      </w:pPr>
    </w:p>
    <w:p>
      <w:pPr>
        <w:spacing w:line="179" w:lineRule="exact" w:before="0"/>
        <w:ind w:left="238" w:right="0" w:firstLine="0"/>
        <w:jc w:val="left"/>
        <w:rPr>
          <w:rFonts w:ascii="Arial"/>
          <w:sz w:val="16"/>
        </w:rPr>
      </w:pPr>
      <w:r>
        <w:rPr>
          <w:rFonts w:ascii="Arial"/>
          <w:color w:val="808080"/>
          <w:sz w:val="16"/>
        </w:rPr>
        <w:t>Popova</w:t>
      </w:r>
      <w:r>
        <w:rPr>
          <w:rFonts w:ascii="Arial"/>
          <w:color w:val="808080"/>
          <w:spacing w:val="-5"/>
          <w:sz w:val="16"/>
        </w:rPr>
        <w:t> </w:t>
      </w:r>
      <w:r>
        <w:rPr>
          <w:rFonts w:ascii="Arial"/>
          <w:color w:val="808080"/>
          <w:sz w:val="16"/>
        </w:rPr>
        <w:t>G.</w:t>
      </w:r>
      <w:r>
        <w:rPr>
          <w:rFonts w:ascii="Arial"/>
          <w:color w:val="808080"/>
          <w:spacing w:val="-1"/>
          <w:sz w:val="16"/>
        </w:rPr>
        <w:t> </w:t>
      </w:r>
      <w:r>
        <w:rPr>
          <w:rFonts w:ascii="Arial"/>
          <w:i/>
          <w:color w:val="808080"/>
          <w:sz w:val="16"/>
        </w:rPr>
        <w:t>et</w:t>
      </w:r>
      <w:r>
        <w:rPr>
          <w:rFonts w:ascii="Arial"/>
          <w:i/>
          <w:color w:val="808080"/>
          <w:spacing w:val="-2"/>
          <w:sz w:val="16"/>
        </w:rPr>
        <w:t> </w:t>
      </w:r>
      <w:r>
        <w:rPr>
          <w:rFonts w:ascii="Arial"/>
          <w:i/>
          <w:color w:val="808080"/>
          <w:spacing w:val="-5"/>
          <w:sz w:val="16"/>
        </w:rPr>
        <w:t>al</w:t>
      </w:r>
      <w:r>
        <w:rPr>
          <w:rFonts w:ascii="Arial"/>
          <w:color w:val="808080"/>
          <w:spacing w:val="-5"/>
          <w:sz w:val="16"/>
        </w:rPr>
        <w:t>.</w:t>
      </w:r>
    </w:p>
    <w:p>
      <w:pPr>
        <w:pStyle w:val="BodyText"/>
        <w:spacing w:before="10"/>
        <w:rPr>
          <w:rFonts w:ascii="Arial"/>
          <w:sz w:val="3"/>
        </w:rPr>
      </w:pPr>
      <w:r>
        <w:rPr/>
        <w:pict>
          <v:rect style="position:absolute;margin-left:55.439999pt;margin-top:3.464702pt;width:484.68pt;height:.48pt;mso-position-horizontal-relative:page;mso-position-vertical-relative:paragraph;z-index:-15716864;mso-wrap-distance-left:0;mso-wrap-distance-right:0" id="docshape497" filled="true" fillcolor="#000000" stroked="false">
            <v:fill type="solid"/>
            <w10:wrap type="topAndBottom"/>
          </v:rect>
        </w:pict>
      </w:r>
    </w:p>
    <w:p>
      <w:pPr>
        <w:pStyle w:val="BodyText"/>
        <w:spacing w:before="5"/>
        <w:rPr>
          <w:rFonts w:ascii="Arial"/>
          <w:sz w:val="15"/>
        </w:rPr>
      </w:pPr>
    </w:p>
    <w:p>
      <w:pPr>
        <w:spacing w:after="0"/>
        <w:rPr>
          <w:rFonts w:ascii="Arial"/>
          <w:sz w:val="15"/>
        </w:rPr>
        <w:sectPr>
          <w:pgSz w:w="11910" w:h="16840"/>
          <w:pgMar w:header="854" w:footer="0" w:top="1020" w:bottom="280" w:left="900" w:right="840"/>
        </w:sectPr>
      </w:pPr>
    </w:p>
    <w:p>
      <w:pPr>
        <w:pStyle w:val="BodyText"/>
        <w:spacing w:before="92"/>
        <w:ind w:left="238" w:right="38"/>
        <w:jc w:val="both"/>
      </w:pPr>
      <w:r>
        <w:rPr/>
        <w:t>gene 22.27 95% CI [20.52-24.02] (Figure 1). Accor- ding to the intensity of the test band compared to the intensity of the control band, 20 of them were design- nated as ‘’++’’, and the corresponding mean Ct-value of the E gene was 19.6 95% CI [17.97-21.23]. Eleven had test band intensity weaker than the control band and were designated as ‘’+’’ with corresponding mean Ct value of the E gene equal to 27.1 95% CI [24.84- 29.37] (Figure 1).</w:t>
      </w:r>
    </w:p>
    <w:p>
      <w:pPr>
        <w:pStyle w:val="BodyText"/>
        <w:spacing w:before="1"/>
        <w:ind w:left="238" w:right="40"/>
        <w:jc w:val="both"/>
      </w:pPr>
      <w:r>
        <w:rPr/>
        <w:t>Discrepancy between both test methods was observed in 11 cases.</w:t>
      </w:r>
    </w:p>
    <w:p>
      <w:pPr>
        <w:pStyle w:val="BodyText"/>
        <w:ind w:left="238" w:right="38"/>
        <w:jc w:val="both"/>
      </w:pPr>
      <w:r>
        <w:rPr/>
        <w:t>Six cases tested positive by RT-qPCR with amplifyca- tion of only one or two genes (N gene was detected in all six cases with mean Ct-value of 38.4, and in two cases, the E gene was detected along with the N gene with mean Ct-value of 35.4) were tested negative by the rapid antigen (Ag) test.</w:t>
      </w:r>
    </w:p>
    <w:p>
      <w:pPr>
        <w:pStyle w:val="BodyText"/>
        <w:spacing w:before="92"/>
        <w:ind w:left="238" w:right="292"/>
        <w:jc w:val="both"/>
      </w:pPr>
      <w:r>
        <w:rPr/>
        <w:br w:type="column"/>
      </w:r>
      <w:r>
        <w:rPr/>
        <w:t>In addition, 5 cases tested positive with RT-qPCR by amplifying all 3 genes within the cut-off values, were also tested negative by the rapid Ag test. These cases had</w:t>
      </w:r>
      <w:r>
        <w:rPr>
          <w:spacing w:val="23"/>
        </w:rPr>
        <w:t> </w:t>
      </w:r>
      <w:r>
        <w:rPr/>
        <w:t>a</w:t>
      </w:r>
      <w:r>
        <w:rPr>
          <w:spacing w:val="23"/>
        </w:rPr>
        <w:t> </w:t>
      </w:r>
      <w:r>
        <w:rPr/>
        <w:t>corresponding</w:t>
      </w:r>
      <w:r>
        <w:rPr>
          <w:spacing w:val="23"/>
        </w:rPr>
        <w:t> </w:t>
      </w:r>
      <w:r>
        <w:rPr/>
        <w:t>mean</w:t>
      </w:r>
      <w:r>
        <w:rPr>
          <w:spacing w:val="24"/>
        </w:rPr>
        <w:t> </w:t>
      </w:r>
      <w:r>
        <w:rPr/>
        <w:t>Ct</w:t>
      </w:r>
      <w:r>
        <w:rPr>
          <w:spacing w:val="23"/>
        </w:rPr>
        <w:t> </w:t>
      </w:r>
      <w:r>
        <w:rPr/>
        <w:t>value</w:t>
      </w:r>
      <w:r>
        <w:rPr>
          <w:spacing w:val="25"/>
        </w:rPr>
        <w:t> </w:t>
      </w:r>
      <w:r>
        <w:rPr/>
        <w:t>of</w:t>
      </w:r>
      <w:r>
        <w:rPr>
          <w:spacing w:val="23"/>
        </w:rPr>
        <w:t> </w:t>
      </w:r>
      <w:r>
        <w:rPr/>
        <w:t>the</w:t>
      </w:r>
      <w:r>
        <w:rPr>
          <w:spacing w:val="23"/>
        </w:rPr>
        <w:t> </w:t>
      </w:r>
      <w:r>
        <w:rPr/>
        <w:t>E</w:t>
      </w:r>
      <w:r>
        <w:rPr>
          <w:spacing w:val="24"/>
        </w:rPr>
        <w:t> </w:t>
      </w:r>
      <w:r>
        <w:rPr/>
        <w:t>gene</w:t>
      </w:r>
      <w:r>
        <w:rPr>
          <w:spacing w:val="25"/>
        </w:rPr>
        <w:t> </w:t>
      </w:r>
      <w:r>
        <w:rPr>
          <w:spacing w:val="-5"/>
        </w:rPr>
        <w:t>of</w:t>
      </w:r>
    </w:p>
    <w:p>
      <w:pPr>
        <w:pStyle w:val="BodyText"/>
        <w:spacing w:line="241" w:lineRule="exact" w:before="1"/>
        <w:ind w:left="238"/>
        <w:jc w:val="both"/>
      </w:pPr>
      <w:r>
        <w:rPr/>
        <w:t>30.3</w:t>
      </w:r>
      <w:r>
        <w:rPr>
          <w:spacing w:val="-7"/>
        </w:rPr>
        <w:t> </w:t>
      </w:r>
      <w:r>
        <w:rPr/>
        <w:t>(29.17-32.30)</w:t>
      </w:r>
      <w:r>
        <w:rPr>
          <w:spacing w:val="-6"/>
        </w:rPr>
        <w:t> </w:t>
      </w:r>
      <w:r>
        <w:rPr/>
        <w:t>(Figure</w:t>
      </w:r>
      <w:r>
        <w:rPr>
          <w:spacing w:val="-6"/>
        </w:rPr>
        <w:t> </w:t>
      </w:r>
      <w:r>
        <w:rPr>
          <w:spacing w:val="-5"/>
        </w:rPr>
        <w:t>1).</w:t>
      </w:r>
    </w:p>
    <w:p>
      <w:pPr>
        <w:pStyle w:val="BodyText"/>
        <w:ind w:left="238" w:right="287" w:firstLine="52"/>
      </w:pPr>
      <w:r>
        <w:rPr/>
        <w:t>All</w:t>
      </w:r>
      <w:r>
        <w:rPr>
          <w:spacing w:val="40"/>
        </w:rPr>
        <w:t> </w:t>
      </w:r>
      <w:r>
        <w:rPr/>
        <w:t>specimens</w:t>
      </w:r>
      <w:r>
        <w:rPr>
          <w:spacing w:val="40"/>
        </w:rPr>
        <w:t> </w:t>
      </w:r>
      <w:r>
        <w:rPr/>
        <w:t>tested</w:t>
      </w:r>
      <w:r>
        <w:rPr>
          <w:spacing w:val="40"/>
        </w:rPr>
        <w:t> </w:t>
      </w:r>
      <w:r>
        <w:rPr/>
        <w:t>negative</w:t>
      </w:r>
      <w:r>
        <w:rPr>
          <w:spacing w:val="40"/>
        </w:rPr>
        <w:t> </w:t>
      </w:r>
      <w:r>
        <w:rPr/>
        <w:t>by</w:t>
      </w:r>
      <w:r>
        <w:rPr>
          <w:spacing w:val="39"/>
        </w:rPr>
        <w:t> </w:t>
      </w:r>
      <w:r>
        <w:rPr/>
        <w:t>the</w:t>
      </w:r>
      <w:r>
        <w:rPr>
          <w:spacing w:val="40"/>
        </w:rPr>
        <w:t> </w:t>
      </w:r>
      <w:r>
        <w:rPr/>
        <w:t>rapid</w:t>
      </w:r>
      <w:r>
        <w:rPr>
          <w:spacing w:val="40"/>
        </w:rPr>
        <w:t> </w:t>
      </w:r>
      <w:r>
        <w:rPr/>
        <w:t>Ag</w:t>
      </w:r>
      <w:r>
        <w:rPr>
          <w:spacing w:val="40"/>
        </w:rPr>
        <w:t> </w:t>
      </w:r>
      <w:r>
        <w:rPr/>
        <w:t>test (n=42) were also tested negative by the RT-qPCR. When</w:t>
      </w:r>
      <w:r>
        <w:rPr>
          <w:spacing w:val="40"/>
        </w:rPr>
        <w:t> </w:t>
      </w:r>
      <w:r>
        <w:rPr/>
        <w:t>the</w:t>
      </w:r>
      <w:r>
        <w:rPr>
          <w:spacing w:val="40"/>
        </w:rPr>
        <w:t> </w:t>
      </w:r>
      <w:r>
        <w:rPr/>
        <w:t>RT-qPCR</w:t>
      </w:r>
      <w:r>
        <w:rPr>
          <w:spacing w:val="40"/>
        </w:rPr>
        <w:t> </w:t>
      </w:r>
      <w:r>
        <w:rPr/>
        <w:t>was</w:t>
      </w:r>
      <w:r>
        <w:rPr>
          <w:spacing w:val="40"/>
        </w:rPr>
        <w:t> </w:t>
      </w:r>
      <w:r>
        <w:rPr/>
        <w:t>used</w:t>
      </w:r>
      <w:r>
        <w:rPr>
          <w:spacing w:val="40"/>
        </w:rPr>
        <w:t> </w:t>
      </w:r>
      <w:r>
        <w:rPr/>
        <w:t>as</w:t>
      </w:r>
      <w:r>
        <w:rPr>
          <w:spacing w:val="40"/>
        </w:rPr>
        <w:t> </w:t>
      </w:r>
      <w:r>
        <w:rPr/>
        <w:t>a</w:t>
      </w:r>
      <w:r>
        <w:rPr>
          <w:spacing w:val="40"/>
        </w:rPr>
        <w:t> </w:t>
      </w:r>
      <w:r>
        <w:rPr/>
        <w:t>reference,</w:t>
      </w:r>
      <w:r>
        <w:rPr>
          <w:spacing w:val="40"/>
        </w:rPr>
        <w:t> </w:t>
      </w:r>
      <w:r>
        <w:rPr/>
        <w:t>the</w:t>
      </w:r>
      <w:r>
        <w:rPr>
          <w:spacing w:val="40"/>
        </w:rPr>
        <w:t> </w:t>
      </w:r>
      <w:r>
        <w:rPr/>
        <w:t>antigen</w:t>
      </w:r>
      <w:r>
        <w:rPr>
          <w:spacing w:val="37"/>
        </w:rPr>
        <w:t> </w:t>
      </w:r>
      <w:r>
        <w:rPr/>
        <w:t>test</w:t>
      </w:r>
      <w:r>
        <w:rPr>
          <w:spacing w:val="36"/>
        </w:rPr>
        <w:t> </w:t>
      </w:r>
      <w:r>
        <w:rPr/>
        <w:t>diagnosed</w:t>
      </w:r>
      <w:r>
        <w:rPr>
          <w:spacing w:val="37"/>
        </w:rPr>
        <w:t> </w:t>
      </w:r>
      <w:r>
        <w:rPr/>
        <w:t>SARS-CoV-2</w:t>
      </w:r>
      <w:r>
        <w:rPr>
          <w:spacing w:val="37"/>
        </w:rPr>
        <w:t> </w:t>
      </w:r>
      <w:r>
        <w:rPr/>
        <w:t>infection</w:t>
      </w:r>
      <w:r>
        <w:rPr>
          <w:spacing w:val="37"/>
        </w:rPr>
        <w:t> </w:t>
      </w:r>
      <w:r>
        <w:rPr/>
        <w:t>status with</w:t>
      </w:r>
      <w:r>
        <w:rPr>
          <w:spacing w:val="37"/>
        </w:rPr>
        <w:t> </w:t>
      </w:r>
      <w:r>
        <w:rPr/>
        <w:t>sensitivity</w:t>
      </w:r>
      <w:r>
        <w:rPr>
          <w:spacing w:val="35"/>
        </w:rPr>
        <w:t> </w:t>
      </w:r>
      <w:r>
        <w:rPr/>
        <w:t>of</w:t>
      </w:r>
      <w:r>
        <w:rPr>
          <w:spacing w:val="36"/>
        </w:rPr>
        <w:t> </w:t>
      </w:r>
      <w:r>
        <w:rPr/>
        <w:t>73.8%</w:t>
      </w:r>
      <w:r>
        <w:rPr>
          <w:spacing w:val="36"/>
        </w:rPr>
        <w:t> </w:t>
      </w:r>
      <w:r>
        <w:rPr/>
        <w:t>(31/42),</w:t>
      </w:r>
      <w:r>
        <w:rPr>
          <w:spacing w:val="37"/>
        </w:rPr>
        <w:t> </w:t>
      </w:r>
      <w:r>
        <w:rPr/>
        <w:t>and</w:t>
      </w:r>
      <w:r>
        <w:rPr>
          <w:spacing w:val="37"/>
        </w:rPr>
        <w:t> </w:t>
      </w:r>
      <w:r>
        <w:rPr/>
        <w:t>specificity</w:t>
      </w:r>
      <w:r>
        <w:rPr>
          <w:spacing w:val="32"/>
        </w:rPr>
        <w:t> </w:t>
      </w:r>
      <w:r>
        <w:rPr/>
        <w:t>of 100% (42/42) (Table 1).</w:t>
      </w:r>
    </w:p>
    <w:p>
      <w:pPr>
        <w:pStyle w:val="BodyText"/>
        <w:ind w:left="238" w:right="287"/>
        <w:jc w:val="both"/>
      </w:pPr>
      <w:r>
        <w:rPr/>
        <w:t>False negative Ag test results were observed in sub- jects with high RT-qPCR Ct-values (including incon- clusive results), reflecting low viral levels in nasopha- </w:t>
      </w:r>
      <w:r>
        <w:rPr>
          <w:spacing w:val="-2"/>
        </w:rPr>
        <w:t>ryngeal material.</w:t>
      </w:r>
      <w:r>
        <w:rPr>
          <w:spacing w:val="-5"/>
        </w:rPr>
        <w:t> </w:t>
      </w:r>
      <w:r>
        <w:rPr>
          <w:spacing w:val="-2"/>
        </w:rPr>
        <w:t>When</w:t>
      </w:r>
      <w:r>
        <w:rPr>
          <w:spacing w:val="-5"/>
        </w:rPr>
        <w:t> </w:t>
      </w:r>
      <w:r>
        <w:rPr>
          <w:spacing w:val="-2"/>
        </w:rPr>
        <w:t>defining</w:t>
      </w:r>
      <w:r>
        <w:rPr>
          <w:spacing w:val="-5"/>
        </w:rPr>
        <w:t> </w:t>
      </w:r>
      <w:r>
        <w:rPr>
          <w:spacing w:val="-2"/>
        </w:rPr>
        <w:t>RT-qPCR</w:t>
      </w:r>
      <w:r>
        <w:rPr>
          <w:spacing w:val="-4"/>
        </w:rPr>
        <w:t> </w:t>
      </w:r>
      <w:r>
        <w:rPr>
          <w:spacing w:val="-2"/>
        </w:rPr>
        <w:t>Ct</w:t>
      </w:r>
      <w:r>
        <w:rPr>
          <w:spacing w:val="-5"/>
        </w:rPr>
        <w:t> </w:t>
      </w:r>
      <w:r>
        <w:rPr>
          <w:spacing w:val="-2"/>
        </w:rPr>
        <w:t>positivity </w:t>
      </w:r>
      <w:r>
        <w:rPr/>
        <w:t>on</w:t>
      </w:r>
      <w:r>
        <w:rPr>
          <w:spacing w:val="-13"/>
        </w:rPr>
        <w:t> </w:t>
      </w:r>
      <w:r>
        <w:rPr/>
        <w:t>a</w:t>
      </w:r>
      <w:r>
        <w:rPr>
          <w:spacing w:val="-13"/>
        </w:rPr>
        <w:t> </w:t>
      </w:r>
      <w:r>
        <w:rPr/>
        <w:t>cut-off</w:t>
      </w:r>
      <w:r>
        <w:rPr>
          <w:spacing w:val="-13"/>
        </w:rPr>
        <w:t> </w:t>
      </w:r>
      <w:r>
        <w:rPr/>
        <w:t>Ct-value</w:t>
      </w:r>
      <w:r>
        <w:rPr>
          <w:spacing w:val="-11"/>
        </w:rPr>
        <w:t> </w:t>
      </w:r>
      <w:r>
        <w:rPr/>
        <w:t>of</w:t>
      </w:r>
      <w:r>
        <w:rPr>
          <w:spacing w:val="-12"/>
        </w:rPr>
        <w:t> </w:t>
      </w:r>
      <w:r>
        <w:rPr/>
        <w:t>30,</w:t>
      </w:r>
      <w:r>
        <w:rPr>
          <w:spacing w:val="-11"/>
        </w:rPr>
        <w:t> </w:t>
      </w:r>
      <w:r>
        <w:rPr/>
        <w:t>Ag</w:t>
      </w:r>
      <w:r>
        <w:rPr>
          <w:spacing w:val="-13"/>
        </w:rPr>
        <w:t> </w:t>
      </w:r>
      <w:r>
        <w:rPr/>
        <w:t>test</w:t>
      </w:r>
      <w:r>
        <w:rPr>
          <w:spacing w:val="-12"/>
        </w:rPr>
        <w:t> </w:t>
      </w:r>
      <w:r>
        <w:rPr/>
        <w:t>sensitivity</w:t>
      </w:r>
      <w:r>
        <w:rPr>
          <w:spacing w:val="-13"/>
        </w:rPr>
        <w:t> </w:t>
      </w:r>
      <w:r>
        <w:rPr/>
        <w:t>increased to 91.2% (31/34) (Table 1).</w:t>
      </w:r>
    </w:p>
    <w:p>
      <w:pPr>
        <w:spacing w:after="0"/>
        <w:jc w:val="both"/>
        <w:sectPr>
          <w:type w:val="continuous"/>
          <w:pgSz w:w="11910" w:h="16840"/>
          <w:pgMar w:header="835" w:footer="0" w:top="740" w:bottom="0" w:left="900" w:right="840"/>
          <w:cols w:num="2" w:equalWidth="0">
            <w:col w:w="4918" w:space="80"/>
            <w:col w:w="5172"/>
          </w:cols>
        </w:sectPr>
      </w:pPr>
    </w:p>
    <w:p>
      <w:pPr>
        <w:pStyle w:val="BodyText"/>
        <w:spacing w:before="1"/>
        <w:rPr>
          <w:sz w:val="13"/>
        </w:rPr>
      </w:pPr>
    </w:p>
    <w:p>
      <w:pPr>
        <w:spacing w:before="92" w:after="7"/>
        <w:ind w:left="2227" w:right="2197" w:firstLine="0"/>
        <w:jc w:val="left"/>
        <w:rPr>
          <w:sz w:val="18"/>
        </w:rPr>
      </w:pPr>
      <w:r>
        <w:rPr>
          <w:b/>
          <w:sz w:val="18"/>
        </w:rPr>
        <w:t>Table</w:t>
      </w:r>
      <w:r>
        <w:rPr>
          <w:b/>
          <w:spacing w:val="-1"/>
          <w:sz w:val="18"/>
        </w:rPr>
        <w:t> </w:t>
      </w:r>
      <w:r>
        <w:rPr>
          <w:b/>
          <w:sz w:val="18"/>
        </w:rPr>
        <w:t>1.</w:t>
      </w:r>
      <w:r>
        <w:rPr>
          <w:b/>
          <w:spacing w:val="-1"/>
          <w:sz w:val="18"/>
        </w:rPr>
        <w:t> </w:t>
      </w:r>
      <w:r>
        <w:rPr>
          <w:sz w:val="18"/>
        </w:rPr>
        <w:t>Sensitivity</w:t>
      </w:r>
      <w:r>
        <w:rPr>
          <w:spacing w:val="-4"/>
          <w:sz w:val="18"/>
        </w:rPr>
        <w:t> </w:t>
      </w:r>
      <w:r>
        <w:rPr>
          <w:sz w:val="18"/>
        </w:rPr>
        <w:t>and</w:t>
      </w:r>
      <w:r>
        <w:rPr>
          <w:spacing w:val="-2"/>
          <w:sz w:val="18"/>
        </w:rPr>
        <w:t> </w:t>
      </w:r>
      <w:r>
        <w:rPr>
          <w:sz w:val="18"/>
        </w:rPr>
        <w:t>specificity</w:t>
      </w:r>
      <w:r>
        <w:rPr>
          <w:spacing w:val="-4"/>
          <w:sz w:val="18"/>
        </w:rPr>
        <w:t> </w:t>
      </w:r>
      <w:r>
        <w:rPr>
          <w:sz w:val="18"/>
        </w:rPr>
        <w:t>of</w:t>
      </w:r>
      <w:r>
        <w:rPr>
          <w:spacing w:val="-5"/>
          <w:sz w:val="18"/>
        </w:rPr>
        <w:t> </w:t>
      </w:r>
      <w:r>
        <w:rPr>
          <w:sz w:val="18"/>
        </w:rPr>
        <w:t>the</w:t>
      </w:r>
      <w:r>
        <w:rPr>
          <w:spacing w:val="-1"/>
          <w:sz w:val="18"/>
        </w:rPr>
        <w:t> </w:t>
      </w:r>
      <w:r>
        <w:rPr>
          <w:sz w:val="18"/>
        </w:rPr>
        <w:t>antigen detection</w:t>
      </w:r>
      <w:r>
        <w:rPr>
          <w:spacing w:val="-2"/>
          <w:sz w:val="18"/>
        </w:rPr>
        <w:t> </w:t>
      </w:r>
      <w:r>
        <w:rPr>
          <w:sz w:val="18"/>
        </w:rPr>
        <w:t>test</w:t>
      </w:r>
      <w:r>
        <w:rPr>
          <w:spacing w:val="-3"/>
          <w:sz w:val="18"/>
        </w:rPr>
        <w:t> </w:t>
      </w:r>
      <w:r>
        <w:rPr>
          <w:sz w:val="18"/>
        </w:rPr>
        <w:t>in</w:t>
      </w:r>
      <w:r>
        <w:rPr>
          <w:spacing w:val="-2"/>
          <w:sz w:val="18"/>
        </w:rPr>
        <w:t> </w:t>
      </w:r>
      <w:r>
        <w:rPr>
          <w:sz w:val="18"/>
        </w:rPr>
        <w:t>comparison with RT-qPCR</w:t>
      </w:r>
    </w:p>
    <w:p>
      <w:pPr>
        <w:pStyle w:val="BodyText"/>
        <w:spacing w:line="20" w:lineRule="exact"/>
        <w:ind w:left="2119"/>
        <w:rPr>
          <w:sz w:val="2"/>
        </w:rPr>
      </w:pPr>
      <w:r>
        <w:rPr>
          <w:sz w:val="2"/>
        </w:rPr>
        <w:pict>
          <v:group style="width:293.5pt;height:.5pt;mso-position-horizontal-relative:char;mso-position-vertical-relative:line" id="docshapegroup498" coordorigin="0,0" coordsize="5870,10">
            <v:shape style="position:absolute;left:0;top:0;width:5870;height:10" id="docshape499" coordorigin="0,0" coordsize="5870,10" path="m1008,0l0,0,0,10,1008,10,1008,0xm5870,0l1918,0,1909,0,1018,0,1009,0,1009,10,1018,10,1909,10,1918,10,5870,10,5870,0xe" filled="true" fillcolor="#000000" stroked="false">
              <v:path arrowok="t"/>
              <v:fill type="solid"/>
            </v:shape>
          </v:group>
        </w:pict>
      </w:r>
      <w:r>
        <w:rPr>
          <w:sz w:val="2"/>
        </w:rPr>
      </w:r>
    </w:p>
    <w:p>
      <w:pPr>
        <w:spacing w:line="196" w:lineRule="exact" w:before="0"/>
        <w:ind w:left="2069" w:right="226" w:firstLine="0"/>
        <w:jc w:val="center"/>
        <w:rPr>
          <w:b/>
          <w:sz w:val="18"/>
        </w:rPr>
      </w:pPr>
      <w:r>
        <w:rPr>
          <w:b/>
          <w:sz w:val="18"/>
        </w:rPr>
        <w:t>Antigen</w:t>
      </w:r>
      <w:r>
        <w:rPr>
          <w:b/>
          <w:spacing w:val="-8"/>
          <w:sz w:val="18"/>
        </w:rPr>
        <w:t> </w:t>
      </w:r>
      <w:r>
        <w:rPr>
          <w:b/>
          <w:spacing w:val="-4"/>
          <w:sz w:val="18"/>
        </w:rPr>
        <w:t>test</w:t>
      </w:r>
    </w:p>
    <w:p>
      <w:pPr>
        <w:tabs>
          <w:tab w:pos="2753" w:val="left" w:leader="none"/>
          <w:tab w:pos="3644" w:val="left" w:leader="none"/>
          <w:tab w:pos="4724" w:val="left" w:leader="none"/>
        </w:tabs>
        <w:spacing w:line="207" w:lineRule="exact" w:before="0"/>
        <w:ind w:left="1819" w:right="0" w:firstLine="0"/>
        <w:jc w:val="center"/>
        <w:rPr>
          <w:b/>
          <w:sz w:val="18"/>
        </w:rPr>
      </w:pPr>
      <w:r>
        <w:rPr>
          <w:b/>
          <w:spacing w:val="-2"/>
          <w:sz w:val="18"/>
        </w:rPr>
        <w:t>Negative</w:t>
      </w:r>
      <w:r>
        <w:rPr>
          <w:b/>
          <w:sz w:val="18"/>
        </w:rPr>
        <w:tab/>
      </w:r>
      <w:r>
        <w:rPr>
          <w:b/>
          <w:spacing w:val="-2"/>
          <w:sz w:val="18"/>
        </w:rPr>
        <w:t>Positive</w:t>
      </w:r>
      <w:r>
        <w:rPr>
          <w:b/>
          <w:sz w:val="18"/>
        </w:rPr>
        <w:tab/>
      </w:r>
      <w:r>
        <w:rPr>
          <w:b/>
          <w:spacing w:val="-2"/>
          <w:sz w:val="18"/>
        </w:rPr>
        <w:t>Sensitivity</w:t>
      </w:r>
      <w:r>
        <w:rPr>
          <w:b/>
          <w:sz w:val="18"/>
        </w:rPr>
        <w:tab/>
      </w:r>
      <w:r>
        <w:rPr>
          <w:b/>
          <w:spacing w:val="-2"/>
          <w:sz w:val="18"/>
        </w:rPr>
        <w:t>Specificity</w:t>
      </w:r>
    </w:p>
    <w:p>
      <w:pPr>
        <w:pStyle w:val="BodyText"/>
        <w:spacing w:line="20" w:lineRule="exact"/>
        <w:ind w:left="2119"/>
        <w:rPr>
          <w:sz w:val="2"/>
        </w:rPr>
      </w:pPr>
      <w:r>
        <w:rPr>
          <w:sz w:val="2"/>
        </w:rPr>
        <w:pict>
          <v:group style="width:293.5pt;height:.5pt;mso-position-horizontal-relative:char;mso-position-vertical-relative:line" id="docshapegroup500" coordorigin="0,0" coordsize="5870,10">
            <v:shape style="position:absolute;left:0;top:0;width:5870;height:10" id="docshape501" coordorigin="0,0" coordsize="5870,10" path="m1008,0l0,0,0,10,1008,10,1008,0xm2809,0l1918,0,1909,0,1018,0,1009,0,1009,10,1018,10,1909,10,1918,10,2809,10,2809,0xm5869,0l4799,0,4789,0,3719,0,3709,0,3709,0,2818,0,2809,0,2809,10,2818,10,3709,10,3709,10,3719,10,4789,10,4799,10,5869,10,5869,0xe" filled="true" fillcolor="#000000" stroked="false">
              <v:path arrowok="t"/>
              <v:fill type="solid"/>
            </v:shape>
          </v:group>
        </w:pict>
      </w:r>
      <w:r>
        <w:rPr>
          <w:sz w:val="2"/>
        </w:rPr>
      </w:r>
    </w:p>
    <w:p>
      <w:pPr>
        <w:tabs>
          <w:tab w:pos="1008" w:val="left" w:leader="none"/>
          <w:tab w:pos="2160" w:val="left" w:leader="none"/>
          <w:tab w:pos="3104" w:val="left" w:leader="none"/>
          <w:tab w:pos="5009" w:val="left" w:leader="none"/>
        </w:tabs>
        <w:spacing w:line="151" w:lineRule="auto" w:before="11"/>
        <w:ind w:left="0" w:right="277" w:firstLine="0"/>
        <w:jc w:val="center"/>
        <w:rPr>
          <w:sz w:val="18"/>
        </w:rPr>
      </w:pPr>
      <w:r>
        <w:rPr>
          <w:position w:val="-9"/>
          <w:sz w:val="18"/>
        </w:rPr>
        <w:t>RT-</w:t>
      </w:r>
      <w:r>
        <w:rPr>
          <w:spacing w:val="-3"/>
          <w:position w:val="-9"/>
          <w:sz w:val="18"/>
        </w:rPr>
        <w:t> </w:t>
      </w:r>
      <w:r>
        <w:rPr>
          <w:spacing w:val="-4"/>
          <w:position w:val="-9"/>
          <w:sz w:val="18"/>
        </w:rPr>
        <w:t>qPCR</w:t>
      </w:r>
      <w:r>
        <w:rPr>
          <w:position w:val="-9"/>
          <w:sz w:val="18"/>
        </w:rPr>
        <w:tab/>
      </w:r>
      <w:r>
        <w:rPr>
          <w:spacing w:val="-2"/>
          <w:sz w:val="18"/>
        </w:rPr>
        <w:t>Negative</w:t>
      </w:r>
      <w:r>
        <w:rPr>
          <w:sz w:val="18"/>
        </w:rPr>
        <w:tab/>
      </w:r>
      <w:r>
        <w:rPr>
          <w:spacing w:val="-5"/>
          <w:sz w:val="18"/>
        </w:rPr>
        <w:t>42</w:t>
      </w:r>
      <w:r>
        <w:rPr>
          <w:sz w:val="18"/>
        </w:rPr>
        <w:tab/>
      </w:r>
      <w:r>
        <w:rPr>
          <w:spacing w:val="-10"/>
          <w:sz w:val="18"/>
        </w:rPr>
        <w:t>0</w:t>
      </w:r>
      <w:r>
        <w:rPr>
          <w:sz w:val="18"/>
        </w:rPr>
        <w:tab/>
      </w:r>
      <w:r>
        <w:rPr>
          <w:spacing w:val="-4"/>
          <w:sz w:val="18"/>
        </w:rPr>
        <w:t>100%</w:t>
      </w:r>
    </w:p>
    <w:p>
      <w:pPr>
        <w:tabs>
          <w:tab w:pos="1151" w:val="left" w:leader="none"/>
          <w:tab w:pos="2052" w:val="left" w:leader="none"/>
          <w:tab w:pos="2899" w:val="left" w:leader="none"/>
        </w:tabs>
        <w:spacing w:line="156" w:lineRule="exact" w:before="0"/>
        <w:ind w:left="0" w:right="328" w:firstLine="0"/>
        <w:jc w:val="center"/>
        <w:rPr>
          <w:sz w:val="18"/>
        </w:rPr>
      </w:pPr>
      <w:r>
        <w:rPr>
          <w:spacing w:val="-2"/>
          <w:sz w:val="18"/>
        </w:rPr>
        <w:t>Positive</w:t>
      </w:r>
      <w:r>
        <w:rPr>
          <w:sz w:val="18"/>
        </w:rPr>
        <w:tab/>
      </w:r>
      <w:r>
        <w:rPr>
          <w:spacing w:val="-5"/>
          <w:sz w:val="18"/>
        </w:rPr>
        <w:t>11</w:t>
      </w:r>
      <w:r>
        <w:rPr>
          <w:sz w:val="18"/>
        </w:rPr>
        <w:tab/>
      </w:r>
      <w:r>
        <w:rPr>
          <w:spacing w:val="-5"/>
          <w:sz w:val="18"/>
        </w:rPr>
        <w:t>31</w:t>
      </w:r>
      <w:r>
        <w:rPr>
          <w:sz w:val="18"/>
        </w:rPr>
        <w:tab/>
      </w:r>
      <w:r>
        <w:rPr>
          <w:spacing w:val="-4"/>
          <w:sz w:val="18"/>
        </w:rPr>
        <w:t>73.8%</w:t>
      </w:r>
    </w:p>
    <w:p>
      <w:pPr>
        <w:tabs>
          <w:tab w:pos="1008" w:val="left" w:leader="none"/>
          <w:tab w:pos="2160" w:val="left" w:leader="none"/>
          <w:tab w:pos="3104" w:val="left" w:leader="none"/>
          <w:tab w:pos="5009" w:val="left" w:leader="none"/>
        </w:tabs>
        <w:spacing w:line="151" w:lineRule="auto" w:before="24"/>
        <w:ind w:left="0" w:right="277" w:firstLine="0"/>
        <w:jc w:val="center"/>
        <w:rPr>
          <w:sz w:val="18"/>
        </w:rPr>
      </w:pPr>
      <w:r>
        <w:rPr>
          <w:position w:val="-9"/>
          <w:sz w:val="18"/>
        </w:rPr>
        <w:t>Ct &lt;</w:t>
      </w:r>
      <w:r>
        <w:rPr>
          <w:spacing w:val="-1"/>
          <w:position w:val="-9"/>
          <w:sz w:val="18"/>
        </w:rPr>
        <w:t> </w:t>
      </w:r>
      <w:r>
        <w:rPr>
          <w:spacing w:val="-5"/>
          <w:position w:val="-9"/>
          <w:sz w:val="18"/>
        </w:rPr>
        <w:t>30</w:t>
      </w:r>
      <w:r>
        <w:rPr>
          <w:position w:val="-9"/>
          <w:sz w:val="18"/>
        </w:rPr>
        <w:tab/>
      </w:r>
      <w:r>
        <w:rPr>
          <w:spacing w:val="-2"/>
          <w:sz w:val="18"/>
        </w:rPr>
        <w:t>Negative</w:t>
      </w:r>
      <w:r>
        <w:rPr>
          <w:sz w:val="18"/>
        </w:rPr>
        <w:tab/>
      </w:r>
      <w:r>
        <w:rPr>
          <w:spacing w:val="-5"/>
          <w:sz w:val="18"/>
        </w:rPr>
        <w:t>42</w:t>
      </w:r>
      <w:r>
        <w:rPr>
          <w:sz w:val="18"/>
        </w:rPr>
        <w:tab/>
      </w:r>
      <w:r>
        <w:rPr>
          <w:spacing w:val="-10"/>
          <w:sz w:val="18"/>
        </w:rPr>
        <w:t>0</w:t>
      </w:r>
      <w:r>
        <w:rPr>
          <w:sz w:val="18"/>
        </w:rPr>
        <w:tab/>
      </w:r>
      <w:r>
        <w:rPr>
          <w:spacing w:val="-4"/>
          <w:sz w:val="18"/>
        </w:rPr>
        <w:t>100%</w:t>
      </w:r>
    </w:p>
    <w:p>
      <w:pPr>
        <w:tabs>
          <w:tab w:pos="1116" w:val="left" w:leader="none"/>
          <w:tab w:pos="2311" w:val="left" w:leader="none"/>
          <w:tab w:pos="3168" w:val="left" w:leader="none"/>
          <w:tab w:pos="4016" w:val="left" w:leader="none"/>
          <w:tab w:pos="5869" w:val="left" w:leader="none"/>
        </w:tabs>
        <w:spacing w:line="156" w:lineRule="exact" w:before="0"/>
        <w:ind w:left="0" w:right="58" w:firstLine="0"/>
        <w:jc w:val="center"/>
        <w:rPr>
          <w:sz w:val="18"/>
        </w:rPr>
      </w:pPr>
      <w:r>
        <w:rPr>
          <w:sz w:val="18"/>
          <w:u w:val="single"/>
        </w:rPr>
        <w:tab/>
      </w:r>
      <w:r>
        <w:rPr>
          <w:spacing w:val="-2"/>
          <w:sz w:val="18"/>
          <w:u w:val="single"/>
        </w:rPr>
        <w:t>Positive</w:t>
      </w:r>
      <w:r>
        <w:rPr>
          <w:sz w:val="18"/>
          <w:u w:val="single"/>
        </w:rPr>
        <w:tab/>
      </w:r>
      <w:r>
        <w:rPr>
          <w:spacing w:val="-10"/>
          <w:sz w:val="18"/>
          <w:u w:val="single"/>
        </w:rPr>
        <w:t>3</w:t>
      </w:r>
      <w:r>
        <w:rPr>
          <w:sz w:val="18"/>
          <w:u w:val="single"/>
        </w:rPr>
        <w:tab/>
      </w:r>
      <w:r>
        <w:rPr>
          <w:spacing w:val="-5"/>
          <w:sz w:val="18"/>
          <w:u w:val="single"/>
        </w:rPr>
        <w:t>31</w:t>
      </w:r>
      <w:r>
        <w:rPr>
          <w:sz w:val="18"/>
          <w:u w:val="single"/>
        </w:rPr>
        <w:tab/>
      </w:r>
      <w:r>
        <w:rPr>
          <w:spacing w:val="-4"/>
          <w:sz w:val="18"/>
          <w:u w:val="single"/>
        </w:rPr>
        <w:t>91.2%</w:t>
      </w:r>
      <w:r>
        <w:rPr>
          <w:sz w:val="18"/>
          <w:u w:val="single"/>
        </w:rPr>
        <w:tab/>
      </w:r>
    </w:p>
    <w:p>
      <w:pPr>
        <w:pStyle w:val="BodyText"/>
        <w:spacing w:before="8"/>
        <w:rPr>
          <w:sz w:val="13"/>
        </w:rPr>
      </w:pPr>
    </w:p>
    <w:p>
      <w:pPr>
        <w:spacing w:after="0"/>
        <w:rPr>
          <w:sz w:val="13"/>
        </w:rPr>
        <w:sectPr>
          <w:type w:val="continuous"/>
          <w:pgSz w:w="11910" w:h="16840"/>
          <w:pgMar w:header="835" w:footer="0" w:top="740" w:bottom="0" w:left="900" w:right="840"/>
        </w:sectPr>
      </w:pPr>
    </w:p>
    <w:p>
      <w:pPr>
        <w:pStyle w:val="BodyText"/>
        <w:spacing w:before="5"/>
        <w:rPr>
          <w:sz w:val="8"/>
        </w:rPr>
      </w:pPr>
    </w:p>
    <w:p>
      <w:pPr>
        <w:pStyle w:val="BodyText"/>
        <w:ind w:left="286"/>
        <w:rPr>
          <w:sz w:val="20"/>
        </w:rPr>
      </w:pPr>
      <w:r>
        <w:rPr>
          <w:sz w:val="20"/>
        </w:rPr>
        <w:drawing>
          <wp:inline distT="0" distB="0" distL="0" distR="0">
            <wp:extent cx="2912536" cy="1548193"/>
            <wp:effectExtent l="0" t="0" r="0" b="0"/>
            <wp:docPr id="7" name="image445.jpeg"/>
            <wp:cNvGraphicFramePr>
              <a:graphicFrameLocks noChangeAspect="1"/>
            </wp:cNvGraphicFramePr>
            <a:graphic>
              <a:graphicData uri="http://schemas.openxmlformats.org/drawingml/2006/picture">
                <pic:pic>
                  <pic:nvPicPr>
                    <pic:cNvPr id="8" name="image445.jpeg"/>
                    <pic:cNvPicPr/>
                  </pic:nvPicPr>
                  <pic:blipFill>
                    <a:blip r:embed="rId469" cstate="print"/>
                    <a:stretch>
                      <a:fillRect/>
                    </a:stretch>
                  </pic:blipFill>
                  <pic:spPr>
                    <a:xfrm>
                      <a:off x="0" y="0"/>
                      <a:ext cx="2912536" cy="1548193"/>
                    </a:xfrm>
                    <a:prstGeom prst="rect">
                      <a:avLst/>
                    </a:prstGeom>
                  </pic:spPr>
                </pic:pic>
              </a:graphicData>
            </a:graphic>
          </wp:inline>
        </w:drawing>
      </w:r>
      <w:r>
        <w:rPr>
          <w:sz w:val="20"/>
        </w:rPr>
      </w:r>
    </w:p>
    <w:p>
      <w:pPr>
        <w:spacing w:before="14"/>
        <w:ind w:left="238" w:right="64" w:firstLine="0"/>
        <w:jc w:val="both"/>
        <w:rPr>
          <w:sz w:val="18"/>
        </w:rPr>
      </w:pPr>
      <w:r>
        <w:rPr>
          <w:b/>
          <w:sz w:val="18"/>
        </w:rPr>
        <w:t>Fig. 1. </w:t>
      </w:r>
      <w:r>
        <w:rPr>
          <w:sz w:val="18"/>
        </w:rPr>
        <w:t>Ct-value and corresponding antigen (Ag) detection test </w:t>
      </w:r>
      <w:r>
        <w:rPr>
          <w:spacing w:val="-2"/>
          <w:sz w:val="18"/>
        </w:rPr>
        <w:t>results</w:t>
      </w:r>
    </w:p>
    <w:p>
      <w:pPr>
        <w:pStyle w:val="BodyText"/>
        <w:spacing w:before="9"/>
        <w:rPr>
          <w:sz w:val="20"/>
        </w:rPr>
      </w:pPr>
    </w:p>
    <w:p>
      <w:pPr>
        <w:pStyle w:val="BodyText"/>
        <w:ind w:left="238" w:right="60"/>
        <w:jc w:val="both"/>
      </w:pPr>
      <w:r>
        <w:rPr/>
        <w:t>Cycle</w:t>
      </w:r>
      <w:r>
        <w:rPr>
          <w:spacing w:val="-14"/>
        </w:rPr>
        <w:t> </w:t>
      </w:r>
      <w:r>
        <w:rPr/>
        <w:t>threshold</w:t>
      </w:r>
      <w:r>
        <w:rPr>
          <w:spacing w:val="-13"/>
        </w:rPr>
        <w:t> </w:t>
      </w:r>
      <w:r>
        <w:rPr/>
        <w:t>(Ct)</w:t>
      </w:r>
      <w:r>
        <w:rPr>
          <w:spacing w:val="-13"/>
        </w:rPr>
        <w:t> </w:t>
      </w:r>
      <w:r>
        <w:rPr/>
        <w:t>value</w:t>
      </w:r>
      <w:r>
        <w:rPr>
          <w:spacing w:val="-13"/>
        </w:rPr>
        <w:t> </w:t>
      </w:r>
      <w:r>
        <w:rPr/>
        <w:t>of</w:t>
      </w:r>
      <w:r>
        <w:rPr>
          <w:spacing w:val="-13"/>
        </w:rPr>
        <w:t> </w:t>
      </w:r>
      <w:r>
        <w:rPr/>
        <w:t>the</w:t>
      </w:r>
      <w:r>
        <w:rPr>
          <w:spacing w:val="-13"/>
        </w:rPr>
        <w:t> </w:t>
      </w:r>
      <w:r>
        <w:rPr/>
        <w:t>E-gene</w:t>
      </w:r>
      <w:r>
        <w:rPr>
          <w:spacing w:val="-13"/>
        </w:rPr>
        <w:t> </w:t>
      </w:r>
      <w:r>
        <w:rPr/>
        <w:t>and</w:t>
      </w:r>
      <w:r>
        <w:rPr>
          <w:spacing w:val="-13"/>
        </w:rPr>
        <w:t> </w:t>
      </w:r>
      <w:r>
        <w:rPr/>
        <w:t>correspon- ding antigen (Ag) detection test results [blue circles positive (n=31), red circles negative (n=5) for each</w:t>
      </w:r>
      <w:r>
        <w:rPr>
          <w:spacing w:val="40"/>
        </w:rPr>
        <w:t> </w:t>
      </w:r>
      <w:r>
        <w:rPr/>
        <w:t>RT-qPCR positive sample with amplification of the all tree genes (n=36)].</w:t>
      </w:r>
    </w:p>
    <w:p>
      <w:pPr>
        <w:pStyle w:val="BodyText"/>
        <w:spacing w:before="1"/>
        <w:ind w:left="238" w:right="60"/>
        <w:jc w:val="both"/>
      </w:pPr>
      <w:r>
        <w:rPr/>
        <w:t>Intensities of the test bands were compared to the con- trol bands and designated as “++” if test and control bands intensity were similar or “+” if the test band intensity was weaker than the control band.</w:t>
      </w:r>
    </w:p>
    <w:p>
      <w:pPr>
        <w:pStyle w:val="BodyText"/>
        <w:spacing w:before="4"/>
      </w:pPr>
    </w:p>
    <w:p>
      <w:pPr>
        <w:pStyle w:val="Heading4"/>
      </w:pPr>
      <w:r>
        <w:rPr>
          <w:spacing w:val="-2"/>
        </w:rPr>
        <w:t>Discussion</w:t>
      </w:r>
    </w:p>
    <w:p>
      <w:pPr>
        <w:pStyle w:val="BodyText"/>
        <w:spacing w:before="6"/>
        <w:rPr>
          <w:b/>
          <w:sz w:val="20"/>
        </w:rPr>
      </w:pPr>
    </w:p>
    <w:p>
      <w:pPr>
        <w:pStyle w:val="BodyText"/>
        <w:ind w:left="238" w:right="61"/>
        <w:jc w:val="both"/>
      </w:pPr>
      <w:r>
        <w:rPr/>
        <w:t>In this study the Panbio™ COVID-19 Ag rapid test by Abbott (Lake Country, IL, U.S.A) was compared with the Allplex 19-nCoV multiplex platform RT-qPCR as</w:t>
      </w:r>
      <w:r>
        <w:rPr>
          <w:spacing w:val="40"/>
        </w:rPr>
        <w:t> </w:t>
      </w:r>
      <w:r>
        <w:rPr/>
        <w:t>a</w:t>
      </w:r>
      <w:r>
        <w:rPr>
          <w:spacing w:val="-14"/>
        </w:rPr>
        <w:t> </w:t>
      </w:r>
      <w:r>
        <w:rPr/>
        <w:t>confirmatory</w:t>
      </w:r>
      <w:r>
        <w:rPr>
          <w:spacing w:val="-13"/>
        </w:rPr>
        <w:t> </w:t>
      </w:r>
      <w:r>
        <w:rPr/>
        <w:t>test.</w:t>
      </w:r>
      <w:r>
        <w:rPr>
          <w:spacing w:val="-13"/>
        </w:rPr>
        <w:t> </w:t>
      </w:r>
      <w:r>
        <w:rPr/>
        <w:t>Both</w:t>
      </w:r>
      <w:r>
        <w:rPr>
          <w:spacing w:val="-13"/>
        </w:rPr>
        <w:t> </w:t>
      </w:r>
      <w:r>
        <w:rPr/>
        <w:t>different</w:t>
      </w:r>
      <w:r>
        <w:rPr>
          <w:spacing w:val="-13"/>
        </w:rPr>
        <w:t> </w:t>
      </w:r>
      <w:r>
        <w:rPr/>
        <w:t>testing</w:t>
      </w:r>
      <w:r>
        <w:rPr>
          <w:spacing w:val="-13"/>
        </w:rPr>
        <w:t> </w:t>
      </w:r>
      <w:r>
        <w:rPr/>
        <w:t>methods</w:t>
      </w:r>
      <w:r>
        <w:rPr>
          <w:spacing w:val="-13"/>
        </w:rPr>
        <w:t> </w:t>
      </w:r>
      <w:r>
        <w:rPr/>
        <w:t>were performed</w:t>
      </w:r>
      <w:r>
        <w:rPr>
          <w:spacing w:val="-3"/>
        </w:rPr>
        <w:t> </w:t>
      </w:r>
      <w:r>
        <w:rPr/>
        <w:t>in</w:t>
      </w:r>
      <w:r>
        <w:rPr>
          <w:spacing w:val="-3"/>
        </w:rPr>
        <w:t> </w:t>
      </w:r>
      <w:r>
        <w:rPr/>
        <w:t>the</w:t>
      </w:r>
      <w:r>
        <w:rPr>
          <w:spacing w:val="-3"/>
        </w:rPr>
        <w:t> </w:t>
      </w:r>
      <w:r>
        <w:rPr/>
        <w:t>same</w:t>
      </w:r>
      <w:r>
        <w:rPr>
          <w:spacing w:val="-3"/>
        </w:rPr>
        <w:t> </w:t>
      </w:r>
      <w:r>
        <w:rPr/>
        <w:t>settings,</w:t>
      </w:r>
      <w:r>
        <w:rPr>
          <w:spacing w:val="-3"/>
        </w:rPr>
        <w:t> </w:t>
      </w:r>
      <w:r>
        <w:rPr/>
        <w:t>and</w:t>
      </w:r>
      <w:r>
        <w:rPr>
          <w:spacing w:val="-3"/>
        </w:rPr>
        <w:t> </w:t>
      </w:r>
      <w:r>
        <w:rPr/>
        <w:t>the</w:t>
      </w:r>
      <w:r>
        <w:rPr>
          <w:spacing w:val="-3"/>
        </w:rPr>
        <w:t> </w:t>
      </w:r>
      <w:r>
        <w:rPr/>
        <w:t>samples</w:t>
      </w:r>
      <w:r>
        <w:rPr>
          <w:spacing w:val="-4"/>
        </w:rPr>
        <w:t> </w:t>
      </w:r>
      <w:r>
        <w:rPr/>
        <w:t>for</w:t>
      </w:r>
      <w:r>
        <w:rPr>
          <w:spacing w:val="-4"/>
        </w:rPr>
        <w:t> </w:t>
      </w:r>
      <w:r>
        <w:rPr/>
        <w:t>the two</w:t>
      </w:r>
      <w:r>
        <w:rPr>
          <w:spacing w:val="51"/>
        </w:rPr>
        <w:t> </w:t>
      </w:r>
      <w:r>
        <w:rPr/>
        <w:t>tests</w:t>
      </w:r>
      <w:r>
        <w:rPr>
          <w:spacing w:val="51"/>
        </w:rPr>
        <w:t> </w:t>
      </w:r>
      <w:r>
        <w:rPr/>
        <w:t>were</w:t>
      </w:r>
      <w:r>
        <w:rPr>
          <w:spacing w:val="51"/>
        </w:rPr>
        <w:t> </w:t>
      </w:r>
      <w:r>
        <w:rPr/>
        <w:t>collected</w:t>
      </w:r>
      <w:r>
        <w:rPr>
          <w:spacing w:val="51"/>
        </w:rPr>
        <w:t> </w:t>
      </w:r>
      <w:r>
        <w:rPr/>
        <w:t>at</w:t>
      </w:r>
      <w:r>
        <w:rPr>
          <w:spacing w:val="53"/>
        </w:rPr>
        <w:t> </w:t>
      </w:r>
      <w:r>
        <w:rPr/>
        <w:t>the</w:t>
      </w:r>
      <w:r>
        <w:rPr>
          <w:spacing w:val="51"/>
        </w:rPr>
        <w:t> </w:t>
      </w:r>
      <w:r>
        <w:rPr/>
        <w:t>same</w:t>
      </w:r>
      <w:r>
        <w:rPr>
          <w:spacing w:val="54"/>
        </w:rPr>
        <w:t> </w:t>
      </w:r>
      <w:r>
        <w:rPr/>
        <w:t>time,</w:t>
      </w:r>
      <w:r>
        <w:rPr>
          <w:spacing w:val="51"/>
        </w:rPr>
        <w:t> </w:t>
      </w:r>
      <w:r>
        <w:rPr/>
        <w:t>as</w:t>
      </w:r>
      <w:r>
        <w:rPr>
          <w:spacing w:val="51"/>
        </w:rPr>
        <w:t> </w:t>
      </w:r>
      <w:r>
        <w:rPr/>
        <w:t>it</w:t>
      </w:r>
      <w:r>
        <w:rPr>
          <w:spacing w:val="51"/>
        </w:rPr>
        <w:t> </w:t>
      </w:r>
      <w:r>
        <w:rPr>
          <w:spacing w:val="-5"/>
        </w:rPr>
        <w:t>is</w:t>
      </w:r>
    </w:p>
    <w:p>
      <w:pPr>
        <w:pStyle w:val="BodyText"/>
        <w:spacing w:before="92"/>
        <w:ind w:left="238" w:right="290"/>
        <w:jc w:val="both"/>
      </w:pPr>
      <w:r>
        <w:rPr/>
        <w:br w:type="column"/>
      </w:r>
      <w:r>
        <w:rPr/>
        <w:t>recommended by</w:t>
      </w:r>
      <w:r>
        <w:rPr>
          <w:spacing w:val="-3"/>
        </w:rPr>
        <w:t> </w:t>
      </w:r>
      <w:r>
        <w:rPr/>
        <w:t>WHO [4].</w:t>
      </w:r>
      <w:r>
        <w:rPr>
          <w:spacing w:val="-3"/>
        </w:rPr>
        <w:t> </w:t>
      </w:r>
      <w:r>
        <w:rPr/>
        <w:t>The tested</w:t>
      </w:r>
      <w:r>
        <w:rPr>
          <w:spacing w:val="-2"/>
        </w:rPr>
        <w:t> </w:t>
      </w:r>
      <w:r>
        <w:rPr/>
        <w:t>population was outpatients highly suspected for COVID-19, and this could be the explanation for the high percentage of positivity (50.8%). The positive samples with no am- plification of all three SARS-CoV-2 genes (inconclu- sive results) always corresponded to high Ct-values (the most often detected was N gene with mean Ct- value 38.01). In this context, Bhattacharya and co- lleagues [10] stated that the inconclusive results were probably due to different analytical sensitivity of in- </w:t>
      </w:r>
      <w:r>
        <w:rPr>
          <w:spacing w:val="-2"/>
        </w:rPr>
        <w:t>dividual</w:t>
      </w:r>
      <w:r>
        <w:rPr>
          <w:spacing w:val="-3"/>
        </w:rPr>
        <w:t> </w:t>
      </w:r>
      <w:r>
        <w:rPr>
          <w:spacing w:val="-2"/>
        </w:rPr>
        <w:t>viral</w:t>
      </w:r>
      <w:r>
        <w:rPr>
          <w:spacing w:val="-11"/>
        </w:rPr>
        <w:t> </w:t>
      </w:r>
      <w:r>
        <w:rPr>
          <w:spacing w:val="-2"/>
        </w:rPr>
        <w:t>gene</w:t>
      </w:r>
      <w:r>
        <w:rPr>
          <w:spacing w:val="-10"/>
        </w:rPr>
        <w:t> </w:t>
      </w:r>
      <w:r>
        <w:rPr>
          <w:spacing w:val="-2"/>
        </w:rPr>
        <w:t>PCR</w:t>
      </w:r>
      <w:r>
        <w:rPr>
          <w:spacing w:val="-9"/>
        </w:rPr>
        <w:t> </w:t>
      </w:r>
      <w:r>
        <w:rPr>
          <w:spacing w:val="-2"/>
        </w:rPr>
        <w:t>and</w:t>
      </w:r>
      <w:r>
        <w:rPr>
          <w:spacing w:val="-12"/>
        </w:rPr>
        <w:t> </w:t>
      </w:r>
      <w:r>
        <w:rPr>
          <w:spacing w:val="-2"/>
        </w:rPr>
        <w:t>were</w:t>
      </w:r>
      <w:r>
        <w:rPr>
          <w:spacing w:val="-9"/>
        </w:rPr>
        <w:t> </w:t>
      </w:r>
      <w:r>
        <w:rPr>
          <w:spacing w:val="-2"/>
        </w:rPr>
        <w:t>probably</w:t>
      </w:r>
      <w:r>
        <w:rPr>
          <w:spacing w:val="-12"/>
        </w:rPr>
        <w:t> </w:t>
      </w:r>
      <w:r>
        <w:rPr>
          <w:spacing w:val="-2"/>
        </w:rPr>
        <w:t>more</w:t>
      </w:r>
      <w:r>
        <w:rPr>
          <w:spacing w:val="-9"/>
        </w:rPr>
        <w:t> </w:t>
      </w:r>
      <w:r>
        <w:rPr>
          <w:spacing w:val="-2"/>
        </w:rPr>
        <w:t>subject </w:t>
      </w:r>
      <w:r>
        <w:rPr>
          <w:spacing w:val="-4"/>
        </w:rPr>
        <w:t>to</w:t>
      </w:r>
      <w:r>
        <w:rPr>
          <w:spacing w:val="-7"/>
        </w:rPr>
        <w:t> </w:t>
      </w:r>
      <w:r>
        <w:rPr>
          <w:spacing w:val="-4"/>
        </w:rPr>
        <w:t>stochasticity</w:t>
      </w:r>
      <w:r>
        <w:rPr>
          <w:spacing w:val="-10"/>
        </w:rPr>
        <w:t> </w:t>
      </w:r>
      <w:r>
        <w:rPr>
          <w:spacing w:val="-4"/>
        </w:rPr>
        <w:t>which</w:t>
      </w:r>
      <w:r>
        <w:rPr>
          <w:spacing w:val="-6"/>
        </w:rPr>
        <w:t> </w:t>
      </w:r>
      <w:r>
        <w:rPr>
          <w:spacing w:val="-4"/>
        </w:rPr>
        <w:t>can</w:t>
      </w:r>
      <w:r>
        <w:rPr>
          <w:spacing w:val="-5"/>
        </w:rPr>
        <w:t> </w:t>
      </w:r>
      <w:r>
        <w:rPr>
          <w:spacing w:val="-4"/>
        </w:rPr>
        <w:t>result</w:t>
      </w:r>
      <w:r>
        <w:rPr>
          <w:spacing w:val="-6"/>
        </w:rPr>
        <w:t> </w:t>
      </w:r>
      <w:r>
        <w:rPr>
          <w:spacing w:val="-4"/>
        </w:rPr>
        <w:t>in</w:t>
      </w:r>
      <w:r>
        <w:rPr>
          <w:spacing w:val="-7"/>
        </w:rPr>
        <w:t> </w:t>
      </w:r>
      <w:r>
        <w:rPr>
          <w:spacing w:val="-4"/>
        </w:rPr>
        <w:t>positive</w:t>
      </w:r>
      <w:r>
        <w:rPr>
          <w:spacing w:val="-8"/>
        </w:rPr>
        <w:t> </w:t>
      </w:r>
      <w:r>
        <w:rPr>
          <w:spacing w:val="-4"/>
        </w:rPr>
        <w:t>results</w:t>
      </w:r>
      <w:r>
        <w:rPr>
          <w:spacing w:val="-8"/>
        </w:rPr>
        <w:t> </w:t>
      </w:r>
      <w:r>
        <w:rPr>
          <w:spacing w:val="-4"/>
        </w:rPr>
        <w:t>in</w:t>
      </w:r>
      <w:r>
        <w:rPr>
          <w:spacing w:val="-7"/>
        </w:rPr>
        <w:t> </w:t>
      </w:r>
      <w:r>
        <w:rPr>
          <w:spacing w:val="-4"/>
        </w:rPr>
        <w:t>only </w:t>
      </w:r>
      <w:r>
        <w:rPr/>
        <w:t>one or two targets especially at low viral load levels.</w:t>
      </w:r>
    </w:p>
    <w:p>
      <w:pPr>
        <w:pStyle w:val="BodyText"/>
        <w:spacing w:before="1"/>
        <w:ind w:left="238" w:right="291"/>
        <w:jc w:val="both"/>
      </w:pPr>
      <w:r>
        <w:rPr/>
        <w:t>According to data of this study, Panbio™ COVID-19 Ag rapid test, has 100 specificity and overall, 73.8% sensitivity compared to Allplex 19-nCoV RT-qPCR. The manufacturer</w:t>
      </w:r>
      <w:r>
        <w:rPr>
          <w:spacing w:val="-1"/>
        </w:rPr>
        <w:t> </w:t>
      </w:r>
      <w:r>
        <w:rPr/>
        <w:t>reported</w:t>
      </w:r>
      <w:r>
        <w:rPr>
          <w:spacing w:val="-1"/>
        </w:rPr>
        <w:t> </w:t>
      </w:r>
      <w:r>
        <w:rPr/>
        <w:t>sensitivity</w:t>
      </w:r>
      <w:r>
        <w:rPr>
          <w:spacing w:val="-3"/>
        </w:rPr>
        <w:t> </w:t>
      </w:r>
      <w:r>
        <w:rPr/>
        <w:t>of</w:t>
      </w:r>
      <w:r>
        <w:rPr>
          <w:spacing w:val="-1"/>
        </w:rPr>
        <w:t> </w:t>
      </w:r>
      <w:r>
        <w:rPr/>
        <w:t>93.3%,</w:t>
      </w:r>
      <w:r>
        <w:rPr>
          <w:spacing w:val="-1"/>
        </w:rPr>
        <w:t> </w:t>
      </w:r>
      <w:r>
        <w:rPr/>
        <w:t>which is probably resulted from testing individuals with symptoms for less than seven days in high-endemic settings in Brazil [11]. In another study with cohort of 257 patients, the overall sensitivity was 73.3%, and 86.5% among individuals with symptoms for less than seven days [12]. Gremmeles and colleagues reported sensitivity of 72.6% and 81.0% in community- dwelling mildly symptomatic subjects in a medium- and high-endemic area [13].</w:t>
      </w:r>
    </w:p>
    <w:p>
      <w:pPr>
        <w:pStyle w:val="BodyText"/>
        <w:ind w:left="238" w:right="290"/>
        <w:jc w:val="both"/>
      </w:pPr>
      <w:r>
        <w:rPr/>
        <w:t>In this study, the rapid Ag detecting test reliably iden- tified</w:t>
      </w:r>
      <w:r>
        <w:rPr>
          <w:spacing w:val="-9"/>
        </w:rPr>
        <w:t> </w:t>
      </w:r>
      <w:r>
        <w:rPr/>
        <w:t>SARS-CoV-2</w:t>
      </w:r>
      <w:r>
        <w:rPr>
          <w:spacing w:val="-12"/>
        </w:rPr>
        <w:t> </w:t>
      </w:r>
      <w:r>
        <w:rPr/>
        <w:t>infected</w:t>
      </w:r>
      <w:r>
        <w:rPr>
          <w:spacing w:val="-12"/>
        </w:rPr>
        <w:t> </w:t>
      </w:r>
      <w:r>
        <w:rPr/>
        <w:t>individuals</w:t>
      </w:r>
      <w:r>
        <w:rPr>
          <w:spacing w:val="-13"/>
        </w:rPr>
        <w:t> </w:t>
      </w:r>
      <w:r>
        <w:rPr/>
        <w:t>with</w:t>
      </w:r>
      <w:r>
        <w:rPr>
          <w:spacing w:val="-13"/>
        </w:rPr>
        <w:t> </w:t>
      </w:r>
      <w:r>
        <w:rPr/>
        <w:t>Ct-values lower than 30 cycle by RT-qPCR. The overall positive samples by Ag detecting test had a mean Ct value of the</w:t>
      </w:r>
      <w:r>
        <w:rPr>
          <w:spacing w:val="38"/>
        </w:rPr>
        <w:t> </w:t>
      </w:r>
      <w:r>
        <w:rPr/>
        <w:t>E</w:t>
      </w:r>
      <w:r>
        <w:rPr>
          <w:spacing w:val="39"/>
        </w:rPr>
        <w:t> </w:t>
      </w:r>
      <w:r>
        <w:rPr/>
        <w:t>gene</w:t>
      </w:r>
      <w:r>
        <w:rPr>
          <w:spacing w:val="38"/>
        </w:rPr>
        <w:t> </w:t>
      </w:r>
      <w:r>
        <w:rPr/>
        <w:t>equal</w:t>
      </w:r>
      <w:r>
        <w:rPr>
          <w:spacing w:val="37"/>
        </w:rPr>
        <w:t> </w:t>
      </w:r>
      <w:r>
        <w:rPr/>
        <w:t>to</w:t>
      </w:r>
      <w:r>
        <w:rPr>
          <w:spacing w:val="38"/>
        </w:rPr>
        <w:t> </w:t>
      </w:r>
      <w:r>
        <w:rPr/>
        <w:t>22.27.</w:t>
      </w:r>
      <w:r>
        <w:rPr>
          <w:spacing w:val="37"/>
        </w:rPr>
        <w:t> </w:t>
      </w:r>
      <w:r>
        <w:rPr/>
        <w:t>The</w:t>
      </w:r>
      <w:r>
        <w:rPr>
          <w:spacing w:val="38"/>
        </w:rPr>
        <w:t> </w:t>
      </w:r>
      <w:r>
        <w:rPr/>
        <w:t>intensity</w:t>
      </w:r>
      <w:r>
        <w:rPr>
          <w:spacing w:val="33"/>
        </w:rPr>
        <w:t> </w:t>
      </w:r>
      <w:r>
        <w:rPr/>
        <w:t>of</w:t>
      </w:r>
      <w:r>
        <w:rPr>
          <w:spacing w:val="37"/>
        </w:rPr>
        <w:t> </w:t>
      </w:r>
      <w:r>
        <w:rPr/>
        <w:t>the</w:t>
      </w:r>
      <w:r>
        <w:rPr>
          <w:spacing w:val="39"/>
        </w:rPr>
        <w:t> </w:t>
      </w:r>
      <w:r>
        <w:rPr>
          <w:spacing w:val="-4"/>
        </w:rPr>
        <w:t>test</w:t>
      </w:r>
    </w:p>
    <w:p>
      <w:pPr>
        <w:spacing w:after="0"/>
        <w:jc w:val="both"/>
        <w:sectPr>
          <w:type w:val="continuous"/>
          <w:pgSz w:w="11910" w:h="16840"/>
          <w:pgMar w:header="835" w:footer="0" w:top="740" w:bottom="0" w:left="900" w:right="840"/>
          <w:cols w:num="2" w:equalWidth="0">
            <w:col w:w="4941" w:space="56"/>
            <w:col w:w="5173"/>
          </w:cols>
        </w:sectPr>
      </w:pPr>
    </w:p>
    <w:p>
      <w:pPr>
        <w:pStyle w:val="BodyText"/>
        <w:spacing w:before="5"/>
        <w:rPr>
          <w:sz w:val="15"/>
        </w:rPr>
      </w:pPr>
    </w:p>
    <w:p>
      <w:pPr>
        <w:spacing w:after="0"/>
        <w:rPr>
          <w:sz w:val="15"/>
        </w:rPr>
        <w:sectPr>
          <w:pgSz w:w="11910" w:h="16840"/>
          <w:pgMar w:header="835" w:footer="0" w:top="1300" w:bottom="280" w:left="900" w:right="840"/>
        </w:sectPr>
      </w:pPr>
    </w:p>
    <w:p>
      <w:pPr>
        <w:pStyle w:val="BodyText"/>
        <w:spacing w:before="92"/>
        <w:ind w:left="238" w:right="38"/>
        <w:jc w:val="both"/>
      </w:pPr>
      <w:r>
        <w:rPr/>
        <w:t>bands correlated with the Ct values of the RT-qPCR. Those with test band intensity similar to the control band</w:t>
      </w:r>
      <w:r>
        <w:rPr>
          <w:spacing w:val="-2"/>
        </w:rPr>
        <w:t> </w:t>
      </w:r>
      <w:r>
        <w:rPr/>
        <w:t>had</w:t>
      </w:r>
      <w:r>
        <w:rPr>
          <w:spacing w:val="-2"/>
        </w:rPr>
        <w:t> </w:t>
      </w:r>
      <w:r>
        <w:rPr/>
        <w:t>a</w:t>
      </w:r>
      <w:r>
        <w:rPr>
          <w:spacing w:val="-2"/>
        </w:rPr>
        <w:t> </w:t>
      </w:r>
      <w:r>
        <w:rPr/>
        <w:t>corresponding</w:t>
      </w:r>
      <w:r>
        <w:rPr>
          <w:spacing w:val="-2"/>
        </w:rPr>
        <w:t> </w:t>
      </w:r>
      <w:r>
        <w:rPr/>
        <w:t>mean</w:t>
      </w:r>
      <w:r>
        <w:rPr>
          <w:spacing w:val="-2"/>
        </w:rPr>
        <w:t> </w:t>
      </w:r>
      <w:r>
        <w:rPr/>
        <w:t>Ct-value</w:t>
      </w:r>
      <w:r>
        <w:rPr>
          <w:spacing w:val="-2"/>
        </w:rPr>
        <w:t> </w:t>
      </w:r>
      <w:r>
        <w:rPr/>
        <w:t>of</w:t>
      </w:r>
      <w:r>
        <w:rPr>
          <w:spacing w:val="-3"/>
        </w:rPr>
        <w:t> </w:t>
      </w:r>
      <w:r>
        <w:rPr/>
        <w:t>the</w:t>
      </w:r>
      <w:r>
        <w:rPr>
          <w:spacing w:val="-2"/>
        </w:rPr>
        <w:t> </w:t>
      </w:r>
      <w:r>
        <w:rPr/>
        <w:t>E</w:t>
      </w:r>
      <w:r>
        <w:rPr>
          <w:spacing w:val="-1"/>
        </w:rPr>
        <w:t> </w:t>
      </w:r>
      <w:r>
        <w:rPr/>
        <w:t>gene equal</w:t>
      </w:r>
      <w:r>
        <w:rPr>
          <w:spacing w:val="-7"/>
        </w:rPr>
        <w:t> </w:t>
      </w:r>
      <w:r>
        <w:rPr/>
        <w:t>to</w:t>
      </w:r>
      <w:r>
        <w:rPr>
          <w:spacing w:val="-6"/>
        </w:rPr>
        <w:t> </w:t>
      </w:r>
      <w:r>
        <w:rPr/>
        <w:t>19.6,</w:t>
      </w:r>
      <w:r>
        <w:rPr>
          <w:spacing w:val="-8"/>
        </w:rPr>
        <w:t> </w:t>
      </w:r>
      <w:r>
        <w:rPr/>
        <w:t>and</w:t>
      </w:r>
      <w:r>
        <w:rPr>
          <w:spacing w:val="-6"/>
        </w:rPr>
        <w:t> </w:t>
      </w:r>
      <w:r>
        <w:rPr/>
        <w:t>those</w:t>
      </w:r>
      <w:r>
        <w:rPr>
          <w:spacing w:val="-6"/>
        </w:rPr>
        <w:t> </w:t>
      </w:r>
      <w:r>
        <w:rPr/>
        <w:t>with</w:t>
      </w:r>
      <w:r>
        <w:rPr>
          <w:spacing w:val="-6"/>
        </w:rPr>
        <w:t> </w:t>
      </w:r>
      <w:r>
        <w:rPr/>
        <w:t>test</w:t>
      </w:r>
      <w:r>
        <w:rPr>
          <w:spacing w:val="-7"/>
        </w:rPr>
        <w:t> </w:t>
      </w:r>
      <w:r>
        <w:rPr/>
        <w:t>band</w:t>
      </w:r>
      <w:r>
        <w:rPr>
          <w:spacing w:val="-6"/>
        </w:rPr>
        <w:t> </w:t>
      </w:r>
      <w:r>
        <w:rPr/>
        <w:t>intensity</w:t>
      </w:r>
      <w:r>
        <w:rPr>
          <w:spacing w:val="-8"/>
        </w:rPr>
        <w:t> </w:t>
      </w:r>
      <w:r>
        <w:rPr/>
        <w:t>weaker than</w:t>
      </w:r>
      <w:r>
        <w:rPr>
          <w:spacing w:val="-1"/>
        </w:rPr>
        <w:t> </w:t>
      </w:r>
      <w:r>
        <w:rPr/>
        <w:t>the</w:t>
      </w:r>
      <w:r>
        <w:rPr>
          <w:spacing w:val="-1"/>
        </w:rPr>
        <w:t> </w:t>
      </w:r>
      <w:r>
        <w:rPr/>
        <w:t>control</w:t>
      </w:r>
      <w:r>
        <w:rPr>
          <w:spacing w:val="-2"/>
        </w:rPr>
        <w:t> </w:t>
      </w:r>
      <w:r>
        <w:rPr/>
        <w:t>band</w:t>
      </w:r>
      <w:r>
        <w:rPr>
          <w:spacing w:val="-1"/>
        </w:rPr>
        <w:t> </w:t>
      </w:r>
      <w:r>
        <w:rPr/>
        <w:t>had</w:t>
      </w:r>
      <w:r>
        <w:rPr>
          <w:spacing w:val="-3"/>
        </w:rPr>
        <w:t> </w:t>
      </w:r>
      <w:r>
        <w:rPr/>
        <w:t>a</w:t>
      </w:r>
      <w:r>
        <w:rPr>
          <w:spacing w:val="-1"/>
        </w:rPr>
        <w:t> </w:t>
      </w:r>
      <w:r>
        <w:rPr/>
        <w:t>corresponding</w:t>
      </w:r>
      <w:r>
        <w:rPr>
          <w:spacing w:val="-1"/>
        </w:rPr>
        <w:t> </w:t>
      </w:r>
      <w:r>
        <w:rPr/>
        <w:t>mean</w:t>
      </w:r>
      <w:r>
        <w:rPr>
          <w:spacing w:val="-1"/>
        </w:rPr>
        <w:t> </w:t>
      </w:r>
      <w:r>
        <w:rPr/>
        <w:t>Ct</w:t>
      </w:r>
      <w:r>
        <w:rPr>
          <w:spacing w:val="-2"/>
        </w:rPr>
        <w:t> </w:t>
      </w:r>
      <w:r>
        <w:rPr/>
        <w:t>va- lue of</w:t>
      </w:r>
      <w:r>
        <w:rPr>
          <w:spacing w:val="-5"/>
        </w:rPr>
        <w:t> </w:t>
      </w:r>
      <w:r>
        <w:rPr/>
        <w:t>the</w:t>
      </w:r>
      <w:r>
        <w:rPr>
          <w:spacing w:val="-4"/>
        </w:rPr>
        <w:t> </w:t>
      </w:r>
      <w:r>
        <w:rPr/>
        <w:t>E-gene</w:t>
      </w:r>
      <w:r>
        <w:rPr>
          <w:spacing w:val="-4"/>
        </w:rPr>
        <w:t> </w:t>
      </w:r>
      <w:r>
        <w:rPr/>
        <w:t>equal</w:t>
      </w:r>
      <w:r>
        <w:rPr>
          <w:spacing w:val="-5"/>
        </w:rPr>
        <w:t> </w:t>
      </w:r>
      <w:r>
        <w:rPr/>
        <w:t>to</w:t>
      </w:r>
      <w:r>
        <w:rPr>
          <w:spacing w:val="-4"/>
        </w:rPr>
        <w:t> </w:t>
      </w:r>
      <w:r>
        <w:rPr/>
        <w:t>27.1</w:t>
      </w:r>
      <w:r>
        <w:rPr>
          <w:spacing w:val="-4"/>
        </w:rPr>
        <w:t> </w:t>
      </w:r>
      <w:r>
        <w:rPr/>
        <w:t>(95%</w:t>
      </w:r>
      <w:r>
        <w:rPr>
          <w:spacing w:val="-3"/>
        </w:rPr>
        <w:t> </w:t>
      </w:r>
      <w:r>
        <w:rPr/>
        <w:t>Confidence</w:t>
      </w:r>
      <w:r>
        <w:rPr>
          <w:spacing w:val="-3"/>
        </w:rPr>
        <w:t> </w:t>
      </w:r>
      <w:r>
        <w:rPr/>
        <w:t>Inter- val,</w:t>
      </w:r>
      <w:r>
        <w:rPr>
          <w:spacing w:val="-5"/>
        </w:rPr>
        <w:t> </w:t>
      </w:r>
      <w:r>
        <w:rPr/>
        <w:t>CI:</w:t>
      </w:r>
      <w:r>
        <w:rPr>
          <w:spacing w:val="-6"/>
        </w:rPr>
        <w:t> </w:t>
      </w:r>
      <w:r>
        <w:rPr/>
        <w:t>24.8-29.4).</w:t>
      </w:r>
      <w:r>
        <w:rPr>
          <w:spacing w:val="-5"/>
        </w:rPr>
        <w:t> </w:t>
      </w:r>
      <w:r>
        <w:rPr/>
        <w:t>Hence,</w:t>
      </w:r>
      <w:r>
        <w:rPr>
          <w:spacing w:val="-5"/>
        </w:rPr>
        <w:t> </w:t>
      </w:r>
      <w:r>
        <w:rPr/>
        <w:t>this</w:t>
      </w:r>
      <w:r>
        <w:rPr>
          <w:spacing w:val="-5"/>
        </w:rPr>
        <w:t> </w:t>
      </w:r>
      <w:r>
        <w:rPr/>
        <w:t>study</w:t>
      </w:r>
      <w:r>
        <w:rPr>
          <w:spacing w:val="-10"/>
        </w:rPr>
        <w:t> </w:t>
      </w:r>
      <w:r>
        <w:rPr/>
        <w:t>demonstrates</w:t>
      </w:r>
      <w:r>
        <w:rPr>
          <w:spacing w:val="-6"/>
        </w:rPr>
        <w:t> </w:t>
      </w:r>
      <w:r>
        <w:rPr/>
        <w:t>that the Panbio™ COVID-19 Ag rapid test has limit of detection of viral antigen near to the viral load which corresponds to 30 Ct value of the E gene detected by Allplex 19nCoV RT-qPCR. On the other hand, there are studies which undoubtedly revealed that high viral RNA</w:t>
      </w:r>
      <w:r>
        <w:rPr>
          <w:spacing w:val="-4"/>
        </w:rPr>
        <w:t> </w:t>
      </w:r>
      <w:r>
        <w:rPr/>
        <w:t>load</w:t>
      </w:r>
      <w:r>
        <w:rPr>
          <w:spacing w:val="-5"/>
        </w:rPr>
        <w:t> </w:t>
      </w:r>
      <w:r>
        <w:rPr/>
        <w:t>was</w:t>
      </w:r>
      <w:r>
        <w:rPr>
          <w:spacing w:val="-6"/>
        </w:rPr>
        <w:t> </w:t>
      </w:r>
      <w:r>
        <w:rPr/>
        <w:t>independently</w:t>
      </w:r>
      <w:r>
        <w:rPr>
          <w:spacing w:val="-7"/>
        </w:rPr>
        <w:t> </w:t>
      </w:r>
      <w:r>
        <w:rPr/>
        <w:t>associated</w:t>
      </w:r>
      <w:r>
        <w:rPr>
          <w:spacing w:val="-5"/>
        </w:rPr>
        <w:t> </w:t>
      </w:r>
      <w:r>
        <w:rPr/>
        <w:t>with</w:t>
      </w:r>
      <w:r>
        <w:rPr>
          <w:spacing w:val="-5"/>
        </w:rPr>
        <w:t> </w:t>
      </w:r>
      <w:r>
        <w:rPr/>
        <w:t>shedding of infectious virus [14,15]. Using cycle threshold (Ct) values as a quantitative measure for viral RNA load, Bulland and colleagues [16] reported that infectious virus could not be isolated from diagnostic samples when</w:t>
      </w:r>
      <w:r>
        <w:rPr>
          <w:spacing w:val="-1"/>
        </w:rPr>
        <w:t> </w:t>
      </w:r>
      <w:r>
        <w:rPr/>
        <w:t>Ct</w:t>
      </w:r>
      <w:r>
        <w:rPr>
          <w:spacing w:val="-2"/>
        </w:rPr>
        <w:t> </w:t>
      </w:r>
      <w:r>
        <w:rPr/>
        <w:t>values</w:t>
      </w:r>
      <w:r>
        <w:rPr>
          <w:spacing w:val="-2"/>
        </w:rPr>
        <w:t> </w:t>
      </w:r>
      <w:r>
        <w:rPr/>
        <w:t>were</w:t>
      </w:r>
      <w:r>
        <w:rPr>
          <w:spacing w:val="-4"/>
        </w:rPr>
        <w:t> </w:t>
      </w:r>
      <w:r>
        <w:rPr/>
        <w:t>above</w:t>
      </w:r>
      <w:r>
        <w:rPr>
          <w:spacing w:val="-3"/>
        </w:rPr>
        <w:t> </w:t>
      </w:r>
      <w:r>
        <w:rPr/>
        <w:t>24.</w:t>
      </w:r>
      <w:r>
        <w:rPr>
          <w:spacing w:val="-1"/>
        </w:rPr>
        <w:t> </w:t>
      </w:r>
      <w:r>
        <w:rPr/>
        <w:t>These</w:t>
      </w:r>
      <w:r>
        <w:rPr>
          <w:spacing w:val="-1"/>
        </w:rPr>
        <w:t> </w:t>
      </w:r>
      <w:r>
        <w:rPr/>
        <w:t>reports</w:t>
      </w:r>
      <w:r>
        <w:rPr>
          <w:spacing w:val="-2"/>
        </w:rPr>
        <w:t> </w:t>
      </w:r>
      <w:r>
        <w:rPr/>
        <w:t>point</w:t>
      </w:r>
      <w:r>
        <w:rPr>
          <w:spacing w:val="-2"/>
        </w:rPr>
        <w:t> </w:t>
      </w:r>
      <w:r>
        <w:rPr/>
        <w:t>out that from an epidemiological point of view most important</w:t>
      </w:r>
      <w:r>
        <w:rPr>
          <w:spacing w:val="-1"/>
        </w:rPr>
        <w:t> </w:t>
      </w:r>
      <w:r>
        <w:rPr/>
        <w:t>is</w:t>
      </w:r>
      <w:r>
        <w:rPr>
          <w:spacing w:val="-3"/>
        </w:rPr>
        <w:t> </w:t>
      </w:r>
      <w:r>
        <w:rPr/>
        <w:t>to</w:t>
      </w:r>
      <w:r>
        <w:rPr>
          <w:spacing w:val="-2"/>
        </w:rPr>
        <w:t> </w:t>
      </w:r>
      <w:r>
        <w:rPr/>
        <w:t>detect</w:t>
      </w:r>
      <w:r>
        <w:rPr>
          <w:spacing w:val="-4"/>
        </w:rPr>
        <w:t> </w:t>
      </w:r>
      <w:r>
        <w:rPr/>
        <w:t>persons</w:t>
      </w:r>
      <w:r>
        <w:rPr>
          <w:spacing w:val="-3"/>
        </w:rPr>
        <w:t> </w:t>
      </w:r>
      <w:r>
        <w:rPr/>
        <w:t>with</w:t>
      </w:r>
      <w:r>
        <w:rPr>
          <w:spacing w:val="-2"/>
        </w:rPr>
        <w:t> </w:t>
      </w:r>
      <w:r>
        <w:rPr/>
        <w:t>SARS-CoV-2</w:t>
      </w:r>
      <w:r>
        <w:rPr>
          <w:spacing w:val="-2"/>
        </w:rPr>
        <w:t> </w:t>
      </w:r>
      <w:r>
        <w:rPr/>
        <w:t>RNA load associated with spreading of infectious viruses. Furthermore, they recommend the use of quantitative viral RNA load assays</w:t>
      </w:r>
      <w:r>
        <w:rPr>
          <w:spacing w:val="-1"/>
        </w:rPr>
        <w:t> </w:t>
      </w:r>
      <w:r>
        <w:rPr/>
        <w:t>as a part</w:t>
      </w:r>
      <w:r>
        <w:rPr>
          <w:spacing w:val="-1"/>
        </w:rPr>
        <w:t> </w:t>
      </w:r>
      <w:r>
        <w:rPr/>
        <w:t>of</w:t>
      </w:r>
      <w:r>
        <w:rPr>
          <w:spacing w:val="-1"/>
        </w:rPr>
        <w:t> </w:t>
      </w:r>
      <w:r>
        <w:rPr/>
        <w:t>test-based strategies for infection prevention and control measurements.</w:t>
      </w:r>
    </w:p>
    <w:p>
      <w:pPr>
        <w:pStyle w:val="BodyText"/>
        <w:spacing w:before="1"/>
        <w:ind w:left="238" w:right="38"/>
        <w:jc w:val="both"/>
      </w:pPr>
      <w:r>
        <w:rPr/>
        <w:t>False negative Ag test results were observed in sub- jects with high RT-qPCR Ct-values (including incon- clusive results), reflecting low viral levels in nasopha- ryngeal material. Intending to single out clinically sig- nificant</w:t>
      </w:r>
      <w:r>
        <w:rPr>
          <w:spacing w:val="-3"/>
        </w:rPr>
        <w:t> </w:t>
      </w:r>
      <w:r>
        <w:rPr/>
        <w:t>cases,</w:t>
      </w:r>
      <w:r>
        <w:rPr>
          <w:spacing w:val="-1"/>
        </w:rPr>
        <w:t> </w:t>
      </w:r>
      <w:r>
        <w:rPr/>
        <w:t>as</w:t>
      </w:r>
      <w:r>
        <w:rPr>
          <w:spacing w:val="-2"/>
        </w:rPr>
        <w:t> </w:t>
      </w:r>
      <w:r>
        <w:rPr/>
        <w:t>well</w:t>
      </w:r>
      <w:r>
        <w:rPr>
          <w:spacing w:val="-2"/>
        </w:rPr>
        <w:t> </w:t>
      </w:r>
      <w:r>
        <w:rPr/>
        <w:t>as in</w:t>
      </w:r>
      <w:r>
        <w:rPr>
          <w:spacing w:val="-1"/>
        </w:rPr>
        <w:t> </w:t>
      </w:r>
      <w:r>
        <w:rPr/>
        <w:t>accordance</w:t>
      </w:r>
      <w:r>
        <w:rPr>
          <w:spacing w:val="-2"/>
        </w:rPr>
        <w:t> </w:t>
      </w:r>
      <w:r>
        <w:rPr/>
        <w:t>with</w:t>
      </w:r>
      <w:r>
        <w:rPr>
          <w:spacing w:val="-1"/>
        </w:rPr>
        <w:t> </w:t>
      </w:r>
      <w:r>
        <w:rPr/>
        <w:t>the</w:t>
      </w:r>
      <w:r>
        <w:rPr>
          <w:spacing w:val="-1"/>
        </w:rPr>
        <w:t> </w:t>
      </w:r>
      <w:r>
        <w:rPr/>
        <w:t>results from previously mentioned viral culture studies [14- 16], the lowering of Ct cut-off to 30 cycles increased the sensitivity of the rapid antigen test to 91.2%. Hen- ce, the results suggest that Panbio™ COVID-19 Ag rapid</w:t>
      </w:r>
      <w:r>
        <w:rPr>
          <w:spacing w:val="-1"/>
        </w:rPr>
        <w:t> </w:t>
      </w:r>
      <w:r>
        <w:rPr/>
        <w:t>test</w:t>
      </w:r>
      <w:r>
        <w:rPr>
          <w:spacing w:val="-2"/>
        </w:rPr>
        <w:t> </w:t>
      </w:r>
      <w:r>
        <w:rPr/>
        <w:t>can</w:t>
      </w:r>
      <w:r>
        <w:rPr>
          <w:spacing w:val="-1"/>
        </w:rPr>
        <w:t> </w:t>
      </w:r>
      <w:r>
        <w:rPr/>
        <w:t>detect</w:t>
      </w:r>
      <w:r>
        <w:rPr>
          <w:spacing w:val="-2"/>
        </w:rPr>
        <w:t> </w:t>
      </w:r>
      <w:r>
        <w:rPr/>
        <w:t>SARS-CoV-2</w:t>
      </w:r>
      <w:r>
        <w:rPr>
          <w:spacing w:val="-1"/>
        </w:rPr>
        <w:t> </w:t>
      </w:r>
      <w:r>
        <w:rPr/>
        <w:t>infected</w:t>
      </w:r>
      <w:r>
        <w:rPr>
          <w:spacing w:val="-1"/>
        </w:rPr>
        <w:t> </w:t>
      </w:r>
      <w:r>
        <w:rPr/>
        <w:t>individuals </w:t>
      </w:r>
      <w:r>
        <w:rPr>
          <w:spacing w:val="-2"/>
        </w:rPr>
        <w:t>who</w:t>
      </w:r>
      <w:r>
        <w:rPr>
          <w:spacing w:val="-11"/>
        </w:rPr>
        <w:t> </w:t>
      </w:r>
      <w:r>
        <w:rPr>
          <w:spacing w:val="-2"/>
        </w:rPr>
        <w:t>are</w:t>
      </w:r>
      <w:r>
        <w:rPr>
          <w:spacing w:val="-9"/>
        </w:rPr>
        <w:t> </w:t>
      </w:r>
      <w:r>
        <w:rPr>
          <w:spacing w:val="-2"/>
        </w:rPr>
        <w:t>infectious</w:t>
      </w:r>
      <w:r>
        <w:rPr>
          <w:spacing w:val="-9"/>
        </w:rPr>
        <w:t> </w:t>
      </w:r>
      <w:r>
        <w:rPr>
          <w:spacing w:val="-2"/>
        </w:rPr>
        <w:t>and</w:t>
      </w:r>
      <w:r>
        <w:rPr>
          <w:spacing w:val="-11"/>
        </w:rPr>
        <w:t> </w:t>
      </w:r>
      <w:r>
        <w:rPr>
          <w:spacing w:val="-2"/>
        </w:rPr>
        <w:t>can</w:t>
      </w:r>
      <w:r>
        <w:rPr>
          <w:spacing w:val="-11"/>
        </w:rPr>
        <w:t> </w:t>
      </w:r>
      <w:r>
        <w:rPr>
          <w:spacing w:val="-2"/>
        </w:rPr>
        <w:t>potentially</w:t>
      </w:r>
      <w:r>
        <w:rPr>
          <w:spacing w:val="-11"/>
        </w:rPr>
        <w:t> </w:t>
      </w:r>
      <w:r>
        <w:rPr>
          <w:spacing w:val="-2"/>
        </w:rPr>
        <w:t>transmit</w:t>
      </w:r>
      <w:r>
        <w:rPr>
          <w:spacing w:val="-9"/>
        </w:rPr>
        <w:t> </w:t>
      </w:r>
      <w:r>
        <w:rPr>
          <w:spacing w:val="-2"/>
        </w:rPr>
        <w:t>the</w:t>
      </w:r>
      <w:r>
        <w:rPr>
          <w:spacing w:val="-9"/>
        </w:rPr>
        <w:t> </w:t>
      </w:r>
      <w:r>
        <w:rPr>
          <w:spacing w:val="-2"/>
        </w:rPr>
        <w:t>virus.</w:t>
      </w:r>
    </w:p>
    <w:p>
      <w:pPr>
        <w:pStyle w:val="BodyText"/>
        <w:spacing w:before="4"/>
      </w:pPr>
    </w:p>
    <w:p>
      <w:pPr>
        <w:pStyle w:val="Heading4"/>
      </w:pPr>
      <w:r>
        <w:rPr>
          <w:spacing w:val="-2"/>
        </w:rPr>
        <w:t>Conclusion</w:t>
      </w:r>
    </w:p>
    <w:p>
      <w:pPr>
        <w:pStyle w:val="BodyText"/>
        <w:spacing w:before="9"/>
        <w:rPr>
          <w:b/>
          <w:sz w:val="20"/>
        </w:rPr>
      </w:pPr>
    </w:p>
    <w:p>
      <w:pPr>
        <w:pStyle w:val="BodyText"/>
        <w:ind w:left="238" w:right="39"/>
        <w:jc w:val="both"/>
      </w:pPr>
      <w:r>
        <w:rPr/>
        <w:t>The</w:t>
      </w:r>
      <w:r>
        <w:rPr>
          <w:spacing w:val="-9"/>
        </w:rPr>
        <w:t> </w:t>
      </w:r>
      <w:r>
        <w:rPr/>
        <w:t>results</w:t>
      </w:r>
      <w:r>
        <w:rPr>
          <w:spacing w:val="-9"/>
        </w:rPr>
        <w:t> </w:t>
      </w:r>
      <w:r>
        <w:rPr/>
        <w:t>underscore</w:t>
      </w:r>
      <w:r>
        <w:rPr>
          <w:spacing w:val="-9"/>
        </w:rPr>
        <w:t> </w:t>
      </w:r>
      <w:r>
        <w:rPr/>
        <w:t>the</w:t>
      </w:r>
      <w:r>
        <w:rPr>
          <w:spacing w:val="-9"/>
        </w:rPr>
        <w:t> </w:t>
      </w:r>
      <w:r>
        <w:rPr/>
        <w:t>epidemiological</w:t>
      </w:r>
      <w:r>
        <w:rPr>
          <w:spacing w:val="-8"/>
        </w:rPr>
        <w:t> </w:t>
      </w:r>
      <w:r>
        <w:rPr/>
        <w:t>value</w:t>
      </w:r>
      <w:r>
        <w:rPr>
          <w:spacing w:val="-9"/>
        </w:rPr>
        <w:t> </w:t>
      </w:r>
      <w:r>
        <w:rPr/>
        <w:t>of</w:t>
      </w:r>
      <w:r>
        <w:rPr>
          <w:spacing w:val="-8"/>
        </w:rPr>
        <w:t> </w:t>
      </w:r>
      <w:r>
        <w:rPr/>
        <w:t>the Panbio™ COVID-19 Ag rapid test. Positive samples indicate persons who are highly contagious, and this should</w:t>
      </w:r>
      <w:r>
        <w:rPr>
          <w:spacing w:val="-1"/>
        </w:rPr>
        <w:t> </w:t>
      </w:r>
      <w:r>
        <w:rPr/>
        <w:t>be</w:t>
      </w:r>
      <w:r>
        <w:rPr>
          <w:spacing w:val="-1"/>
        </w:rPr>
        <w:t> </w:t>
      </w:r>
      <w:r>
        <w:rPr/>
        <w:t>taken</w:t>
      </w:r>
      <w:r>
        <w:rPr>
          <w:spacing w:val="-1"/>
        </w:rPr>
        <w:t> </w:t>
      </w:r>
      <w:r>
        <w:rPr/>
        <w:t>into</w:t>
      </w:r>
      <w:r>
        <w:rPr>
          <w:spacing w:val="-1"/>
        </w:rPr>
        <w:t> </w:t>
      </w:r>
      <w:r>
        <w:rPr/>
        <w:t>consideration</w:t>
      </w:r>
      <w:r>
        <w:rPr>
          <w:spacing w:val="-1"/>
        </w:rPr>
        <w:t> </w:t>
      </w:r>
      <w:r>
        <w:rPr/>
        <w:t>when</w:t>
      </w:r>
      <w:r>
        <w:rPr>
          <w:spacing w:val="-1"/>
        </w:rPr>
        <w:t> </w:t>
      </w:r>
      <w:r>
        <w:rPr/>
        <w:t>implementing strategies aiming to prevent the spread of the virus in the community. Despite the lower sensitivity com- paring to RT-qPCR, these quick and inexpensive tests should be especially helpful for low income countries where the availability and cost of RT-qPCR tests are limiting factors.</w:t>
      </w:r>
    </w:p>
    <w:p>
      <w:pPr>
        <w:pStyle w:val="BodyText"/>
      </w:pPr>
    </w:p>
    <w:p>
      <w:pPr>
        <w:spacing w:before="0"/>
        <w:ind w:left="238" w:right="0" w:firstLine="0"/>
        <w:jc w:val="left"/>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Heading4"/>
        <w:spacing w:before="97"/>
      </w:pPr>
      <w:r>
        <w:rPr>
          <w:b w:val="0"/>
        </w:rPr>
        <w:br w:type="column"/>
      </w:r>
      <w:r>
        <w:rPr>
          <w:spacing w:val="-2"/>
        </w:rPr>
        <w:t>References</w:t>
      </w:r>
    </w:p>
    <w:p>
      <w:pPr>
        <w:pStyle w:val="BodyText"/>
        <w:spacing w:before="8"/>
        <w:rPr>
          <w:b/>
          <w:sz w:val="20"/>
        </w:rPr>
      </w:pPr>
    </w:p>
    <w:p>
      <w:pPr>
        <w:pStyle w:val="ListParagraph"/>
        <w:numPr>
          <w:ilvl w:val="0"/>
          <w:numId w:val="4"/>
        </w:numPr>
        <w:tabs>
          <w:tab w:pos="627" w:val="left" w:leader="none"/>
        </w:tabs>
        <w:spacing w:line="240" w:lineRule="auto" w:before="0" w:after="0"/>
        <w:ind w:left="626" w:right="293" w:hanging="389"/>
        <w:jc w:val="both"/>
        <w:rPr>
          <w:sz w:val="18"/>
        </w:rPr>
      </w:pPr>
      <w:r>
        <w:rPr>
          <w:sz w:val="18"/>
        </w:rPr>
        <w:t>Zhu N, Zhang D, Wang W, </w:t>
      </w:r>
      <w:r>
        <w:rPr>
          <w:i/>
          <w:sz w:val="18"/>
        </w:rPr>
        <w:t>et al</w:t>
      </w:r>
      <w:r>
        <w:rPr>
          <w:sz w:val="18"/>
        </w:rPr>
        <w:t>. A Novel Coronavirus from Patients with Pneumonia in China, 2019. </w:t>
      </w:r>
      <w:r>
        <w:rPr>
          <w:i/>
          <w:sz w:val="18"/>
        </w:rPr>
        <w:t>N Engl J</w:t>
      </w:r>
      <w:r>
        <w:rPr>
          <w:i/>
          <w:sz w:val="18"/>
        </w:rPr>
        <w:t> Med </w:t>
      </w:r>
      <w:r>
        <w:rPr>
          <w:sz w:val="18"/>
        </w:rPr>
        <w:t>2020; 382: 727-733.</w:t>
      </w:r>
    </w:p>
    <w:p>
      <w:pPr>
        <w:pStyle w:val="ListParagraph"/>
        <w:numPr>
          <w:ilvl w:val="0"/>
          <w:numId w:val="4"/>
        </w:numPr>
        <w:tabs>
          <w:tab w:pos="627" w:val="left" w:leader="none"/>
        </w:tabs>
        <w:spacing w:line="240" w:lineRule="auto" w:before="0" w:after="0"/>
        <w:ind w:left="626" w:right="292" w:hanging="389"/>
        <w:jc w:val="both"/>
        <w:rPr>
          <w:sz w:val="18"/>
        </w:rPr>
      </w:pPr>
      <w:r>
        <w:rPr>
          <w:sz w:val="18"/>
        </w:rPr>
        <w:t>WHO Coronavirus Disease (COVID-19) Dashboard.</w:t>
      </w:r>
      <w:r>
        <w:rPr>
          <w:spacing w:val="40"/>
          <w:sz w:val="18"/>
        </w:rPr>
        <w:t> </w:t>
      </w:r>
      <w:r>
        <w:rPr>
          <w:sz w:val="18"/>
        </w:rPr>
        <w:t>covid 19.who.int.</w:t>
      </w:r>
    </w:p>
    <w:p>
      <w:pPr>
        <w:pStyle w:val="ListParagraph"/>
        <w:numPr>
          <w:ilvl w:val="0"/>
          <w:numId w:val="4"/>
        </w:numPr>
        <w:tabs>
          <w:tab w:pos="627" w:val="left" w:leader="none"/>
        </w:tabs>
        <w:spacing w:line="240" w:lineRule="auto" w:before="2" w:after="0"/>
        <w:ind w:left="626" w:right="294" w:hanging="389"/>
        <w:jc w:val="both"/>
        <w:rPr>
          <w:sz w:val="18"/>
        </w:rPr>
      </w:pPr>
      <w:r>
        <w:rPr>
          <w:sz w:val="18"/>
        </w:rPr>
        <w:t>Corman VM, Landt O, Kaiser M, </w:t>
      </w:r>
      <w:r>
        <w:rPr>
          <w:i/>
          <w:sz w:val="18"/>
        </w:rPr>
        <w:t>et al</w:t>
      </w:r>
      <w:r>
        <w:rPr>
          <w:sz w:val="18"/>
        </w:rPr>
        <w:t>. Detection of 2019 novel coronavirus (2019-nCoV) by real-time RT-PCR. Eurosurveillance. 2020.</w:t>
      </w:r>
    </w:p>
    <w:p>
      <w:pPr>
        <w:pStyle w:val="ListParagraph"/>
        <w:numPr>
          <w:ilvl w:val="0"/>
          <w:numId w:val="4"/>
        </w:numPr>
        <w:tabs>
          <w:tab w:pos="627" w:val="left" w:leader="none"/>
        </w:tabs>
        <w:spacing w:line="240" w:lineRule="auto" w:before="0" w:after="0"/>
        <w:ind w:left="626" w:right="292" w:hanging="389"/>
        <w:jc w:val="both"/>
        <w:rPr>
          <w:sz w:val="18"/>
        </w:rPr>
      </w:pPr>
      <w:r>
        <w:rPr>
          <w:sz w:val="18"/>
        </w:rPr>
        <w:t>WHO. Antigen</w:t>
      </w:r>
      <w:r>
        <w:rPr>
          <w:spacing w:val="-1"/>
          <w:sz w:val="18"/>
        </w:rPr>
        <w:t> </w:t>
      </w:r>
      <w:r>
        <w:rPr>
          <w:sz w:val="18"/>
        </w:rPr>
        <w:t>detection</w:t>
      </w:r>
      <w:r>
        <w:rPr>
          <w:spacing w:val="-1"/>
          <w:sz w:val="18"/>
        </w:rPr>
        <w:t> </w:t>
      </w:r>
      <w:r>
        <w:rPr>
          <w:sz w:val="18"/>
        </w:rPr>
        <w:t>in the</w:t>
      </w:r>
      <w:r>
        <w:rPr>
          <w:spacing w:val="-2"/>
          <w:sz w:val="18"/>
        </w:rPr>
        <w:t> </w:t>
      </w:r>
      <w:r>
        <w:rPr>
          <w:sz w:val="18"/>
        </w:rPr>
        <w:t>diagnosis</w:t>
      </w:r>
      <w:r>
        <w:rPr>
          <w:spacing w:val="-2"/>
          <w:sz w:val="18"/>
        </w:rPr>
        <w:t> </w:t>
      </w:r>
      <w:r>
        <w:rPr>
          <w:sz w:val="18"/>
        </w:rPr>
        <w:t>of</w:t>
      </w:r>
      <w:r>
        <w:rPr>
          <w:spacing w:val="-4"/>
          <w:sz w:val="18"/>
        </w:rPr>
        <w:t> </w:t>
      </w:r>
      <w:r>
        <w:rPr>
          <w:sz w:val="18"/>
        </w:rPr>
        <w:t>SARS-CoV-2 infection using rapid immunoassays. Interim guidance. 11 September 2020.</w:t>
      </w:r>
    </w:p>
    <w:p>
      <w:pPr>
        <w:pStyle w:val="ListParagraph"/>
        <w:numPr>
          <w:ilvl w:val="0"/>
          <w:numId w:val="4"/>
        </w:numPr>
        <w:tabs>
          <w:tab w:pos="627" w:val="left" w:leader="none"/>
        </w:tabs>
        <w:spacing w:line="207" w:lineRule="exact" w:before="0" w:after="0"/>
        <w:ind w:left="626" w:right="0" w:hanging="389"/>
        <w:jc w:val="both"/>
        <w:rPr>
          <w:sz w:val="18"/>
        </w:rPr>
      </w:pPr>
      <w:r>
        <w:rPr>
          <w:sz w:val="18"/>
        </w:rPr>
        <w:t>Grant</w:t>
      </w:r>
      <w:r>
        <w:rPr>
          <w:spacing w:val="8"/>
          <w:sz w:val="18"/>
        </w:rPr>
        <w:t> </w:t>
      </w:r>
      <w:r>
        <w:rPr>
          <w:sz w:val="18"/>
        </w:rPr>
        <w:t>BD,</w:t>
      </w:r>
      <w:r>
        <w:rPr>
          <w:spacing w:val="8"/>
          <w:sz w:val="18"/>
        </w:rPr>
        <w:t> </w:t>
      </w:r>
      <w:r>
        <w:rPr>
          <w:sz w:val="18"/>
        </w:rPr>
        <w:t>Anderson</w:t>
      </w:r>
      <w:r>
        <w:rPr>
          <w:spacing w:val="10"/>
          <w:sz w:val="18"/>
        </w:rPr>
        <w:t> </w:t>
      </w:r>
      <w:r>
        <w:rPr>
          <w:sz w:val="18"/>
        </w:rPr>
        <w:t>CE,</w:t>
      </w:r>
      <w:r>
        <w:rPr>
          <w:spacing w:val="8"/>
          <w:sz w:val="18"/>
        </w:rPr>
        <w:t> </w:t>
      </w:r>
      <w:r>
        <w:rPr>
          <w:sz w:val="18"/>
        </w:rPr>
        <w:t>Williford</w:t>
      </w:r>
      <w:r>
        <w:rPr>
          <w:spacing w:val="9"/>
          <w:sz w:val="18"/>
        </w:rPr>
        <w:t> </w:t>
      </w:r>
      <w:r>
        <w:rPr>
          <w:sz w:val="18"/>
        </w:rPr>
        <w:t>JR,</w:t>
      </w:r>
      <w:r>
        <w:rPr>
          <w:spacing w:val="12"/>
          <w:sz w:val="18"/>
        </w:rPr>
        <w:t> </w:t>
      </w:r>
      <w:r>
        <w:rPr>
          <w:i/>
          <w:sz w:val="18"/>
        </w:rPr>
        <w:t>et</w:t>
      </w:r>
      <w:r>
        <w:rPr>
          <w:i/>
          <w:spacing w:val="5"/>
          <w:sz w:val="18"/>
        </w:rPr>
        <w:t> </w:t>
      </w:r>
      <w:r>
        <w:rPr>
          <w:i/>
          <w:sz w:val="18"/>
        </w:rPr>
        <w:t>al</w:t>
      </w:r>
      <w:r>
        <w:rPr>
          <w:sz w:val="18"/>
        </w:rPr>
        <w:t>.</w:t>
      </w:r>
      <w:r>
        <w:rPr>
          <w:spacing w:val="6"/>
          <w:sz w:val="18"/>
        </w:rPr>
        <w:t> </w:t>
      </w:r>
      <w:r>
        <w:rPr>
          <w:sz w:val="18"/>
        </w:rPr>
        <w:t>SARS-</w:t>
      </w:r>
      <w:r>
        <w:rPr>
          <w:spacing w:val="-4"/>
          <w:sz w:val="18"/>
        </w:rPr>
        <w:t>CoV-</w:t>
      </w:r>
    </w:p>
    <w:p>
      <w:pPr>
        <w:spacing w:line="240" w:lineRule="auto" w:before="0"/>
        <w:ind w:left="626" w:right="290" w:firstLine="0"/>
        <w:jc w:val="both"/>
        <w:rPr>
          <w:sz w:val="18"/>
        </w:rPr>
      </w:pPr>
      <w:r>
        <w:rPr>
          <w:sz w:val="18"/>
        </w:rPr>
        <w:t>2 coronavirus nucleocapsid antigen-detecting half-strip lateral flow assay toward the development of point of care tests using commercially available reagents. </w:t>
      </w:r>
      <w:r>
        <w:rPr>
          <w:i/>
          <w:sz w:val="18"/>
        </w:rPr>
        <w:t>Anal Chem</w:t>
      </w:r>
      <w:r>
        <w:rPr>
          <w:i/>
          <w:sz w:val="18"/>
        </w:rPr>
        <w:t> </w:t>
      </w:r>
      <w:r>
        <w:rPr>
          <w:sz w:val="18"/>
        </w:rPr>
        <w:t>2020; 92(16): 11305-1130.</w:t>
      </w:r>
    </w:p>
    <w:p>
      <w:pPr>
        <w:pStyle w:val="ListParagraph"/>
        <w:numPr>
          <w:ilvl w:val="0"/>
          <w:numId w:val="4"/>
        </w:numPr>
        <w:tabs>
          <w:tab w:pos="627" w:val="left" w:leader="none"/>
        </w:tabs>
        <w:spacing w:line="240" w:lineRule="auto" w:before="0" w:after="0"/>
        <w:ind w:left="626" w:right="291" w:hanging="389"/>
        <w:jc w:val="both"/>
        <w:rPr>
          <w:sz w:val="18"/>
        </w:rPr>
      </w:pPr>
      <w:r>
        <w:rPr>
          <w:sz w:val="18"/>
        </w:rPr>
        <w:t>Porte L, Legarraga P, Vollrath V, </w:t>
      </w:r>
      <w:r>
        <w:rPr>
          <w:i/>
          <w:sz w:val="18"/>
        </w:rPr>
        <w:t>et al. </w:t>
      </w:r>
      <w:r>
        <w:rPr>
          <w:sz w:val="18"/>
        </w:rPr>
        <w:t>Evaluation of</w:t>
      </w:r>
      <w:r>
        <w:rPr>
          <w:spacing w:val="40"/>
          <w:sz w:val="18"/>
        </w:rPr>
        <w:t> </w:t>
      </w:r>
      <w:r>
        <w:rPr>
          <w:sz w:val="18"/>
        </w:rPr>
        <w:t>novel antigen-based rapid detection test for the diagnosis of SARS-CoV-2 in respiratory samples. </w:t>
      </w:r>
      <w:r>
        <w:rPr>
          <w:i/>
          <w:sz w:val="18"/>
        </w:rPr>
        <w:t>Int J Infect Dis</w:t>
      </w:r>
      <w:r>
        <w:rPr>
          <w:i/>
          <w:sz w:val="18"/>
        </w:rPr>
        <w:t> </w:t>
      </w:r>
      <w:r>
        <w:rPr>
          <w:sz w:val="18"/>
        </w:rPr>
        <w:t>2020; 99: 328-333.</w:t>
      </w:r>
    </w:p>
    <w:p>
      <w:pPr>
        <w:pStyle w:val="ListParagraph"/>
        <w:numPr>
          <w:ilvl w:val="0"/>
          <w:numId w:val="4"/>
        </w:numPr>
        <w:tabs>
          <w:tab w:pos="627" w:val="left" w:leader="none"/>
        </w:tabs>
        <w:spacing w:line="240" w:lineRule="auto" w:before="0" w:after="0"/>
        <w:ind w:left="626" w:right="294" w:hanging="389"/>
        <w:jc w:val="both"/>
        <w:rPr>
          <w:sz w:val="18"/>
        </w:rPr>
      </w:pPr>
      <w:r>
        <w:rPr>
          <w:sz w:val="18"/>
        </w:rPr>
        <w:t>Diao B, Wen K, Chen J, </w:t>
      </w:r>
      <w:r>
        <w:rPr>
          <w:i/>
          <w:sz w:val="18"/>
        </w:rPr>
        <w:t>et al. </w:t>
      </w:r>
      <w:r>
        <w:rPr>
          <w:sz w:val="18"/>
        </w:rPr>
        <w:t>Diagnosis of Acute </w:t>
      </w:r>
      <w:r>
        <w:rPr>
          <w:spacing w:val="-2"/>
          <w:sz w:val="18"/>
        </w:rPr>
        <w:t>Respiratory</w:t>
      </w:r>
      <w:r>
        <w:rPr>
          <w:spacing w:val="-9"/>
          <w:sz w:val="18"/>
        </w:rPr>
        <w:t> </w:t>
      </w:r>
      <w:r>
        <w:rPr>
          <w:spacing w:val="-2"/>
          <w:sz w:val="18"/>
        </w:rPr>
        <w:t>Syndrome</w:t>
      </w:r>
      <w:r>
        <w:rPr>
          <w:spacing w:val="-8"/>
          <w:sz w:val="18"/>
        </w:rPr>
        <w:t> </w:t>
      </w:r>
      <w:r>
        <w:rPr>
          <w:spacing w:val="-2"/>
          <w:sz w:val="18"/>
        </w:rPr>
        <w:t>Coronavirus</w:t>
      </w:r>
      <w:r>
        <w:rPr>
          <w:spacing w:val="-8"/>
          <w:sz w:val="18"/>
        </w:rPr>
        <w:t> </w:t>
      </w:r>
      <w:r>
        <w:rPr>
          <w:spacing w:val="-2"/>
          <w:sz w:val="18"/>
        </w:rPr>
        <w:t>2</w:t>
      </w:r>
      <w:r>
        <w:rPr>
          <w:spacing w:val="-7"/>
          <w:sz w:val="18"/>
        </w:rPr>
        <w:t> </w:t>
      </w:r>
      <w:r>
        <w:rPr>
          <w:spacing w:val="-2"/>
          <w:sz w:val="18"/>
        </w:rPr>
        <w:t>Infection</w:t>
      </w:r>
      <w:r>
        <w:rPr>
          <w:spacing w:val="-7"/>
          <w:sz w:val="18"/>
        </w:rPr>
        <w:t> </w:t>
      </w:r>
      <w:r>
        <w:rPr>
          <w:spacing w:val="-2"/>
          <w:sz w:val="18"/>
        </w:rPr>
        <w:t>by</w:t>
      </w:r>
      <w:r>
        <w:rPr>
          <w:spacing w:val="-9"/>
          <w:sz w:val="18"/>
        </w:rPr>
        <w:t> </w:t>
      </w:r>
      <w:r>
        <w:rPr>
          <w:spacing w:val="-2"/>
          <w:sz w:val="18"/>
        </w:rPr>
        <w:t>Detection </w:t>
      </w:r>
      <w:r>
        <w:rPr>
          <w:sz w:val="18"/>
        </w:rPr>
        <w:t>of Nucleocapsid Protein. </w:t>
      </w:r>
      <w:r>
        <w:rPr>
          <w:i/>
          <w:sz w:val="18"/>
        </w:rPr>
        <w:t>MedRxiv </w:t>
      </w:r>
      <w:r>
        <w:rPr>
          <w:sz w:val="18"/>
        </w:rPr>
        <w:t>2020. https://doi.org/ </w:t>
      </w:r>
      <w:r>
        <w:rPr>
          <w:spacing w:val="-2"/>
          <w:sz w:val="18"/>
        </w:rPr>
        <w:t>10.110/2020.03.07.20032524.</w:t>
      </w:r>
    </w:p>
    <w:p>
      <w:pPr>
        <w:pStyle w:val="ListParagraph"/>
        <w:numPr>
          <w:ilvl w:val="0"/>
          <w:numId w:val="4"/>
        </w:numPr>
        <w:tabs>
          <w:tab w:pos="627" w:val="left" w:leader="none"/>
        </w:tabs>
        <w:spacing w:line="240" w:lineRule="auto" w:before="0" w:after="0"/>
        <w:ind w:left="626" w:right="290" w:hanging="389"/>
        <w:jc w:val="both"/>
        <w:rPr>
          <w:sz w:val="18"/>
        </w:rPr>
      </w:pPr>
      <w:r>
        <w:rPr>
          <w:sz w:val="18"/>
        </w:rPr>
        <w:t>Lambert-Niclot S, Cuffel A, Le Pape S, </w:t>
      </w:r>
      <w:r>
        <w:rPr>
          <w:i/>
          <w:sz w:val="18"/>
        </w:rPr>
        <w:t>et al</w:t>
      </w:r>
      <w:r>
        <w:rPr>
          <w:sz w:val="18"/>
        </w:rPr>
        <w:t>. Evaluation</w:t>
      </w:r>
      <w:r>
        <w:rPr>
          <w:spacing w:val="40"/>
          <w:sz w:val="18"/>
        </w:rPr>
        <w:t> </w:t>
      </w:r>
      <w:r>
        <w:rPr>
          <w:sz w:val="18"/>
        </w:rPr>
        <w:t>of</w:t>
      </w:r>
      <w:r>
        <w:rPr>
          <w:spacing w:val="-2"/>
          <w:sz w:val="18"/>
        </w:rPr>
        <w:t> </w:t>
      </w:r>
      <w:r>
        <w:rPr>
          <w:sz w:val="18"/>
        </w:rPr>
        <w:t>a Rapid Diagnostic Assay</w:t>
      </w:r>
      <w:r>
        <w:rPr>
          <w:spacing w:val="-1"/>
          <w:sz w:val="18"/>
        </w:rPr>
        <w:t> </w:t>
      </w:r>
      <w:r>
        <w:rPr>
          <w:sz w:val="18"/>
        </w:rPr>
        <w:t>for Detection of</w:t>
      </w:r>
      <w:r>
        <w:rPr>
          <w:spacing w:val="-2"/>
          <w:sz w:val="18"/>
        </w:rPr>
        <w:t> </w:t>
      </w:r>
      <w:r>
        <w:rPr>
          <w:sz w:val="18"/>
        </w:rPr>
        <w:t>SARS-CoV-</w:t>
      </w:r>
    </w:p>
    <w:p>
      <w:pPr>
        <w:spacing w:line="207" w:lineRule="exact" w:before="0"/>
        <w:ind w:left="626" w:right="0" w:firstLine="0"/>
        <w:jc w:val="both"/>
        <w:rPr>
          <w:i/>
          <w:sz w:val="18"/>
        </w:rPr>
      </w:pPr>
      <w:r>
        <w:rPr>
          <w:sz w:val="18"/>
        </w:rPr>
        <w:t>2</w:t>
      </w:r>
      <w:r>
        <w:rPr>
          <w:spacing w:val="44"/>
          <w:sz w:val="18"/>
        </w:rPr>
        <w:t> </w:t>
      </w:r>
      <w:r>
        <w:rPr>
          <w:sz w:val="18"/>
        </w:rPr>
        <w:t>Antigen</w:t>
      </w:r>
      <w:r>
        <w:rPr>
          <w:spacing w:val="45"/>
          <w:sz w:val="18"/>
        </w:rPr>
        <w:t> </w:t>
      </w:r>
      <w:r>
        <w:rPr>
          <w:sz w:val="18"/>
        </w:rPr>
        <w:t>in</w:t>
      </w:r>
      <w:r>
        <w:rPr>
          <w:spacing w:val="45"/>
          <w:sz w:val="18"/>
        </w:rPr>
        <w:t> </w:t>
      </w:r>
      <w:r>
        <w:rPr>
          <w:sz w:val="18"/>
        </w:rPr>
        <w:t>Nasopharyngeal</w:t>
      </w:r>
      <w:r>
        <w:rPr>
          <w:spacing w:val="44"/>
          <w:sz w:val="18"/>
        </w:rPr>
        <w:t> </w:t>
      </w:r>
      <w:r>
        <w:rPr>
          <w:sz w:val="18"/>
        </w:rPr>
        <w:t>Swabs.</w:t>
      </w:r>
      <w:r>
        <w:rPr>
          <w:spacing w:val="47"/>
          <w:sz w:val="18"/>
        </w:rPr>
        <w:t> </w:t>
      </w:r>
      <w:r>
        <w:rPr>
          <w:i/>
          <w:sz w:val="18"/>
        </w:rPr>
        <w:t>J</w:t>
      </w:r>
      <w:r>
        <w:rPr>
          <w:i/>
          <w:spacing w:val="45"/>
          <w:sz w:val="18"/>
        </w:rPr>
        <w:t> </w:t>
      </w:r>
      <w:r>
        <w:rPr>
          <w:i/>
          <w:sz w:val="18"/>
        </w:rPr>
        <w:t>Clin</w:t>
      </w:r>
      <w:r>
        <w:rPr>
          <w:i/>
          <w:spacing w:val="45"/>
          <w:sz w:val="18"/>
        </w:rPr>
        <w:t> </w:t>
      </w:r>
      <w:r>
        <w:rPr>
          <w:i/>
          <w:spacing w:val="-2"/>
          <w:sz w:val="18"/>
        </w:rPr>
        <w:t>Microbiol</w:t>
      </w:r>
    </w:p>
    <w:p>
      <w:pPr>
        <w:spacing w:line="206" w:lineRule="exact" w:before="0"/>
        <w:ind w:left="626" w:right="0" w:firstLine="0"/>
        <w:jc w:val="both"/>
        <w:rPr>
          <w:sz w:val="18"/>
        </w:rPr>
      </w:pPr>
      <w:r>
        <w:rPr>
          <w:sz w:val="18"/>
        </w:rPr>
        <w:t>2020;</w:t>
      </w:r>
      <w:r>
        <w:rPr>
          <w:spacing w:val="-4"/>
          <w:sz w:val="18"/>
        </w:rPr>
        <w:t> </w:t>
      </w:r>
      <w:r>
        <w:rPr>
          <w:sz w:val="18"/>
        </w:rPr>
        <w:t>58(8):</w:t>
      </w:r>
      <w:r>
        <w:rPr>
          <w:spacing w:val="-2"/>
          <w:sz w:val="18"/>
        </w:rPr>
        <w:t> </w:t>
      </w:r>
      <w:r>
        <w:rPr>
          <w:sz w:val="18"/>
        </w:rPr>
        <w:t>e00977-20;</w:t>
      </w:r>
      <w:r>
        <w:rPr>
          <w:spacing w:val="-2"/>
          <w:sz w:val="18"/>
        </w:rPr>
        <w:t> </w:t>
      </w:r>
      <w:r>
        <w:rPr>
          <w:sz w:val="18"/>
        </w:rPr>
        <w:t>DOI:</w:t>
      </w:r>
      <w:r>
        <w:rPr>
          <w:spacing w:val="-3"/>
          <w:sz w:val="18"/>
        </w:rPr>
        <w:t> </w:t>
      </w:r>
      <w:r>
        <w:rPr>
          <w:sz w:val="18"/>
        </w:rPr>
        <w:t>10.1128/JCM.00977-</w:t>
      </w:r>
      <w:r>
        <w:rPr>
          <w:spacing w:val="-5"/>
          <w:sz w:val="18"/>
        </w:rPr>
        <w:t>20.</w:t>
      </w:r>
    </w:p>
    <w:p>
      <w:pPr>
        <w:pStyle w:val="ListParagraph"/>
        <w:numPr>
          <w:ilvl w:val="0"/>
          <w:numId w:val="4"/>
        </w:numPr>
        <w:tabs>
          <w:tab w:pos="627" w:val="left" w:leader="none"/>
        </w:tabs>
        <w:spacing w:line="240" w:lineRule="auto" w:before="0" w:after="0"/>
        <w:ind w:left="626" w:right="295" w:hanging="389"/>
        <w:jc w:val="both"/>
        <w:rPr>
          <w:sz w:val="18"/>
        </w:rPr>
      </w:pPr>
      <w:r>
        <w:rPr>
          <w:sz w:val="18"/>
        </w:rPr>
        <w:t>Mertens P, De Vos N, Martiny D, </w:t>
      </w:r>
      <w:r>
        <w:rPr>
          <w:i/>
          <w:sz w:val="18"/>
        </w:rPr>
        <w:t>et al</w:t>
      </w:r>
      <w:r>
        <w:rPr>
          <w:sz w:val="18"/>
        </w:rPr>
        <w:t>. Development and Potential Usefulness of the COVID-19 Ag Respi-Strip Diagnostic Assay in a Pandemic Context. </w:t>
      </w:r>
      <w:r>
        <w:rPr>
          <w:i/>
          <w:sz w:val="18"/>
        </w:rPr>
        <w:t>Front Med</w:t>
      </w:r>
      <w:r>
        <w:rPr>
          <w:i/>
          <w:sz w:val="18"/>
        </w:rPr>
        <w:t> (Lausanne) </w:t>
      </w:r>
      <w:r>
        <w:rPr>
          <w:sz w:val="18"/>
        </w:rPr>
        <w:t>2020; 7: 225. Published 2020 May 8. </w:t>
      </w:r>
      <w:r>
        <w:rPr>
          <w:spacing w:val="-2"/>
          <w:sz w:val="18"/>
        </w:rPr>
        <w:t>doi:10.3389/fmed.2020.00225.</w:t>
      </w:r>
    </w:p>
    <w:p>
      <w:pPr>
        <w:pStyle w:val="ListParagraph"/>
        <w:numPr>
          <w:ilvl w:val="0"/>
          <w:numId w:val="4"/>
        </w:numPr>
        <w:tabs>
          <w:tab w:pos="627" w:val="left" w:leader="none"/>
        </w:tabs>
        <w:spacing w:line="240" w:lineRule="auto" w:before="0" w:after="0"/>
        <w:ind w:left="626" w:right="295" w:hanging="389"/>
        <w:jc w:val="both"/>
        <w:rPr>
          <w:sz w:val="18"/>
        </w:rPr>
      </w:pPr>
      <w:r>
        <w:rPr>
          <w:sz w:val="18"/>
        </w:rPr>
        <w:t>Bhattacharya S, Vidyadharan A, Joy VM. Inconclusive SARS-CoV-2 reverse transcription-polymerase chain reaction test reports: Interpretation, clinical and infection </w:t>
      </w:r>
      <w:r>
        <w:rPr>
          <w:spacing w:val="-2"/>
          <w:sz w:val="18"/>
        </w:rPr>
        <w:t>control</w:t>
      </w:r>
      <w:r>
        <w:rPr>
          <w:spacing w:val="-10"/>
          <w:sz w:val="18"/>
        </w:rPr>
        <w:t> </w:t>
      </w:r>
      <w:r>
        <w:rPr>
          <w:spacing w:val="-2"/>
          <w:sz w:val="18"/>
        </w:rPr>
        <w:t>implications.</w:t>
      </w:r>
      <w:r>
        <w:rPr>
          <w:spacing w:val="-9"/>
          <w:sz w:val="18"/>
        </w:rPr>
        <w:t> </w:t>
      </w:r>
      <w:r>
        <w:rPr>
          <w:i/>
          <w:spacing w:val="-2"/>
          <w:sz w:val="18"/>
        </w:rPr>
        <w:t>J</w:t>
      </w:r>
      <w:r>
        <w:rPr>
          <w:i/>
          <w:spacing w:val="-9"/>
          <w:sz w:val="18"/>
        </w:rPr>
        <w:t> </w:t>
      </w:r>
      <w:r>
        <w:rPr>
          <w:i/>
          <w:spacing w:val="-2"/>
          <w:sz w:val="18"/>
        </w:rPr>
        <w:t>Acad</w:t>
      </w:r>
      <w:r>
        <w:rPr>
          <w:i/>
          <w:spacing w:val="-9"/>
          <w:sz w:val="18"/>
        </w:rPr>
        <w:t> </w:t>
      </w:r>
      <w:r>
        <w:rPr>
          <w:i/>
          <w:spacing w:val="-2"/>
          <w:sz w:val="18"/>
        </w:rPr>
        <w:t>Clin</w:t>
      </w:r>
      <w:r>
        <w:rPr>
          <w:i/>
          <w:spacing w:val="-10"/>
          <w:sz w:val="18"/>
        </w:rPr>
        <w:t> </w:t>
      </w:r>
      <w:r>
        <w:rPr>
          <w:i/>
          <w:spacing w:val="-2"/>
          <w:sz w:val="18"/>
        </w:rPr>
        <w:t>Microbiol</w:t>
      </w:r>
      <w:r>
        <w:rPr>
          <w:i/>
          <w:spacing w:val="-9"/>
          <w:sz w:val="18"/>
        </w:rPr>
        <w:t> </w:t>
      </w:r>
      <w:r>
        <w:rPr>
          <w:spacing w:val="-2"/>
          <w:sz w:val="18"/>
        </w:rPr>
        <w:t>2020;</w:t>
      </w:r>
      <w:r>
        <w:rPr>
          <w:spacing w:val="-9"/>
          <w:sz w:val="18"/>
        </w:rPr>
        <w:t> </w:t>
      </w:r>
      <w:r>
        <w:rPr>
          <w:spacing w:val="-2"/>
          <w:sz w:val="18"/>
        </w:rPr>
        <w:t>22:</w:t>
      </w:r>
      <w:r>
        <w:rPr>
          <w:spacing w:val="-9"/>
          <w:sz w:val="18"/>
        </w:rPr>
        <w:t> </w:t>
      </w:r>
      <w:r>
        <w:rPr>
          <w:spacing w:val="-2"/>
          <w:sz w:val="18"/>
        </w:rPr>
        <w:t>59-61.</w:t>
      </w:r>
    </w:p>
    <w:p>
      <w:pPr>
        <w:pStyle w:val="ListParagraph"/>
        <w:numPr>
          <w:ilvl w:val="0"/>
          <w:numId w:val="4"/>
        </w:numPr>
        <w:tabs>
          <w:tab w:pos="627" w:val="left" w:leader="none"/>
        </w:tabs>
        <w:spacing w:line="240" w:lineRule="auto" w:before="0" w:after="0"/>
        <w:ind w:left="626" w:right="0" w:hanging="389"/>
        <w:jc w:val="both"/>
        <w:rPr>
          <w:sz w:val="18"/>
        </w:rPr>
      </w:pPr>
      <w:r>
        <w:rPr>
          <w:sz w:val="18"/>
        </w:rPr>
        <w:t>Globalpointofcare.abbott.</w:t>
      </w:r>
      <w:r>
        <w:rPr>
          <w:spacing w:val="-4"/>
          <w:sz w:val="18"/>
        </w:rPr>
        <w:t> </w:t>
      </w:r>
      <w:r>
        <w:rPr>
          <w:sz w:val="18"/>
        </w:rPr>
        <w:t>Access</w:t>
      </w:r>
      <w:r>
        <w:rPr>
          <w:spacing w:val="-1"/>
          <w:sz w:val="18"/>
        </w:rPr>
        <w:t> </w:t>
      </w:r>
      <w:r>
        <w:rPr>
          <w:sz w:val="18"/>
        </w:rPr>
        <w:t>date</w:t>
      </w:r>
      <w:r>
        <w:rPr>
          <w:spacing w:val="-2"/>
          <w:sz w:val="18"/>
        </w:rPr>
        <w:t> </w:t>
      </w:r>
      <w:r>
        <w:rPr>
          <w:sz w:val="18"/>
        </w:rPr>
        <w:t>Octobar</w:t>
      </w:r>
      <w:r>
        <w:rPr>
          <w:spacing w:val="-2"/>
          <w:sz w:val="18"/>
        </w:rPr>
        <w:t> </w:t>
      </w:r>
      <w:r>
        <w:rPr>
          <w:sz w:val="18"/>
        </w:rPr>
        <w:t>13</w:t>
      </w:r>
      <w:r>
        <w:rPr>
          <w:spacing w:val="-2"/>
          <w:sz w:val="18"/>
        </w:rPr>
        <w:t> </w:t>
      </w:r>
      <w:r>
        <w:rPr>
          <w:spacing w:val="-4"/>
          <w:sz w:val="18"/>
        </w:rPr>
        <w:t>2020.</w:t>
      </w:r>
    </w:p>
    <w:p>
      <w:pPr>
        <w:pStyle w:val="ListParagraph"/>
        <w:numPr>
          <w:ilvl w:val="0"/>
          <w:numId w:val="4"/>
        </w:numPr>
        <w:tabs>
          <w:tab w:pos="627" w:val="left" w:leader="none"/>
        </w:tabs>
        <w:spacing w:line="240" w:lineRule="auto" w:before="2" w:after="0"/>
        <w:ind w:left="626" w:right="292" w:hanging="389"/>
        <w:jc w:val="both"/>
        <w:rPr>
          <w:sz w:val="18"/>
        </w:rPr>
      </w:pPr>
      <w:r>
        <w:rPr>
          <w:sz w:val="18"/>
        </w:rPr>
        <w:t>Linares M, Pérez-Tanoira R, Carrero A, </w:t>
      </w:r>
      <w:r>
        <w:rPr>
          <w:i/>
          <w:sz w:val="18"/>
        </w:rPr>
        <w:t>et al</w:t>
      </w:r>
      <w:r>
        <w:rPr>
          <w:sz w:val="18"/>
        </w:rPr>
        <w:t>. Panbio antigen rapid test is reliable to diagnose SARS-CoV-2 infection in the first 7 days after the onset of symptoms. </w:t>
      </w:r>
      <w:r>
        <w:rPr>
          <w:i/>
          <w:sz w:val="18"/>
        </w:rPr>
        <w:t>J</w:t>
      </w:r>
      <w:r>
        <w:rPr>
          <w:i/>
          <w:sz w:val="18"/>
        </w:rPr>
        <w:t> </w:t>
      </w:r>
      <w:r>
        <w:rPr>
          <w:i/>
          <w:spacing w:val="-4"/>
          <w:sz w:val="18"/>
        </w:rPr>
        <w:t>Clin</w:t>
      </w:r>
      <w:r>
        <w:rPr>
          <w:i/>
          <w:spacing w:val="-9"/>
          <w:sz w:val="18"/>
        </w:rPr>
        <w:t> </w:t>
      </w:r>
      <w:r>
        <w:rPr>
          <w:i/>
          <w:spacing w:val="-4"/>
          <w:sz w:val="18"/>
        </w:rPr>
        <w:t>Virol</w:t>
      </w:r>
      <w:r>
        <w:rPr>
          <w:i/>
          <w:spacing w:val="-12"/>
          <w:sz w:val="18"/>
        </w:rPr>
        <w:t> </w:t>
      </w:r>
      <w:r>
        <w:rPr>
          <w:spacing w:val="-4"/>
          <w:sz w:val="18"/>
        </w:rPr>
        <w:t>2020;</w:t>
      </w:r>
      <w:r>
        <w:rPr>
          <w:spacing w:val="-12"/>
          <w:sz w:val="18"/>
        </w:rPr>
        <w:t> </w:t>
      </w:r>
      <w:r>
        <w:rPr>
          <w:spacing w:val="-4"/>
          <w:sz w:val="18"/>
        </w:rPr>
        <w:t>133:</w:t>
      </w:r>
      <w:r>
        <w:rPr>
          <w:spacing w:val="-10"/>
          <w:sz w:val="18"/>
        </w:rPr>
        <w:t> </w:t>
      </w:r>
      <w:r>
        <w:rPr>
          <w:spacing w:val="-4"/>
          <w:sz w:val="18"/>
        </w:rPr>
        <w:t>104659.</w:t>
      </w:r>
      <w:r>
        <w:rPr>
          <w:spacing w:val="-12"/>
          <w:sz w:val="18"/>
        </w:rPr>
        <w:t> </w:t>
      </w:r>
      <w:r>
        <w:rPr>
          <w:spacing w:val="-4"/>
          <w:sz w:val="18"/>
        </w:rPr>
        <w:t>doi:10.1016/j.jcv.2020.104659.</w:t>
      </w:r>
    </w:p>
    <w:p>
      <w:pPr>
        <w:pStyle w:val="ListParagraph"/>
        <w:numPr>
          <w:ilvl w:val="0"/>
          <w:numId w:val="4"/>
        </w:numPr>
        <w:tabs>
          <w:tab w:pos="627" w:val="left" w:leader="none"/>
        </w:tabs>
        <w:spacing w:line="240" w:lineRule="auto" w:before="0" w:after="0"/>
        <w:ind w:left="626" w:right="292" w:hanging="389"/>
        <w:jc w:val="both"/>
        <w:rPr>
          <w:sz w:val="18"/>
        </w:rPr>
      </w:pPr>
      <w:r>
        <w:rPr>
          <w:sz w:val="18"/>
        </w:rPr>
        <w:t>Gremmeles H, Winkel BMF, Schuurman R, </w:t>
      </w:r>
      <w:r>
        <w:rPr>
          <w:i/>
          <w:sz w:val="18"/>
        </w:rPr>
        <w:t>et al. </w:t>
      </w:r>
      <w:r>
        <w:rPr>
          <w:sz w:val="18"/>
        </w:rPr>
        <w:t>Rea-life validation of the Panbio</w:t>
      </w:r>
      <w:r>
        <w:rPr>
          <w:sz w:val="18"/>
          <w:vertAlign w:val="superscript"/>
        </w:rPr>
        <w:t>TM</w:t>
      </w:r>
      <w:r>
        <w:rPr>
          <w:sz w:val="18"/>
          <w:vertAlign w:val="baseline"/>
        </w:rPr>
        <w:t>COVID-19 antigen rapid test (Abbott) in community-dwelling subjects with symptoms </w:t>
      </w:r>
      <w:r>
        <w:rPr>
          <w:spacing w:val="-2"/>
          <w:sz w:val="18"/>
          <w:vertAlign w:val="baseline"/>
        </w:rPr>
        <w:t>of</w:t>
      </w:r>
      <w:r>
        <w:rPr>
          <w:spacing w:val="-10"/>
          <w:sz w:val="18"/>
          <w:vertAlign w:val="baseline"/>
        </w:rPr>
        <w:t> </w:t>
      </w:r>
      <w:r>
        <w:rPr>
          <w:spacing w:val="-2"/>
          <w:sz w:val="18"/>
          <w:vertAlign w:val="baseline"/>
        </w:rPr>
        <w:t>potential</w:t>
      </w:r>
      <w:r>
        <w:rPr>
          <w:spacing w:val="-9"/>
          <w:sz w:val="18"/>
          <w:vertAlign w:val="baseline"/>
        </w:rPr>
        <w:t> </w:t>
      </w:r>
      <w:r>
        <w:rPr>
          <w:spacing w:val="-2"/>
          <w:sz w:val="18"/>
          <w:vertAlign w:val="baseline"/>
        </w:rPr>
        <w:t>SARS-CoV-2</w:t>
      </w:r>
      <w:r>
        <w:rPr>
          <w:spacing w:val="-9"/>
          <w:sz w:val="18"/>
          <w:vertAlign w:val="baseline"/>
        </w:rPr>
        <w:t> </w:t>
      </w:r>
      <w:r>
        <w:rPr>
          <w:spacing w:val="-2"/>
          <w:sz w:val="18"/>
          <w:vertAlign w:val="baseline"/>
        </w:rPr>
        <w:t>infection.</w:t>
      </w:r>
      <w:r>
        <w:rPr>
          <w:spacing w:val="-9"/>
          <w:sz w:val="18"/>
          <w:vertAlign w:val="baseline"/>
        </w:rPr>
        <w:t> </w:t>
      </w:r>
      <w:r>
        <w:rPr>
          <w:spacing w:val="-2"/>
          <w:sz w:val="18"/>
          <w:vertAlign w:val="baseline"/>
        </w:rPr>
        <w:t>Open</w:t>
      </w:r>
      <w:r>
        <w:rPr>
          <w:spacing w:val="-10"/>
          <w:sz w:val="18"/>
          <w:vertAlign w:val="baseline"/>
        </w:rPr>
        <w:t> </w:t>
      </w:r>
      <w:r>
        <w:rPr>
          <w:spacing w:val="-2"/>
          <w:sz w:val="18"/>
          <w:vertAlign w:val="baseline"/>
        </w:rPr>
        <w:t>Access</w:t>
      </w:r>
      <w:r>
        <w:rPr>
          <w:spacing w:val="-9"/>
          <w:sz w:val="18"/>
          <w:vertAlign w:val="baseline"/>
        </w:rPr>
        <w:t> </w:t>
      </w:r>
      <w:r>
        <w:rPr>
          <w:spacing w:val="-2"/>
          <w:sz w:val="18"/>
          <w:vertAlign w:val="baseline"/>
        </w:rPr>
        <w:t>Published: </w:t>
      </w:r>
      <w:r>
        <w:rPr>
          <w:sz w:val="18"/>
          <w:vertAlign w:val="baseline"/>
        </w:rPr>
        <w:t>December 05, 2020 DOI: https://doi.org/10.1016/j.eclinm.</w:t>
      </w:r>
    </w:p>
    <w:p>
      <w:pPr>
        <w:spacing w:line="207" w:lineRule="exact" w:before="0"/>
        <w:ind w:left="626" w:right="0" w:firstLine="0"/>
        <w:jc w:val="left"/>
        <w:rPr>
          <w:sz w:val="18"/>
        </w:rPr>
      </w:pPr>
      <w:r>
        <w:rPr>
          <w:spacing w:val="-2"/>
          <w:sz w:val="18"/>
        </w:rPr>
        <w:t>2020.100677.</w:t>
      </w:r>
    </w:p>
    <w:p>
      <w:pPr>
        <w:pStyle w:val="ListParagraph"/>
        <w:numPr>
          <w:ilvl w:val="0"/>
          <w:numId w:val="4"/>
        </w:numPr>
        <w:tabs>
          <w:tab w:pos="627" w:val="left" w:leader="none"/>
        </w:tabs>
        <w:spacing w:line="240" w:lineRule="auto" w:before="0" w:after="0"/>
        <w:ind w:left="626" w:right="293" w:hanging="389"/>
        <w:jc w:val="both"/>
        <w:rPr>
          <w:sz w:val="18"/>
        </w:rPr>
      </w:pPr>
      <w:r>
        <w:rPr>
          <w:sz w:val="18"/>
        </w:rPr>
        <w:t>Van Kampen JJA,</w:t>
      </w:r>
      <w:r>
        <w:rPr>
          <w:spacing w:val="-2"/>
          <w:sz w:val="18"/>
        </w:rPr>
        <w:t> </w:t>
      </w:r>
      <w:r>
        <w:rPr>
          <w:sz w:val="18"/>
        </w:rPr>
        <w:t>van de Vijver DAMC,</w:t>
      </w:r>
      <w:r>
        <w:rPr>
          <w:spacing w:val="-1"/>
          <w:sz w:val="18"/>
        </w:rPr>
        <w:t> </w:t>
      </w:r>
      <w:r>
        <w:rPr>
          <w:sz w:val="18"/>
        </w:rPr>
        <w:t>Fraaij PLA, </w:t>
      </w:r>
      <w:r>
        <w:rPr>
          <w:i/>
          <w:sz w:val="18"/>
        </w:rPr>
        <w:t>at</w:t>
      </w:r>
      <w:r>
        <w:rPr>
          <w:i/>
          <w:spacing w:val="40"/>
          <w:sz w:val="18"/>
        </w:rPr>
        <w:t> </w:t>
      </w:r>
      <w:r>
        <w:rPr>
          <w:i/>
          <w:sz w:val="18"/>
        </w:rPr>
        <w:t>al</w:t>
      </w:r>
      <w:r>
        <w:rPr>
          <w:sz w:val="18"/>
        </w:rPr>
        <w:t>. Shedding of infectious virus in hospitalized patients with coronavirus disease-2019 (COVID-19): duration and key determinants. </w:t>
      </w:r>
      <w:r>
        <w:rPr>
          <w:i/>
          <w:sz w:val="18"/>
        </w:rPr>
        <w:t>medRxiv</w:t>
      </w:r>
      <w:r>
        <w:rPr>
          <w:i/>
          <w:spacing w:val="-6"/>
          <w:sz w:val="18"/>
        </w:rPr>
        <w:t> </w:t>
      </w:r>
      <w:r>
        <w:rPr>
          <w:sz w:val="18"/>
        </w:rPr>
        <w:t>2020. https://doi.org/10.1101/ </w:t>
      </w:r>
      <w:r>
        <w:rPr>
          <w:spacing w:val="-2"/>
          <w:sz w:val="18"/>
        </w:rPr>
        <w:t>2020.06.08.20125310.</w:t>
      </w:r>
    </w:p>
    <w:p>
      <w:pPr>
        <w:pStyle w:val="ListParagraph"/>
        <w:numPr>
          <w:ilvl w:val="0"/>
          <w:numId w:val="4"/>
        </w:numPr>
        <w:tabs>
          <w:tab w:pos="627" w:val="left" w:leader="none"/>
        </w:tabs>
        <w:spacing w:line="240" w:lineRule="auto" w:before="0" w:after="0"/>
        <w:ind w:left="626" w:right="287" w:hanging="389"/>
        <w:jc w:val="both"/>
        <w:rPr>
          <w:sz w:val="18"/>
        </w:rPr>
      </w:pPr>
      <w:r>
        <w:rPr>
          <w:sz w:val="18"/>
        </w:rPr>
        <w:t>Wölfel R, Corman VM, Guggemos W, </w:t>
      </w:r>
      <w:r>
        <w:rPr>
          <w:i/>
          <w:sz w:val="18"/>
        </w:rPr>
        <w:t>et al. </w:t>
      </w:r>
      <w:r>
        <w:rPr>
          <w:sz w:val="18"/>
        </w:rPr>
        <w:t>Virological </w:t>
      </w:r>
      <w:r>
        <w:rPr>
          <w:spacing w:val="-4"/>
          <w:sz w:val="18"/>
        </w:rPr>
        <w:t>assessment</w:t>
      </w:r>
      <w:r>
        <w:rPr>
          <w:spacing w:val="-8"/>
          <w:sz w:val="18"/>
        </w:rPr>
        <w:t> </w:t>
      </w:r>
      <w:r>
        <w:rPr>
          <w:spacing w:val="-4"/>
          <w:sz w:val="18"/>
        </w:rPr>
        <w:t>of</w:t>
      </w:r>
      <w:r>
        <w:rPr>
          <w:spacing w:val="-7"/>
          <w:sz w:val="18"/>
        </w:rPr>
        <w:t> </w:t>
      </w:r>
      <w:r>
        <w:rPr>
          <w:spacing w:val="-4"/>
          <w:sz w:val="18"/>
        </w:rPr>
        <w:t>hospitalized</w:t>
      </w:r>
      <w:r>
        <w:rPr>
          <w:spacing w:val="-7"/>
          <w:sz w:val="18"/>
        </w:rPr>
        <w:t> </w:t>
      </w:r>
      <w:r>
        <w:rPr>
          <w:spacing w:val="-4"/>
          <w:sz w:val="18"/>
        </w:rPr>
        <w:t>patients</w:t>
      </w:r>
      <w:r>
        <w:rPr>
          <w:spacing w:val="-7"/>
          <w:sz w:val="18"/>
        </w:rPr>
        <w:t> </w:t>
      </w:r>
      <w:r>
        <w:rPr>
          <w:spacing w:val="-4"/>
          <w:sz w:val="18"/>
        </w:rPr>
        <w:t>with</w:t>
      </w:r>
      <w:r>
        <w:rPr>
          <w:spacing w:val="-8"/>
          <w:sz w:val="18"/>
        </w:rPr>
        <w:t> </w:t>
      </w:r>
      <w:r>
        <w:rPr>
          <w:spacing w:val="-4"/>
          <w:sz w:val="18"/>
        </w:rPr>
        <w:t>COVID-2019.</w:t>
      </w:r>
      <w:r>
        <w:rPr>
          <w:spacing w:val="-7"/>
          <w:sz w:val="18"/>
        </w:rPr>
        <w:t> </w:t>
      </w:r>
      <w:r>
        <w:rPr>
          <w:i/>
          <w:spacing w:val="-4"/>
          <w:sz w:val="18"/>
        </w:rPr>
        <w:t>Nature</w:t>
      </w:r>
      <w:r>
        <w:rPr>
          <w:i/>
          <w:spacing w:val="-4"/>
          <w:sz w:val="18"/>
        </w:rPr>
        <w:t> </w:t>
      </w:r>
      <w:r>
        <w:rPr>
          <w:spacing w:val="-4"/>
          <w:sz w:val="18"/>
        </w:rPr>
        <w:t>2020; 581: 465-469. Apr 1. doi: 10.1038/s41586-020-2196-x.</w:t>
      </w:r>
    </w:p>
    <w:p>
      <w:pPr>
        <w:pStyle w:val="ListParagraph"/>
        <w:numPr>
          <w:ilvl w:val="0"/>
          <w:numId w:val="4"/>
        </w:numPr>
        <w:tabs>
          <w:tab w:pos="627" w:val="left" w:leader="none"/>
        </w:tabs>
        <w:spacing w:line="240" w:lineRule="auto" w:before="0" w:after="0"/>
        <w:ind w:left="626" w:right="292" w:hanging="389"/>
        <w:jc w:val="both"/>
        <w:rPr>
          <w:sz w:val="18"/>
        </w:rPr>
      </w:pPr>
      <w:r>
        <w:rPr>
          <w:sz w:val="18"/>
        </w:rPr>
        <w:t>Bullard J, Dust K, Funk D, </w:t>
      </w:r>
      <w:r>
        <w:rPr>
          <w:i/>
          <w:sz w:val="18"/>
        </w:rPr>
        <w:t>et al</w:t>
      </w:r>
      <w:r>
        <w:rPr>
          <w:sz w:val="18"/>
        </w:rPr>
        <w:t>. Predicting infectious SARS-CoV-2 from diagnostic samples. [published online ahead of print, 2020 May 22] </w:t>
      </w:r>
      <w:r>
        <w:rPr>
          <w:i/>
          <w:sz w:val="18"/>
        </w:rPr>
        <w:t>Clin Infect Dis </w:t>
      </w:r>
      <w:r>
        <w:rPr>
          <w:sz w:val="18"/>
        </w:rPr>
        <w:t>2020; ciaa638. doi:10.1093/cid/ciaa638.</w:t>
      </w:r>
    </w:p>
    <w:p>
      <w:pPr>
        <w:spacing w:after="0" w:line="240" w:lineRule="auto"/>
        <w:jc w:val="both"/>
        <w:rPr>
          <w:sz w:val="18"/>
        </w:rPr>
        <w:sectPr>
          <w:type w:val="continuous"/>
          <w:pgSz w:w="11910" w:h="16840"/>
          <w:pgMar w:header="854" w:footer="0" w:top="740" w:bottom="0" w:left="900" w:right="840"/>
          <w:cols w:num="2" w:equalWidth="0">
            <w:col w:w="4919" w:space="79"/>
            <w:col w:w="5172"/>
          </w:cols>
        </w:sectPr>
      </w:pPr>
    </w:p>
    <w:p>
      <w:pPr>
        <w:pStyle w:val="BodyText"/>
        <w:spacing w:before="10"/>
        <w:rPr>
          <w:sz w:val="10"/>
        </w:rPr>
      </w:pPr>
    </w:p>
    <w:p>
      <w:pPr>
        <w:spacing w:before="90"/>
        <w:ind w:left="238" w:right="0" w:firstLine="0"/>
        <w:jc w:val="both"/>
        <w:rPr>
          <w:i/>
          <w:sz w:val="24"/>
        </w:rPr>
      </w:pPr>
      <w:r>
        <w:rPr>
          <w:i/>
          <w:sz w:val="24"/>
        </w:rPr>
        <w:t>Original</w:t>
      </w:r>
      <w:r>
        <w:rPr>
          <w:i/>
          <w:spacing w:val="-7"/>
          <w:sz w:val="24"/>
        </w:rPr>
        <w:t> </w:t>
      </w:r>
      <w:r>
        <w:rPr>
          <w:i/>
          <w:spacing w:val="-2"/>
          <w:sz w:val="24"/>
        </w:rPr>
        <w:t>article</w:t>
      </w:r>
    </w:p>
    <w:p>
      <w:pPr>
        <w:pStyle w:val="BodyText"/>
        <w:spacing w:before="8"/>
        <w:rPr>
          <w:i/>
        </w:rPr>
      </w:pPr>
    </w:p>
    <w:p>
      <w:pPr>
        <w:pStyle w:val="Heading2"/>
        <w:ind w:right="295"/>
        <w:jc w:val="both"/>
      </w:pPr>
      <w:bookmarkStart w:name="_TOC_250016" w:id="6"/>
      <w:r>
        <w:rPr/>
        <w:t>ROBSON CLASSIFICATION OF CESAREAN SECTION IN NORTH MACEDONIA - CURRENT </w:t>
      </w:r>
      <w:bookmarkEnd w:id="6"/>
      <w:r>
        <w:rPr>
          <w:spacing w:val="-2"/>
        </w:rPr>
        <w:t>TRENDS</w:t>
      </w:r>
    </w:p>
    <w:p>
      <w:pPr>
        <w:pStyle w:val="BodyText"/>
        <w:spacing w:before="10"/>
        <w:rPr>
          <w:b/>
          <w:sz w:val="20"/>
        </w:rPr>
      </w:pPr>
    </w:p>
    <w:p>
      <w:pPr>
        <w:pStyle w:val="Heading2"/>
        <w:ind w:right="291"/>
        <w:jc w:val="both"/>
      </w:pPr>
      <w:bookmarkStart w:name="_TOC_250015" w:id="7"/>
      <w:bookmarkEnd w:id="7"/>
      <w:r>
        <w:rPr/>
        <w:t>КЛАСИФИКАЦИЈА НА ЦАРСКИ РЕЗОВИ ВО СЕВЕРНА МАКЕДОНИЈА ПО РОБСОН – МОМЕНТАЛЕН ТРЕНД</w:t>
      </w:r>
    </w:p>
    <w:p>
      <w:pPr>
        <w:pStyle w:val="BodyText"/>
        <w:spacing w:before="8"/>
        <w:rPr>
          <w:b/>
          <w:sz w:val="20"/>
        </w:rPr>
      </w:pPr>
    </w:p>
    <w:p>
      <w:pPr>
        <w:spacing w:before="0"/>
        <w:ind w:left="238" w:right="299" w:firstLine="0"/>
        <w:jc w:val="both"/>
        <w:rPr>
          <w:sz w:val="22"/>
        </w:rPr>
      </w:pPr>
      <w:r>
        <w:rPr>
          <w:sz w:val="22"/>
        </w:rPr>
        <w:t>Ivo Kjaev, Ana Daneva Markova, Pajtim Asani, Viktorija Jovanovska, Adelina Dalipi, Martina Mladenovska, Romir Kadriu, Irena Aleksioska Papestiev, Dafina Karadjova, Katerina Nikoloska, Durim Asani, Rosa Spasova, Daniel Milkovski and Goran Kocoski</w:t>
      </w:r>
    </w:p>
    <w:p>
      <w:pPr>
        <w:pStyle w:val="BodyText"/>
        <w:spacing w:before="1"/>
      </w:pPr>
    </w:p>
    <w:p>
      <w:pPr>
        <w:spacing w:before="0"/>
        <w:ind w:left="238" w:right="302" w:firstLine="0"/>
        <w:jc w:val="both"/>
        <w:rPr>
          <w:sz w:val="22"/>
        </w:rPr>
      </w:pPr>
      <w:r>
        <w:rPr>
          <w:sz w:val="22"/>
        </w:rPr>
        <w:t>University Clinic for Gynecology and Obstetrics, Faculty of Medicine, Ss Cyril and Methodius University Skopje, Republic of North Macedonia</w:t>
      </w:r>
    </w:p>
    <w:p>
      <w:pPr>
        <w:pStyle w:val="BodyText"/>
        <w:spacing w:before="10"/>
        <w:rPr>
          <w:sz w:val="12"/>
        </w:rPr>
      </w:pPr>
    </w:p>
    <w:p>
      <w:pPr>
        <w:spacing w:after="0"/>
        <w:rPr>
          <w:sz w:val="12"/>
        </w:rPr>
        <w:sectPr>
          <w:headerReference w:type="even" r:id="rId470"/>
          <w:headerReference w:type="default" r:id="rId471"/>
          <w:pgSz w:w="11910" w:h="16840"/>
          <w:pgMar w:header="854" w:footer="0" w:top="1440" w:bottom="280" w:left="900" w:right="840"/>
        </w:sectPr>
      </w:pPr>
    </w:p>
    <w:p>
      <w:pPr>
        <w:pStyle w:val="Heading4"/>
        <w:spacing w:before="97"/>
      </w:pPr>
      <w:r>
        <w:rPr>
          <w:spacing w:val="-2"/>
        </w:rPr>
        <w:t>Abstract</w:t>
      </w:r>
    </w:p>
    <w:p>
      <w:pPr>
        <w:pStyle w:val="BodyText"/>
        <w:spacing w:before="6"/>
        <w:rPr>
          <w:b/>
          <w:sz w:val="20"/>
        </w:rPr>
      </w:pPr>
    </w:p>
    <w:p>
      <w:pPr>
        <w:pStyle w:val="BodyText"/>
        <w:ind w:left="238" w:right="38"/>
        <w:jc w:val="both"/>
      </w:pPr>
      <w:r>
        <w:rPr>
          <w:b/>
        </w:rPr>
        <w:t>Introduction. </w:t>
      </w:r>
      <w:r>
        <w:rPr/>
        <w:t>Over the last few decades, the global cesarean section rate has significantly increased and reached an unprecedented level. The World Health Organization</w:t>
      </w:r>
      <w:r>
        <w:rPr>
          <w:spacing w:val="-1"/>
        </w:rPr>
        <w:t> </w:t>
      </w:r>
      <w:r>
        <w:rPr/>
        <w:t>(WHO)</w:t>
      </w:r>
      <w:r>
        <w:rPr>
          <w:spacing w:val="-1"/>
        </w:rPr>
        <w:t> </w:t>
      </w:r>
      <w:r>
        <w:rPr/>
        <w:t>has</w:t>
      </w:r>
      <w:r>
        <w:rPr>
          <w:spacing w:val="-3"/>
        </w:rPr>
        <w:t> </w:t>
      </w:r>
      <w:r>
        <w:rPr/>
        <w:t>advised that</w:t>
      </w:r>
      <w:r>
        <w:rPr>
          <w:spacing w:val="-2"/>
        </w:rPr>
        <w:t> </w:t>
      </w:r>
      <w:r>
        <w:rPr/>
        <w:t>cesarean </w:t>
      </w:r>
      <w:r>
        <w:rPr>
          <w:spacing w:val="-2"/>
        </w:rPr>
        <w:t>section</w:t>
      </w:r>
    </w:p>
    <w:p>
      <w:pPr>
        <w:pStyle w:val="BodyText"/>
        <w:spacing w:before="92"/>
        <w:ind w:left="238" w:right="291"/>
        <w:jc w:val="both"/>
      </w:pPr>
      <w:r>
        <w:rPr/>
        <w:br w:type="column"/>
      </w:r>
      <w:r>
        <w:rPr/>
        <w:t>to reduce the percentage of cesarean sections. The reduction of cesarean section will also decrease the number of hospital days and lower the health care cost of each delivery.</w:t>
      </w:r>
    </w:p>
    <w:p>
      <w:pPr>
        <w:pStyle w:val="BodyText"/>
      </w:pPr>
    </w:p>
    <w:p>
      <w:pPr>
        <w:pStyle w:val="BodyText"/>
        <w:ind w:left="238"/>
        <w:jc w:val="both"/>
      </w:pPr>
      <w:r>
        <w:rPr>
          <w:b/>
        </w:rPr>
        <w:t>Keywords:</w:t>
      </w:r>
      <w:r>
        <w:rPr>
          <w:b/>
          <w:spacing w:val="-6"/>
        </w:rPr>
        <w:t> </w:t>
      </w:r>
      <w:r>
        <w:rPr/>
        <w:t>cesarean</w:t>
      </w:r>
      <w:r>
        <w:rPr>
          <w:spacing w:val="-5"/>
        </w:rPr>
        <w:t> </w:t>
      </w:r>
      <w:r>
        <w:rPr/>
        <w:t>section,</w:t>
      </w:r>
      <w:r>
        <w:rPr>
          <w:spacing w:val="-8"/>
        </w:rPr>
        <w:t> </w:t>
      </w:r>
      <w:r>
        <w:rPr/>
        <w:t>groups,</w:t>
      </w:r>
      <w:r>
        <w:rPr>
          <w:spacing w:val="-4"/>
        </w:rPr>
        <w:t> </w:t>
      </w:r>
      <w:r>
        <w:rPr>
          <w:spacing w:val="-2"/>
        </w:rPr>
        <w:t>classification</w:t>
      </w:r>
    </w:p>
    <w:p>
      <w:pPr>
        <w:spacing w:after="0"/>
        <w:jc w:val="both"/>
        <w:sectPr>
          <w:type w:val="continuous"/>
          <w:pgSz w:w="11910" w:h="16840"/>
          <w:pgMar w:header="859" w:footer="0" w:top="740" w:bottom="0" w:left="900" w:right="840"/>
          <w:cols w:num="2" w:equalWidth="0">
            <w:col w:w="4918" w:space="80"/>
            <w:col w:w="5172"/>
          </w:cols>
        </w:sectPr>
      </w:pPr>
    </w:p>
    <w:p>
      <w:pPr>
        <w:pStyle w:val="BodyText"/>
        <w:tabs>
          <w:tab w:pos="5235" w:val="left" w:leader="none"/>
          <w:tab w:pos="9801" w:val="left" w:leader="none"/>
        </w:tabs>
        <w:spacing w:before="1"/>
        <w:ind w:left="238" w:right="365"/>
      </w:pPr>
      <w:r>
        <w:rPr/>
        <w:t>(CS) rates should not rise above 15%. Several classify-</w:t>
        <w:tab/>
      </w:r>
      <w:r>
        <w:rPr>
          <w:u w:val="single"/>
        </w:rPr>
        <w:tab/>
      </w:r>
      <w:r>
        <w:rPr/>
        <w:t> cation</w:t>
      </w:r>
      <w:r>
        <w:rPr>
          <w:spacing w:val="-11"/>
        </w:rPr>
        <w:t> </w:t>
      </w:r>
      <w:r>
        <w:rPr/>
        <w:t>systems</w:t>
      </w:r>
      <w:r>
        <w:rPr>
          <w:spacing w:val="-13"/>
        </w:rPr>
        <w:t> </w:t>
      </w:r>
      <w:r>
        <w:rPr/>
        <w:t>have</w:t>
      </w:r>
      <w:r>
        <w:rPr>
          <w:spacing w:val="-13"/>
        </w:rPr>
        <w:t> </w:t>
      </w:r>
      <w:r>
        <w:rPr/>
        <w:t>been</w:t>
      </w:r>
      <w:r>
        <w:rPr>
          <w:spacing w:val="-13"/>
        </w:rPr>
        <w:t> </w:t>
      </w:r>
      <w:r>
        <w:rPr/>
        <w:t>proposed</w:t>
      </w:r>
      <w:r>
        <w:rPr>
          <w:spacing w:val="-14"/>
        </w:rPr>
        <w:t> </w:t>
      </w:r>
      <w:r>
        <w:rPr/>
        <w:t>to</w:t>
      </w:r>
      <w:r>
        <w:rPr>
          <w:spacing w:val="-12"/>
        </w:rPr>
        <w:t> </w:t>
      </w:r>
      <w:r>
        <w:rPr/>
        <w:t>tackle</w:t>
      </w:r>
      <w:r>
        <w:rPr>
          <w:spacing w:val="-14"/>
        </w:rPr>
        <w:t> </w:t>
      </w:r>
      <w:r>
        <w:rPr/>
        <w:t>the</w:t>
      </w:r>
      <w:r>
        <w:rPr>
          <w:spacing w:val="-13"/>
        </w:rPr>
        <w:t> </w:t>
      </w:r>
      <w:r>
        <w:rPr/>
        <w:t>increased</w:t>
      </w:r>
    </w:p>
    <w:p>
      <w:pPr>
        <w:spacing w:after="0"/>
        <w:sectPr>
          <w:type w:val="continuous"/>
          <w:pgSz w:w="11910" w:h="16840"/>
          <w:pgMar w:header="859" w:footer="0" w:top="740" w:bottom="0" w:left="900" w:right="840"/>
        </w:sectPr>
      </w:pPr>
    </w:p>
    <w:p>
      <w:pPr>
        <w:pStyle w:val="BodyText"/>
        <w:ind w:left="238" w:right="39"/>
        <w:jc w:val="both"/>
      </w:pPr>
      <w:r>
        <w:rPr/>
        <w:t>cesarean section epidemic. Most of the countries have adopted and started using the Robson (10 groups) classification as the best and the one that is the easiest internationally applicable CS classification.</w:t>
      </w:r>
    </w:p>
    <w:p>
      <w:pPr>
        <w:pStyle w:val="BodyText"/>
        <w:spacing w:before="1"/>
        <w:ind w:left="238" w:right="39"/>
        <w:jc w:val="both"/>
      </w:pPr>
      <w:r>
        <w:rPr>
          <w:b/>
        </w:rPr>
        <w:t>Aim. </w:t>
      </w:r>
      <w:r>
        <w:rPr/>
        <w:t>To present the Robson classification as a way to start</w:t>
      </w:r>
      <w:r>
        <w:rPr>
          <w:spacing w:val="-1"/>
        </w:rPr>
        <w:t> </w:t>
      </w:r>
      <w:r>
        <w:rPr/>
        <w:t>better classification of cesarean section and</w:t>
      </w:r>
      <w:r>
        <w:rPr>
          <w:spacing w:val="-2"/>
        </w:rPr>
        <w:t> </w:t>
      </w:r>
      <w:r>
        <w:rPr/>
        <w:t>hence to reduce the number of unnecessary cesarean section </w:t>
      </w:r>
      <w:r>
        <w:rPr>
          <w:spacing w:val="-2"/>
        </w:rPr>
        <w:t>deliveries.</w:t>
      </w:r>
    </w:p>
    <w:p>
      <w:pPr>
        <w:pStyle w:val="BodyText"/>
        <w:ind w:left="238" w:right="41"/>
        <w:jc w:val="both"/>
      </w:pPr>
      <w:r>
        <w:rPr/>
        <w:t>Methods: This study was realized at the University Clinic for Gynecology</w:t>
      </w:r>
      <w:r>
        <w:rPr>
          <w:spacing w:val="-3"/>
        </w:rPr>
        <w:t> </w:t>
      </w:r>
      <w:r>
        <w:rPr/>
        <w:t>and Obstetrics in Skopje, North Macedonia. It is a retrospective study where two years were compared.</w:t>
      </w:r>
    </w:p>
    <w:p>
      <w:pPr>
        <w:pStyle w:val="BodyText"/>
        <w:ind w:left="238" w:right="39"/>
        <w:jc w:val="both"/>
      </w:pPr>
      <w:r>
        <w:rPr>
          <w:b/>
        </w:rPr>
        <w:t>Results. </w:t>
      </w:r>
      <w:r>
        <w:rPr/>
        <w:t>The rate of cesarean sections for 2017 was 38.5%</w:t>
      </w:r>
      <w:r>
        <w:rPr>
          <w:spacing w:val="-14"/>
        </w:rPr>
        <w:t> </w:t>
      </w:r>
      <w:r>
        <w:rPr/>
        <w:t>and</w:t>
      </w:r>
      <w:r>
        <w:rPr>
          <w:spacing w:val="-13"/>
        </w:rPr>
        <w:t> </w:t>
      </w:r>
      <w:r>
        <w:rPr/>
        <w:t>for</w:t>
      </w:r>
      <w:r>
        <w:rPr>
          <w:spacing w:val="-13"/>
        </w:rPr>
        <w:t> </w:t>
      </w:r>
      <w:r>
        <w:rPr/>
        <w:t>2019</w:t>
      </w:r>
      <w:r>
        <w:rPr>
          <w:spacing w:val="-13"/>
        </w:rPr>
        <w:t> </w:t>
      </w:r>
      <w:r>
        <w:rPr/>
        <w:t>42.6%.</w:t>
      </w:r>
      <w:r>
        <w:rPr>
          <w:spacing w:val="-13"/>
        </w:rPr>
        <w:t> </w:t>
      </w:r>
      <w:r>
        <w:rPr/>
        <w:t>Categorization</w:t>
      </w:r>
      <w:r>
        <w:rPr>
          <w:spacing w:val="-13"/>
        </w:rPr>
        <w:t> </w:t>
      </w:r>
      <w:r>
        <w:rPr/>
        <w:t>of</w:t>
      </w:r>
      <w:r>
        <w:rPr>
          <w:spacing w:val="-13"/>
        </w:rPr>
        <w:t> </w:t>
      </w:r>
      <w:r>
        <w:rPr/>
        <w:t>deliveries according to</w:t>
      </w:r>
      <w:r>
        <w:rPr>
          <w:spacing w:val="-1"/>
        </w:rPr>
        <w:t> </w:t>
      </w:r>
      <w:r>
        <w:rPr/>
        <w:t>Robson</w:t>
      </w:r>
      <w:r>
        <w:rPr>
          <w:spacing w:val="-2"/>
        </w:rPr>
        <w:t> </w:t>
      </w:r>
      <w:r>
        <w:rPr/>
        <w:t>criteria showed a different rate of cesarean section for each subgroup.</w:t>
      </w:r>
    </w:p>
    <w:p>
      <w:pPr>
        <w:pStyle w:val="BodyText"/>
        <w:ind w:left="238" w:right="9"/>
      </w:pPr>
      <w:r>
        <w:rPr>
          <w:b/>
        </w:rPr>
        <w:t>Discussion. </w:t>
      </w:r>
      <w:r>
        <w:rPr/>
        <w:t>The implementation of the Robson classi- fication in most countries has shown a reduction in the number of cesarean deliveries and thus a reduction in overall maternal and</w:t>
      </w:r>
      <w:r>
        <w:rPr>
          <w:spacing w:val="-1"/>
        </w:rPr>
        <w:t> </w:t>
      </w:r>
      <w:r>
        <w:rPr/>
        <w:t>neonatal morbidity</w:t>
      </w:r>
      <w:r>
        <w:rPr>
          <w:spacing w:val="-3"/>
        </w:rPr>
        <w:t> </w:t>
      </w:r>
      <w:r>
        <w:rPr/>
        <w:t>and mortality. The</w:t>
      </w:r>
      <w:r>
        <w:rPr>
          <w:spacing w:val="29"/>
        </w:rPr>
        <w:t> </w:t>
      </w:r>
      <w:r>
        <w:rPr/>
        <w:t>analysis</w:t>
      </w:r>
      <w:r>
        <w:rPr>
          <w:spacing w:val="30"/>
        </w:rPr>
        <w:t> </w:t>
      </w:r>
      <w:r>
        <w:rPr/>
        <w:t>has</w:t>
      </w:r>
      <w:r>
        <w:rPr>
          <w:spacing w:val="29"/>
        </w:rPr>
        <w:t> </w:t>
      </w:r>
      <w:r>
        <w:rPr/>
        <w:t>shown</w:t>
      </w:r>
      <w:r>
        <w:rPr>
          <w:spacing w:val="30"/>
        </w:rPr>
        <w:t> </w:t>
      </w:r>
      <w:r>
        <w:rPr/>
        <w:t>that</w:t>
      </w:r>
      <w:r>
        <w:rPr>
          <w:spacing w:val="28"/>
        </w:rPr>
        <w:t> </w:t>
      </w:r>
      <w:r>
        <w:rPr/>
        <w:t>group</w:t>
      </w:r>
      <w:r>
        <w:rPr>
          <w:spacing w:val="30"/>
        </w:rPr>
        <w:t> </w:t>
      </w:r>
      <w:r>
        <w:rPr/>
        <w:t>5</w:t>
      </w:r>
      <w:r>
        <w:rPr>
          <w:spacing w:val="31"/>
        </w:rPr>
        <w:t> </w:t>
      </w:r>
      <w:r>
        <w:rPr/>
        <w:t>had</w:t>
      </w:r>
      <w:r>
        <w:rPr>
          <w:spacing w:val="30"/>
        </w:rPr>
        <w:t> </w:t>
      </w:r>
      <w:r>
        <w:rPr/>
        <w:t>the</w:t>
      </w:r>
      <w:r>
        <w:rPr>
          <w:spacing w:val="29"/>
        </w:rPr>
        <w:t> </w:t>
      </w:r>
      <w:r>
        <w:rPr/>
        <w:t>largest number</w:t>
      </w:r>
      <w:r>
        <w:rPr>
          <w:spacing w:val="35"/>
        </w:rPr>
        <w:t> </w:t>
      </w:r>
      <w:r>
        <w:rPr/>
        <w:t>of</w:t>
      </w:r>
      <w:r>
        <w:rPr>
          <w:spacing w:val="35"/>
        </w:rPr>
        <w:t> </w:t>
      </w:r>
      <w:r>
        <w:rPr/>
        <w:t>cesarean</w:t>
      </w:r>
      <w:r>
        <w:rPr>
          <w:spacing w:val="36"/>
        </w:rPr>
        <w:t> </w:t>
      </w:r>
      <w:r>
        <w:rPr/>
        <w:t>section</w:t>
      </w:r>
      <w:r>
        <w:rPr>
          <w:spacing w:val="34"/>
        </w:rPr>
        <w:t> </w:t>
      </w:r>
      <w:r>
        <w:rPr/>
        <w:t>deliveries</w:t>
      </w:r>
      <w:r>
        <w:rPr>
          <w:spacing w:val="35"/>
        </w:rPr>
        <w:t> </w:t>
      </w:r>
      <w:r>
        <w:rPr/>
        <w:t>in</w:t>
      </w:r>
      <w:r>
        <w:rPr>
          <w:spacing w:val="36"/>
        </w:rPr>
        <w:t> </w:t>
      </w:r>
      <w:r>
        <w:rPr/>
        <w:t>both</w:t>
      </w:r>
      <w:r>
        <w:rPr>
          <w:spacing w:val="38"/>
        </w:rPr>
        <w:t> </w:t>
      </w:r>
      <w:r>
        <w:rPr/>
        <w:t>years, </w:t>
      </w:r>
      <w:r>
        <w:rPr>
          <w:spacing w:val="-6"/>
        </w:rPr>
        <w:t>2017 and 2019; these were patients with previous cesarean </w:t>
      </w:r>
      <w:r>
        <w:rPr/>
        <w:t>sections. They</w:t>
      </w:r>
      <w:r>
        <w:rPr>
          <w:spacing w:val="-2"/>
        </w:rPr>
        <w:t> </w:t>
      </w:r>
      <w:r>
        <w:rPr/>
        <w:t>were followed by</w:t>
      </w:r>
      <w:r>
        <w:rPr>
          <w:spacing w:val="-2"/>
        </w:rPr>
        <w:t> </w:t>
      </w:r>
      <w:r>
        <w:rPr/>
        <w:t>group 1 and 2, or pri- mipara with spontaneous onset and induced delivery. </w:t>
      </w:r>
      <w:r>
        <w:rPr>
          <w:b/>
        </w:rPr>
        <w:t>Conclusion.</w:t>
      </w:r>
      <w:r>
        <w:rPr>
          <w:b/>
          <w:spacing w:val="40"/>
        </w:rPr>
        <w:t> </w:t>
      </w:r>
      <w:r>
        <w:rPr/>
        <w:t>The</w:t>
      </w:r>
      <w:r>
        <w:rPr>
          <w:spacing w:val="40"/>
        </w:rPr>
        <w:t> </w:t>
      </w:r>
      <w:r>
        <w:rPr/>
        <w:t>goal</w:t>
      </w:r>
      <w:r>
        <w:rPr>
          <w:spacing w:val="40"/>
        </w:rPr>
        <w:t> </w:t>
      </w:r>
      <w:r>
        <w:rPr/>
        <w:t>of</w:t>
      </w:r>
      <w:r>
        <w:rPr>
          <w:spacing w:val="40"/>
        </w:rPr>
        <w:t> </w:t>
      </w:r>
      <w:r>
        <w:rPr/>
        <w:t>Robson</w:t>
      </w:r>
      <w:r>
        <w:rPr>
          <w:spacing w:val="40"/>
        </w:rPr>
        <w:t> </w:t>
      </w:r>
      <w:r>
        <w:rPr/>
        <w:t>clasification</w:t>
      </w:r>
      <w:r>
        <w:rPr>
          <w:spacing w:val="40"/>
        </w:rPr>
        <w:t> </w:t>
      </w:r>
      <w:r>
        <w:rPr/>
        <w:t>is</w:t>
      </w:r>
      <w:r>
        <w:rPr>
          <w:spacing w:val="40"/>
        </w:rPr>
        <w:t> </w:t>
      </w:r>
      <w:r>
        <w:rPr/>
        <w:t>to identify the</w:t>
      </w:r>
      <w:r>
        <w:rPr>
          <w:spacing w:val="29"/>
        </w:rPr>
        <w:t> </w:t>
      </w:r>
      <w:r>
        <w:rPr/>
        <w:t>target</w:t>
      </w:r>
      <w:r>
        <w:rPr>
          <w:spacing w:val="28"/>
        </w:rPr>
        <w:t> </w:t>
      </w:r>
      <w:r>
        <w:rPr/>
        <w:t>groups</w:t>
      </w:r>
      <w:r>
        <w:rPr>
          <w:spacing w:val="29"/>
        </w:rPr>
        <w:t> </w:t>
      </w:r>
      <w:r>
        <w:rPr/>
        <w:t>that</w:t>
      </w:r>
      <w:r>
        <w:rPr>
          <w:spacing w:val="28"/>
        </w:rPr>
        <w:t> </w:t>
      </w:r>
      <w:r>
        <w:rPr/>
        <w:t>contribute</w:t>
      </w:r>
      <w:r>
        <w:rPr>
          <w:spacing w:val="30"/>
        </w:rPr>
        <w:t> </w:t>
      </w:r>
      <w:r>
        <w:rPr/>
        <w:t>most</w:t>
      </w:r>
      <w:r>
        <w:rPr>
          <w:spacing w:val="28"/>
        </w:rPr>
        <w:t> </w:t>
      </w:r>
      <w:r>
        <w:rPr/>
        <w:t>in</w:t>
      </w:r>
      <w:r>
        <w:rPr>
          <w:spacing w:val="30"/>
        </w:rPr>
        <w:t> </w:t>
      </w:r>
      <w:r>
        <w:rPr/>
        <w:t>the percentage</w:t>
      </w:r>
      <w:r>
        <w:rPr>
          <w:spacing w:val="-1"/>
        </w:rPr>
        <w:t> </w:t>
      </w:r>
      <w:r>
        <w:rPr/>
        <w:t>of cesarean sections and to</w:t>
      </w:r>
      <w:r>
        <w:rPr>
          <w:spacing w:val="-1"/>
        </w:rPr>
        <w:t> </w:t>
      </w:r>
      <w:r>
        <w:rPr/>
        <w:t>act on</w:t>
      </w:r>
      <w:r>
        <w:rPr>
          <w:spacing w:val="-1"/>
        </w:rPr>
        <w:t> </w:t>
      </w:r>
      <w:r>
        <w:rPr/>
        <w:t>these</w:t>
      </w:r>
      <w:r>
        <w:rPr>
          <w:spacing w:val="-1"/>
        </w:rPr>
        <w:t> </w:t>
      </w:r>
      <w:r>
        <w:rPr/>
        <w:t>tar- get groups through appropriate education and training</w:t>
      </w:r>
    </w:p>
    <w:p>
      <w:pPr>
        <w:pStyle w:val="BodyText"/>
        <w:rPr>
          <w:sz w:val="20"/>
        </w:rPr>
      </w:pPr>
    </w:p>
    <w:p>
      <w:pPr>
        <w:pStyle w:val="BodyText"/>
        <w:spacing w:before="9"/>
        <w:rPr>
          <w:sz w:val="14"/>
        </w:rPr>
      </w:pPr>
      <w:r>
        <w:rPr/>
        <w:pict>
          <v:shape style="position:absolute;margin-left:56.903999pt;margin-top:9.744623pt;width:96.05pt;height:.1pt;mso-position-horizontal-relative:page;mso-position-vertical-relative:paragraph;z-index:-15715328;mso-wrap-distance-left:0;mso-wrap-distance-right:0" id="docshape507" coordorigin="1138,195" coordsize="1921,0" path="m1138,195l3059,195e" filled="false" stroked="true" strokeweight=".32964pt" strokecolor="#000000">
            <v:path arrowok="t"/>
            <v:stroke dashstyle="solid"/>
            <w10:wrap type="topAndBottom"/>
          </v:shape>
        </w:pict>
      </w:r>
    </w:p>
    <w:p>
      <w:pPr>
        <w:tabs>
          <w:tab w:pos="1881" w:val="left" w:leader="none"/>
        </w:tabs>
        <w:spacing w:before="0"/>
        <w:ind w:left="238" w:right="42" w:firstLine="0"/>
        <w:jc w:val="left"/>
        <w:rPr>
          <w:sz w:val="16"/>
        </w:rPr>
      </w:pPr>
      <w:r>
        <w:rPr>
          <w:i/>
          <w:sz w:val="16"/>
        </w:rPr>
        <w:t>Correspondence</w:t>
      </w:r>
      <w:r>
        <w:rPr>
          <w:i/>
          <w:spacing w:val="-5"/>
          <w:sz w:val="16"/>
        </w:rPr>
        <w:t> </w:t>
      </w:r>
      <w:r>
        <w:rPr>
          <w:i/>
          <w:sz w:val="16"/>
        </w:rPr>
        <w:t>to:</w:t>
        <w:tab/>
      </w:r>
      <w:r>
        <w:rPr>
          <w:sz w:val="16"/>
        </w:rPr>
        <w:t>Ivo</w:t>
      </w:r>
      <w:r>
        <w:rPr>
          <w:spacing w:val="18"/>
          <w:sz w:val="16"/>
        </w:rPr>
        <w:t> </w:t>
      </w:r>
      <w:r>
        <w:rPr>
          <w:sz w:val="16"/>
        </w:rPr>
        <w:t>Kjaev,</w:t>
      </w:r>
      <w:r>
        <w:rPr>
          <w:spacing w:val="18"/>
          <w:sz w:val="16"/>
        </w:rPr>
        <w:t> </w:t>
      </w:r>
      <w:r>
        <w:rPr>
          <w:sz w:val="16"/>
        </w:rPr>
        <w:t>University</w:t>
      </w:r>
      <w:r>
        <w:rPr>
          <w:spacing w:val="15"/>
          <w:sz w:val="16"/>
        </w:rPr>
        <w:t> </w:t>
      </w:r>
      <w:r>
        <w:rPr>
          <w:sz w:val="16"/>
        </w:rPr>
        <w:t>Clinic</w:t>
      </w:r>
      <w:r>
        <w:rPr>
          <w:spacing w:val="18"/>
          <w:sz w:val="16"/>
        </w:rPr>
        <w:t> </w:t>
      </w:r>
      <w:r>
        <w:rPr>
          <w:sz w:val="16"/>
        </w:rPr>
        <w:t>for</w:t>
      </w:r>
      <w:r>
        <w:rPr>
          <w:spacing w:val="16"/>
          <w:sz w:val="16"/>
        </w:rPr>
        <w:t> </w:t>
      </w:r>
      <w:r>
        <w:rPr>
          <w:sz w:val="16"/>
        </w:rPr>
        <w:t>Gynecology</w:t>
      </w:r>
      <w:r>
        <w:rPr>
          <w:spacing w:val="40"/>
          <w:sz w:val="16"/>
        </w:rPr>
        <w:t> </w:t>
      </w:r>
      <w:r>
        <w:rPr>
          <w:spacing w:val="-6"/>
          <w:sz w:val="16"/>
        </w:rPr>
        <w:t>and</w:t>
      </w:r>
      <w:r>
        <w:rPr>
          <w:spacing w:val="-14"/>
          <w:sz w:val="16"/>
        </w:rPr>
        <w:t> </w:t>
      </w:r>
      <w:r>
        <w:rPr>
          <w:spacing w:val="-6"/>
          <w:sz w:val="16"/>
        </w:rPr>
        <w:t>Obstetrics,</w:t>
      </w:r>
      <w:r>
        <w:rPr>
          <w:spacing w:val="-8"/>
          <w:sz w:val="16"/>
        </w:rPr>
        <w:t> </w:t>
      </w:r>
      <w:r>
        <w:rPr>
          <w:spacing w:val="-6"/>
          <w:sz w:val="16"/>
        </w:rPr>
        <w:t>1000</w:t>
      </w:r>
      <w:r>
        <w:rPr>
          <w:spacing w:val="-11"/>
          <w:sz w:val="16"/>
        </w:rPr>
        <w:t> </w:t>
      </w:r>
      <w:r>
        <w:rPr>
          <w:spacing w:val="-6"/>
          <w:sz w:val="16"/>
        </w:rPr>
        <w:t>Skopje,</w:t>
      </w:r>
      <w:r>
        <w:rPr>
          <w:spacing w:val="-9"/>
          <w:sz w:val="16"/>
        </w:rPr>
        <w:t> </w:t>
      </w:r>
      <w:r>
        <w:rPr>
          <w:spacing w:val="-6"/>
          <w:sz w:val="16"/>
        </w:rPr>
        <w:t>R.</w:t>
      </w:r>
      <w:r>
        <w:rPr>
          <w:spacing w:val="-9"/>
          <w:sz w:val="16"/>
        </w:rPr>
        <w:t> </w:t>
      </w:r>
      <w:r>
        <w:rPr>
          <w:spacing w:val="-6"/>
          <w:sz w:val="16"/>
        </w:rPr>
        <w:t>N.</w:t>
      </w:r>
      <w:r>
        <w:rPr>
          <w:spacing w:val="-11"/>
          <w:sz w:val="16"/>
        </w:rPr>
        <w:t> </w:t>
      </w:r>
      <w:r>
        <w:rPr>
          <w:spacing w:val="-6"/>
          <w:sz w:val="16"/>
        </w:rPr>
        <w:t>Macedonia;</w:t>
      </w:r>
      <w:r>
        <w:rPr>
          <w:spacing w:val="-11"/>
          <w:sz w:val="16"/>
        </w:rPr>
        <w:t> </w:t>
      </w:r>
      <w:r>
        <w:rPr>
          <w:spacing w:val="-6"/>
          <w:sz w:val="16"/>
        </w:rPr>
        <w:t>E-mail:</w:t>
      </w:r>
      <w:r>
        <w:rPr>
          <w:spacing w:val="-14"/>
          <w:sz w:val="16"/>
        </w:rPr>
        <w:t> </w:t>
      </w:r>
      <w:hyperlink r:id="rId472">
        <w:r>
          <w:rPr>
            <w:spacing w:val="-6"/>
            <w:sz w:val="16"/>
          </w:rPr>
          <w:t>ivo_kaev@yahoo.com</w:t>
        </w:r>
      </w:hyperlink>
    </w:p>
    <w:p>
      <w:pPr>
        <w:pStyle w:val="Heading4"/>
        <w:spacing w:before="4"/>
      </w:pPr>
      <w:r>
        <w:rPr>
          <w:b w:val="0"/>
        </w:rPr>
        <w:br w:type="column"/>
      </w:r>
      <w:r>
        <w:rPr>
          <w:spacing w:val="-2"/>
        </w:rPr>
        <w:t>Абстракт</w:t>
      </w:r>
    </w:p>
    <w:p>
      <w:pPr>
        <w:pStyle w:val="BodyText"/>
        <w:spacing w:before="6"/>
        <w:rPr>
          <w:b/>
          <w:sz w:val="20"/>
        </w:rPr>
      </w:pPr>
    </w:p>
    <w:p>
      <w:pPr>
        <w:pStyle w:val="BodyText"/>
        <w:spacing w:before="1"/>
        <w:ind w:left="238" w:right="287"/>
        <w:jc w:val="both"/>
      </w:pPr>
      <w:r>
        <w:rPr>
          <w:b/>
        </w:rPr>
        <w:t>Вовед.</w:t>
      </w:r>
      <w:r>
        <w:rPr>
          <w:b/>
          <w:spacing w:val="-4"/>
        </w:rPr>
        <w:t> </w:t>
      </w:r>
      <w:r>
        <w:rPr/>
        <w:t>Во</w:t>
      </w:r>
      <w:r>
        <w:rPr>
          <w:spacing w:val="-4"/>
        </w:rPr>
        <w:t> </w:t>
      </w:r>
      <w:r>
        <w:rPr/>
        <w:t>тек</w:t>
      </w:r>
      <w:r>
        <w:rPr>
          <w:spacing w:val="-4"/>
        </w:rPr>
        <w:t> </w:t>
      </w:r>
      <w:r>
        <w:rPr/>
        <w:t>на</w:t>
      </w:r>
      <w:r>
        <w:rPr>
          <w:spacing w:val="-4"/>
        </w:rPr>
        <w:t> </w:t>
      </w:r>
      <w:r>
        <w:rPr/>
        <w:t>последниве</w:t>
      </w:r>
      <w:r>
        <w:rPr>
          <w:spacing w:val="-4"/>
        </w:rPr>
        <w:t> </w:t>
      </w:r>
      <w:r>
        <w:rPr/>
        <w:t>неколку</w:t>
      </w:r>
      <w:r>
        <w:rPr>
          <w:spacing w:val="-8"/>
        </w:rPr>
        <w:t> </w:t>
      </w:r>
      <w:r>
        <w:rPr/>
        <w:t>децении,</w:t>
      </w:r>
      <w:r>
        <w:rPr>
          <w:spacing w:val="-4"/>
        </w:rPr>
        <w:t> </w:t>
      </w:r>
      <w:r>
        <w:rPr/>
        <w:t>гло- бално процентот на царски резови значително се зголеми</w:t>
      </w:r>
      <w:r>
        <w:rPr>
          <w:spacing w:val="-14"/>
        </w:rPr>
        <w:t> </w:t>
      </w:r>
      <w:r>
        <w:rPr/>
        <w:t>и</w:t>
      </w:r>
      <w:r>
        <w:rPr>
          <w:spacing w:val="-13"/>
        </w:rPr>
        <w:t> </w:t>
      </w:r>
      <w:r>
        <w:rPr/>
        <w:t>достигна</w:t>
      </w:r>
      <w:r>
        <w:rPr>
          <w:spacing w:val="-13"/>
        </w:rPr>
        <w:t> </w:t>
      </w:r>
      <w:r>
        <w:rPr/>
        <w:t>невидени</w:t>
      </w:r>
      <w:r>
        <w:rPr>
          <w:spacing w:val="-13"/>
        </w:rPr>
        <w:t> </w:t>
      </w:r>
      <w:r>
        <w:rPr/>
        <w:t>размери.</w:t>
      </w:r>
      <w:r>
        <w:rPr>
          <w:spacing w:val="-13"/>
        </w:rPr>
        <w:t> </w:t>
      </w:r>
      <w:r>
        <w:rPr/>
        <w:t>Според</w:t>
      </w:r>
      <w:r>
        <w:rPr>
          <w:spacing w:val="-2"/>
        </w:rPr>
        <w:t> </w:t>
      </w:r>
      <w:r>
        <w:rPr/>
        <w:t>свет- ската</w:t>
      </w:r>
      <w:r>
        <w:rPr>
          <w:spacing w:val="-13"/>
        </w:rPr>
        <w:t> </w:t>
      </w:r>
      <w:r>
        <w:rPr/>
        <w:t>здравстбена</w:t>
      </w:r>
      <w:r>
        <w:rPr>
          <w:spacing w:val="-8"/>
        </w:rPr>
        <w:t> </w:t>
      </w:r>
      <w:r>
        <w:rPr/>
        <w:t>организација</w:t>
      </w:r>
      <w:r>
        <w:rPr>
          <w:spacing w:val="-8"/>
        </w:rPr>
        <w:t> </w:t>
      </w:r>
      <w:r>
        <w:rPr/>
        <w:t>(СЗО)</w:t>
      </w:r>
      <w:r>
        <w:rPr>
          <w:spacing w:val="-9"/>
        </w:rPr>
        <w:t> </w:t>
      </w:r>
      <w:r>
        <w:rPr/>
        <w:t>процентот</w:t>
      </w:r>
      <w:r>
        <w:rPr>
          <w:spacing w:val="-9"/>
        </w:rPr>
        <w:t> </w:t>
      </w:r>
      <w:r>
        <w:rPr/>
        <w:t>на царски резови не треба да биде повеќе од 15%. Повеќе класификациони алгоритми се предлоќени со цел да се намали стапката на</w:t>
      </w:r>
      <w:r>
        <w:rPr>
          <w:spacing w:val="40"/>
        </w:rPr>
        <w:t> </w:t>
      </w:r>
      <w:r>
        <w:rPr/>
        <w:t>зголемениот број на царски резови. Повеќето земји ја прифатја и почна</w:t>
      </w:r>
      <w:r>
        <w:rPr>
          <w:spacing w:val="-14"/>
        </w:rPr>
        <w:t> </w:t>
      </w:r>
      <w:r>
        <w:rPr/>
        <w:t>да</w:t>
      </w:r>
      <w:r>
        <w:rPr>
          <w:spacing w:val="-13"/>
        </w:rPr>
        <w:t> </w:t>
      </w:r>
      <w:r>
        <w:rPr/>
        <w:t>ја</w:t>
      </w:r>
      <w:r>
        <w:rPr>
          <w:spacing w:val="-13"/>
        </w:rPr>
        <w:t> </w:t>
      </w:r>
      <w:r>
        <w:rPr/>
        <w:t>применуваат</w:t>
      </w:r>
      <w:r>
        <w:rPr>
          <w:spacing w:val="-13"/>
        </w:rPr>
        <w:t> </w:t>
      </w:r>
      <w:r>
        <w:rPr/>
        <w:t>класификацијата</w:t>
      </w:r>
      <w:r>
        <w:rPr>
          <w:spacing w:val="-13"/>
        </w:rPr>
        <w:t> </w:t>
      </w:r>
      <w:r>
        <w:rPr/>
        <w:t>по</w:t>
      </w:r>
      <w:r>
        <w:rPr>
          <w:spacing w:val="-13"/>
        </w:rPr>
        <w:t> </w:t>
      </w:r>
      <w:r>
        <w:rPr/>
        <w:t>Робсон (10 групи) како најдобра и најлесна за апликација </w:t>
      </w:r>
      <w:r>
        <w:rPr>
          <w:spacing w:val="-2"/>
        </w:rPr>
        <w:t>интернационално.</w:t>
      </w:r>
    </w:p>
    <w:p>
      <w:pPr>
        <w:pStyle w:val="BodyText"/>
        <w:ind w:left="238" w:right="290"/>
        <w:jc w:val="both"/>
      </w:pPr>
      <w:r>
        <w:rPr>
          <w:b/>
        </w:rPr>
        <w:t>Цел. </w:t>
      </w:r>
      <w:r>
        <w:rPr/>
        <w:t>Да се презентира Робсоновата класификација како начин преку</w:t>
      </w:r>
      <w:r>
        <w:rPr>
          <w:spacing w:val="-2"/>
        </w:rPr>
        <w:t> </w:t>
      </w:r>
      <w:r>
        <w:rPr/>
        <w:t>кој подобро ќе може да ги класи- фицираме царските резови и со тоа да се намали бројката на непотребни царски резови.</w:t>
      </w:r>
    </w:p>
    <w:p>
      <w:pPr>
        <w:pStyle w:val="BodyText"/>
        <w:spacing w:before="2"/>
        <w:ind w:left="238" w:right="287"/>
      </w:pPr>
      <w:r>
        <w:rPr>
          <w:b/>
        </w:rPr>
        <w:t>Методи.</w:t>
      </w:r>
      <w:r>
        <w:rPr>
          <w:b/>
          <w:spacing w:val="40"/>
        </w:rPr>
        <w:t> </w:t>
      </w:r>
      <w:r>
        <w:rPr/>
        <w:t>Студијата</w:t>
      </w:r>
      <w:r>
        <w:rPr>
          <w:spacing w:val="40"/>
        </w:rPr>
        <w:t> </w:t>
      </w:r>
      <w:r>
        <w:rPr/>
        <w:t>беше</w:t>
      </w:r>
      <w:r>
        <w:rPr>
          <w:spacing w:val="40"/>
        </w:rPr>
        <w:t> </w:t>
      </w:r>
      <w:r>
        <w:rPr/>
        <w:t>изведена</w:t>
      </w:r>
      <w:r>
        <w:rPr>
          <w:spacing w:val="40"/>
        </w:rPr>
        <w:t> </w:t>
      </w:r>
      <w:r>
        <w:rPr/>
        <w:t>на</w:t>
      </w:r>
      <w:r>
        <w:rPr>
          <w:spacing w:val="40"/>
        </w:rPr>
        <w:t> </w:t>
      </w:r>
      <w:r>
        <w:rPr/>
        <w:t>Универзи- тетската</w:t>
      </w:r>
      <w:r>
        <w:rPr>
          <w:spacing w:val="40"/>
        </w:rPr>
        <w:t> </w:t>
      </w:r>
      <w:r>
        <w:rPr/>
        <w:t>Клиника</w:t>
      </w:r>
      <w:r>
        <w:rPr>
          <w:spacing w:val="40"/>
        </w:rPr>
        <w:t> </w:t>
      </w:r>
      <w:r>
        <w:rPr/>
        <w:t>за</w:t>
      </w:r>
      <w:r>
        <w:rPr>
          <w:spacing w:val="40"/>
        </w:rPr>
        <w:t> </w:t>
      </w:r>
      <w:r>
        <w:rPr/>
        <w:t>Гинекологија</w:t>
      </w:r>
      <w:r>
        <w:rPr>
          <w:spacing w:val="40"/>
        </w:rPr>
        <w:t> </w:t>
      </w:r>
      <w:r>
        <w:rPr/>
        <w:t>и</w:t>
      </w:r>
      <w:r>
        <w:rPr>
          <w:spacing w:val="40"/>
        </w:rPr>
        <w:t> </w:t>
      </w:r>
      <w:r>
        <w:rPr/>
        <w:t>Акушерство </w:t>
      </w:r>
      <w:r>
        <w:rPr>
          <w:spacing w:val="-2"/>
        </w:rPr>
        <w:t>во Скопје, Северна Македонија. Претставува ретро- </w:t>
      </w:r>
      <w:r>
        <w:rPr/>
        <w:t>спективна студија каде две години беа споредени. </w:t>
      </w:r>
      <w:r>
        <w:rPr>
          <w:b/>
        </w:rPr>
        <w:t>Резултати. </w:t>
      </w:r>
      <w:r>
        <w:rPr/>
        <w:t>Стапката на царски рез за 2017 година изнесува 38,5% а за 2019 година 42,6%. Категори- зација на породувањата по Робсон покажа различ- ни стапки на царски рез во секоја подгрупа.</w:t>
      </w:r>
    </w:p>
    <w:p>
      <w:pPr>
        <w:pStyle w:val="BodyText"/>
        <w:ind w:left="238" w:right="290"/>
        <w:jc w:val="both"/>
      </w:pPr>
      <w:r>
        <w:rPr>
          <w:b/>
        </w:rPr>
        <w:t>Дискусија.</w:t>
      </w:r>
      <w:r>
        <w:rPr>
          <w:b/>
          <w:spacing w:val="-4"/>
        </w:rPr>
        <w:t> </w:t>
      </w:r>
      <w:r>
        <w:rPr/>
        <w:t>Имплементацијата</w:t>
      </w:r>
      <w:r>
        <w:rPr>
          <w:spacing w:val="-2"/>
        </w:rPr>
        <w:t> </w:t>
      </w:r>
      <w:r>
        <w:rPr/>
        <w:t>на</w:t>
      </w:r>
      <w:r>
        <w:rPr>
          <w:spacing w:val="-2"/>
        </w:rPr>
        <w:t> </w:t>
      </w:r>
      <w:r>
        <w:rPr/>
        <w:t>Робсоновата</w:t>
      </w:r>
      <w:r>
        <w:rPr>
          <w:spacing w:val="-2"/>
        </w:rPr>
        <w:t> </w:t>
      </w:r>
      <w:r>
        <w:rPr/>
        <w:t>кла- сификација во повеќе земји покажа редукција во стапката на царски резови како и редукција во сев- купниот мајчин и неонатален морбидитет и морта- литет. За време на анализата на студијата најдовме дека најголем стапка на царски резови во 2017 и 2019 имавме во групата 5, тоест во групата на па- циентки</w:t>
      </w:r>
      <w:r>
        <w:rPr>
          <w:spacing w:val="-1"/>
        </w:rPr>
        <w:t> </w:t>
      </w:r>
      <w:r>
        <w:rPr/>
        <w:t>со претходни</w:t>
      </w:r>
      <w:r>
        <w:rPr>
          <w:spacing w:val="1"/>
        </w:rPr>
        <w:t> </w:t>
      </w:r>
      <w:r>
        <w:rPr/>
        <w:t>царски</w:t>
      </w:r>
      <w:r>
        <w:rPr>
          <w:spacing w:val="1"/>
        </w:rPr>
        <w:t> </w:t>
      </w:r>
      <w:r>
        <w:rPr/>
        <w:t>резови,</w:t>
      </w:r>
      <w:r>
        <w:rPr>
          <w:spacing w:val="1"/>
        </w:rPr>
        <w:t> </w:t>
      </w:r>
      <w:r>
        <w:rPr/>
        <w:t>потоа</w:t>
      </w:r>
      <w:r>
        <w:rPr>
          <w:spacing w:val="-2"/>
        </w:rPr>
        <w:t> </w:t>
      </w:r>
      <w:r>
        <w:rPr/>
        <w:t>во</w:t>
      </w:r>
      <w:r>
        <w:rPr>
          <w:spacing w:val="1"/>
        </w:rPr>
        <w:t> </w:t>
      </w:r>
      <w:r>
        <w:rPr>
          <w:spacing w:val="-4"/>
        </w:rPr>
        <w:t>гру-</w:t>
      </w:r>
    </w:p>
    <w:p>
      <w:pPr>
        <w:spacing w:after="0"/>
        <w:jc w:val="both"/>
        <w:sectPr>
          <w:type w:val="continuous"/>
          <w:pgSz w:w="11910" w:h="16840"/>
          <w:pgMar w:header="859" w:footer="0" w:top="740" w:bottom="0" w:left="900" w:right="840"/>
          <w:cols w:num="2" w:equalWidth="0">
            <w:col w:w="4920" w:space="78"/>
            <w:col w:w="5172"/>
          </w:cols>
        </w:sectPr>
      </w:pPr>
    </w:p>
    <w:p>
      <w:pPr>
        <w:pStyle w:val="BodyText"/>
        <w:spacing w:before="5"/>
        <w:rPr>
          <w:sz w:val="15"/>
        </w:rPr>
      </w:pPr>
    </w:p>
    <w:p>
      <w:pPr>
        <w:spacing w:after="0"/>
        <w:rPr>
          <w:sz w:val="15"/>
        </w:rPr>
        <w:sectPr>
          <w:pgSz w:w="11910" w:h="16840"/>
          <w:pgMar w:header="859" w:footer="0" w:top="1300" w:bottom="280" w:left="900" w:right="840"/>
        </w:sectPr>
      </w:pPr>
    </w:p>
    <w:p>
      <w:pPr>
        <w:pStyle w:val="BodyText"/>
        <w:spacing w:before="92"/>
        <w:ind w:left="238" w:right="38"/>
        <w:jc w:val="both"/>
      </w:pPr>
      <w:r>
        <w:rPr/>
        <w:t>па 1 кај прворотки со спонтан почеток на раѓањето и во групата 2 кај трудници каде раѓањето беше </w:t>
      </w:r>
      <w:r>
        <w:rPr>
          <w:spacing w:val="-2"/>
        </w:rPr>
        <w:t>индуцирано.</w:t>
      </w:r>
    </w:p>
    <w:p>
      <w:pPr>
        <w:pStyle w:val="BodyText"/>
        <w:spacing w:before="1"/>
        <w:ind w:left="238" w:right="39"/>
        <w:jc w:val="both"/>
      </w:pPr>
      <w:r>
        <w:rPr>
          <w:b/>
        </w:rPr>
        <w:t>Заклучок. </w:t>
      </w:r>
      <w:r>
        <w:rPr/>
        <w:t>Целата на</w:t>
      </w:r>
      <w:r>
        <w:rPr>
          <w:spacing w:val="-1"/>
        </w:rPr>
        <w:t> </w:t>
      </w:r>
      <w:r>
        <w:rPr/>
        <w:t>Робсоновата класификација е да ги идентификува целните групи кои најмногу допринесуваат за стапката на царски рез и да се делува на тие групи преку соодветна едукација и тренинг со цел намалување на стапката на царски рез. Редукцијата на стапката на царски рез ќе доп- ринесе во намалување на престојот во болница и</w:t>
      </w:r>
      <w:r>
        <w:rPr>
          <w:spacing w:val="80"/>
        </w:rPr>
        <w:t> </w:t>
      </w:r>
      <w:r>
        <w:rPr/>
        <w:t>да се намали цената на секое породување.</w:t>
      </w:r>
    </w:p>
    <w:p>
      <w:pPr>
        <w:pStyle w:val="BodyText"/>
        <w:spacing w:before="10"/>
        <w:rPr>
          <w:sz w:val="20"/>
        </w:rPr>
      </w:pPr>
    </w:p>
    <w:p>
      <w:pPr>
        <w:spacing w:before="0"/>
        <w:ind w:left="238" w:right="0" w:firstLine="0"/>
        <w:jc w:val="both"/>
        <w:rPr>
          <w:sz w:val="21"/>
        </w:rPr>
      </w:pPr>
      <w:r>
        <w:rPr>
          <w:b/>
          <w:spacing w:val="-6"/>
          <w:sz w:val="21"/>
        </w:rPr>
        <w:t>Клучни</w:t>
      </w:r>
      <w:r>
        <w:rPr>
          <w:b/>
          <w:spacing w:val="-1"/>
          <w:sz w:val="21"/>
        </w:rPr>
        <w:t> </w:t>
      </w:r>
      <w:r>
        <w:rPr>
          <w:b/>
          <w:spacing w:val="-6"/>
          <w:sz w:val="21"/>
        </w:rPr>
        <w:t>зборови:</w:t>
      </w:r>
      <w:r>
        <w:rPr>
          <w:b/>
          <w:sz w:val="21"/>
        </w:rPr>
        <w:t> </w:t>
      </w:r>
      <w:r>
        <w:rPr>
          <w:spacing w:val="-6"/>
          <w:sz w:val="21"/>
        </w:rPr>
        <w:t>царски</w:t>
      </w:r>
      <w:r>
        <w:rPr>
          <w:sz w:val="21"/>
        </w:rPr>
        <w:t> </w:t>
      </w:r>
      <w:r>
        <w:rPr>
          <w:spacing w:val="-6"/>
          <w:sz w:val="21"/>
        </w:rPr>
        <w:t>рез,</w:t>
      </w:r>
      <w:r>
        <w:rPr>
          <w:spacing w:val="1"/>
          <w:sz w:val="21"/>
        </w:rPr>
        <w:t> </w:t>
      </w:r>
      <w:r>
        <w:rPr>
          <w:spacing w:val="-6"/>
          <w:sz w:val="21"/>
        </w:rPr>
        <w:t>групи,</w:t>
      </w:r>
      <w:r>
        <w:rPr>
          <w:spacing w:val="1"/>
          <w:sz w:val="21"/>
        </w:rPr>
        <w:t> </w:t>
      </w:r>
      <w:r>
        <w:rPr>
          <w:spacing w:val="-6"/>
          <w:sz w:val="21"/>
        </w:rPr>
        <w:t>класификација</w:t>
      </w:r>
    </w:p>
    <w:p>
      <w:pPr>
        <w:pStyle w:val="BodyText"/>
        <w:spacing w:before="8"/>
        <w:rPr>
          <w:sz w:val="18"/>
        </w:rPr>
      </w:pPr>
      <w:r>
        <w:rPr/>
        <w:pict>
          <v:shape style="position:absolute;margin-left:56.903999pt;margin-top:11.948789pt;width:225.9pt;height:.1pt;mso-position-horizontal-relative:page;mso-position-vertical-relative:paragraph;z-index:-15714816;mso-wrap-distance-left:0;mso-wrap-distance-right:0" id="docshape508" coordorigin="1138,239" coordsize="4518,0" path="m1138,239l5656,239e" filled="false" stroked="true" strokeweight=".4224pt" strokecolor="#000000">
            <v:path arrowok="t"/>
            <v:stroke dashstyle="solid"/>
            <w10:wrap type="topAndBottom"/>
          </v:shape>
        </w:pict>
      </w:r>
    </w:p>
    <w:p>
      <w:pPr>
        <w:pStyle w:val="BodyText"/>
        <w:spacing w:before="4"/>
      </w:pPr>
    </w:p>
    <w:p>
      <w:pPr>
        <w:pStyle w:val="Heading4"/>
      </w:pPr>
      <w:r>
        <w:rPr>
          <w:spacing w:val="-2"/>
        </w:rPr>
        <w:t>Introduction</w:t>
      </w:r>
    </w:p>
    <w:p>
      <w:pPr>
        <w:pStyle w:val="BodyText"/>
        <w:spacing w:before="6"/>
        <w:rPr>
          <w:b/>
          <w:sz w:val="20"/>
        </w:rPr>
      </w:pPr>
    </w:p>
    <w:p>
      <w:pPr>
        <w:pStyle w:val="BodyText"/>
        <w:ind w:left="238" w:right="38"/>
        <w:jc w:val="both"/>
      </w:pPr>
      <w:r>
        <w:rPr/>
        <w:t>Cesarean section rates continue to increase worldwide while the reasons appear to be multiple, complex and, in many cases, country-specific. Over the last few de- cades,</w:t>
      </w:r>
      <w:r>
        <w:rPr>
          <w:spacing w:val="-4"/>
        </w:rPr>
        <w:t> </w:t>
      </w:r>
      <w:r>
        <w:rPr/>
        <w:t>the</w:t>
      </w:r>
      <w:r>
        <w:rPr>
          <w:spacing w:val="-4"/>
        </w:rPr>
        <w:t> </w:t>
      </w:r>
      <w:r>
        <w:rPr/>
        <w:t>global</w:t>
      </w:r>
      <w:r>
        <w:rPr>
          <w:spacing w:val="-5"/>
        </w:rPr>
        <w:t> </w:t>
      </w:r>
      <w:r>
        <w:rPr/>
        <w:t>cesarean</w:t>
      </w:r>
      <w:r>
        <w:rPr>
          <w:spacing w:val="-4"/>
        </w:rPr>
        <w:t> </w:t>
      </w:r>
      <w:r>
        <w:rPr/>
        <w:t>section</w:t>
      </w:r>
      <w:r>
        <w:rPr>
          <w:spacing w:val="-4"/>
        </w:rPr>
        <w:t> </w:t>
      </w:r>
      <w:r>
        <w:rPr/>
        <w:t>rate</w:t>
      </w:r>
      <w:r>
        <w:rPr>
          <w:spacing w:val="-4"/>
        </w:rPr>
        <w:t> </w:t>
      </w:r>
      <w:r>
        <w:rPr/>
        <w:t>has</w:t>
      </w:r>
      <w:r>
        <w:rPr>
          <w:spacing w:val="-5"/>
        </w:rPr>
        <w:t> </w:t>
      </w:r>
      <w:r>
        <w:rPr/>
        <w:t>significantly increased and reached an unprecedented level [1].</w:t>
      </w:r>
      <w:r>
        <w:rPr>
          <w:spacing w:val="-8"/>
        </w:rPr>
        <w:t> </w:t>
      </w:r>
      <w:r>
        <w:rPr/>
        <w:t>The World Health Organization (WHO) has advised that cesarean section</w:t>
      </w:r>
      <w:r>
        <w:rPr>
          <w:spacing w:val="-1"/>
        </w:rPr>
        <w:t> </w:t>
      </w:r>
      <w:r>
        <w:rPr/>
        <w:t>(CS)</w:t>
      </w:r>
      <w:r>
        <w:rPr>
          <w:spacing w:val="-2"/>
        </w:rPr>
        <w:t> </w:t>
      </w:r>
      <w:r>
        <w:rPr/>
        <w:t>rates should not rise</w:t>
      </w:r>
      <w:r>
        <w:rPr>
          <w:spacing w:val="-2"/>
        </w:rPr>
        <w:t> </w:t>
      </w:r>
      <w:r>
        <w:rPr/>
        <w:t>above 15%. [1].</w:t>
      </w:r>
      <w:r>
        <w:rPr>
          <w:spacing w:val="-14"/>
        </w:rPr>
        <w:t> </w:t>
      </w:r>
      <w:r>
        <w:rPr/>
        <w:t>Some</w:t>
      </w:r>
      <w:r>
        <w:rPr>
          <w:spacing w:val="-6"/>
        </w:rPr>
        <w:t> </w:t>
      </w:r>
      <w:r>
        <w:rPr/>
        <w:t>evidence</w:t>
      </w:r>
      <w:r>
        <w:rPr>
          <w:spacing w:val="-3"/>
        </w:rPr>
        <w:t> </w:t>
      </w:r>
      <w:r>
        <w:rPr/>
        <w:t>suggests that</w:t>
      </w:r>
      <w:r>
        <w:rPr>
          <w:spacing w:val="-3"/>
        </w:rPr>
        <w:t> </w:t>
      </w:r>
      <w:r>
        <w:rPr/>
        <w:t>cesarean</w:t>
      </w:r>
      <w:r>
        <w:rPr>
          <w:spacing w:val="-2"/>
        </w:rPr>
        <w:t> </w:t>
      </w:r>
      <w:r>
        <w:rPr/>
        <w:t>section</w:t>
      </w:r>
      <w:r>
        <w:rPr>
          <w:spacing w:val="-2"/>
        </w:rPr>
        <w:t> </w:t>
      </w:r>
      <w:r>
        <w:rPr/>
        <w:t>rates above 15% do not improve the reduction of maternal and neonatal morbidity and morbidity [1]. Recently, cesarean sections have been performed without me- dical reasons or with imprecise indications such as ob- structed</w:t>
      </w:r>
      <w:r>
        <w:rPr>
          <w:spacing w:val="-3"/>
        </w:rPr>
        <w:t> </w:t>
      </w:r>
      <w:r>
        <w:rPr/>
        <w:t>labor,</w:t>
      </w:r>
      <w:r>
        <w:rPr>
          <w:spacing w:val="-3"/>
        </w:rPr>
        <w:t> </w:t>
      </w:r>
      <w:r>
        <w:rPr/>
        <w:t>with</w:t>
      </w:r>
      <w:r>
        <w:rPr>
          <w:spacing w:val="-3"/>
        </w:rPr>
        <w:t> </w:t>
      </w:r>
      <w:r>
        <w:rPr/>
        <w:t>intact</w:t>
      </w:r>
      <w:r>
        <w:rPr>
          <w:spacing w:val="-3"/>
        </w:rPr>
        <w:t> </w:t>
      </w:r>
      <w:r>
        <w:rPr/>
        <w:t>membranes.</w:t>
      </w:r>
      <w:r>
        <w:rPr>
          <w:spacing w:val="-3"/>
        </w:rPr>
        <w:t> </w:t>
      </w:r>
      <w:r>
        <w:rPr/>
        <w:t>Several</w:t>
      </w:r>
      <w:r>
        <w:rPr>
          <w:spacing w:val="-4"/>
        </w:rPr>
        <w:t> </w:t>
      </w:r>
      <w:r>
        <w:rPr/>
        <w:t>classifi- cation systems have been proposed to tackle the in- creased cesarean section epidemic. Most of the coun- tries</w:t>
      </w:r>
      <w:r>
        <w:rPr>
          <w:spacing w:val="31"/>
        </w:rPr>
        <w:t> </w:t>
      </w:r>
      <w:r>
        <w:rPr/>
        <w:t>have</w:t>
      </w:r>
      <w:r>
        <w:rPr>
          <w:spacing w:val="34"/>
        </w:rPr>
        <w:t> </w:t>
      </w:r>
      <w:r>
        <w:rPr/>
        <w:t>adopted</w:t>
      </w:r>
      <w:r>
        <w:rPr>
          <w:spacing w:val="33"/>
        </w:rPr>
        <w:t> </w:t>
      </w:r>
      <w:r>
        <w:rPr/>
        <w:t>and</w:t>
      </w:r>
      <w:r>
        <w:rPr>
          <w:spacing w:val="32"/>
        </w:rPr>
        <w:t> </w:t>
      </w:r>
      <w:r>
        <w:rPr/>
        <w:t>started</w:t>
      </w:r>
      <w:r>
        <w:rPr>
          <w:spacing w:val="33"/>
        </w:rPr>
        <w:t> </w:t>
      </w:r>
      <w:r>
        <w:rPr/>
        <w:t>using</w:t>
      </w:r>
      <w:r>
        <w:rPr>
          <w:spacing w:val="33"/>
        </w:rPr>
        <w:t> </w:t>
      </w:r>
      <w:r>
        <w:rPr/>
        <w:t>the</w:t>
      </w:r>
      <w:r>
        <w:rPr>
          <w:spacing w:val="32"/>
        </w:rPr>
        <w:t> </w:t>
      </w:r>
      <w:r>
        <w:rPr/>
        <w:t>Robson</w:t>
      </w:r>
      <w:r>
        <w:rPr>
          <w:spacing w:val="33"/>
        </w:rPr>
        <w:t> </w:t>
      </w:r>
      <w:r>
        <w:rPr>
          <w:spacing w:val="-5"/>
        </w:rPr>
        <w:t>(10</w:t>
      </w:r>
    </w:p>
    <w:p>
      <w:pPr>
        <w:pStyle w:val="BodyText"/>
        <w:spacing w:before="92"/>
        <w:ind w:left="238" w:right="291"/>
        <w:jc w:val="both"/>
      </w:pPr>
      <w:r>
        <w:rPr/>
        <w:br w:type="column"/>
      </w:r>
      <w:r>
        <w:rPr/>
        <w:t>groups)</w:t>
      </w:r>
      <w:r>
        <w:rPr>
          <w:spacing w:val="-2"/>
        </w:rPr>
        <w:t> </w:t>
      </w:r>
      <w:r>
        <w:rPr/>
        <w:t>classification</w:t>
      </w:r>
      <w:r>
        <w:rPr>
          <w:spacing w:val="-1"/>
        </w:rPr>
        <w:t> </w:t>
      </w:r>
      <w:r>
        <w:rPr/>
        <w:t>as</w:t>
      </w:r>
      <w:r>
        <w:rPr>
          <w:spacing w:val="-2"/>
        </w:rPr>
        <w:t> </w:t>
      </w:r>
      <w:r>
        <w:rPr/>
        <w:t>the</w:t>
      </w:r>
      <w:r>
        <w:rPr>
          <w:spacing w:val="-6"/>
        </w:rPr>
        <w:t> </w:t>
      </w:r>
      <w:r>
        <w:rPr/>
        <w:t>best</w:t>
      </w:r>
      <w:r>
        <w:rPr>
          <w:spacing w:val="-2"/>
        </w:rPr>
        <w:t> </w:t>
      </w:r>
      <w:r>
        <w:rPr/>
        <w:t>and</w:t>
      </w:r>
      <w:r>
        <w:rPr>
          <w:spacing w:val="-4"/>
        </w:rPr>
        <w:t> </w:t>
      </w:r>
      <w:r>
        <w:rPr/>
        <w:t>the</w:t>
      </w:r>
      <w:r>
        <w:rPr>
          <w:spacing w:val="-1"/>
        </w:rPr>
        <w:t> </w:t>
      </w:r>
      <w:r>
        <w:rPr/>
        <w:t>one</w:t>
      </w:r>
      <w:r>
        <w:rPr>
          <w:spacing w:val="-1"/>
        </w:rPr>
        <w:t> </w:t>
      </w:r>
      <w:r>
        <w:rPr/>
        <w:t>that</w:t>
      </w:r>
      <w:r>
        <w:rPr>
          <w:spacing w:val="-2"/>
        </w:rPr>
        <w:t> </w:t>
      </w:r>
      <w:r>
        <w:rPr/>
        <w:t>is</w:t>
      </w:r>
      <w:r>
        <w:rPr>
          <w:spacing w:val="-2"/>
        </w:rPr>
        <w:t> </w:t>
      </w:r>
      <w:r>
        <w:rPr/>
        <w:t>the easiest internationally applicable CS classification [1]. The Robson classification is currently endorsed by WHO, [2]</w:t>
      </w:r>
      <w:r>
        <w:rPr>
          <w:spacing w:val="-11"/>
        </w:rPr>
        <w:t> </w:t>
      </w:r>
      <w:r>
        <w:rPr/>
        <w:t>International Federation of Gynecology and Obstetrics, [2] and European Board and College of Obstetrics and Gynecology [3].</w:t>
      </w:r>
    </w:p>
    <w:p>
      <w:pPr>
        <w:pStyle w:val="BodyText"/>
        <w:spacing w:before="1"/>
        <w:ind w:left="238" w:right="290"/>
        <w:jc w:val="both"/>
      </w:pPr>
      <w:r>
        <w:rPr/>
        <w:t>The Robson classification criteria have so far been adopted and used in more than 50 countries. No large- scale studies about cesarean rates in North Macedonia have been done or published so far. The idea and aim of this study were to implement the 10-group classi- fication model and to reduce the number of cesarean sections and still to have a good maternal and neonatal </w:t>
      </w:r>
      <w:r>
        <w:rPr>
          <w:spacing w:val="-2"/>
        </w:rPr>
        <w:t>outcome.</w:t>
      </w:r>
      <w:r>
        <w:rPr>
          <w:spacing w:val="-9"/>
        </w:rPr>
        <w:t> </w:t>
      </w:r>
      <w:r>
        <w:rPr>
          <w:spacing w:val="-2"/>
        </w:rPr>
        <w:t>The</w:t>
      </w:r>
      <w:r>
        <w:rPr>
          <w:spacing w:val="-5"/>
        </w:rPr>
        <w:t> </w:t>
      </w:r>
      <w:r>
        <w:rPr>
          <w:spacing w:val="-2"/>
        </w:rPr>
        <w:t>ten</w:t>
      </w:r>
      <w:r>
        <w:rPr>
          <w:spacing w:val="-9"/>
        </w:rPr>
        <w:t> </w:t>
      </w:r>
      <w:r>
        <w:rPr>
          <w:spacing w:val="-2"/>
        </w:rPr>
        <w:t>Robson</w:t>
      </w:r>
      <w:r>
        <w:rPr>
          <w:spacing w:val="-9"/>
        </w:rPr>
        <w:t> </w:t>
      </w:r>
      <w:r>
        <w:rPr>
          <w:spacing w:val="-2"/>
        </w:rPr>
        <w:t>categories</w:t>
      </w:r>
      <w:r>
        <w:rPr>
          <w:spacing w:val="-7"/>
        </w:rPr>
        <w:t> </w:t>
      </w:r>
      <w:r>
        <w:rPr>
          <w:spacing w:val="-2"/>
        </w:rPr>
        <w:t>are</w:t>
      </w:r>
      <w:r>
        <w:rPr>
          <w:spacing w:val="-5"/>
        </w:rPr>
        <w:t> </w:t>
      </w:r>
      <w:r>
        <w:rPr>
          <w:spacing w:val="-2"/>
        </w:rPr>
        <w:t>mutually</w:t>
      </w:r>
      <w:r>
        <w:rPr>
          <w:spacing w:val="-10"/>
        </w:rPr>
        <w:t> </w:t>
      </w:r>
      <w:r>
        <w:rPr>
          <w:spacing w:val="-2"/>
        </w:rPr>
        <w:t>exclu- </w:t>
      </w:r>
      <w:r>
        <w:rPr/>
        <w:t>sive, totally inclusive and can be applied prospectively since each woman admitted for delivery can be classi- fied immediately based on a few variables that are ge- nerally routinely recorded. This system helps institu- tions specific monitoring and auditing and offers a standardized comparison method between institutions, countries and time point.</w:t>
      </w:r>
    </w:p>
    <w:p>
      <w:pPr>
        <w:pStyle w:val="BodyText"/>
        <w:spacing w:before="3"/>
      </w:pPr>
    </w:p>
    <w:p>
      <w:pPr>
        <w:pStyle w:val="Heading4"/>
        <w:jc w:val="both"/>
      </w:pPr>
      <w:r>
        <w:rPr/>
        <w:t>Materials</w:t>
      </w:r>
      <w:r>
        <w:rPr>
          <w:spacing w:val="-3"/>
        </w:rPr>
        <w:t> </w:t>
      </w:r>
      <w:r>
        <w:rPr/>
        <w:t>and</w:t>
      </w:r>
      <w:r>
        <w:rPr>
          <w:spacing w:val="-5"/>
        </w:rPr>
        <w:t> </w:t>
      </w:r>
      <w:r>
        <w:rPr>
          <w:spacing w:val="-2"/>
        </w:rPr>
        <w:t>methods</w:t>
      </w:r>
    </w:p>
    <w:p>
      <w:pPr>
        <w:pStyle w:val="BodyText"/>
        <w:spacing w:before="9"/>
        <w:rPr>
          <w:b/>
          <w:sz w:val="20"/>
        </w:rPr>
      </w:pPr>
    </w:p>
    <w:p>
      <w:pPr>
        <w:pStyle w:val="BodyText"/>
        <w:ind w:left="238" w:right="290"/>
        <w:jc w:val="both"/>
      </w:pPr>
      <w:r>
        <w:rPr/>
        <w:t>This study was realized at the University Clinic for Gynecology and Obstetrics in Skopje, North Macedo- nia. It is a retrospective study where two years were compared. Our institution has an average of 4000 deli- veries per year, which represents 20% of all live births in the country. It is the only tertiary center for early preterm delivery. Deliveries are categorized according to Robson criteria.</w:t>
      </w:r>
    </w:p>
    <w:p>
      <w:pPr>
        <w:spacing w:after="0"/>
        <w:jc w:val="both"/>
        <w:sectPr>
          <w:type w:val="continuous"/>
          <w:pgSz w:w="11910" w:h="16840"/>
          <w:pgMar w:header="854" w:footer="0" w:top="740" w:bottom="0" w:left="900" w:right="840"/>
          <w:cols w:num="2" w:equalWidth="0">
            <w:col w:w="4918" w:space="80"/>
            <w:col w:w="5172"/>
          </w:cols>
        </w:sectPr>
      </w:pPr>
    </w:p>
    <w:p>
      <w:pPr>
        <w:pStyle w:val="BodyText"/>
        <w:spacing w:before="3"/>
        <w:rPr>
          <w:sz w:val="13"/>
        </w:rPr>
      </w:pPr>
    </w:p>
    <w:p>
      <w:pPr>
        <w:spacing w:before="92" w:after="3"/>
        <w:ind w:left="1380" w:right="0" w:firstLine="0"/>
        <w:jc w:val="left"/>
        <w:rPr>
          <w:sz w:val="18"/>
        </w:rPr>
      </w:pPr>
      <w:r>
        <w:rPr>
          <w:b/>
          <w:sz w:val="18"/>
        </w:rPr>
        <w:t>Table</w:t>
      </w:r>
      <w:r>
        <w:rPr>
          <w:b/>
          <w:spacing w:val="-3"/>
          <w:sz w:val="18"/>
        </w:rPr>
        <w:t> </w:t>
      </w:r>
      <w:r>
        <w:rPr>
          <w:b/>
          <w:sz w:val="18"/>
        </w:rPr>
        <w:t>1.</w:t>
      </w:r>
      <w:r>
        <w:rPr>
          <w:b/>
          <w:spacing w:val="-1"/>
          <w:sz w:val="18"/>
        </w:rPr>
        <w:t> </w:t>
      </w:r>
      <w:r>
        <w:rPr>
          <w:sz w:val="18"/>
        </w:rPr>
        <w:t>Robson</w:t>
      </w:r>
      <w:r>
        <w:rPr>
          <w:spacing w:val="-1"/>
          <w:sz w:val="18"/>
        </w:rPr>
        <w:t> </w:t>
      </w:r>
      <w:r>
        <w:rPr>
          <w:spacing w:val="-2"/>
          <w:sz w:val="18"/>
        </w:rPr>
        <w:t>criteria</w:t>
      </w:r>
    </w:p>
    <w:p>
      <w:pPr>
        <w:pStyle w:val="BodyText"/>
        <w:ind w:left="1478"/>
        <w:rPr>
          <w:sz w:val="20"/>
        </w:rPr>
      </w:pPr>
      <w:r>
        <w:rPr>
          <w:sz w:val="20"/>
        </w:rPr>
        <w:drawing>
          <wp:inline distT="0" distB="0" distL="0" distR="0">
            <wp:extent cx="4574288" cy="2083117"/>
            <wp:effectExtent l="0" t="0" r="0" b="0"/>
            <wp:docPr id="9" name="image446.png"/>
            <wp:cNvGraphicFramePr>
              <a:graphicFrameLocks noChangeAspect="1"/>
            </wp:cNvGraphicFramePr>
            <a:graphic>
              <a:graphicData uri="http://schemas.openxmlformats.org/drawingml/2006/picture">
                <pic:pic>
                  <pic:nvPicPr>
                    <pic:cNvPr id="10" name="image446.png"/>
                    <pic:cNvPicPr/>
                  </pic:nvPicPr>
                  <pic:blipFill>
                    <a:blip r:embed="rId473" cstate="print"/>
                    <a:stretch>
                      <a:fillRect/>
                    </a:stretch>
                  </pic:blipFill>
                  <pic:spPr>
                    <a:xfrm>
                      <a:off x="0" y="0"/>
                      <a:ext cx="4574288" cy="2083117"/>
                    </a:xfrm>
                    <a:prstGeom prst="rect">
                      <a:avLst/>
                    </a:prstGeom>
                  </pic:spPr>
                </pic:pic>
              </a:graphicData>
            </a:graphic>
          </wp:inline>
        </w:drawing>
      </w:r>
      <w:r>
        <w:rPr>
          <w:sz w:val="20"/>
        </w:rPr>
      </w:r>
    </w:p>
    <w:p>
      <w:pPr>
        <w:pStyle w:val="BodyText"/>
        <w:spacing w:before="4"/>
        <w:rPr>
          <w:sz w:val="10"/>
        </w:rPr>
      </w:pPr>
    </w:p>
    <w:p>
      <w:pPr>
        <w:spacing w:after="0"/>
        <w:rPr>
          <w:sz w:val="10"/>
        </w:rPr>
        <w:sectPr>
          <w:type w:val="continuous"/>
          <w:pgSz w:w="11910" w:h="16840"/>
          <w:pgMar w:header="854" w:footer="0" w:top="740" w:bottom="0" w:left="900" w:right="840"/>
        </w:sectPr>
      </w:pPr>
    </w:p>
    <w:p>
      <w:pPr>
        <w:pStyle w:val="Heading4"/>
        <w:spacing w:before="97"/>
      </w:pPr>
      <w:r>
        <w:rPr>
          <w:spacing w:val="-2"/>
        </w:rPr>
        <w:t>Results</w:t>
      </w:r>
    </w:p>
    <w:p>
      <w:pPr>
        <w:pStyle w:val="BodyText"/>
        <w:spacing w:before="9"/>
        <w:rPr>
          <w:b/>
          <w:sz w:val="20"/>
        </w:rPr>
      </w:pPr>
    </w:p>
    <w:p>
      <w:pPr>
        <w:pStyle w:val="BodyText"/>
        <w:ind w:left="238" w:right="38"/>
        <w:jc w:val="both"/>
      </w:pPr>
      <w:r>
        <w:rPr/>
        <w:t>The total number of deliveries in 2017 was 4249, of which 1637 were cesarean sections and in 2019 there were 4103, of which</w:t>
      </w:r>
      <w:r>
        <w:rPr>
          <w:spacing w:val="-1"/>
        </w:rPr>
        <w:t> </w:t>
      </w:r>
      <w:r>
        <w:rPr/>
        <w:t>1747 were cesarean sections.</w:t>
      </w:r>
      <w:r>
        <w:rPr>
          <w:spacing w:val="-1"/>
        </w:rPr>
        <w:t> </w:t>
      </w:r>
      <w:r>
        <w:rPr/>
        <w:t>The rate of cesarean sections for 2017 was 38.5% and for 2019</w:t>
      </w:r>
      <w:r>
        <w:rPr>
          <w:spacing w:val="53"/>
        </w:rPr>
        <w:t> </w:t>
      </w:r>
      <w:r>
        <w:rPr/>
        <w:t>42.6%</w:t>
      </w:r>
      <w:r>
        <w:rPr>
          <w:spacing w:val="53"/>
        </w:rPr>
        <w:t> </w:t>
      </w:r>
      <w:r>
        <w:rPr/>
        <w:t>(Table</w:t>
      </w:r>
      <w:r>
        <w:rPr>
          <w:spacing w:val="56"/>
        </w:rPr>
        <w:t> </w:t>
      </w:r>
      <w:r>
        <w:rPr/>
        <w:t>2).</w:t>
      </w:r>
      <w:r>
        <w:rPr>
          <w:spacing w:val="54"/>
        </w:rPr>
        <w:t> </w:t>
      </w:r>
      <w:r>
        <w:rPr/>
        <w:t>Categorization</w:t>
      </w:r>
      <w:r>
        <w:rPr>
          <w:spacing w:val="56"/>
        </w:rPr>
        <w:t> </w:t>
      </w:r>
      <w:r>
        <w:rPr/>
        <w:t>of</w:t>
      </w:r>
      <w:r>
        <w:rPr>
          <w:spacing w:val="55"/>
        </w:rPr>
        <w:t> </w:t>
      </w:r>
      <w:r>
        <w:rPr>
          <w:spacing w:val="-2"/>
        </w:rPr>
        <w:t>deliveries</w:t>
      </w:r>
    </w:p>
    <w:p>
      <w:pPr>
        <w:pStyle w:val="BodyText"/>
        <w:spacing w:before="92"/>
        <w:ind w:left="238" w:right="291"/>
        <w:jc w:val="both"/>
      </w:pPr>
      <w:r>
        <w:rPr/>
        <w:br w:type="column"/>
      </w:r>
      <w:r>
        <w:rPr/>
        <w:t>according to</w:t>
      </w:r>
      <w:r>
        <w:rPr>
          <w:spacing w:val="-1"/>
        </w:rPr>
        <w:t> </w:t>
      </w:r>
      <w:r>
        <w:rPr/>
        <w:t>Robson</w:t>
      </w:r>
      <w:r>
        <w:rPr>
          <w:spacing w:val="-2"/>
        </w:rPr>
        <w:t> </w:t>
      </w:r>
      <w:r>
        <w:rPr/>
        <w:t>criteria showed a different rate of cesarean section for each subgroup. The fifth group contributed with the largest number of cesarean sec- tions for the two years, 2017</w:t>
      </w:r>
      <w:r>
        <w:rPr>
          <w:spacing w:val="-1"/>
        </w:rPr>
        <w:t> </w:t>
      </w:r>
      <w:r>
        <w:rPr/>
        <w:t>and</w:t>
      </w:r>
      <w:r>
        <w:rPr>
          <w:spacing w:val="-1"/>
        </w:rPr>
        <w:t> </w:t>
      </w:r>
      <w:r>
        <w:rPr/>
        <w:t>2019.</w:t>
      </w:r>
      <w:r>
        <w:rPr>
          <w:spacing w:val="-1"/>
        </w:rPr>
        <w:t> </w:t>
      </w:r>
      <w:r>
        <w:rPr/>
        <w:t>The</w:t>
      </w:r>
      <w:r>
        <w:rPr>
          <w:spacing w:val="-1"/>
        </w:rPr>
        <w:t> </w:t>
      </w:r>
      <w:r>
        <w:rPr/>
        <w:t>first group was</w:t>
      </w:r>
      <w:r>
        <w:rPr>
          <w:spacing w:val="-5"/>
        </w:rPr>
        <w:t> </w:t>
      </w:r>
      <w:r>
        <w:rPr/>
        <w:t>second</w:t>
      </w:r>
      <w:r>
        <w:rPr>
          <w:spacing w:val="-5"/>
        </w:rPr>
        <w:t> </w:t>
      </w:r>
      <w:r>
        <w:rPr/>
        <w:t>in</w:t>
      </w:r>
      <w:r>
        <w:rPr>
          <w:spacing w:val="-4"/>
        </w:rPr>
        <w:t> </w:t>
      </w:r>
      <w:r>
        <w:rPr/>
        <w:t>the</w:t>
      </w:r>
      <w:r>
        <w:rPr>
          <w:spacing w:val="-5"/>
        </w:rPr>
        <w:t> </w:t>
      </w:r>
      <w:r>
        <w:rPr/>
        <w:t>contribution</w:t>
      </w:r>
      <w:r>
        <w:rPr>
          <w:spacing w:val="-5"/>
        </w:rPr>
        <w:t> </w:t>
      </w:r>
      <w:r>
        <w:rPr/>
        <w:t>for</w:t>
      </w:r>
      <w:r>
        <w:rPr>
          <w:spacing w:val="-4"/>
        </w:rPr>
        <w:t> </w:t>
      </w:r>
      <w:r>
        <w:rPr/>
        <w:t>both</w:t>
      </w:r>
      <w:r>
        <w:rPr>
          <w:spacing w:val="-5"/>
        </w:rPr>
        <w:t> </w:t>
      </w:r>
      <w:r>
        <w:rPr/>
        <w:t>2017</w:t>
      </w:r>
      <w:r>
        <w:rPr>
          <w:spacing w:val="-5"/>
        </w:rPr>
        <w:t> </w:t>
      </w:r>
      <w:r>
        <w:rPr/>
        <w:t>and</w:t>
      </w:r>
      <w:r>
        <w:rPr>
          <w:spacing w:val="-5"/>
        </w:rPr>
        <w:t> </w:t>
      </w:r>
      <w:r>
        <w:rPr/>
        <w:t>2019. The third in contribution to the number of cesarean sections was the fifth group.</w:t>
      </w:r>
    </w:p>
    <w:p>
      <w:pPr>
        <w:spacing w:after="0"/>
        <w:jc w:val="both"/>
        <w:sectPr>
          <w:type w:val="continuous"/>
          <w:pgSz w:w="11910" w:h="16840"/>
          <w:pgMar w:header="854" w:footer="0" w:top="740" w:bottom="0" w:left="900" w:right="840"/>
          <w:cols w:num="2" w:equalWidth="0">
            <w:col w:w="4919" w:space="79"/>
            <w:col w:w="5172"/>
          </w:cols>
        </w:sectPr>
      </w:pPr>
    </w:p>
    <w:p>
      <w:pPr>
        <w:spacing w:line="179" w:lineRule="exact" w:before="0"/>
        <w:ind w:left="238" w:right="0" w:firstLine="0"/>
        <w:jc w:val="left"/>
        <w:rPr>
          <w:rFonts w:ascii="Arial"/>
          <w:sz w:val="16"/>
        </w:rPr>
      </w:pPr>
      <w:r>
        <w:rPr>
          <w:rFonts w:ascii="Arial"/>
          <w:color w:val="808080"/>
          <w:sz w:val="16"/>
        </w:rPr>
        <w:t>Kjaev</w:t>
      </w:r>
      <w:r>
        <w:rPr>
          <w:rFonts w:ascii="Arial"/>
          <w:color w:val="808080"/>
          <w:spacing w:val="-4"/>
          <w:sz w:val="16"/>
        </w:rPr>
        <w:t> </w:t>
      </w:r>
      <w:r>
        <w:rPr>
          <w:rFonts w:ascii="Arial"/>
          <w:color w:val="808080"/>
          <w:sz w:val="16"/>
        </w:rPr>
        <w:t>I.</w:t>
      </w:r>
      <w:r>
        <w:rPr>
          <w:rFonts w:ascii="Arial"/>
          <w:color w:val="808080"/>
          <w:spacing w:val="-1"/>
          <w:sz w:val="16"/>
        </w:rPr>
        <w:t> </w:t>
      </w:r>
      <w:r>
        <w:rPr>
          <w:rFonts w:ascii="Arial"/>
          <w:i/>
          <w:color w:val="808080"/>
          <w:sz w:val="16"/>
        </w:rPr>
        <w:t>et</w:t>
      </w:r>
      <w:r>
        <w:rPr>
          <w:rFonts w:ascii="Arial"/>
          <w:i/>
          <w:color w:val="808080"/>
          <w:spacing w:val="-2"/>
          <w:sz w:val="16"/>
        </w:rPr>
        <w:t> </w:t>
      </w:r>
      <w:r>
        <w:rPr>
          <w:rFonts w:ascii="Arial"/>
          <w:i/>
          <w:color w:val="808080"/>
          <w:spacing w:val="-5"/>
          <w:sz w:val="16"/>
        </w:rPr>
        <w:t>al</w:t>
      </w:r>
      <w:r>
        <w:rPr>
          <w:rFonts w:ascii="Arial"/>
          <w:color w:val="808080"/>
          <w:spacing w:val="-5"/>
          <w:sz w:val="16"/>
        </w:rPr>
        <w:t>.</w:t>
      </w:r>
    </w:p>
    <w:p>
      <w:pPr>
        <w:pStyle w:val="BodyText"/>
        <w:spacing w:before="10"/>
        <w:rPr>
          <w:rFonts w:ascii="Arial"/>
          <w:sz w:val="3"/>
        </w:rPr>
      </w:pPr>
      <w:r>
        <w:rPr/>
        <w:pict>
          <v:rect style="position:absolute;margin-left:55.439999pt;margin-top:3.464702pt;width:484.68pt;height:.48pt;mso-position-horizontal-relative:page;mso-position-vertical-relative:paragraph;z-index:-15714304;mso-wrap-distance-left:0;mso-wrap-distance-right:0" id="docshape513" filled="true" fillcolor="#000000" stroked="false">
            <v:fill type="solid"/>
            <w10:wrap type="topAndBottom"/>
          </v:rect>
        </w:pict>
      </w:r>
    </w:p>
    <w:p>
      <w:pPr>
        <w:pStyle w:val="BodyText"/>
        <w:spacing w:before="6"/>
        <w:rPr>
          <w:rFonts w:ascii="Arial"/>
          <w:sz w:val="15"/>
        </w:rPr>
      </w:pPr>
    </w:p>
    <w:p>
      <w:pPr>
        <w:spacing w:before="93"/>
        <w:ind w:left="238" w:right="0" w:firstLine="0"/>
        <w:jc w:val="left"/>
        <w:rPr>
          <w:sz w:val="18"/>
        </w:rPr>
      </w:pPr>
      <w:r>
        <w:rPr/>
        <w:pict>
          <v:rect style="position:absolute;margin-left:51.480003pt;margin-top:15.212328pt;width:491.520023pt;height:.48pt;mso-position-horizontal-relative:page;mso-position-vertical-relative:paragraph;z-index:15743488" id="docshape514" filled="true" fillcolor="#000000" stroked="false">
            <v:fill type="solid"/>
            <w10:wrap type="none"/>
          </v:rect>
        </w:pict>
      </w:r>
      <w:r>
        <w:rPr>
          <w:b/>
          <w:sz w:val="18"/>
        </w:rPr>
        <w:t>Табела</w:t>
      </w:r>
      <w:r>
        <w:rPr>
          <w:b/>
          <w:spacing w:val="-6"/>
          <w:sz w:val="18"/>
        </w:rPr>
        <w:t> </w:t>
      </w:r>
      <w:r>
        <w:rPr>
          <w:b/>
          <w:sz w:val="18"/>
        </w:rPr>
        <w:t>2. </w:t>
      </w:r>
      <w:r>
        <w:rPr>
          <w:sz w:val="18"/>
        </w:rPr>
        <w:t>Robson</w:t>
      </w:r>
      <w:r>
        <w:rPr>
          <w:spacing w:val="-1"/>
          <w:sz w:val="18"/>
        </w:rPr>
        <w:t> </w:t>
      </w:r>
      <w:r>
        <w:rPr>
          <w:sz w:val="18"/>
        </w:rPr>
        <w:t>classifications</w:t>
      </w:r>
      <w:r>
        <w:rPr>
          <w:spacing w:val="-4"/>
          <w:sz w:val="18"/>
        </w:rPr>
        <w:t> </w:t>
      </w:r>
      <w:r>
        <w:rPr>
          <w:sz w:val="18"/>
        </w:rPr>
        <w:t>of</w:t>
      </w:r>
      <w:r>
        <w:rPr>
          <w:spacing w:val="-3"/>
          <w:sz w:val="18"/>
        </w:rPr>
        <w:t> </w:t>
      </w:r>
      <w:r>
        <w:rPr>
          <w:sz w:val="18"/>
        </w:rPr>
        <w:t>cesarean</w:t>
      </w:r>
      <w:r>
        <w:rPr>
          <w:spacing w:val="-1"/>
          <w:sz w:val="18"/>
        </w:rPr>
        <w:t> </w:t>
      </w:r>
      <w:r>
        <w:rPr>
          <w:sz w:val="18"/>
        </w:rPr>
        <w:t>sections</w:t>
      </w:r>
      <w:r>
        <w:rPr>
          <w:spacing w:val="-2"/>
          <w:sz w:val="18"/>
        </w:rPr>
        <w:t> </w:t>
      </w:r>
      <w:r>
        <w:rPr>
          <w:sz w:val="18"/>
        </w:rPr>
        <w:t>deliveries</w:t>
      </w:r>
      <w:r>
        <w:rPr>
          <w:spacing w:val="-2"/>
          <w:sz w:val="18"/>
        </w:rPr>
        <w:t> </w:t>
      </w:r>
      <w:r>
        <w:rPr>
          <w:sz w:val="18"/>
        </w:rPr>
        <w:t>in</w:t>
      </w:r>
      <w:r>
        <w:rPr>
          <w:spacing w:val="-3"/>
          <w:sz w:val="18"/>
        </w:rPr>
        <w:t> </w:t>
      </w:r>
      <w:r>
        <w:rPr>
          <w:sz w:val="18"/>
        </w:rPr>
        <w:t>Republic</w:t>
      </w:r>
      <w:r>
        <w:rPr>
          <w:spacing w:val="-4"/>
          <w:sz w:val="18"/>
        </w:rPr>
        <w:t> </w:t>
      </w:r>
      <w:r>
        <w:rPr>
          <w:sz w:val="18"/>
        </w:rPr>
        <w:t>of</w:t>
      </w:r>
      <w:r>
        <w:rPr>
          <w:spacing w:val="-3"/>
          <w:sz w:val="18"/>
        </w:rPr>
        <w:t> </w:t>
      </w:r>
      <w:r>
        <w:rPr>
          <w:sz w:val="18"/>
        </w:rPr>
        <w:t>North</w:t>
      </w:r>
      <w:r>
        <w:rPr>
          <w:spacing w:val="-2"/>
          <w:sz w:val="18"/>
        </w:rPr>
        <w:t> Macedonia</w:t>
      </w:r>
    </w:p>
    <w:p>
      <w:pPr>
        <w:tabs>
          <w:tab w:pos="3838" w:val="left" w:leader="none"/>
          <w:tab w:pos="8160" w:val="right" w:leader="none"/>
        </w:tabs>
        <w:spacing w:before="16"/>
        <w:ind w:left="893" w:right="0" w:firstLine="0"/>
        <w:jc w:val="left"/>
        <w:rPr>
          <w:b/>
          <w:sz w:val="18"/>
        </w:rPr>
      </w:pPr>
      <w:r>
        <w:rPr>
          <w:b/>
          <w:spacing w:val="-4"/>
          <w:sz w:val="18"/>
        </w:rPr>
        <w:t>Year</w:t>
      </w:r>
      <w:r>
        <w:rPr>
          <w:b/>
          <w:sz w:val="18"/>
        </w:rPr>
        <w:tab/>
      </w:r>
      <w:r>
        <w:rPr>
          <w:b/>
          <w:spacing w:val="-4"/>
          <w:sz w:val="18"/>
        </w:rPr>
        <w:t>2017</w:t>
      </w:r>
      <w:r>
        <w:rPr>
          <w:b/>
          <w:sz w:val="18"/>
        </w:rPr>
        <w:tab/>
      </w:r>
      <w:r>
        <w:rPr>
          <w:b/>
          <w:spacing w:val="-4"/>
          <w:sz w:val="18"/>
        </w:rPr>
        <w:t>2019</w:t>
      </w:r>
    </w:p>
    <w:p>
      <w:pPr>
        <w:spacing w:after="0"/>
        <w:jc w:val="left"/>
        <w:rPr>
          <w:sz w:val="18"/>
        </w:rPr>
        <w:sectPr>
          <w:headerReference w:type="even" r:id="rId474"/>
          <w:headerReference w:type="default" r:id="rId475"/>
          <w:pgSz w:w="11910" w:h="16840"/>
          <w:pgMar w:header="855" w:footer="0" w:top="1020" w:bottom="280" w:left="900" w:right="840"/>
        </w:sectPr>
      </w:pPr>
    </w:p>
    <w:p>
      <w:pPr>
        <w:pStyle w:val="ListParagraph"/>
        <w:numPr>
          <w:ilvl w:val="0"/>
          <w:numId w:val="5"/>
        </w:numPr>
        <w:tabs>
          <w:tab w:pos="375" w:val="left" w:leader="none"/>
        </w:tabs>
        <w:spacing w:line="240" w:lineRule="auto" w:before="626" w:after="0"/>
        <w:ind w:left="374" w:right="0" w:hanging="137"/>
        <w:jc w:val="left"/>
        <w:rPr>
          <w:sz w:val="18"/>
        </w:rPr>
      </w:pPr>
      <w:r>
        <w:rPr>
          <w:sz w:val="18"/>
        </w:rPr>
        <w:t>Nulliparous</w:t>
      </w:r>
      <w:r>
        <w:rPr>
          <w:spacing w:val="-7"/>
          <w:sz w:val="18"/>
        </w:rPr>
        <w:t> </w:t>
      </w:r>
      <w:r>
        <w:rPr>
          <w:spacing w:val="-2"/>
          <w:sz w:val="18"/>
        </w:rPr>
        <w:t>single</w:t>
      </w:r>
    </w:p>
    <w:p>
      <w:pPr>
        <w:spacing w:line="206" w:lineRule="exact" w:before="0"/>
        <w:ind w:left="228" w:right="28" w:firstLine="0"/>
        <w:jc w:val="center"/>
        <w:rPr>
          <w:b/>
          <w:sz w:val="18"/>
        </w:rPr>
      </w:pPr>
      <w:r>
        <w:rPr/>
        <w:br w:type="column"/>
      </w:r>
      <w:r>
        <w:rPr>
          <w:b/>
          <w:spacing w:val="-4"/>
          <w:sz w:val="18"/>
        </w:rPr>
        <w:t>2019</w:t>
      </w:r>
    </w:p>
    <w:p>
      <w:pPr>
        <w:spacing w:line="206" w:lineRule="exact" w:before="0"/>
        <w:ind w:left="228" w:right="30" w:firstLine="0"/>
        <w:jc w:val="center"/>
        <w:rPr>
          <w:b/>
          <w:sz w:val="18"/>
        </w:rPr>
      </w:pPr>
      <w:r>
        <w:rPr>
          <w:b/>
          <w:spacing w:val="-2"/>
          <w:sz w:val="18"/>
        </w:rPr>
        <w:t>1637/4249</w:t>
      </w:r>
    </w:p>
    <w:p>
      <w:pPr>
        <w:spacing w:line="207" w:lineRule="exact" w:before="0"/>
        <w:ind w:left="228" w:right="27" w:firstLine="0"/>
        <w:jc w:val="center"/>
        <w:rPr>
          <w:b/>
          <w:sz w:val="18"/>
        </w:rPr>
      </w:pPr>
      <w:r>
        <w:rPr/>
        <w:pict>
          <v:shape style="position:absolute;margin-left:51.480003pt;margin-top:10.427747pt;width:491.55pt;height:.5pt;mso-position-horizontal-relative:page;mso-position-vertical-relative:paragraph;z-index:15744000" id="docshape515" coordorigin="1030,209" coordsize="9831,10" path="m4018,209l2948,209,2938,209,2938,209,1030,209,1030,218,2938,218,2938,218,2948,218,4018,218,4018,209xm5828,209l5819,209,4928,209,4919,209,4028,209,4019,209,4019,218,4028,218,4919,218,4928,218,5819,218,5828,218,5828,209xm8879,209l7989,209,7979,209,6909,209,6899,209,6899,209,5828,209,5828,218,6899,218,6899,218,6909,218,7979,218,7989,218,8879,218,8879,209xm8889,209l8880,209,8880,218,8889,218,8889,209xm9780,209l8889,209,8889,218,9780,218,9780,209xm9789,209l9780,209,9780,218,9789,218,9789,209xm10860,209l9789,209,9789,218,10860,218,10860,209xe" filled="true" fillcolor="#000000" stroked="false">
            <v:path arrowok="t"/>
            <v:fill type="solid"/>
            <w10:wrap type="none"/>
          </v:shape>
        </w:pict>
      </w:r>
      <w:r>
        <w:rPr>
          <w:b/>
          <w:sz w:val="18"/>
        </w:rPr>
        <w:t>C/S</w:t>
      </w:r>
      <w:r>
        <w:rPr>
          <w:b/>
          <w:spacing w:val="-2"/>
          <w:sz w:val="18"/>
        </w:rPr>
        <w:t> </w:t>
      </w:r>
      <w:r>
        <w:rPr>
          <w:b/>
          <w:spacing w:val="-10"/>
          <w:sz w:val="18"/>
        </w:rPr>
        <w:t>%</w:t>
      </w:r>
    </w:p>
    <w:p>
      <w:pPr>
        <w:spacing w:before="0"/>
        <w:ind w:left="238" w:right="38" w:firstLine="0"/>
        <w:jc w:val="center"/>
        <w:rPr>
          <w:b/>
          <w:sz w:val="18"/>
        </w:rPr>
      </w:pPr>
      <w:r>
        <w:rPr/>
        <w:br w:type="column"/>
      </w:r>
      <w:r>
        <w:rPr>
          <w:b/>
          <w:sz w:val="18"/>
        </w:rPr>
        <w:t>Size</w:t>
      </w:r>
      <w:r>
        <w:rPr>
          <w:b/>
          <w:spacing w:val="-12"/>
          <w:sz w:val="18"/>
        </w:rPr>
        <w:t> </w:t>
      </w:r>
      <w:r>
        <w:rPr>
          <w:b/>
          <w:sz w:val="18"/>
        </w:rPr>
        <w:t>of </w:t>
      </w:r>
      <w:r>
        <w:rPr>
          <w:b/>
          <w:spacing w:val="-2"/>
          <w:sz w:val="18"/>
        </w:rPr>
        <w:t>group</w:t>
      </w:r>
    </w:p>
    <w:p>
      <w:pPr>
        <w:spacing w:line="206" w:lineRule="exact" w:before="0"/>
        <w:ind w:left="195" w:right="0" w:firstLine="0"/>
        <w:jc w:val="center"/>
        <w:rPr>
          <w:b/>
          <w:sz w:val="18"/>
        </w:rPr>
      </w:pPr>
      <w:r>
        <w:rPr>
          <w:b/>
          <w:w w:val="96"/>
          <w:sz w:val="18"/>
        </w:rPr>
        <w:t>%</w:t>
      </w:r>
    </w:p>
    <w:p>
      <w:pPr>
        <w:spacing w:before="0"/>
        <w:ind w:left="238" w:right="38" w:hanging="2"/>
        <w:jc w:val="center"/>
        <w:rPr>
          <w:b/>
          <w:sz w:val="18"/>
        </w:rPr>
      </w:pPr>
      <w:r>
        <w:rPr/>
        <w:br w:type="column"/>
      </w:r>
      <w:r>
        <w:rPr>
          <w:b/>
          <w:sz w:val="18"/>
        </w:rPr>
        <w:t>C/S</w:t>
      </w:r>
      <w:r>
        <w:rPr>
          <w:b/>
          <w:spacing w:val="-12"/>
          <w:sz w:val="18"/>
        </w:rPr>
        <w:t> </w:t>
      </w:r>
      <w:r>
        <w:rPr>
          <w:b/>
          <w:sz w:val="18"/>
        </w:rPr>
        <w:t>rate in</w:t>
      </w:r>
      <w:r>
        <w:rPr>
          <w:b/>
          <w:spacing w:val="-3"/>
          <w:sz w:val="18"/>
        </w:rPr>
        <w:t> </w:t>
      </w:r>
      <w:r>
        <w:rPr>
          <w:b/>
          <w:spacing w:val="-2"/>
          <w:sz w:val="18"/>
        </w:rPr>
        <w:t>group</w:t>
      </w:r>
    </w:p>
    <w:p>
      <w:pPr>
        <w:spacing w:line="206" w:lineRule="exact" w:before="0"/>
        <w:ind w:left="198" w:right="0" w:firstLine="0"/>
        <w:jc w:val="center"/>
        <w:rPr>
          <w:b/>
          <w:sz w:val="18"/>
        </w:rPr>
      </w:pPr>
      <w:r>
        <w:rPr>
          <w:b/>
          <w:sz w:val="18"/>
        </w:rPr>
        <w:t>%</w:t>
      </w:r>
    </w:p>
    <w:p>
      <w:pPr>
        <w:spacing w:before="0"/>
        <w:ind w:left="271" w:right="38" w:hanging="34"/>
        <w:jc w:val="both"/>
        <w:rPr>
          <w:b/>
          <w:sz w:val="18"/>
        </w:rPr>
      </w:pPr>
      <w:r>
        <w:rPr/>
        <w:br w:type="column"/>
      </w:r>
      <w:r>
        <w:rPr>
          <w:b/>
          <w:sz w:val="18"/>
        </w:rPr>
        <w:t>Contr</w:t>
      </w:r>
      <w:r>
        <w:rPr>
          <w:b/>
          <w:spacing w:val="-12"/>
          <w:sz w:val="18"/>
        </w:rPr>
        <w:t> </w:t>
      </w:r>
      <w:r>
        <w:rPr>
          <w:b/>
          <w:sz w:val="18"/>
        </w:rPr>
        <w:t>of each</w:t>
      </w:r>
      <w:r>
        <w:rPr>
          <w:b/>
          <w:spacing w:val="-4"/>
          <w:sz w:val="18"/>
        </w:rPr>
        <w:t> </w:t>
      </w:r>
      <w:r>
        <w:rPr>
          <w:b/>
          <w:sz w:val="18"/>
        </w:rPr>
        <w:t>gp </w:t>
      </w:r>
      <w:r>
        <w:rPr>
          <w:b/>
          <w:spacing w:val="-4"/>
          <w:sz w:val="18"/>
        </w:rPr>
        <w:t>38.5%</w:t>
      </w:r>
    </w:p>
    <w:p>
      <w:pPr>
        <w:spacing w:line="206" w:lineRule="exact" w:before="0"/>
        <w:ind w:left="228" w:right="28" w:firstLine="0"/>
        <w:jc w:val="center"/>
        <w:rPr>
          <w:b/>
          <w:sz w:val="18"/>
        </w:rPr>
      </w:pPr>
      <w:r>
        <w:rPr/>
        <w:br w:type="column"/>
      </w:r>
      <w:r>
        <w:rPr>
          <w:b/>
          <w:spacing w:val="-4"/>
          <w:sz w:val="18"/>
        </w:rPr>
        <w:t>2019</w:t>
      </w:r>
    </w:p>
    <w:p>
      <w:pPr>
        <w:spacing w:line="206" w:lineRule="exact" w:before="0"/>
        <w:ind w:left="228" w:right="30" w:firstLine="0"/>
        <w:jc w:val="center"/>
        <w:rPr>
          <w:b/>
          <w:sz w:val="18"/>
        </w:rPr>
      </w:pPr>
      <w:r>
        <w:rPr>
          <w:b/>
          <w:spacing w:val="-2"/>
          <w:sz w:val="18"/>
        </w:rPr>
        <w:t>1747/4103</w:t>
      </w:r>
    </w:p>
    <w:p>
      <w:pPr>
        <w:spacing w:line="207" w:lineRule="exact" w:before="0"/>
        <w:ind w:left="228" w:right="27" w:firstLine="0"/>
        <w:jc w:val="center"/>
        <w:rPr>
          <w:b/>
          <w:sz w:val="18"/>
        </w:rPr>
      </w:pPr>
      <w:r>
        <w:rPr>
          <w:b/>
          <w:sz w:val="18"/>
        </w:rPr>
        <w:t>C/S</w:t>
      </w:r>
      <w:r>
        <w:rPr>
          <w:b/>
          <w:spacing w:val="-2"/>
          <w:sz w:val="18"/>
        </w:rPr>
        <w:t> </w:t>
      </w:r>
      <w:r>
        <w:rPr>
          <w:b/>
          <w:spacing w:val="-10"/>
          <w:sz w:val="18"/>
        </w:rPr>
        <w:t>%</w:t>
      </w:r>
    </w:p>
    <w:p>
      <w:pPr>
        <w:spacing w:before="0"/>
        <w:ind w:left="238" w:right="38" w:firstLine="0"/>
        <w:jc w:val="center"/>
        <w:rPr>
          <w:b/>
          <w:sz w:val="18"/>
        </w:rPr>
      </w:pPr>
      <w:r>
        <w:rPr/>
        <w:br w:type="column"/>
      </w:r>
      <w:r>
        <w:rPr>
          <w:b/>
          <w:sz w:val="18"/>
        </w:rPr>
        <w:t>Size</w:t>
      </w:r>
      <w:r>
        <w:rPr>
          <w:b/>
          <w:spacing w:val="-12"/>
          <w:sz w:val="18"/>
        </w:rPr>
        <w:t> </w:t>
      </w:r>
      <w:r>
        <w:rPr>
          <w:b/>
          <w:sz w:val="18"/>
        </w:rPr>
        <w:t>of </w:t>
      </w:r>
      <w:r>
        <w:rPr>
          <w:b/>
          <w:spacing w:val="-2"/>
          <w:sz w:val="18"/>
        </w:rPr>
        <w:t>group</w:t>
      </w:r>
    </w:p>
    <w:p>
      <w:pPr>
        <w:spacing w:line="206" w:lineRule="exact" w:before="0"/>
        <w:ind w:left="196" w:right="0" w:firstLine="0"/>
        <w:jc w:val="center"/>
        <w:rPr>
          <w:b/>
          <w:sz w:val="18"/>
        </w:rPr>
      </w:pPr>
      <w:r>
        <w:rPr>
          <w:b/>
          <w:w w:val="96"/>
          <w:sz w:val="18"/>
        </w:rPr>
        <w:t>%</w:t>
      </w:r>
    </w:p>
    <w:p>
      <w:pPr>
        <w:spacing w:before="0"/>
        <w:ind w:left="238" w:right="0" w:hanging="2"/>
        <w:jc w:val="center"/>
        <w:rPr>
          <w:b/>
          <w:sz w:val="18"/>
        </w:rPr>
      </w:pPr>
      <w:r>
        <w:rPr/>
        <w:br w:type="column"/>
      </w:r>
      <w:r>
        <w:rPr>
          <w:b/>
          <w:sz w:val="18"/>
        </w:rPr>
        <w:t>C/S</w:t>
      </w:r>
      <w:r>
        <w:rPr>
          <w:b/>
          <w:spacing w:val="-12"/>
          <w:sz w:val="18"/>
        </w:rPr>
        <w:t> </w:t>
      </w:r>
      <w:r>
        <w:rPr>
          <w:b/>
          <w:sz w:val="18"/>
        </w:rPr>
        <w:t>rate in</w:t>
      </w:r>
      <w:r>
        <w:rPr>
          <w:b/>
          <w:spacing w:val="-3"/>
          <w:sz w:val="18"/>
        </w:rPr>
        <w:t> </w:t>
      </w:r>
      <w:r>
        <w:rPr>
          <w:b/>
          <w:spacing w:val="-2"/>
          <w:sz w:val="18"/>
        </w:rPr>
        <w:t>group</w:t>
      </w:r>
    </w:p>
    <w:p>
      <w:pPr>
        <w:spacing w:line="206" w:lineRule="exact" w:before="0"/>
        <w:ind w:left="239" w:right="0" w:firstLine="0"/>
        <w:jc w:val="center"/>
        <w:rPr>
          <w:b/>
          <w:sz w:val="18"/>
        </w:rPr>
      </w:pPr>
      <w:r>
        <w:rPr>
          <w:b/>
          <w:sz w:val="18"/>
        </w:rPr>
        <w:t>%</w:t>
      </w:r>
    </w:p>
    <w:p>
      <w:pPr>
        <w:spacing w:before="0"/>
        <w:ind w:left="238" w:right="382" w:firstLine="0"/>
        <w:jc w:val="center"/>
        <w:rPr>
          <w:b/>
          <w:sz w:val="18"/>
        </w:rPr>
      </w:pPr>
      <w:r>
        <w:rPr/>
        <w:br w:type="column"/>
      </w:r>
      <w:r>
        <w:rPr>
          <w:b/>
          <w:sz w:val="18"/>
        </w:rPr>
        <w:t>Contre</w:t>
      </w:r>
      <w:r>
        <w:rPr>
          <w:b/>
          <w:spacing w:val="-12"/>
          <w:sz w:val="18"/>
        </w:rPr>
        <w:t> </w:t>
      </w:r>
      <w:r>
        <w:rPr>
          <w:b/>
          <w:sz w:val="18"/>
        </w:rPr>
        <w:t>of each gp </w:t>
      </w:r>
      <w:r>
        <w:rPr>
          <w:b/>
          <w:spacing w:val="-2"/>
          <w:sz w:val="18"/>
        </w:rPr>
        <w:t>42.6%</w:t>
      </w:r>
    </w:p>
    <w:p>
      <w:pPr>
        <w:spacing w:after="0"/>
        <w:jc w:val="center"/>
        <w:rPr>
          <w:sz w:val="18"/>
        </w:rPr>
        <w:sectPr>
          <w:type w:val="continuous"/>
          <w:pgSz w:w="11910" w:h="16840"/>
          <w:pgMar w:header="835" w:footer="0" w:top="740" w:bottom="0" w:left="900" w:right="840"/>
          <w:cols w:num="9" w:equalWidth="0">
            <w:col w:w="1740" w:space="214"/>
            <w:col w:w="1050" w:space="74"/>
            <w:col w:w="782" w:space="43"/>
            <w:col w:w="933" w:space="58"/>
            <w:col w:w="931" w:space="90"/>
            <w:col w:w="1050" w:space="73"/>
            <w:col w:w="782" w:space="44"/>
            <w:col w:w="893" w:space="58"/>
            <w:col w:w="1355"/>
          </w:cols>
        </w:sectPr>
      </w:pPr>
    </w:p>
    <w:p>
      <w:pPr>
        <w:spacing w:before="0"/>
        <w:ind w:left="238" w:right="0" w:firstLine="0"/>
        <w:jc w:val="left"/>
        <w:rPr>
          <w:sz w:val="18"/>
        </w:rPr>
      </w:pPr>
      <w:r>
        <w:rPr>
          <w:sz w:val="18"/>
        </w:rPr>
        <w:t>cephalic</w:t>
      </w:r>
      <w:r>
        <w:rPr>
          <w:spacing w:val="-12"/>
          <w:sz w:val="18"/>
        </w:rPr>
        <w:t> </w:t>
      </w:r>
      <w:r>
        <w:rPr>
          <w:sz w:val="18"/>
        </w:rPr>
        <w:t>&gt;=37</w:t>
      </w:r>
      <w:r>
        <w:rPr>
          <w:spacing w:val="-11"/>
          <w:sz w:val="18"/>
        </w:rPr>
        <w:t> </w:t>
      </w:r>
      <w:r>
        <w:rPr>
          <w:sz w:val="18"/>
        </w:rPr>
        <w:t>weeks sponeus labour</w:t>
      </w:r>
    </w:p>
    <w:p>
      <w:pPr>
        <w:pStyle w:val="ListParagraph"/>
        <w:numPr>
          <w:ilvl w:val="0"/>
          <w:numId w:val="5"/>
        </w:numPr>
        <w:tabs>
          <w:tab w:pos="375" w:val="left" w:leader="none"/>
        </w:tabs>
        <w:spacing w:line="240" w:lineRule="auto" w:before="0" w:after="0"/>
        <w:ind w:left="238" w:right="159" w:firstLine="0"/>
        <w:jc w:val="left"/>
        <w:rPr>
          <w:sz w:val="18"/>
        </w:rPr>
      </w:pPr>
      <w:r>
        <w:rPr>
          <w:sz w:val="18"/>
        </w:rPr>
        <w:t>Nulliparous</w:t>
      </w:r>
      <w:r>
        <w:rPr>
          <w:spacing w:val="-12"/>
          <w:sz w:val="18"/>
        </w:rPr>
        <w:t> </w:t>
      </w:r>
      <w:r>
        <w:rPr>
          <w:sz w:val="18"/>
        </w:rPr>
        <w:t>single </w:t>
      </w:r>
      <w:r>
        <w:rPr>
          <w:spacing w:val="-2"/>
          <w:sz w:val="18"/>
        </w:rPr>
        <w:t>cephalic</w:t>
      </w:r>
      <w:r>
        <w:rPr>
          <w:spacing w:val="-10"/>
          <w:sz w:val="18"/>
        </w:rPr>
        <w:t> </w:t>
      </w:r>
      <w:r>
        <w:rPr>
          <w:spacing w:val="-2"/>
          <w:sz w:val="18"/>
        </w:rPr>
        <w:t>&gt;=37weeks </w:t>
      </w:r>
      <w:r>
        <w:rPr>
          <w:sz w:val="18"/>
        </w:rPr>
        <w:t>induced or CS before</w:t>
      </w:r>
      <w:r>
        <w:rPr>
          <w:spacing w:val="-12"/>
          <w:sz w:val="18"/>
        </w:rPr>
        <w:t> </w:t>
      </w:r>
      <w:r>
        <w:rPr>
          <w:sz w:val="18"/>
        </w:rPr>
        <w:t>labour</w:t>
      </w:r>
    </w:p>
    <w:p>
      <w:pPr>
        <w:pStyle w:val="ListParagraph"/>
        <w:numPr>
          <w:ilvl w:val="0"/>
          <w:numId w:val="5"/>
        </w:numPr>
        <w:tabs>
          <w:tab w:pos="375" w:val="left" w:leader="none"/>
        </w:tabs>
        <w:spacing w:line="240" w:lineRule="auto" w:before="0" w:after="0"/>
        <w:ind w:left="238" w:right="73" w:firstLine="0"/>
        <w:jc w:val="left"/>
        <w:rPr>
          <w:sz w:val="18"/>
        </w:rPr>
      </w:pPr>
      <w:r>
        <w:rPr>
          <w:spacing w:val="-6"/>
          <w:sz w:val="18"/>
        </w:rPr>
        <w:t>Multipara</w:t>
      </w:r>
      <w:r>
        <w:rPr>
          <w:spacing w:val="-15"/>
          <w:sz w:val="18"/>
        </w:rPr>
        <w:t> </w:t>
      </w:r>
      <w:r>
        <w:rPr>
          <w:spacing w:val="-6"/>
          <w:sz w:val="18"/>
        </w:rPr>
        <w:t>(excluding</w:t>
      </w:r>
      <w:r>
        <w:rPr>
          <w:sz w:val="18"/>
        </w:rPr>
        <w:t> previous caesarean sections) single cephalic</w:t>
      </w:r>
      <w:r>
        <w:rPr>
          <w:spacing w:val="-8"/>
          <w:sz w:val="18"/>
        </w:rPr>
        <w:t> </w:t>
      </w:r>
      <w:r>
        <w:rPr>
          <w:sz w:val="18"/>
        </w:rPr>
        <w:t>&gt;=37</w:t>
      </w:r>
      <w:r>
        <w:rPr>
          <w:spacing w:val="-6"/>
          <w:sz w:val="18"/>
        </w:rPr>
        <w:t> </w:t>
      </w:r>
      <w:r>
        <w:rPr>
          <w:sz w:val="18"/>
        </w:rPr>
        <w:t>weeks spontaneus labour</w:t>
      </w:r>
    </w:p>
    <w:p>
      <w:pPr>
        <w:pStyle w:val="ListParagraph"/>
        <w:numPr>
          <w:ilvl w:val="0"/>
          <w:numId w:val="5"/>
        </w:numPr>
        <w:tabs>
          <w:tab w:pos="375" w:val="left" w:leader="none"/>
        </w:tabs>
        <w:spacing w:line="240" w:lineRule="auto" w:before="1" w:after="0"/>
        <w:ind w:left="238" w:right="38" w:firstLine="0"/>
        <w:jc w:val="left"/>
        <w:rPr>
          <w:sz w:val="18"/>
        </w:rPr>
      </w:pPr>
      <w:r>
        <w:rPr>
          <w:spacing w:val="-6"/>
          <w:sz w:val="18"/>
        </w:rPr>
        <w:t>Multipara</w:t>
      </w:r>
      <w:r>
        <w:rPr>
          <w:spacing w:val="-10"/>
          <w:sz w:val="18"/>
        </w:rPr>
        <w:t> </w:t>
      </w:r>
      <w:r>
        <w:rPr>
          <w:spacing w:val="-6"/>
          <w:sz w:val="18"/>
        </w:rPr>
        <w:t>(excluding</w:t>
      </w:r>
      <w:r>
        <w:rPr>
          <w:sz w:val="18"/>
        </w:rPr>
        <w:t> previous caesarean sections) single cephalic &gt;=37wks induction. or CS before</w:t>
      </w:r>
      <w:r>
        <w:rPr>
          <w:spacing w:val="-12"/>
          <w:sz w:val="18"/>
        </w:rPr>
        <w:t> </w:t>
      </w:r>
      <w:r>
        <w:rPr>
          <w:sz w:val="18"/>
        </w:rPr>
        <w:t>labuor</w:t>
      </w:r>
    </w:p>
    <w:p>
      <w:pPr>
        <w:pStyle w:val="ListParagraph"/>
        <w:numPr>
          <w:ilvl w:val="0"/>
          <w:numId w:val="5"/>
        </w:numPr>
        <w:tabs>
          <w:tab w:pos="373" w:val="left" w:leader="none"/>
        </w:tabs>
        <w:spacing w:line="240" w:lineRule="auto" w:before="0" w:after="0"/>
        <w:ind w:left="238" w:right="56" w:firstLine="0"/>
        <w:jc w:val="left"/>
        <w:rPr>
          <w:sz w:val="18"/>
        </w:rPr>
      </w:pPr>
      <w:r>
        <w:rPr>
          <w:sz w:val="18"/>
        </w:rPr>
        <w:t>Previous caesarean section single cephalic</w:t>
      </w:r>
      <w:r>
        <w:rPr>
          <w:spacing w:val="-12"/>
          <w:sz w:val="18"/>
        </w:rPr>
        <w:t> </w:t>
      </w:r>
      <w:r>
        <w:rPr>
          <w:sz w:val="18"/>
        </w:rPr>
        <w:t>&gt;=</w:t>
      </w:r>
      <w:r>
        <w:rPr>
          <w:spacing w:val="-11"/>
          <w:sz w:val="18"/>
        </w:rPr>
        <w:t> </w:t>
      </w:r>
      <w:r>
        <w:rPr>
          <w:sz w:val="18"/>
        </w:rPr>
        <w:t>37</w:t>
      </w:r>
      <w:r>
        <w:rPr>
          <w:spacing w:val="-11"/>
          <w:sz w:val="18"/>
        </w:rPr>
        <w:t> </w:t>
      </w:r>
      <w:r>
        <w:rPr>
          <w:sz w:val="18"/>
        </w:rPr>
        <w:t>weeks </w:t>
      </w:r>
      <w:r>
        <w:rPr>
          <w:b/>
          <w:sz w:val="18"/>
        </w:rPr>
        <w:t>6 </w:t>
      </w:r>
      <w:r>
        <w:rPr>
          <w:sz w:val="18"/>
        </w:rPr>
        <w:t>All nulliparous </w:t>
      </w:r>
      <w:r>
        <w:rPr>
          <w:spacing w:val="-2"/>
          <w:sz w:val="18"/>
        </w:rPr>
        <w:t>breeches</w:t>
      </w:r>
    </w:p>
    <w:p>
      <w:pPr>
        <w:pStyle w:val="ListParagraph"/>
        <w:numPr>
          <w:ilvl w:val="0"/>
          <w:numId w:val="6"/>
        </w:numPr>
        <w:tabs>
          <w:tab w:pos="375" w:val="left" w:leader="none"/>
        </w:tabs>
        <w:spacing w:line="240" w:lineRule="auto" w:before="0" w:after="0"/>
        <w:ind w:left="238" w:right="204" w:firstLine="0"/>
        <w:jc w:val="left"/>
        <w:rPr>
          <w:sz w:val="18"/>
        </w:rPr>
      </w:pPr>
      <w:r>
        <w:rPr>
          <w:sz w:val="18"/>
        </w:rPr>
        <w:t>All multiparous breeches</w:t>
      </w:r>
      <w:r>
        <w:rPr>
          <w:spacing w:val="-12"/>
          <w:sz w:val="18"/>
        </w:rPr>
        <w:t> </w:t>
      </w:r>
      <w:r>
        <w:rPr>
          <w:sz w:val="18"/>
        </w:rPr>
        <w:t>(including previous caesarean </w:t>
      </w:r>
      <w:r>
        <w:rPr>
          <w:spacing w:val="-2"/>
          <w:sz w:val="18"/>
        </w:rPr>
        <w:t>sections)</w:t>
      </w:r>
    </w:p>
    <w:p>
      <w:pPr>
        <w:pStyle w:val="ListParagraph"/>
        <w:numPr>
          <w:ilvl w:val="0"/>
          <w:numId w:val="6"/>
        </w:numPr>
        <w:tabs>
          <w:tab w:pos="375" w:val="left" w:leader="none"/>
        </w:tabs>
        <w:spacing w:line="240" w:lineRule="auto" w:before="0" w:after="0"/>
        <w:ind w:left="238" w:right="259" w:firstLine="0"/>
        <w:jc w:val="left"/>
        <w:rPr>
          <w:sz w:val="18"/>
        </w:rPr>
      </w:pPr>
      <w:r>
        <w:rPr>
          <w:sz w:val="18"/>
        </w:rPr>
        <w:t>All multiple pregnancies (incl previous</w:t>
      </w:r>
      <w:r>
        <w:rPr>
          <w:spacing w:val="-12"/>
          <w:sz w:val="18"/>
        </w:rPr>
        <w:t> </w:t>
      </w:r>
      <w:r>
        <w:rPr>
          <w:sz w:val="18"/>
        </w:rPr>
        <w:t>caesarean </w:t>
      </w:r>
      <w:r>
        <w:rPr>
          <w:spacing w:val="-2"/>
          <w:sz w:val="18"/>
        </w:rPr>
        <w:t>sections)</w:t>
      </w:r>
    </w:p>
    <w:p>
      <w:pPr>
        <w:pStyle w:val="ListParagraph"/>
        <w:numPr>
          <w:ilvl w:val="0"/>
          <w:numId w:val="6"/>
        </w:numPr>
        <w:tabs>
          <w:tab w:pos="375" w:val="left" w:leader="none"/>
        </w:tabs>
        <w:spacing w:line="240" w:lineRule="auto" w:before="0" w:after="0"/>
        <w:ind w:left="238" w:right="214" w:firstLine="0"/>
        <w:jc w:val="left"/>
        <w:rPr>
          <w:sz w:val="18"/>
        </w:rPr>
      </w:pPr>
      <w:r>
        <w:rPr>
          <w:sz w:val="18"/>
        </w:rPr>
        <w:t>All abnormali s (including</w:t>
      </w:r>
      <w:r>
        <w:rPr>
          <w:spacing w:val="-12"/>
          <w:sz w:val="18"/>
        </w:rPr>
        <w:t> </w:t>
      </w:r>
      <w:r>
        <w:rPr>
          <w:sz w:val="18"/>
        </w:rPr>
        <w:t>previous </w:t>
      </w:r>
      <w:r>
        <w:rPr>
          <w:spacing w:val="-2"/>
          <w:sz w:val="18"/>
        </w:rPr>
        <w:t>caesarean</w:t>
      </w:r>
    </w:p>
    <w:p>
      <w:pPr>
        <w:spacing w:line="207" w:lineRule="exact" w:before="0"/>
        <w:ind w:left="238" w:right="0" w:firstLine="0"/>
        <w:jc w:val="left"/>
        <w:rPr>
          <w:sz w:val="18"/>
        </w:rPr>
      </w:pPr>
      <w:r>
        <w:rPr>
          <w:spacing w:val="-2"/>
          <w:sz w:val="18"/>
        </w:rPr>
        <w:t>sections)</w:t>
      </w:r>
    </w:p>
    <w:p>
      <w:pPr>
        <w:pStyle w:val="ListParagraph"/>
        <w:numPr>
          <w:ilvl w:val="0"/>
          <w:numId w:val="6"/>
        </w:numPr>
        <w:tabs>
          <w:tab w:pos="467" w:val="left" w:leader="none"/>
        </w:tabs>
        <w:spacing w:line="240" w:lineRule="auto" w:before="0" w:after="0"/>
        <w:ind w:left="238" w:right="56" w:firstLine="0"/>
        <w:jc w:val="left"/>
        <w:rPr>
          <w:sz w:val="18"/>
        </w:rPr>
      </w:pPr>
      <w:r>
        <w:rPr>
          <w:sz w:val="18"/>
        </w:rPr>
        <w:t>All single</w:t>
      </w:r>
      <w:r>
        <w:rPr>
          <w:spacing w:val="40"/>
          <w:sz w:val="18"/>
        </w:rPr>
        <w:t> </w:t>
      </w:r>
      <w:r>
        <w:rPr>
          <w:sz w:val="18"/>
        </w:rPr>
        <w:t>cephalic</w:t>
      </w:r>
      <w:r>
        <w:rPr>
          <w:spacing w:val="-12"/>
          <w:sz w:val="18"/>
        </w:rPr>
        <w:t> </w:t>
      </w:r>
      <w:r>
        <w:rPr>
          <w:sz w:val="18"/>
        </w:rPr>
        <w:t>&lt;=</w:t>
      </w:r>
      <w:r>
        <w:rPr>
          <w:spacing w:val="-11"/>
          <w:sz w:val="18"/>
        </w:rPr>
        <w:t> </w:t>
      </w:r>
      <w:r>
        <w:rPr>
          <w:sz w:val="18"/>
        </w:rPr>
        <w:t>36</w:t>
      </w:r>
      <w:r>
        <w:rPr>
          <w:spacing w:val="-11"/>
          <w:sz w:val="18"/>
        </w:rPr>
        <w:t> </w:t>
      </w:r>
      <w:r>
        <w:rPr>
          <w:sz w:val="18"/>
        </w:rPr>
        <w:t>weeks (includig previous</w:t>
      </w:r>
    </w:p>
    <w:p>
      <w:pPr>
        <w:tabs>
          <w:tab w:pos="1412" w:val="left" w:leader="none"/>
          <w:tab w:pos="2312" w:val="left" w:leader="none"/>
          <w:tab w:pos="3346" w:val="left" w:leader="none"/>
          <w:tab w:pos="4198" w:val="left" w:leader="none"/>
          <w:tab w:pos="5372" w:val="left" w:leader="none"/>
          <w:tab w:pos="6273" w:val="left" w:leader="none"/>
          <w:tab w:pos="7307" w:val="left" w:leader="none"/>
        </w:tabs>
        <w:spacing w:line="207" w:lineRule="exact" w:before="0"/>
        <w:ind w:left="238" w:right="0" w:firstLine="0"/>
        <w:jc w:val="left"/>
        <w:rPr>
          <w:sz w:val="18"/>
        </w:rPr>
      </w:pPr>
      <w:r>
        <w:rPr/>
        <w:br w:type="column"/>
      </w:r>
      <w:r>
        <w:rPr>
          <w:spacing w:val="-2"/>
          <w:sz w:val="18"/>
        </w:rPr>
        <w:t>278/1046</w:t>
      </w:r>
      <w:r>
        <w:rPr>
          <w:sz w:val="18"/>
        </w:rPr>
        <w:tab/>
      </w:r>
      <w:r>
        <w:rPr>
          <w:spacing w:val="-4"/>
          <w:sz w:val="18"/>
        </w:rPr>
        <w:t>24.6</w:t>
      </w:r>
      <w:r>
        <w:rPr>
          <w:sz w:val="18"/>
        </w:rPr>
        <w:tab/>
      </w:r>
      <w:r>
        <w:rPr>
          <w:spacing w:val="-4"/>
          <w:sz w:val="18"/>
        </w:rPr>
        <w:t>26.6</w:t>
      </w:r>
      <w:r>
        <w:rPr>
          <w:sz w:val="18"/>
        </w:rPr>
        <w:tab/>
      </w:r>
      <w:r>
        <w:rPr>
          <w:spacing w:val="-5"/>
          <w:sz w:val="18"/>
        </w:rPr>
        <w:t>6.5</w:t>
      </w:r>
      <w:r>
        <w:rPr>
          <w:sz w:val="18"/>
        </w:rPr>
        <w:tab/>
      </w:r>
      <w:r>
        <w:rPr>
          <w:spacing w:val="-2"/>
          <w:sz w:val="18"/>
        </w:rPr>
        <w:t>287/1028</w:t>
      </w:r>
      <w:r>
        <w:rPr>
          <w:sz w:val="18"/>
        </w:rPr>
        <w:tab/>
      </w:r>
      <w:r>
        <w:rPr>
          <w:spacing w:val="-4"/>
          <w:sz w:val="18"/>
        </w:rPr>
        <w:t>25.1</w:t>
      </w:r>
      <w:r>
        <w:rPr>
          <w:sz w:val="18"/>
        </w:rPr>
        <w:tab/>
      </w:r>
      <w:r>
        <w:rPr>
          <w:spacing w:val="-4"/>
          <w:sz w:val="18"/>
        </w:rPr>
        <w:t>27.0</w:t>
      </w:r>
      <w:r>
        <w:rPr>
          <w:sz w:val="18"/>
        </w:rPr>
        <w:tab/>
      </w:r>
      <w:r>
        <w:rPr>
          <w:spacing w:val="-5"/>
          <w:sz w:val="18"/>
        </w:rPr>
        <w:t>7.0</w:t>
      </w:r>
    </w:p>
    <w:p>
      <w:pPr>
        <w:tabs>
          <w:tab w:pos="1455" w:val="left" w:leader="none"/>
          <w:tab w:pos="2312" w:val="left" w:leader="none"/>
          <w:tab w:pos="3346" w:val="left" w:leader="none"/>
          <w:tab w:pos="4244" w:val="left" w:leader="none"/>
          <w:tab w:pos="5416" w:val="left" w:leader="none"/>
          <w:tab w:pos="6273" w:val="left" w:leader="none"/>
          <w:tab w:pos="7534" w:val="right" w:leader="none"/>
        </w:tabs>
        <w:spacing w:before="518"/>
        <w:ind w:left="283" w:right="0" w:firstLine="0"/>
        <w:jc w:val="left"/>
        <w:rPr>
          <w:sz w:val="18"/>
        </w:rPr>
      </w:pPr>
      <w:r>
        <w:rPr>
          <w:spacing w:val="-2"/>
          <w:sz w:val="18"/>
        </w:rPr>
        <w:t>257/383</w:t>
      </w:r>
      <w:r>
        <w:rPr>
          <w:sz w:val="18"/>
        </w:rPr>
        <w:tab/>
      </w:r>
      <w:r>
        <w:rPr>
          <w:spacing w:val="-5"/>
          <w:sz w:val="18"/>
        </w:rPr>
        <w:t>9.0</w:t>
      </w:r>
      <w:r>
        <w:rPr>
          <w:sz w:val="18"/>
        </w:rPr>
        <w:tab/>
      </w:r>
      <w:r>
        <w:rPr>
          <w:spacing w:val="-4"/>
          <w:sz w:val="18"/>
        </w:rPr>
        <w:t>67.1</w:t>
      </w:r>
      <w:r>
        <w:rPr>
          <w:sz w:val="18"/>
        </w:rPr>
        <w:tab/>
      </w:r>
      <w:r>
        <w:rPr>
          <w:spacing w:val="-5"/>
          <w:sz w:val="18"/>
        </w:rPr>
        <w:t>6.0</w:t>
      </w:r>
      <w:r>
        <w:rPr>
          <w:sz w:val="18"/>
        </w:rPr>
        <w:tab/>
      </w:r>
      <w:r>
        <w:rPr>
          <w:spacing w:val="-2"/>
          <w:sz w:val="18"/>
        </w:rPr>
        <w:t>277/361</w:t>
      </w:r>
      <w:r>
        <w:rPr>
          <w:sz w:val="18"/>
        </w:rPr>
        <w:tab/>
      </w:r>
      <w:r>
        <w:rPr>
          <w:spacing w:val="-5"/>
          <w:sz w:val="18"/>
        </w:rPr>
        <w:t>8.8</w:t>
      </w:r>
      <w:r>
        <w:rPr>
          <w:sz w:val="18"/>
        </w:rPr>
        <w:tab/>
      </w:r>
      <w:r>
        <w:rPr>
          <w:spacing w:val="-4"/>
          <w:sz w:val="18"/>
        </w:rPr>
        <w:t>76.7</w:t>
      </w:r>
      <w:r>
        <w:rPr>
          <w:sz w:val="18"/>
        </w:rPr>
        <w:tab/>
      </w:r>
      <w:r>
        <w:rPr>
          <w:spacing w:val="-5"/>
          <w:sz w:val="18"/>
        </w:rPr>
        <w:t>6.8</w:t>
      </w:r>
    </w:p>
    <w:p>
      <w:pPr>
        <w:pStyle w:val="BodyText"/>
        <w:rPr>
          <w:sz w:val="20"/>
        </w:rPr>
      </w:pPr>
    </w:p>
    <w:p>
      <w:pPr>
        <w:pStyle w:val="BodyText"/>
        <w:rPr>
          <w:sz w:val="20"/>
        </w:rPr>
      </w:pPr>
    </w:p>
    <w:p>
      <w:pPr>
        <w:pStyle w:val="BodyText"/>
        <w:spacing w:before="7"/>
        <w:rPr>
          <w:sz w:val="23"/>
        </w:rPr>
      </w:pPr>
    </w:p>
    <w:tbl>
      <w:tblPr>
        <w:tblW w:w="0" w:type="auto"/>
        <w:jc w:val="left"/>
        <w:tblInd w:w="2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10"/>
        <w:gridCol w:w="877"/>
        <w:gridCol w:w="945"/>
        <w:gridCol w:w="967"/>
        <w:gridCol w:w="1174"/>
        <w:gridCol w:w="877"/>
        <w:gridCol w:w="945"/>
        <w:gridCol w:w="702"/>
      </w:tblGrid>
      <w:tr>
        <w:trPr>
          <w:trHeight w:val="668" w:hRule="atLeast"/>
        </w:trPr>
        <w:tc>
          <w:tcPr>
            <w:tcW w:w="910" w:type="dxa"/>
          </w:tcPr>
          <w:p>
            <w:pPr>
              <w:pStyle w:val="TableParagraph"/>
              <w:spacing w:line="199" w:lineRule="exact"/>
              <w:ind w:left="50"/>
              <w:rPr>
                <w:sz w:val="18"/>
              </w:rPr>
            </w:pPr>
            <w:r>
              <w:rPr>
                <w:spacing w:val="-2"/>
                <w:sz w:val="18"/>
              </w:rPr>
              <w:t>47/1220</w:t>
            </w:r>
          </w:p>
        </w:tc>
        <w:tc>
          <w:tcPr>
            <w:tcW w:w="877" w:type="dxa"/>
          </w:tcPr>
          <w:p>
            <w:pPr>
              <w:pStyle w:val="TableParagraph"/>
              <w:spacing w:line="199" w:lineRule="exact"/>
              <w:ind w:left="268"/>
              <w:rPr>
                <w:sz w:val="18"/>
              </w:rPr>
            </w:pPr>
            <w:r>
              <w:rPr>
                <w:spacing w:val="-4"/>
                <w:sz w:val="18"/>
              </w:rPr>
              <w:t>28.7</w:t>
            </w:r>
          </w:p>
        </w:tc>
        <w:tc>
          <w:tcPr>
            <w:tcW w:w="945" w:type="dxa"/>
          </w:tcPr>
          <w:p>
            <w:pPr>
              <w:pStyle w:val="TableParagraph"/>
              <w:spacing w:line="199" w:lineRule="exact"/>
              <w:ind w:left="279" w:right="325"/>
              <w:jc w:val="center"/>
              <w:rPr>
                <w:sz w:val="18"/>
              </w:rPr>
            </w:pPr>
            <w:r>
              <w:rPr>
                <w:spacing w:val="-5"/>
                <w:sz w:val="18"/>
              </w:rPr>
              <w:t>3.9</w:t>
            </w:r>
          </w:p>
        </w:tc>
        <w:tc>
          <w:tcPr>
            <w:tcW w:w="967" w:type="dxa"/>
          </w:tcPr>
          <w:p>
            <w:pPr>
              <w:pStyle w:val="TableParagraph"/>
              <w:spacing w:line="199" w:lineRule="exact"/>
              <w:ind w:right="357"/>
              <w:jc w:val="right"/>
              <w:rPr>
                <w:sz w:val="18"/>
              </w:rPr>
            </w:pPr>
            <w:r>
              <w:rPr>
                <w:spacing w:val="-5"/>
                <w:sz w:val="18"/>
              </w:rPr>
              <w:t>1.1</w:t>
            </w:r>
          </w:p>
        </w:tc>
        <w:tc>
          <w:tcPr>
            <w:tcW w:w="1174" w:type="dxa"/>
          </w:tcPr>
          <w:p>
            <w:pPr>
              <w:pStyle w:val="TableParagraph"/>
              <w:spacing w:line="199" w:lineRule="exact"/>
              <w:ind w:left="299" w:right="258"/>
              <w:jc w:val="center"/>
              <w:rPr>
                <w:sz w:val="18"/>
              </w:rPr>
            </w:pPr>
            <w:r>
              <w:rPr>
                <w:spacing w:val="-2"/>
                <w:sz w:val="18"/>
              </w:rPr>
              <w:t>55/1175</w:t>
            </w:r>
          </w:p>
        </w:tc>
        <w:tc>
          <w:tcPr>
            <w:tcW w:w="877" w:type="dxa"/>
          </w:tcPr>
          <w:p>
            <w:pPr>
              <w:pStyle w:val="TableParagraph"/>
              <w:spacing w:line="199" w:lineRule="exact"/>
              <w:ind w:left="265"/>
              <w:rPr>
                <w:sz w:val="18"/>
              </w:rPr>
            </w:pPr>
            <w:r>
              <w:rPr>
                <w:spacing w:val="-4"/>
                <w:sz w:val="18"/>
              </w:rPr>
              <w:t>28.6</w:t>
            </w:r>
          </w:p>
        </w:tc>
        <w:tc>
          <w:tcPr>
            <w:tcW w:w="945" w:type="dxa"/>
          </w:tcPr>
          <w:p>
            <w:pPr>
              <w:pStyle w:val="TableParagraph"/>
              <w:spacing w:line="199" w:lineRule="exact"/>
              <w:ind w:left="332"/>
              <w:rPr>
                <w:sz w:val="18"/>
              </w:rPr>
            </w:pPr>
            <w:r>
              <w:rPr>
                <w:spacing w:val="-5"/>
                <w:sz w:val="18"/>
              </w:rPr>
              <w:t>4.7</w:t>
            </w:r>
          </w:p>
        </w:tc>
        <w:tc>
          <w:tcPr>
            <w:tcW w:w="702" w:type="dxa"/>
          </w:tcPr>
          <w:p>
            <w:pPr>
              <w:pStyle w:val="TableParagraph"/>
              <w:spacing w:line="199" w:lineRule="exact"/>
              <w:ind w:right="94"/>
              <w:jc w:val="right"/>
              <w:rPr>
                <w:sz w:val="18"/>
              </w:rPr>
            </w:pPr>
            <w:r>
              <w:rPr>
                <w:spacing w:val="-5"/>
                <w:sz w:val="18"/>
              </w:rPr>
              <w:t>1.3</w:t>
            </w:r>
          </w:p>
        </w:tc>
      </w:tr>
      <w:tr>
        <w:trPr>
          <w:trHeight w:val="668" w:hRule="atLeast"/>
        </w:trPr>
        <w:tc>
          <w:tcPr>
            <w:tcW w:w="910" w:type="dxa"/>
          </w:tcPr>
          <w:p>
            <w:pPr>
              <w:pStyle w:val="TableParagraph"/>
              <w:rPr>
                <w:sz w:val="20"/>
              </w:rPr>
            </w:pPr>
          </w:p>
          <w:p>
            <w:pPr>
              <w:pStyle w:val="TableParagraph"/>
              <w:spacing w:before="1"/>
              <w:rPr>
                <w:sz w:val="20"/>
              </w:rPr>
            </w:pPr>
          </w:p>
          <w:p>
            <w:pPr>
              <w:pStyle w:val="TableParagraph"/>
              <w:spacing w:line="187" w:lineRule="exact" w:before="1"/>
              <w:ind w:left="95"/>
              <w:rPr>
                <w:sz w:val="18"/>
              </w:rPr>
            </w:pPr>
            <w:r>
              <w:rPr>
                <w:spacing w:val="-2"/>
                <w:sz w:val="18"/>
              </w:rPr>
              <w:t>35/132</w:t>
            </w:r>
          </w:p>
        </w:tc>
        <w:tc>
          <w:tcPr>
            <w:tcW w:w="877" w:type="dxa"/>
          </w:tcPr>
          <w:p>
            <w:pPr>
              <w:pStyle w:val="TableParagraph"/>
              <w:rPr>
                <w:sz w:val="20"/>
              </w:rPr>
            </w:pPr>
          </w:p>
          <w:p>
            <w:pPr>
              <w:pStyle w:val="TableParagraph"/>
              <w:spacing w:before="1"/>
              <w:rPr>
                <w:sz w:val="20"/>
              </w:rPr>
            </w:pPr>
          </w:p>
          <w:p>
            <w:pPr>
              <w:pStyle w:val="TableParagraph"/>
              <w:spacing w:line="187" w:lineRule="exact" w:before="1"/>
              <w:ind w:left="311"/>
              <w:rPr>
                <w:sz w:val="18"/>
              </w:rPr>
            </w:pPr>
            <w:r>
              <w:rPr>
                <w:spacing w:val="-5"/>
                <w:sz w:val="18"/>
              </w:rPr>
              <w:t>3.1</w:t>
            </w:r>
          </w:p>
        </w:tc>
        <w:tc>
          <w:tcPr>
            <w:tcW w:w="945" w:type="dxa"/>
          </w:tcPr>
          <w:p>
            <w:pPr>
              <w:pStyle w:val="TableParagraph"/>
              <w:rPr>
                <w:sz w:val="20"/>
              </w:rPr>
            </w:pPr>
          </w:p>
          <w:p>
            <w:pPr>
              <w:pStyle w:val="TableParagraph"/>
              <w:spacing w:before="1"/>
              <w:rPr>
                <w:sz w:val="20"/>
              </w:rPr>
            </w:pPr>
          </w:p>
          <w:p>
            <w:pPr>
              <w:pStyle w:val="TableParagraph"/>
              <w:spacing w:line="187" w:lineRule="exact" w:before="1"/>
              <w:ind w:left="281" w:right="325"/>
              <w:jc w:val="center"/>
              <w:rPr>
                <w:sz w:val="18"/>
              </w:rPr>
            </w:pPr>
            <w:r>
              <w:rPr>
                <w:spacing w:val="-4"/>
                <w:sz w:val="18"/>
              </w:rPr>
              <w:t>26.5</w:t>
            </w:r>
          </w:p>
        </w:tc>
        <w:tc>
          <w:tcPr>
            <w:tcW w:w="967" w:type="dxa"/>
          </w:tcPr>
          <w:p>
            <w:pPr>
              <w:pStyle w:val="TableParagraph"/>
              <w:rPr>
                <w:sz w:val="20"/>
              </w:rPr>
            </w:pPr>
          </w:p>
          <w:p>
            <w:pPr>
              <w:pStyle w:val="TableParagraph"/>
              <w:spacing w:before="1"/>
              <w:rPr>
                <w:sz w:val="20"/>
              </w:rPr>
            </w:pPr>
          </w:p>
          <w:p>
            <w:pPr>
              <w:pStyle w:val="TableParagraph"/>
              <w:spacing w:line="187" w:lineRule="exact" w:before="1"/>
              <w:ind w:right="357"/>
              <w:jc w:val="right"/>
              <w:rPr>
                <w:sz w:val="18"/>
              </w:rPr>
            </w:pPr>
            <w:r>
              <w:rPr>
                <w:spacing w:val="-5"/>
                <w:sz w:val="18"/>
              </w:rPr>
              <w:t>0.8</w:t>
            </w:r>
          </w:p>
        </w:tc>
        <w:tc>
          <w:tcPr>
            <w:tcW w:w="1174" w:type="dxa"/>
          </w:tcPr>
          <w:p>
            <w:pPr>
              <w:pStyle w:val="TableParagraph"/>
              <w:rPr>
                <w:sz w:val="20"/>
              </w:rPr>
            </w:pPr>
          </w:p>
          <w:p>
            <w:pPr>
              <w:pStyle w:val="TableParagraph"/>
              <w:spacing w:before="1"/>
              <w:rPr>
                <w:sz w:val="20"/>
              </w:rPr>
            </w:pPr>
          </w:p>
          <w:p>
            <w:pPr>
              <w:pStyle w:val="TableParagraph"/>
              <w:spacing w:line="187" w:lineRule="exact" w:before="1"/>
              <w:ind w:left="299" w:right="258"/>
              <w:jc w:val="center"/>
              <w:rPr>
                <w:sz w:val="18"/>
              </w:rPr>
            </w:pPr>
            <w:r>
              <w:rPr>
                <w:spacing w:val="-2"/>
                <w:sz w:val="18"/>
              </w:rPr>
              <w:t>55/111</w:t>
            </w:r>
          </w:p>
        </w:tc>
        <w:tc>
          <w:tcPr>
            <w:tcW w:w="877" w:type="dxa"/>
          </w:tcPr>
          <w:p>
            <w:pPr>
              <w:pStyle w:val="TableParagraph"/>
              <w:rPr>
                <w:sz w:val="20"/>
              </w:rPr>
            </w:pPr>
          </w:p>
          <w:p>
            <w:pPr>
              <w:pStyle w:val="TableParagraph"/>
              <w:spacing w:before="1"/>
              <w:rPr>
                <w:sz w:val="20"/>
              </w:rPr>
            </w:pPr>
          </w:p>
          <w:p>
            <w:pPr>
              <w:pStyle w:val="TableParagraph"/>
              <w:spacing w:line="187" w:lineRule="exact" w:before="1"/>
              <w:ind w:left="309"/>
              <w:rPr>
                <w:sz w:val="18"/>
              </w:rPr>
            </w:pPr>
            <w:r>
              <w:rPr>
                <w:spacing w:val="-5"/>
                <w:sz w:val="18"/>
              </w:rPr>
              <w:t>2.7</w:t>
            </w:r>
          </w:p>
        </w:tc>
        <w:tc>
          <w:tcPr>
            <w:tcW w:w="945" w:type="dxa"/>
          </w:tcPr>
          <w:p>
            <w:pPr>
              <w:pStyle w:val="TableParagraph"/>
              <w:rPr>
                <w:sz w:val="20"/>
              </w:rPr>
            </w:pPr>
          </w:p>
          <w:p>
            <w:pPr>
              <w:pStyle w:val="TableParagraph"/>
              <w:spacing w:before="1"/>
              <w:rPr>
                <w:sz w:val="20"/>
              </w:rPr>
            </w:pPr>
          </w:p>
          <w:p>
            <w:pPr>
              <w:pStyle w:val="TableParagraph"/>
              <w:spacing w:line="187" w:lineRule="exact" w:before="1"/>
              <w:ind w:left="289"/>
              <w:rPr>
                <w:sz w:val="18"/>
              </w:rPr>
            </w:pPr>
            <w:r>
              <w:rPr>
                <w:spacing w:val="-4"/>
                <w:sz w:val="18"/>
              </w:rPr>
              <w:t>49.5</w:t>
            </w:r>
          </w:p>
        </w:tc>
        <w:tc>
          <w:tcPr>
            <w:tcW w:w="702" w:type="dxa"/>
          </w:tcPr>
          <w:p>
            <w:pPr>
              <w:pStyle w:val="TableParagraph"/>
              <w:rPr>
                <w:sz w:val="20"/>
              </w:rPr>
            </w:pPr>
          </w:p>
          <w:p>
            <w:pPr>
              <w:pStyle w:val="TableParagraph"/>
              <w:spacing w:before="1"/>
              <w:rPr>
                <w:sz w:val="20"/>
              </w:rPr>
            </w:pPr>
          </w:p>
          <w:p>
            <w:pPr>
              <w:pStyle w:val="TableParagraph"/>
              <w:spacing w:line="187" w:lineRule="exact" w:before="1"/>
              <w:ind w:right="94"/>
              <w:jc w:val="right"/>
              <w:rPr>
                <w:sz w:val="18"/>
              </w:rPr>
            </w:pPr>
            <w:r>
              <w:rPr>
                <w:spacing w:val="-5"/>
                <w:sz w:val="18"/>
              </w:rPr>
              <w:t>1.3</w:t>
            </w:r>
          </w:p>
        </w:tc>
      </w:tr>
      <w:tr>
        <w:trPr>
          <w:trHeight w:val="1090" w:hRule="atLeast"/>
        </w:trPr>
        <w:tc>
          <w:tcPr>
            <w:tcW w:w="910" w:type="dxa"/>
          </w:tcPr>
          <w:p>
            <w:pPr>
              <w:pStyle w:val="TableParagraph"/>
              <w:rPr>
                <w:sz w:val="20"/>
              </w:rPr>
            </w:pPr>
          </w:p>
          <w:p>
            <w:pPr>
              <w:pStyle w:val="TableParagraph"/>
              <w:rPr>
                <w:sz w:val="20"/>
              </w:rPr>
            </w:pPr>
          </w:p>
          <w:p>
            <w:pPr>
              <w:pStyle w:val="TableParagraph"/>
              <w:spacing w:before="11"/>
              <w:rPr>
                <w:sz w:val="22"/>
              </w:rPr>
            </w:pPr>
          </w:p>
          <w:p>
            <w:pPr>
              <w:pStyle w:val="TableParagraph"/>
              <w:ind w:left="50"/>
              <w:rPr>
                <w:sz w:val="18"/>
              </w:rPr>
            </w:pPr>
            <w:r>
              <w:rPr>
                <w:spacing w:val="-2"/>
                <w:sz w:val="18"/>
              </w:rPr>
              <w:t>471/570</w:t>
            </w:r>
          </w:p>
        </w:tc>
        <w:tc>
          <w:tcPr>
            <w:tcW w:w="877" w:type="dxa"/>
          </w:tcPr>
          <w:p>
            <w:pPr>
              <w:pStyle w:val="TableParagraph"/>
              <w:rPr>
                <w:sz w:val="20"/>
              </w:rPr>
            </w:pPr>
          </w:p>
          <w:p>
            <w:pPr>
              <w:pStyle w:val="TableParagraph"/>
              <w:rPr>
                <w:sz w:val="20"/>
              </w:rPr>
            </w:pPr>
          </w:p>
          <w:p>
            <w:pPr>
              <w:pStyle w:val="TableParagraph"/>
              <w:spacing w:before="11"/>
              <w:rPr>
                <w:sz w:val="22"/>
              </w:rPr>
            </w:pPr>
          </w:p>
          <w:p>
            <w:pPr>
              <w:pStyle w:val="TableParagraph"/>
              <w:ind w:left="268"/>
              <w:rPr>
                <w:sz w:val="18"/>
              </w:rPr>
            </w:pPr>
            <w:r>
              <w:rPr>
                <w:spacing w:val="-4"/>
                <w:sz w:val="18"/>
              </w:rPr>
              <w:t>13.4</w:t>
            </w:r>
          </w:p>
        </w:tc>
        <w:tc>
          <w:tcPr>
            <w:tcW w:w="945" w:type="dxa"/>
          </w:tcPr>
          <w:p>
            <w:pPr>
              <w:pStyle w:val="TableParagraph"/>
              <w:rPr>
                <w:sz w:val="20"/>
              </w:rPr>
            </w:pPr>
          </w:p>
          <w:p>
            <w:pPr>
              <w:pStyle w:val="TableParagraph"/>
              <w:rPr>
                <w:sz w:val="20"/>
              </w:rPr>
            </w:pPr>
          </w:p>
          <w:p>
            <w:pPr>
              <w:pStyle w:val="TableParagraph"/>
              <w:spacing w:before="11"/>
              <w:rPr>
                <w:sz w:val="22"/>
              </w:rPr>
            </w:pPr>
          </w:p>
          <w:p>
            <w:pPr>
              <w:pStyle w:val="TableParagraph"/>
              <w:ind w:left="281" w:right="325"/>
              <w:jc w:val="center"/>
              <w:rPr>
                <w:sz w:val="18"/>
              </w:rPr>
            </w:pPr>
            <w:r>
              <w:rPr>
                <w:spacing w:val="-4"/>
                <w:sz w:val="18"/>
              </w:rPr>
              <w:t>82.6</w:t>
            </w:r>
          </w:p>
        </w:tc>
        <w:tc>
          <w:tcPr>
            <w:tcW w:w="967" w:type="dxa"/>
          </w:tcPr>
          <w:p>
            <w:pPr>
              <w:pStyle w:val="TableParagraph"/>
              <w:rPr>
                <w:sz w:val="20"/>
              </w:rPr>
            </w:pPr>
          </w:p>
          <w:p>
            <w:pPr>
              <w:pStyle w:val="TableParagraph"/>
              <w:rPr>
                <w:sz w:val="20"/>
              </w:rPr>
            </w:pPr>
          </w:p>
          <w:p>
            <w:pPr>
              <w:pStyle w:val="TableParagraph"/>
              <w:spacing w:before="11"/>
              <w:rPr>
                <w:sz w:val="22"/>
              </w:rPr>
            </w:pPr>
          </w:p>
          <w:p>
            <w:pPr>
              <w:pStyle w:val="TableParagraph"/>
              <w:ind w:right="313"/>
              <w:jc w:val="right"/>
              <w:rPr>
                <w:sz w:val="18"/>
              </w:rPr>
            </w:pPr>
            <w:r>
              <w:rPr>
                <w:spacing w:val="-4"/>
                <w:sz w:val="18"/>
              </w:rPr>
              <w:t>11.1</w:t>
            </w:r>
          </w:p>
        </w:tc>
        <w:tc>
          <w:tcPr>
            <w:tcW w:w="1174" w:type="dxa"/>
          </w:tcPr>
          <w:p>
            <w:pPr>
              <w:pStyle w:val="TableParagraph"/>
              <w:rPr>
                <w:sz w:val="20"/>
              </w:rPr>
            </w:pPr>
          </w:p>
          <w:p>
            <w:pPr>
              <w:pStyle w:val="TableParagraph"/>
              <w:rPr>
                <w:sz w:val="20"/>
              </w:rPr>
            </w:pPr>
          </w:p>
          <w:p>
            <w:pPr>
              <w:pStyle w:val="TableParagraph"/>
              <w:spacing w:before="11"/>
              <w:rPr>
                <w:sz w:val="22"/>
              </w:rPr>
            </w:pPr>
          </w:p>
          <w:p>
            <w:pPr>
              <w:pStyle w:val="TableParagraph"/>
              <w:ind w:left="299" w:right="258"/>
              <w:jc w:val="center"/>
              <w:rPr>
                <w:sz w:val="18"/>
              </w:rPr>
            </w:pPr>
            <w:r>
              <w:rPr>
                <w:spacing w:val="-2"/>
                <w:sz w:val="18"/>
              </w:rPr>
              <w:t>480/552</w:t>
            </w:r>
          </w:p>
        </w:tc>
        <w:tc>
          <w:tcPr>
            <w:tcW w:w="877" w:type="dxa"/>
          </w:tcPr>
          <w:p>
            <w:pPr>
              <w:pStyle w:val="TableParagraph"/>
              <w:rPr>
                <w:sz w:val="20"/>
              </w:rPr>
            </w:pPr>
          </w:p>
          <w:p>
            <w:pPr>
              <w:pStyle w:val="TableParagraph"/>
              <w:rPr>
                <w:sz w:val="20"/>
              </w:rPr>
            </w:pPr>
          </w:p>
          <w:p>
            <w:pPr>
              <w:pStyle w:val="TableParagraph"/>
              <w:spacing w:before="11"/>
              <w:rPr>
                <w:sz w:val="22"/>
              </w:rPr>
            </w:pPr>
          </w:p>
          <w:p>
            <w:pPr>
              <w:pStyle w:val="TableParagraph"/>
              <w:ind w:left="265"/>
              <w:rPr>
                <w:sz w:val="18"/>
              </w:rPr>
            </w:pPr>
            <w:r>
              <w:rPr>
                <w:spacing w:val="-4"/>
                <w:sz w:val="18"/>
              </w:rPr>
              <w:t>13.5</w:t>
            </w:r>
          </w:p>
        </w:tc>
        <w:tc>
          <w:tcPr>
            <w:tcW w:w="945" w:type="dxa"/>
          </w:tcPr>
          <w:p>
            <w:pPr>
              <w:pStyle w:val="TableParagraph"/>
              <w:rPr>
                <w:sz w:val="20"/>
              </w:rPr>
            </w:pPr>
          </w:p>
          <w:p>
            <w:pPr>
              <w:pStyle w:val="TableParagraph"/>
              <w:rPr>
                <w:sz w:val="20"/>
              </w:rPr>
            </w:pPr>
          </w:p>
          <w:p>
            <w:pPr>
              <w:pStyle w:val="TableParagraph"/>
              <w:spacing w:before="11"/>
              <w:rPr>
                <w:sz w:val="22"/>
              </w:rPr>
            </w:pPr>
          </w:p>
          <w:p>
            <w:pPr>
              <w:pStyle w:val="TableParagraph"/>
              <w:ind w:left="289"/>
              <w:rPr>
                <w:sz w:val="18"/>
              </w:rPr>
            </w:pPr>
            <w:r>
              <w:rPr>
                <w:spacing w:val="-4"/>
                <w:sz w:val="18"/>
              </w:rPr>
              <w:t>87.0</w:t>
            </w:r>
          </w:p>
        </w:tc>
        <w:tc>
          <w:tcPr>
            <w:tcW w:w="702" w:type="dxa"/>
          </w:tcPr>
          <w:p>
            <w:pPr>
              <w:pStyle w:val="TableParagraph"/>
              <w:rPr>
                <w:sz w:val="20"/>
              </w:rPr>
            </w:pPr>
          </w:p>
          <w:p>
            <w:pPr>
              <w:pStyle w:val="TableParagraph"/>
              <w:rPr>
                <w:sz w:val="20"/>
              </w:rPr>
            </w:pPr>
          </w:p>
          <w:p>
            <w:pPr>
              <w:pStyle w:val="TableParagraph"/>
              <w:spacing w:before="11"/>
              <w:rPr>
                <w:sz w:val="22"/>
              </w:rPr>
            </w:pPr>
          </w:p>
          <w:p>
            <w:pPr>
              <w:pStyle w:val="TableParagraph"/>
              <w:ind w:right="51"/>
              <w:jc w:val="right"/>
              <w:rPr>
                <w:sz w:val="18"/>
              </w:rPr>
            </w:pPr>
            <w:r>
              <w:rPr>
                <w:spacing w:val="-4"/>
                <w:sz w:val="18"/>
              </w:rPr>
              <w:t>11.7</w:t>
            </w:r>
          </w:p>
        </w:tc>
      </w:tr>
      <w:tr>
        <w:trPr>
          <w:trHeight w:val="570" w:hRule="atLeast"/>
        </w:trPr>
        <w:tc>
          <w:tcPr>
            <w:tcW w:w="910" w:type="dxa"/>
          </w:tcPr>
          <w:p>
            <w:pPr>
              <w:pStyle w:val="TableParagraph"/>
              <w:spacing w:before="152"/>
              <w:ind w:left="50"/>
              <w:rPr>
                <w:sz w:val="18"/>
              </w:rPr>
            </w:pPr>
            <w:r>
              <w:rPr>
                <w:spacing w:val="-2"/>
                <w:sz w:val="18"/>
              </w:rPr>
              <w:t>100/123</w:t>
            </w:r>
          </w:p>
        </w:tc>
        <w:tc>
          <w:tcPr>
            <w:tcW w:w="877" w:type="dxa"/>
          </w:tcPr>
          <w:p>
            <w:pPr>
              <w:pStyle w:val="TableParagraph"/>
              <w:spacing w:before="152"/>
              <w:ind w:left="311"/>
              <w:rPr>
                <w:sz w:val="18"/>
              </w:rPr>
            </w:pPr>
            <w:r>
              <w:rPr>
                <w:spacing w:val="-5"/>
                <w:sz w:val="18"/>
              </w:rPr>
              <w:t>2.9</w:t>
            </w:r>
          </w:p>
        </w:tc>
        <w:tc>
          <w:tcPr>
            <w:tcW w:w="945" w:type="dxa"/>
          </w:tcPr>
          <w:p>
            <w:pPr>
              <w:pStyle w:val="TableParagraph"/>
              <w:spacing w:before="152"/>
              <w:ind w:left="281" w:right="325"/>
              <w:jc w:val="center"/>
              <w:rPr>
                <w:sz w:val="18"/>
              </w:rPr>
            </w:pPr>
            <w:r>
              <w:rPr>
                <w:spacing w:val="-4"/>
                <w:sz w:val="18"/>
              </w:rPr>
              <w:t>81.3</w:t>
            </w:r>
          </w:p>
        </w:tc>
        <w:tc>
          <w:tcPr>
            <w:tcW w:w="967" w:type="dxa"/>
          </w:tcPr>
          <w:p>
            <w:pPr>
              <w:pStyle w:val="TableParagraph"/>
              <w:spacing w:before="152"/>
              <w:ind w:right="357"/>
              <w:jc w:val="right"/>
              <w:rPr>
                <w:sz w:val="18"/>
              </w:rPr>
            </w:pPr>
            <w:r>
              <w:rPr>
                <w:spacing w:val="-5"/>
                <w:sz w:val="18"/>
              </w:rPr>
              <w:t>2.4</w:t>
            </w:r>
          </w:p>
        </w:tc>
        <w:tc>
          <w:tcPr>
            <w:tcW w:w="1174" w:type="dxa"/>
          </w:tcPr>
          <w:p>
            <w:pPr>
              <w:pStyle w:val="TableParagraph"/>
              <w:spacing w:before="152"/>
              <w:ind w:left="299" w:right="258"/>
              <w:jc w:val="center"/>
              <w:rPr>
                <w:sz w:val="18"/>
              </w:rPr>
            </w:pPr>
            <w:r>
              <w:rPr>
                <w:spacing w:val="-2"/>
                <w:sz w:val="18"/>
              </w:rPr>
              <w:t>113/119</w:t>
            </w:r>
          </w:p>
        </w:tc>
        <w:tc>
          <w:tcPr>
            <w:tcW w:w="877" w:type="dxa"/>
          </w:tcPr>
          <w:p>
            <w:pPr>
              <w:pStyle w:val="TableParagraph"/>
              <w:spacing w:before="152"/>
              <w:ind w:left="309"/>
              <w:rPr>
                <w:sz w:val="18"/>
              </w:rPr>
            </w:pPr>
            <w:r>
              <w:rPr>
                <w:spacing w:val="-5"/>
                <w:sz w:val="18"/>
              </w:rPr>
              <w:t>2.9</w:t>
            </w:r>
          </w:p>
        </w:tc>
        <w:tc>
          <w:tcPr>
            <w:tcW w:w="945" w:type="dxa"/>
          </w:tcPr>
          <w:p>
            <w:pPr>
              <w:pStyle w:val="TableParagraph"/>
              <w:spacing w:before="152"/>
              <w:ind w:left="289"/>
              <w:rPr>
                <w:sz w:val="18"/>
              </w:rPr>
            </w:pPr>
            <w:r>
              <w:rPr>
                <w:spacing w:val="-4"/>
                <w:sz w:val="18"/>
              </w:rPr>
              <w:t>95.0</w:t>
            </w:r>
          </w:p>
        </w:tc>
        <w:tc>
          <w:tcPr>
            <w:tcW w:w="702" w:type="dxa"/>
          </w:tcPr>
          <w:p>
            <w:pPr>
              <w:pStyle w:val="TableParagraph"/>
              <w:spacing w:before="152"/>
              <w:ind w:right="94"/>
              <w:jc w:val="right"/>
              <w:rPr>
                <w:sz w:val="18"/>
              </w:rPr>
            </w:pPr>
            <w:r>
              <w:rPr>
                <w:spacing w:val="-5"/>
                <w:sz w:val="18"/>
              </w:rPr>
              <w:t>2.8</w:t>
            </w:r>
          </w:p>
        </w:tc>
      </w:tr>
      <w:tr>
        <w:trPr>
          <w:trHeight w:val="725" w:hRule="atLeast"/>
        </w:trPr>
        <w:tc>
          <w:tcPr>
            <w:tcW w:w="910" w:type="dxa"/>
          </w:tcPr>
          <w:p>
            <w:pPr>
              <w:pStyle w:val="TableParagraph"/>
              <w:spacing w:before="8"/>
              <w:rPr>
                <w:sz w:val="17"/>
              </w:rPr>
            </w:pPr>
          </w:p>
          <w:p>
            <w:pPr>
              <w:pStyle w:val="TableParagraph"/>
              <w:ind w:left="138"/>
              <w:rPr>
                <w:sz w:val="18"/>
              </w:rPr>
            </w:pPr>
            <w:r>
              <w:rPr>
                <w:spacing w:val="-2"/>
                <w:sz w:val="18"/>
              </w:rPr>
              <w:t>76/94</w:t>
            </w:r>
          </w:p>
        </w:tc>
        <w:tc>
          <w:tcPr>
            <w:tcW w:w="877" w:type="dxa"/>
          </w:tcPr>
          <w:p>
            <w:pPr>
              <w:pStyle w:val="TableParagraph"/>
              <w:spacing w:before="8"/>
              <w:rPr>
                <w:sz w:val="17"/>
              </w:rPr>
            </w:pPr>
          </w:p>
          <w:p>
            <w:pPr>
              <w:pStyle w:val="TableParagraph"/>
              <w:ind w:left="311"/>
              <w:rPr>
                <w:sz w:val="18"/>
              </w:rPr>
            </w:pPr>
            <w:r>
              <w:rPr>
                <w:spacing w:val="-5"/>
                <w:sz w:val="18"/>
              </w:rPr>
              <w:t>2.2</w:t>
            </w:r>
          </w:p>
        </w:tc>
        <w:tc>
          <w:tcPr>
            <w:tcW w:w="945" w:type="dxa"/>
          </w:tcPr>
          <w:p>
            <w:pPr>
              <w:pStyle w:val="TableParagraph"/>
              <w:spacing w:before="8"/>
              <w:rPr>
                <w:sz w:val="17"/>
              </w:rPr>
            </w:pPr>
          </w:p>
          <w:p>
            <w:pPr>
              <w:pStyle w:val="TableParagraph"/>
              <w:ind w:left="281" w:right="325"/>
              <w:jc w:val="center"/>
              <w:rPr>
                <w:sz w:val="18"/>
              </w:rPr>
            </w:pPr>
            <w:r>
              <w:rPr>
                <w:spacing w:val="-4"/>
                <w:sz w:val="18"/>
              </w:rPr>
              <w:t>80.9</w:t>
            </w:r>
          </w:p>
        </w:tc>
        <w:tc>
          <w:tcPr>
            <w:tcW w:w="967" w:type="dxa"/>
          </w:tcPr>
          <w:p>
            <w:pPr>
              <w:pStyle w:val="TableParagraph"/>
              <w:spacing w:before="8"/>
              <w:rPr>
                <w:sz w:val="17"/>
              </w:rPr>
            </w:pPr>
          </w:p>
          <w:p>
            <w:pPr>
              <w:pStyle w:val="TableParagraph"/>
              <w:ind w:right="357"/>
              <w:jc w:val="right"/>
              <w:rPr>
                <w:sz w:val="18"/>
              </w:rPr>
            </w:pPr>
            <w:r>
              <w:rPr>
                <w:spacing w:val="-5"/>
                <w:sz w:val="18"/>
              </w:rPr>
              <w:t>1.8</w:t>
            </w:r>
          </w:p>
        </w:tc>
        <w:tc>
          <w:tcPr>
            <w:tcW w:w="1174" w:type="dxa"/>
          </w:tcPr>
          <w:p>
            <w:pPr>
              <w:pStyle w:val="TableParagraph"/>
              <w:spacing w:before="8"/>
              <w:rPr>
                <w:sz w:val="17"/>
              </w:rPr>
            </w:pPr>
          </w:p>
          <w:p>
            <w:pPr>
              <w:pStyle w:val="TableParagraph"/>
              <w:ind w:left="296" w:right="258"/>
              <w:jc w:val="center"/>
              <w:rPr>
                <w:sz w:val="18"/>
              </w:rPr>
            </w:pPr>
            <w:r>
              <w:rPr>
                <w:spacing w:val="-2"/>
                <w:sz w:val="18"/>
              </w:rPr>
              <w:t>80/92</w:t>
            </w:r>
          </w:p>
        </w:tc>
        <w:tc>
          <w:tcPr>
            <w:tcW w:w="877" w:type="dxa"/>
          </w:tcPr>
          <w:p>
            <w:pPr>
              <w:pStyle w:val="TableParagraph"/>
              <w:spacing w:before="8"/>
              <w:rPr>
                <w:sz w:val="17"/>
              </w:rPr>
            </w:pPr>
          </w:p>
          <w:p>
            <w:pPr>
              <w:pStyle w:val="TableParagraph"/>
              <w:ind w:left="309"/>
              <w:rPr>
                <w:sz w:val="18"/>
              </w:rPr>
            </w:pPr>
            <w:r>
              <w:rPr>
                <w:spacing w:val="-5"/>
                <w:sz w:val="18"/>
              </w:rPr>
              <w:t>2.2</w:t>
            </w:r>
          </w:p>
        </w:tc>
        <w:tc>
          <w:tcPr>
            <w:tcW w:w="945" w:type="dxa"/>
          </w:tcPr>
          <w:p>
            <w:pPr>
              <w:pStyle w:val="TableParagraph"/>
              <w:spacing w:before="8"/>
              <w:rPr>
                <w:sz w:val="17"/>
              </w:rPr>
            </w:pPr>
          </w:p>
          <w:p>
            <w:pPr>
              <w:pStyle w:val="TableParagraph"/>
              <w:ind w:left="289"/>
              <w:rPr>
                <w:sz w:val="18"/>
              </w:rPr>
            </w:pPr>
            <w:r>
              <w:rPr>
                <w:spacing w:val="-4"/>
                <w:sz w:val="18"/>
              </w:rPr>
              <w:t>87.0</w:t>
            </w:r>
          </w:p>
        </w:tc>
        <w:tc>
          <w:tcPr>
            <w:tcW w:w="702" w:type="dxa"/>
          </w:tcPr>
          <w:p>
            <w:pPr>
              <w:pStyle w:val="TableParagraph"/>
              <w:spacing w:before="8"/>
              <w:rPr>
                <w:sz w:val="17"/>
              </w:rPr>
            </w:pPr>
          </w:p>
          <w:p>
            <w:pPr>
              <w:pStyle w:val="TableParagraph"/>
              <w:ind w:right="94"/>
              <w:jc w:val="right"/>
              <w:rPr>
                <w:sz w:val="18"/>
              </w:rPr>
            </w:pPr>
            <w:r>
              <w:rPr>
                <w:spacing w:val="-5"/>
                <w:sz w:val="18"/>
              </w:rPr>
              <w:t>1.9</w:t>
            </w:r>
          </w:p>
        </w:tc>
      </w:tr>
      <w:tr>
        <w:trPr>
          <w:trHeight w:val="828" w:hRule="atLeast"/>
        </w:trPr>
        <w:tc>
          <w:tcPr>
            <w:tcW w:w="910" w:type="dxa"/>
          </w:tcPr>
          <w:p>
            <w:pPr>
              <w:pStyle w:val="TableParagraph"/>
              <w:spacing w:before="7"/>
              <w:rPr>
                <w:sz w:val="26"/>
              </w:rPr>
            </w:pPr>
          </w:p>
          <w:p>
            <w:pPr>
              <w:pStyle w:val="TableParagraph"/>
              <w:spacing w:before="1"/>
              <w:ind w:left="50"/>
              <w:rPr>
                <w:sz w:val="18"/>
              </w:rPr>
            </w:pPr>
            <w:r>
              <w:rPr>
                <w:spacing w:val="-2"/>
                <w:sz w:val="18"/>
              </w:rPr>
              <w:t>113/147</w:t>
            </w:r>
          </w:p>
        </w:tc>
        <w:tc>
          <w:tcPr>
            <w:tcW w:w="877" w:type="dxa"/>
          </w:tcPr>
          <w:p>
            <w:pPr>
              <w:pStyle w:val="TableParagraph"/>
              <w:spacing w:before="7"/>
              <w:rPr>
                <w:sz w:val="26"/>
              </w:rPr>
            </w:pPr>
          </w:p>
          <w:p>
            <w:pPr>
              <w:pStyle w:val="TableParagraph"/>
              <w:spacing w:before="1"/>
              <w:ind w:left="311"/>
              <w:rPr>
                <w:sz w:val="18"/>
              </w:rPr>
            </w:pPr>
            <w:r>
              <w:rPr>
                <w:spacing w:val="-5"/>
                <w:sz w:val="18"/>
              </w:rPr>
              <w:t>3.5</w:t>
            </w:r>
          </w:p>
        </w:tc>
        <w:tc>
          <w:tcPr>
            <w:tcW w:w="945" w:type="dxa"/>
          </w:tcPr>
          <w:p>
            <w:pPr>
              <w:pStyle w:val="TableParagraph"/>
              <w:spacing w:before="7"/>
              <w:rPr>
                <w:sz w:val="26"/>
              </w:rPr>
            </w:pPr>
          </w:p>
          <w:p>
            <w:pPr>
              <w:pStyle w:val="TableParagraph"/>
              <w:spacing w:before="1"/>
              <w:ind w:left="281" w:right="325"/>
              <w:jc w:val="center"/>
              <w:rPr>
                <w:sz w:val="18"/>
              </w:rPr>
            </w:pPr>
            <w:r>
              <w:rPr>
                <w:spacing w:val="-4"/>
                <w:sz w:val="18"/>
              </w:rPr>
              <w:t>76.9</w:t>
            </w:r>
          </w:p>
        </w:tc>
        <w:tc>
          <w:tcPr>
            <w:tcW w:w="967" w:type="dxa"/>
          </w:tcPr>
          <w:p>
            <w:pPr>
              <w:pStyle w:val="TableParagraph"/>
              <w:spacing w:before="7"/>
              <w:rPr>
                <w:sz w:val="26"/>
              </w:rPr>
            </w:pPr>
          </w:p>
          <w:p>
            <w:pPr>
              <w:pStyle w:val="TableParagraph"/>
              <w:spacing w:before="1"/>
              <w:ind w:right="357"/>
              <w:jc w:val="right"/>
              <w:rPr>
                <w:sz w:val="18"/>
              </w:rPr>
            </w:pPr>
            <w:r>
              <w:rPr>
                <w:spacing w:val="-5"/>
                <w:sz w:val="18"/>
              </w:rPr>
              <w:t>2.7</w:t>
            </w:r>
          </w:p>
        </w:tc>
        <w:tc>
          <w:tcPr>
            <w:tcW w:w="1174" w:type="dxa"/>
          </w:tcPr>
          <w:p>
            <w:pPr>
              <w:pStyle w:val="TableParagraph"/>
              <w:spacing w:before="7"/>
              <w:rPr>
                <w:sz w:val="26"/>
              </w:rPr>
            </w:pPr>
          </w:p>
          <w:p>
            <w:pPr>
              <w:pStyle w:val="TableParagraph"/>
              <w:spacing w:before="1"/>
              <w:ind w:left="299" w:right="258"/>
              <w:jc w:val="center"/>
              <w:rPr>
                <w:sz w:val="18"/>
              </w:rPr>
            </w:pPr>
            <w:r>
              <w:rPr>
                <w:spacing w:val="-2"/>
                <w:sz w:val="18"/>
              </w:rPr>
              <w:t>121/139</w:t>
            </w:r>
          </w:p>
        </w:tc>
        <w:tc>
          <w:tcPr>
            <w:tcW w:w="877" w:type="dxa"/>
          </w:tcPr>
          <w:p>
            <w:pPr>
              <w:pStyle w:val="TableParagraph"/>
              <w:spacing w:before="7"/>
              <w:rPr>
                <w:sz w:val="26"/>
              </w:rPr>
            </w:pPr>
          </w:p>
          <w:p>
            <w:pPr>
              <w:pStyle w:val="TableParagraph"/>
              <w:spacing w:before="1"/>
              <w:ind w:left="309"/>
              <w:rPr>
                <w:sz w:val="18"/>
              </w:rPr>
            </w:pPr>
            <w:r>
              <w:rPr>
                <w:spacing w:val="-5"/>
                <w:sz w:val="18"/>
              </w:rPr>
              <w:t>3.4</w:t>
            </w:r>
          </w:p>
        </w:tc>
        <w:tc>
          <w:tcPr>
            <w:tcW w:w="945" w:type="dxa"/>
          </w:tcPr>
          <w:p>
            <w:pPr>
              <w:pStyle w:val="TableParagraph"/>
              <w:spacing w:before="7"/>
              <w:rPr>
                <w:sz w:val="26"/>
              </w:rPr>
            </w:pPr>
          </w:p>
          <w:p>
            <w:pPr>
              <w:pStyle w:val="TableParagraph"/>
              <w:spacing w:before="1"/>
              <w:ind w:left="289"/>
              <w:rPr>
                <w:sz w:val="18"/>
              </w:rPr>
            </w:pPr>
            <w:r>
              <w:rPr>
                <w:spacing w:val="-4"/>
                <w:sz w:val="18"/>
              </w:rPr>
              <w:t>87.1</w:t>
            </w:r>
          </w:p>
        </w:tc>
        <w:tc>
          <w:tcPr>
            <w:tcW w:w="702" w:type="dxa"/>
          </w:tcPr>
          <w:p>
            <w:pPr>
              <w:pStyle w:val="TableParagraph"/>
              <w:spacing w:before="7"/>
              <w:rPr>
                <w:sz w:val="26"/>
              </w:rPr>
            </w:pPr>
          </w:p>
          <w:p>
            <w:pPr>
              <w:pStyle w:val="TableParagraph"/>
              <w:spacing w:before="1"/>
              <w:ind w:right="94"/>
              <w:jc w:val="right"/>
              <w:rPr>
                <w:sz w:val="18"/>
              </w:rPr>
            </w:pPr>
            <w:r>
              <w:rPr>
                <w:spacing w:val="-5"/>
                <w:sz w:val="18"/>
              </w:rPr>
              <w:t>2.9</w:t>
            </w:r>
          </w:p>
        </w:tc>
      </w:tr>
      <w:tr>
        <w:trPr>
          <w:trHeight w:val="827" w:hRule="atLeast"/>
        </w:trPr>
        <w:tc>
          <w:tcPr>
            <w:tcW w:w="910" w:type="dxa"/>
          </w:tcPr>
          <w:p>
            <w:pPr>
              <w:pStyle w:val="TableParagraph"/>
              <w:spacing w:before="7"/>
              <w:rPr>
                <w:sz w:val="26"/>
              </w:rPr>
            </w:pPr>
          </w:p>
          <w:p>
            <w:pPr>
              <w:pStyle w:val="TableParagraph"/>
              <w:ind w:left="138"/>
              <w:rPr>
                <w:sz w:val="18"/>
              </w:rPr>
            </w:pPr>
            <w:r>
              <w:rPr>
                <w:spacing w:val="-2"/>
                <w:sz w:val="18"/>
              </w:rPr>
              <w:t>54/55</w:t>
            </w:r>
          </w:p>
        </w:tc>
        <w:tc>
          <w:tcPr>
            <w:tcW w:w="877" w:type="dxa"/>
          </w:tcPr>
          <w:p>
            <w:pPr>
              <w:pStyle w:val="TableParagraph"/>
              <w:spacing w:before="7"/>
              <w:rPr>
                <w:sz w:val="26"/>
              </w:rPr>
            </w:pPr>
          </w:p>
          <w:p>
            <w:pPr>
              <w:pStyle w:val="TableParagraph"/>
              <w:ind w:left="311"/>
              <w:rPr>
                <w:sz w:val="18"/>
              </w:rPr>
            </w:pPr>
            <w:r>
              <w:rPr>
                <w:spacing w:val="-5"/>
                <w:sz w:val="18"/>
              </w:rPr>
              <w:t>1.3</w:t>
            </w:r>
          </w:p>
        </w:tc>
        <w:tc>
          <w:tcPr>
            <w:tcW w:w="945" w:type="dxa"/>
          </w:tcPr>
          <w:p>
            <w:pPr>
              <w:pStyle w:val="TableParagraph"/>
              <w:spacing w:before="7"/>
              <w:rPr>
                <w:sz w:val="26"/>
              </w:rPr>
            </w:pPr>
          </w:p>
          <w:p>
            <w:pPr>
              <w:pStyle w:val="TableParagraph"/>
              <w:ind w:left="281" w:right="325"/>
              <w:jc w:val="center"/>
              <w:rPr>
                <w:sz w:val="18"/>
              </w:rPr>
            </w:pPr>
            <w:r>
              <w:rPr>
                <w:spacing w:val="-4"/>
                <w:sz w:val="18"/>
              </w:rPr>
              <w:t>98.2</w:t>
            </w:r>
          </w:p>
        </w:tc>
        <w:tc>
          <w:tcPr>
            <w:tcW w:w="967" w:type="dxa"/>
          </w:tcPr>
          <w:p>
            <w:pPr>
              <w:pStyle w:val="TableParagraph"/>
              <w:spacing w:before="7"/>
              <w:rPr>
                <w:sz w:val="26"/>
              </w:rPr>
            </w:pPr>
          </w:p>
          <w:p>
            <w:pPr>
              <w:pStyle w:val="TableParagraph"/>
              <w:ind w:right="357"/>
              <w:jc w:val="right"/>
              <w:rPr>
                <w:sz w:val="18"/>
              </w:rPr>
            </w:pPr>
            <w:r>
              <w:rPr>
                <w:spacing w:val="-5"/>
                <w:sz w:val="18"/>
              </w:rPr>
              <w:t>1.3</w:t>
            </w:r>
          </w:p>
        </w:tc>
        <w:tc>
          <w:tcPr>
            <w:tcW w:w="1174" w:type="dxa"/>
          </w:tcPr>
          <w:p>
            <w:pPr>
              <w:pStyle w:val="TableParagraph"/>
              <w:spacing w:before="7"/>
              <w:rPr>
                <w:sz w:val="26"/>
              </w:rPr>
            </w:pPr>
          </w:p>
          <w:p>
            <w:pPr>
              <w:pStyle w:val="TableParagraph"/>
              <w:ind w:left="296" w:right="258"/>
              <w:jc w:val="center"/>
              <w:rPr>
                <w:sz w:val="18"/>
              </w:rPr>
            </w:pPr>
            <w:r>
              <w:rPr>
                <w:spacing w:val="-2"/>
                <w:sz w:val="18"/>
              </w:rPr>
              <w:t>54/55</w:t>
            </w:r>
          </w:p>
        </w:tc>
        <w:tc>
          <w:tcPr>
            <w:tcW w:w="877" w:type="dxa"/>
          </w:tcPr>
          <w:p>
            <w:pPr>
              <w:pStyle w:val="TableParagraph"/>
              <w:spacing w:before="7"/>
              <w:rPr>
                <w:sz w:val="26"/>
              </w:rPr>
            </w:pPr>
          </w:p>
          <w:p>
            <w:pPr>
              <w:pStyle w:val="TableParagraph"/>
              <w:ind w:left="309"/>
              <w:rPr>
                <w:sz w:val="18"/>
              </w:rPr>
            </w:pPr>
            <w:r>
              <w:rPr>
                <w:spacing w:val="-5"/>
                <w:sz w:val="18"/>
              </w:rPr>
              <w:t>1.3</w:t>
            </w:r>
          </w:p>
        </w:tc>
        <w:tc>
          <w:tcPr>
            <w:tcW w:w="945" w:type="dxa"/>
          </w:tcPr>
          <w:p>
            <w:pPr>
              <w:pStyle w:val="TableParagraph"/>
              <w:spacing w:before="7"/>
              <w:rPr>
                <w:sz w:val="26"/>
              </w:rPr>
            </w:pPr>
          </w:p>
          <w:p>
            <w:pPr>
              <w:pStyle w:val="TableParagraph"/>
              <w:ind w:left="289"/>
              <w:rPr>
                <w:sz w:val="18"/>
              </w:rPr>
            </w:pPr>
            <w:r>
              <w:rPr>
                <w:spacing w:val="-4"/>
                <w:sz w:val="18"/>
              </w:rPr>
              <w:t>98.2</w:t>
            </w:r>
          </w:p>
        </w:tc>
        <w:tc>
          <w:tcPr>
            <w:tcW w:w="702" w:type="dxa"/>
          </w:tcPr>
          <w:p>
            <w:pPr>
              <w:pStyle w:val="TableParagraph"/>
              <w:spacing w:before="7"/>
              <w:rPr>
                <w:sz w:val="26"/>
              </w:rPr>
            </w:pPr>
          </w:p>
          <w:p>
            <w:pPr>
              <w:pStyle w:val="TableParagraph"/>
              <w:ind w:right="94"/>
              <w:jc w:val="right"/>
              <w:rPr>
                <w:sz w:val="18"/>
              </w:rPr>
            </w:pPr>
            <w:r>
              <w:rPr>
                <w:spacing w:val="-5"/>
                <w:sz w:val="18"/>
              </w:rPr>
              <w:t>1.3</w:t>
            </w:r>
          </w:p>
        </w:tc>
      </w:tr>
      <w:tr>
        <w:trPr>
          <w:trHeight w:val="513" w:hRule="atLeast"/>
        </w:trPr>
        <w:tc>
          <w:tcPr>
            <w:tcW w:w="910" w:type="dxa"/>
          </w:tcPr>
          <w:p>
            <w:pPr>
              <w:pStyle w:val="TableParagraph"/>
              <w:spacing w:before="7"/>
              <w:rPr>
                <w:sz w:val="26"/>
              </w:rPr>
            </w:pPr>
          </w:p>
          <w:p>
            <w:pPr>
              <w:pStyle w:val="TableParagraph"/>
              <w:spacing w:line="187" w:lineRule="exact"/>
              <w:ind w:left="50"/>
              <w:rPr>
                <w:sz w:val="18"/>
              </w:rPr>
            </w:pPr>
            <w:r>
              <w:rPr>
                <w:spacing w:val="-2"/>
                <w:sz w:val="18"/>
              </w:rPr>
              <w:t>206/479</w:t>
            </w:r>
          </w:p>
        </w:tc>
        <w:tc>
          <w:tcPr>
            <w:tcW w:w="877" w:type="dxa"/>
          </w:tcPr>
          <w:p>
            <w:pPr>
              <w:pStyle w:val="TableParagraph"/>
              <w:spacing w:before="7"/>
              <w:rPr>
                <w:sz w:val="26"/>
              </w:rPr>
            </w:pPr>
          </w:p>
          <w:p>
            <w:pPr>
              <w:pStyle w:val="TableParagraph"/>
              <w:spacing w:line="187" w:lineRule="exact"/>
              <w:ind w:left="268"/>
              <w:rPr>
                <w:sz w:val="18"/>
              </w:rPr>
            </w:pPr>
            <w:r>
              <w:rPr>
                <w:spacing w:val="-4"/>
                <w:sz w:val="18"/>
              </w:rPr>
              <w:t>11.3</w:t>
            </w:r>
          </w:p>
        </w:tc>
        <w:tc>
          <w:tcPr>
            <w:tcW w:w="945" w:type="dxa"/>
          </w:tcPr>
          <w:p>
            <w:pPr>
              <w:pStyle w:val="TableParagraph"/>
              <w:spacing w:before="7"/>
              <w:rPr>
                <w:sz w:val="26"/>
              </w:rPr>
            </w:pPr>
          </w:p>
          <w:p>
            <w:pPr>
              <w:pStyle w:val="TableParagraph"/>
              <w:spacing w:line="187" w:lineRule="exact"/>
              <w:ind w:left="281" w:right="325"/>
              <w:jc w:val="center"/>
              <w:rPr>
                <w:sz w:val="18"/>
              </w:rPr>
            </w:pPr>
            <w:r>
              <w:rPr>
                <w:spacing w:val="-4"/>
                <w:sz w:val="18"/>
              </w:rPr>
              <w:t>43.0</w:t>
            </w:r>
          </w:p>
        </w:tc>
        <w:tc>
          <w:tcPr>
            <w:tcW w:w="967" w:type="dxa"/>
          </w:tcPr>
          <w:p>
            <w:pPr>
              <w:pStyle w:val="TableParagraph"/>
              <w:spacing w:before="7"/>
              <w:rPr>
                <w:sz w:val="26"/>
              </w:rPr>
            </w:pPr>
          </w:p>
          <w:p>
            <w:pPr>
              <w:pStyle w:val="TableParagraph"/>
              <w:spacing w:line="187" w:lineRule="exact"/>
              <w:ind w:right="357"/>
              <w:jc w:val="right"/>
              <w:rPr>
                <w:sz w:val="18"/>
              </w:rPr>
            </w:pPr>
            <w:r>
              <w:rPr>
                <w:spacing w:val="-5"/>
                <w:sz w:val="18"/>
              </w:rPr>
              <w:t>4.8</w:t>
            </w:r>
          </w:p>
        </w:tc>
        <w:tc>
          <w:tcPr>
            <w:tcW w:w="1174" w:type="dxa"/>
          </w:tcPr>
          <w:p>
            <w:pPr>
              <w:pStyle w:val="TableParagraph"/>
              <w:spacing w:before="7"/>
              <w:rPr>
                <w:sz w:val="26"/>
              </w:rPr>
            </w:pPr>
          </w:p>
          <w:p>
            <w:pPr>
              <w:pStyle w:val="TableParagraph"/>
              <w:spacing w:line="187" w:lineRule="exact"/>
              <w:ind w:left="299" w:right="258"/>
              <w:jc w:val="center"/>
              <w:rPr>
                <w:sz w:val="18"/>
              </w:rPr>
            </w:pPr>
            <w:r>
              <w:rPr>
                <w:spacing w:val="-2"/>
                <w:sz w:val="18"/>
              </w:rPr>
              <w:t>220/471</w:t>
            </w:r>
          </w:p>
        </w:tc>
        <w:tc>
          <w:tcPr>
            <w:tcW w:w="877" w:type="dxa"/>
          </w:tcPr>
          <w:p>
            <w:pPr>
              <w:pStyle w:val="TableParagraph"/>
              <w:spacing w:before="7"/>
              <w:rPr>
                <w:sz w:val="26"/>
              </w:rPr>
            </w:pPr>
          </w:p>
          <w:p>
            <w:pPr>
              <w:pStyle w:val="TableParagraph"/>
              <w:spacing w:line="187" w:lineRule="exact"/>
              <w:ind w:left="265"/>
              <w:rPr>
                <w:sz w:val="18"/>
              </w:rPr>
            </w:pPr>
            <w:r>
              <w:rPr>
                <w:spacing w:val="-4"/>
                <w:sz w:val="18"/>
              </w:rPr>
              <w:t>11.5</w:t>
            </w:r>
          </w:p>
        </w:tc>
        <w:tc>
          <w:tcPr>
            <w:tcW w:w="945" w:type="dxa"/>
          </w:tcPr>
          <w:p>
            <w:pPr>
              <w:pStyle w:val="TableParagraph"/>
              <w:spacing w:before="7"/>
              <w:rPr>
                <w:sz w:val="26"/>
              </w:rPr>
            </w:pPr>
          </w:p>
          <w:p>
            <w:pPr>
              <w:pStyle w:val="TableParagraph"/>
              <w:spacing w:line="187" w:lineRule="exact"/>
              <w:ind w:left="289"/>
              <w:rPr>
                <w:sz w:val="18"/>
              </w:rPr>
            </w:pPr>
            <w:r>
              <w:rPr>
                <w:spacing w:val="-4"/>
                <w:sz w:val="18"/>
              </w:rPr>
              <w:t>46.7</w:t>
            </w:r>
          </w:p>
        </w:tc>
        <w:tc>
          <w:tcPr>
            <w:tcW w:w="702" w:type="dxa"/>
          </w:tcPr>
          <w:p>
            <w:pPr>
              <w:pStyle w:val="TableParagraph"/>
              <w:spacing w:before="7"/>
              <w:rPr>
                <w:sz w:val="26"/>
              </w:rPr>
            </w:pPr>
          </w:p>
          <w:p>
            <w:pPr>
              <w:pStyle w:val="TableParagraph"/>
              <w:spacing w:line="187" w:lineRule="exact"/>
              <w:ind w:right="94"/>
              <w:jc w:val="right"/>
              <w:rPr>
                <w:sz w:val="18"/>
              </w:rPr>
            </w:pPr>
            <w:r>
              <w:rPr>
                <w:spacing w:val="-5"/>
                <w:sz w:val="18"/>
              </w:rPr>
              <w:t>5.4</w:t>
            </w:r>
          </w:p>
        </w:tc>
      </w:tr>
    </w:tbl>
    <w:p>
      <w:pPr>
        <w:spacing w:after="0" w:line="187" w:lineRule="exact"/>
        <w:jc w:val="right"/>
        <w:rPr>
          <w:sz w:val="18"/>
        </w:rPr>
        <w:sectPr>
          <w:type w:val="continuous"/>
          <w:pgSz w:w="11910" w:h="16840"/>
          <w:pgMar w:header="835" w:footer="0" w:top="740" w:bottom="0" w:left="900" w:right="840"/>
          <w:cols w:num="2" w:equalWidth="0">
            <w:col w:w="1861" w:space="138"/>
            <w:col w:w="8171"/>
          </w:cols>
        </w:sectPr>
      </w:pPr>
    </w:p>
    <w:p>
      <w:pPr>
        <w:tabs>
          <w:tab w:pos="9959" w:val="left" w:leader="none"/>
        </w:tabs>
        <w:spacing w:before="0"/>
        <w:ind w:left="115" w:right="0" w:firstLine="0"/>
        <w:jc w:val="left"/>
        <w:rPr>
          <w:sz w:val="18"/>
        </w:rPr>
      </w:pPr>
      <w:r>
        <w:rPr>
          <w:spacing w:val="70"/>
          <w:sz w:val="18"/>
          <w:u w:val="single"/>
        </w:rPr>
        <w:t> </w:t>
      </w:r>
      <w:r>
        <w:rPr>
          <w:sz w:val="18"/>
          <w:u w:val="single"/>
        </w:rPr>
        <w:t>caesarean </w:t>
      </w:r>
      <w:r>
        <w:rPr>
          <w:spacing w:val="-2"/>
          <w:sz w:val="18"/>
          <w:u w:val="single"/>
        </w:rPr>
        <w:t>sections)</w:t>
      </w:r>
      <w:r>
        <w:rPr>
          <w:sz w:val="18"/>
          <w:u w:val="single"/>
        </w:rPr>
        <w:tab/>
      </w:r>
    </w:p>
    <w:p>
      <w:pPr>
        <w:pStyle w:val="BodyText"/>
        <w:spacing w:before="8"/>
        <w:rPr>
          <w:sz w:val="13"/>
        </w:rPr>
      </w:pPr>
    </w:p>
    <w:p>
      <w:pPr>
        <w:spacing w:after="0"/>
        <w:rPr>
          <w:sz w:val="13"/>
        </w:rPr>
        <w:sectPr>
          <w:type w:val="continuous"/>
          <w:pgSz w:w="11910" w:h="16840"/>
          <w:pgMar w:header="835" w:footer="0" w:top="740" w:bottom="0" w:left="900" w:right="840"/>
        </w:sectPr>
      </w:pPr>
    </w:p>
    <w:p>
      <w:pPr>
        <w:pStyle w:val="Heading4"/>
        <w:spacing w:before="97"/>
      </w:pPr>
      <w:r>
        <w:rPr>
          <w:spacing w:val="-2"/>
        </w:rPr>
        <w:t>Discussion</w:t>
      </w:r>
    </w:p>
    <w:p>
      <w:pPr>
        <w:pStyle w:val="BodyText"/>
        <w:spacing w:before="6"/>
        <w:rPr>
          <w:b/>
          <w:sz w:val="20"/>
        </w:rPr>
      </w:pPr>
    </w:p>
    <w:p>
      <w:pPr>
        <w:pStyle w:val="BodyText"/>
        <w:ind w:left="238"/>
      </w:pPr>
      <w:r>
        <w:rPr/>
        <w:t>The</w:t>
      </w:r>
      <w:r>
        <w:rPr>
          <w:spacing w:val="28"/>
        </w:rPr>
        <w:t> </w:t>
      </w:r>
      <w:r>
        <w:rPr/>
        <w:t>rate</w:t>
      </w:r>
      <w:r>
        <w:rPr>
          <w:spacing w:val="27"/>
        </w:rPr>
        <w:t> </w:t>
      </w:r>
      <w:r>
        <w:rPr/>
        <w:t>of</w:t>
      </w:r>
      <w:r>
        <w:rPr>
          <w:spacing w:val="27"/>
        </w:rPr>
        <w:t> </w:t>
      </w:r>
      <w:r>
        <w:rPr/>
        <w:t>cesarean</w:t>
      </w:r>
      <w:r>
        <w:rPr>
          <w:spacing w:val="27"/>
        </w:rPr>
        <w:t> </w:t>
      </w:r>
      <w:r>
        <w:rPr/>
        <w:t>sections</w:t>
      </w:r>
      <w:r>
        <w:rPr>
          <w:spacing w:val="27"/>
        </w:rPr>
        <w:t> </w:t>
      </w:r>
      <w:r>
        <w:rPr/>
        <w:t>has</w:t>
      </w:r>
      <w:r>
        <w:rPr>
          <w:spacing w:val="27"/>
        </w:rPr>
        <w:t> </w:t>
      </w:r>
      <w:r>
        <w:rPr/>
        <w:t>increased</w:t>
      </w:r>
      <w:r>
        <w:rPr>
          <w:spacing w:val="27"/>
        </w:rPr>
        <w:t> </w:t>
      </w:r>
      <w:r>
        <w:rPr/>
        <w:t>in</w:t>
      </w:r>
      <w:r>
        <w:rPr>
          <w:spacing w:val="27"/>
        </w:rPr>
        <w:t> </w:t>
      </w:r>
      <w:r>
        <w:rPr/>
        <w:t>recent years.</w:t>
      </w:r>
      <w:r>
        <w:rPr>
          <w:spacing w:val="29"/>
        </w:rPr>
        <w:t> </w:t>
      </w:r>
      <w:r>
        <w:rPr/>
        <w:t>Different</w:t>
      </w:r>
      <w:r>
        <w:rPr>
          <w:spacing w:val="28"/>
        </w:rPr>
        <w:t> </w:t>
      </w:r>
      <w:r>
        <w:rPr/>
        <w:t>countries</w:t>
      </w:r>
      <w:r>
        <w:rPr>
          <w:spacing w:val="29"/>
        </w:rPr>
        <w:t> </w:t>
      </w:r>
      <w:r>
        <w:rPr/>
        <w:t>show</w:t>
      </w:r>
      <w:r>
        <w:rPr>
          <w:spacing w:val="28"/>
        </w:rPr>
        <w:t> </w:t>
      </w:r>
      <w:r>
        <w:rPr/>
        <w:t>different</w:t>
      </w:r>
      <w:r>
        <w:rPr>
          <w:spacing w:val="28"/>
        </w:rPr>
        <w:t> </w:t>
      </w:r>
      <w:r>
        <w:rPr/>
        <w:t>rates</w:t>
      </w:r>
      <w:r>
        <w:rPr>
          <w:spacing w:val="29"/>
        </w:rPr>
        <w:t> </w:t>
      </w:r>
      <w:r>
        <w:rPr/>
        <w:t>of</w:t>
      </w:r>
      <w:r>
        <w:rPr>
          <w:spacing w:val="29"/>
        </w:rPr>
        <w:t> </w:t>
      </w:r>
      <w:r>
        <w:rPr/>
        <w:t>ce- sarean sections. While the World Health Organization recommends</w:t>
      </w:r>
      <w:r>
        <w:rPr>
          <w:spacing w:val="29"/>
        </w:rPr>
        <w:t> </w:t>
      </w:r>
      <w:r>
        <w:rPr/>
        <w:t>that</w:t>
      </w:r>
      <w:r>
        <w:rPr>
          <w:spacing w:val="31"/>
        </w:rPr>
        <w:t> </w:t>
      </w:r>
      <w:r>
        <w:rPr/>
        <w:t>the</w:t>
      </w:r>
      <w:r>
        <w:rPr>
          <w:spacing w:val="29"/>
        </w:rPr>
        <w:t> </w:t>
      </w:r>
      <w:r>
        <w:rPr/>
        <w:t>number</w:t>
      </w:r>
      <w:r>
        <w:rPr>
          <w:spacing w:val="29"/>
        </w:rPr>
        <w:t> </w:t>
      </w:r>
      <w:r>
        <w:rPr/>
        <w:t>of</w:t>
      </w:r>
      <w:r>
        <w:rPr>
          <w:spacing w:val="29"/>
        </w:rPr>
        <w:t> </w:t>
      </w:r>
      <w:r>
        <w:rPr/>
        <w:t>cesareans</w:t>
      </w:r>
      <w:r>
        <w:rPr>
          <w:spacing w:val="30"/>
        </w:rPr>
        <w:t> </w:t>
      </w:r>
      <w:r>
        <w:rPr/>
        <w:t>should</w:t>
      </w:r>
      <w:r>
        <w:rPr>
          <w:spacing w:val="30"/>
        </w:rPr>
        <w:t> </w:t>
      </w:r>
      <w:r>
        <w:rPr/>
        <w:t>be below 15%, many countries have significantly higher birth rates, for example, Italy 36%, USA 32%, Turkey 50%,</w:t>
      </w:r>
      <w:r>
        <w:rPr>
          <w:spacing w:val="33"/>
        </w:rPr>
        <w:t> </w:t>
      </w:r>
      <w:r>
        <w:rPr/>
        <w:t>Chile</w:t>
      </w:r>
      <w:r>
        <w:rPr>
          <w:spacing w:val="33"/>
        </w:rPr>
        <w:t> </w:t>
      </w:r>
      <w:r>
        <w:rPr/>
        <w:t>45%,</w:t>
      </w:r>
      <w:r>
        <w:rPr>
          <w:spacing w:val="33"/>
        </w:rPr>
        <w:t> </w:t>
      </w:r>
      <w:r>
        <w:rPr/>
        <w:t>while</w:t>
      </w:r>
      <w:r>
        <w:rPr>
          <w:spacing w:val="33"/>
        </w:rPr>
        <w:t> </w:t>
      </w:r>
      <w:r>
        <w:rPr/>
        <w:t>there</w:t>
      </w:r>
      <w:r>
        <w:rPr>
          <w:spacing w:val="33"/>
        </w:rPr>
        <w:t> </w:t>
      </w:r>
      <w:r>
        <w:rPr/>
        <w:t>are</w:t>
      </w:r>
      <w:r>
        <w:rPr>
          <w:spacing w:val="33"/>
        </w:rPr>
        <w:t> </w:t>
      </w:r>
      <w:r>
        <w:rPr/>
        <w:t>countries</w:t>
      </w:r>
      <w:r>
        <w:rPr>
          <w:spacing w:val="32"/>
        </w:rPr>
        <w:t> </w:t>
      </w:r>
      <w:r>
        <w:rPr/>
        <w:t>in</w:t>
      </w:r>
      <w:r>
        <w:rPr>
          <w:spacing w:val="33"/>
        </w:rPr>
        <w:t> </w:t>
      </w:r>
      <w:r>
        <w:rPr/>
        <w:t>which the rate of cesarean section is close to the recommen- dation of the World Health Organization, for example, </w:t>
      </w:r>
      <w:r>
        <w:rPr>
          <w:spacing w:val="-4"/>
        </w:rPr>
        <w:t>Iceland</w:t>
      </w:r>
      <w:r>
        <w:rPr>
          <w:spacing w:val="-8"/>
        </w:rPr>
        <w:t> </w:t>
      </w:r>
      <w:r>
        <w:rPr>
          <w:spacing w:val="-4"/>
        </w:rPr>
        <w:t>15%,</w:t>
      </w:r>
      <w:r>
        <w:rPr>
          <w:spacing w:val="-8"/>
        </w:rPr>
        <w:t> </w:t>
      </w:r>
      <w:r>
        <w:rPr>
          <w:spacing w:val="-4"/>
        </w:rPr>
        <w:t>Israel</w:t>
      </w:r>
      <w:r>
        <w:rPr>
          <w:spacing w:val="-9"/>
        </w:rPr>
        <w:t> </w:t>
      </w:r>
      <w:r>
        <w:rPr>
          <w:spacing w:val="-4"/>
        </w:rPr>
        <w:t>15%,</w:t>
      </w:r>
      <w:r>
        <w:rPr>
          <w:spacing w:val="-8"/>
        </w:rPr>
        <w:t> </w:t>
      </w:r>
      <w:r>
        <w:rPr>
          <w:spacing w:val="-4"/>
        </w:rPr>
        <w:t>Sweden</w:t>
      </w:r>
      <w:r>
        <w:rPr>
          <w:spacing w:val="-11"/>
        </w:rPr>
        <w:t> </w:t>
      </w:r>
      <w:r>
        <w:rPr>
          <w:spacing w:val="-4"/>
        </w:rPr>
        <w:t>16%</w:t>
      </w:r>
      <w:r>
        <w:rPr>
          <w:spacing w:val="-9"/>
        </w:rPr>
        <w:t> </w:t>
      </w:r>
      <w:r>
        <w:rPr>
          <w:spacing w:val="-4"/>
        </w:rPr>
        <w:t>and</w:t>
      </w:r>
      <w:r>
        <w:rPr>
          <w:spacing w:val="-8"/>
        </w:rPr>
        <w:t> </w:t>
      </w:r>
      <w:r>
        <w:rPr>
          <w:spacing w:val="-4"/>
        </w:rPr>
        <w:t>Norway</w:t>
      </w:r>
      <w:r>
        <w:rPr>
          <w:spacing w:val="-14"/>
        </w:rPr>
        <w:t> </w:t>
      </w:r>
      <w:r>
        <w:rPr>
          <w:spacing w:val="-4"/>
        </w:rPr>
        <w:t>17%. </w:t>
      </w:r>
      <w:r>
        <w:rPr/>
        <w:t>The</w:t>
      </w:r>
      <w:r>
        <w:rPr>
          <w:spacing w:val="40"/>
        </w:rPr>
        <w:t> </w:t>
      </w:r>
      <w:r>
        <w:rPr/>
        <w:t>implementation</w:t>
      </w:r>
      <w:r>
        <w:rPr>
          <w:spacing w:val="40"/>
        </w:rPr>
        <w:t> </w:t>
      </w:r>
      <w:r>
        <w:rPr/>
        <w:t>of</w:t>
      </w:r>
      <w:r>
        <w:rPr>
          <w:spacing w:val="40"/>
        </w:rPr>
        <w:t> </w:t>
      </w:r>
      <w:r>
        <w:rPr/>
        <w:t>the</w:t>
      </w:r>
      <w:r>
        <w:rPr>
          <w:spacing w:val="40"/>
        </w:rPr>
        <w:t> </w:t>
      </w:r>
      <w:r>
        <w:rPr/>
        <w:t>Robson</w:t>
      </w:r>
      <w:r>
        <w:rPr>
          <w:spacing w:val="40"/>
        </w:rPr>
        <w:t> </w:t>
      </w:r>
      <w:r>
        <w:rPr/>
        <w:t>classification</w:t>
      </w:r>
      <w:r>
        <w:rPr>
          <w:spacing w:val="40"/>
        </w:rPr>
        <w:t> </w:t>
      </w:r>
      <w:r>
        <w:rPr/>
        <w:t>in most countries</w:t>
      </w:r>
      <w:r>
        <w:rPr>
          <w:spacing w:val="-1"/>
        </w:rPr>
        <w:t> </w:t>
      </w:r>
      <w:r>
        <w:rPr/>
        <w:t>has</w:t>
      </w:r>
      <w:r>
        <w:rPr>
          <w:spacing w:val="-1"/>
        </w:rPr>
        <w:t> </w:t>
      </w:r>
      <w:r>
        <w:rPr/>
        <w:t>shown a reduction in the number</w:t>
      </w:r>
      <w:r>
        <w:rPr>
          <w:spacing w:val="-1"/>
        </w:rPr>
        <w:t> </w:t>
      </w:r>
      <w:r>
        <w:rPr/>
        <w:t>of cesarean sections and thus a reduction in overall ma- ternal and neonatal morbidity and mortality. Examples are</w:t>
      </w:r>
      <w:r>
        <w:rPr>
          <w:spacing w:val="40"/>
        </w:rPr>
        <w:t> </w:t>
      </w:r>
      <w:r>
        <w:rPr/>
        <w:t>several</w:t>
      </w:r>
      <w:r>
        <w:rPr>
          <w:spacing w:val="40"/>
        </w:rPr>
        <w:t> </w:t>
      </w:r>
      <w:r>
        <w:rPr/>
        <w:t>countries</w:t>
      </w:r>
      <w:r>
        <w:rPr>
          <w:spacing w:val="40"/>
        </w:rPr>
        <w:t> </w:t>
      </w:r>
      <w:r>
        <w:rPr/>
        <w:t>which</w:t>
      </w:r>
      <w:r>
        <w:rPr>
          <w:spacing w:val="40"/>
        </w:rPr>
        <w:t> </w:t>
      </w:r>
      <w:r>
        <w:rPr/>
        <w:t>have</w:t>
      </w:r>
      <w:r>
        <w:rPr>
          <w:spacing w:val="40"/>
        </w:rPr>
        <w:t> </w:t>
      </w:r>
      <w:r>
        <w:rPr/>
        <w:t>implemented</w:t>
      </w:r>
      <w:r>
        <w:rPr>
          <w:spacing w:val="40"/>
        </w:rPr>
        <w:t> </w:t>
      </w:r>
      <w:r>
        <w:rPr/>
        <w:t>the Robson criteria:</w:t>
      </w:r>
    </w:p>
    <w:p>
      <w:pPr>
        <w:pStyle w:val="BodyText"/>
        <w:spacing w:before="92"/>
        <w:ind w:left="238" w:right="290"/>
        <w:jc w:val="both"/>
      </w:pPr>
      <w:r>
        <w:rPr/>
        <w:br w:type="column"/>
      </w:r>
      <w:r>
        <w:rPr/>
        <w:t>In Brazil, cesarean section rates in groups 1</w:t>
      </w:r>
      <w:r>
        <w:rPr>
          <w:spacing w:val="-1"/>
        </w:rPr>
        <w:t> </w:t>
      </w:r>
      <w:r>
        <w:rPr/>
        <w:t>and 2</w:t>
      </w:r>
      <w:r>
        <w:rPr>
          <w:spacing w:val="-1"/>
        </w:rPr>
        <w:t> </w:t>
      </w:r>
      <w:r>
        <w:rPr/>
        <w:t>dec- reased from 34.6 to 13.5% in a 10-month observation period.</w:t>
      </w:r>
      <w:r>
        <w:rPr>
          <w:spacing w:val="-6"/>
        </w:rPr>
        <w:t> </w:t>
      </w:r>
      <w:r>
        <w:rPr/>
        <w:t>The</w:t>
      </w:r>
      <w:r>
        <w:rPr>
          <w:spacing w:val="-13"/>
        </w:rPr>
        <w:t> </w:t>
      </w:r>
      <w:r>
        <w:rPr/>
        <w:t>authors</w:t>
      </w:r>
      <w:r>
        <w:rPr>
          <w:spacing w:val="-13"/>
        </w:rPr>
        <w:t> </w:t>
      </w:r>
      <w:r>
        <w:rPr/>
        <w:t>did</w:t>
      </w:r>
      <w:r>
        <w:rPr>
          <w:spacing w:val="-13"/>
        </w:rPr>
        <w:t> </w:t>
      </w:r>
      <w:r>
        <w:rPr/>
        <w:t>not</w:t>
      </w:r>
      <w:r>
        <w:rPr>
          <w:spacing w:val="-14"/>
        </w:rPr>
        <w:t> </w:t>
      </w:r>
      <w:r>
        <w:rPr/>
        <w:t>observe</w:t>
      </w:r>
      <w:r>
        <w:rPr>
          <w:spacing w:val="-10"/>
        </w:rPr>
        <w:t> </w:t>
      </w:r>
      <w:r>
        <w:rPr/>
        <w:t>changes</w:t>
      </w:r>
      <w:r>
        <w:rPr>
          <w:spacing w:val="-12"/>
        </w:rPr>
        <w:t> </w:t>
      </w:r>
      <w:r>
        <w:rPr/>
        <w:t>in</w:t>
      </w:r>
      <w:r>
        <w:rPr>
          <w:spacing w:val="-13"/>
        </w:rPr>
        <w:t> </w:t>
      </w:r>
      <w:r>
        <w:rPr/>
        <w:t>APGAR score less than seven at 5 minute and perinatal morta- lity at 10 months [11].</w:t>
      </w:r>
    </w:p>
    <w:p>
      <w:pPr>
        <w:pStyle w:val="BodyText"/>
        <w:ind w:left="238" w:right="290"/>
        <w:jc w:val="both"/>
      </w:pPr>
      <w:r>
        <w:rPr/>
        <w:t>Sweden</w:t>
      </w:r>
      <w:r>
        <w:rPr>
          <w:spacing w:val="-3"/>
        </w:rPr>
        <w:t> </w:t>
      </w:r>
      <w:r>
        <w:rPr/>
        <w:t>had</w:t>
      </w:r>
      <w:r>
        <w:rPr>
          <w:spacing w:val="-3"/>
        </w:rPr>
        <w:t> </w:t>
      </w:r>
      <w:r>
        <w:rPr/>
        <w:t>a</w:t>
      </w:r>
      <w:r>
        <w:rPr>
          <w:spacing w:val="-3"/>
        </w:rPr>
        <w:t> </w:t>
      </w:r>
      <w:r>
        <w:rPr/>
        <w:t>reduction</w:t>
      </w:r>
      <w:r>
        <w:rPr>
          <w:spacing w:val="-3"/>
        </w:rPr>
        <w:t> </w:t>
      </w:r>
      <w:r>
        <w:rPr/>
        <w:t>in</w:t>
      </w:r>
      <w:r>
        <w:rPr>
          <w:spacing w:val="-3"/>
        </w:rPr>
        <w:t> </w:t>
      </w:r>
      <w:r>
        <w:rPr/>
        <w:t>the</w:t>
      </w:r>
      <w:r>
        <w:rPr>
          <w:spacing w:val="-3"/>
        </w:rPr>
        <w:t> </w:t>
      </w:r>
      <w:r>
        <w:rPr/>
        <w:t>cesarean</w:t>
      </w:r>
      <w:r>
        <w:rPr>
          <w:spacing w:val="-3"/>
        </w:rPr>
        <w:t> </w:t>
      </w:r>
      <w:r>
        <w:rPr/>
        <w:t>sections</w:t>
      </w:r>
      <w:r>
        <w:rPr>
          <w:spacing w:val="-4"/>
        </w:rPr>
        <w:t> </w:t>
      </w:r>
      <w:r>
        <w:rPr/>
        <w:t>rate</w:t>
      </w:r>
      <w:r>
        <w:rPr>
          <w:spacing w:val="-3"/>
        </w:rPr>
        <w:t> </w:t>
      </w:r>
      <w:r>
        <w:rPr/>
        <w:t>in group 1 from 10% in 2006 to 3.1 in 2015%. No chan- ges in neonatal outcomes and patient satisfaction were observed [12].</w:t>
      </w:r>
    </w:p>
    <w:p>
      <w:pPr>
        <w:pStyle w:val="BodyText"/>
        <w:ind w:left="238" w:right="292"/>
        <w:jc w:val="both"/>
      </w:pPr>
      <w:r>
        <w:rPr/>
        <w:t>In</w:t>
      </w:r>
      <w:r>
        <w:rPr>
          <w:spacing w:val="-1"/>
        </w:rPr>
        <w:t> </w:t>
      </w:r>
      <w:r>
        <w:rPr/>
        <w:t>Italy</w:t>
      </w:r>
      <w:r>
        <w:rPr>
          <w:spacing w:val="-6"/>
        </w:rPr>
        <w:t> </w:t>
      </w:r>
      <w:r>
        <w:rPr/>
        <w:t>in</w:t>
      </w:r>
      <w:r>
        <w:rPr>
          <w:spacing w:val="-1"/>
        </w:rPr>
        <w:t> </w:t>
      </w:r>
      <w:r>
        <w:rPr/>
        <w:t>2012-2013</w:t>
      </w:r>
      <w:r>
        <w:rPr>
          <w:spacing w:val="-3"/>
        </w:rPr>
        <w:t> </w:t>
      </w:r>
      <w:r>
        <w:rPr/>
        <w:t>there</w:t>
      </w:r>
      <w:r>
        <w:rPr>
          <w:spacing w:val="-1"/>
        </w:rPr>
        <w:t> </w:t>
      </w:r>
      <w:r>
        <w:rPr/>
        <w:t>was</w:t>
      </w:r>
      <w:r>
        <w:rPr>
          <w:spacing w:val="-4"/>
        </w:rPr>
        <w:t> </w:t>
      </w:r>
      <w:r>
        <w:rPr/>
        <w:t>a</w:t>
      </w:r>
      <w:r>
        <w:rPr>
          <w:spacing w:val="-3"/>
        </w:rPr>
        <w:t> </w:t>
      </w:r>
      <w:r>
        <w:rPr/>
        <w:t>reduction</w:t>
      </w:r>
      <w:r>
        <w:rPr>
          <w:spacing w:val="-3"/>
        </w:rPr>
        <w:t> </w:t>
      </w:r>
      <w:r>
        <w:rPr/>
        <w:t>in</w:t>
      </w:r>
      <w:r>
        <w:rPr>
          <w:spacing w:val="-3"/>
        </w:rPr>
        <w:t> </w:t>
      </w:r>
      <w:r>
        <w:rPr/>
        <w:t>cesarean section</w:t>
      </w:r>
      <w:r>
        <w:rPr>
          <w:spacing w:val="-3"/>
        </w:rPr>
        <w:t> </w:t>
      </w:r>
      <w:r>
        <w:rPr/>
        <w:t>rates</w:t>
      </w:r>
      <w:r>
        <w:rPr>
          <w:spacing w:val="-4"/>
        </w:rPr>
        <w:t> </w:t>
      </w:r>
      <w:r>
        <w:rPr/>
        <w:t>from</w:t>
      </w:r>
      <w:r>
        <w:rPr>
          <w:spacing w:val="-4"/>
        </w:rPr>
        <w:t> </w:t>
      </w:r>
      <w:r>
        <w:rPr/>
        <w:t>17.2%</w:t>
      </w:r>
      <w:r>
        <w:rPr>
          <w:spacing w:val="-4"/>
        </w:rPr>
        <w:t> </w:t>
      </w:r>
      <w:r>
        <w:rPr/>
        <w:t>to</w:t>
      </w:r>
      <w:r>
        <w:rPr>
          <w:spacing w:val="-1"/>
        </w:rPr>
        <w:t> </w:t>
      </w:r>
      <w:r>
        <w:rPr/>
        <w:t>11%</w:t>
      </w:r>
      <w:r>
        <w:rPr>
          <w:spacing w:val="-4"/>
        </w:rPr>
        <w:t> </w:t>
      </w:r>
      <w:r>
        <w:rPr/>
        <w:t>during</w:t>
      </w:r>
      <w:r>
        <w:rPr>
          <w:spacing w:val="-3"/>
        </w:rPr>
        <w:t> </w:t>
      </w:r>
      <w:r>
        <w:rPr/>
        <w:t>the</w:t>
      </w:r>
      <w:r>
        <w:rPr>
          <w:spacing w:val="-3"/>
        </w:rPr>
        <w:t> </w:t>
      </w:r>
      <w:r>
        <w:rPr/>
        <w:t>implemen- tation of the Robson classification. There were no statistically significant changes in APGAR score less than seven at 5 minute or the rate of instrumental vacuum deliveries [18]. In Northern Italy there was a decrease from 28.8% in 2008 to 25% in 2009. There were no significant changes in the APGAR score or stillbirth rate [13].</w:t>
      </w:r>
    </w:p>
    <w:p>
      <w:pPr>
        <w:spacing w:after="0"/>
        <w:jc w:val="both"/>
        <w:sectPr>
          <w:type w:val="continuous"/>
          <w:pgSz w:w="11910" w:h="16840"/>
          <w:pgMar w:header="835" w:footer="0" w:top="740" w:bottom="0" w:left="900" w:right="840"/>
          <w:cols w:num="2" w:equalWidth="0">
            <w:col w:w="4919" w:space="79"/>
            <w:col w:w="5172"/>
          </w:cols>
        </w:sectPr>
      </w:pPr>
    </w:p>
    <w:p>
      <w:pPr>
        <w:pStyle w:val="BodyText"/>
        <w:spacing w:before="5"/>
        <w:rPr>
          <w:sz w:val="15"/>
        </w:rPr>
      </w:pPr>
    </w:p>
    <w:p>
      <w:pPr>
        <w:spacing w:after="0"/>
        <w:rPr>
          <w:sz w:val="15"/>
        </w:rPr>
        <w:sectPr>
          <w:pgSz w:w="11910" w:h="16840"/>
          <w:pgMar w:header="835" w:footer="0" w:top="1300" w:bottom="280" w:left="900" w:right="840"/>
        </w:sectPr>
      </w:pPr>
    </w:p>
    <w:p>
      <w:pPr>
        <w:pStyle w:val="BodyText"/>
        <w:spacing w:before="92"/>
        <w:ind w:left="238" w:right="38"/>
        <w:jc w:val="both"/>
      </w:pPr>
      <w:r>
        <w:rPr/>
        <w:t>Increasing the rate of cesarean section doues not re- duce maternal, neonatal morbidity and mortality, and also does increases the complications for mother and newborn</w:t>
      </w:r>
      <w:r>
        <w:rPr>
          <w:spacing w:val="-5"/>
        </w:rPr>
        <w:t> </w:t>
      </w:r>
      <w:r>
        <w:rPr/>
        <w:t>and</w:t>
      </w:r>
      <w:r>
        <w:rPr>
          <w:spacing w:val="-5"/>
        </w:rPr>
        <w:t> </w:t>
      </w:r>
      <w:r>
        <w:rPr/>
        <w:t>is</w:t>
      </w:r>
      <w:r>
        <w:rPr>
          <w:spacing w:val="-5"/>
        </w:rPr>
        <w:t> </w:t>
      </w:r>
      <w:r>
        <w:rPr/>
        <w:t>associated</w:t>
      </w:r>
      <w:r>
        <w:rPr>
          <w:spacing w:val="-5"/>
        </w:rPr>
        <w:t> </w:t>
      </w:r>
      <w:r>
        <w:rPr/>
        <w:t>with</w:t>
      </w:r>
      <w:r>
        <w:rPr>
          <w:spacing w:val="-5"/>
        </w:rPr>
        <w:t> </w:t>
      </w:r>
      <w:r>
        <w:rPr/>
        <w:t>an</w:t>
      </w:r>
      <w:r>
        <w:rPr>
          <w:spacing w:val="-5"/>
        </w:rPr>
        <w:t> </w:t>
      </w:r>
      <w:r>
        <w:rPr/>
        <w:t>increased</w:t>
      </w:r>
      <w:r>
        <w:rPr>
          <w:spacing w:val="-5"/>
        </w:rPr>
        <w:t> </w:t>
      </w:r>
      <w:r>
        <w:rPr/>
        <w:t>number</w:t>
      </w:r>
      <w:r>
        <w:rPr>
          <w:spacing w:val="-7"/>
        </w:rPr>
        <w:t> </w:t>
      </w:r>
      <w:r>
        <w:rPr/>
        <w:t>of infections, haemorrhages, adhesions, bleeding, lacera- tions,</w:t>
      </w:r>
      <w:r>
        <w:rPr>
          <w:spacing w:val="-1"/>
        </w:rPr>
        <w:t> </w:t>
      </w:r>
      <w:r>
        <w:rPr/>
        <w:t>prolonged</w:t>
      </w:r>
      <w:r>
        <w:rPr>
          <w:spacing w:val="-1"/>
        </w:rPr>
        <w:t> </w:t>
      </w:r>
      <w:r>
        <w:rPr/>
        <w:t>hospitalization</w:t>
      </w:r>
      <w:r>
        <w:rPr>
          <w:spacing w:val="-1"/>
        </w:rPr>
        <w:t> </w:t>
      </w:r>
      <w:r>
        <w:rPr/>
        <w:t>and</w:t>
      </w:r>
      <w:r>
        <w:rPr>
          <w:spacing w:val="-4"/>
        </w:rPr>
        <w:t> </w:t>
      </w:r>
      <w:r>
        <w:rPr/>
        <w:t>drug</w:t>
      </w:r>
      <w:r>
        <w:rPr>
          <w:spacing w:val="-1"/>
        </w:rPr>
        <w:t> </w:t>
      </w:r>
      <w:r>
        <w:rPr/>
        <w:t>reactions</w:t>
      </w:r>
      <w:r>
        <w:rPr>
          <w:spacing w:val="-2"/>
        </w:rPr>
        <w:t> </w:t>
      </w:r>
      <w:r>
        <w:rPr/>
        <w:t>and other [4-6]. For the newborn, the increased cesarean section rate increases respiratory complications, low </w:t>
      </w:r>
      <w:r>
        <w:rPr>
          <w:spacing w:val="-2"/>
        </w:rPr>
        <w:t>APGAR</w:t>
      </w:r>
      <w:r>
        <w:rPr>
          <w:spacing w:val="-12"/>
        </w:rPr>
        <w:t> </w:t>
      </w:r>
      <w:r>
        <w:rPr>
          <w:spacing w:val="-2"/>
        </w:rPr>
        <w:t>score,</w:t>
      </w:r>
      <w:r>
        <w:rPr>
          <w:spacing w:val="-11"/>
        </w:rPr>
        <w:t> </w:t>
      </w:r>
      <w:r>
        <w:rPr>
          <w:spacing w:val="-2"/>
        </w:rPr>
        <w:t>fetal</w:t>
      </w:r>
      <w:r>
        <w:rPr>
          <w:spacing w:val="-11"/>
        </w:rPr>
        <w:t> </w:t>
      </w:r>
      <w:r>
        <w:rPr>
          <w:spacing w:val="-2"/>
        </w:rPr>
        <w:t>injury,</w:t>
      </w:r>
      <w:r>
        <w:rPr>
          <w:spacing w:val="-11"/>
        </w:rPr>
        <w:t> </w:t>
      </w:r>
      <w:r>
        <w:rPr>
          <w:spacing w:val="-2"/>
        </w:rPr>
        <w:t>allergic</w:t>
      </w:r>
      <w:r>
        <w:rPr>
          <w:spacing w:val="-11"/>
        </w:rPr>
        <w:t> </w:t>
      </w:r>
      <w:r>
        <w:rPr>
          <w:spacing w:val="-2"/>
        </w:rPr>
        <w:t>rhinitis,</w:t>
      </w:r>
      <w:r>
        <w:rPr>
          <w:spacing w:val="-11"/>
        </w:rPr>
        <w:t> </w:t>
      </w:r>
      <w:r>
        <w:rPr>
          <w:spacing w:val="-2"/>
        </w:rPr>
        <w:t>food</w:t>
      </w:r>
      <w:r>
        <w:rPr>
          <w:spacing w:val="-11"/>
        </w:rPr>
        <w:t> </w:t>
      </w:r>
      <w:r>
        <w:rPr>
          <w:spacing w:val="-2"/>
        </w:rPr>
        <w:t>allergy, </w:t>
      </w:r>
      <w:r>
        <w:rPr/>
        <w:t>asthma,</w:t>
      </w:r>
      <w:r>
        <w:rPr>
          <w:spacing w:val="-4"/>
        </w:rPr>
        <w:t> </w:t>
      </w:r>
      <w:r>
        <w:rPr/>
        <w:t>type</w:t>
      </w:r>
      <w:r>
        <w:rPr>
          <w:spacing w:val="-4"/>
        </w:rPr>
        <w:t> </w:t>
      </w:r>
      <w:r>
        <w:rPr/>
        <w:t>2</w:t>
      </w:r>
      <w:r>
        <w:rPr>
          <w:spacing w:val="-4"/>
        </w:rPr>
        <w:t> </w:t>
      </w:r>
      <w:r>
        <w:rPr/>
        <w:t>diabetes</w:t>
      </w:r>
      <w:r>
        <w:rPr>
          <w:spacing w:val="-5"/>
        </w:rPr>
        <w:t> </w:t>
      </w:r>
      <w:r>
        <w:rPr/>
        <w:t>compared</w:t>
      </w:r>
      <w:r>
        <w:rPr>
          <w:spacing w:val="-4"/>
        </w:rPr>
        <w:t> </w:t>
      </w:r>
      <w:r>
        <w:rPr/>
        <w:t>to</w:t>
      </w:r>
      <w:r>
        <w:rPr>
          <w:spacing w:val="-4"/>
        </w:rPr>
        <w:t> </w:t>
      </w:r>
      <w:r>
        <w:rPr/>
        <w:t>spontaneous</w:t>
      </w:r>
      <w:r>
        <w:rPr>
          <w:spacing w:val="-4"/>
        </w:rPr>
        <w:t> </w:t>
      </w:r>
      <w:r>
        <w:rPr/>
        <w:t>vagi- nal delivery [7-10].</w:t>
      </w:r>
    </w:p>
    <w:p>
      <w:pPr>
        <w:pStyle w:val="BodyText"/>
        <w:spacing w:before="1"/>
        <w:ind w:left="238" w:right="42"/>
        <w:jc w:val="both"/>
      </w:pPr>
      <w:r>
        <w:rPr/>
        <w:t>Estimating the number of cesareans is simple; ho- wever, it is difficult to standardize the indications for cesarean</w:t>
      </w:r>
      <w:r>
        <w:rPr>
          <w:spacing w:val="-4"/>
        </w:rPr>
        <w:t> </w:t>
      </w:r>
      <w:r>
        <w:rPr/>
        <w:t>sections.</w:t>
      </w:r>
      <w:r>
        <w:rPr>
          <w:spacing w:val="-4"/>
        </w:rPr>
        <w:t> </w:t>
      </w:r>
      <w:r>
        <w:rPr/>
        <w:t>Categorizing</w:t>
      </w:r>
      <w:r>
        <w:rPr>
          <w:spacing w:val="-3"/>
        </w:rPr>
        <w:t> </w:t>
      </w:r>
      <w:r>
        <w:rPr/>
        <w:t>of</w:t>
      </w:r>
      <w:r>
        <w:rPr>
          <w:spacing w:val="-5"/>
        </w:rPr>
        <w:t> </w:t>
      </w:r>
      <w:r>
        <w:rPr/>
        <w:t>deliveries</w:t>
      </w:r>
      <w:r>
        <w:rPr>
          <w:spacing w:val="-3"/>
        </w:rPr>
        <w:t> </w:t>
      </w:r>
      <w:r>
        <w:rPr/>
        <w:t>according to the Robson criteria allows us to find which of the subgroups has the greatest contribution and accor- dingly to analyze that subgroup, and to find a solution which would reduce the number of cesarean sections. The</w:t>
      </w:r>
      <w:r>
        <w:rPr>
          <w:spacing w:val="-4"/>
        </w:rPr>
        <w:t> </w:t>
      </w:r>
      <w:r>
        <w:rPr/>
        <w:t>same</w:t>
      </w:r>
      <w:r>
        <w:rPr>
          <w:spacing w:val="-4"/>
        </w:rPr>
        <w:t> </w:t>
      </w:r>
      <w:r>
        <w:rPr/>
        <w:t>solutions</w:t>
      </w:r>
      <w:r>
        <w:rPr>
          <w:spacing w:val="-4"/>
        </w:rPr>
        <w:t> </w:t>
      </w:r>
      <w:r>
        <w:rPr/>
        <w:t>can</w:t>
      </w:r>
      <w:r>
        <w:rPr>
          <w:spacing w:val="-4"/>
        </w:rPr>
        <w:t> </w:t>
      </w:r>
      <w:r>
        <w:rPr/>
        <w:t>be</w:t>
      </w:r>
      <w:r>
        <w:rPr>
          <w:spacing w:val="-4"/>
        </w:rPr>
        <w:t> </w:t>
      </w:r>
      <w:r>
        <w:rPr/>
        <w:t>followed</w:t>
      </w:r>
      <w:r>
        <w:rPr>
          <w:spacing w:val="-4"/>
        </w:rPr>
        <w:t> </w:t>
      </w:r>
      <w:r>
        <w:rPr/>
        <w:t>for</w:t>
      </w:r>
      <w:r>
        <w:rPr>
          <w:spacing w:val="-5"/>
        </w:rPr>
        <w:t> </w:t>
      </w:r>
      <w:r>
        <w:rPr/>
        <w:t>efficiency</w:t>
      </w:r>
      <w:r>
        <w:rPr>
          <w:spacing w:val="-6"/>
        </w:rPr>
        <w:t> </w:t>
      </w:r>
      <w:r>
        <w:rPr/>
        <w:t>over time and share with other institutions to achieve a reduction in the number of cesarean sections.</w:t>
      </w:r>
    </w:p>
    <w:p>
      <w:pPr>
        <w:pStyle w:val="BodyText"/>
        <w:ind w:left="238" w:right="42"/>
        <w:jc w:val="both"/>
      </w:pPr>
      <w:r>
        <w:rPr/>
        <w:t>The analysis in this study has shown that group 5 had the largest number of cesarean section deliveries in both</w:t>
      </w:r>
      <w:r>
        <w:rPr>
          <w:spacing w:val="-11"/>
        </w:rPr>
        <w:t> </w:t>
      </w:r>
      <w:r>
        <w:rPr/>
        <w:t>years,</w:t>
      </w:r>
      <w:r>
        <w:rPr>
          <w:spacing w:val="-13"/>
        </w:rPr>
        <w:t> </w:t>
      </w:r>
      <w:r>
        <w:rPr/>
        <w:t>2017</w:t>
      </w:r>
      <w:r>
        <w:rPr>
          <w:spacing w:val="-13"/>
        </w:rPr>
        <w:t> </w:t>
      </w:r>
      <w:r>
        <w:rPr/>
        <w:t>and</w:t>
      </w:r>
      <w:r>
        <w:rPr>
          <w:spacing w:val="-13"/>
        </w:rPr>
        <w:t> </w:t>
      </w:r>
      <w:r>
        <w:rPr/>
        <w:t>2019,</w:t>
      </w:r>
      <w:r>
        <w:rPr>
          <w:spacing w:val="-11"/>
        </w:rPr>
        <w:t> </w:t>
      </w:r>
      <w:r>
        <w:rPr/>
        <w:t>and</w:t>
      </w:r>
      <w:r>
        <w:rPr>
          <w:spacing w:val="-12"/>
        </w:rPr>
        <w:t> </w:t>
      </w:r>
      <w:r>
        <w:rPr/>
        <w:t>these</w:t>
      </w:r>
      <w:r>
        <w:rPr>
          <w:spacing w:val="-13"/>
        </w:rPr>
        <w:t> </w:t>
      </w:r>
      <w:r>
        <w:rPr/>
        <w:t>were</w:t>
      </w:r>
      <w:r>
        <w:rPr>
          <w:spacing w:val="-13"/>
        </w:rPr>
        <w:t> </w:t>
      </w:r>
      <w:r>
        <w:rPr/>
        <w:t>patients</w:t>
      </w:r>
      <w:r>
        <w:rPr>
          <w:spacing w:val="-11"/>
        </w:rPr>
        <w:t> </w:t>
      </w:r>
      <w:r>
        <w:rPr/>
        <w:t>with previous</w:t>
      </w:r>
      <w:r>
        <w:rPr>
          <w:spacing w:val="-1"/>
        </w:rPr>
        <w:t> </w:t>
      </w:r>
      <w:r>
        <w:rPr/>
        <w:t>cesarean</w:t>
      </w:r>
      <w:r>
        <w:rPr>
          <w:spacing w:val="-1"/>
        </w:rPr>
        <w:t> </w:t>
      </w:r>
      <w:r>
        <w:rPr/>
        <w:t>section.</w:t>
      </w:r>
      <w:r>
        <w:rPr>
          <w:spacing w:val="-3"/>
        </w:rPr>
        <w:t> </w:t>
      </w:r>
      <w:r>
        <w:rPr/>
        <w:t>This</w:t>
      </w:r>
      <w:r>
        <w:rPr>
          <w:spacing w:val="-1"/>
        </w:rPr>
        <w:t> </w:t>
      </w:r>
      <w:r>
        <w:rPr/>
        <w:t>group</w:t>
      </w:r>
      <w:r>
        <w:rPr>
          <w:spacing w:val="-3"/>
        </w:rPr>
        <w:t> </w:t>
      </w:r>
      <w:r>
        <w:rPr/>
        <w:t>was followed</w:t>
      </w:r>
      <w:r>
        <w:rPr>
          <w:spacing w:val="-1"/>
        </w:rPr>
        <w:t> </w:t>
      </w:r>
      <w:r>
        <w:rPr/>
        <w:t>by group 1 and 2; they were primipara with spontaneous onset and induced delivery.</w:t>
      </w:r>
    </w:p>
    <w:p>
      <w:pPr>
        <w:pStyle w:val="BodyText"/>
        <w:spacing w:before="1"/>
        <w:ind w:left="238" w:right="40"/>
        <w:jc w:val="both"/>
      </w:pPr>
      <w:r>
        <w:rPr/>
        <w:t>In groups 1 and 2, the most common indication for cesarean section</w:t>
      </w:r>
      <w:r>
        <w:rPr>
          <w:spacing w:val="-2"/>
        </w:rPr>
        <w:t> </w:t>
      </w:r>
      <w:r>
        <w:rPr/>
        <w:t>was a</w:t>
      </w:r>
      <w:r>
        <w:rPr>
          <w:spacing w:val="-2"/>
        </w:rPr>
        <w:t> </w:t>
      </w:r>
      <w:r>
        <w:rPr/>
        <w:t>non-reactive NST</w:t>
      </w:r>
      <w:r>
        <w:rPr>
          <w:spacing w:val="-1"/>
        </w:rPr>
        <w:t> </w:t>
      </w:r>
      <w:r>
        <w:rPr/>
        <w:t>record,</w:t>
      </w:r>
      <w:r>
        <w:rPr>
          <w:spacing w:val="-1"/>
        </w:rPr>
        <w:t> </w:t>
      </w:r>
      <w:r>
        <w:rPr/>
        <w:t>arrest of labour and fetomaternal disproportion. To reduce</w:t>
      </w:r>
      <w:r>
        <w:rPr>
          <w:spacing w:val="40"/>
        </w:rPr>
        <w:t> </w:t>
      </w:r>
      <w:r>
        <w:rPr/>
        <w:t>the rate of cesarean section, the focus should be on educating medical staff for the proper interpretation of NST,</w:t>
      </w:r>
      <w:r>
        <w:rPr>
          <w:spacing w:val="-5"/>
        </w:rPr>
        <w:t> </w:t>
      </w:r>
      <w:r>
        <w:rPr/>
        <w:t>timely</w:t>
      </w:r>
      <w:r>
        <w:rPr>
          <w:spacing w:val="-7"/>
        </w:rPr>
        <w:t> </w:t>
      </w:r>
      <w:r>
        <w:rPr/>
        <w:t>admission</w:t>
      </w:r>
      <w:r>
        <w:rPr>
          <w:spacing w:val="-5"/>
        </w:rPr>
        <w:t> </w:t>
      </w:r>
      <w:r>
        <w:rPr/>
        <w:t>of</w:t>
      </w:r>
      <w:r>
        <w:rPr>
          <w:spacing w:val="-5"/>
        </w:rPr>
        <w:t> </w:t>
      </w:r>
      <w:r>
        <w:rPr/>
        <w:t>patients</w:t>
      </w:r>
      <w:r>
        <w:rPr>
          <w:spacing w:val="-4"/>
        </w:rPr>
        <w:t> </w:t>
      </w:r>
      <w:r>
        <w:rPr/>
        <w:t>in</w:t>
      </w:r>
      <w:r>
        <w:rPr>
          <w:spacing w:val="-3"/>
        </w:rPr>
        <w:t> </w:t>
      </w:r>
      <w:r>
        <w:rPr/>
        <w:t>the</w:t>
      </w:r>
      <w:r>
        <w:rPr>
          <w:spacing w:val="-3"/>
        </w:rPr>
        <w:t> </w:t>
      </w:r>
      <w:r>
        <w:rPr/>
        <w:t>delivery</w:t>
      </w:r>
      <w:r>
        <w:rPr>
          <w:spacing w:val="-5"/>
        </w:rPr>
        <w:t> </w:t>
      </w:r>
      <w:r>
        <w:rPr/>
        <w:t>room when they are already active from stage 1 of delivery, which is 5 cm for primipara and 6 cm for multipara. This can help in reducting the number of cesarean sections in groups 1 and 2 that are delivered by</w:t>
      </w:r>
      <w:r>
        <w:rPr>
          <w:spacing w:val="-1"/>
        </w:rPr>
        <w:t> </w:t>
      </w:r>
      <w:r>
        <w:rPr/>
        <w:t>SC for arrest labour and fetomaternal disproportion.</w:t>
      </w:r>
    </w:p>
    <w:p>
      <w:pPr>
        <w:pStyle w:val="BodyText"/>
        <w:ind w:left="238" w:right="40"/>
        <w:jc w:val="both"/>
      </w:pPr>
      <w:r>
        <w:rPr/>
        <w:t>Group 5, which has the largest contribution to cesa- rean section, are patients with previous cesarean sec- tion, as much as 1 third of cesarean sections are indi- cated for the previous cesarean section. In this regard, it</w:t>
      </w:r>
      <w:r>
        <w:rPr>
          <w:spacing w:val="-2"/>
        </w:rPr>
        <w:t> </w:t>
      </w:r>
      <w:r>
        <w:rPr/>
        <w:t>is</w:t>
      </w:r>
      <w:r>
        <w:rPr>
          <w:spacing w:val="-2"/>
        </w:rPr>
        <w:t> </w:t>
      </w:r>
      <w:r>
        <w:rPr/>
        <w:t>necessary</w:t>
      </w:r>
      <w:r>
        <w:rPr>
          <w:spacing w:val="-6"/>
        </w:rPr>
        <w:t> </w:t>
      </w:r>
      <w:r>
        <w:rPr/>
        <w:t>to</w:t>
      </w:r>
      <w:r>
        <w:rPr>
          <w:spacing w:val="-1"/>
        </w:rPr>
        <w:t> </w:t>
      </w:r>
      <w:r>
        <w:rPr/>
        <w:t>educate</w:t>
      </w:r>
      <w:r>
        <w:rPr>
          <w:spacing w:val="-1"/>
        </w:rPr>
        <w:t> </w:t>
      </w:r>
      <w:r>
        <w:rPr/>
        <w:t>medical</w:t>
      </w:r>
      <w:r>
        <w:rPr>
          <w:spacing w:val="-3"/>
        </w:rPr>
        <w:t> </w:t>
      </w:r>
      <w:r>
        <w:rPr/>
        <w:t>staff</w:t>
      </w:r>
      <w:r>
        <w:rPr>
          <w:spacing w:val="-2"/>
        </w:rPr>
        <w:t> </w:t>
      </w:r>
      <w:r>
        <w:rPr/>
        <w:t>for</w:t>
      </w:r>
      <w:r>
        <w:rPr>
          <w:spacing w:val="-2"/>
        </w:rPr>
        <w:t> </w:t>
      </w:r>
      <w:r>
        <w:rPr/>
        <w:t>spontaneous vaginal delivery after a previous caesarean section.</w:t>
      </w:r>
    </w:p>
    <w:p>
      <w:pPr>
        <w:pStyle w:val="BodyText"/>
        <w:ind w:left="238" w:right="40"/>
        <w:jc w:val="both"/>
      </w:pPr>
      <w:r>
        <w:rPr/>
        <w:t>Groups 6-10 are the smallest but have the highest per- centage of cesarean sections; almost all studies show similar results in terms of percentage of cesarean sec- tions in these groups.</w:t>
      </w:r>
    </w:p>
    <w:p>
      <w:pPr>
        <w:pStyle w:val="BodyText"/>
        <w:ind w:left="238" w:right="40"/>
        <w:jc w:val="both"/>
      </w:pPr>
      <w:r>
        <w:rPr/>
        <w:t>This is the first time in our institution and in the Republic of North Macedonia that deliveries are cate- gorized according to the Robson criteria in order to achieve a reduction in the percentage of cesarean sec- tions and to reach the WHO recommendation of 15% of cesarean sections.</w:t>
      </w:r>
    </w:p>
    <w:p>
      <w:pPr>
        <w:pStyle w:val="Heading4"/>
        <w:spacing w:before="97"/>
      </w:pPr>
      <w:r>
        <w:rPr>
          <w:b w:val="0"/>
        </w:rPr>
        <w:br w:type="column"/>
      </w:r>
      <w:r>
        <w:rPr>
          <w:spacing w:val="-2"/>
        </w:rPr>
        <w:t>Conclusion</w:t>
      </w:r>
    </w:p>
    <w:p>
      <w:pPr>
        <w:pStyle w:val="BodyText"/>
        <w:spacing w:before="6"/>
        <w:rPr>
          <w:b/>
          <w:sz w:val="20"/>
        </w:rPr>
      </w:pPr>
    </w:p>
    <w:p>
      <w:pPr>
        <w:pStyle w:val="BodyText"/>
        <w:ind w:left="238" w:right="290"/>
        <w:jc w:val="both"/>
      </w:pPr>
      <w:r>
        <w:rPr/>
        <w:t>Although the rate of cesarean section in our tertiary facility during 2017 and 2019 is close to most western and developed countries, it is still necessary to make efforts to reduce the percentage of cesarean section, especially the primary cesarean section. The purpose</w:t>
      </w:r>
      <w:r>
        <w:rPr>
          <w:spacing w:val="40"/>
        </w:rPr>
        <w:t> </w:t>
      </w:r>
      <w:r>
        <w:rPr/>
        <w:t>of the Robson clasification is to identify the target groups that contribute most in the percentage</w:t>
      </w:r>
      <w:r>
        <w:rPr>
          <w:spacing w:val="-1"/>
        </w:rPr>
        <w:t> </w:t>
      </w:r>
      <w:r>
        <w:rPr/>
        <w:t>of caesa- rean sections and to act on these target groups through appropriate education and training to reduce the percentage of cesarean sections.The reduction of cesa- rean section will also decrease the number of hospital days and lower the health care cost of each delivery.</w:t>
      </w:r>
    </w:p>
    <w:p>
      <w:pPr>
        <w:pStyle w:val="BodyText"/>
        <w:spacing w:before="2"/>
      </w:pPr>
    </w:p>
    <w:p>
      <w:pPr>
        <w:spacing w:before="0"/>
        <w:ind w:left="238" w:right="0" w:firstLine="0"/>
        <w:jc w:val="both"/>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4"/>
      </w:pPr>
    </w:p>
    <w:p>
      <w:pPr>
        <w:spacing w:before="0"/>
        <w:ind w:left="238" w:right="0" w:firstLine="0"/>
        <w:jc w:val="left"/>
        <w:rPr>
          <w:b/>
          <w:sz w:val="21"/>
        </w:rPr>
      </w:pPr>
      <w:r>
        <w:rPr>
          <w:b/>
          <w:color w:val="1C1D1E"/>
          <w:spacing w:val="-2"/>
          <w:sz w:val="21"/>
        </w:rPr>
        <w:t>References</w:t>
      </w:r>
    </w:p>
    <w:p>
      <w:pPr>
        <w:pStyle w:val="BodyText"/>
        <w:spacing w:before="7"/>
        <w:rPr>
          <w:b/>
          <w:sz w:val="20"/>
        </w:rPr>
      </w:pPr>
    </w:p>
    <w:p>
      <w:pPr>
        <w:pStyle w:val="ListParagraph"/>
        <w:numPr>
          <w:ilvl w:val="0"/>
          <w:numId w:val="7"/>
        </w:numPr>
        <w:tabs>
          <w:tab w:pos="627" w:val="left" w:leader="none"/>
        </w:tabs>
        <w:spacing w:line="240" w:lineRule="auto" w:before="1" w:after="0"/>
        <w:ind w:left="626" w:right="294" w:hanging="389"/>
        <w:jc w:val="both"/>
        <w:rPr>
          <w:sz w:val="18"/>
        </w:rPr>
      </w:pPr>
      <w:r>
        <w:rPr>
          <w:sz w:val="18"/>
        </w:rPr>
        <w:t>Betran AP, Ye</w:t>
      </w:r>
      <w:r>
        <w:rPr>
          <w:spacing w:val="-2"/>
          <w:sz w:val="18"/>
        </w:rPr>
        <w:t> </w:t>
      </w:r>
      <w:r>
        <w:rPr>
          <w:sz w:val="18"/>
        </w:rPr>
        <w:t>J, Moller AB, </w:t>
      </w:r>
      <w:r>
        <w:rPr>
          <w:i/>
          <w:sz w:val="18"/>
        </w:rPr>
        <w:t>et al</w:t>
      </w:r>
      <w:r>
        <w:rPr>
          <w:sz w:val="18"/>
        </w:rPr>
        <w:t>. The</w:t>
      </w:r>
      <w:r>
        <w:rPr>
          <w:spacing w:val="-1"/>
          <w:sz w:val="18"/>
        </w:rPr>
        <w:t> </w:t>
      </w:r>
      <w:r>
        <w:rPr>
          <w:sz w:val="18"/>
        </w:rPr>
        <w:t>increasing trend in caesarean section rates: global, regional and national estimates: 1990-2014. </w:t>
      </w:r>
      <w:r>
        <w:rPr>
          <w:i/>
          <w:sz w:val="18"/>
        </w:rPr>
        <w:t>Plus One </w:t>
      </w:r>
      <w:r>
        <w:rPr>
          <w:sz w:val="18"/>
        </w:rPr>
        <w:t>2016; 11: e0148343.</w:t>
      </w:r>
    </w:p>
    <w:p>
      <w:pPr>
        <w:pStyle w:val="ListParagraph"/>
        <w:numPr>
          <w:ilvl w:val="0"/>
          <w:numId w:val="7"/>
        </w:numPr>
        <w:tabs>
          <w:tab w:pos="627" w:val="left" w:leader="none"/>
        </w:tabs>
        <w:spacing w:line="240" w:lineRule="auto" w:before="0" w:after="0"/>
        <w:ind w:left="626" w:right="292" w:hanging="389"/>
        <w:jc w:val="both"/>
        <w:rPr>
          <w:sz w:val="18"/>
        </w:rPr>
      </w:pPr>
      <w:r>
        <w:rPr>
          <w:spacing w:val="-2"/>
          <w:sz w:val="18"/>
        </w:rPr>
        <w:t>World</w:t>
      </w:r>
      <w:r>
        <w:rPr>
          <w:spacing w:val="-10"/>
          <w:sz w:val="18"/>
        </w:rPr>
        <w:t> </w:t>
      </w:r>
      <w:r>
        <w:rPr>
          <w:spacing w:val="-2"/>
          <w:sz w:val="18"/>
        </w:rPr>
        <w:t>Health</w:t>
      </w:r>
      <w:r>
        <w:rPr>
          <w:spacing w:val="-9"/>
          <w:sz w:val="18"/>
        </w:rPr>
        <w:t> </w:t>
      </w:r>
      <w:r>
        <w:rPr>
          <w:spacing w:val="-2"/>
          <w:sz w:val="18"/>
        </w:rPr>
        <w:t>Organization.</w:t>
      </w:r>
      <w:r>
        <w:rPr>
          <w:spacing w:val="-9"/>
          <w:sz w:val="18"/>
        </w:rPr>
        <w:t> </w:t>
      </w:r>
      <w:r>
        <w:rPr>
          <w:spacing w:val="-2"/>
          <w:sz w:val="18"/>
        </w:rPr>
        <w:t>Monitoring</w:t>
      </w:r>
      <w:r>
        <w:rPr>
          <w:spacing w:val="-9"/>
          <w:sz w:val="18"/>
        </w:rPr>
        <w:t> </w:t>
      </w:r>
      <w:r>
        <w:rPr>
          <w:spacing w:val="-2"/>
          <w:sz w:val="18"/>
        </w:rPr>
        <w:t>emergency</w:t>
      </w:r>
      <w:r>
        <w:rPr>
          <w:spacing w:val="-10"/>
          <w:sz w:val="18"/>
        </w:rPr>
        <w:t> </w:t>
      </w:r>
      <w:r>
        <w:rPr>
          <w:spacing w:val="-2"/>
          <w:sz w:val="18"/>
        </w:rPr>
        <w:t>obstetric </w:t>
      </w:r>
      <w:r>
        <w:rPr>
          <w:sz w:val="18"/>
        </w:rPr>
        <w:t>care: a handbook. Geneva, Switzerland 2009.</w:t>
      </w:r>
    </w:p>
    <w:p>
      <w:pPr>
        <w:pStyle w:val="ListParagraph"/>
        <w:numPr>
          <w:ilvl w:val="0"/>
          <w:numId w:val="7"/>
        </w:numPr>
        <w:tabs>
          <w:tab w:pos="627" w:val="left" w:leader="none"/>
        </w:tabs>
        <w:spacing w:line="240" w:lineRule="auto" w:before="0" w:after="0"/>
        <w:ind w:left="626" w:right="293" w:hanging="389"/>
        <w:jc w:val="both"/>
        <w:rPr>
          <w:sz w:val="18"/>
        </w:rPr>
      </w:pPr>
      <w:r>
        <w:rPr>
          <w:sz w:val="18"/>
        </w:rPr>
        <w:t>Althabe F, Belizan JM. Cesarean section: the paradox (comment). </w:t>
      </w:r>
      <w:r>
        <w:rPr>
          <w:i/>
          <w:sz w:val="18"/>
        </w:rPr>
        <w:t>Lancet </w:t>
      </w:r>
      <w:r>
        <w:rPr>
          <w:sz w:val="18"/>
        </w:rPr>
        <w:t>2006; 368(9546): 1472-1473.</w:t>
      </w:r>
    </w:p>
    <w:p>
      <w:pPr>
        <w:pStyle w:val="ListParagraph"/>
        <w:numPr>
          <w:ilvl w:val="0"/>
          <w:numId w:val="7"/>
        </w:numPr>
        <w:tabs>
          <w:tab w:pos="627" w:val="left" w:leader="none"/>
        </w:tabs>
        <w:spacing w:line="240" w:lineRule="auto" w:before="0" w:after="0"/>
        <w:ind w:left="626" w:right="295" w:hanging="389"/>
        <w:jc w:val="both"/>
        <w:rPr>
          <w:sz w:val="18"/>
        </w:rPr>
      </w:pPr>
      <w:r>
        <w:rPr>
          <w:sz w:val="18"/>
        </w:rPr>
        <w:t>DiMatteo MR, Morton SC, Lepper HS, </w:t>
      </w:r>
      <w:r>
        <w:rPr>
          <w:i/>
          <w:sz w:val="18"/>
        </w:rPr>
        <w:t>et al</w:t>
      </w:r>
      <w:r>
        <w:rPr>
          <w:sz w:val="18"/>
        </w:rPr>
        <w:t>. Cesarean childbirth and psychosocial outcomes: a meta-analysis. </w:t>
      </w:r>
      <w:r>
        <w:rPr>
          <w:i/>
          <w:sz w:val="18"/>
        </w:rPr>
        <w:t>Health Psychol </w:t>
      </w:r>
      <w:r>
        <w:rPr>
          <w:sz w:val="18"/>
        </w:rPr>
        <w:t>1996; 15(4): 303-314.</w:t>
      </w:r>
    </w:p>
    <w:p>
      <w:pPr>
        <w:pStyle w:val="ListParagraph"/>
        <w:numPr>
          <w:ilvl w:val="0"/>
          <w:numId w:val="7"/>
        </w:numPr>
        <w:tabs>
          <w:tab w:pos="627" w:val="left" w:leader="none"/>
        </w:tabs>
        <w:spacing w:line="240" w:lineRule="auto" w:before="1" w:after="0"/>
        <w:ind w:left="626" w:right="291" w:hanging="389"/>
        <w:jc w:val="both"/>
        <w:rPr>
          <w:sz w:val="18"/>
        </w:rPr>
      </w:pPr>
      <w:r>
        <w:rPr>
          <w:sz w:val="18"/>
        </w:rPr>
        <w:t>Ananth CV, Smulian JC, Vintzileos AM. The association of placenta previa with a history of cesarean delivery and abortion: a meta-analysis. </w:t>
      </w:r>
      <w:r>
        <w:rPr>
          <w:i/>
          <w:sz w:val="18"/>
        </w:rPr>
        <w:t>Am J Obstet Gynecol </w:t>
      </w:r>
      <w:r>
        <w:rPr>
          <w:sz w:val="18"/>
        </w:rPr>
        <w:t>1997; 177(5): 1071-1078.</w:t>
      </w:r>
    </w:p>
    <w:p>
      <w:pPr>
        <w:pStyle w:val="ListParagraph"/>
        <w:numPr>
          <w:ilvl w:val="0"/>
          <w:numId w:val="7"/>
        </w:numPr>
        <w:tabs>
          <w:tab w:pos="627" w:val="left" w:leader="none"/>
        </w:tabs>
        <w:spacing w:line="240" w:lineRule="auto" w:before="0" w:after="0"/>
        <w:ind w:left="626" w:right="293" w:hanging="389"/>
        <w:jc w:val="both"/>
        <w:rPr>
          <w:sz w:val="18"/>
        </w:rPr>
      </w:pPr>
      <w:r>
        <w:rPr>
          <w:sz w:val="18"/>
        </w:rPr>
        <w:t>Hannah ME. Planned elective cesarean section: a reaso- </w:t>
      </w:r>
      <w:r>
        <w:rPr>
          <w:spacing w:val="-4"/>
          <w:sz w:val="18"/>
        </w:rPr>
        <w:t>nable</w:t>
      </w:r>
      <w:r>
        <w:rPr>
          <w:sz w:val="18"/>
        </w:rPr>
        <w:t> </w:t>
      </w:r>
      <w:r>
        <w:rPr>
          <w:spacing w:val="-4"/>
          <w:sz w:val="18"/>
        </w:rPr>
        <w:t>choice</w:t>
      </w:r>
      <w:r>
        <w:rPr>
          <w:spacing w:val="-10"/>
          <w:sz w:val="18"/>
        </w:rPr>
        <w:t> </w:t>
      </w:r>
      <w:r>
        <w:rPr>
          <w:spacing w:val="-4"/>
          <w:sz w:val="18"/>
        </w:rPr>
        <w:t>for</w:t>
      </w:r>
      <w:r>
        <w:rPr>
          <w:spacing w:val="-9"/>
          <w:sz w:val="18"/>
        </w:rPr>
        <w:t> </w:t>
      </w:r>
      <w:r>
        <w:rPr>
          <w:spacing w:val="-4"/>
          <w:sz w:val="18"/>
        </w:rPr>
        <w:t>some</w:t>
      </w:r>
      <w:r>
        <w:rPr>
          <w:spacing w:val="-7"/>
          <w:sz w:val="18"/>
        </w:rPr>
        <w:t> </w:t>
      </w:r>
      <w:r>
        <w:rPr>
          <w:spacing w:val="-4"/>
          <w:sz w:val="18"/>
        </w:rPr>
        <w:t>women?</w:t>
      </w:r>
      <w:r>
        <w:rPr>
          <w:spacing w:val="-9"/>
          <w:sz w:val="18"/>
        </w:rPr>
        <w:t> </w:t>
      </w:r>
      <w:r>
        <w:rPr>
          <w:i/>
          <w:spacing w:val="-4"/>
          <w:sz w:val="18"/>
        </w:rPr>
        <w:t>CMAJ</w:t>
      </w:r>
      <w:r>
        <w:rPr>
          <w:i/>
          <w:spacing w:val="-12"/>
          <w:sz w:val="18"/>
        </w:rPr>
        <w:t> </w:t>
      </w:r>
      <w:r>
        <w:rPr>
          <w:spacing w:val="-4"/>
          <w:sz w:val="18"/>
        </w:rPr>
        <w:t>2004;</w:t>
      </w:r>
      <w:r>
        <w:rPr>
          <w:spacing w:val="-11"/>
          <w:sz w:val="18"/>
        </w:rPr>
        <w:t> </w:t>
      </w:r>
      <w:r>
        <w:rPr>
          <w:spacing w:val="-4"/>
          <w:sz w:val="18"/>
        </w:rPr>
        <w:t>170(5):</w:t>
      </w:r>
      <w:r>
        <w:rPr>
          <w:spacing w:val="-9"/>
          <w:sz w:val="18"/>
        </w:rPr>
        <w:t> </w:t>
      </w:r>
      <w:r>
        <w:rPr>
          <w:spacing w:val="-4"/>
          <w:sz w:val="18"/>
        </w:rPr>
        <w:t>813-814.</w:t>
      </w:r>
    </w:p>
    <w:p>
      <w:pPr>
        <w:pStyle w:val="ListParagraph"/>
        <w:numPr>
          <w:ilvl w:val="0"/>
          <w:numId w:val="7"/>
        </w:numPr>
        <w:tabs>
          <w:tab w:pos="627" w:val="left" w:leader="none"/>
        </w:tabs>
        <w:spacing w:line="240" w:lineRule="auto" w:before="0" w:after="0"/>
        <w:ind w:left="626" w:right="292" w:hanging="389"/>
        <w:jc w:val="both"/>
        <w:rPr>
          <w:sz w:val="18"/>
        </w:rPr>
      </w:pPr>
      <w:r>
        <w:rPr>
          <w:sz w:val="18"/>
        </w:rPr>
        <w:t>Villar J, Carroli G, Zavaleta N, </w:t>
      </w:r>
      <w:r>
        <w:rPr>
          <w:i/>
          <w:sz w:val="18"/>
        </w:rPr>
        <w:t>et al</w:t>
      </w:r>
      <w:r>
        <w:rPr>
          <w:sz w:val="18"/>
        </w:rPr>
        <w:t>. Maternal and neo- natal individual risks and benefits associated with caesa- rean delivery: a multicentre prospective study. </w:t>
      </w:r>
      <w:r>
        <w:rPr>
          <w:i/>
          <w:sz w:val="18"/>
        </w:rPr>
        <w:t>BMJ </w:t>
      </w:r>
      <w:r>
        <w:rPr>
          <w:sz w:val="18"/>
        </w:rPr>
        <w:t>2007; 335(7628): 1025.</w:t>
      </w:r>
    </w:p>
    <w:p>
      <w:pPr>
        <w:pStyle w:val="ListParagraph"/>
        <w:numPr>
          <w:ilvl w:val="0"/>
          <w:numId w:val="7"/>
        </w:numPr>
        <w:tabs>
          <w:tab w:pos="627" w:val="left" w:leader="none"/>
        </w:tabs>
        <w:spacing w:line="240" w:lineRule="auto" w:before="0" w:after="0"/>
        <w:ind w:left="626" w:right="294" w:hanging="389"/>
        <w:jc w:val="both"/>
        <w:rPr>
          <w:sz w:val="18"/>
        </w:rPr>
      </w:pPr>
      <w:r>
        <w:rPr>
          <w:sz w:val="18"/>
        </w:rPr>
        <w:t>Bager P, Wohlfahrt J, Westergaard T. Caesarean delivery and risk of atopy and allergic disease: meta-analyses. </w:t>
      </w:r>
      <w:r>
        <w:rPr>
          <w:i/>
          <w:sz w:val="18"/>
        </w:rPr>
        <w:t>Clin</w:t>
      </w:r>
      <w:r>
        <w:rPr>
          <w:i/>
          <w:sz w:val="18"/>
        </w:rPr>
        <w:t> Exp Allergy </w:t>
      </w:r>
      <w:r>
        <w:rPr>
          <w:sz w:val="18"/>
        </w:rPr>
        <w:t>2008; 38(4): 634-642.</w:t>
      </w:r>
    </w:p>
    <w:p>
      <w:pPr>
        <w:pStyle w:val="ListParagraph"/>
        <w:numPr>
          <w:ilvl w:val="0"/>
          <w:numId w:val="7"/>
        </w:numPr>
        <w:tabs>
          <w:tab w:pos="627" w:val="left" w:leader="none"/>
        </w:tabs>
        <w:spacing w:line="240" w:lineRule="auto" w:before="0" w:after="0"/>
        <w:ind w:left="626" w:right="291" w:hanging="389"/>
        <w:jc w:val="both"/>
        <w:rPr>
          <w:sz w:val="18"/>
        </w:rPr>
      </w:pPr>
      <w:r>
        <w:rPr>
          <w:sz w:val="18"/>
        </w:rPr>
        <w:t>Cardwell CR, Stene LC, Joner G, </w:t>
      </w:r>
      <w:r>
        <w:rPr>
          <w:i/>
          <w:sz w:val="18"/>
        </w:rPr>
        <w:t>et al</w:t>
      </w:r>
      <w:r>
        <w:rPr>
          <w:sz w:val="18"/>
        </w:rPr>
        <w:t>. Caesarean section is associated with an increased risk of childhood-onset</w:t>
      </w:r>
      <w:r>
        <w:rPr>
          <w:spacing w:val="40"/>
          <w:sz w:val="18"/>
        </w:rPr>
        <w:t> </w:t>
      </w:r>
      <w:r>
        <w:rPr>
          <w:sz w:val="18"/>
        </w:rPr>
        <w:t>type 1 diabetes mellitus: a meta-analysis of observational studies. </w:t>
      </w:r>
      <w:r>
        <w:rPr>
          <w:i/>
          <w:sz w:val="18"/>
        </w:rPr>
        <w:t>Diabetologia </w:t>
      </w:r>
      <w:r>
        <w:rPr>
          <w:sz w:val="18"/>
        </w:rPr>
        <w:t>2008; 51(5): 726-735.</w:t>
      </w:r>
    </w:p>
    <w:p>
      <w:pPr>
        <w:pStyle w:val="ListParagraph"/>
        <w:numPr>
          <w:ilvl w:val="0"/>
          <w:numId w:val="7"/>
        </w:numPr>
        <w:tabs>
          <w:tab w:pos="627" w:val="left" w:leader="none"/>
        </w:tabs>
        <w:spacing w:line="240" w:lineRule="auto" w:before="1" w:after="0"/>
        <w:ind w:left="626" w:right="295" w:hanging="389"/>
        <w:jc w:val="both"/>
        <w:rPr>
          <w:sz w:val="18"/>
        </w:rPr>
      </w:pPr>
      <w:r>
        <w:rPr>
          <w:sz w:val="18"/>
        </w:rPr>
        <w:t>Thavagnanam S, Fleming J, Bromley A, </w:t>
      </w:r>
      <w:r>
        <w:rPr>
          <w:i/>
          <w:sz w:val="18"/>
        </w:rPr>
        <w:t>et al</w:t>
      </w:r>
      <w:r>
        <w:rPr>
          <w:sz w:val="18"/>
        </w:rPr>
        <w:t>. A meta- analysis of the association between caesarean section and childhood asthma. </w:t>
      </w:r>
      <w:r>
        <w:rPr>
          <w:i/>
          <w:sz w:val="18"/>
        </w:rPr>
        <w:t>Clin</w:t>
      </w:r>
      <w:r>
        <w:rPr>
          <w:i/>
          <w:spacing w:val="-1"/>
          <w:sz w:val="18"/>
        </w:rPr>
        <w:t> </w:t>
      </w:r>
      <w:r>
        <w:rPr>
          <w:i/>
          <w:sz w:val="18"/>
        </w:rPr>
        <w:t>Exp Allergy </w:t>
      </w:r>
      <w:r>
        <w:rPr>
          <w:sz w:val="18"/>
        </w:rPr>
        <w:t>2008; 38(4): 629-633.</w:t>
      </w:r>
    </w:p>
    <w:p>
      <w:pPr>
        <w:pStyle w:val="ListParagraph"/>
        <w:numPr>
          <w:ilvl w:val="0"/>
          <w:numId w:val="7"/>
        </w:numPr>
        <w:tabs>
          <w:tab w:pos="627" w:val="left" w:leader="none"/>
        </w:tabs>
        <w:spacing w:line="240" w:lineRule="auto" w:before="0" w:after="0"/>
        <w:ind w:left="626" w:right="292" w:hanging="389"/>
        <w:jc w:val="both"/>
        <w:rPr>
          <w:sz w:val="18"/>
        </w:rPr>
      </w:pPr>
      <w:r>
        <w:rPr>
          <w:sz w:val="18"/>
        </w:rPr>
        <w:t>Aguiar</w:t>
      </w:r>
      <w:r>
        <w:rPr>
          <w:spacing w:val="-2"/>
          <w:sz w:val="18"/>
        </w:rPr>
        <w:t> </w:t>
      </w:r>
      <w:r>
        <w:rPr>
          <w:sz w:val="18"/>
        </w:rPr>
        <w:t>RAP,</w:t>
      </w:r>
      <w:r>
        <w:rPr>
          <w:spacing w:val="-3"/>
          <w:sz w:val="18"/>
        </w:rPr>
        <w:t> </w:t>
      </w:r>
      <w:r>
        <w:rPr>
          <w:sz w:val="18"/>
        </w:rPr>
        <w:t>Gaspar</w:t>
      </w:r>
      <w:r>
        <w:rPr>
          <w:spacing w:val="-2"/>
          <w:sz w:val="18"/>
        </w:rPr>
        <w:t> </w:t>
      </w:r>
      <w:r>
        <w:rPr>
          <w:sz w:val="18"/>
        </w:rPr>
        <w:t>J,</w:t>
      </w:r>
      <w:r>
        <w:rPr>
          <w:spacing w:val="-3"/>
          <w:sz w:val="18"/>
        </w:rPr>
        <w:t> </w:t>
      </w:r>
      <w:r>
        <w:rPr>
          <w:sz w:val="18"/>
        </w:rPr>
        <w:t>Reis</w:t>
      </w:r>
      <w:r>
        <w:rPr>
          <w:spacing w:val="-2"/>
          <w:sz w:val="18"/>
        </w:rPr>
        <w:t> </w:t>
      </w:r>
      <w:r>
        <w:rPr>
          <w:sz w:val="18"/>
        </w:rPr>
        <w:t>ZSN,</w:t>
      </w:r>
      <w:r>
        <w:rPr>
          <w:spacing w:val="-3"/>
          <w:sz w:val="18"/>
        </w:rPr>
        <w:t> </w:t>
      </w:r>
      <w:r>
        <w:rPr>
          <w:i/>
          <w:sz w:val="18"/>
        </w:rPr>
        <w:t>et</w:t>
      </w:r>
      <w:r>
        <w:rPr>
          <w:i/>
          <w:spacing w:val="-1"/>
          <w:sz w:val="18"/>
        </w:rPr>
        <w:t> </w:t>
      </w:r>
      <w:r>
        <w:rPr>
          <w:i/>
          <w:sz w:val="18"/>
        </w:rPr>
        <w:t>al</w:t>
      </w:r>
      <w:r>
        <w:rPr>
          <w:sz w:val="18"/>
        </w:rPr>
        <w:t>.</w:t>
      </w:r>
      <w:r>
        <w:rPr>
          <w:spacing w:val="-6"/>
          <w:sz w:val="18"/>
        </w:rPr>
        <w:t> </w:t>
      </w:r>
      <w:r>
        <w:rPr>
          <w:sz w:val="18"/>
        </w:rPr>
        <w:t>Implementation</w:t>
      </w:r>
      <w:r>
        <w:rPr>
          <w:spacing w:val="-3"/>
          <w:sz w:val="18"/>
        </w:rPr>
        <w:t> </w:t>
      </w:r>
      <w:r>
        <w:rPr>
          <w:sz w:val="18"/>
        </w:rPr>
        <w:t>of the</w:t>
      </w:r>
      <w:r>
        <w:rPr>
          <w:spacing w:val="-4"/>
          <w:sz w:val="18"/>
        </w:rPr>
        <w:t> </w:t>
      </w:r>
      <w:r>
        <w:rPr>
          <w:sz w:val="18"/>
        </w:rPr>
        <w:t>Caesarean</w:t>
      </w:r>
      <w:r>
        <w:rPr>
          <w:spacing w:val="-2"/>
          <w:sz w:val="18"/>
        </w:rPr>
        <w:t> </w:t>
      </w:r>
      <w:r>
        <w:rPr>
          <w:sz w:val="18"/>
        </w:rPr>
        <w:t>Births</w:t>
      </w:r>
      <w:r>
        <w:rPr>
          <w:spacing w:val="-4"/>
          <w:sz w:val="18"/>
        </w:rPr>
        <w:t> </w:t>
      </w:r>
      <w:r>
        <w:rPr>
          <w:sz w:val="18"/>
        </w:rPr>
        <w:t>Review</w:t>
      </w:r>
      <w:r>
        <w:rPr>
          <w:spacing w:val="-6"/>
          <w:sz w:val="18"/>
        </w:rPr>
        <w:t> </w:t>
      </w:r>
      <w:r>
        <w:rPr>
          <w:sz w:val="18"/>
        </w:rPr>
        <w:t>using</w:t>
      </w:r>
      <w:r>
        <w:rPr>
          <w:spacing w:val="-4"/>
          <w:sz w:val="18"/>
        </w:rPr>
        <w:t> </w:t>
      </w:r>
      <w:r>
        <w:rPr>
          <w:sz w:val="18"/>
        </w:rPr>
        <w:t>the</w:t>
      </w:r>
      <w:r>
        <w:rPr>
          <w:spacing w:val="-4"/>
          <w:sz w:val="18"/>
        </w:rPr>
        <w:t> </w:t>
      </w:r>
      <w:r>
        <w:rPr>
          <w:sz w:val="18"/>
        </w:rPr>
        <w:t>ten</w:t>
      </w:r>
      <w:r>
        <w:rPr>
          <w:spacing w:val="-2"/>
          <w:sz w:val="18"/>
        </w:rPr>
        <w:t> </w:t>
      </w:r>
      <w:r>
        <w:rPr>
          <w:sz w:val="18"/>
        </w:rPr>
        <w:t>group</w:t>
      </w:r>
      <w:r>
        <w:rPr>
          <w:spacing w:val="-2"/>
          <w:sz w:val="18"/>
        </w:rPr>
        <w:t> </w:t>
      </w:r>
      <w:r>
        <w:rPr>
          <w:sz w:val="18"/>
        </w:rPr>
        <w:t>Robson‘s classification and its immediate effects on the rate of caesareans, at a university</w:t>
      </w:r>
      <w:r>
        <w:rPr>
          <w:spacing w:val="-3"/>
          <w:sz w:val="18"/>
        </w:rPr>
        <w:t> </w:t>
      </w:r>
      <w:r>
        <w:rPr>
          <w:sz w:val="18"/>
        </w:rPr>
        <w:t>hospital. Poster presented at</w:t>
      </w:r>
      <w:r>
        <w:rPr>
          <w:spacing w:val="-2"/>
          <w:sz w:val="18"/>
        </w:rPr>
        <w:t> </w:t>
      </w:r>
      <w:r>
        <w:rPr>
          <w:i/>
          <w:sz w:val="18"/>
        </w:rPr>
        <w:t>the</w:t>
      </w:r>
      <w:r>
        <w:rPr>
          <w:i/>
          <w:sz w:val="18"/>
        </w:rPr>
        <w:t> international</w:t>
      </w:r>
      <w:r>
        <w:rPr>
          <w:i/>
          <w:spacing w:val="-6"/>
          <w:sz w:val="18"/>
        </w:rPr>
        <w:t> </w:t>
      </w:r>
      <w:r>
        <w:rPr>
          <w:sz w:val="18"/>
        </w:rPr>
        <w:t>congress Birth: Clinical Challenges in Labor and Delivery, March 5‐7 2015, Fortaleza, Brazil; p21.</w:t>
      </w:r>
    </w:p>
    <w:p>
      <w:pPr>
        <w:pStyle w:val="ListParagraph"/>
        <w:numPr>
          <w:ilvl w:val="0"/>
          <w:numId w:val="7"/>
        </w:numPr>
        <w:tabs>
          <w:tab w:pos="627" w:val="left" w:leader="none"/>
        </w:tabs>
        <w:spacing w:line="240" w:lineRule="auto" w:before="0" w:after="0"/>
        <w:ind w:left="626" w:right="291" w:hanging="389"/>
        <w:jc w:val="both"/>
        <w:rPr>
          <w:sz w:val="18"/>
        </w:rPr>
      </w:pPr>
      <w:r>
        <w:rPr>
          <w:sz w:val="18"/>
        </w:rPr>
        <w:t>Blomberg</w:t>
      </w:r>
      <w:r>
        <w:rPr>
          <w:spacing w:val="-5"/>
          <w:sz w:val="18"/>
        </w:rPr>
        <w:t> </w:t>
      </w:r>
      <w:r>
        <w:rPr>
          <w:sz w:val="18"/>
        </w:rPr>
        <w:t>M.</w:t>
      </w:r>
      <w:r>
        <w:rPr>
          <w:spacing w:val="-1"/>
          <w:sz w:val="18"/>
        </w:rPr>
        <w:t> </w:t>
      </w:r>
      <w:r>
        <w:rPr>
          <w:sz w:val="18"/>
        </w:rPr>
        <w:t>Avoiding</w:t>
      </w:r>
      <w:r>
        <w:rPr>
          <w:spacing w:val="-5"/>
          <w:sz w:val="18"/>
        </w:rPr>
        <w:t> </w:t>
      </w:r>
      <w:r>
        <w:rPr>
          <w:sz w:val="18"/>
        </w:rPr>
        <w:t>the</w:t>
      </w:r>
      <w:r>
        <w:rPr>
          <w:spacing w:val="-5"/>
          <w:sz w:val="18"/>
        </w:rPr>
        <w:t> </w:t>
      </w:r>
      <w:r>
        <w:rPr>
          <w:sz w:val="18"/>
        </w:rPr>
        <w:t>first</w:t>
      </w:r>
      <w:r>
        <w:rPr>
          <w:spacing w:val="-1"/>
          <w:sz w:val="18"/>
        </w:rPr>
        <w:t> </w:t>
      </w:r>
      <w:r>
        <w:rPr>
          <w:sz w:val="18"/>
        </w:rPr>
        <w:t>cesarean</w:t>
      </w:r>
      <w:r>
        <w:rPr>
          <w:spacing w:val="-3"/>
          <w:sz w:val="18"/>
        </w:rPr>
        <w:t> </w:t>
      </w:r>
      <w:r>
        <w:rPr>
          <w:sz w:val="18"/>
        </w:rPr>
        <w:t>section-results</w:t>
      </w:r>
      <w:r>
        <w:rPr>
          <w:spacing w:val="-5"/>
          <w:sz w:val="18"/>
        </w:rPr>
        <w:t> </w:t>
      </w:r>
      <w:r>
        <w:rPr>
          <w:sz w:val="18"/>
        </w:rPr>
        <w:t>of structured</w:t>
      </w:r>
      <w:r>
        <w:rPr>
          <w:spacing w:val="-12"/>
          <w:sz w:val="18"/>
        </w:rPr>
        <w:t> </w:t>
      </w:r>
      <w:r>
        <w:rPr>
          <w:sz w:val="18"/>
        </w:rPr>
        <w:t>organizational</w:t>
      </w:r>
      <w:r>
        <w:rPr>
          <w:spacing w:val="-8"/>
          <w:sz w:val="18"/>
        </w:rPr>
        <w:t> </w:t>
      </w:r>
      <w:r>
        <w:rPr>
          <w:sz w:val="18"/>
        </w:rPr>
        <w:t>and</w:t>
      </w:r>
      <w:r>
        <w:rPr>
          <w:spacing w:val="-3"/>
          <w:sz w:val="18"/>
        </w:rPr>
        <w:t> </w:t>
      </w:r>
      <w:r>
        <w:rPr>
          <w:sz w:val="18"/>
        </w:rPr>
        <w:t>cultural</w:t>
      </w:r>
      <w:r>
        <w:rPr>
          <w:spacing w:val="-2"/>
          <w:sz w:val="18"/>
        </w:rPr>
        <w:t> </w:t>
      </w:r>
      <w:r>
        <w:rPr>
          <w:sz w:val="18"/>
        </w:rPr>
        <w:t>changes.</w:t>
      </w:r>
      <w:r>
        <w:rPr>
          <w:spacing w:val="-12"/>
          <w:sz w:val="18"/>
        </w:rPr>
        <w:t> </w:t>
      </w:r>
      <w:r>
        <w:rPr>
          <w:i/>
          <w:sz w:val="18"/>
        </w:rPr>
        <w:t>Acta</w:t>
      </w:r>
      <w:r>
        <w:rPr>
          <w:i/>
          <w:spacing w:val="-2"/>
          <w:sz w:val="18"/>
        </w:rPr>
        <w:t> </w:t>
      </w:r>
      <w:r>
        <w:rPr>
          <w:i/>
          <w:sz w:val="18"/>
        </w:rPr>
        <w:t>Obstet</w:t>
      </w:r>
      <w:r>
        <w:rPr>
          <w:i/>
          <w:sz w:val="18"/>
        </w:rPr>
        <w:t> Gynecol Scand </w:t>
      </w:r>
      <w:r>
        <w:rPr>
          <w:sz w:val="18"/>
        </w:rPr>
        <w:t>2016; 95: 580-586.</w:t>
      </w:r>
    </w:p>
    <w:p>
      <w:pPr>
        <w:pStyle w:val="ListParagraph"/>
        <w:numPr>
          <w:ilvl w:val="0"/>
          <w:numId w:val="7"/>
        </w:numPr>
        <w:tabs>
          <w:tab w:pos="627" w:val="left" w:leader="none"/>
        </w:tabs>
        <w:spacing w:line="240" w:lineRule="auto" w:before="0" w:after="0"/>
        <w:ind w:left="626" w:right="293" w:hanging="389"/>
        <w:jc w:val="both"/>
        <w:rPr>
          <w:sz w:val="18"/>
        </w:rPr>
      </w:pPr>
      <w:r>
        <w:rPr>
          <w:sz w:val="18"/>
        </w:rPr>
        <w:t>Svelato</w:t>
      </w:r>
      <w:r>
        <w:rPr>
          <w:spacing w:val="40"/>
          <w:sz w:val="18"/>
        </w:rPr>
        <w:t> </w:t>
      </w:r>
      <w:r>
        <w:rPr>
          <w:sz w:val="18"/>
        </w:rPr>
        <w:t>A,</w:t>
      </w:r>
      <w:r>
        <w:rPr>
          <w:spacing w:val="-1"/>
          <w:sz w:val="18"/>
        </w:rPr>
        <w:t> </w:t>
      </w:r>
      <w:r>
        <w:rPr>
          <w:sz w:val="18"/>
        </w:rPr>
        <w:t>Meroni MG,</w:t>
      </w:r>
      <w:r>
        <w:rPr>
          <w:spacing w:val="-1"/>
          <w:sz w:val="18"/>
        </w:rPr>
        <w:t> </w:t>
      </w:r>
      <w:r>
        <w:rPr>
          <w:sz w:val="18"/>
        </w:rPr>
        <w:t>Poli M,</w:t>
      </w:r>
      <w:r>
        <w:rPr>
          <w:spacing w:val="-1"/>
          <w:sz w:val="18"/>
        </w:rPr>
        <w:t> </w:t>
      </w:r>
      <w:r>
        <w:rPr>
          <w:i/>
          <w:sz w:val="18"/>
        </w:rPr>
        <w:t>et al</w:t>
      </w:r>
      <w:r>
        <w:rPr>
          <w:sz w:val="18"/>
        </w:rPr>
        <w:t>.</w:t>
      </w:r>
      <w:r>
        <w:rPr>
          <w:spacing w:val="-4"/>
          <w:sz w:val="18"/>
        </w:rPr>
        <w:t> </w:t>
      </w:r>
      <w:r>
        <w:rPr>
          <w:sz w:val="18"/>
        </w:rPr>
        <w:t>How to</w:t>
      </w:r>
      <w:r>
        <w:rPr>
          <w:spacing w:val="40"/>
          <w:sz w:val="18"/>
        </w:rPr>
        <w:t> </w:t>
      </w:r>
      <w:r>
        <w:rPr>
          <w:sz w:val="18"/>
        </w:rPr>
        <w:t>reduce caesarean sections in first four Robson's Classes. </w:t>
      </w:r>
      <w:r>
        <w:rPr>
          <w:i/>
          <w:sz w:val="18"/>
        </w:rPr>
        <w:t>BJOG</w:t>
      </w:r>
      <w:r>
        <w:rPr>
          <w:i/>
          <w:sz w:val="18"/>
        </w:rPr>
        <w:t> </w:t>
      </w:r>
      <w:r>
        <w:rPr>
          <w:sz w:val="18"/>
        </w:rPr>
        <w:t>2014; 121: 91.</w:t>
      </w:r>
    </w:p>
    <w:p>
      <w:pPr>
        <w:spacing w:after="0" w:line="240" w:lineRule="auto"/>
        <w:jc w:val="both"/>
        <w:rPr>
          <w:sz w:val="18"/>
        </w:rPr>
        <w:sectPr>
          <w:type w:val="continuous"/>
          <w:pgSz w:w="11910" w:h="16840"/>
          <w:pgMar w:header="855" w:footer="0" w:top="740" w:bottom="0" w:left="900" w:right="840"/>
          <w:cols w:num="2" w:equalWidth="0">
            <w:col w:w="4921" w:space="76"/>
            <w:col w:w="5173"/>
          </w:cols>
        </w:sectPr>
      </w:pPr>
    </w:p>
    <w:p>
      <w:pPr>
        <w:tabs>
          <w:tab w:pos="9203" w:val="left" w:leader="none"/>
        </w:tabs>
        <w:spacing w:before="75"/>
        <w:ind w:left="238" w:right="0" w:firstLine="0"/>
        <w:jc w:val="left"/>
        <w:rPr>
          <w:rFonts w:ascii="Courier New"/>
          <w:sz w:val="48"/>
        </w:rPr>
      </w:pPr>
      <w:r>
        <w:rPr/>
        <w:pict>
          <v:shape style="position:absolute;margin-left:528.580017pt;margin-top:4.037615pt;width:10.1pt;height:11.05pt;mso-position-horizontal-relative:page;mso-position-vertical-relative:paragraph;z-index:-17637888" type="#_x0000_t202" id="docshape516" filled="false" stroked="false">
            <v:textbox inset="0,0,0,0">
              <w:txbxContent>
                <w:p>
                  <w:pPr>
                    <w:spacing w:line="221" w:lineRule="exact" w:before="0"/>
                    <w:ind w:left="0" w:right="0" w:firstLine="0"/>
                    <w:jc w:val="left"/>
                    <w:rPr>
                      <w:sz w:val="20"/>
                    </w:rPr>
                  </w:pPr>
                  <w:r>
                    <w:rPr>
                      <w:spacing w:val="-5"/>
                      <w:sz w:val="20"/>
                    </w:rPr>
                    <w:t>18</w:t>
                  </w:r>
                </w:p>
              </w:txbxContent>
            </v:textbox>
            <w10:wrap type="none"/>
          </v:shape>
        </w:pict>
      </w: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18-</w:t>
      </w:r>
      <w:r>
        <w:rPr>
          <w:spacing w:val="-5"/>
          <w:w w:val="105"/>
          <w:sz w:val="24"/>
        </w:rPr>
        <w:t>22</w:t>
      </w:r>
      <w:r>
        <w:rPr>
          <w:sz w:val="24"/>
        </w:rPr>
        <w:tab/>
      </w:r>
      <w:r>
        <w:rPr>
          <w:rFonts w:ascii="Courier New"/>
          <w:color w:val="999999"/>
          <w:spacing w:val="-5"/>
          <w:w w:val="105"/>
          <w:position w:val="-23"/>
          <w:sz w:val="48"/>
        </w:rPr>
        <w:t>MMP</w:t>
      </w:r>
    </w:p>
    <w:p>
      <w:pPr>
        <w:spacing w:before="218"/>
        <w:ind w:left="238" w:right="0" w:firstLine="0"/>
        <w:jc w:val="left"/>
        <w:rPr>
          <w:i/>
          <w:sz w:val="24"/>
        </w:rPr>
      </w:pPr>
      <w:r>
        <w:rPr>
          <w:i/>
          <w:sz w:val="24"/>
        </w:rPr>
        <w:t>Original</w:t>
      </w:r>
      <w:r>
        <w:rPr>
          <w:i/>
          <w:spacing w:val="-7"/>
          <w:sz w:val="24"/>
        </w:rPr>
        <w:t> </w:t>
      </w:r>
      <w:r>
        <w:rPr>
          <w:i/>
          <w:spacing w:val="-2"/>
          <w:sz w:val="24"/>
        </w:rPr>
        <w:t>article</w:t>
      </w:r>
    </w:p>
    <w:p>
      <w:pPr>
        <w:pStyle w:val="BodyText"/>
        <w:spacing w:before="7"/>
        <w:rPr>
          <w:i/>
        </w:rPr>
      </w:pPr>
    </w:p>
    <w:p>
      <w:pPr>
        <w:spacing w:before="0"/>
        <w:ind w:left="238" w:right="0" w:firstLine="0"/>
        <w:jc w:val="left"/>
        <w:rPr>
          <w:b/>
          <w:sz w:val="22"/>
        </w:rPr>
      </w:pPr>
      <w:r>
        <w:rPr>
          <w:b/>
          <w:sz w:val="22"/>
        </w:rPr>
        <w:t>ASPECTS</w:t>
      </w:r>
      <w:r>
        <w:rPr>
          <w:b/>
          <w:spacing w:val="-5"/>
          <w:sz w:val="22"/>
        </w:rPr>
        <w:t> </w:t>
      </w:r>
      <w:r>
        <w:rPr>
          <w:b/>
          <w:sz w:val="22"/>
        </w:rPr>
        <w:t>OF</w:t>
      </w:r>
      <w:r>
        <w:rPr>
          <w:b/>
          <w:spacing w:val="-3"/>
          <w:sz w:val="22"/>
        </w:rPr>
        <w:t> </w:t>
      </w:r>
      <w:r>
        <w:rPr>
          <w:b/>
          <w:sz w:val="22"/>
        </w:rPr>
        <w:t>NEPHROTOXICITY</w:t>
      </w:r>
      <w:r>
        <w:rPr>
          <w:b/>
          <w:spacing w:val="-6"/>
          <w:sz w:val="22"/>
        </w:rPr>
        <w:t> </w:t>
      </w:r>
      <w:r>
        <w:rPr>
          <w:b/>
          <w:sz w:val="22"/>
        </w:rPr>
        <w:t>OF</w:t>
      </w:r>
      <w:r>
        <w:rPr>
          <w:b/>
          <w:spacing w:val="-3"/>
          <w:sz w:val="22"/>
        </w:rPr>
        <w:t> </w:t>
      </w:r>
      <w:r>
        <w:rPr>
          <w:b/>
          <w:sz w:val="22"/>
        </w:rPr>
        <w:t>THE</w:t>
      </w:r>
      <w:r>
        <w:rPr>
          <w:b/>
          <w:spacing w:val="-6"/>
          <w:sz w:val="22"/>
        </w:rPr>
        <w:t> </w:t>
      </w:r>
      <w:r>
        <w:rPr>
          <w:b/>
          <w:sz w:val="22"/>
        </w:rPr>
        <w:t>MOST</w:t>
      </w:r>
      <w:r>
        <w:rPr>
          <w:b/>
          <w:spacing w:val="-6"/>
          <w:sz w:val="22"/>
        </w:rPr>
        <w:t> </w:t>
      </w:r>
      <w:r>
        <w:rPr>
          <w:b/>
          <w:sz w:val="22"/>
        </w:rPr>
        <w:t>USED</w:t>
      </w:r>
      <w:r>
        <w:rPr>
          <w:b/>
          <w:spacing w:val="-6"/>
          <w:sz w:val="22"/>
        </w:rPr>
        <w:t> </w:t>
      </w:r>
      <w:r>
        <w:rPr>
          <w:b/>
          <w:sz w:val="22"/>
        </w:rPr>
        <w:t>NONSTEROIDAL</w:t>
      </w:r>
      <w:r>
        <w:rPr>
          <w:b/>
          <w:spacing w:val="-6"/>
          <w:sz w:val="22"/>
        </w:rPr>
        <w:t> </w:t>
      </w:r>
      <w:r>
        <w:rPr>
          <w:b/>
          <w:sz w:val="22"/>
        </w:rPr>
        <w:t>ANTI- INFLAMMATORY DRUGS IN PATIENTS WITH RHEUMATOID ARTHRITIS</w:t>
      </w:r>
    </w:p>
    <w:p>
      <w:pPr>
        <w:pStyle w:val="BodyText"/>
        <w:spacing w:before="11"/>
        <w:rPr>
          <w:b/>
          <w:sz w:val="20"/>
        </w:rPr>
      </w:pPr>
    </w:p>
    <w:p>
      <w:pPr>
        <w:spacing w:line="244" w:lineRule="auto" w:before="0"/>
        <w:ind w:left="238" w:right="1141" w:firstLine="0"/>
        <w:jc w:val="left"/>
        <w:rPr>
          <w:b/>
          <w:sz w:val="22"/>
        </w:rPr>
      </w:pPr>
      <w:r>
        <w:rPr>
          <w:b/>
          <w:spacing w:val="1"/>
          <w:w w:val="106"/>
          <w:sz w:val="22"/>
        </w:rPr>
        <w:t>A</w:t>
      </w:r>
      <w:r>
        <w:rPr>
          <w:b/>
          <w:spacing w:val="-1"/>
          <w:w w:val="121"/>
          <w:sz w:val="22"/>
        </w:rPr>
        <w:t>S</w:t>
      </w:r>
      <w:r>
        <w:rPr>
          <w:b/>
          <w:spacing w:val="1"/>
          <w:w w:val="127"/>
          <w:sz w:val="22"/>
        </w:rPr>
        <w:t>P</w:t>
      </w:r>
      <w:r>
        <w:rPr>
          <w:b/>
          <w:spacing w:val="-3"/>
          <w:w w:val="99"/>
          <w:sz w:val="22"/>
        </w:rPr>
        <w:t>E</w:t>
      </w:r>
      <w:r>
        <w:rPr>
          <w:b/>
          <w:spacing w:val="1"/>
          <w:w w:val="91"/>
          <w:sz w:val="22"/>
        </w:rPr>
        <w:t>K</w:t>
      </w:r>
      <w:r>
        <w:rPr>
          <w:b/>
          <w:spacing w:val="-1"/>
          <w:w w:val="91"/>
          <w:sz w:val="22"/>
        </w:rPr>
        <w:t>T</w:t>
      </w:r>
      <w:r>
        <w:rPr>
          <w:b/>
          <w:spacing w:val="1"/>
          <w:w w:val="205"/>
          <w:sz w:val="22"/>
        </w:rPr>
        <w:t>I</w:t>
      </w:r>
      <w:r>
        <w:rPr>
          <w:b/>
          <w:spacing w:val="-3"/>
          <w:w w:val="120"/>
          <w:sz w:val="22"/>
        </w:rPr>
        <w:t> </w:t>
      </w:r>
      <w:r>
        <w:rPr>
          <w:b/>
          <w:w w:val="120"/>
          <w:sz w:val="22"/>
        </w:rPr>
        <w:t>NA</w:t>
      </w:r>
      <w:r>
        <w:rPr>
          <w:b/>
          <w:spacing w:val="-5"/>
          <w:w w:val="120"/>
          <w:sz w:val="22"/>
        </w:rPr>
        <w:t> </w:t>
      </w:r>
      <w:r>
        <w:rPr>
          <w:b/>
          <w:spacing w:val="1"/>
          <w:w w:val="114"/>
          <w:sz w:val="22"/>
        </w:rPr>
        <w:t>N</w:t>
      </w:r>
      <w:r>
        <w:rPr>
          <w:b/>
          <w:spacing w:val="-3"/>
          <w:w w:val="107"/>
          <w:sz w:val="22"/>
        </w:rPr>
        <w:t>E</w:t>
      </w:r>
      <w:r>
        <w:rPr>
          <w:b/>
          <w:spacing w:val="1"/>
          <w:w w:val="144"/>
          <w:sz w:val="22"/>
        </w:rPr>
        <w:t>F</w:t>
      </w:r>
      <w:r>
        <w:rPr>
          <w:b/>
          <w:w w:val="91"/>
          <w:sz w:val="22"/>
        </w:rPr>
        <w:t>R</w:t>
      </w:r>
      <w:r>
        <w:rPr>
          <w:b/>
          <w:spacing w:val="1"/>
          <w:w w:val="106"/>
          <w:sz w:val="22"/>
        </w:rPr>
        <w:t>O</w:t>
      </w:r>
      <w:r>
        <w:rPr>
          <w:b/>
          <w:spacing w:val="-1"/>
          <w:w w:val="99"/>
          <w:sz w:val="22"/>
        </w:rPr>
        <w:t>T</w:t>
      </w:r>
      <w:r>
        <w:rPr>
          <w:b/>
          <w:spacing w:val="-1"/>
          <w:w w:val="106"/>
          <w:sz w:val="22"/>
        </w:rPr>
        <w:t>O</w:t>
      </w:r>
      <w:r>
        <w:rPr>
          <w:b/>
          <w:spacing w:val="1"/>
          <w:w w:val="99"/>
          <w:sz w:val="22"/>
        </w:rPr>
        <w:t>K</w:t>
      </w:r>
      <w:r>
        <w:rPr>
          <w:b/>
          <w:spacing w:val="-1"/>
          <w:w w:val="129"/>
          <w:sz w:val="22"/>
        </w:rPr>
        <w:t>S</w:t>
      </w:r>
      <w:r>
        <w:rPr>
          <w:b/>
          <w:spacing w:val="-1"/>
          <w:w w:val="213"/>
          <w:sz w:val="22"/>
        </w:rPr>
        <w:t>I</w:t>
      </w:r>
      <w:r>
        <w:rPr>
          <w:b/>
          <w:spacing w:val="-1"/>
          <w:w w:val="133"/>
          <w:sz w:val="22"/>
        </w:rPr>
        <w:t>^</w:t>
      </w:r>
      <w:r>
        <w:rPr>
          <w:b/>
          <w:spacing w:val="1"/>
          <w:w w:val="114"/>
          <w:sz w:val="22"/>
        </w:rPr>
        <w:t>N</w:t>
      </w:r>
      <w:r>
        <w:rPr>
          <w:b/>
          <w:spacing w:val="1"/>
          <w:w w:val="106"/>
          <w:sz w:val="22"/>
        </w:rPr>
        <w:t>O</w:t>
      </w:r>
      <w:r>
        <w:rPr>
          <w:b/>
          <w:spacing w:val="-1"/>
          <w:w w:val="129"/>
          <w:sz w:val="22"/>
        </w:rPr>
        <w:t>S</w:t>
      </w:r>
      <w:r>
        <w:rPr>
          <w:b/>
          <w:spacing w:val="1"/>
          <w:w w:val="99"/>
          <w:sz w:val="22"/>
        </w:rPr>
        <w:t>T</w:t>
      </w:r>
      <w:r>
        <w:rPr>
          <w:b/>
          <w:spacing w:val="-5"/>
          <w:w w:val="119"/>
          <w:sz w:val="22"/>
        </w:rPr>
        <w:t> </w:t>
      </w:r>
      <w:r>
        <w:rPr>
          <w:b/>
          <w:w w:val="120"/>
          <w:sz w:val="22"/>
        </w:rPr>
        <w:t>OD</w:t>
      </w:r>
      <w:r>
        <w:rPr>
          <w:b/>
          <w:spacing w:val="-7"/>
          <w:w w:val="120"/>
          <w:sz w:val="22"/>
        </w:rPr>
        <w:t> </w:t>
      </w:r>
      <w:r>
        <w:rPr>
          <w:b/>
          <w:w w:val="120"/>
          <w:sz w:val="22"/>
        </w:rPr>
        <w:t>NAJ^ESTO</w:t>
      </w:r>
      <w:r>
        <w:rPr>
          <w:b/>
          <w:spacing w:val="-4"/>
          <w:w w:val="120"/>
          <w:sz w:val="22"/>
        </w:rPr>
        <w:t> </w:t>
      </w:r>
      <w:r>
        <w:rPr>
          <w:b/>
          <w:spacing w:val="-1"/>
          <w:w w:val="110"/>
          <w:sz w:val="22"/>
        </w:rPr>
        <w:t>U</w:t>
      </w:r>
      <w:r>
        <w:rPr>
          <w:b/>
          <w:spacing w:val="1"/>
          <w:w w:val="138"/>
          <w:sz w:val="22"/>
        </w:rPr>
        <w:t>P</w:t>
      </w:r>
      <w:r>
        <w:rPr>
          <w:b/>
          <w:spacing w:val="1"/>
          <w:w w:val="109"/>
          <w:sz w:val="22"/>
        </w:rPr>
        <w:t>O</w:t>
      </w:r>
      <w:r>
        <w:rPr>
          <w:b/>
          <w:spacing w:val="-1"/>
          <w:w w:val="102"/>
          <w:sz w:val="22"/>
        </w:rPr>
        <w:t>T</w:t>
      </w:r>
      <w:r>
        <w:rPr>
          <w:b/>
          <w:w w:val="94"/>
          <w:sz w:val="22"/>
        </w:rPr>
        <w:t>R</w:t>
      </w:r>
      <w:r>
        <w:rPr>
          <w:b/>
          <w:spacing w:val="-3"/>
          <w:w w:val="110"/>
          <w:sz w:val="22"/>
        </w:rPr>
        <w:t>E</w:t>
      </w:r>
      <w:r>
        <w:rPr>
          <w:b/>
          <w:spacing w:val="-1"/>
          <w:w w:val="110"/>
          <w:sz w:val="22"/>
        </w:rPr>
        <w:t>B</w:t>
      </w:r>
      <w:r>
        <w:rPr>
          <w:b/>
          <w:spacing w:val="1"/>
          <w:w w:val="110"/>
          <w:sz w:val="22"/>
        </w:rPr>
        <w:t>U</w:t>
      </w:r>
      <w:r>
        <w:rPr>
          <w:b/>
          <w:spacing w:val="-1"/>
          <w:w w:val="102"/>
          <w:sz w:val="22"/>
        </w:rPr>
        <w:t>V</w:t>
      </w:r>
      <w:r>
        <w:rPr>
          <w:b/>
          <w:spacing w:val="-1"/>
          <w:w w:val="117"/>
          <w:sz w:val="22"/>
        </w:rPr>
        <w:t>A</w:t>
      </w:r>
      <w:r>
        <w:rPr>
          <w:b/>
          <w:spacing w:val="1"/>
          <w:w w:val="117"/>
          <w:sz w:val="22"/>
        </w:rPr>
        <w:t>N</w:t>
      </w:r>
      <w:r>
        <w:rPr>
          <w:b/>
          <w:spacing w:val="1"/>
          <w:w w:val="216"/>
          <w:sz w:val="22"/>
        </w:rPr>
        <w:t>I</w:t>
      </w:r>
      <w:r>
        <w:rPr>
          <w:b/>
          <w:spacing w:val="-1"/>
          <w:w w:val="119"/>
          <w:sz w:val="22"/>
        </w:rPr>
        <w:t> </w:t>
      </w:r>
      <w:r>
        <w:rPr>
          <w:b/>
          <w:spacing w:val="1"/>
          <w:w w:val="107"/>
          <w:sz w:val="22"/>
        </w:rPr>
        <w:t>N</w:t>
      </w:r>
      <w:r>
        <w:rPr>
          <w:b/>
          <w:spacing w:val="-1"/>
          <w:sz w:val="22"/>
        </w:rPr>
        <w:t>E</w:t>
      </w:r>
      <w:r>
        <w:rPr>
          <w:b/>
          <w:spacing w:val="-1"/>
          <w:w w:val="122"/>
          <w:sz w:val="22"/>
        </w:rPr>
        <w:t>S</w:t>
      </w:r>
      <w:r>
        <w:rPr>
          <w:b/>
          <w:spacing w:val="-1"/>
          <w:w w:val="92"/>
          <w:sz w:val="22"/>
        </w:rPr>
        <w:t>T</w:t>
      </w:r>
      <w:r>
        <w:rPr>
          <w:b/>
          <w:spacing w:val="-1"/>
          <w:sz w:val="22"/>
        </w:rPr>
        <w:t>E</w:t>
      </w:r>
      <w:r>
        <w:rPr>
          <w:b/>
          <w:w w:val="84"/>
          <w:sz w:val="22"/>
        </w:rPr>
        <w:t>R</w:t>
      </w:r>
      <w:r>
        <w:rPr>
          <w:b/>
          <w:spacing w:val="1"/>
          <w:w w:val="99"/>
          <w:sz w:val="22"/>
        </w:rPr>
        <w:t>O</w:t>
      </w:r>
      <w:r>
        <w:rPr>
          <w:b/>
          <w:spacing w:val="1"/>
          <w:w w:val="206"/>
          <w:sz w:val="22"/>
        </w:rPr>
        <w:t>I</w:t>
      </w:r>
      <w:r>
        <w:rPr>
          <w:b/>
          <w:spacing w:val="-3"/>
          <w:w w:val="92"/>
          <w:sz w:val="22"/>
        </w:rPr>
        <w:t>D</w:t>
      </w:r>
      <w:r>
        <w:rPr>
          <w:b/>
          <w:spacing w:val="1"/>
          <w:w w:val="107"/>
          <w:sz w:val="22"/>
        </w:rPr>
        <w:t>N</w:t>
      </w:r>
      <w:r>
        <w:rPr>
          <w:b/>
          <w:spacing w:val="1"/>
          <w:w w:val="206"/>
          <w:sz w:val="22"/>
        </w:rPr>
        <w:t>I</w:t>
      </w:r>
      <w:r>
        <w:rPr>
          <w:b/>
          <w:spacing w:val="32"/>
          <w:w w:val="119"/>
          <w:sz w:val="22"/>
        </w:rPr>
        <w:t> </w:t>
      </w:r>
      <w:r>
        <w:rPr>
          <w:b/>
          <w:w w:val="104"/>
          <w:sz w:val="22"/>
        </w:rPr>
        <w:t>A</w:t>
      </w:r>
      <w:r>
        <w:rPr>
          <w:b/>
          <w:spacing w:val="1"/>
          <w:w w:val="104"/>
          <w:sz w:val="22"/>
        </w:rPr>
        <w:t>N</w:t>
      </w:r>
      <w:r>
        <w:rPr>
          <w:b/>
          <w:spacing w:val="-3"/>
          <w:w w:val="89"/>
          <w:sz w:val="22"/>
        </w:rPr>
        <w:t>T</w:t>
      </w:r>
      <w:r>
        <w:rPr>
          <w:b/>
          <w:spacing w:val="1"/>
          <w:w w:val="203"/>
          <w:sz w:val="22"/>
        </w:rPr>
        <w:t>I</w:t>
      </w:r>
      <w:r>
        <w:rPr>
          <w:b/>
          <w:spacing w:val="-1"/>
          <w:w w:val="203"/>
          <w:sz w:val="22"/>
        </w:rPr>
        <w:t>I</w:t>
      </w:r>
      <w:r>
        <w:rPr>
          <w:b/>
          <w:spacing w:val="-1"/>
          <w:w w:val="104"/>
          <w:sz w:val="22"/>
        </w:rPr>
        <w:t>N</w:t>
      </w:r>
      <w:r>
        <w:rPr>
          <w:b/>
          <w:spacing w:val="1"/>
          <w:w w:val="134"/>
          <w:sz w:val="22"/>
        </w:rPr>
        <w:t>F</w:t>
      </w:r>
      <w:r>
        <w:rPr>
          <w:b/>
          <w:spacing w:val="-1"/>
          <w:w w:val="97"/>
          <w:sz w:val="22"/>
        </w:rPr>
        <w:t>L</w:t>
      </w:r>
      <w:r>
        <w:rPr>
          <w:b/>
          <w:spacing w:val="1"/>
          <w:w w:val="104"/>
          <w:sz w:val="22"/>
        </w:rPr>
        <w:t>A</w:t>
      </w:r>
      <w:r>
        <w:rPr>
          <w:b/>
          <w:spacing w:val="-1"/>
          <w:w w:val="89"/>
          <w:sz w:val="22"/>
        </w:rPr>
        <w:t>M</w:t>
      </w:r>
      <w:r>
        <w:rPr>
          <w:b/>
          <w:spacing w:val="1"/>
          <w:w w:val="104"/>
          <w:sz w:val="22"/>
        </w:rPr>
        <w:t>A</w:t>
      </w:r>
      <w:r>
        <w:rPr>
          <w:b/>
          <w:spacing w:val="-3"/>
          <w:w w:val="89"/>
          <w:sz w:val="22"/>
        </w:rPr>
        <w:t>T</w:t>
      </w:r>
      <w:r>
        <w:rPr>
          <w:b/>
          <w:spacing w:val="1"/>
          <w:w w:val="96"/>
          <w:sz w:val="22"/>
        </w:rPr>
        <w:t>O</w:t>
      </w:r>
      <w:r>
        <w:rPr>
          <w:b/>
          <w:w w:val="81"/>
          <w:sz w:val="22"/>
        </w:rPr>
        <w:t>R</w:t>
      </w:r>
      <w:r>
        <w:rPr>
          <w:b/>
          <w:spacing w:val="-1"/>
          <w:w w:val="104"/>
          <w:sz w:val="22"/>
        </w:rPr>
        <w:t>N</w:t>
      </w:r>
      <w:r>
        <w:rPr>
          <w:b/>
          <w:spacing w:val="1"/>
          <w:w w:val="203"/>
          <w:sz w:val="22"/>
        </w:rPr>
        <w:t>I</w:t>
      </w:r>
      <w:r>
        <w:rPr>
          <w:b/>
          <w:spacing w:val="33"/>
          <w:w w:val="119"/>
          <w:sz w:val="22"/>
        </w:rPr>
        <w:t> </w:t>
      </w:r>
      <w:r>
        <w:rPr>
          <w:b/>
          <w:spacing w:val="-1"/>
          <w:w w:val="105"/>
          <w:sz w:val="22"/>
        </w:rPr>
        <w:t>LE</w:t>
      </w:r>
      <w:r>
        <w:rPr>
          <w:b/>
          <w:spacing w:val="1"/>
          <w:w w:val="97"/>
          <w:sz w:val="22"/>
        </w:rPr>
        <w:t>K</w:t>
      </w:r>
      <w:r>
        <w:rPr>
          <w:b/>
          <w:spacing w:val="1"/>
          <w:w w:val="104"/>
          <w:sz w:val="22"/>
        </w:rPr>
        <w:t>O</w:t>
      </w:r>
      <w:r>
        <w:rPr>
          <w:b/>
          <w:spacing w:val="-1"/>
          <w:w w:val="97"/>
          <w:sz w:val="22"/>
        </w:rPr>
        <w:t>V</w:t>
      </w:r>
      <w:r>
        <w:rPr>
          <w:b/>
          <w:spacing w:val="1"/>
          <w:w w:val="211"/>
          <w:sz w:val="22"/>
        </w:rPr>
        <w:t>I</w:t>
      </w:r>
      <w:r>
        <w:rPr>
          <w:b/>
          <w:spacing w:val="33"/>
          <w:w w:val="120"/>
          <w:sz w:val="22"/>
        </w:rPr>
        <w:t> </w:t>
      </w:r>
      <w:r>
        <w:rPr>
          <w:b/>
          <w:w w:val="120"/>
          <w:sz w:val="22"/>
        </w:rPr>
        <w:t>KAJ</w:t>
      </w:r>
      <w:r>
        <w:rPr>
          <w:b/>
          <w:spacing w:val="30"/>
          <w:w w:val="120"/>
          <w:sz w:val="22"/>
        </w:rPr>
        <w:t> </w:t>
      </w:r>
      <w:r>
        <w:rPr>
          <w:b/>
          <w:spacing w:val="1"/>
          <w:w w:val="116"/>
          <w:sz w:val="22"/>
        </w:rPr>
        <w:t>P</w:t>
      </w:r>
      <w:r>
        <w:rPr>
          <w:b/>
          <w:spacing w:val="-1"/>
          <w:w w:val="95"/>
          <w:sz w:val="22"/>
        </w:rPr>
        <w:t>AC</w:t>
      </w:r>
      <w:r>
        <w:rPr>
          <w:b/>
          <w:spacing w:val="-1"/>
          <w:w w:val="194"/>
          <w:sz w:val="22"/>
        </w:rPr>
        <w:t>I</w:t>
      </w:r>
      <w:r>
        <w:rPr>
          <w:b/>
          <w:spacing w:val="-1"/>
          <w:w w:val="88"/>
          <w:sz w:val="22"/>
        </w:rPr>
        <w:t>E</w:t>
      </w:r>
      <w:r>
        <w:rPr>
          <w:b/>
          <w:spacing w:val="1"/>
          <w:w w:val="95"/>
          <w:sz w:val="22"/>
        </w:rPr>
        <w:t>N</w:t>
      </w:r>
      <w:r>
        <w:rPr>
          <w:b/>
          <w:spacing w:val="-1"/>
          <w:w w:val="80"/>
          <w:sz w:val="22"/>
        </w:rPr>
        <w:t>T</w:t>
      </w:r>
      <w:r>
        <w:rPr>
          <w:b/>
          <w:spacing w:val="1"/>
          <w:w w:val="194"/>
          <w:sz w:val="22"/>
        </w:rPr>
        <w:t>I</w:t>
      </w:r>
      <w:r>
        <w:rPr>
          <w:b/>
          <w:spacing w:val="37"/>
          <w:w w:val="120"/>
          <w:sz w:val="22"/>
        </w:rPr>
        <w:t> </w:t>
      </w:r>
      <w:r>
        <w:rPr>
          <w:b/>
          <w:w w:val="120"/>
          <w:sz w:val="22"/>
        </w:rPr>
        <w:t>SO</w:t>
      </w:r>
      <w:r>
        <w:rPr>
          <w:b/>
          <w:spacing w:val="80"/>
          <w:w w:val="150"/>
          <w:sz w:val="22"/>
        </w:rPr>
        <w:t> </w:t>
      </w:r>
      <w:r>
        <w:rPr>
          <w:b/>
          <w:w w:val="105"/>
          <w:sz w:val="22"/>
        </w:rPr>
        <w:t>РЕВМАТОИДЕН АРТРИТИС</w:t>
      </w:r>
    </w:p>
    <w:p>
      <w:pPr>
        <w:pStyle w:val="BodyText"/>
        <w:spacing w:before="2"/>
        <w:rPr>
          <w:b/>
          <w:sz w:val="20"/>
        </w:rPr>
      </w:pPr>
    </w:p>
    <w:p>
      <w:pPr>
        <w:pStyle w:val="Heading1"/>
        <w:ind w:right="852"/>
      </w:pPr>
      <w:r>
        <w:rPr/>
        <w:t>Dejan</w:t>
      </w:r>
      <w:r>
        <w:rPr>
          <w:spacing w:val="-4"/>
        </w:rPr>
        <w:t> </w:t>
      </w:r>
      <w:r>
        <w:rPr/>
        <w:t>Spasovski</w:t>
      </w:r>
      <w:r>
        <w:rPr>
          <w:vertAlign w:val="superscript"/>
        </w:rPr>
        <w:t>1</w:t>
      </w:r>
      <w:r>
        <w:rPr>
          <w:vertAlign w:val="baseline"/>
        </w:rPr>
        <w:t>,</w:t>
      </w:r>
      <w:r>
        <w:rPr>
          <w:spacing w:val="-4"/>
          <w:vertAlign w:val="baseline"/>
        </w:rPr>
        <w:t> </w:t>
      </w:r>
      <w:r>
        <w:rPr>
          <w:vertAlign w:val="baseline"/>
        </w:rPr>
        <w:t>Emilija</w:t>
      </w:r>
      <w:r>
        <w:rPr>
          <w:spacing w:val="-5"/>
          <w:vertAlign w:val="baseline"/>
        </w:rPr>
        <w:t> </w:t>
      </w:r>
      <w:r>
        <w:rPr>
          <w:vertAlign w:val="baseline"/>
        </w:rPr>
        <w:t>Sandevska</w:t>
      </w:r>
      <w:r>
        <w:rPr>
          <w:vertAlign w:val="superscript"/>
        </w:rPr>
        <w:t>1</w:t>
      </w:r>
      <w:r>
        <w:rPr>
          <w:vertAlign w:val="baseline"/>
        </w:rPr>
        <w:t>,</w:t>
      </w:r>
      <w:r>
        <w:rPr>
          <w:spacing w:val="-4"/>
          <w:vertAlign w:val="baseline"/>
        </w:rPr>
        <w:t> </w:t>
      </w:r>
      <w:r>
        <w:rPr>
          <w:vertAlign w:val="baseline"/>
        </w:rPr>
        <w:t>Sonja</w:t>
      </w:r>
      <w:r>
        <w:rPr>
          <w:spacing w:val="-4"/>
          <w:vertAlign w:val="baseline"/>
        </w:rPr>
        <w:t> </w:t>
      </w:r>
      <w:r>
        <w:rPr>
          <w:vertAlign w:val="baseline"/>
        </w:rPr>
        <w:t>Genadieva</w:t>
      </w:r>
      <w:r>
        <w:rPr>
          <w:spacing w:val="-6"/>
          <w:vertAlign w:val="baseline"/>
        </w:rPr>
        <w:t> </w:t>
      </w:r>
      <w:r>
        <w:rPr>
          <w:vertAlign w:val="baseline"/>
        </w:rPr>
        <w:t>Stavrikj</w:t>
      </w:r>
      <w:r>
        <w:rPr>
          <w:vertAlign w:val="superscript"/>
        </w:rPr>
        <w:t>2</w:t>
      </w:r>
      <w:r>
        <w:rPr>
          <w:vertAlign w:val="baseline"/>
        </w:rPr>
        <w:t>,</w:t>
      </w:r>
      <w:r>
        <w:rPr>
          <w:spacing w:val="-4"/>
          <w:vertAlign w:val="baseline"/>
        </w:rPr>
        <w:t> </w:t>
      </w:r>
      <w:r>
        <w:rPr>
          <w:vertAlign w:val="baseline"/>
        </w:rPr>
        <w:t>Tatjana</w:t>
      </w:r>
      <w:r>
        <w:rPr>
          <w:spacing w:val="-3"/>
          <w:vertAlign w:val="baseline"/>
        </w:rPr>
        <w:t> </w:t>
      </w:r>
      <w:r>
        <w:rPr>
          <w:vertAlign w:val="baseline"/>
        </w:rPr>
        <w:t>Sotirova</w:t>
      </w:r>
      <w:r>
        <w:rPr>
          <w:vertAlign w:val="superscript"/>
        </w:rPr>
        <w:t>2</w:t>
      </w:r>
      <w:r>
        <w:rPr>
          <w:vertAlign w:val="baseline"/>
        </w:rPr>
        <w:t>,</w:t>
      </w:r>
      <w:r>
        <w:rPr>
          <w:spacing w:val="-4"/>
          <w:vertAlign w:val="baseline"/>
        </w:rPr>
        <w:t> </w:t>
      </w:r>
      <w:r>
        <w:rPr>
          <w:vertAlign w:val="baseline"/>
        </w:rPr>
        <w:t>Svetlana Krstevska-Balkanov</w:t>
      </w:r>
      <w:r>
        <w:rPr>
          <w:vertAlign w:val="superscript"/>
        </w:rPr>
        <w:t>2</w:t>
      </w:r>
      <w:r>
        <w:rPr>
          <w:vertAlign w:val="baseline"/>
        </w:rPr>
        <w:t>, Slavica Subevska Stratrova</w:t>
      </w:r>
      <w:r>
        <w:rPr>
          <w:vertAlign w:val="superscript"/>
        </w:rPr>
        <w:t>3</w:t>
      </w:r>
      <w:r>
        <w:rPr>
          <w:vertAlign w:val="baseline"/>
        </w:rPr>
        <w:t> and Julijana Brezovska-Kavrakova</w:t>
      </w:r>
      <w:r>
        <w:rPr>
          <w:vertAlign w:val="superscript"/>
        </w:rPr>
        <w:t>4</w:t>
      </w:r>
    </w:p>
    <w:p>
      <w:pPr>
        <w:spacing w:before="245"/>
        <w:ind w:left="238" w:right="370" w:firstLine="0"/>
        <w:jc w:val="left"/>
        <w:rPr>
          <w:sz w:val="22"/>
        </w:rPr>
      </w:pPr>
      <w:r>
        <w:rPr>
          <w:sz w:val="22"/>
          <w:vertAlign w:val="superscript"/>
        </w:rPr>
        <w:t>1</w:t>
      </w:r>
      <w:r>
        <w:rPr>
          <w:sz w:val="22"/>
          <w:vertAlign w:val="baseline"/>
        </w:rPr>
        <w:t>University Clinic for Rheumatology, </w:t>
      </w:r>
      <w:r>
        <w:rPr>
          <w:sz w:val="22"/>
          <w:vertAlign w:val="superscript"/>
        </w:rPr>
        <w:t>2</w:t>
      </w:r>
      <w:r>
        <w:rPr>
          <w:sz w:val="22"/>
          <w:vertAlign w:val="baseline"/>
        </w:rPr>
        <w:t>University Clinic for Hematology, </w:t>
      </w:r>
      <w:r>
        <w:rPr>
          <w:sz w:val="22"/>
          <w:vertAlign w:val="superscript"/>
        </w:rPr>
        <w:t>3</w:t>
      </w:r>
      <w:r>
        <w:rPr>
          <w:sz w:val="22"/>
          <w:vertAlign w:val="baseline"/>
        </w:rPr>
        <w:t>University Clinic for Endocrinology,</w:t>
      </w:r>
      <w:r>
        <w:rPr>
          <w:spacing w:val="-4"/>
          <w:sz w:val="22"/>
          <w:vertAlign w:val="baseline"/>
        </w:rPr>
        <w:t> </w:t>
      </w:r>
      <w:r>
        <w:rPr>
          <w:sz w:val="22"/>
          <w:vertAlign w:val="superscript"/>
        </w:rPr>
        <w:t>4</w:t>
      </w:r>
      <w:r>
        <w:rPr>
          <w:sz w:val="22"/>
          <w:vertAlign w:val="baseline"/>
        </w:rPr>
        <w:t>Department</w:t>
      </w:r>
      <w:r>
        <w:rPr>
          <w:spacing w:val="-3"/>
          <w:sz w:val="22"/>
          <w:vertAlign w:val="baseline"/>
        </w:rPr>
        <w:t> </w:t>
      </w:r>
      <w:r>
        <w:rPr>
          <w:sz w:val="22"/>
          <w:vertAlign w:val="baseline"/>
        </w:rPr>
        <w:t>of</w:t>
      </w:r>
      <w:r>
        <w:rPr>
          <w:spacing w:val="-6"/>
          <w:sz w:val="22"/>
          <w:vertAlign w:val="baseline"/>
        </w:rPr>
        <w:t> </w:t>
      </w:r>
      <w:r>
        <w:rPr>
          <w:sz w:val="22"/>
          <w:vertAlign w:val="baseline"/>
        </w:rPr>
        <w:t>preclinic</w:t>
      </w:r>
      <w:r>
        <w:rPr>
          <w:spacing w:val="-4"/>
          <w:sz w:val="22"/>
          <w:vertAlign w:val="baseline"/>
        </w:rPr>
        <w:t> </w:t>
      </w:r>
      <w:r>
        <w:rPr>
          <w:sz w:val="22"/>
          <w:vertAlign w:val="baseline"/>
        </w:rPr>
        <w:t>biochemistry,</w:t>
      </w:r>
      <w:r>
        <w:rPr>
          <w:spacing w:val="-4"/>
          <w:sz w:val="22"/>
          <w:vertAlign w:val="baseline"/>
        </w:rPr>
        <w:t> </w:t>
      </w:r>
      <w:r>
        <w:rPr>
          <w:sz w:val="22"/>
          <w:vertAlign w:val="baseline"/>
        </w:rPr>
        <w:t>Clinical</w:t>
      </w:r>
      <w:r>
        <w:rPr>
          <w:spacing w:val="-3"/>
          <w:sz w:val="22"/>
          <w:vertAlign w:val="baseline"/>
        </w:rPr>
        <w:t> </w:t>
      </w:r>
      <w:r>
        <w:rPr>
          <w:sz w:val="22"/>
          <w:vertAlign w:val="baseline"/>
        </w:rPr>
        <w:t>Center</w:t>
      </w:r>
      <w:r>
        <w:rPr>
          <w:spacing w:val="-4"/>
          <w:sz w:val="22"/>
          <w:vertAlign w:val="baseline"/>
        </w:rPr>
        <w:t> </w:t>
      </w:r>
      <w:r>
        <w:rPr>
          <w:sz w:val="22"/>
          <w:vertAlign w:val="baseline"/>
        </w:rPr>
        <w:t>“Mother</w:t>
      </w:r>
      <w:r>
        <w:rPr>
          <w:spacing w:val="-6"/>
          <w:sz w:val="22"/>
          <w:vertAlign w:val="baseline"/>
        </w:rPr>
        <w:t> </w:t>
      </w:r>
      <w:r>
        <w:rPr>
          <w:sz w:val="22"/>
          <w:vertAlign w:val="baseline"/>
        </w:rPr>
        <w:t>Therese”,</w:t>
      </w:r>
      <w:r>
        <w:rPr>
          <w:spacing w:val="-4"/>
          <w:sz w:val="22"/>
          <w:vertAlign w:val="baseline"/>
        </w:rPr>
        <w:t> </w:t>
      </w:r>
      <w:r>
        <w:rPr>
          <w:sz w:val="22"/>
          <w:vertAlign w:val="baseline"/>
        </w:rPr>
        <w:t>Skopje,</w:t>
      </w:r>
      <w:r>
        <w:rPr>
          <w:spacing w:val="-4"/>
          <w:sz w:val="22"/>
          <w:vertAlign w:val="baseline"/>
        </w:rPr>
        <w:t> </w:t>
      </w:r>
      <w:r>
        <w:rPr>
          <w:sz w:val="22"/>
          <w:vertAlign w:val="baseline"/>
        </w:rPr>
        <w:t>Republic of North Macedonia</w:t>
      </w:r>
    </w:p>
    <w:p>
      <w:pPr>
        <w:pStyle w:val="BodyText"/>
        <w:spacing w:before="4"/>
        <w:rPr>
          <w:sz w:val="13"/>
        </w:rPr>
      </w:pPr>
    </w:p>
    <w:p>
      <w:pPr>
        <w:spacing w:after="0"/>
        <w:rPr>
          <w:sz w:val="13"/>
        </w:rPr>
        <w:sectPr>
          <w:headerReference w:type="even" r:id="rId476"/>
          <w:pgSz w:w="11910" w:h="16840"/>
          <w:pgMar w:header="0" w:footer="0" w:top="760" w:bottom="280" w:left="900" w:right="840"/>
        </w:sectPr>
      </w:pPr>
    </w:p>
    <w:p>
      <w:pPr>
        <w:pStyle w:val="Heading4"/>
        <w:spacing w:before="93"/>
      </w:pPr>
      <w:r>
        <w:rPr/>
        <w:pict>
          <v:rect style="position:absolute;margin-left:497.899994pt;margin-top:41.649994pt;width:81pt;height:31.8pt;mso-position-horizontal-relative:page;mso-position-vertical-relative:page;z-index:-17637376" id="docshape517" filled="true" fillcolor="#ffffff" stroked="false">
            <v:fill type="solid"/>
            <w10:wrap type="none"/>
          </v:rect>
        </w:pict>
      </w:r>
      <w:r>
        <w:rPr>
          <w:spacing w:val="-2"/>
        </w:rPr>
        <w:t>Abstract</w:t>
      </w:r>
    </w:p>
    <w:p>
      <w:pPr>
        <w:pStyle w:val="BodyText"/>
        <w:spacing w:before="6"/>
        <w:rPr>
          <w:b/>
          <w:sz w:val="20"/>
        </w:rPr>
      </w:pPr>
    </w:p>
    <w:p>
      <w:pPr>
        <w:pStyle w:val="BodyText"/>
        <w:ind w:left="238" w:right="45"/>
        <w:jc w:val="both"/>
      </w:pPr>
      <w:r>
        <w:rPr>
          <w:b/>
        </w:rPr>
        <w:t>Introduction. </w:t>
      </w:r>
      <w:r>
        <w:rPr/>
        <w:t>Microalbuminuria is used as a marker </w:t>
      </w:r>
      <w:r>
        <w:rPr>
          <w:spacing w:val="-4"/>
        </w:rPr>
        <w:t>for</w:t>
      </w:r>
      <w:r>
        <w:rPr>
          <w:spacing w:val="-10"/>
        </w:rPr>
        <w:t> </w:t>
      </w:r>
      <w:r>
        <w:rPr>
          <w:spacing w:val="-4"/>
        </w:rPr>
        <w:t>glomerular</w:t>
      </w:r>
      <w:r>
        <w:rPr>
          <w:spacing w:val="-9"/>
        </w:rPr>
        <w:t> </w:t>
      </w:r>
      <w:r>
        <w:rPr>
          <w:spacing w:val="-4"/>
        </w:rPr>
        <w:t>damage</w:t>
      </w:r>
      <w:r>
        <w:rPr>
          <w:spacing w:val="-8"/>
        </w:rPr>
        <w:t> </w:t>
      </w:r>
      <w:r>
        <w:rPr>
          <w:spacing w:val="-4"/>
        </w:rPr>
        <w:t>and</w:t>
      </w:r>
      <w:r>
        <w:rPr>
          <w:spacing w:val="-8"/>
        </w:rPr>
        <w:t> </w:t>
      </w:r>
      <w:r>
        <w:rPr>
          <w:spacing w:val="-4"/>
        </w:rPr>
        <w:t>urinary</w:t>
      </w:r>
      <w:r>
        <w:rPr>
          <w:spacing w:val="-10"/>
        </w:rPr>
        <w:t> </w:t>
      </w:r>
      <w:r>
        <w:rPr>
          <w:spacing w:val="-4"/>
        </w:rPr>
        <w:t>excretion</w:t>
      </w:r>
      <w:r>
        <w:rPr>
          <w:spacing w:val="-8"/>
        </w:rPr>
        <w:t> </w:t>
      </w:r>
      <w:r>
        <w:rPr>
          <w:spacing w:val="-4"/>
        </w:rPr>
        <w:t>of</w:t>
      </w:r>
      <w:r>
        <w:rPr>
          <w:spacing w:val="-8"/>
        </w:rPr>
        <w:t> </w:t>
      </w:r>
      <w:r>
        <w:rPr>
          <w:spacing w:val="-4"/>
        </w:rPr>
        <w:t>N-acetyl-</w:t>
      </w:r>
    </w:p>
    <w:p>
      <w:pPr>
        <w:pStyle w:val="BodyText"/>
        <w:spacing w:before="1"/>
        <w:ind w:left="238" w:right="42"/>
        <w:jc w:val="both"/>
      </w:pPr>
      <w:r>
        <w:rPr>
          <w:rFonts w:ascii="Symbol" w:hAnsi="Symbol"/>
        </w:rPr>
        <w:t></w:t>
      </w:r>
      <w:r>
        <w:rPr/>
        <w:t>-D-glucosaminidase (NAG) as an indicator of proxi- mal tubular damage.</w:t>
      </w:r>
    </w:p>
    <w:p>
      <w:pPr>
        <w:pStyle w:val="BodyText"/>
        <w:ind w:left="238" w:right="42"/>
        <w:jc w:val="both"/>
      </w:pPr>
      <w:r>
        <w:rPr>
          <w:b/>
        </w:rPr>
        <w:t>Aim. </w:t>
      </w:r>
      <w:r>
        <w:rPr/>
        <w:t>The aim</w:t>
      </w:r>
      <w:r>
        <w:rPr>
          <w:spacing w:val="-1"/>
        </w:rPr>
        <w:t> </w:t>
      </w:r>
      <w:r>
        <w:rPr/>
        <w:t>of the study was to quantify the toxicity of these drugs by</w:t>
      </w:r>
      <w:r>
        <w:rPr>
          <w:spacing w:val="-2"/>
        </w:rPr>
        <w:t> </w:t>
      </w:r>
      <w:r>
        <w:rPr/>
        <w:t>measuring the enzyme excretion that correlates with the degree of damage of the tubular epithelium.</w:t>
      </w:r>
      <w:r>
        <w:rPr>
          <w:spacing w:val="-2"/>
        </w:rPr>
        <w:t> </w:t>
      </w:r>
      <w:r>
        <w:rPr/>
        <w:t>It</w:t>
      </w:r>
      <w:r>
        <w:rPr>
          <w:spacing w:val="-4"/>
        </w:rPr>
        <w:t> </w:t>
      </w:r>
      <w:r>
        <w:rPr/>
        <w:t>was</w:t>
      </w:r>
      <w:r>
        <w:rPr>
          <w:spacing w:val="-4"/>
        </w:rPr>
        <w:t> </w:t>
      </w:r>
      <w:r>
        <w:rPr/>
        <w:t>also</w:t>
      </w:r>
      <w:r>
        <w:rPr>
          <w:spacing w:val="-3"/>
        </w:rPr>
        <w:t> </w:t>
      </w:r>
      <w:r>
        <w:rPr/>
        <w:t>our</w:t>
      </w:r>
      <w:r>
        <w:rPr>
          <w:spacing w:val="-4"/>
        </w:rPr>
        <w:t> </w:t>
      </w:r>
      <w:r>
        <w:rPr/>
        <w:t>aim</w:t>
      </w:r>
      <w:r>
        <w:rPr>
          <w:spacing w:val="-5"/>
        </w:rPr>
        <w:t> </w:t>
      </w:r>
      <w:r>
        <w:rPr/>
        <w:t>to</w:t>
      </w:r>
      <w:r>
        <w:rPr>
          <w:spacing w:val="-3"/>
        </w:rPr>
        <w:t> </w:t>
      </w:r>
      <w:r>
        <w:rPr/>
        <w:t>determine</w:t>
      </w:r>
      <w:r>
        <w:rPr>
          <w:spacing w:val="-3"/>
        </w:rPr>
        <w:t> </w:t>
      </w:r>
      <w:r>
        <w:rPr/>
        <w:t>the</w:t>
      </w:r>
      <w:r>
        <w:rPr>
          <w:spacing w:val="-3"/>
        </w:rPr>
        <w:t> </w:t>
      </w:r>
      <w:r>
        <w:rPr/>
        <w:t>effects of the initial therapy with Etoricoxib and Diclofenac</w:t>
      </w:r>
      <w:r>
        <w:rPr>
          <w:spacing w:val="40"/>
        </w:rPr>
        <w:t> </w:t>
      </w:r>
      <w:r>
        <w:rPr/>
        <w:t>on</w:t>
      </w:r>
      <w:r>
        <w:rPr>
          <w:spacing w:val="-13"/>
        </w:rPr>
        <w:t> </w:t>
      </w:r>
      <w:r>
        <w:rPr/>
        <w:t>glomerular</w:t>
      </w:r>
      <w:r>
        <w:rPr>
          <w:spacing w:val="-11"/>
        </w:rPr>
        <w:t> </w:t>
      </w:r>
      <w:r>
        <w:rPr/>
        <w:t>and</w:t>
      </w:r>
      <w:r>
        <w:rPr>
          <w:spacing w:val="-13"/>
        </w:rPr>
        <w:t> </w:t>
      </w:r>
      <w:r>
        <w:rPr/>
        <w:t>tubular</w:t>
      </w:r>
      <w:r>
        <w:rPr>
          <w:spacing w:val="-11"/>
        </w:rPr>
        <w:t> </w:t>
      </w:r>
      <w:r>
        <w:rPr/>
        <w:t>integrity</w:t>
      </w:r>
      <w:r>
        <w:rPr>
          <w:spacing w:val="-13"/>
        </w:rPr>
        <w:t> </w:t>
      </w:r>
      <w:r>
        <w:rPr/>
        <w:t>in</w:t>
      </w:r>
      <w:r>
        <w:rPr>
          <w:spacing w:val="-13"/>
        </w:rPr>
        <w:t> </w:t>
      </w:r>
      <w:r>
        <w:rPr/>
        <w:t>patients</w:t>
      </w:r>
      <w:r>
        <w:rPr>
          <w:spacing w:val="-13"/>
        </w:rPr>
        <w:t> </w:t>
      </w:r>
      <w:r>
        <w:rPr/>
        <w:t>suffering from rheumatoid arthritis (RA).</w:t>
      </w:r>
    </w:p>
    <w:p>
      <w:pPr>
        <w:pStyle w:val="BodyText"/>
        <w:ind w:left="238" w:right="20"/>
      </w:pPr>
      <w:r>
        <w:rPr>
          <w:b/>
        </w:rPr>
        <w:t>Methods.</w:t>
      </w:r>
      <w:r>
        <w:rPr>
          <w:b/>
          <w:spacing w:val="80"/>
        </w:rPr>
        <w:t> </w:t>
      </w:r>
      <w:r>
        <w:rPr/>
        <w:t>By</w:t>
      </w:r>
      <w:r>
        <w:rPr>
          <w:spacing w:val="80"/>
        </w:rPr>
        <w:t> </w:t>
      </w:r>
      <w:r>
        <w:rPr/>
        <w:t>using</w:t>
      </w:r>
      <w:r>
        <w:rPr>
          <w:spacing w:val="80"/>
        </w:rPr>
        <w:t> </w:t>
      </w:r>
      <w:r>
        <w:rPr/>
        <w:t>the</w:t>
      </w:r>
      <w:r>
        <w:rPr>
          <w:spacing w:val="80"/>
        </w:rPr>
        <w:t> </w:t>
      </w:r>
      <w:r>
        <w:rPr/>
        <w:t>colorimetric</w:t>
      </w:r>
      <w:r>
        <w:rPr>
          <w:spacing w:val="80"/>
        </w:rPr>
        <w:t> </w:t>
      </w:r>
      <w:r>
        <w:rPr/>
        <w:t>method</w:t>
      </w:r>
      <w:r>
        <w:rPr>
          <w:spacing w:val="80"/>
        </w:rPr>
        <w:t> </w:t>
      </w:r>
      <w:r>
        <w:rPr/>
        <w:t>for determination of NAG, as well as the immunoturbidi- metric method</w:t>
      </w:r>
      <w:r>
        <w:rPr>
          <w:spacing w:val="-2"/>
        </w:rPr>
        <w:t> </w:t>
      </w:r>
      <w:r>
        <w:rPr/>
        <w:t>for</w:t>
      </w:r>
      <w:r>
        <w:rPr>
          <w:spacing w:val="-2"/>
        </w:rPr>
        <w:t> </w:t>
      </w:r>
      <w:r>
        <w:rPr/>
        <w:t>detection of</w:t>
      </w:r>
      <w:r>
        <w:rPr>
          <w:spacing w:val="-2"/>
        </w:rPr>
        <w:t> </w:t>
      </w:r>
      <w:r>
        <w:rPr/>
        <w:t>microalbuminuria, tests </w:t>
      </w:r>
      <w:r>
        <w:rPr>
          <w:spacing w:val="-4"/>
        </w:rPr>
        <w:t>were</w:t>
      </w:r>
      <w:r>
        <w:rPr>
          <w:spacing w:val="-8"/>
        </w:rPr>
        <w:t> </w:t>
      </w:r>
      <w:r>
        <w:rPr>
          <w:spacing w:val="-4"/>
        </w:rPr>
        <w:t>performed</w:t>
      </w:r>
      <w:r>
        <w:rPr>
          <w:spacing w:val="-7"/>
        </w:rPr>
        <w:t> </w:t>
      </w:r>
      <w:r>
        <w:rPr>
          <w:spacing w:val="-4"/>
        </w:rPr>
        <w:t>in</w:t>
      </w:r>
      <w:r>
        <w:rPr>
          <w:spacing w:val="-7"/>
        </w:rPr>
        <w:t> </w:t>
      </w:r>
      <w:r>
        <w:rPr>
          <w:spacing w:val="-4"/>
        </w:rPr>
        <w:t>70</w:t>
      </w:r>
      <w:r>
        <w:rPr>
          <w:spacing w:val="-7"/>
        </w:rPr>
        <w:t> </w:t>
      </w:r>
      <w:r>
        <w:rPr>
          <w:spacing w:val="-4"/>
        </w:rPr>
        <w:t>participants</w:t>
      </w:r>
      <w:r>
        <w:rPr>
          <w:spacing w:val="-6"/>
        </w:rPr>
        <w:t> </w:t>
      </w:r>
      <w:r>
        <w:rPr>
          <w:spacing w:val="-4"/>
        </w:rPr>
        <w:t>(35</w:t>
      </w:r>
      <w:r>
        <w:rPr>
          <w:spacing w:val="-7"/>
        </w:rPr>
        <w:t> </w:t>
      </w:r>
      <w:r>
        <w:rPr>
          <w:spacing w:val="-4"/>
        </w:rPr>
        <w:t>RA</w:t>
      </w:r>
      <w:r>
        <w:rPr>
          <w:spacing w:val="-6"/>
        </w:rPr>
        <w:t> </w:t>
      </w:r>
      <w:r>
        <w:rPr>
          <w:spacing w:val="-4"/>
        </w:rPr>
        <w:t>patients</w:t>
      </w:r>
      <w:r>
        <w:rPr>
          <w:spacing w:val="-8"/>
        </w:rPr>
        <w:t> </w:t>
      </w:r>
      <w:r>
        <w:rPr>
          <w:spacing w:val="-4"/>
        </w:rPr>
        <w:t>treated </w:t>
      </w:r>
      <w:r>
        <w:rPr/>
        <w:t>only with Etoricoxib, 35 RA patients with Diclofenac) in</w:t>
      </w:r>
      <w:r>
        <w:rPr>
          <w:spacing w:val="-2"/>
        </w:rPr>
        <w:t> </w:t>
      </w:r>
      <w:r>
        <w:rPr/>
        <w:t>four-time intervals</w:t>
      </w:r>
      <w:r>
        <w:rPr>
          <w:spacing w:val="-2"/>
        </w:rPr>
        <w:t> </w:t>
      </w:r>
      <w:r>
        <w:rPr/>
        <w:t>within the</w:t>
      </w:r>
      <w:r>
        <w:rPr>
          <w:spacing w:val="-2"/>
        </w:rPr>
        <w:t> </w:t>
      </w:r>
      <w:r>
        <w:rPr/>
        <w:t>course</w:t>
      </w:r>
      <w:r>
        <w:rPr>
          <w:spacing w:val="-3"/>
        </w:rPr>
        <w:t> </w:t>
      </w:r>
      <w:r>
        <w:rPr/>
        <w:t>of</w:t>
      </w:r>
      <w:r>
        <w:rPr>
          <w:spacing w:val="-3"/>
        </w:rPr>
        <w:t> </w:t>
      </w:r>
      <w:r>
        <w:rPr/>
        <w:t>eight</w:t>
      </w:r>
      <w:r>
        <w:rPr>
          <w:spacing w:val="-3"/>
        </w:rPr>
        <w:t> </w:t>
      </w:r>
      <w:r>
        <w:rPr/>
        <w:t>weeks. </w:t>
      </w:r>
      <w:r>
        <w:rPr>
          <w:b/>
        </w:rPr>
        <w:t>Results.</w:t>
      </w:r>
      <w:r>
        <w:rPr>
          <w:b/>
          <w:spacing w:val="40"/>
        </w:rPr>
        <w:t> </w:t>
      </w:r>
      <w:r>
        <w:rPr/>
        <w:t>There</w:t>
      </w:r>
      <w:r>
        <w:rPr>
          <w:spacing w:val="40"/>
        </w:rPr>
        <w:t> </w:t>
      </w:r>
      <w:r>
        <w:rPr/>
        <w:t>was</w:t>
      </w:r>
      <w:r>
        <w:rPr>
          <w:spacing w:val="40"/>
        </w:rPr>
        <w:t> </w:t>
      </w:r>
      <w:r>
        <w:rPr/>
        <w:t>a</w:t>
      </w:r>
      <w:r>
        <w:rPr>
          <w:spacing w:val="40"/>
        </w:rPr>
        <w:t> </w:t>
      </w:r>
      <w:r>
        <w:rPr/>
        <w:t>moderate</w:t>
      </w:r>
      <w:r>
        <w:rPr>
          <w:spacing w:val="40"/>
        </w:rPr>
        <w:t> </w:t>
      </w:r>
      <w:r>
        <w:rPr/>
        <w:t>correlation</w:t>
      </w:r>
      <w:r>
        <w:rPr>
          <w:spacing w:val="40"/>
        </w:rPr>
        <w:t> </w:t>
      </w:r>
      <w:r>
        <w:rPr/>
        <w:t>between NAG</w:t>
      </w:r>
      <w:r>
        <w:rPr>
          <w:spacing w:val="28"/>
        </w:rPr>
        <w:t> </w:t>
      </w:r>
      <w:r>
        <w:rPr/>
        <w:t>and</w:t>
      </w:r>
      <w:r>
        <w:rPr>
          <w:spacing w:val="27"/>
        </w:rPr>
        <w:t> </w:t>
      </w:r>
      <w:r>
        <w:rPr/>
        <w:t>microalbuminuria</w:t>
      </w:r>
      <w:r>
        <w:rPr>
          <w:spacing w:val="27"/>
        </w:rPr>
        <w:t> </w:t>
      </w:r>
      <w:r>
        <w:rPr/>
        <w:t>(r=0.21)</w:t>
      </w:r>
      <w:r>
        <w:rPr>
          <w:spacing w:val="27"/>
        </w:rPr>
        <w:t> </w:t>
      </w:r>
      <w:r>
        <w:rPr/>
        <w:t>in</w:t>
      </w:r>
      <w:r>
        <w:rPr>
          <w:spacing w:val="27"/>
        </w:rPr>
        <w:t> </w:t>
      </w:r>
      <w:r>
        <w:rPr/>
        <w:t>the</w:t>
      </w:r>
      <w:r>
        <w:rPr>
          <w:spacing w:val="27"/>
        </w:rPr>
        <w:t> </w:t>
      </w:r>
      <w:r>
        <w:rPr/>
        <w:t>group</w:t>
      </w:r>
      <w:r>
        <w:rPr>
          <w:spacing w:val="27"/>
        </w:rPr>
        <w:t> </w:t>
      </w:r>
      <w:r>
        <w:rPr/>
        <w:t>of patients treated with Etoricoxib, while there was a sta- tistically significant</w:t>
      </w:r>
      <w:r>
        <w:rPr>
          <w:spacing w:val="27"/>
        </w:rPr>
        <w:t> </w:t>
      </w:r>
      <w:r>
        <w:rPr/>
        <w:t>correlation</w:t>
      </w:r>
      <w:r>
        <w:rPr>
          <w:spacing w:val="29"/>
        </w:rPr>
        <w:t> </w:t>
      </w:r>
      <w:r>
        <w:rPr/>
        <w:t>(r=0.28)</w:t>
      </w:r>
      <w:r>
        <w:rPr>
          <w:spacing w:val="28"/>
        </w:rPr>
        <w:t> </w:t>
      </w:r>
      <w:r>
        <w:rPr/>
        <w:t>in</w:t>
      </w:r>
      <w:r>
        <w:rPr>
          <w:spacing w:val="26"/>
        </w:rPr>
        <w:t> </w:t>
      </w:r>
      <w:r>
        <w:rPr/>
        <w:t>the</w:t>
      </w:r>
      <w:r>
        <w:rPr>
          <w:spacing w:val="26"/>
        </w:rPr>
        <w:t> </w:t>
      </w:r>
      <w:r>
        <w:rPr/>
        <w:t>group treated with Diclofenac. NAG enzymuria, in volume, by the number of participants in whom it was register- red</w:t>
      </w:r>
      <w:r>
        <w:rPr>
          <w:spacing w:val="40"/>
        </w:rPr>
        <w:t> </w:t>
      </w:r>
      <w:r>
        <w:rPr/>
        <w:t>and</w:t>
      </w:r>
      <w:r>
        <w:rPr>
          <w:spacing w:val="40"/>
        </w:rPr>
        <w:t> </w:t>
      </w:r>
      <w:r>
        <w:rPr/>
        <w:t>the</w:t>
      </w:r>
      <w:r>
        <w:rPr>
          <w:spacing w:val="39"/>
        </w:rPr>
        <w:t> </w:t>
      </w:r>
      <w:r>
        <w:rPr/>
        <w:t>time</w:t>
      </w:r>
      <w:r>
        <w:rPr>
          <w:spacing w:val="40"/>
        </w:rPr>
        <w:t> </w:t>
      </w:r>
      <w:r>
        <w:rPr/>
        <w:t>of</w:t>
      </w:r>
      <w:r>
        <w:rPr>
          <w:spacing w:val="40"/>
        </w:rPr>
        <w:t> </w:t>
      </w:r>
      <w:r>
        <w:rPr/>
        <w:t>its</w:t>
      </w:r>
      <w:r>
        <w:rPr>
          <w:spacing w:val="40"/>
        </w:rPr>
        <w:t> </w:t>
      </w:r>
      <w:r>
        <w:rPr/>
        <w:t>occurrence</w:t>
      </w:r>
      <w:r>
        <w:rPr>
          <w:spacing w:val="40"/>
        </w:rPr>
        <w:t> </w:t>
      </w:r>
      <w:r>
        <w:rPr/>
        <w:t>was</w:t>
      </w:r>
      <w:r>
        <w:rPr>
          <w:spacing w:val="40"/>
        </w:rPr>
        <w:t> </w:t>
      </w:r>
      <w:r>
        <w:rPr/>
        <w:t>much</w:t>
      </w:r>
      <w:r>
        <w:rPr>
          <w:spacing w:val="40"/>
        </w:rPr>
        <w:t> </w:t>
      </w:r>
      <w:r>
        <w:rPr/>
        <w:t>faster during the use of Diclofenac compared to Etoricoxib. </w:t>
      </w:r>
      <w:r>
        <w:rPr>
          <w:b/>
        </w:rPr>
        <w:t>Conclusion. </w:t>
      </w:r>
      <w:r>
        <w:rPr/>
        <w:t>Diclofenac is a potent NAG-inductor and gives</w:t>
      </w:r>
      <w:r>
        <w:rPr>
          <w:spacing w:val="29"/>
        </w:rPr>
        <w:t> </w:t>
      </w:r>
      <w:r>
        <w:rPr/>
        <w:t>a</w:t>
      </w:r>
      <w:r>
        <w:rPr>
          <w:spacing w:val="32"/>
        </w:rPr>
        <w:t> </w:t>
      </w:r>
      <w:r>
        <w:rPr/>
        <w:t>larger</w:t>
      </w:r>
      <w:r>
        <w:rPr>
          <w:spacing w:val="29"/>
        </w:rPr>
        <w:t> </w:t>
      </w:r>
      <w:r>
        <w:rPr/>
        <w:t>tubular</w:t>
      </w:r>
      <w:r>
        <w:rPr>
          <w:spacing w:val="29"/>
        </w:rPr>
        <w:t> </w:t>
      </w:r>
      <w:r>
        <w:rPr/>
        <w:t>enzymuria</w:t>
      </w:r>
      <w:r>
        <w:rPr>
          <w:spacing w:val="32"/>
        </w:rPr>
        <w:t> </w:t>
      </w:r>
      <w:r>
        <w:rPr/>
        <w:t>in</w:t>
      </w:r>
      <w:r>
        <w:rPr>
          <w:spacing w:val="30"/>
        </w:rPr>
        <w:t> </w:t>
      </w:r>
      <w:r>
        <w:rPr/>
        <w:t>comparison</w:t>
      </w:r>
      <w:r>
        <w:rPr>
          <w:spacing w:val="29"/>
        </w:rPr>
        <w:t> </w:t>
      </w:r>
      <w:r>
        <w:rPr/>
        <w:t>with </w:t>
      </w:r>
      <w:r>
        <w:rPr>
          <w:spacing w:val="-2"/>
        </w:rPr>
        <w:t>Etoricoxib.</w:t>
      </w:r>
    </w:p>
    <w:p>
      <w:pPr>
        <w:pStyle w:val="BodyText"/>
        <w:spacing w:before="5"/>
      </w:pPr>
    </w:p>
    <w:p>
      <w:pPr>
        <w:pStyle w:val="BodyText"/>
        <w:spacing w:line="237" w:lineRule="auto"/>
        <w:ind w:left="238" w:right="38"/>
        <w:jc w:val="both"/>
      </w:pPr>
      <w:r>
        <w:rPr>
          <w:b/>
          <w:spacing w:val="-6"/>
        </w:rPr>
        <w:t>Keywords: </w:t>
      </w:r>
      <w:r>
        <w:rPr>
          <w:spacing w:val="-6"/>
        </w:rPr>
        <w:t>N-acetyl-</w:t>
      </w:r>
      <w:r>
        <w:rPr>
          <w:rFonts w:ascii="Symbol" w:hAnsi="Symbol"/>
          <w:spacing w:val="-6"/>
        </w:rPr>
        <w:t></w:t>
      </w:r>
      <w:r>
        <w:rPr>
          <w:spacing w:val="-6"/>
        </w:rPr>
        <w:t>-D-glucosaminidase,</w:t>
      </w:r>
      <w:r>
        <w:rPr/>
        <w:t> </w:t>
      </w:r>
      <w:r>
        <w:rPr>
          <w:spacing w:val="-6"/>
        </w:rPr>
        <w:t>microalbumi- </w:t>
      </w:r>
      <w:r>
        <w:rPr/>
        <w:t>nuria, rheumatoid arthritis, Etoricoxib, Diclofenac</w:t>
      </w:r>
    </w:p>
    <w:p>
      <w:pPr>
        <w:pStyle w:val="BodyText"/>
        <w:spacing w:before="5"/>
        <w:rPr>
          <w:sz w:val="18"/>
        </w:rPr>
      </w:pPr>
      <w:r>
        <w:rPr/>
        <w:pict>
          <v:shape style="position:absolute;margin-left:56.903999pt;margin-top:11.840448pt;width:225.9pt;height:.1pt;mso-position-horizontal-relative:page;mso-position-vertical-relative:paragraph;z-index:-15712768;mso-wrap-distance-left:0;mso-wrap-distance-right:0" id="docshape518" coordorigin="1138,237" coordsize="4518,0" path="m1138,237l5656,237e" filled="false" stroked="true" strokeweight=".4224pt" strokecolor="#000000">
            <v:path arrowok="t"/>
            <v:stroke dashstyle="solid"/>
            <w10:wrap type="topAndBottom"/>
          </v:shape>
        </w:pict>
      </w:r>
    </w:p>
    <w:p>
      <w:pPr>
        <w:pStyle w:val="BodyText"/>
        <w:rPr>
          <w:sz w:val="20"/>
        </w:rPr>
      </w:pPr>
    </w:p>
    <w:p>
      <w:pPr>
        <w:pStyle w:val="BodyText"/>
        <w:spacing w:before="10"/>
        <w:rPr>
          <w:sz w:val="14"/>
        </w:rPr>
      </w:pPr>
      <w:r>
        <w:rPr/>
        <w:pict>
          <v:shape style="position:absolute;margin-left:56.903999pt;margin-top:9.751843pt;width:96.05pt;height:.1pt;mso-position-horizontal-relative:page;mso-position-vertical-relative:paragraph;z-index:-15712256;mso-wrap-distance-left:0;mso-wrap-distance-right:0" id="docshape519" coordorigin="1138,195" coordsize="1921,0" path="m1138,195l3059,195e" filled="false" stroked="true" strokeweight=".32964pt" strokecolor="#000000">
            <v:path arrowok="t"/>
            <v:stroke dashstyle="solid"/>
            <w10:wrap type="topAndBottom"/>
          </v:shape>
        </w:pict>
      </w:r>
    </w:p>
    <w:p>
      <w:pPr>
        <w:spacing w:before="0"/>
        <w:ind w:left="238" w:right="43" w:firstLine="0"/>
        <w:jc w:val="both"/>
        <w:rPr>
          <w:sz w:val="16"/>
        </w:rPr>
      </w:pPr>
      <w:r>
        <w:rPr>
          <w:i/>
          <w:sz w:val="16"/>
        </w:rPr>
        <w:t>Correspondence to: </w:t>
      </w:r>
      <w:r>
        <w:rPr>
          <w:sz w:val="16"/>
        </w:rPr>
        <w:t>Dejan Spasovski, University Clinic for</w:t>
      </w:r>
      <w:r>
        <w:rPr>
          <w:spacing w:val="40"/>
          <w:sz w:val="16"/>
        </w:rPr>
        <w:t> </w:t>
      </w:r>
      <w:r>
        <w:rPr>
          <w:sz w:val="16"/>
        </w:rPr>
        <w:t>Rheumatology, University Clinical Center “Mother Therese”, Skopje,</w:t>
      </w:r>
      <w:r>
        <w:rPr>
          <w:spacing w:val="40"/>
          <w:sz w:val="16"/>
        </w:rPr>
        <w:t> </w:t>
      </w:r>
      <w:r>
        <w:rPr>
          <w:sz w:val="16"/>
        </w:rPr>
        <w:t>Republic</w:t>
      </w:r>
      <w:r>
        <w:rPr>
          <w:spacing w:val="21"/>
          <w:sz w:val="16"/>
        </w:rPr>
        <w:t> </w:t>
      </w:r>
      <w:r>
        <w:rPr>
          <w:sz w:val="16"/>
        </w:rPr>
        <w:t>of</w:t>
      </w:r>
      <w:r>
        <w:rPr>
          <w:spacing w:val="20"/>
          <w:sz w:val="16"/>
        </w:rPr>
        <w:t> </w:t>
      </w:r>
      <w:r>
        <w:rPr>
          <w:sz w:val="16"/>
        </w:rPr>
        <w:t>North</w:t>
      </w:r>
      <w:r>
        <w:rPr>
          <w:spacing w:val="22"/>
          <w:sz w:val="16"/>
        </w:rPr>
        <w:t> </w:t>
      </w:r>
      <w:r>
        <w:rPr>
          <w:sz w:val="16"/>
        </w:rPr>
        <w:t>Macedonia;</w:t>
      </w:r>
      <w:r>
        <w:rPr>
          <w:spacing w:val="21"/>
          <w:sz w:val="16"/>
        </w:rPr>
        <w:t> </w:t>
      </w:r>
      <w:r>
        <w:rPr>
          <w:sz w:val="16"/>
        </w:rPr>
        <w:t>E-mail:</w:t>
      </w:r>
      <w:r>
        <w:rPr>
          <w:spacing w:val="19"/>
          <w:sz w:val="16"/>
        </w:rPr>
        <w:t> </w:t>
      </w:r>
      <w:r>
        <w:rPr>
          <w:sz w:val="16"/>
        </w:rPr>
        <w:t>sdejan36@yahoo.com;</w:t>
      </w:r>
      <w:r>
        <w:rPr>
          <w:spacing w:val="21"/>
          <w:sz w:val="16"/>
        </w:rPr>
        <w:t> </w:t>
      </w:r>
      <w:r>
        <w:rPr>
          <w:sz w:val="16"/>
        </w:rPr>
        <w:t>Phone:</w:t>
      </w:r>
    </w:p>
    <w:p>
      <w:pPr>
        <w:spacing w:before="0"/>
        <w:ind w:left="238" w:right="0" w:firstLine="0"/>
        <w:jc w:val="both"/>
        <w:rPr>
          <w:sz w:val="16"/>
        </w:rPr>
      </w:pPr>
      <w:r>
        <w:rPr>
          <w:sz w:val="16"/>
        </w:rPr>
        <w:t>+389</w:t>
      </w:r>
      <w:r>
        <w:rPr>
          <w:spacing w:val="-3"/>
          <w:sz w:val="16"/>
        </w:rPr>
        <w:t> </w:t>
      </w:r>
      <w:r>
        <w:rPr>
          <w:sz w:val="16"/>
        </w:rPr>
        <w:t>2</w:t>
      </w:r>
      <w:r>
        <w:rPr>
          <w:spacing w:val="-2"/>
          <w:sz w:val="16"/>
        </w:rPr>
        <w:t> </w:t>
      </w:r>
      <w:r>
        <w:rPr>
          <w:sz w:val="16"/>
        </w:rPr>
        <w:t>31</w:t>
      </w:r>
      <w:r>
        <w:rPr>
          <w:spacing w:val="-3"/>
          <w:sz w:val="16"/>
        </w:rPr>
        <w:t> </w:t>
      </w:r>
      <w:r>
        <w:rPr>
          <w:sz w:val="16"/>
        </w:rPr>
        <w:t>47</w:t>
      </w:r>
      <w:r>
        <w:rPr>
          <w:spacing w:val="-2"/>
          <w:sz w:val="16"/>
        </w:rPr>
        <w:t> </w:t>
      </w:r>
      <w:r>
        <w:rPr>
          <w:spacing w:val="-5"/>
          <w:sz w:val="16"/>
        </w:rPr>
        <w:t>668</w:t>
      </w:r>
    </w:p>
    <w:p>
      <w:pPr>
        <w:pStyle w:val="Heading4"/>
        <w:spacing w:before="95"/>
      </w:pPr>
      <w:r>
        <w:rPr>
          <w:b w:val="0"/>
        </w:rPr>
        <w:br w:type="column"/>
      </w:r>
      <w:r>
        <w:rPr>
          <w:spacing w:val="-2"/>
          <w:w w:val="115"/>
        </w:rPr>
        <w:t>Apstrakt</w:t>
      </w:r>
    </w:p>
    <w:p>
      <w:pPr>
        <w:pStyle w:val="BodyText"/>
        <w:rPr>
          <w:b/>
          <w:sz w:val="22"/>
        </w:rPr>
      </w:pPr>
    </w:p>
    <w:p>
      <w:pPr>
        <w:pStyle w:val="BodyText"/>
        <w:spacing w:line="242" w:lineRule="auto"/>
        <w:ind w:left="238" w:right="290"/>
        <w:jc w:val="both"/>
      </w:pPr>
      <w:r>
        <w:rPr>
          <w:b/>
          <w:spacing w:val="-2"/>
          <w:w w:val="120"/>
        </w:rPr>
        <w:t>Voved.</w:t>
      </w:r>
      <w:r>
        <w:rPr>
          <w:b/>
          <w:spacing w:val="-7"/>
          <w:w w:val="120"/>
        </w:rPr>
        <w:t> </w:t>
      </w:r>
      <w:r>
        <w:rPr>
          <w:spacing w:val="-2"/>
          <w:w w:val="120"/>
        </w:rPr>
        <w:t>Mikroalbuminurijata</w:t>
      </w:r>
      <w:r>
        <w:rPr>
          <w:spacing w:val="-7"/>
          <w:w w:val="120"/>
        </w:rPr>
        <w:t> </w:t>
      </w:r>
      <w:r>
        <w:rPr>
          <w:spacing w:val="-2"/>
          <w:w w:val="120"/>
        </w:rPr>
        <w:t>e</w:t>
      </w:r>
      <w:r>
        <w:rPr>
          <w:spacing w:val="-7"/>
          <w:w w:val="120"/>
        </w:rPr>
        <w:t> </w:t>
      </w:r>
      <w:r>
        <w:rPr>
          <w:spacing w:val="-2"/>
          <w:w w:val="120"/>
        </w:rPr>
        <w:t>upotreben</w:t>
      </w:r>
      <w:r>
        <w:rPr>
          <w:spacing w:val="-9"/>
          <w:w w:val="120"/>
        </w:rPr>
        <w:t> </w:t>
      </w:r>
      <w:r>
        <w:rPr>
          <w:spacing w:val="-2"/>
          <w:w w:val="120"/>
        </w:rPr>
        <w:t>kako </w:t>
      </w:r>
      <w:r>
        <w:rPr>
          <w:w w:val="120"/>
        </w:rPr>
        <w:t>marker</w:t>
      </w:r>
      <w:r>
        <w:rPr>
          <w:spacing w:val="-4"/>
          <w:w w:val="120"/>
        </w:rPr>
        <w:t> </w:t>
      </w:r>
      <w:r>
        <w:rPr>
          <w:w w:val="120"/>
        </w:rPr>
        <w:t>za</w:t>
      </w:r>
      <w:r>
        <w:rPr>
          <w:spacing w:val="-4"/>
          <w:w w:val="120"/>
        </w:rPr>
        <w:t> </w:t>
      </w:r>
      <w:r>
        <w:rPr>
          <w:w w:val="120"/>
        </w:rPr>
        <w:t>glomerularno</w:t>
      </w:r>
      <w:r>
        <w:rPr>
          <w:spacing w:val="-7"/>
          <w:w w:val="120"/>
        </w:rPr>
        <w:t> </w:t>
      </w:r>
      <w:r>
        <w:rPr>
          <w:w w:val="120"/>
        </w:rPr>
        <w:t>o{tetuvawe,</w:t>
      </w:r>
      <w:r>
        <w:rPr>
          <w:spacing w:val="-4"/>
          <w:w w:val="120"/>
        </w:rPr>
        <w:t> </w:t>
      </w:r>
      <w:r>
        <w:rPr>
          <w:w w:val="120"/>
        </w:rPr>
        <w:t>a</w:t>
      </w:r>
      <w:r>
        <w:rPr>
          <w:spacing w:val="-4"/>
          <w:w w:val="120"/>
        </w:rPr>
        <w:t> </w:t>
      </w:r>
      <w:r>
        <w:rPr>
          <w:w w:val="120"/>
        </w:rPr>
        <w:t>urinar- </w:t>
      </w:r>
      <w:r>
        <w:rPr>
          <w:w w:val="115"/>
        </w:rPr>
        <w:t>nata ekskrecija na N-</w:t>
      </w:r>
      <w:r>
        <w:rPr>
          <w:spacing w:val="1"/>
          <w:w w:val="108"/>
        </w:rPr>
        <w:t>A</w:t>
      </w:r>
      <w:r>
        <w:rPr>
          <w:spacing w:val="-1"/>
          <w:w w:val="108"/>
        </w:rPr>
        <w:t>c</w:t>
      </w:r>
      <w:r>
        <w:rPr>
          <w:spacing w:val="1"/>
          <w:w w:val="102"/>
        </w:rPr>
        <w:t>et</w:t>
      </w:r>
      <w:r>
        <w:rPr>
          <w:w w:val="102"/>
        </w:rPr>
        <w:t>y</w:t>
      </w:r>
      <w:r>
        <w:rPr>
          <w:spacing w:val="1"/>
          <w:w w:val="189"/>
        </w:rPr>
        <w:t>l</w:t>
      </w:r>
      <w:r>
        <w:rPr>
          <w:spacing w:val="-3"/>
          <w:w w:val="88"/>
        </w:rPr>
        <w:t>-</w:t>
      </w:r>
      <w:r>
        <w:rPr>
          <w:rFonts w:ascii="Symbol" w:hAnsi="Symbol"/>
          <w:w w:val="115"/>
        </w:rPr>
        <w:t></w:t>
      </w:r>
      <w:r>
        <w:rPr>
          <w:w w:val="115"/>
        </w:rPr>
        <w:t>-D-Glukozamini- </w:t>
      </w:r>
      <w:r>
        <w:rPr>
          <w:w w:val="120"/>
        </w:rPr>
        <w:t>daza</w:t>
      </w:r>
      <w:r>
        <w:rPr>
          <w:spacing w:val="-16"/>
          <w:w w:val="120"/>
        </w:rPr>
        <w:t> </w:t>
      </w:r>
      <w:r>
        <w:rPr>
          <w:w w:val="120"/>
        </w:rPr>
        <w:t>(NAG)</w:t>
      </w:r>
      <w:r>
        <w:rPr>
          <w:spacing w:val="-16"/>
          <w:w w:val="120"/>
        </w:rPr>
        <w:t> </w:t>
      </w:r>
      <w:r>
        <w:rPr>
          <w:w w:val="120"/>
        </w:rPr>
        <w:t>kako</w:t>
      </w:r>
      <w:r>
        <w:rPr>
          <w:spacing w:val="-16"/>
          <w:w w:val="120"/>
        </w:rPr>
        <w:t> </w:t>
      </w:r>
      <w:r>
        <w:rPr>
          <w:w w:val="120"/>
        </w:rPr>
        <w:t>indikator</w:t>
      </w:r>
      <w:r>
        <w:rPr>
          <w:spacing w:val="-15"/>
          <w:w w:val="120"/>
        </w:rPr>
        <w:t> </w:t>
      </w:r>
      <w:r>
        <w:rPr>
          <w:w w:val="120"/>
        </w:rPr>
        <w:t>za</w:t>
      </w:r>
      <w:r>
        <w:rPr>
          <w:spacing w:val="-16"/>
          <w:w w:val="120"/>
        </w:rPr>
        <w:t> </w:t>
      </w:r>
      <w:r>
        <w:rPr>
          <w:w w:val="120"/>
        </w:rPr>
        <w:t>proksimalno</w:t>
      </w:r>
      <w:r>
        <w:rPr>
          <w:spacing w:val="-16"/>
          <w:w w:val="120"/>
        </w:rPr>
        <w:t> </w:t>
      </w:r>
      <w:r>
        <w:rPr>
          <w:w w:val="120"/>
        </w:rPr>
        <w:t>tu- </w:t>
      </w:r>
      <w:r>
        <w:rPr>
          <w:w w:val="125"/>
        </w:rPr>
        <w:t>bularno</w:t>
      </w:r>
      <w:r>
        <w:rPr>
          <w:w w:val="125"/>
        </w:rPr>
        <w:t> o{tetuvawe.</w:t>
      </w:r>
      <w:r>
        <w:rPr>
          <w:w w:val="125"/>
        </w:rPr>
        <w:t> </w:t>
      </w:r>
      <w:r>
        <w:rPr>
          <w:w w:val="120"/>
        </w:rPr>
        <w:t>Дa</w:t>
      </w:r>
      <w:r>
        <w:rPr>
          <w:w w:val="120"/>
        </w:rPr>
        <w:t> </w:t>
      </w:r>
      <w:r>
        <w:rPr>
          <w:w w:val="125"/>
        </w:rPr>
        <w:t>se</w:t>
      </w:r>
      <w:r>
        <w:rPr>
          <w:w w:val="125"/>
        </w:rPr>
        <w:t> </w:t>
      </w:r>
      <w:r>
        <w:rPr>
          <w:spacing w:val="-1"/>
          <w:w w:val="91"/>
        </w:rPr>
        <w:t>k</w:t>
      </w:r>
      <w:r>
        <w:rPr>
          <w:spacing w:val="-2"/>
          <w:w w:val="80"/>
        </w:rPr>
        <w:t>v</w:t>
      </w:r>
      <w:r>
        <w:rPr>
          <w:spacing w:val="-2"/>
          <w:w w:val="93"/>
        </w:rPr>
        <w:t>a</w:t>
      </w:r>
      <w:r>
        <w:rPr>
          <w:spacing w:val="-1"/>
          <w:w w:val="91"/>
        </w:rPr>
        <w:t>n</w:t>
      </w:r>
      <w:r>
        <w:rPr>
          <w:spacing w:val="-2"/>
          <w:w w:val="160"/>
        </w:rPr>
        <w:t>t</w:t>
      </w:r>
      <w:r>
        <w:rPr>
          <w:spacing w:val="1"/>
          <w:w w:val="181"/>
        </w:rPr>
        <w:t>i</w:t>
      </w:r>
      <w:r>
        <w:rPr>
          <w:spacing w:val="-3"/>
          <w:w w:val="214"/>
        </w:rPr>
        <w:t>f</w:t>
      </w:r>
      <w:r>
        <w:rPr>
          <w:spacing w:val="-1"/>
          <w:w w:val="181"/>
        </w:rPr>
        <w:t>i</w:t>
      </w:r>
      <w:r>
        <w:rPr>
          <w:spacing w:val="-1"/>
          <w:w w:val="105"/>
        </w:rPr>
        <w:t>c</w:t>
      </w:r>
      <w:r>
        <w:rPr>
          <w:spacing w:val="-1"/>
          <w:w w:val="181"/>
        </w:rPr>
        <w:t>i</w:t>
      </w:r>
      <w:r>
        <w:rPr>
          <w:spacing w:val="1"/>
          <w:w w:val="147"/>
        </w:rPr>
        <w:t>r</w:t>
      </w:r>
      <w:r>
        <w:rPr>
          <w:spacing w:val="6"/>
          <w:w w:val="93"/>
        </w:rPr>
        <w:t>a</w:t>
      </w:r>
      <w:r>
        <w:rPr>
          <w:spacing w:val="-1"/>
          <w:w w:val="134"/>
        </w:rPr>
        <w:t> </w:t>
      </w:r>
      <w:r>
        <w:rPr>
          <w:w w:val="125"/>
        </w:rPr>
        <w:t>tok- </w:t>
      </w:r>
      <w:r>
        <w:rPr>
          <w:w w:val="120"/>
        </w:rPr>
        <w:t>si~nosta</w:t>
      </w:r>
      <w:r>
        <w:rPr>
          <w:spacing w:val="-16"/>
          <w:w w:val="120"/>
        </w:rPr>
        <w:t> </w:t>
      </w:r>
      <w:r>
        <w:rPr>
          <w:w w:val="120"/>
        </w:rPr>
        <w:t>na</w:t>
      </w:r>
      <w:r>
        <w:rPr>
          <w:spacing w:val="-16"/>
          <w:w w:val="120"/>
        </w:rPr>
        <w:t> </w:t>
      </w:r>
      <w:r>
        <w:rPr>
          <w:w w:val="120"/>
        </w:rPr>
        <w:t>ovie</w:t>
      </w:r>
      <w:r>
        <w:rPr>
          <w:spacing w:val="-16"/>
          <w:w w:val="120"/>
        </w:rPr>
        <w:t> </w:t>
      </w:r>
      <w:r>
        <w:rPr>
          <w:w w:val="92"/>
        </w:rPr>
        <w:t>me</w:t>
      </w:r>
      <w:r>
        <w:rPr>
          <w:spacing w:val="-2"/>
          <w:w w:val="92"/>
        </w:rPr>
        <w:t>d</w:t>
      </w:r>
      <w:r>
        <w:rPr>
          <w:w w:val="127"/>
        </w:rPr>
        <w:t>ik</w:t>
      </w:r>
      <w:r>
        <w:rPr>
          <w:spacing w:val="-3"/>
          <w:w w:val="127"/>
        </w:rPr>
        <w:t>a</w:t>
      </w:r>
      <w:r>
        <w:rPr>
          <w:w w:val="95"/>
        </w:rPr>
        <w:t>men</w:t>
      </w:r>
      <w:r>
        <w:rPr>
          <w:spacing w:val="-3"/>
          <w:w w:val="175"/>
        </w:rPr>
        <w:t>t</w:t>
      </w:r>
      <w:r>
        <w:rPr>
          <w:w w:val="196"/>
        </w:rPr>
        <w:t>i</w:t>
      </w:r>
      <w:r>
        <w:rPr>
          <w:spacing w:val="-14"/>
          <w:w w:val="119"/>
        </w:rPr>
        <w:t> </w:t>
      </w:r>
      <w:r>
        <w:rPr>
          <w:w w:val="120"/>
        </w:rPr>
        <w:t>preku</w:t>
      </w:r>
      <w:r>
        <w:rPr>
          <w:spacing w:val="-16"/>
          <w:w w:val="120"/>
        </w:rPr>
        <w:t> </w:t>
      </w:r>
      <w:r>
        <w:rPr>
          <w:w w:val="120"/>
        </w:rPr>
        <w:t>merewe</w:t>
      </w:r>
      <w:r>
        <w:rPr>
          <w:spacing w:val="-16"/>
          <w:w w:val="120"/>
        </w:rPr>
        <w:t> </w:t>
      </w:r>
      <w:r>
        <w:rPr>
          <w:w w:val="120"/>
        </w:rPr>
        <w:t>na </w:t>
      </w:r>
      <w:r>
        <w:rPr>
          <w:w w:val="125"/>
        </w:rPr>
        <w:t>enzimskata</w:t>
      </w:r>
      <w:r>
        <w:rPr>
          <w:w w:val="125"/>
        </w:rPr>
        <w:t> ekskrecija</w:t>
      </w:r>
      <w:r>
        <w:rPr>
          <w:w w:val="125"/>
        </w:rPr>
        <w:t> koja</w:t>
      </w:r>
      <w:r>
        <w:rPr>
          <w:w w:val="125"/>
        </w:rPr>
        <w:t> kolerira</w:t>
      </w:r>
      <w:r>
        <w:rPr>
          <w:w w:val="125"/>
        </w:rPr>
        <w:t> so</w:t>
      </w:r>
      <w:r>
        <w:rPr>
          <w:w w:val="125"/>
        </w:rPr>
        <w:t> ste- penot</w:t>
      </w:r>
      <w:r>
        <w:rPr>
          <w:spacing w:val="-4"/>
          <w:w w:val="125"/>
        </w:rPr>
        <w:t> </w:t>
      </w:r>
      <w:r>
        <w:rPr>
          <w:w w:val="125"/>
        </w:rPr>
        <w:t>na</w:t>
      </w:r>
      <w:r>
        <w:rPr>
          <w:spacing w:val="-4"/>
          <w:w w:val="125"/>
        </w:rPr>
        <w:t> </w:t>
      </w:r>
      <w:r>
        <w:rPr>
          <w:w w:val="125"/>
        </w:rPr>
        <w:t>o{tetuvaweto</w:t>
      </w:r>
      <w:r>
        <w:rPr>
          <w:spacing w:val="-4"/>
          <w:w w:val="125"/>
        </w:rPr>
        <w:t> </w:t>
      </w:r>
      <w:r>
        <w:rPr>
          <w:w w:val="125"/>
        </w:rPr>
        <w:t>na</w:t>
      </w:r>
      <w:r>
        <w:rPr>
          <w:spacing w:val="-4"/>
          <w:w w:val="125"/>
        </w:rPr>
        <w:t> </w:t>
      </w:r>
      <w:r>
        <w:rPr>
          <w:w w:val="125"/>
        </w:rPr>
        <w:t>tubularniot</w:t>
      </w:r>
      <w:r>
        <w:rPr>
          <w:spacing w:val="-4"/>
          <w:w w:val="125"/>
        </w:rPr>
        <w:t> </w:t>
      </w:r>
      <w:r>
        <w:rPr>
          <w:w w:val="125"/>
        </w:rPr>
        <w:t>epitel; </w:t>
      </w:r>
      <w:r>
        <w:rPr>
          <w:w w:val="120"/>
        </w:rPr>
        <w:t>Da </w:t>
      </w:r>
      <w:r>
        <w:rPr>
          <w:w w:val="125"/>
        </w:rPr>
        <w:t>se odredi efektot na inicijalnata terapija </w:t>
      </w:r>
      <w:r>
        <w:rPr>
          <w:spacing w:val="-2"/>
          <w:w w:val="115"/>
        </w:rPr>
        <w:t>so</w:t>
      </w:r>
      <w:r>
        <w:rPr>
          <w:spacing w:val="-14"/>
          <w:w w:val="115"/>
        </w:rPr>
        <w:t> </w:t>
      </w:r>
      <w:r>
        <w:rPr>
          <w:spacing w:val="-2"/>
          <w:w w:val="115"/>
        </w:rPr>
        <w:t>Еторицохиб</w:t>
      </w:r>
      <w:r>
        <w:rPr>
          <w:spacing w:val="-13"/>
          <w:w w:val="115"/>
        </w:rPr>
        <w:t> </w:t>
      </w:r>
      <w:r>
        <w:rPr>
          <w:spacing w:val="-2"/>
          <w:w w:val="115"/>
        </w:rPr>
        <w:t>i</w:t>
      </w:r>
      <w:r>
        <w:rPr>
          <w:spacing w:val="-13"/>
          <w:w w:val="115"/>
        </w:rPr>
        <w:t> </w:t>
      </w:r>
      <w:r>
        <w:rPr>
          <w:spacing w:val="-2"/>
          <w:w w:val="115"/>
        </w:rPr>
        <w:t>Диклофенак</w:t>
      </w:r>
      <w:r>
        <w:rPr>
          <w:spacing w:val="-12"/>
          <w:w w:val="115"/>
        </w:rPr>
        <w:t> </w:t>
      </w:r>
      <w:r>
        <w:rPr>
          <w:spacing w:val="-2"/>
          <w:w w:val="115"/>
        </w:rPr>
        <w:t>vrz</w:t>
      </w:r>
      <w:r>
        <w:rPr>
          <w:spacing w:val="-13"/>
          <w:w w:val="115"/>
        </w:rPr>
        <w:t> </w:t>
      </w:r>
      <w:r>
        <w:rPr>
          <w:spacing w:val="-3"/>
          <w:w w:val="69"/>
        </w:rPr>
        <w:t>g</w:t>
      </w:r>
      <w:r>
        <w:rPr>
          <w:spacing w:val="-2"/>
          <w:w w:val="181"/>
        </w:rPr>
        <w:t>l</w:t>
      </w:r>
      <w:r>
        <w:rPr>
          <w:spacing w:val="-2"/>
          <w:w w:val="91"/>
        </w:rPr>
        <w:t>o</w:t>
      </w:r>
      <w:r>
        <w:rPr>
          <w:spacing w:val="-2"/>
          <w:w w:val="66"/>
        </w:rPr>
        <w:t>m</w:t>
      </w:r>
      <w:r>
        <w:rPr>
          <w:spacing w:val="-2"/>
          <w:w w:val="93"/>
        </w:rPr>
        <w:t>e</w:t>
      </w:r>
      <w:r>
        <w:rPr>
          <w:spacing w:val="-2"/>
          <w:w w:val="147"/>
        </w:rPr>
        <w:t>r</w:t>
      </w:r>
      <w:r>
        <w:rPr>
          <w:spacing w:val="-2"/>
          <w:w w:val="80"/>
        </w:rPr>
        <w:t>u</w:t>
      </w:r>
      <w:r>
        <w:rPr>
          <w:spacing w:val="-2"/>
          <w:w w:val="133"/>
        </w:rPr>
        <w:t>lar</w:t>
      </w:r>
      <w:r>
        <w:rPr>
          <w:spacing w:val="-2"/>
          <w:w w:val="120"/>
        </w:rPr>
        <w:t>niot</w:t>
      </w:r>
      <w:r>
        <w:rPr>
          <w:spacing w:val="-3"/>
          <w:w w:val="114"/>
        </w:rPr>
        <w:t> </w:t>
      </w:r>
      <w:r>
        <w:rPr>
          <w:w w:val="170"/>
        </w:rPr>
        <w:t>i </w:t>
      </w:r>
      <w:r>
        <w:rPr>
          <w:w w:val="125"/>
        </w:rPr>
        <w:t>tubularniot integritet </w:t>
      </w:r>
      <w:r>
        <w:rPr>
          <w:w w:val="120"/>
        </w:rPr>
        <w:t>kaj </w:t>
      </w:r>
      <w:r>
        <w:rPr>
          <w:w w:val="125"/>
        </w:rPr>
        <w:t>pacienti koi </w:t>
      </w:r>
      <w:r>
        <w:rPr>
          <w:w w:val="120"/>
        </w:rPr>
        <w:t>bo- </w:t>
      </w:r>
      <w:r>
        <w:rPr>
          <w:w w:val="110"/>
        </w:rPr>
        <w:t>leduvaat</w:t>
      </w:r>
      <w:r>
        <w:rPr>
          <w:spacing w:val="-8"/>
          <w:w w:val="110"/>
        </w:rPr>
        <w:t> </w:t>
      </w:r>
      <w:r>
        <w:rPr>
          <w:w w:val="110"/>
        </w:rPr>
        <w:t>od</w:t>
      </w:r>
      <w:r>
        <w:rPr>
          <w:spacing w:val="-8"/>
          <w:w w:val="110"/>
        </w:rPr>
        <w:t> </w:t>
      </w:r>
      <w:r>
        <w:rPr>
          <w:w w:val="110"/>
        </w:rPr>
        <w:t>Ревматоиден</w:t>
      </w:r>
      <w:r>
        <w:rPr>
          <w:spacing w:val="-7"/>
          <w:w w:val="110"/>
        </w:rPr>
        <w:t> </w:t>
      </w:r>
      <w:r>
        <w:rPr>
          <w:w w:val="110"/>
        </w:rPr>
        <w:t>артритис</w:t>
      </w:r>
      <w:r>
        <w:rPr>
          <w:spacing w:val="-6"/>
          <w:w w:val="110"/>
        </w:rPr>
        <w:t> </w:t>
      </w:r>
      <w:r>
        <w:rPr>
          <w:w w:val="110"/>
        </w:rPr>
        <w:t>(РА),</w:t>
      </w:r>
    </w:p>
    <w:p>
      <w:pPr>
        <w:pStyle w:val="BodyText"/>
        <w:spacing w:line="242" w:lineRule="auto" w:before="10"/>
        <w:ind w:left="238" w:right="290"/>
      </w:pPr>
      <w:r>
        <w:rPr>
          <w:b/>
          <w:w w:val="120"/>
        </w:rPr>
        <w:t>Metodi. </w:t>
      </w:r>
      <w:r>
        <w:rPr>
          <w:w w:val="135"/>
        </w:rPr>
        <w:t>Koristej}i</w:t>
      </w:r>
      <w:r>
        <w:rPr>
          <w:spacing w:val="-8"/>
          <w:w w:val="135"/>
        </w:rPr>
        <w:t> </w:t>
      </w:r>
      <w:r>
        <w:rPr>
          <w:w w:val="120"/>
        </w:rPr>
        <w:t>ja kolorimetriska</w:t>
      </w:r>
      <w:r>
        <w:rPr>
          <w:spacing w:val="-2"/>
          <w:w w:val="120"/>
        </w:rPr>
        <w:t> </w:t>
      </w:r>
      <w:r>
        <w:rPr>
          <w:w w:val="120"/>
        </w:rPr>
        <w:t>metoda za</w:t>
      </w:r>
      <w:r>
        <w:rPr>
          <w:spacing w:val="-3"/>
          <w:w w:val="120"/>
        </w:rPr>
        <w:t> </w:t>
      </w:r>
      <w:r>
        <w:rPr>
          <w:w w:val="120"/>
        </w:rPr>
        <w:t>odreduvawe</w:t>
      </w:r>
      <w:r>
        <w:rPr>
          <w:w w:val="120"/>
        </w:rPr>
        <w:t> na</w:t>
      </w:r>
      <w:r>
        <w:rPr>
          <w:w w:val="120"/>
        </w:rPr>
        <w:t> NAG,</w:t>
      </w:r>
      <w:r>
        <w:rPr>
          <w:spacing w:val="-1"/>
          <w:w w:val="120"/>
        </w:rPr>
        <w:t> </w:t>
      </w:r>
      <w:r>
        <w:rPr>
          <w:w w:val="120"/>
        </w:rPr>
        <w:t>kako</w:t>
      </w:r>
      <w:r>
        <w:rPr>
          <w:spacing w:val="-1"/>
          <w:w w:val="120"/>
        </w:rPr>
        <w:t> </w:t>
      </w:r>
      <w:r>
        <w:rPr>
          <w:w w:val="170"/>
        </w:rPr>
        <w:t>i</w:t>
      </w:r>
      <w:r>
        <w:rPr>
          <w:spacing w:val="-23"/>
          <w:w w:val="170"/>
        </w:rPr>
        <w:t> </w:t>
      </w:r>
      <w:r>
        <w:rPr>
          <w:spacing w:val="-3"/>
          <w:w w:val="192"/>
        </w:rPr>
        <w:t>i</w:t>
      </w:r>
      <w:r>
        <w:rPr>
          <w:w w:val="88"/>
        </w:rPr>
        <w:t>mu</w:t>
      </w:r>
      <w:r>
        <w:rPr>
          <w:spacing w:val="-2"/>
          <w:w w:val="88"/>
        </w:rPr>
        <w:t>n</w:t>
      </w:r>
      <w:r>
        <w:rPr>
          <w:w w:val="122"/>
        </w:rPr>
        <w:t>otu</w:t>
      </w:r>
      <w:r>
        <w:rPr>
          <w:spacing w:val="-3"/>
          <w:w w:val="122"/>
        </w:rPr>
        <w:t>r</w:t>
      </w:r>
      <w:r>
        <w:rPr>
          <w:w w:val="134"/>
        </w:rPr>
        <w:t>b</w:t>
      </w:r>
      <w:r>
        <w:rPr>
          <w:spacing w:val="-1"/>
          <w:w w:val="134"/>
        </w:rPr>
        <w:t>i</w:t>
      </w:r>
      <w:r>
        <w:rPr>
          <w:w w:val="127"/>
        </w:rPr>
        <w:t>di</w:t>
      </w:r>
      <w:r>
        <w:rPr>
          <w:w w:val="91"/>
        </w:rPr>
        <w:t>-</w:t>
      </w:r>
      <w:r>
        <w:rPr>
          <w:spacing w:val="-1"/>
          <w:w w:val="119"/>
        </w:rPr>
        <w:t> </w:t>
      </w:r>
      <w:r>
        <w:rPr>
          <w:spacing w:val="-2"/>
          <w:w w:val="120"/>
        </w:rPr>
        <w:t>metriska</w:t>
      </w:r>
      <w:r>
        <w:rPr>
          <w:spacing w:val="-12"/>
          <w:w w:val="120"/>
        </w:rPr>
        <w:t> </w:t>
      </w:r>
      <w:r>
        <w:rPr>
          <w:spacing w:val="-2"/>
          <w:w w:val="120"/>
        </w:rPr>
        <w:t>metoda</w:t>
      </w:r>
      <w:r>
        <w:rPr>
          <w:spacing w:val="-11"/>
          <w:w w:val="120"/>
        </w:rPr>
        <w:t> </w:t>
      </w:r>
      <w:r>
        <w:rPr>
          <w:spacing w:val="-2"/>
          <w:w w:val="120"/>
        </w:rPr>
        <w:t>za</w:t>
      </w:r>
      <w:r>
        <w:rPr>
          <w:spacing w:val="-11"/>
          <w:w w:val="120"/>
        </w:rPr>
        <w:t> </w:t>
      </w:r>
      <w:r>
        <w:rPr>
          <w:spacing w:val="-2"/>
          <w:w w:val="120"/>
        </w:rPr>
        <w:t>detekcija</w:t>
      </w:r>
      <w:r>
        <w:rPr>
          <w:spacing w:val="-12"/>
          <w:w w:val="120"/>
        </w:rPr>
        <w:t> </w:t>
      </w:r>
      <w:r>
        <w:rPr>
          <w:spacing w:val="-2"/>
          <w:w w:val="120"/>
        </w:rPr>
        <w:t>na</w:t>
      </w:r>
      <w:r>
        <w:rPr>
          <w:spacing w:val="-11"/>
          <w:w w:val="120"/>
        </w:rPr>
        <w:t> </w:t>
      </w:r>
      <w:r>
        <w:rPr>
          <w:spacing w:val="-2"/>
          <w:w w:val="120"/>
        </w:rPr>
        <w:t>mukroalbumi- </w:t>
      </w:r>
      <w:r>
        <w:rPr>
          <w:w w:val="120"/>
        </w:rPr>
        <w:t>nurija,</w:t>
      </w:r>
      <w:r>
        <w:rPr>
          <w:w w:val="135"/>
        </w:rPr>
        <w:t> ispitani</w:t>
      </w:r>
      <w:r>
        <w:rPr>
          <w:w w:val="135"/>
        </w:rPr>
        <w:t> </w:t>
      </w:r>
      <w:r>
        <w:rPr>
          <w:w w:val="120"/>
        </w:rPr>
        <w:t>se</w:t>
      </w:r>
      <w:r>
        <w:rPr>
          <w:w w:val="120"/>
        </w:rPr>
        <w:t> primeroci</w:t>
      </w:r>
      <w:r>
        <w:rPr>
          <w:spacing w:val="40"/>
          <w:w w:val="120"/>
        </w:rPr>
        <w:t> </w:t>
      </w:r>
      <w:r>
        <w:rPr>
          <w:w w:val="120"/>
        </w:rPr>
        <w:t>na</w:t>
      </w:r>
      <w:r>
        <w:rPr>
          <w:spacing w:val="40"/>
          <w:w w:val="120"/>
        </w:rPr>
        <w:t> </w:t>
      </w:r>
      <w:r>
        <w:rPr>
          <w:w w:val="120"/>
        </w:rPr>
        <w:t>70</w:t>
      </w:r>
      <w:r>
        <w:rPr>
          <w:w w:val="134"/>
        </w:rPr>
        <w:t> </w:t>
      </w:r>
      <w:r>
        <w:rPr>
          <w:w w:val="99"/>
        </w:rPr>
        <w:t>p</w:t>
      </w:r>
      <w:r>
        <w:rPr>
          <w:spacing w:val="-3"/>
          <w:w w:val="99"/>
        </w:rPr>
        <w:t>a</w:t>
      </w:r>
      <w:r>
        <w:rPr>
          <w:w w:val="150"/>
        </w:rPr>
        <w:t>rti</w:t>
      </w:r>
      <w:r>
        <w:rPr>
          <w:spacing w:val="-2"/>
          <w:w w:val="150"/>
        </w:rPr>
        <w:t>c</w:t>
      </w:r>
      <w:r>
        <w:rPr>
          <w:spacing w:val="2"/>
          <w:w w:val="188"/>
        </w:rPr>
        <w:t>i</w:t>
      </w:r>
      <w:r>
        <w:rPr>
          <w:w w:val="87"/>
        </w:rPr>
        <w:t>-</w:t>
      </w:r>
      <w:r>
        <w:rPr>
          <w:spacing w:val="-1"/>
          <w:w w:val="134"/>
        </w:rPr>
        <w:t> </w:t>
      </w:r>
      <w:r>
        <w:rPr>
          <w:w w:val="115"/>
        </w:rPr>
        <w:t>panti (35</w:t>
      </w:r>
      <w:r>
        <w:rPr>
          <w:spacing w:val="-1"/>
          <w:w w:val="115"/>
        </w:rPr>
        <w:t> </w:t>
      </w:r>
      <w:r>
        <w:rPr>
          <w:w w:val="115"/>
        </w:rPr>
        <w:t>RA tretirani samo so Еторицохиб, 35 </w:t>
      </w:r>
      <w:r>
        <w:rPr>
          <w:spacing w:val="-2"/>
          <w:w w:val="120"/>
        </w:rPr>
        <w:t>RA</w:t>
      </w:r>
      <w:r>
        <w:rPr>
          <w:spacing w:val="15"/>
          <w:w w:val="135"/>
        </w:rPr>
        <w:t> </w:t>
      </w:r>
      <w:r>
        <w:rPr>
          <w:spacing w:val="-2"/>
          <w:w w:val="135"/>
        </w:rPr>
        <w:t>pacienti</w:t>
      </w:r>
      <w:r>
        <w:rPr>
          <w:spacing w:val="15"/>
          <w:w w:val="135"/>
        </w:rPr>
        <w:t> </w:t>
      </w:r>
      <w:r>
        <w:rPr>
          <w:spacing w:val="-2"/>
          <w:w w:val="120"/>
        </w:rPr>
        <w:t>so</w:t>
      </w:r>
      <w:r>
        <w:rPr>
          <w:spacing w:val="23"/>
          <w:w w:val="120"/>
        </w:rPr>
        <w:t> </w:t>
      </w:r>
      <w:r>
        <w:rPr>
          <w:spacing w:val="-2"/>
          <w:w w:val="120"/>
        </w:rPr>
        <w:t>Диклофенак),</w:t>
      </w:r>
      <w:r>
        <w:rPr>
          <w:spacing w:val="22"/>
          <w:w w:val="120"/>
        </w:rPr>
        <w:t> </w:t>
      </w:r>
      <w:r>
        <w:rPr>
          <w:spacing w:val="-2"/>
          <w:w w:val="120"/>
        </w:rPr>
        <w:t>prosledeni</w:t>
      </w:r>
      <w:r>
        <w:rPr>
          <w:spacing w:val="23"/>
          <w:w w:val="120"/>
        </w:rPr>
        <w:t> </w:t>
      </w:r>
      <w:r>
        <w:rPr>
          <w:spacing w:val="-2"/>
          <w:w w:val="120"/>
        </w:rPr>
        <w:t>vo </w:t>
      </w:r>
      <w:r>
        <w:rPr>
          <w:w w:val="120"/>
        </w:rPr>
        <w:t>четри</w:t>
      </w:r>
      <w:r>
        <w:rPr>
          <w:spacing w:val="-5"/>
          <w:w w:val="120"/>
        </w:rPr>
        <w:t> </w:t>
      </w:r>
      <w:r>
        <w:rPr>
          <w:w w:val="120"/>
        </w:rPr>
        <w:t>vremenski</w:t>
      </w:r>
      <w:r>
        <w:rPr>
          <w:spacing w:val="-8"/>
          <w:w w:val="120"/>
        </w:rPr>
        <w:t> </w:t>
      </w:r>
      <w:r>
        <w:rPr>
          <w:w w:val="135"/>
        </w:rPr>
        <w:t>intervali</w:t>
      </w:r>
      <w:r>
        <w:rPr>
          <w:spacing w:val="-13"/>
          <w:w w:val="135"/>
        </w:rPr>
        <w:t> </w:t>
      </w:r>
      <w:r>
        <w:rPr>
          <w:w w:val="120"/>
        </w:rPr>
        <w:t>vo</w:t>
      </w:r>
      <w:r>
        <w:rPr>
          <w:spacing w:val="-7"/>
          <w:w w:val="120"/>
        </w:rPr>
        <w:t> </w:t>
      </w:r>
      <w:r>
        <w:rPr>
          <w:w w:val="120"/>
        </w:rPr>
        <w:t>tek</w:t>
      </w:r>
      <w:r>
        <w:rPr>
          <w:spacing w:val="-8"/>
          <w:w w:val="120"/>
        </w:rPr>
        <w:t> </w:t>
      </w:r>
      <w:r>
        <w:rPr>
          <w:w w:val="120"/>
        </w:rPr>
        <w:t>na</w:t>
      </w:r>
      <w:r>
        <w:rPr>
          <w:spacing w:val="-7"/>
          <w:w w:val="120"/>
        </w:rPr>
        <w:t> </w:t>
      </w:r>
      <w:r>
        <w:rPr>
          <w:w w:val="120"/>
        </w:rPr>
        <w:t>8</w:t>
      </w:r>
      <w:r>
        <w:rPr>
          <w:spacing w:val="-5"/>
          <w:w w:val="120"/>
        </w:rPr>
        <w:t> </w:t>
      </w:r>
      <w:r>
        <w:rPr>
          <w:w w:val="120"/>
        </w:rPr>
        <w:t>nedeli. </w:t>
      </w:r>
      <w:r>
        <w:rPr>
          <w:b/>
          <w:w w:val="110"/>
        </w:rPr>
        <w:t>Rezultati.</w:t>
      </w:r>
      <w:r>
        <w:rPr>
          <w:b/>
          <w:w w:val="110"/>
        </w:rPr>
        <w:t> </w:t>
      </w:r>
      <w:r>
        <w:rPr>
          <w:rFonts w:ascii="Georgia" w:hAnsi="Georgia"/>
          <w:w w:val="110"/>
        </w:rPr>
        <w:t>Postoi</w:t>
      </w:r>
      <w:r>
        <w:rPr>
          <w:rFonts w:ascii="Georgia" w:hAnsi="Georgia"/>
          <w:w w:val="110"/>
        </w:rPr>
        <w:t> umerena</w:t>
      </w:r>
      <w:r>
        <w:rPr>
          <w:rFonts w:ascii="Georgia" w:hAnsi="Georgia"/>
          <w:w w:val="110"/>
        </w:rPr>
        <w:t> korelacija</w:t>
      </w:r>
      <w:r>
        <w:rPr>
          <w:rFonts w:ascii="Georgia" w:hAnsi="Georgia"/>
          <w:w w:val="110"/>
        </w:rPr>
        <w:t> pome”u </w:t>
      </w:r>
      <w:r>
        <w:rPr>
          <w:w w:val="120"/>
        </w:rPr>
        <w:t>NAG</w:t>
      </w:r>
      <w:r>
        <w:rPr>
          <w:spacing w:val="-1"/>
          <w:w w:val="120"/>
        </w:rPr>
        <w:t> </w:t>
      </w:r>
      <w:r>
        <w:rPr>
          <w:w w:val="170"/>
        </w:rPr>
        <w:t>i</w:t>
      </w:r>
      <w:r>
        <w:rPr>
          <w:spacing w:val="-23"/>
          <w:w w:val="170"/>
        </w:rPr>
        <w:t> </w:t>
      </w:r>
      <w:r>
        <w:rPr>
          <w:w w:val="120"/>
        </w:rPr>
        <w:t>mikroalbuminurijata</w:t>
      </w:r>
      <w:r>
        <w:rPr>
          <w:w w:val="120"/>
        </w:rPr>
        <w:t> (r=0,21)</w:t>
      </w:r>
      <w:r>
        <w:rPr>
          <w:w w:val="120"/>
        </w:rPr>
        <w:t> kaj</w:t>
      </w:r>
      <w:r>
        <w:rPr>
          <w:w w:val="120"/>
        </w:rPr>
        <w:t> gru- </w:t>
      </w:r>
      <w:r>
        <w:rPr>
          <w:spacing w:val="-2"/>
          <w:w w:val="120"/>
        </w:rPr>
        <w:t>pata</w:t>
      </w:r>
      <w:r>
        <w:rPr>
          <w:spacing w:val="-5"/>
          <w:w w:val="120"/>
        </w:rPr>
        <w:t> </w:t>
      </w:r>
      <w:r>
        <w:rPr>
          <w:spacing w:val="-2"/>
          <w:w w:val="125"/>
        </w:rPr>
        <w:t>pacienti</w:t>
      </w:r>
      <w:r>
        <w:rPr>
          <w:spacing w:val="-10"/>
          <w:w w:val="125"/>
        </w:rPr>
        <w:t> </w:t>
      </w:r>
      <w:r>
        <w:rPr>
          <w:spacing w:val="-2"/>
          <w:w w:val="125"/>
        </w:rPr>
        <w:t>tretirani</w:t>
      </w:r>
      <w:r>
        <w:rPr>
          <w:spacing w:val="-10"/>
          <w:w w:val="125"/>
        </w:rPr>
        <w:t> </w:t>
      </w:r>
      <w:r>
        <w:rPr>
          <w:spacing w:val="-2"/>
          <w:w w:val="120"/>
        </w:rPr>
        <w:t>so</w:t>
      </w:r>
      <w:r>
        <w:rPr>
          <w:spacing w:val="-4"/>
          <w:w w:val="120"/>
        </w:rPr>
        <w:t> </w:t>
      </w:r>
      <w:r>
        <w:rPr>
          <w:spacing w:val="-2"/>
          <w:w w:val="120"/>
        </w:rPr>
        <w:t>Еторицохиб,</w:t>
      </w:r>
      <w:r>
        <w:rPr>
          <w:spacing w:val="-5"/>
          <w:w w:val="120"/>
        </w:rPr>
        <w:t> </w:t>
      </w:r>
      <w:r>
        <w:rPr>
          <w:spacing w:val="-2"/>
          <w:w w:val="120"/>
        </w:rPr>
        <w:t>dodeka </w:t>
      </w:r>
      <w:r>
        <w:rPr>
          <w:w w:val="110"/>
        </w:rPr>
        <w:t>статисти</w:t>
      </w:r>
      <w:r>
        <w:rPr>
          <w:w w:val="110"/>
        </w:rPr>
        <w:t> сигнификантна</w:t>
      </w:r>
      <w:r>
        <w:rPr>
          <w:w w:val="110"/>
        </w:rPr>
        <w:t> korelacija</w:t>
      </w:r>
      <w:r>
        <w:rPr>
          <w:w w:val="110"/>
        </w:rPr>
        <w:t> (r=0,28)</w:t>
      </w:r>
      <w:r>
        <w:rPr>
          <w:w w:val="110"/>
        </w:rPr>
        <w:t> kaj </w:t>
      </w:r>
      <w:r>
        <w:rPr>
          <w:spacing w:val="-8"/>
          <w:w w:val="84"/>
        </w:rPr>
        <w:t>g</w:t>
      </w:r>
      <w:r>
        <w:rPr>
          <w:spacing w:val="-7"/>
          <w:w w:val="162"/>
        </w:rPr>
        <w:t>r</w:t>
      </w:r>
      <w:r>
        <w:rPr>
          <w:spacing w:val="-8"/>
          <w:w w:val="95"/>
        </w:rPr>
        <w:t>u</w:t>
      </w:r>
      <w:r>
        <w:rPr>
          <w:spacing w:val="-7"/>
          <w:w w:val="106"/>
        </w:rPr>
        <w:t>p</w:t>
      </w:r>
      <w:r>
        <w:rPr>
          <w:spacing w:val="-8"/>
          <w:w w:val="108"/>
        </w:rPr>
        <w:t>a</w:t>
      </w:r>
      <w:r>
        <w:rPr>
          <w:spacing w:val="-5"/>
          <w:w w:val="175"/>
        </w:rPr>
        <w:t>t</w:t>
      </w:r>
      <w:r>
        <w:rPr>
          <w:w w:val="108"/>
        </w:rPr>
        <w:t>a</w:t>
      </w:r>
      <w:r>
        <w:rPr>
          <w:spacing w:val="-17"/>
          <w:w w:val="119"/>
        </w:rPr>
        <w:t> </w:t>
      </w:r>
      <w:r>
        <w:rPr>
          <w:spacing w:val="-6"/>
          <w:w w:val="120"/>
        </w:rPr>
        <w:t>so</w:t>
      </w:r>
      <w:r>
        <w:rPr>
          <w:spacing w:val="-16"/>
          <w:w w:val="120"/>
        </w:rPr>
        <w:t> </w:t>
      </w:r>
      <w:r>
        <w:rPr>
          <w:spacing w:val="-8"/>
          <w:w w:val="93"/>
        </w:rPr>
        <w:t>d</w:t>
      </w:r>
      <w:r>
        <w:rPr>
          <w:spacing w:val="-7"/>
          <w:w w:val="194"/>
        </w:rPr>
        <w:t>i</w:t>
      </w:r>
      <w:r>
        <w:rPr>
          <w:spacing w:val="-7"/>
          <w:w w:val="104"/>
        </w:rPr>
        <w:t>k</w:t>
      </w:r>
      <w:r>
        <w:rPr>
          <w:spacing w:val="-7"/>
          <w:w w:val="194"/>
        </w:rPr>
        <w:t>l</w:t>
      </w:r>
      <w:r>
        <w:rPr>
          <w:spacing w:val="-5"/>
          <w:w w:val="104"/>
        </w:rPr>
        <w:t>o</w:t>
      </w:r>
      <w:r>
        <w:rPr>
          <w:spacing w:val="-9"/>
          <w:w w:val="227"/>
        </w:rPr>
        <w:t>f</w:t>
      </w:r>
      <w:r>
        <w:rPr>
          <w:spacing w:val="-8"/>
          <w:w w:val="106"/>
        </w:rPr>
        <w:t>e</w:t>
      </w:r>
      <w:r>
        <w:rPr>
          <w:spacing w:val="-7"/>
          <w:w w:val="104"/>
        </w:rPr>
        <w:t>n</w:t>
      </w:r>
      <w:r>
        <w:rPr>
          <w:spacing w:val="-8"/>
          <w:w w:val="106"/>
        </w:rPr>
        <w:t>a</w:t>
      </w:r>
      <w:r>
        <w:rPr>
          <w:spacing w:val="-5"/>
          <w:w w:val="104"/>
        </w:rPr>
        <w:t>k</w:t>
      </w:r>
      <w:r>
        <w:rPr>
          <w:w w:val="93"/>
        </w:rPr>
        <w:t>.</w:t>
      </w:r>
      <w:r>
        <w:rPr>
          <w:spacing w:val="-22"/>
          <w:w w:val="129"/>
        </w:rPr>
        <w:t> </w:t>
      </w:r>
      <w:r>
        <w:rPr>
          <w:spacing w:val="-6"/>
          <w:w w:val="120"/>
        </w:rPr>
        <w:t>NAG</w:t>
      </w:r>
      <w:r>
        <w:rPr>
          <w:spacing w:val="-18"/>
          <w:w w:val="120"/>
        </w:rPr>
        <w:t> </w:t>
      </w:r>
      <w:r>
        <w:rPr>
          <w:spacing w:val="-8"/>
          <w:w w:val="106"/>
        </w:rPr>
        <w:t>e</w:t>
      </w:r>
      <w:r>
        <w:rPr>
          <w:spacing w:val="-7"/>
          <w:w w:val="104"/>
        </w:rPr>
        <w:t>n</w:t>
      </w:r>
      <w:r>
        <w:rPr>
          <w:spacing w:val="-8"/>
          <w:w w:val="93"/>
        </w:rPr>
        <w:t>z</w:t>
      </w:r>
      <w:r>
        <w:rPr>
          <w:spacing w:val="-7"/>
          <w:w w:val="194"/>
        </w:rPr>
        <w:t>i</w:t>
      </w:r>
      <w:r>
        <w:rPr>
          <w:spacing w:val="-7"/>
          <w:w w:val="79"/>
        </w:rPr>
        <w:t>m</w:t>
      </w:r>
      <w:r>
        <w:rPr>
          <w:spacing w:val="-8"/>
          <w:w w:val="93"/>
        </w:rPr>
        <w:t>u</w:t>
      </w:r>
      <w:r>
        <w:rPr>
          <w:spacing w:val="-7"/>
          <w:w w:val="160"/>
        </w:rPr>
        <w:t>r</w:t>
      </w:r>
      <w:r>
        <w:rPr>
          <w:spacing w:val="-5"/>
          <w:w w:val="194"/>
        </w:rPr>
        <w:t>i</w:t>
      </w:r>
      <w:r>
        <w:rPr>
          <w:spacing w:val="-9"/>
          <w:w w:val="93"/>
        </w:rPr>
        <w:t>j</w:t>
      </w:r>
      <w:r>
        <w:rPr>
          <w:spacing w:val="-5"/>
          <w:w w:val="106"/>
        </w:rPr>
        <w:t>a</w:t>
      </w:r>
      <w:r>
        <w:rPr>
          <w:w w:val="93"/>
        </w:rPr>
        <w:t>,</w:t>
      </w:r>
      <w:r>
        <w:rPr>
          <w:spacing w:val="-16"/>
          <w:w w:val="119"/>
        </w:rPr>
        <w:t> </w:t>
      </w:r>
      <w:r>
        <w:rPr>
          <w:spacing w:val="-6"/>
          <w:w w:val="120"/>
        </w:rPr>
        <w:t>po</w:t>
      </w:r>
      <w:r>
        <w:rPr>
          <w:spacing w:val="-18"/>
          <w:w w:val="120"/>
        </w:rPr>
        <w:t> </w:t>
      </w:r>
      <w:r>
        <w:rPr>
          <w:spacing w:val="-6"/>
          <w:w w:val="120"/>
        </w:rPr>
        <w:t>obem, </w:t>
      </w:r>
      <w:r>
        <w:rPr>
          <w:w w:val="120"/>
        </w:rPr>
        <w:t>pobrojot na </w:t>
      </w:r>
      <w:r>
        <w:rPr>
          <w:w w:val="135"/>
        </w:rPr>
        <w:t>ispitanici</w:t>
      </w:r>
      <w:r>
        <w:rPr>
          <w:spacing w:val="-5"/>
          <w:w w:val="135"/>
        </w:rPr>
        <w:t> </w:t>
      </w:r>
      <w:r>
        <w:rPr>
          <w:w w:val="120"/>
        </w:rPr>
        <w:t>kaj </w:t>
      </w:r>
      <w:r>
        <w:rPr>
          <w:w w:val="135"/>
        </w:rPr>
        <w:t>koi</w:t>
      </w:r>
      <w:r>
        <w:rPr>
          <w:spacing w:val="-2"/>
          <w:w w:val="135"/>
        </w:rPr>
        <w:t> </w:t>
      </w:r>
      <w:r>
        <w:rPr>
          <w:w w:val="120"/>
        </w:rPr>
        <w:t>se </w:t>
      </w:r>
      <w:r>
        <w:rPr>
          <w:w w:val="135"/>
        </w:rPr>
        <w:t>registrira</w:t>
      </w:r>
      <w:r>
        <w:rPr>
          <w:spacing w:val="-5"/>
          <w:w w:val="135"/>
        </w:rPr>
        <w:t> </w:t>
      </w:r>
      <w:r>
        <w:rPr>
          <w:w w:val="170"/>
        </w:rPr>
        <w:t>i </w:t>
      </w:r>
      <w:r>
        <w:rPr>
          <w:w w:val="115"/>
        </w:rPr>
        <w:t>po</w:t>
      </w:r>
      <w:r>
        <w:rPr>
          <w:spacing w:val="-5"/>
          <w:w w:val="115"/>
        </w:rPr>
        <w:t> </w:t>
      </w:r>
      <w:r>
        <w:rPr>
          <w:w w:val="115"/>
        </w:rPr>
        <w:t>vremeto</w:t>
      </w:r>
      <w:r>
        <w:rPr>
          <w:spacing w:val="-6"/>
          <w:w w:val="115"/>
        </w:rPr>
        <w:t> </w:t>
      </w:r>
      <w:r>
        <w:rPr>
          <w:w w:val="115"/>
        </w:rPr>
        <w:t>na</w:t>
      </w:r>
      <w:r>
        <w:rPr>
          <w:spacing w:val="-7"/>
          <w:w w:val="115"/>
        </w:rPr>
        <w:t> </w:t>
      </w:r>
      <w:r>
        <w:rPr>
          <w:w w:val="115"/>
        </w:rPr>
        <w:t>pojavuvawe</w:t>
      </w:r>
      <w:r>
        <w:rPr>
          <w:spacing w:val="-5"/>
          <w:w w:val="115"/>
        </w:rPr>
        <w:t> </w:t>
      </w:r>
      <w:r>
        <w:rPr>
          <w:w w:val="115"/>
        </w:rPr>
        <w:t>e</w:t>
      </w:r>
      <w:r>
        <w:rPr>
          <w:spacing w:val="-7"/>
          <w:w w:val="115"/>
        </w:rPr>
        <w:t> </w:t>
      </w:r>
      <w:r>
        <w:rPr>
          <w:w w:val="115"/>
        </w:rPr>
        <w:t>pogolema</w:t>
      </w:r>
      <w:r>
        <w:rPr>
          <w:spacing w:val="-6"/>
          <w:w w:val="115"/>
        </w:rPr>
        <w:t> </w:t>
      </w:r>
      <w:r>
        <w:rPr>
          <w:w w:val="115"/>
        </w:rPr>
        <w:t>i</w:t>
      </w:r>
      <w:r>
        <w:rPr>
          <w:spacing w:val="-6"/>
          <w:w w:val="115"/>
        </w:rPr>
        <w:t> </w:t>
      </w:r>
      <w:r>
        <w:rPr>
          <w:w w:val="115"/>
        </w:rPr>
        <w:t>mnogu pobrzo</w:t>
      </w:r>
      <w:r>
        <w:rPr>
          <w:spacing w:val="-10"/>
          <w:w w:val="115"/>
        </w:rPr>
        <w:t> </w:t>
      </w:r>
      <w:r>
        <w:rPr>
          <w:w w:val="115"/>
        </w:rPr>
        <w:t>se</w:t>
      </w:r>
      <w:r>
        <w:rPr>
          <w:spacing w:val="-10"/>
          <w:w w:val="115"/>
        </w:rPr>
        <w:t> </w:t>
      </w:r>
      <w:r>
        <w:rPr>
          <w:w w:val="115"/>
        </w:rPr>
        <w:t>javuva</w:t>
      </w:r>
      <w:r>
        <w:rPr>
          <w:spacing w:val="-10"/>
          <w:w w:val="115"/>
        </w:rPr>
        <w:t> </w:t>
      </w:r>
      <w:r>
        <w:rPr>
          <w:w w:val="115"/>
        </w:rPr>
        <w:t>pri</w:t>
      </w:r>
      <w:r>
        <w:rPr>
          <w:spacing w:val="-10"/>
          <w:w w:val="115"/>
        </w:rPr>
        <w:t> </w:t>
      </w:r>
      <w:r>
        <w:rPr>
          <w:w w:val="115"/>
        </w:rPr>
        <w:t>upotrebata</w:t>
      </w:r>
      <w:r>
        <w:rPr>
          <w:spacing w:val="-10"/>
          <w:w w:val="115"/>
        </w:rPr>
        <w:t> </w:t>
      </w:r>
      <w:r>
        <w:rPr>
          <w:w w:val="115"/>
        </w:rPr>
        <w:t>na</w:t>
      </w:r>
      <w:r>
        <w:rPr>
          <w:spacing w:val="-10"/>
          <w:w w:val="115"/>
        </w:rPr>
        <w:t> </w:t>
      </w:r>
      <w:r>
        <w:rPr>
          <w:w w:val="115"/>
        </w:rPr>
        <w:t>Диклофенак </w:t>
      </w:r>
      <w:r>
        <w:rPr>
          <w:spacing w:val="-2"/>
          <w:w w:val="115"/>
        </w:rPr>
        <w:t>vo</w:t>
      </w:r>
      <w:r>
        <w:rPr>
          <w:spacing w:val="-14"/>
          <w:w w:val="115"/>
        </w:rPr>
        <w:t> </w:t>
      </w:r>
      <w:r>
        <w:rPr>
          <w:spacing w:val="-2"/>
          <w:w w:val="115"/>
        </w:rPr>
        <w:t>odnos</w:t>
      </w:r>
      <w:r>
        <w:rPr>
          <w:spacing w:val="-13"/>
          <w:w w:val="115"/>
        </w:rPr>
        <w:t> </w:t>
      </w:r>
      <w:r>
        <w:rPr>
          <w:spacing w:val="-2"/>
          <w:w w:val="115"/>
        </w:rPr>
        <w:t>na</w:t>
      </w:r>
      <w:r>
        <w:rPr>
          <w:spacing w:val="-13"/>
          <w:w w:val="115"/>
        </w:rPr>
        <w:t> </w:t>
      </w:r>
      <w:r>
        <w:rPr>
          <w:spacing w:val="-2"/>
          <w:w w:val="115"/>
        </w:rPr>
        <w:t>Еторицохиб.</w:t>
      </w:r>
    </w:p>
    <w:p>
      <w:pPr>
        <w:pStyle w:val="BodyText"/>
        <w:spacing w:line="242" w:lineRule="auto" w:before="21"/>
        <w:ind w:left="238" w:right="292"/>
        <w:jc w:val="both"/>
      </w:pPr>
      <w:r>
        <w:rPr>
          <w:b/>
          <w:w w:val="110"/>
        </w:rPr>
        <w:t>Zaklu~ok.</w:t>
      </w:r>
      <w:r>
        <w:rPr>
          <w:b/>
          <w:w w:val="110"/>
        </w:rPr>
        <w:t> </w:t>
      </w:r>
      <w:r>
        <w:rPr>
          <w:w w:val="110"/>
        </w:rPr>
        <w:t>Диклофенакот</w:t>
      </w:r>
      <w:r>
        <w:rPr>
          <w:w w:val="110"/>
        </w:rPr>
        <w:t> e</w:t>
      </w:r>
      <w:r>
        <w:rPr>
          <w:w w:val="110"/>
        </w:rPr>
        <w:t> popoteten</w:t>
      </w:r>
      <w:r>
        <w:rPr>
          <w:w w:val="110"/>
        </w:rPr>
        <w:t> NAG-in- </w:t>
      </w:r>
      <w:r>
        <w:rPr>
          <w:w w:val="120"/>
        </w:rPr>
        <w:t>duktor</w:t>
      </w:r>
      <w:r>
        <w:rPr>
          <w:w w:val="120"/>
        </w:rPr>
        <w:t> </w:t>
      </w:r>
      <w:r>
        <w:rPr>
          <w:w w:val="170"/>
        </w:rPr>
        <w:t>i</w:t>
      </w:r>
      <w:r>
        <w:rPr>
          <w:w w:val="170"/>
        </w:rPr>
        <w:t> </w:t>
      </w:r>
      <w:r>
        <w:rPr>
          <w:w w:val="110"/>
        </w:rPr>
        <w:t>dava</w:t>
      </w:r>
      <w:r>
        <w:rPr>
          <w:w w:val="110"/>
        </w:rPr>
        <w:t> pogolema</w:t>
      </w:r>
      <w:r>
        <w:rPr>
          <w:w w:val="110"/>
        </w:rPr>
        <w:t> </w:t>
      </w:r>
      <w:r>
        <w:rPr>
          <w:w w:val="120"/>
        </w:rPr>
        <w:t>tubularna</w:t>
      </w:r>
      <w:r>
        <w:rPr>
          <w:w w:val="120"/>
        </w:rPr>
        <w:t> enzimurija </w:t>
      </w:r>
      <w:r>
        <w:rPr>
          <w:w w:val="110"/>
        </w:rPr>
        <w:t>od Еторицохиб.</w:t>
      </w:r>
    </w:p>
    <w:p>
      <w:pPr>
        <w:pStyle w:val="BodyText"/>
        <w:spacing w:before="10"/>
        <w:rPr>
          <w:sz w:val="20"/>
        </w:rPr>
      </w:pPr>
    </w:p>
    <w:p>
      <w:pPr>
        <w:pStyle w:val="BodyText"/>
        <w:spacing w:before="1"/>
        <w:ind w:left="238" w:right="290"/>
        <w:jc w:val="both"/>
      </w:pPr>
      <w:r>
        <w:rPr>
          <w:b/>
        </w:rPr>
        <w:t>Клучни зборови: </w:t>
      </w:r>
      <w:r>
        <w:rPr/>
        <w:t>N-acetyl-β-D-glukozaminidaza, mikroalbuminurija, revmatoiden artritis, Еторицохиб, </w:t>
      </w:r>
      <w:r>
        <w:rPr>
          <w:spacing w:val="-2"/>
        </w:rPr>
        <w:t>Диклофенак</w:t>
      </w:r>
    </w:p>
    <w:p>
      <w:pPr>
        <w:pStyle w:val="BodyText"/>
        <w:spacing w:before="7"/>
        <w:rPr>
          <w:sz w:val="18"/>
        </w:rPr>
      </w:pPr>
      <w:r>
        <w:rPr/>
        <w:pict>
          <v:shape style="position:absolute;margin-left:306.790009pt;margin-top:11.908192pt;width:225.9pt;height:.1pt;mso-position-horizontal-relative:page;mso-position-vertical-relative:paragraph;z-index:-15711744;mso-wrap-distance-left:0;mso-wrap-distance-right:0" id="docshape520" coordorigin="6136,238" coordsize="4518,0" path="m6136,238l10653,238e" filled="false" stroked="true" strokeweight=".4224pt" strokecolor="#000000">
            <v:path arrowok="t"/>
            <v:stroke dashstyle="solid"/>
            <w10:wrap type="topAndBottom"/>
          </v:shape>
        </w:pict>
      </w:r>
    </w:p>
    <w:p>
      <w:pPr>
        <w:spacing w:after="0"/>
        <w:rPr>
          <w:sz w:val="18"/>
        </w:rPr>
        <w:sectPr>
          <w:type w:val="continuous"/>
          <w:pgSz w:w="11910" w:h="16840"/>
          <w:pgMar w:header="0" w:footer="0" w:top="740" w:bottom="0" w:left="900" w:right="840"/>
          <w:cols w:num="2" w:equalWidth="0">
            <w:col w:w="4921" w:space="76"/>
            <w:col w:w="5173"/>
          </w:cols>
        </w:sectPr>
      </w:pPr>
    </w:p>
    <w:p>
      <w:pPr>
        <w:pStyle w:val="BodyText"/>
        <w:spacing w:before="10"/>
        <w:rPr>
          <w:sz w:val="15"/>
        </w:rPr>
      </w:pPr>
    </w:p>
    <w:p>
      <w:pPr>
        <w:spacing w:after="0"/>
        <w:rPr>
          <w:sz w:val="15"/>
        </w:rPr>
        <w:sectPr>
          <w:headerReference w:type="default" r:id="rId477"/>
          <w:headerReference w:type="even" r:id="rId478"/>
          <w:pgSz w:w="11910" w:h="16840"/>
          <w:pgMar w:header="854" w:footer="0" w:top="1300" w:bottom="280" w:left="900" w:right="840"/>
          <w:pgNumType w:start="19"/>
        </w:sectPr>
      </w:pPr>
    </w:p>
    <w:p>
      <w:pPr>
        <w:pStyle w:val="Heading4"/>
        <w:spacing w:before="92"/>
      </w:pPr>
      <w:r>
        <w:rPr>
          <w:spacing w:val="-2"/>
        </w:rPr>
        <w:t>Introduction</w:t>
      </w:r>
    </w:p>
    <w:p>
      <w:pPr>
        <w:pStyle w:val="BodyText"/>
        <w:spacing w:before="6"/>
        <w:rPr>
          <w:b/>
          <w:sz w:val="20"/>
        </w:rPr>
      </w:pPr>
    </w:p>
    <w:p>
      <w:pPr>
        <w:pStyle w:val="BodyText"/>
        <w:ind w:left="238" w:right="41"/>
        <w:jc w:val="both"/>
      </w:pPr>
      <w:r>
        <w:rPr/>
        <w:t>Microalbuminuria is used as a marker for glomerular damage and urinary excretion of N-acetyl-</w:t>
      </w:r>
      <w:r>
        <w:rPr>
          <w:rFonts w:ascii="Symbol" w:hAnsi="Symbol"/>
        </w:rPr>
        <w:t></w:t>
      </w:r>
      <w:r>
        <w:rPr/>
        <w:t>-D-gluco- saminidase (NAG) as an indicator of proximal tubular damage. These tests indicate that there is no specific indicator, tracer, marker, which detects nephrotoxicity that</w:t>
      </w:r>
      <w:r>
        <w:rPr>
          <w:spacing w:val="-4"/>
        </w:rPr>
        <w:t> </w:t>
      </w:r>
      <w:r>
        <w:rPr/>
        <w:t>occurs</w:t>
      </w:r>
      <w:r>
        <w:rPr>
          <w:spacing w:val="-3"/>
        </w:rPr>
        <w:t> </w:t>
      </w:r>
      <w:r>
        <w:rPr/>
        <w:t>within</w:t>
      </w:r>
      <w:r>
        <w:rPr>
          <w:spacing w:val="-3"/>
        </w:rPr>
        <w:t> </w:t>
      </w:r>
      <w:r>
        <w:rPr/>
        <w:t>the</w:t>
      </w:r>
      <w:r>
        <w:rPr>
          <w:spacing w:val="-3"/>
        </w:rPr>
        <w:t> </w:t>
      </w:r>
      <w:r>
        <w:rPr/>
        <w:t>course</w:t>
      </w:r>
      <w:r>
        <w:rPr>
          <w:spacing w:val="-4"/>
        </w:rPr>
        <w:t> </w:t>
      </w:r>
      <w:r>
        <w:rPr/>
        <w:t>of</w:t>
      </w:r>
      <w:r>
        <w:rPr>
          <w:spacing w:val="-4"/>
        </w:rPr>
        <w:t> </w:t>
      </w:r>
      <w:r>
        <w:rPr/>
        <w:t>the</w:t>
      </w:r>
      <w:r>
        <w:rPr>
          <w:spacing w:val="-3"/>
        </w:rPr>
        <w:t> </w:t>
      </w:r>
      <w:r>
        <w:rPr/>
        <w:t>therapy.</w:t>
      </w:r>
      <w:r>
        <w:rPr>
          <w:spacing w:val="-3"/>
        </w:rPr>
        <w:t> </w:t>
      </w:r>
      <w:r>
        <w:rPr/>
        <w:t>Efforts</w:t>
      </w:r>
      <w:r>
        <w:rPr>
          <w:spacing w:val="-3"/>
        </w:rPr>
        <w:t> </w:t>
      </w:r>
      <w:r>
        <w:rPr/>
        <w:t>are made to detect such side effects by analyzing the acti- vity of certain enzymes in the urine.</w:t>
      </w:r>
    </w:p>
    <w:p>
      <w:pPr>
        <w:pStyle w:val="BodyText"/>
        <w:spacing w:before="1"/>
        <w:ind w:left="238" w:right="41"/>
        <w:jc w:val="both"/>
      </w:pPr>
      <w:r>
        <w:rPr/>
        <w:t>Many uses of certain groups of drugs for therapeutic purposes</w:t>
      </w:r>
      <w:r>
        <w:rPr>
          <w:spacing w:val="11"/>
        </w:rPr>
        <w:t> </w:t>
      </w:r>
      <w:r>
        <w:rPr/>
        <w:t>(NSAIDs,</w:t>
      </w:r>
      <w:r>
        <w:rPr>
          <w:spacing w:val="11"/>
        </w:rPr>
        <w:t> </w:t>
      </w:r>
      <w:r>
        <w:rPr/>
        <w:t>drugs</w:t>
      </w:r>
      <w:r>
        <w:rPr>
          <w:spacing w:val="11"/>
        </w:rPr>
        <w:t> </w:t>
      </w:r>
      <w:r>
        <w:rPr/>
        <w:t>that</w:t>
      </w:r>
      <w:r>
        <w:rPr>
          <w:spacing w:val="10"/>
        </w:rPr>
        <w:t> </w:t>
      </w:r>
      <w:r>
        <w:rPr/>
        <w:t>modify</w:t>
      </w:r>
      <w:r>
        <w:rPr>
          <w:spacing w:val="9"/>
        </w:rPr>
        <w:t> </w:t>
      </w:r>
      <w:r>
        <w:rPr/>
        <w:t>disease</w:t>
      </w:r>
      <w:r>
        <w:rPr>
          <w:spacing w:val="12"/>
        </w:rPr>
        <w:t> </w:t>
      </w:r>
      <w:r>
        <w:rPr>
          <w:spacing w:val="-2"/>
        </w:rPr>
        <w:t>activity</w:t>
      </w:r>
    </w:p>
    <w:p>
      <w:pPr>
        <w:pStyle w:val="BodyText"/>
        <w:ind w:left="238" w:right="39"/>
        <w:jc w:val="both"/>
      </w:pPr>
      <w:r>
        <w:rPr/>
        <w:t>- DMRADs and immunosuppressive cytotoxic drugs), may</w:t>
      </w:r>
      <w:r>
        <w:rPr>
          <w:spacing w:val="-7"/>
        </w:rPr>
        <w:t> </w:t>
      </w:r>
      <w:r>
        <w:rPr/>
        <w:t>have</w:t>
      </w:r>
      <w:r>
        <w:rPr>
          <w:spacing w:val="-4"/>
        </w:rPr>
        <w:t> </w:t>
      </w:r>
      <w:r>
        <w:rPr/>
        <w:t>a</w:t>
      </w:r>
      <w:r>
        <w:rPr>
          <w:spacing w:val="-4"/>
        </w:rPr>
        <w:t> </w:t>
      </w:r>
      <w:r>
        <w:rPr/>
        <w:t>specific</w:t>
      </w:r>
      <w:r>
        <w:rPr>
          <w:spacing w:val="-4"/>
        </w:rPr>
        <w:t> </w:t>
      </w:r>
      <w:r>
        <w:rPr/>
        <w:t>nephrotoxic</w:t>
      </w:r>
      <w:r>
        <w:rPr>
          <w:spacing w:val="-4"/>
        </w:rPr>
        <w:t> </w:t>
      </w:r>
      <w:r>
        <w:rPr/>
        <w:t>effect.</w:t>
      </w:r>
      <w:r>
        <w:rPr>
          <w:spacing w:val="-4"/>
        </w:rPr>
        <w:t> </w:t>
      </w:r>
      <w:r>
        <w:rPr/>
        <w:t>The</w:t>
      </w:r>
      <w:r>
        <w:rPr>
          <w:spacing w:val="-4"/>
        </w:rPr>
        <w:t> </w:t>
      </w:r>
      <w:r>
        <w:rPr/>
        <w:t>given</w:t>
      </w:r>
      <w:r>
        <w:rPr>
          <w:spacing w:val="-4"/>
        </w:rPr>
        <w:t> </w:t>
      </w:r>
      <w:r>
        <w:rPr/>
        <w:t>dose is often not suitable for the patient's condition; it can cause side effects, i.e., it can lead to reduction of the kidney function, as a result of accumulation in the kidneys’ cells. This is usually found in the long-term therapy of rheumatoid arthritis.</w:t>
      </w:r>
    </w:p>
    <w:p>
      <w:pPr>
        <w:pStyle w:val="BodyText"/>
        <w:spacing w:before="5"/>
      </w:pPr>
    </w:p>
    <w:p>
      <w:pPr>
        <w:pStyle w:val="Heading4"/>
        <w:jc w:val="both"/>
      </w:pPr>
      <w:r>
        <w:rPr/>
        <w:t>Urinary</w:t>
      </w:r>
      <w:r>
        <w:rPr>
          <w:spacing w:val="-5"/>
        </w:rPr>
        <w:t> </w:t>
      </w:r>
      <w:r>
        <w:rPr/>
        <w:t>enzymes</w:t>
      </w:r>
      <w:r>
        <w:rPr>
          <w:spacing w:val="-6"/>
        </w:rPr>
        <w:t> </w:t>
      </w:r>
      <w:r>
        <w:rPr/>
        <w:t>to</w:t>
      </w:r>
      <w:r>
        <w:rPr>
          <w:spacing w:val="-4"/>
        </w:rPr>
        <w:t> </w:t>
      </w:r>
      <w:r>
        <w:rPr/>
        <w:t>assess</w:t>
      </w:r>
      <w:r>
        <w:rPr>
          <w:spacing w:val="-7"/>
        </w:rPr>
        <w:t> </w:t>
      </w:r>
      <w:r>
        <w:rPr>
          <w:spacing w:val="-2"/>
        </w:rPr>
        <w:t>nephrotoxicity</w:t>
      </w:r>
    </w:p>
    <w:p>
      <w:pPr>
        <w:pStyle w:val="BodyText"/>
        <w:spacing w:before="6"/>
        <w:rPr>
          <w:b/>
          <w:sz w:val="20"/>
        </w:rPr>
      </w:pPr>
    </w:p>
    <w:p>
      <w:pPr>
        <w:pStyle w:val="BodyText"/>
        <w:ind w:left="238" w:right="38"/>
        <w:jc w:val="both"/>
      </w:pPr>
      <w:r>
        <w:rPr>
          <w:b/>
        </w:rPr>
        <w:t>Albumin in urine (Microalbuminuria). </w:t>
      </w:r>
      <w:r>
        <w:rPr/>
        <w:t>Albumin (molecular weight of 66 KDa) is the most important protein in plasma, as well as in urine. Approximately 30% of</w:t>
      </w:r>
      <w:r>
        <w:rPr>
          <w:spacing w:val="-2"/>
        </w:rPr>
        <w:t> </w:t>
      </w:r>
      <w:r>
        <w:rPr/>
        <w:t>the protein</w:t>
      </w:r>
      <w:r>
        <w:rPr>
          <w:spacing w:val="-1"/>
        </w:rPr>
        <w:t> </w:t>
      </w:r>
      <w:r>
        <w:rPr/>
        <w:t>in the</w:t>
      </w:r>
      <w:r>
        <w:rPr>
          <w:spacing w:val="-1"/>
        </w:rPr>
        <w:t> </w:t>
      </w:r>
      <w:r>
        <w:rPr/>
        <w:t>urine belongs to</w:t>
      </w:r>
      <w:r>
        <w:rPr>
          <w:spacing w:val="-1"/>
        </w:rPr>
        <w:t> </w:t>
      </w:r>
      <w:r>
        <w:rPr/>
        <w:t>albumin and presents a good indicator for assessing the change in glomerular permeability. Urinary albumin excretion has</w:t>
      </w:r>
      <w:r>
        <w:rPr>
          <w:spacing w:val="-2"/>
        </w:rPr>
        <w:t> </w:t>
      </w:r>
      <w:r>
        <w:rPr/>
        <w:t>a</w:t>
      </w:r>
      <w:r>
        <w:rPr>
          <w:spacing w:val="-1"/>
        </w:rPr>
        <w:t> </w:t>
      </w:r>
      <w:r>
        <w:rPr/>
        <w:t>high</w:t>
      </w:r>
      <w:r>
        <w:rPr>
          <w:spacing w:val="-1"/>
        </w:rPr>
        <w:t> </w:t>
      </w:r>
      <w:r>
        <w:rPr/>
        <w:t>individual variability</w:t>
      </w:r>
      <w:r>
        <w:rPr>
          <w:spacing w:val="-3"/>
        </w:rPr>
        <w:t> </w:t>
      </w:r>
      <w:r>
        <w:rPr/>
        <w:t>and</w:t>
      </w:r>
      <w:r>
        <w:rPr>
          <w:spacing w:val="-1"/>
        </w:rPr>
        <w:t> </w:t>
      </w:r>
      <w:r>
        <w:rPr/>
        <w:t>depends</w:t>
      </w:r>
      <w:r>
        <w:rPr>
          <w:spacing w:val="-2"/>
        </w:rPr>
        <w:t> </w:t>
      </w:r>
      <w:r>
        <w:rPr/>
        <w:t>on physi- cal activity or food variations. From a pathophysiolo- gical point of view, microalbuminuria can be caused</w:t>
      </w:r>
      <w:r>
        <w:rPr>
          <w:spacing w:val="40"/>
        </w:rPr>
        <w:t> </w:t>
      </w:r>
      <w:r>
        <w:rPr>
          <w:spacing w:val="-2"/>
        </w:rPr>
        <w:t>by</w:t>
      </w:r>
      <w:r>
        <w:rPr>
          <w:spacing w:val="-10"/>
        </w:rPr>
        <w:t> </w:t>
      </w:r>
      <w:r>
        <w:rPr>
          <w:spacing w:val="-2"/>
        </w:rPr>
        <w:t>an</w:t>
      </w:r>
      <w:r>
        <w:rPr>
          <w:spacing w:val="-5"/>
        </w:rPr>
        <w:t> </w:t>
      </w:r>
      <w:r>
        <w:rPr>
          <w:spacing w:val="-2"/>
        </w:rPr>
        <w:t>increased</w:t>
      </w:r>
      <w:r>
        <w:rPr>
          <w:spacing w:val="-6"/>
        </w:rPr>
        <w:t> </w:t>
      </w:r>
      <w:r>
        <w:rPr>
          <w:spacing w:val="-2"/>
        </w:rPr>
        <w:t>glomerular</w:t>
      </w:r>
      <w:r>
        <w:rPr>
          <w:spacing w:val="-7"/>
        </w:rPr>
        <w:t> </w:t>
      </w:r>
      <w:r>
        <w:rPr>
          <w:spacing w:val="-2"/>
        </w:rPr>
        <w:t>permeability</w:t>
      </w:r>
      <w:r>
        <w:rPr>
          <w:spacing w:val="-7"/>
        </w:rPr>
        <w:t> </w:t>
      </w:r>
      <w:r>
        <w:rPr>
          <w:spacing w:val="-2"/>
        </w:rPr>
        <w:t>for</w:t>
      </w:r>
      <w:r>
        <w:rPr>
          <w:spacing w:val="-7"/>
        </w:rPr>
        <w:t> </w:t>
      </w:r>
      <w:r>
        <w:rPr>
          <w:spacing w:val="-2"/>
        </w:rPr>
        <w:t>albumin,</w:t>
      </w:r>
      <w:r>
        <w:rPr>
          <w:spacing w:val="-6"/>
        </w:rPr>
        <w:t> </w:t>
      </w:r>
      <w:r>
        <w:rPr>
          <w:spacing w:val="-2"/>
        </w:rPr>
        <w:t>by </w:t>
      </w:r>
      <w:r>
        <w:rPr/>
        <w:t>an increased glomerular pressure and/or by a reduced tubular albumin reabsorption [1,2].</w:t>
      </w:r>
    </w:p>
    <w:p>
      <w:pPr>
        <w:pStyle w:val="BodyText"/>
        <w:ind w:left="238" w:right="39"/>
        <w:jc w:val="both"/>
      </w:pPr>
      <w:r>
        <w:rPr/>
        <w:t>From all the urinary enzymes, U-NAG (urinary) is the most examined one. This enzyme from the hydrolase class is abundantly present in lysosomes in proximal tubular cells. In human tissue and biological liquids there are two main enzyme forms: A (Acid) and B (Basic) [3-5]. The percentage of isoform A (U-NAG- A) is highest in normal urine [3,4]. Therefore, its ex- cretion is related to the exfoliative turnover and is known as a functional enzymuria. The isoform B (U- NAG-B) is dependent on the maturation and is closely related to the basement membrane in which it is pre- sent. Due to this localization of the B isoform, NAG is massively released in the tubular lumen only in the case of cytolytic tubular lesions. Its presence in the urine is in correlation with cell lysis and is known as lesion enzymuria [5,6]. NAG can also be detected in the circulation. However, NAG plasma could not pass through the intact glomerular membrane due to its large molecular weight (140,000 daltons). Therefore,</w:t>
      </w:r>
      <w:r>
        <w:rPr>
          <w:spacing w:val="40"/>
        </w:rPr>
        <w:t> </w:t>
      </w:r>
      <w:r>
        <w:rPr/>
        <w:t>in the healthy urinary tract NAG is representative of the</w:t>
      </w:r>
      <w:r>
        <w:rPr>
          <w:spacing w:val="21"/>
        </w:rPr>
        <w:t> </w:t>
      </w:r>
      <w:r>
        <w:rPr/>
        <w:t>total</w:t>
      </w:r>
      <w:r>
        <w:rPr>
          <w:spacing w:val="22"/>
        </w:rPr>
        <w:t> </w:t>
      </w:r>
      <w:r>
        <w:rPr/>
        <w:t>amount</w:t>
      </w:r>
      <w:r>
        <w:rPr>
          <w:spacing w:val="22"/>
        </w:rPr>
        <w:t> </w:t>
      </w:r>
      <w:r>
        <w:rPr/>
        <w:t>released</w:t>
      </w:r>
      <w:r>
        <w:rPr>
          <w:spacing w:val="21"/>
        </w:rPr>
        <w:t> </w:t>
      </w:r>
      <w:r>
        <w:rPr/>
        <w:t>from</w:t>
      </w:r>
      <w:r>
        <w:rPr>
          <w:spacing w:val="20"/>
        </w:rPr>
        <w:t> </w:t>
      </w:r>
      <w:r>
        <w:rPr/>
        <w:t>the</w:t>
      </w:r>
      <w:r>
        <w:rPr>
          <w:spacing w:val="22"/>
        </w:rPr>
        <w:t> </w:t>
      </w:r>
      <w:r>
        <w:rPr/>
        <w:t>renal</w:t>
      </w:r>
      <w:r>
        <w:rPr>
          <w:spacing w:val="22"/>
        </w:rPr>
        <w:t> </w:t>
      </w:r>
      <w:r>
        <w:rPr/>
        <w:t>tubular</w:t>
      </w:r>
      <w:r>
        <w:rPr>
          <w:spacing w:val="20"/>
        </w:rPr>
        <w:t> </w:t>
      </w:r>
      <w:r>
        <w:rPr>
          <w:spacing w:val="-4"/>
        </w:rPr>
        <w:t>cells</w:t>
      </w:r>
    </w:p>
    <w:p>
      <w:pPr>
        <w:pStyle w:val="BodyText"/>
        <w:spacing w:before="1"/>
        <w:ind w:left="238" w:right="45"/>
        <w:jc w:val="both"/>
      </w:pPr>
      <w:r>
        <w:rPr/>
        <w:t>[7] and is a very sensitive marker for renal tubular damage [8-14].</w:t>
      </w:r>
    </w:p>
    <w:p>
      <w:pPr>
        <w:pStyle w:val="Heading4"/>
        <w:spacing w:before="92"/>
        <w:jc w:val="both"/>
      </w:pPr>
      <w:r>
        <w:rPr>
          <w:b w:val="0"/>
        </w:rPr>
        <w:br w:type="column"/>
      </w:r>
      <w:r>
        <w:rPr/>
        <w:t>Materials</w:t>
      </w:r>
      <w:r>
        <w:rPr>
          <w:spacing w:val="-3"/>
        </w:rPr>
        <w:t> </w:t>
      </w:r>
      <w:r>
        <w:rPr/>
        <w:t>and</w:t>
      </w:r>
      <w:r>
        <w:rPr>
          <w:spacing w:val="-5"/>
        </w:rPr>
        <w:t> </w:t>
      </w:r>
      <w:r>
        <w:rPr>
          <w:spacing w:val="-2"/>
        </w:rPr>
        <w:t>methods</w:t>
      </w:r>
    </w:p>
    <w:p>
      <w:pPr>
        <w:pStyle w:val="BodyText"/>
        <w:spacing w:before="6"/>
        <w:rPr>
          <w:b/>
          <w:sz w:val="20"/>
        </w:rPr>
      </w:pPr>
    </w:p>
    <w:p>
      <w:pPr>
        <w:pStyle w:val="BodyText"/>
        <w:ind w:left="238" w:right="292"/>
        <w:jc w:val="both"/>
      </w:pPr>
      <w:r>
        <w:rPr/>
        <w:t>In patients</w:t>
      </w:r>
      <w:r>
        <w:rPr>
          <w:spacing w:val="-1"/>
        </w:rPr>
        <w:t> </w:t>
      </w:r>
      <w:r>
        <w:rPr/>
        <w:t>included in</w:t>
      </w:r>
      <w:r>
        <w:rPr>
          <w:spacing w:val="-1"/>
        </w:rPr>
        <w:t> </w:t>
      </w:r>
      <w:r>
        <w:rPr/>
        <w:t>this study,</w:t>
      </w:r>
      <w:r>
        <w:rPr>
          <w:spacing w:val="-1"/>
        </w:rPr>
        <w:t> </w:t>
      </w:r>
      <w:r>
        <w:rPr/>
        <w:t>the disease</w:t>
      </w:r>
      <w:r>
        <w:rPr>
          <w:spacing w:val="-1"/>
        </w:rPr>
        <w:t> </w:t>
      </w:r>
      <w:r>
        <w:rPr/>
        <w:t>diagnosis was based on the revised diagnostic criteria for classi- fication of rheumatoid arthritis proposed in 1987 by</w:t>
      </w:r>
      <w:r>
        <w:rPr>
          <w:spacing w:val="40"/>
        </w:rPr>
        <w:t> </w:t>
      </w:r>
      <w:r>
        <w:rPr/>
        <w:t>the</w:t>
      </w:r>
      <w:r>
        <w:rPr>
          <w:spacing w:val="-2"/>
        </w:rPr>
        <w:t> </w:t>
      </w:r>
      <w:r>
        <w:rPr/>
        <w:t>American</w:t>
      </w:r>
      <w:r>
        <w:rPr>
          <w:spacing w:val="-2"/>
        </w:rPr>
        <w:t> </w:t>
      </w:r>
      <w:r>
        <w:rPr/>
        <w:t>Rheumatism</w:t>
      </w:r>
      <w:r>
        <w:rPr>
          <w:spacing w:val="-1"/>
        </w:rPr>
        <w:t> </w:t>
      </w:r>
      <w:r>
        <w:rPr/>
        <w:t>Association</w:t>
      </w:r>
      <w:r>
        <w:rPr>
          <w:spacing w:val="-2"/>
        </w:rPr>
        <w:t> </w:t>
      </w:r>
      <w:r>
        <w:rPr/>
        <w:t>(ARA)</w:t>
      </w:r>
      <w:r>
        <w:rPr>
          <w:spacing w:val="-3"/>
        </w:rPr>
        <w:t> </w:t>
      </w:r>
      <w:r>
        <w:rPr/>
        <w:t>[15].</w:t>
      </w:r>
      <w:r>
        <w:rPr>
          <w:spacing w:val="-2"/>
        </w:rPr>
        <w:t> </w:t>
      </w:r>
      <w:r>
        <w:rPr/>
        <w:t>In order to include patients in the RA group, it was nece- ssary to meet at least 4 of the predicted 7 criteria.</w:t>
      </w:r>
    </w:p>
    <w:p>
      <w:pPr>
        <w:pStyle w:val="BodyText"/>
        <w:spacing w:before="1"/>
        <w:ind w:left="238" w:right="290"/>
        <w:jc w:val="both"/>
      </w:pPr>
      <w:r>
        <w:rPr/>
        <w:t>Criteria from</w:t>
      </w:r>
      <w:r>
        <w:rPr>
          <w:spacing w:val="-1"/>
        </w:rPr>
        <w:t> </w:t>
      </w:r>
      <w:r>
        <w:rPr/>
        <w:t>1 to 4 were present for at least 6 months. The study included 35 patients with RA (20 females, 15 males) treated with Etoricoxib, as well as 35 pa- </w:t>
      </w:r>
      <w:r>
        <w:rPr>
          <w:spacing w:val="-2"/>
        </w:rPr>
        <w:t>tients</w:t>
      </w:r>
      <w:r>
        <w:rPr>
          <w:spacing w:val="-12"/>
        </w:rPr>
        <w:t> </w:t>
      </w:r>
      <w:r>
        <w:rPr>
          <w:spacing w:val="-2"/>
        </w:rPr>
        <w:t>with</w:t>
      </w:r>
      <w:r>
        <w:rPr>
          <w:spacing w:val="-11"/>
        </w:rPr>
        <w:t> </w:t>
      </w:r>
      <w:r>
        <w:rPr>
          <w:spacing w:val="-2"/>
        </w:rPr>
        <w:t>RA</w:t>
      </w:r>
      <w:r>
        <w:rPr>
          <w:spacing w:val="-11"/>
        </w:rPr>
        <w:t> </w:t>
      </w:r>
      <w:r>
        <w:rPr>
          <w:spacing w:val="-2"/>
        </w:rPr>
        <w:t>(22</w:t>
      </w:r>
      <w:r>
        <w:rPr>
          <w:spacing w:val="-11"/>
        </w:rPr>
        <w:t> </w:t>
      </w:r>
      <w:r>
        <w:rPr>
          <w:spacing w:val="-2"/>
        </w:rPr>
        <w:t>females,</w:t>
      </w:r>
      <w:r>
        <w:rPr>
          <w:spacing w:val="-11"/>
        </w:rPr>
        <w:t> </w:t>
      </w:r>
      <w:r>
        <w:rPr>
          <w:spacing w:val="-2"/>
        </w:rPr>
        <w:t>13</w:t>
      </w:r>
      <w:r>
        <w:rPr>
          <w:spacing w:val="-11"/>
        </w:rPr>
        <w:t> </w:t>
      </w:r>
      <w:r>
        <w:rPr>
          <w:spacing w:val="-2"/>
        </w:rPr>
        <w:t>males)</w:t>
      </w:r>
      <w:r>
        <w:rPr>
          <w:spacing w:val="-11"/>
        </w:rPr>
        <w:t> </w:t>
      </w:r>
      <w:r>
        <w:rPr>
          <w:spacing w:val="-2"/>
        </w:rPr>
        <w:t>treated</w:t>
      </w:r>
      <w:r>
        <w:rPr>
          <w:spacing w:val="-11"/>
        </w:rPr>
        <w:t> </w:t>
      </w:r>
      <w:r>
        <w:rPr>
          <w:spacing w:val="-2"/>
        </w:rPr>
        <w:t>with</w:t>
      </w:r>
      <w:r>
        <w:rPr>
          <w:spacing w:val="-12"/>
        </w:rPr>
        <w:t> </w:t>
      </w:r>
      <w:r>
        <w:rPr>
          <w:spacing w:val="-2"/>
        </w:rPr>
        <w:t>Diclo- </w:t>
      </w:r>
      <w:r>
        <w:rPr/>
        <w:t>fenac. The mean age was 50.43 years (±6.42) (38-65 years)</w:t>
      </w:r>
      <w:r>
        <w:rPr>
          <w:spacing w:val="-8"/>
        </w:rPr>
        <w:t> </w:t>
      </w:r>
      <w:r>
        <w:rPr/>
        <w:t>in</w:t>
      </w:r>
      <w:r>
        <w:rPr>
          <w:spacing w:val="-8"/>
        </w:rPr>
        <w:t> </w:t>
      </w:r>
      <w:r>
        <w:rPr/>
        <w:t>the</w:t>
      </w:r>
      <w:r>
        <w:rPr>
          <w:spacing w:val="-8"/>
        </w:rPr>
        <w:t> </w:t>
      </w:r>
      <w:r>
        <w:rPr/>
        <w:t>group</w:t>
      </w:r>
      <w:r>
        <w:rPr>
          <w:spacing w:val="-8"/>
        </w:rPr>
        <w:t> </w:t>
      </w:r>
      <w:r>
        <w:rPr/>
        <w:t>treated</w:t>
      </w:r>
      <w:r>
        <w:rPr>
          <w:spacing w:val="-8"/>
        </w:rPr>
        <w:t> </w:t>
      </w:r>
      <w:r>
        <w:rPr/>
        <w:t>with</w:t>
      </w:r>
      <w:r>
        <w:rPr>
          <w:spacing w:val="-8"/>
        </w:rPr>
        <w:t> </w:t>
      </w:r>
      <w:r>
        <w:rPr/>
        <w:t>Etoricoxib,</w:t>
      </w:r>
      <w:r>
        <w:rPr>
          <w:spacing w:val="-8"/>
        </w:rPr>
        <w:t> </w:t>
      </w:r>
      <w:r>
        <w:rPr/>
        <w:t>while</w:t>
      </w:r>
      <w:r>
        <w:rPr>
          <w:spacing w:val="-8"/>
        </w:rPr>
        <w:t> </w:t>
      </w:r>
      <w:r>
        <w:rPr/>
        <w:t>50.13 years (±8.36) (39-65 years) in the group treated with Diclofenac. The average disease duration from the onset</w:t>
      </w:r>
      <w:r>
        <w:rPr>
          <w:spacing w:val="-4"/>
        </w:rPr>
        <w:t> </w:t>
      </w:r>
      <w:r>
        <w:rPr/>
        <w:t>of</w:t>
      </w:r>
      <w:r>
        <w:rPr>
          <w:spacing w:val="-4"/>
        </w:rPr>
        <w:t> </w:t>
      </w:r>
      <w:r>
        <w:rPr/>
        <w:t>disease</w:t>
      </w:r>
      <w:r>
        <w:rPr>
          <w:spacing w:val="-3"/>
        </w:rPr>
        <w:t> </w:t>
      </w:r>
      <w:r>
        <w:rPr/>
        <w:t>was</w:t>
      </w:r>
      <w:r>
        <w:rPr>
          <w:spacing w:val="-4"/>
        </w:rPr>
        <w:t> </w:t>
      </w:r>
      <w:r>
        <w:rPr/>
        <w:t>8.11</w:t>
      </w:r>
      <w:r>
        <w:rPr>
          <w:spacing w:val="-3"/>
        </w:rPr>
        <w:t> </w:t>
      </w:r>
      <w:r>
        <w:rPr/>
        <w:t>(±10.23),</w:t>
      </w:r>
      <w:r>
        <w:rPr>
          <w:spacing w:val="-3"/>
        </w:rPr>
        <w:t> </w:t>
      </w:r>
      <w:r>
        <w:rPr/>
        <w:t>in</w:t>
      </w:r>
      <w:r>
        <w:rPr>
          <w:spacing w:val="-3"/>
        </w:rPr>
        <w:t> </w:t>
      </w:r>
      <w:r>
        <w:rPr/>
        <w:t>the</w:t>
      </w:r>
      <w:r>
        <w:rPr>
          <w:spacing w:val="-3"/>
        </w:rPr>
        <w:t> </w:t>
      </w:r>
      <w:r>
        <w:rPr/>
        <w:t>interval</w:t>
      </w:r>
      <w:r>
        <w:rPr>
          <w:spacing w:val="-4"/>
        </w:rPr>
        <w:t> </w:t>
      </w:r>
      <w:r>
        <w:rPr/>
        <w:t>of</w:t>
      </w:r>
      <w:r>
        <w:rPr>
          <w:spacing w:val="-4"/>
        </w:rPr>
        <w:t> </w:t>
      </w:r>
      <w:r>
        <w:rPr/>
        <w:t>1- 15 months. None of the patients included in the study had a history of previous or current renal disease.</w:t>
      </w:r>
      <w:r>
        <w:rPr>
          <w:spacing w:val="40"/>
        </w:rPr>
        <w:t> </w:t>
      </w:r>
      <w:r>
        <w:rPr/>
        <w:t>None of the patients had previously used NSAID. The others did not use other drugs before taking the test, especially gold salts or antibiotics or diuretics. The samples were collected over a period of 2 months.</w:t>
      </w:r>
    </w:p>
    <w:p>
      <w:pPr>
        <w:pStyle w:val="BodyText"/>
        <w:spacing w:before="5"/>
      </w:pPr>
    </w:p>
    <w:p>
      <w:pPr>
        <w:pStyle w:val="Heading4"/>
        <w:spacing w:before="1"/>
        <w:jc w:val="both"/>
      </w:pPr>
      <w:r>
        <w:rPr/>
        <w:t>Inclusion</w:t>
      </w:r>
      <w:r>
        <w:rPr>
          <w:spacing w:val="-9"/>
        </w:rPr>
        <w:t> </w:t>
      </w:r>
      <w:r>
        <w:rPr>
          <w:spacing w:val="-2"/>
        </w:rPr>
        <w:t>criteria</w:t>
      </w:r>
    </w:p>
    <w:p>
      <w:pPr>
        <w:pStyle w:val="BodyText"/>
        <w:spacing w:before="6"/>
        <w:rPr>
          <w:b/>
          <w:sz w:val="20"/>
        </w:rPr>
      </w:pPr>
    </w:p>
    <w:p>
      <w:pPr>
        <w:pStyle w:val="BodyText"/>
        <w:ind w:left="238" w:right="295"/>
        <w:jc w:val="both"/>
      </w:pPr>
      <w:r>
        <w:rPr/>
        <w:t>The study comprised patients with RA at the age of</w:t>
      </w:r>
      <w:r>
        <w:rPr>
          <w:spacing w:val="40"/>
        </w:rPr>
        <w:t> </w:t>
      </w:r>
      <w:r>
        <w:rPr/>
        <w:t>18-65 years, who were not previously treated with NSAIDs or DMARDs.</w:t>
      </w:r>
    </w:p>
    <w:p>
      <w:pPr>
        <w:pStyle w:val="BodyText"/>
        <w:spacing w:before="4"/>
      </w:pPr>
    </w:p>
    <w:p>
      <w:pPr>
        <w:pStyle w:val="Heading4"/>
        <w:jc w:val="both"/>
      </w:pPr>
      <w:r>
        <w:rPr/>
        <w:t>Exclusion</w:t>
      </w:r>
      <w:r>
        <w:rPr>
          <w:spacing w:val="-9"/>
        </w:rPr>
        <w:t> </w:t>
      </w:r>
      <w:r>
        <w:rPr>
          <w:spacing w:val="-2"/>
        </w:rPr>
        <w:t>criteria</w:t>
      </w:r>
    </w:p>
    <w:p>
      <w:pPr>
        <w:pStyle w:val="BodyText"/>
        <w:spacing w:before="8"/>
        <w:rPr>
          <w:b/>
          <w:sz w:val="20"/>
        </w:rPr>
      </w:pPr>
    </w:p>
    <w:p>
      <w:pPr>
        <w:pStyle w:val="BodyText"/>
        <w:ind w:left="238" w:right="295" w:firstLine="52"/>
        <w:jc w:val="both"/>
      </w:pPr>
      <w:r>
        <w:rPr/>
        <w:t>The study did not include patients with symptoms or conditions that can directly or indirectly affect the results, such as:</w:t>
      </w:r>
    </w:p>
    <w:p>
      <w:pPr>
        <w:pStyle w:val="ListParagraph"/>
        <w:numPr>
          <w:ilvl w:val="0"/>
          <w:numId w:val="8"/>
        </w:numPr>
        <w:tabs>
          <w:tab w:pos="627" w:val="left" w:leader="none"/>
        </w:tabs>
        <w:spacing w:line="240" w:lineRule="auto" w:before="0" w:after="0"/>
        <w:ind w:left="626" w:right="287" w:hanging="389"/>
        <w:jc w:val="both"/>
        <w:rPr>
          <w:sz w:val="21"/>
        </w:rPr>
      </w:pPr>
      <w:r>
        <w:rPr>
          <w:sz w:val="21"/>
        </w:rPr>
        <w:t>Patients with a history of gonorrhea, mild to mo- derate hepatic, renal,</w:t>
      </w:r>
      <w:r>
        <w:rPr>
          <w:spacing w:val="-3"/>
          <w:sz w:val="21"/>
        </w:rPr>
        <w:t> </w:t>
      </w:r>
      <w:r>
        <w:rPr>
          <w:sz w:val="21"/>
        </w:rPr>
        <w:t>hematologic, cardiovascular, </w:t>
      </w:r>
      <w:r>
        <w:rPr>
          <w:spacing w:val="-2"/>
          <w:sz w:val="21"/>
        </w:rPr>
        <w:t>neurological</w:t>
      </w:r>
      <w:r>
        <w:rPr>
          <w:spacing w:val="-12"/>
          <w:sz w:val="21"/>
        </w:rPr>
        <w:t> </w:t>
      </w:r>
      <w:r>
        <w:rPr>
          <w:spacing w:val="-2"/>
          <w:sz w:val="21"/>
        </w:rPr>
        <w:t>diseases,</w:t>
      </w:r>
      <w:r>
        <w:rPr>
          <w:spacing w:val="-11"/>
          <w:sz w:val="21"/>
        </w:rPr>
        <w:t> </w:t>
      </w:r>
      <w:r>
        <w:rPr>
          <w:spacing w:val="-2"/>
          <w:sz w:val="21"/>
        </w:rPr>
        <w:t>nausea,</w:t>
      </w:r>
      <w:r>
        <w:rPr>
          <w:spacing w:val="-11"/>
          <w:sz w:val="21"/>
        </w:rPr>
        <w:t> </w:t>
      </w:r>
      <w:r>
        <w:rPr>
          <w:spacing w:val="-2"/>
          <w:sz w:val="21"/>
        </w:rPr>
        <w:t>vomiting,</w:t>
      </w:r>
      <w:r>
        <w:rPr>
          <w:spacing w:val="-11"/>
          <w:sz w:val="21"/>
        </w:rPr>
        <w:t> </w:t>
      </w:r>
      <w:r>
        <w:rPr>
          <w:spacing w:val="-2"/>
          <w:sz w:val="21"/>
        </w:rPr>
        <w:t>autoimmu- </w:t>
      </w:r>
      <w:r>
        <w:rPr>
          <w:sz w:val="21"/>
        </w:rPr>
        <w:t>ne disease.</w:t>
      </w:r>
    </w:p>
    <w:p>
      <w:pPr>
        <w:pStyle w:val="ListParagraph"/>
        <w:numPr>
          <w:ilvl w:val="0"/>
          <w:numId w:val="8"/>
        </w:numPr>
        <w:tabs>
          <w:tab w:pos="627" w:val="left" w:leader="none"/>
        </w:tabs>
        <w:spacing w:line="240" w:lineRule="auto" w:before="0" w:after="0"/>
        <w:ind w:left="626" w:right="294" w:hanging="389"/>
        <w:jc w:val="both"/>
        <w:rPr>
          <w:sz w:val="21"/>
        </w:rPr>
      </w:pPr>
      <w:r>
        <w:rPr>
          <w:sz w:val="21"/>
        </w:rPr>
        <w:t>Patients with diabetes mellitus, acute infections, malignant neoplasms, febrile conditions.</w:t>
      </w:r>
    </w:p>
    <w:p>
      <w:pPr>
        <w:pStyle w:val="ListParagraph"/>
        <w:numPr>
          <w:ilvl w:val="0"/>
          <w:numId w:val="8"/>
        </w:numPr>
        <w:tabs>
          <w:tab w:pos="627" w:val="left" w:leader="none"/>
        </w:tabs>
        <w:spacing w:line="240" w:lineRule="auto" w:before="0" w:after="0"/>
        <w:ind w:left="626" w:right="294" w:hanging="389"/>
        <w:jc w:val="both"/>
        <w:rPr>
          <w:sz w:val="21"/>
        </w:rPr>
      </w:pPr>
      <w:r>
        <w:rPr>
          <w:sz w:val="21"/>
        </w:rPr>
        <w:t>Patients with urinary tract arthritis, urinary tract infections, SLE, mixed connective tissue disease, </w:t>
      </w:r>
      <w:r>
        <w:rPr>
          <w:spacing w:val="-2"/>
          <w:sz w:val="21"/>
        </w:rPr>
        <w:t>vasculitis.</w:t>
      </w:r>
    </w:p>
    <w:p>
      <w:pPr>
        <w:pStyle w:val="ListParagraph"/>
        <w:numPr>
          <w:ilvl w:val="0"/>
          <w:numId w:val="8"/>
        </w:numPr>
        <w:tabs>
          <w:tab w:pos="627" w:val="left" w:leader="none"/>
        </w:tabs>
        <w:spacing w:line="240" w:lineRule="auto" w:before="0" w:after="0"/>
        <w:ind w:left="626" w:right="292" w:hanging="389"/>
        <w:jc w:val="both"/>
        <w:rPr>
          <w:sz w:val="21"/>
        </w:rPr>
      </w:pPr>
      <w:r>
        <w:rPr>
          <w:sz w:val="21"/>
        </w:rPr>
        <w:t>Patients with a history of blood transfusion, and excessive body weight.</w:t>
      </w:r>
    </w:p>
    <w:p>
      <w:pPr>
        <w:pStyle w:val="ListParagraph"/>
        <w:numPr>
          <w:ilvl w:val="0"/>
          <w:numId w:val="8"/>
        </w:numPr>
        <w:tabs>
          <w:tab w:pos="627" w:val="left" w:leader="none"/>
        </w:tabs>
        <w:spacing w:line="241" w:lineRule="exact" w:before="0" w:after="0"/>
        <w:ind w:left="626" w:right="0" w:hanging="389"/>
        <w:jc w:val="both"/>
        <w:rPr>
          <w:sz w:val="21"/>
        </w:rPr>
      </w:pPr>
      <w:r>
        <w:rPr>
          <w:sz w:val="21"/>
        </w:rPr>
        <w:t>Patients</w:t>
      </w:r>
      <w:r>
        <w:rPr>
          <w:spacing w:val="-5"/>
          <w:sz w:val="21"/>
        </w:rPr>
        <w:t> </w:t>
      </w:r>
      <w:r>
        <w:rPr>
          <w:sz w:val="21"/>
        </w:rPr>
        <w:t>who</w:t>
      </w:r>
      <w:r>
        <w:rPr>
          <w:spacing w:val="-5"/>
          <w:sz w:val="21"/>
        </w:rPr>
        <w:t> </w:t>
      </w:r>
      <w:r>
        <w:rPr>
          <w:sz w:val="21"/>
        </w:rPr>
        <w:t>received</w:t>
      </w:r>
      <w:r>
        <w:rPr>
          <w:spacing w:val="-5"/>
          <w:sz w:val="21"/>
        </w:rPr>
        <w:t> </w:t>
      </w:r>
      <w:r>
        <w:rPr>
          <w:sz w:val="21"/>
        </w:rPr>
        <w:t>baseline</w:t>
      </w:r>
      <w:r>
        <w:rPr>
          <w:spacing w:val="-5"/>
          <w:sz w:val="21"/>
        </w:rPr>
        <w:t> </w:t>
      </w:r>
      <w:r>
        <w:rPr>
          <w:spacing w:val="-2"/>
          <w:sz w:val="21"/>
        </w:rPr>
        <w:t>therapy.</w:t>
      </w:r>
    </w:p>
    <w:p>
      <w:pPr>
        <w:pStyle w:val="ListParagraph"/>
        <w:numPr>
          <w:ilvl w:val="0"/>
          <w:numId w:val="8"/>
        </w:numPr>
        <w:tabs>
          <w:tab w:pos="627" w:val="left" w:leader="none"/>
        </w:tabs>
        <w:spacing w:line="240" w:lineRule="auto" w:before="1" w:after="0"/>
        <w:ind w:left="626" w:right="289" w:hanging="389"/>
        <w:jc w:val="both"/>
        <w:rPr>
          <w:sz w:val="21"/>
        </w:rPr>
      </w:pPr>
      <w:r>
        <w:rPr>
          <w:sz w:val="21"/>
        </w:rPr>
        <w:t>Patients with a history of glycemia or increased levels</w:t>
      </w:r>
      <w:r>
        <w:rPr>
          <w:spacing w:val="-9"/>
          <w:sz w:val="21"/>
        </w:rPr>
        <w:t> </w:t>
      </w:r>
      <w:r>
        <w:rPr>
          <w:sz w:val="21"/>
        </w:rPr>
        <w:t>of</w:t>
      </w:r>
      <w:r>
        <w:rPr>
          <w:spacing w:val="-9"/>
          <w:sz w:val="21"/>
        </w:rPr>
        <w:t> </w:t>
      </w:r>
      <w:r>
        <w:rPr>
          <w:sz w:val="21"/>
        </w:rPr>
        <w:t>product</w:t>
      </w:r>
      <w:r>
        <w:rPr>
          <w:spacing w:val="-9"/>
          <w:sz w:val="21"/>
        </w:rPr>
        <w:t> </w:t>
      </w:r>
      <w:r>
        <w:rPr>
          <w:sz w:val="21"/>
        </w:rPr>
        <w:t>degradation</w:t>
      </w:r>
      <w:r>
        <w:rPr>
          <w:spacing w:val="-7"/>
          <w:sz w:val="21"/>
        </w:rPr>
        <w:t> </w:t>
      </w:r>
      <w:r>
        <w:rPr>
          <w:sz w:val="21"/>
        </w:rPr>
        <w:t>in</w:t>
      </w:r>
      <w:r>
        <w:rPr>
          <w:spacing w:val="-7"/>
          <w:sz w:val="21"/>
        </w:rPr>
        <w:t> </w:t>
      </w:r>
      <w:r>
        <w:rPr>
          <w:sz w:val="21"/>
        </w:rPr>
        <w:t>the</w:t>
      </w:r>
      <w:r>
        <w:rPr>
          <w:spacing w:val="-9"/>
          <w:sz w:val="21"/>
        </w:rPr>
        <w:t> </w:t>
      </w:r>
      <w:r>
        <w:rPr>
          <w:sz w:val="21"/>
        </w:rPr>
        <w:t>0</w:t>
      </w:r>
      <w:r>
        <w:rPr>
          <w:spacing w:val="-7"/>
          <w:sz w:val="21"/>
        </w:rPr>
        <w:t> </w:t>
      </w:r>
      <w:r>
        <w:rPr>
          <w:sz w:val="21"/>
        </w:rPr>
        <w:t>range:</w:t>
      </w:r>
      <w:r>
        <w:rPr>
          <w:spacing w:val="-9"/>
          <w:sz w:val="21"/>
        </w:rPr>
        <w:t> </w:t>
      </w:r>
      <w:r>
        <w:rPr>
          <w:sz w:val="21"/>
        </w:rPr>
        <w:t>serum </w:t>
      </w:r>
      <w:r>
        <w:rPr>
          <w:spacing w:val="-4"/>
          <w:sz w:val="21"/>
        </w:rPr>
        <w:t>creatine and urine, serum</w:t>
      </w:r>
      <w:r>
        <w:rPr>
          <w:spacing w:val="-6"/>
          <w:sz w:val="21"/>
        </w:rPr>
        <w:t> </w:t>
      </w:r>
      <w:r>
        <w:rPr>
          <w:spacing w:val="-4"/>
          <w:sz w:val="21"/>
        </w:rPr>
        <w:t>urea, hypertension, arterial </w:t>
      </w:r>
      <w:r>
        <w:rPr>
          <w:spacing w:val="-2"/>
          <w:sz w:val="21"/>
        </w:rPr>
        <w:t>hypertension.</w:t>
      </w:r>
      <w:r>
        <w:rPr>
          <w:spacing w:val="-12"/>
          <w:sz w:val="21"/>
        </w:rPr>
        <w:t> </w:t>
      </w:r>
      <w:r>
        <w:rPr>
          <w:spacing w:val="-2"/>
          <w:sz w:val="21"/>
        </w:rPr>
        <w:t>and</w:t>
      </w:r>
      <w:r>
        <w:rPr>
          <w:spacing w:val="-11"/>
          <w:sz w:val="21"/>
        </w:rPr>
        <w:t> </w:t>
      </w:r>
      <w:r>
        <w:rPr>
          <w:spacing w:val="-2"/>
          <w:sz w:val="21"/>
        </w:rPr>
        <w:t>hematological</w:t>
      </w:r>
      <w:r>
        <w:rPr>
          <w:spacing w:val="-11"/>
          <w:sz w:val="21"/>
        </w:rPr>
        <w:t> </w:t>
      </w:r>
      <w:r>
        <w:rPr>
          <w:spacing w:val="-2"/>
          <w:sz w:val="21"/>
        </w:rPr>
        <w:t>and</w:t>
      </w:r>
      <w:r>
        <w:rPr>
          <w:spacing w:val="-11"/>
          <w:sz w:val="21"/>
        </w:rPr>
        <w:t> </w:t>
      </w:r>
      <w:r>
        <w:rPr>
          <w:spacing w:val="-2"/>
          <w:sz w:val="21"/>
        </w:rPr>
        <w:t>enzyme</w:t>
      </w:r>
      <w:r>
        <w:rPr>
          <w:spacing w:val="-11"/>
          <w:sz w:val="21"/>
        </w:rPr>
        <w:t> </w:t>
      </w:r>
      <w:r>
        <w:rPr>
          <w:spacing w:val="-2"/>
          <w:sz w:val="21"/>
        </w:rPr>
        <w:t>status.</w:t>
      </w:r>
    </w:p>
    <w:p>
      <w:pPr>
        <w:pStyle w:val="ListParagraph"/>
        <w:numPr>
          <w:ilvl w:val="0"/>
          <w:numId w:val="8"/>
        </w:numPr>
        <w:tabs>
          <w:tab w:pos="627" w:val="left" w:leader="none"/>
        </w:tabs>
        <w:spacing w:line="240" w:lineRule="auto" w:before="0" w:after="0"/>
        <w:ind w:left="626" w:right="294" w:hanging="389"/>
        <w:jc w:val="both"/>
        <w:rPr>
          <w:sz w:val="21"/>
        </w:rPr>
      </w:pPr>
      <w:r>
        <w:rPr>
          <w:sz w:val="21"/>
        </w:rPr>
        <w:t>Patients previously treated with salicylates, anti- biotics, gold salts, or diuretics.</w:t>
      </w:r>
    </w:p>
    <w:p>
      <w:pPr>
        <w:pStyle w:val="ListParagraph"/>
        <w:numPr>
          <w:ilvl w:val="0"/>
          <w:numId w:val="8"/>
        </w:numPr>
        <w:tabs>
          <w:tab w:pos="627" w:val="left" w:leader="none"/>
        </w:tabs>
        <w:spacing w:line="240" w:lineRule="auto" w:before="1" w:after="0"/>
        <w:ind w:left="626" w:right="292" w:hanging="389"/>
        <w:jc w:val="both"/>
        <w:rPr>
          <w:sz w:val="21"/>
        </w:rPr>
      </w:pPr>
      <w:r>
        <w:rPr>
          <w:sz w:val="21"/>
        </w:rPr>
        <w:t>All patients took part in this study on a voluntary </w:t>
      </w:r>
      <w:r>
        <w:rPr>
          <w:spacing w:val="-2"/>
          <w:sz w:val="21"/>
        </w:rPr>
        <w:t>basis.</w:t>
      </w:r>
    </w:p>
    <w:p>
      <w:pPr>
        <w:spacing w:after="0" w:line="240" w:lineRule="auto"/>
        <w:jc w:val="both"/>
        <w:rPr>
          <w:sz w:val="21"/>
        </w:rPr>
        <w:sectPr>
          <w:type w:val="continuous"/>
          <w:pgSz w:w="11910" w:h="16840"/>
          <w:pgMar w:header="854" w:footer="0" w:top="740" w:bottom="0" w:left="900" w:right="840"/>
          <w:cols w:num="2" w:equalWidth="0">
            <w:col w:w="4921" w:space="77"/>
            <w:col w:w="5172"/>
          </w:cols>
        </w:sectPr>
      </w:pPr>
    </w:p>
    <w:p>
      <w:pPr>
        <w:pStyle w:val="BodyText"/>
        <w:spacing w:before="5"/>
        <w:rPr>
          <w:sz w:val="15"/>
        </w:rPr>
      </w:pPr>
    </w:p>
    <w:p>
      <w:pPr>
        <w:spacing w:after="0"/>
        <w:rPr>
          <w:sz w:val="15"/>
        </w:rPr>
        <w:sectPr>
          <w:pgSz w:w="11910" w:h="16840"/>
          <w:pgMar w:header="854" w:footer="0" w:top="1280" w:bottom="280" w:left="900" w:right="840"/>
        </w:sectPr>
      </w:pPr>
    </w:p>
    <w:p>
      <w:pPr>
        <w:pStyle w:val="Heading4"/>
        <w:spacing w:before="97"/>
        <w:ind w:right="145"/>
      </w:pPr>
      <w:r>
        <w:rPr/>
        <w:t>Clinical</w:t>
      </w:r>
      <w:r>
        <w:rPr>
          <w:spacing w:val="-7"/>
        </w:rPr>
        <w:t> </w:t>
      </w:r>
      <w:r>
        <w:rPr/>
        <w:t>assessment</w:t>
      </w:r>
      <w:r>
        <w:rPr>
          <w:spacing w:val="-9"/>
        </w:rPr>
        <w:t> </w:t>
      </w:r>
      <w:r>
        <w:rPr/>
        <w:t>with</w:t>
      </w:r>
      <w:r>
        <w:rPr>
          <w:spacing w:val="-6"/>
        </w:rPr>
        <w:t> </w:t>
      </w:r>
      <w:r>
        <w:rPr/>
        <w:t>disease</w:t>
      </w:r>
      <w:r>
        <w:rPr>
          <w:spacing w:val="-7"/>
        </w:rPr>
        <w:t> </w:t>
      </w:r>
      <w:r>
        <w:rPr/>
        <w:t>activity</w:t>
      </w:r>
      <w:r>
        <w:rPr>
          <w:spacing w:val="-6"/>
        </w:rPr>
        <w:t> </w:t>
      </w:r>
      <w:r>
        <w:rPr/>
        <w:t>score (DAS 28) index</w:t>
      </w:r>
    </w:p>
    <w:p>
      <w:pPr>
        <w:pStyle w:val="BodyText"/>
        <w:spacing w:before="7"/>
        <w:rPr>
          <w:b/>
          <w:sz w:val="20"/>
        </w:rPr>
      </w:pPr>
    </w:p>
    <w:p>
      <w:pPr>
        <w:pStyle w:val="BodyText"/>
        <w:ind w:left="238" w:right="38"/>
        <w:jc w:val="both"/>
      </w:pPr>
      <w:r>
        <w:rPr/>
        <w:t>Clinical assessment was made by</w:t>
      </w:r>
      <w:r>
        <w:rPr>
          <w:spacing w:val="-3"/>
        </w:rPr>
        <w:t> </w:t>
      </w:r>
      <w:r>
        <w:rPr/>
        <w:t>a subspecialist in the given area Disease Activity Score (DAS 28) index</w:t>
      </w:r>
      <w:r>
        <w:rPr>
          <w:spacing w:val="80"/>
        </w:rPr>
        <w:t> </w:t>
      </w:r>
      <w:r>
        <w:rPr/>
        <w:t>[16-18]. Indexes use mathematical formula to obtain unique composite quantitative score consisting of pal- pable</w:t>
      </w:r>
      <w:r>
        <w:rPr>
          <w:spacing w:val="-4"/>
        </w:rPr>
        <w:t> </w:t>
      </w:r>
      <w:r>
        <w:rPr/>
        <w:t>sensitive</w:t>
      </w:r>
      <w:r>
        <w:rPr>
          <w:spacing w:val="-4"/>
        </w:rPr>
        <w:t> </w:t>
      </w:r>
      <w:r>
        <w:rPr/>
        <w:t>joints</w:t>
      </w:r>
      <w:r>
        <w:rPr>
          <w:spacing w:val="-4"/>
        </w:rPr>
        <w:t> </w:t>
      </w:r>
      <w:r>
        <w:rPr/>
        <w:t>(maximum</w:t>
      </w:r>
      <w:r>
        <w:rPr>
          <w:spacing w:val="-8"/>
        </w:rPr>
        <w:t> </w:t>
      </w:r>
      <w:r>
        <w:rPr/>
        <w:t>number</w:t>
      </w:r>
      <w:r>
        <w:rPr>
          <w:spacing w:val="-5"/>
        </w:rPr>
        <w:t> </w:t>
      </w:r>
      <w:r>
        <w:rPr/>
        <w:t>28),</w:t>
      </w:r>
      <w:r>
        <w:rPr>
          <w:spacing w:val="-4"/>
        </w:rPr>
        <w:t> </w:t>
      </w:r>
      <w:r>
        <w:rPr/>
        <w:t>and</w:t>
      </w:r>
      <w:r>
        <w:rPr>
          <w:spacing w:val="-4"/>
        </w:rPr>
        <w:t> </w:t>
      </w:r>
      <w:r>
        <w:rPr/>
        <w:t>swo- llen joints (maximum number 28). Westergren’s eryt- hrocyte sedimentation rate (ESR) and patient’s global assessment of disease activity (0-100 mm Visual Ana- logue Scale-VAS) as well as morning stiffness (minu- tes) were used.</w:t>
      </w:r>
    </w:p>
    <w:p>
      <w:pPr>
        <w:pStyle w:val="BodyText"/>
        <w:ind w:left="238"/>
        <w:jc w:val="both"/>
      </w:pPr>
      <w:r>
        <w:rPr/>
        <w:t>DAS</w:t>
      </w:r>
      <w:r>
        <w:rPr>
          <w:spacing w:val="19"/>
        </w:rPr>
        <w:t> </w:t>
      </w:r>
      <w:r>
        <w:rPr/>
        <w:t>28</w:t>
      </w:r>
      <w:r>
        <w:rPr>
          <w:spacing w:val="20"/>
        </w:rPr>
        <w:t> </w:t>
      </w:r>
      <w:r>
        <w:rPr/>
        <w:t>indexes</w:t>
      </w:r>
      <w:r>
        <w:rPr>
          <w:spacing w:val="19"/>
        </w:rPr>
        <w:t> </w:t>
      </w:r>
      <w:r>
        <w:rPr/>
        <w:t>range</w:t>
      </w:r>
      <w:r>
        <w:rPr>
          <w:spacing w:val="20"/>
        </w:rPr>
        <w:t> </w:t>
      </w:r>
      <w:r>
        <w:rPr/>
        <w:t>from</w:t>
      </w:r>
      <w:r>
        <w:rPr>
          <w:spacing w:val="18"/>
        </w:rPr>
        <w:t> </w:t>
      </w:r>
      <w:r>
        <w:rPr/>
        <w:t>0</w:t>
      </w:r>
      <w:r>
        <w:rPr>
          <w:spacing w:val="20"/>
        </w:rPr>
        <w:t> </w:t>
      </w:r>
      <w:r>
        <w:rPr/>
        <w:t>to</w:t>
      </w:r>
      <w:r>
        <w:rPr>
          <w:spacing w:val="19"/>
        </w:rPr>
        <w:t> </w:t>
      </w:r>
      <w:r>
        <w:rPr/>
        <w:t>10</w:t>
      </w:r>
      <w:r>
        <w:rPr>
          <w:spacing w:val="20"/>
        </w:rPr>
        <w:t> </w:t>
      </w:r>
      <w:r>
        <w:rPr/>
        <w:t>and</w:t>
      </w:r>
      <w:r>
        <w:rPr>
          <w:spacing w:val="19"/>
        </w:rPr>
        <w:t> </w:t>
      </w:r>
      <w:r>
        <w:rPr/>
        <w:t>score</w:t>
      </w:r>
      <w:r>
        <w:rPr>
          <w:spacing w:val="20"/>
        </w:rPr>
        <w:t> </w:t>
      </w:r>
      <w:r>
        <w:rPr>
          <w:spacing w:val="-2"/>
        </w:rPr>
        <w:t>below</w:t>
      </w:r>
    </w:p>
    <w:p>
      <w:pPr>
        <w:pStyle w:val="BodyText"/>
        <w:spacing w:before="1"/>
        <w:ind w:left="238"/>
        <w:jc w:val="both"/>
      </w:pPr>
      <w:r>
        <w:rPr/>
        <w:t>3.2</w:t>
      </w:r>
      <w:r>
        <w:rPr>
          <w:spacing w:val="-4"/>
        </w:rPr>
        <w:t> </w:t>
      </w:r>
      <w:r>
        <w:rPr/>
        <w:t>qualifies</w:t>
      </w:r>
      <w:r>
        <w:rPr>
          <w:spacing w:val="-4"/>
        </w:rPr>
        <w:t> </w:t>
      </w:r>
      <w:r>
        <w:rPr/>
        <w:t>the</w:t>
      </w:r>
      <w:r>
        <w:rPr>
          <w:spacing w:val="-3"/>
        </w:rPr>
        <w:t> </w:t>
      </w:r>
      <w:r>
        <w:rPr/>
        <w:t>disease</w:t>
      </w:r>
      <w:r>
        <w:rPr>
          <w:spacing w:val="-3"/>
        </w:rPr>
        <w:t> </w:t>
      </w:r>
      <w:r>
        <w:rPr/>
        <w:t>as</w:t>
      </w:r>
      <w:r>
        <w:rPr>
          <w:spacing w:val="-4"/>
        </w:rPr>
        <w:t> </w:t>
      </w:r>
      <w:r>
        <w:rPr/>
        <w:t>low</w:t>
      </w:r>
      <w:r>
        <w:rPr>
          <w:spacing w:val="-4"/>
        </w:rPr>
        <w:t> </w:t>
      </w:r>
      <w:r>
        <w:rPr>
          <w:spacing w:val="-2"/>
        </w:rPr>
        <w:t>active.</w:t>
      </w:r>
    </w:p>
    <w:p>
      <w:pPr>
        <w:pStyle w:val="BodyText"/>
        <w:spacing w:before="4"/>
      </w:pPr>
    </w:p>
    <w:p>
      <w:pPr>
        <w:pStyle w:val="Heading4"/>
        <w:jc w:val="both"/>
      </w:pPr>
      <w:r>
        <w:rPr/>
        <w:t>Laboratory</w:t>
      </w:r>
      <w:r>
        <w:rPr>
          <w:spacing w:val="-7"/>
        </w:rPr>
        <w:t> </w:t>
      </w:r>
      <w:r>
        <w:rPr>
          <w:spacing w:val="-2"/>
        </w:rPr>
        <w:t>assessment</w:t>
      </w:r>
    </w:p>
    <w:p>
      <w:pPr>
        <w:pStyle w:val="BodyText"/>
        <w:spacing w:before="6"/>
        <w:rPr>
          <w:b/>
          <w:sz w:val="20"/>
        </w:rPr>
      </w:pPr>
    </w:p>
    <w:p>
      <w:pPr>
        <w:pStyle w:val="BodyText"/>
        <w:spacing w:before="1"/>
        <w:ind w:left="238" w:right="38"/>
        <w:jc w:val="both"/>
      </w:pPr>
      <w:r>
        <w:rPr/>
        <w:t>For clinical assessment of the disease, it is necessary</w:t>
      </w:r>
      <w:r>
        <w:rPr>
          <w:spacing w:val="80"/>
        </w:rPr>
        <w:t> </w:t>
      </w:r>
      <w:r>
        <w:rPr/>
        <w:t>to consider the following laboratory variables: comp- lete blood count (CBC) and differential, acute phase reactants, ACPA antibodies,</w:t>
      </w:r>
      <w:r>
        <w:rPr>
          <w:spacing w:val="-1"/>
        </w:rPr>
        <w:t> </w:t>
      </w:r>
      <w:r>
        <w:rPr/>
        <w:t>C-reactive protein (CRP), rheumatoid</w:t>
      </w:r>
      <w:r>
        <w:rPr>
          <w:spacing w:val="-1"/>
        </w:rPr>
        <w:t> </w:t>
      </w:r>
      <w:r>
        <w:rPr/>
        <w:t>factor</w:t>
      </w:r>
      <w:r>
        <w:rPr>
          <w:spacing w:val="-1"/>
        </w:rPr>
        <w:t> </w:t>
      </w:r>
      <w:r>
        <w:rPr/>
        <w:t>(RF),</w:t>
      </w:r>
      <w:r>
        <w:rPr>
          <w:spacing w:val="-1"/>
        </w:rPr>
        <w:t> </w:t>
      </w:r>
      <w:r>
        <w:rPr/>
        <w:t>erythrocyte</w:t>
      </w:r>
      <w:r>
        <w:rPr>
          <w:spacing w:val="-1"/>
        </w:rPr>
        <w:t> </w:t>
      </w:r>
      <w:r>
        <w:rPr/>
        <w:t>sedimentation</w:t>
      </w:r>
      <w:r>
        <w:rPr>
          <w:spacing w:val="-1"/>
        </w:rPr>
        <w:t> </w:t>
      </w:r>
      <w:r>
        <w:rPr/>
        <w:t>rate (ESR),</w:t>
      </w:r>
      <w:r>
        <w:rPr>
          <w:spacing w:val="-12"/>
        </w:rPr>
        <w:t> </w:t>
      </w:r>
      <w:r>
        <w:rPr/>
        <w:t>alkaline</w:t>
      </w:r>
      <w:r>
        <w:rPr>
          <w:spacing w:val="-12"/>
        </w:rPr>
        <w:t> </w:t>
      </w:r>
      <w:r>
        <w:rPr/>
        <w:t>phosphatase</w:t>
      </w:r>
      <w:r>
        <w:rPr>
          <w:spacing w:val="-11"/>
        </w:rPr>
        <w:t> </w:t>
      </w:r>
      <w:r>
        <w:rPr/>
        <w:t>(AF),</w:t>
      </w:r>
      <w:r>
        <w:rPr>
          <w:spacing w:val="-12"/>
        </w:rPr>
        <w:t> </w:t>
      </w:r>
      <w:r>
        <w:rPr/>
        <w:t>aspartate</w:t>
      </w:r>
      <w:r>
        <w:rPr>
          <w:spacing w:val="-12"/>
        </w:rPr>
        <w:t> </w:t>
      </w:r>
      <w:r>
        <w:rPr/>
        <w:t>aminotran- sferase</w:t>
      </w:r>
      <w:r>
        <w:rPr>
          <w:spacing w:val="-11"/>
        </w:rPr>
        <w:t> </w:t>
      </w:r>
      <w:r>
        <w:rPr/>
        <w:t>(AST),</w:t>
      </w:r>
      <w:r>
        <w:rPr>
          <w:spacing w:val="-9"/>
        </w:rPr>
        <w:t> </w:t>
      </w:r>
      <w:r>
        <w:rPr/>
        <w:t>alanine</w:t>
      </w:r>
      <w:r>
        <w:rPr>
          <w:spacing w:val="-9"/>
        </w:rPr>
        <w:t> </w:t>
      </w:r>
      <w:r>
        <w:rPr/>
        <w:t>aminotransferase</w:t>
      </w:r>
      <w:r>
        <w:rPr>
          <w:spacing w:val="-9"/>
        </w:rPr>
        <w:t> </w:t>
      </w:r>
      <w:r>
        <w:rPr/>
        <w:t>(ALT),</w:t>
      </w:r>
      <w:r>
        <w:rPr>
          <w:spacing w:val="-8"/>
        </w:rPr>
        <w:t> </w:t>
      </w:r>
      <w:r>
        <w:rPr/>
        <w:t>create- ne kinase (CK), lactate dehydrogenase (LDH), urea/ serum, creatinine/serum.</w:t>
      </w:r>
    </w:p>
    <w:p>
      <w:pPr>
        <w:pStyle w:val="BodyText"/>
        <w:spacing w:before="4"/>
      </w:pPr>
    </w:p>
    <w:p>
      <w:pPr>
        <w:pStyle w:val="Heading4"/>
        <w:ind w:right="1165"/>
        <w:jc w:val="both"/>
      </w:pPr>
      <w:r>
        <w:rPr/>
        <w:t>Determination</w:t>
      </w:r>
      <w:r>
        <w:rPr>
          <w:spacing w:val="-11"/>
        </w:rPr>
        <w:t> </w:t>
      </w:r>
      <w:r>
        <w:rPr/>
        <w:t>of</w:t>
      </w:r>
      <w:r>
        <w:rPr>
          <w:spacing w:val="-10"/>
        </w:rPr>
        <w:t> </w:t>
      </w:r>
      <w:r>
        <w:rPr/>
        <w:t>microalbuminuria</w:t>
      </w:r>
      <w:r>
        <w:rPr>
          <w:spacing w:val="-11"/>
        </w:rPr>
        <w:t> </w:t>
      </w:r>
      <w:r>
        <w:rPr/>
        <w:t>by immunoturbidimetric</w:t>
      </w:r>
      <w:r>
        <w:rPr>
          <w:spacing w:val="-14"/>
        </w:rPr>
        <w:t> </w:t>
      </w:r>
      <w:r>
        <w:rPr/>
        <w:t>method</w:t>
      </w:r>
      <w:r>
        <w:rPr>
          <w:spacing w:val="-13"/>
        </w:rPr>
        <w:t> </w:t>
      </w:r>
      <w:r>
        <w:rPr/>
        <w:t>(Randox laboratories limited)</w:t>
      </w:r>
    </w:p>
    <w:p>
      <w:pPr>
        <w:pStyle w:val="BodyText"/>
        <w:spacing w:before="8"/>
        <w:rPr>
          <w:b/>
          <w:sz w:val="20"/>
        </w:rPr>
      </w:pPr>
    </w:p>
    <w:p>
      <w:pPr>
        <w:pStyle w:val="BodyText"/>
        <w:ind w:left="238"/>
        <w:jc w:val="both"/>
      </w:pPr>
      <w:r>
        <w:rPr/>
        <w:t>Reference</w:t>
      </w:r>
      <w:r>
        <w:rPr>
          <w:spacing w:val="-8"/>
        </w:rPr>
        <w:t> </w:t>
      </w:r>
      <w:r>
        <w:rPr/>
        <w:t>values:</w:t>
      </w:r>
      <w:r>
        <w:rPr>
          <w:spacing w:val="-6"/>
        </w:rPr>
        <w:t> </w:t>
      </w:r>
      <w:r>
        <w:rPr/>
        <w:t>Microalbuminuria</w:t>
      </w:r>
      <w:r>
        <w:rPr>
          <w:spacing w:val="-5"/>
        </w:rPr>
        <w:t> </w:t>
      </w:r>
      <w:r>
        <w:rPr/>
        <w:t>2.0-20.0</w:t>
      </w:r>
      <w:r>
        <w:rPr>
          <w:spacing w:val="-5"/>
        </w:rPr>
        <w:t> </w:t>
      </w:r>
      <w:r>
        <w:rPr/>
        <w:t>mg</w:t>
      </w:r>
      <w:r>
        <w:rPr>
          <w:spacing w:val="-5"/>
        </w:rPr>
        <w:t> </w:t>
      </w:r>
      <w:r>
        <w:rPr/>
        <w:t>/</w:t>
      </w:r>
      <w:r>
        <w:rPr>
          <w:spacing w:val="-4"/>
        </w:rPr>
        <w:t> </w:t>
      </w:r>
      <w:r>
        <w:rPr>
          <w:spacing w:val="-10"/>
        </w:rPr>
        <w:t>L</w:t>
      </w:r>
    </w:p>
    <w:p>
      <w:pPr>
        <w:pStyle w:val="BodyText"/>
        <w:spacing w:before="4"/>
      </w:pPr>
    </w:p>
    <w:p>
      <w:pPr>
        <w:pStyle w:val="Heading4"/>
        <w:tabs>
          <w:tab w:pos="1807" w:val="left" w:leader="none"/>
          <w:tab w:pos="2291" w:val="left" w:leader="none"/>
        </w:tabs>
        <w:spacing w:before="1"/>
        <w:ind w:right="38"/>
      </w:pPr>
      <w:r>
        <w:rPr>
          <w:spacing w:val="-2"/>
        </w:rPr>
        <w:t>Determination</w:t>
      </w:r>
      <w:r>
        <w:rPr/>
        <w:tab/>
      </w:r>
      <w:r>
        <w:rPr>
          <w:spacing w:val="-6"/>
        </w:rPr>
        <w:t>of</w:t>
      </w:r>
      <w:r>
        <w:rPr/>
        <w:tab/>
      </w:r>
      <w:r>
        <w:rPr>
          <w:spacing w:val="-6"/>
        </w:rPr>
        <w:t>N-acetyl-α-D-glucosaminidase </w:t>
      </w:r>
      <w:r>
        <w:rPr/>
        <w:t>(NAG) activity: colorimetric method (Roche) </w:t>
      </w:r>
      <w:r>
        <w:rPr>
          <w:spacing w:val="-2"/>
        </w:rPr>
        <w:t>Principle</w:t>
      </w:r>
    </w:p>
    <w:p>
      <w:pPr>
        <w:pStyle w:val="BodyText"/>
        <w:spacing w:before="92"/>
        <w:ind w:left="238" w:right="287"/>
      </w:pPr>
      <w:r>
        <w:rPr/>
        <w:br w:type="column"/>
      </w:r>
      <w:r>
        <w:rPr>
          <w:spacing w:val="-2"/>
        </w:rPr>
        <w:t>3-Cresolsulfonphthaleinyl-N-Acetyl-α-D- </w:t>
      </w:r>
      <w:r>
        <w:rPr/>
        <w:t>glucosaminide, as sodium salt, is hydrolyzed by NAG to</w:t>
      </w:r>
      <w:r>
        <w:rPr>
          <w:spacing w:val="40"/>
        </w:rPr>
        <w:t> </w:t>
      </w:r>
      <w:r>
        <w:rPr/>
        <w:t>release</w:t>
      </w:r>
      <w:r>
        <w:rPr>
          <w:spacing w:val="40"/>
        </w:rPr>
        <w:t> </w:t>
      </w:r>
      <w:r>
        <w:rPr/>
        <w:t>3-cresol-sulfonphthalein,</w:t>
      </w:r>
      <w:r>
        <w:rPr>
          <w:spacing w:val="40"/>
        </w:rPr>
        <w:t> </w:t>
      </w:r>
      <w:r>
        <w:rPr/>
        <w:t>sodium</w:t>
      </w:r>
      <w:r>
        <w:rPr>
          <w:spacing w:val="40"/>
        </w:rPr>
        <w:t> </w:t>
      </w:r>
      <w:r>
        <w:rPr/>
        <w:t>salt</w:t>
      </w:r>
      <w:r>
        <w:rPr>
          <w:spacing w:val="40"/>
        </w:rPr>
        <w:t> </w:t>
      </w:r>
      <w:r>
        <w:rPr/>
        <w:t>(3- cresol purple) which iphotometrically is measured at 5 nm</w:t>
      </w:r>
      <w:r>
        <w:rPr>
          <w:spacing w:val="29"/>
        </w:rPr>
        <w:t> </w:t>
      </w:r>
      <w:r>
        <w:rPr/>
        <w:t>(Roche</w:t>
      </w:r>
      <w:r>
        <w:rPr>
          <w:spacing w:val="33"/>
        </w:rPr>
        <w:t> </w:t>
      </w:r>
      <w:r>
        <w:rPr/>
        <w:t>mancheim</w:t>
      </w:r>
      <w:r>
        <w:rPr>
          <w:spacing w:val="29"/>
        </w:rPr>
        <w:t> </w:t>
      </w:r>
      <w:r>
        <w:rPr/>
        <w:t>kits).</w:t>
      </w:r>
      <w:r>
        <w:rPr>
          <w:spacing w:val="34"/>
        </w:rPr>
        <w:t> </w:t>
      </w:r>
      <w:r>
        <w:rPr/>
        <w:t>The</w:t>
      </w:r>
      <w:r>
        <w:rPr>
          <w:spacing w:val="33"/>
        </w:rPr>
        <w:t> </w:t>
      </w:r>
      <w:r>
        <w:rPr/>
        <w:t>urine</w:t>
      </w:r>
      <w:r>
        <w:rPr>
          <w:spacing w:val="33"/>
        </w:rPr>
        <w:t> </w:t>
      </w:r>
      <w:r>
        <w:rPr/>
        <w:t>that</w:t>
      </w:r>
      <w:r>
        <w:rPr>
          <w:spacing w:val="32"/>
        </w:rPr>
        <w:t> </w:t>
      </w:r>
      <w:r>
        <w:rPr/>
        <w:t>has</w:t>
      </w:r>
      <w:r>
        <w:rPr>
          <w:spacing w:val="32"/>
        </w:rPr>
        <w:t> </w:t>
      </w:r>
      <w:r>
        <w:rPr/>
        <w:t>been examined</w:t>
      </w:r>
      <w:r>
        <w:rPr>
          <w:spacing w:val="37"/>
        </w:rPr>
        <w:t> </w:t>
      </w:r>
      <w:r>
        <w:rPr/>
        <w:t>previously</w:t>
      </w:r>
      <w:r>
        <w:rPr>
          <w:spacing w:val="37"/>
        </w:rPr>
        <w:t> </w:t>
      </w:r>
      <w:r>
        <w:rPr/>
        <w:t>is</w:t>
      </w:r>
      <w:r>
        <w:rPr>
          <w:spacing w:val="37"/>
        </w:rPr>
        <w:t> </w:t>
      </w:r>
      <w:r>
        <w:rPr/>
        <w:t>centrifuged</w:t>
      </w:r>
      <w:r>
        <w:rPr>
          <w:spacing w:val="37"/>
        </w:rPr>
        <w:t> </w:t>
      </w:r>
      <w:r>
        <w:rPr/>
        <w:t>and</w:t>
      </w:r>
      <w:r>
        <w:rPr>
          <w:spacing w:val="37"/>
        </w:rPr>
        <w:t> </w:t>
      </w:r>
      <w:r>
        <w:rPr/>
        <w:t>supernatants are separated.</w:t>
      </w:r>
    </w:p>
    <w:p>
      <w:pPr>
        <w:pStyle w:val="BodyText"/>
        <w:ind w:left="238"/>
      </w:pPr>
      <w:r>
        <w:rPr/>
        <w:t>Reference values: NAG in urine 0.27-1.18 U / mmol </w:t>
      </w:r>
      <w:r>
        <w:rPr>
          <w:spacing w:val="-2"/>
        </w:rPr>
        <w:t>creatine.</w:t>
      </w:r>
    </w:p>
    <w:p>
      <w:pPr>
        <w:pStyle w:val="BodyText"/>
        <w:spacing w:before="4"/>
      </w:pPr>
    </w:p>
    <w:p>
      <w:pPr>
        <w:pStyle w:val="Heading4"/>
        <w:spacing w:before="1"/>
      </w:pPr>
      <w:r>
        <w:rPr/>
        <w:t>Statistical</w:t>
      </w:r>
      <w:r>
        <w:rPr>
          <w:spacing w:val="-12"/>
        </w:rPr>
        <w:t> </w:t>
      </w:r>
      <w:r>
        <w:rPr>
          <w:spacing w:val="-2"/>
        </w:rPr>
        <w:t>analysis</w:t>
      </w:r>
    </w:p>
    <w:p>
      <w:pPr>
        <w:pStyle w:val="BodyText"/>
        <w:spacing w:before="8"/>
        <w:rPr>
          <w:b/>
          <w:sz w:val="20"/>
        </w:rPr>
      </w:pPr>
    </w:p>
    <w:p>
      <w:pPr>
        <w:pStyle w:val="BodyText"/>
        <w:ind w:left="238" w:right="291"/>
        <w:jc w:val="both"/>
      </w:pPr>
      <w:r>
        <w:rPr/>
        <w:t>For testing the significance of the differences between two arithmetic means, i.e., the corresponding proportions, the Student’s t-test was used, when comparing the mean values of the given number of parameters between two groups, such as Wilcoxon- matched test for independent samples. Sensitivity and predictivity for positive and negative tests of the examined markers was determined with tests for sensitivity and specificity. The P value between 0.05 and 0.1 was considered statistically significant. The data analysis was made with the statistical package Statistica 7.0.</w:t>
      </w:r>
    </w:p>
    <w:p>
      <w:pPr>
        <w:pStyle w:val="BodyText"/>
        <w:spacing w:before="5"/>
      </w:pPr>
    </w:p>
    <w:p>
      <w:pPr>
        <w:pStyle w:val="Heading4"/>
      </w:pPr>
      <w:r>
        <w:rPr>
          <w:spacing w:val="-2"/>
        </w:rPr>
        <w:t>Results</w:t>
      </w:r>
    </w:p>
    <w:p>
      <w:pPr>
        <w:pStyle w:val="BodyText"/>
        <w:spacing w:before="9"/>
        <w:rPr>
          <w:b/>
          <w:sz w:val="20"/>
        </w:rPr>
      </w:pPr>
    </w:p>
    <w:p>
      <w:pPr>
        <w:pStyle w:val="BodyText"/>
        <w:ind w:left="238" w:right="292"/>
        <w:jc w:val="both"/>
      </w:pPr>
      <w:r>
        <w:rPr/>
        <w:t>Pearson’s analysis of </w:t>
      </w:r>
      <w:r>
        <w:rPr>
          <w:rFonts w:ascii="Symbol" w:hAnsi="Symbol"/>
        </w:rPr>
        <w:t></w:t>
      </w:r>
      <w:r>
        <w:rPr/>
        <w:t>2 test showed that there was a moderate correlation between NAG and microalbuminuria (r=0.21) in the four samples tested during the period of 8 weeks in patients group treated only with Etoricoxib, while there was a statistically significant correlation (r=0.28) between increase in NAG</w:t>
      </w:r>
      <w:r>
        <w:rPr>
          <w:spacing w:val="-2"/>
        </w:rPr>
        <w:t> </w:t>
      </w:r>
      <w:r>
        <w:rPr/>
        <w:t>and</w:t>
      </w:r>
      <w:r>
        <w:rPr>
          <w:spacing w:val="-3"/>
        </w:rPr>
        <w:t> </w:t>
      </w:r>
      <w:r>
        <w:rPr/>
        <w:t>microalbuminuria</w:t>
      </w:r>
      <w:r>
        <w:rPr>
          <w:spacing w:val="-1"/>
        </w:rPr>
        <w:t> </w:t>
      </w:r>
      <w:r>
        <w:rPr/>
        <w:t>values in</w:t>
      </w:r>
      <w:r>
        <w:rPr>
          <w:spacing w:val="-3"/>
        </w:rPr>
        <w:t> </w:t>
      </w:r>
      <w:r>
        <w:rPr/>
        <w:t>the</w:t>
      </w:r>
      <w:r>
        <w:rPr>
          <w:spacing w:val="-3"/>
        </w:rPr>
        <w:t> </w:t>
      </w:r>
      <w:r>
        <w:rPr/>
        <w:t>four</w:t>
      </w:r>
      <w:r>
        <w:rPr>
          <w:spacing w:val="-4"/>
        </w:rPr>
        <w:t> </w:t>
      </w:r>
      <w:r>
        <w:rPr/>
        <w:t>samples in the period of 8 weeks in the group treated with Diclofenac (Figure 1).</w:t>
      </w:r>
    </w:p>
    <w:p>
      <w:pPr>
        <w:spacing w:after="0"/>
        <w:jc w:val="both"/>
        <w:sectPr>
          <w:type w:val="continuous"/>
          <w:pgSz w:w="11910" w:h="16840"/>
          <w:pgMar w:header="854" w:footer="0" w:top="740" w:bottom="0" w:left="900" w:right="840"/>
          <w:cols w:num="2" w:equalWidth="0">
            <w:col w:w="4919" w:space="79"/>
            <w:col w:w="517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spacing w:before="93"/>
        <w:ind w:left="1814" w:right="1141" w:firstLine="45"/>
        <w:jc w:val="left"/>
        <w:rPr>
          <w:sz w:val="18"/>
        </w:rPr>
      </w:pPr>
      <w:r>
        <w:rPr/>
        <w:pict>
          <v:group style="position:absolute;margin-left:130.509995pt;margin-top:-176.962387pt;width:334.5pt;height:181.75pt;mso-position-horizontal-relative:page;mso-position-vertical-relative:paragraph;z-index:15747072" id="docshapegroup527" coordorigin="2610,-3539" coordsize="6690,3635">
            <v:shape style="position:absolute;left:2610;top:-3540;width:6690;height:3635" type="#_x0000_t75" id="docshape528" stroked="false">
              <v:imagedata r:id="rId479" o:title=""/>
            </v:shape>
            <v:shape style="position:absolute;left:5224;top:-3462;width:560;height:175" type="#_x0000_t202" id="docshape529" filled="false" stroked="false">
              <v:textbox inset="0,0,0,0">
                <w:txbxContent>
                  <w:p>
                    <w:pPr>
                      <w:spacing w:before="1"/>
                      <w:ind w:left="0" w:right="0" w:firstLine="0"/>
                      <w:jc w:val="left"/>
                      <w:rPr>
                        <w:rFonts w:ascii="Arial"/>
                        <w:sz w:val="15"/>
                      </w:rPr>
                    </w:pPr>
                    <w:r>
                      <w:rPr>
                        <w:rFonts w:ascii="Arial"/>
                        <w:w w:val="105"/>
                        <w:sz w:val="15"/>
                      </w:rPr>
                      <w:t>r</w:t>
                    </w:r>
                    <w:r>
                      <w:rPr>
                        <w:rFonts w:ascii="Arial"/>
                        <w:spacing w:val="-7"/>
                        <w:w w:val="105"/>
                        <w:sz w:val="15"/>
                      </w:rPr>
                      <w:t> </w:t>
                    </w:r>
                    <w:r>
                      <w:rPr>
                        <w:rFonts w:ascii="Arial"/>
                        <w:w w:val="105"/>
                        <w:sz w:val="15"/>
                      </w:rPr>
                      <w:t>=</w:t>
                    </w:r>
                    <w:r>
                      <w:rPr>
                        <w:rFonts w:ascii="Arial"/>
                        <w:spacing w:val="-3"/>
                        <w:w w:val="105"/>
                        <w:sz w:val="15"/>
                      </w:rPr>
                      <w:t> </w:t>
                    </w:r>
                    <w:r>
                      <w:rPr>
                        <w:rFonts w:ascii="Arial"/>
                        <w:spacing w:val="-4"/>
                        <w:w w:val="105"/>
                        <w:sz w:val="15"/>
                      </w:rPr>
                      <w:t>0,21</w:t>
                    </w:r>
                  </w:p>
                </w:txbxContent>
              </v:textbox>
              <w10:wrap type="none"/>
            </v:shape>
            <v:shape style="position:absolute;left:2999;top:-3186;width:378;height:2885" type="#_x0000_t202" id="docshape530" filled="false" stroked="false">
              <v:textbox inset="0,0,0,0">
                <w:txbxContent>
                  <w:p>
                    <w:pPr>
                      <w:spacing w:line="146" w:lineRule="exact" w:before="0"/>
                      <w:ind w:left="0" w:right="0" w:firstLine="0"/>
                      <w:jc w:val="left"/>
                      <w:rPr>
                        <w:rFonts w:ascii="Arial"/>
                        <w:sz w:val="13"/>
                      </w:rPr>
                    </w:pPr>
                    <w:r>
                      <w:rPr>
                        <w:rFonts w:ascii="Arial"/>
                        <w:spacing w:val="-5"/>
                        <w:sz w:val="13"/>
                      </w:rPr>
                      <w:t>65</w:t>
                    </w:r>
                  </w:p>
                  <w:p>
                    <w:pPr>
                      <w:spacing w:line="240" w:lineRule="auto" w:before="2"/>
                      <w:rPr>
                        <w:rFonts w:ascii="Arial"/>
                        <w:sz w:val="19"/>
                      </w:rPr>
                    </w:pPr>
                  </w:p>
                  <w:p>
                    <w:pPr>
                      <w:spacing w:before="0"/>
                      <w:ind w:left="0" w:right="0" w:firstLine="0"/>
                      <w:jc w:val="left"/>
                      <w:rPr>
                        <w:rFonts w:ascii="Arial"/>
                        <w:sz w:val="13"/>
                      </w:rPr>
                    </w:pPr>
                    <w:r>
                      <w:rPr>
                        <w:rFonts w:ascii="Arial"/>
                        <w:spacing w:val="-5"/>
                        <w:sz w:val="13"/>
                      </w:rPr>
                      <w:t>55</w:t>
                    </w:r>
                  </w:p>
                  <w:p>
                    <w:pPr>
                      <w:spacing w:line="240" w:lineRule="auto" w:before="3"/>
                      <w:rPr>
                        <w:rFonts w:ascii="Arial"/>
                        <w:sz w:val="19"/>
                      </w:rPr>
                    </w:pPr>
                  </w:p>
                  <w:p>
                    <w:pPr>
                      <w:spacing w:before="0"/>
                      <w:ind w:left="0" w:right="0" w:firstLine="0"/>
                      <w:jc w:val="left"/>
                      <w:rPr>
                        <w:rFonts w:ascii="Arial"/>
                        <w:sz w:val="13"/>
                      </w:rPr>
                    </w:pPr>
                    <w:r>
                      <w:rPr>
                        <w:rFonts w:ascii="Arial"/>
                        <w:spacing w:val="-5"/>
                        <w:sz w:val="13"/>
                      </w:rPr>
                      <w:t>45</w:t>
                    </w:r>
                  </w:p>
                  <w:p>
                    <w:pPr>
                      <w:spacing w:line="240" w:lineRule="auto" w:before="2"/>
                      <w:rPr>
                        <w:rFonts w:ascii="Arial"/>
                        <w:sz w:val="19"/>
                      </w:rPr>
                    </w:pPr>
                  </w:p>
                  <w:p>
                    <w:pPr>
                      <w:spacing w:before="0"/>
                      <w:ind w:left="0" w:right="0" w:firstLine="0"/>
                      <w:jc w:val="left"/>
                      <w:rPr>
                        <w:rFonts w:ascii="Arial"/>
                        <w:sz w:val="13"/>
                      </w:rPr>
                    </w:pPr>
                    <w:r>
                      <w:rPr>
                        <w:rFonts w:ascii="Arial"/>
                        <w:spacing w:val="-5"/>
                        <w:sz w:val="13"/>
                      </w:rPr>
                      <w:t>35</w:t>
                    </w:r>
                  </w:p>
                  <w:p>
                    <w:pPr>
                      <w:spacing w:line="240" w:lineRule="auto" w:before="3"/>
                      <w:rPr>
                        <w:rFonts w:ascii="Arial"/>
                        <w:sz w:val="19"/>
                      </w:rPr>
                    </w:pPr>
                  </w:p>
                  <w:p>
                    <w:pPr>
                      <w:spacing w:before="0"/>
                      <w:ind w:left="0" w:right="0" w:firstLine="0"/>
                      <w:jc w:val="left"/>
                      <w:rPr>
                        <w:rFonts w:ascii="Arial"/>
                        <w:sz w:val="13"/>
                      </w:rPr>
                    </w:pPr>
                    <w:r>
                      <w:rPr>
                        <w:rFonts w:ascii="Arial"/>
                        <w:spacing w:val="-5"/>
                        <w:sz w:val="13"/>
                      </w:rPr>
                      <w:t>25</w:t>
                    </w:r>
                  </w:p>
                  <w:p>
                    <w:pPr>
                      <w:spacing w:line="240" w:lineRule="auto" w:before="2"/>
                      <w:rPr>
                        <w:rFonts w:ascii="Arial"/>
                        <w:sz w:val="19"/>
                      </w:rPr>
                    </w:pPr>
                  </w:p>
                  <w:p>
                    <w:pPr>
                      <w:spacing w:before="0"/>
                      <w:ind w:left="0" w:right="0" w:firstLine="0"/>
                      <w:jc w:val="left"/>
                      <w:rPr>
                        <w:rFonts w:ascii="Arial"/>
                        <w:sz w:val="13"/>
                      </w:rPr>
                    </w:pPr>
                    <w:r>
                      <w:rPr>
                        <w:rFonts w:ascii="Arial"/>
                        <w:spacing w:val="-5"/>
                        <w:sz w:val="13"/>
                      </w:rPr>
                      <w:t>15</w:t>
                    </w:r>
                  </w:p>
                  <w:p>
                    <w:pPr>
                      <w:spacing w:line="240" w:lineRule="auto" w:before="3"/>
                      <w:rPr>
                        <w:rFonts w:ascii="Arial"/>
                        <w:sz w:val="19"/>
                      </w:rPr>
                    </w:pPr>
                  </w:p>
                  <w:p>
                    <w:pPr>
                      <w:spacing w:before="0"/>
                      <w:ind w:left="79" w:right="0" w:firstLine="0"/>
                      <w:jc w:val="left"/>
                      <w:rPr>
                        <w:rFonts w:ascii="Arial"/>
                        <w:sz w:val="13"/>
                      </w:rPr>
                    </w:pPr>
                    <w:r>
                      <w:rPr>
                        <w:rFonts w:ascii="Arial"/>
                        <w:w w:val="102"/>
                        <w:sz w:val="13"/>
                      </w:rPr>
                      <w:t>5</w:t>
                    </w:r>
                  </w:p>
                  <w:p>
                    <w:pPr>
                      <w:spacing w:line="240" w:lineRule="auto" w:before="2"/>
                      <w:rPr>
                        <w:rFonts w:ascii="Arial"/>
                        <w:sz w:val="19"/>
                      </w:rPr>
                    </w:pPr>
                  </w:p>
                  <w:p>
                    <w:pPr>
                      <w:spacing w:line="148" w:lineRule="exact" w:before="0"/>
                      <w:ind w:left="39" w:right="0" w:firstLine="0"/>
                      <w:jc w:val="left"/>
                      <w:rPr>
                        <w:rFonts w:ascii="Arial"/>
                        <w:sz w:val="13"/>
                      </w:rPr>
                    </w:pPr>
                    <w:r>
                      <w:rPr>
                        <w:rFonts w:ascii="Arial"/>
                        <w:sz w:val="13"/>
                      </w:rPr>
                      <w:t>-</w:t>
                    </w:r>
                    <w:r>
                      <w:rPr>
                        <w:rFonts w:ascii="Arial"/>
                        <w:spacing w:val="-10"/>
                        <w:sz w:val="13"/>
                      </w:rPr>
                      <w:t>5</w:t>
                    </w:r>
                  </w:p>
                  <w:p>
                    <w:pPr>
                      <w:spacing w:line="148" w:lineRule="exact" w:before="0"/>
                      <w:ind w:left="118" w:right="0" w:firstLine="0"/>
                      <w:jc w:val="left"/>
                      <w:rPr>
                        <w:rFonts w:ascii="Arial"/>
                        <w:sz w:val="13"/>
                      </w:rPr>
                    </w:pPr>
                    <w:r>
                      <w:rPr>
                        <w:rFonts w:ascii="Arial"/>
                        <w:sz w:val="13"/>
                      </w:rPr>
                      <w:t>-</w:t>
                    </w:r>
                    <w:r>
                      <w:rPr>
                        <w:rFonts w:ascii="Arial"/>
                        <w:spacing w:val="-5"/>
                        <w:sz w:val="13"/>
                      </w:rPr>
                      <w:t>0.5</w:t>
                    </w:r>
                  </w:p>
                </w:txbxContent>
              </v:textbox>
              <w10:wrap type="none"/>
            </v:shape>
            <v:shape style="position:absolute;left:3797;top:-447;width:214;height:146" type="#_x0000_t202" id="docshape531" filled="false" stroked="false">
              <v:textbox inset="0,0,0,0">
                <w:txbxContent>
                  <w:p>
                    <w:pPr>
                      <w:spacing w:line="146" w:lineRule="exact" w:before="0"/>
                      <w:ind w:left="0" w:right="0" w:firstLine="0"/>
                      <w:jc w:val="left"/>
                      <w:rPr>
                        <w:rFonts w:ascii="Arial"/>
                        <w:sz w:val="13"/>
                      </w:rPr>
                    </w:pPr>
                    <w:r>
                      <w:rPr>
                        <w:rFonts w:ascii="Arial"/>
                        <w:spacing w:val="-5"/>
                        <w:sz w:val="13"/>
                      </w:rPr>
                      <w:t>0.5</w:t>
                    </w:r>
                  </w:p>
                </w:txbxContent>
              </v:textbox>
              <w10:wrap type="none"/>
            </v:shape>
            <v:shape style="position:absolute;left:4458;top:-447;width:214;height:146" type="#_x0000_t202" id="docshape532" filled="false" stroked="false">
              <v:textbox inset="0,0,0,0">
                <w:txbxContent>
                  <w:p>
                    <w:pPr>
                      <w:spacing w:line="146" w:lineRule="exact" w:before="0"/>
                      <w:ind w:left="0" w:right="0" w:firstLine="0"/>
                      <w:jc w:val="left"/>
                      <w:rPr>
                        <w:rFonts w:ascii="Arial"/>
                        <w:sz w:val="13"/>
                      </w:rPr>
                    </w:pPr>
                    <w:r>
                      <w:rPr>
                        <w:rFonts w:ascii="Arial"/>
                        <w:spacing w:val="-5"/>
                        <w:sz w:val="13"/>
                      </w:rPr>
                      <w:t>1.5</w:t>
                    </w:r>
                  </w:p>
                </w:txbxContent>
              </v:textbox>
              <w10:wrap type="none"/>
            </v:shape>
            <v:shape style="position:absolute;left:5118;top:-447;width:214;height:146" type="#_x0000_t202" id="docshape533" filled="false" stroked="false">
              <v:textbox inset="0,0,0,0">
                <w:txbxContent>
                  <w:p>
                    <w:pPr>
                      <w:spacing w:line="146" w:lineRule="exact" w:before="0"/>
                      <w:ind w:left="0" w:right="0" w:firstLine="0"/>
                      <w:jc w:val="left"/>
                      <w:rPr>
                        <w:rFonts w:ascii="Arial"/>
                        <w:sz w:val="13"/>
                      </w:rPr>
                    </w:pPr>
                    <w:r>
                      <w:rPr>
                        <w:rFonts w:ascii="Arial"/>
                        <w:spacing w:val="-5"/>
                        <w:sz w:val="13"/>
                      </w:rPr>
                      <w:t>2.5</w:t>
                    </w:r>
                  </w:p>
                </w:txbxContent>
              </v:textbox>
              <w10:wrap type="none"/>
            </v:shape>
            <v:shape style="position:absolute;left:5778;top:-447;width:214;height:146" type="#_x0000_t202" id="docshape534" filled="false" stroked="false">
              <v:textbox inset="0,0,0,0">
                <w:txbxContent>
                  <w:p>
                    <w:pPr>
                      <w:spacing w:line="146" w:lineRule="exact" w:before="0"/>
                      <w:ind w:left="0" w:right="0" w:firstLine="0"/>
                      <w:jc w:val="left"/>
                      <w:rPr>
                        <w:rFonts w:ascii="Arial"/>
                        <w:sz w:val="13"/>
                      </w:rPr>
                    </w:pPr>
                    <w:r>
                      <w:rPr>
                        <w:rFonts w:ascii="Arial"/>
                        <w:spacing w:val="-5"/>
                        <w:sz w:val="13"/>
                      </w:rPr>
                      <w:t>3.5</w:t>
                    </w:r>
                  </w:p>
                </w:txbxContent>
              </v:textbox>
              <w10:wrap type="none"/>
            </v:shape>
            <v:shape style="position:absolute;left:6438;top:-447;width:214;height:146" type="#_x0000_t202" id="docshape535" filled="false" stroked="false">
              <v:textbox inset="0,0,0,0">
                <w:txbxContent>
                  <w:p>
                    <w:pPr>
                      <w:spacing w:line="146" w:lineRule="exact" w:before="0"/>
                      <w:ind w:left="0" w:right="0" w:firstLine="0"/>
                      <w:jc w:val="left"/>
                      <w:rPr>
                        <w:rFonts w:ascii="Arial"/>
                        <w:sz w:val="13"/>
                      </w:rPr>
                    </w:pPr>
                    <w:r>
                      <w:rPr>
                        <w:rFonts w:ascii="Arial"/>
                        <w:spacing w:val="-5"/>
                        <w:sz w:val="13"/>
                      </w:rPr>
                      <w:t>4.5</w:t>
                    </w:r>
                  </w:p>
                </w:txbxContent>
              </v:textbox>
              <w10:wrap type="none"/>
            </v:shape>
            <v:shape style="position:absolute;left:7099;top:-447;width:214;height:146" type="#_x0000_t202" id="docshape536" filled="false" stroked="false">
              <v:textbox inset="0,0,0,0">
                <w:txbxContent>
                  <w:p>
                    <w:pPr>
                      <w:spacing w:line="146" w:lineRule="exact" w:before="0"/>
                      <w:ind w:left="0" w:right="0" w:firstLine="0"/>
                      <w:jc w:val="left"/>
                      <w:rPr>
                        <w:rFonts w:ascii="Arial"/>
                        <w:sz w:val="13"/>
                      </w:rPr>
                    </w:pPr>
                    <w:r>
                      <w:rPr>
                        <w:rFonts w:ascii="Arial"/>
                        <w:spacing w:val="-5"/>
                        <w:sz w:val="13"/>
                      </w:rPr>
                      <w:t>5.5</w:t>
                    </w:r>
                  </w:p>
                </w:txbxContent>
              </v:textbox>
              <w10:wrap type="none"/>
            </v:shape>
            <v:shape style="position:absolute;left:7759;top:-447;width:214;height:146" type="#_x0000_t202" id="docshape537" filled="false" stroked="false">
              <v:textbox inset="0,0,0,0">
                <w:txbxContent>
                  <w:p>
                    <w:pPr>
                      <w:spacing w:line="146" w:lineRule="exact" w:before="0"/>
                      <w:ind w:left="0" w:right="0" w:firstLine="0"/>
                      <w:jc w:val="left"/>
                      <w:rPr>
                        <w:rFonts w:ascii="Arial"/>
                        <w:sz w:val="13"/>
                      </w:rPr>
                    </w:pPr>
                    <w:r>
                      <w:rPr>
                        <w:rFonts w:ascii="Arial"/>
                        <w:spacing w:val="-5"/>
                        <w:sz w:val="13"/>
                      </w:rPr>
                      <w:t>6.5</w:t>
                    </w:r>
                  </w:p>
                </w:txbxContent>
              </v:textbox>
              <w10:wrap type="none"/>
            </v:shape>
            <v:shape style="position:absolute;left:8451;top:-659;width:760;height:320" type="#_x0000_t202" id="docshape538" filled="false" stroked="false">
              <v:textbox inset="0,0,0,0">
                <w:txbxContent>
                  <w:p>
                    <w:pPr>
                      <w:spacing w:line="278" w:lineRule="auto" w:before="0"/>
                      <w:ind w:left="0" w:right="0" w:firstLine="0"/>
                      <w:jc w:val="left"/>
                      <w:rPr>
                        <w:rFonts w:ascii="Arial"/>
                        <w:sz w:val="13"/>
                      </w:rPr>
                    </w:pPr>
                    <w:r>
                      <w:rPr>
                        <w:rFonts w:ascii="Arial"/>
                        <w:spacing w:val="-2"/>
                        <w:sz w:val="13"/>
                      </w:rPr>
                      <w:t>Regression</w:t>
                    </w:r>
                    <w:r>
                      <w:rPr>
                        <w:rFonts w:ascii="Arial"/>
                        <w:spacing w:val="40"/>
                        <w:sz w:val="13"/>
                      </w:rPr>
                      <w:t> </w:t>
                    </w:r>
                    <w:r>
                      <w:rPr>
                        <w:rFonts w:ascii="Arial"/>
                        <w:sz w:val="13"/>
                      </w:rPr>
                      <w:t>95%</w:t>
                    </w:r>
                    <w:r>
                      <w:rPr>
                        <w:rFonts w:ascii="Arial"/>
                        <w:spacing w:val="21"/>
                        <w:sz w:val="13"/>
                      </w:rPr>
                      <w:t> </w:t>
                    </w:r>
                    <w:r>
                      <w:rPr>
                        <w:rFonts w:ascii="Arial"/>
                        <w:sz w:val="13"/>
                      </w:rPr>
                      <w:t>conf</w:t>
                    </w:r>
                    <w:r>
                      <w:rPr>
                        <w:rFonts w:ascii="Arial"/>
                        <w:spacing w:val="-8"/>
                        <w:sz w:val="13"/>
                      </w:rPr>
                      <w:t> </w:t>
                    </w:r>
                    <w:r>
                      <w:rPr>
                        <w:rFonts w:ascii="Arial"/>
                        <w:spacing w:val="-5"/>
                        <w:sz w:val="13"/>
                      </w:rPr>
                      <w:t>id.</w:t>
                    </w:r>
                  </w:p>
                </w:txbxContent>
              </v:textbox>
              <w10:wrap type="none"/>
            </v:shape>
            <v:shape style="position:absolute;left:5331;top:-182;width:356;height:175" type="#_x0000_t202" id="docshape539" filled="false" stroked="false">
              <v:textbox inset="0,0,0,0">
                <w:txbxContent>
                  <w:p>
                    <w:pPr>
                      <w:spacing w:before="1"/>
                      <w:ind w:left="0" w:right="0" w:firstLine="0"/>
                      <w:jc w:val="left"/>
                      <w:rPr>
                        <w:rFonts w:ascii="Arial"/>
                        <w:sz w:val="15"/>
                      </w:rPr>
                    </w:pPr>
                    <w:r>
                      <w:rPr>
                        <w:rFonts w:ascii="Arial"/>
                        <w:spacing w:val="-5"/>
                        <w:w w:val="105"/>
                        <w:sz w:val="15"/>
                      </w:rPr>
                      <w:t>NAG</w:t>
                    </w:r>
                  </w:p>
                </w:txbxContent>
              </v:textbox>
              <w10:wrap type="none"/>
            </v:shape>
            <w10:wrap type="none"/>
          </v:group>
        </w:pict>
      </w:r>
      <w:r>
        <w:rPr/>
        <w:pict>
          <v:shape style="position:absolute;margin-left:133.493469pt;margin-top:-128.716599pt;width:10.75pt;height:88.15pt;mso-position-horizontal-relative:page;mso-position-vertical-relative:paragraph;z-index:15747584" type="#_x0000_t202" id="docshape540" filled="false" stroked="false">
            <v:textbox inset="0,0,0,0" style="layout-flow:vertical;mso-layout-flow-alt:bottom-to-top">
              <w:txbxContent>
                <w:p>
                  <w:pPr>
                    <w:spacing w:before="21"/>
                    <w:ind w:left="20" w:right="0" w:firstLine="0"/>
                    <w:jc w:val="left"/>
                    <w:rPr>
                      <w:rFonts w:ascii="Arial"/>
                      <w:sz w:val="15"/>
                    </w:rPr>
                  </w:pPr>
                  <w:r>
                    <w:rPr>
                      <w:rFonts w:ascii="Arial"/>
                      <w:w w:val="105"/>
                      <w:sz w:val="15"/>
                    </w:rPr>
                    <w:t>microalbuminuria</w:t>
                  </w:r>
                  <w:r>
                    <w:rPr>
                      <w:rFonts w:ascii="Arial"/>
                      <w:spacing w:val="-2"/>
                      <w:w w:val="105"/>
                      <w:sz w:val="15"/>
                    </w:rPr>
                    <w:t> (mg/L)</w:t>
                  </w:r>
                </w:p>
              </w:txbxContent>
            </v:textbox>
            <w10:wrap type="none"/>
          </v:shape>
        </w:pict>
      </w:r>
      <w:r>
        <w:rPr>
          <w:b/>
          <w:sz w:val="18"/>
        </w:rPr>
        <w:t>Fig. 1. </w:t>
      </w:r>
      <w:r>
        <w:rPr>
          <w:sz w:val="18"/>
        </w:rPr>
        <w:t>Pearson’s coefficient of correlation (r) between NAG and microalbuminuria values in the groups</w:t>
      </w:r>
      <w:r>
        <w:rPr>
          <w:spacing w:val="-5"/>
          <w:sz w:val="18"/>
        </w:rPr>
        <w:t> </w:t>
      </w:r>
      <w:r>
        <w:rPr>
          <w:sz w:val="18"/>
        </w:rPr>
        <w:t>treated</w:t>
      </w:r>
      <w:r>
        <w:rPr>
          <w:spacing w:val="-3"/>
          <w:sz w:val="18"/>
        </w:rPr>
        <w:t> </w:t>
      </w:r>
      <w:r>
        <w:rPr>
          <w:sz w:val="18"/>
        </w:rPr>
        <w:t>with</w:t>
      </w:r>
      <w:r>
        <w:rPr>
          <w:spacing w:val="-3"/>
          <w:sz w:val="18"/>
        </w:rPr>
        <w:t> </w:t>
      </w:r>
      <w:r>
        <w:rPr>
          <w:sz w:val="18"/>
        </w:rPr>
        <w:t>Etoricoxib.</w:t>
      </w:r>
      <w:r>
        <w:rPr>
          <w:spacing w:val="-6"/>
          <w:sz w:val="18"/>
        </w:rPr>
        <w:t> </w:t>
      </w:r>
      <w:r>
        <w:rPr>
          <w:sz w:val="18"/>
        </w:rPr>
        <w:t>There</w:t>
      </w:r>
      <w:r>
        <w:rPr>
          <w:spacing w:val="-5"/>
          <w:sz w:val="18"/>
        </w:rPr>
        <w:t> </w:t>
      </w:r>
      <w:r>
        <w:rPr>
          <w:sz w:val="18"/>
        </w:rPr>
        <w:t>is</w:t>
      </w:r>
      <w:r>
        <w:rPr>
          <w:spacing w:val="-4"/>
          <w:sz w:val="18"/>
        </w:rPr>
        <w:t> </w:t>
      </w:r>
      <w:r>
        <w:rPr>
          <w:sz w:val="18"/>
        </w:rPr>
        <w:t>correlation</w:t>
      </w:r>
      <w:r>
        <w:rPr>
          <w:spacing w:val="-3"/>
          <w:sz w:val="18"/>
        </w:rPr>
        <w:t> </w:t>
      </w:r>
      <w:r>
        <w:rPr>
          <w:sz w:val="18"/>
        </w:rPr>
        <w:t>between</w:t>
      </w:r>
      <w:r>
        <w:rPr>
          <w:spacing w:val="-3"/>
          <w:sz w:val="18"/>
        </w:rPr>
        <w:t> </w:t>
      </w:r>
      <w:r>
        <w:rPr>
          <w:sz w:val="18"/>
        </w:rPr>
        <w:t>NAG</w:t>
      </w:r>
      <w:r>
        <w:rPr>
          <w:spacing w:val="-7"/>
          <w:sz w:val="18"/>
        </w:rPr>
        <w:t> </w:t>
      </w:r>
      <w:r>
        <w:rPr>
          <w:sz w:val="18"/>
        </w:rPr>
        <w:t>and</w:t>
      </w:r>
      <w:r>
        <w:rPr>
          <w:spacing w:val="-3"/>
          <w:sz w:val="18"/>
        </w:rPr>
        <w:t> </w:t>
      </w:r>
      <w:r>
        <w:rPr>
          <w:sz w:val="18"/>
        </w:rPr>
        <w:t>microalbuminuria</w:t>
      </w:r>
      <w:r>
        <w:rPr>
          <w:spacing w:val="-4"/>
          <w:sz w:val="18"/>
        </w:rPr>
        <w:t> </w:t>
      </w:r>
      <w:r>
        <w:rPr>
          <w:sz w:val="18"/>
        </w:rPr>
        <w:t>(r=0.21).</w:t>
      </w:r>
    </w:p>
    <w:p>
      <w:pPr>
        <w:spacing w:after="0"/>
        <w:jc w:val="left"/>
        <w:rPr>
          <w:sz w:val="18"/>
        </w:rPr>
        <w:sectPr>
          <w:type w:val="continuous"/>
          <w:pgSz w:w="11910" w:h="16840"/>
          <w:pgMar w:header="854" w:footer="0" w:top="740" w:bottom="0" w:left="900" w:right="840"/>
        </w:sectPr>
      </w:pPr>
    </w:p>
    <w:p>
      <w:pPr>
        <w:pStyle w:val="BodyText"/>
        <w:spacing w:before="5"/>
        <w:rPr>
          <w:sz w:val="15"/>
        </w:rPr>
      </w:pPr>
    </w:p>
    <w:p>
      <w:pPr>
        <w:spacing w:after="0"/>
        <w:rPr>
          <w:sz w:val="15"/>
        </w:rPr>
        <w:sectPr>
          <w:pgSz w:w="11910" w:h="16840"/>
          <w:pgMar w:header="854" w:footer="0" w:top="1300" w:bottom="280" w:left="900" w:right="840"/>
        </w:sectPr>
      </w:pPr>
    </w:p>
    <w:p>
      <w:pPr>
        <w:pStyle w:val="BodyText"/>
        <w:spacing w:before="10"/>
        <w:rPr>
          <w:sz w:val="28"/>
        </w:rPr>
      </w:pPr>
    </w:p>
    <w:p>
      <w:pPr>
        <w:pStyle w:val="BodyText"/>
        <w:ind w:left="238" w:right="40"/>
        <w:jc w:val="both"/>
      </w:pPr>
      <w:r>
        <w:rPr/>
        <w:t>When testing the significance of the differences in the two groups in the null probe, in the group of patients treated with Etoricoxib, the mean value of microalbu- minuria was 0.46±0.37, while in the group of patients treated</w:t>
      </w:r>
      <w:r>
        <w:rPr>
          <w:spacing w:val="-7"/>
        </w:rPr>
        <w:t> </w:t>
      </w:r>
      <w:r>
        <w:rPr/>
        <w:t>with</w:t>
      </w:r>
      <w:r>
        <w:rPr>
          <w:spacing w:val="-8"/>
        </w:rPr>
        <w:t> </w:t>
      </w:r>
      <w:r>
        <w:rPr/>
        <w:t>Diclofenac</w:t>
      </w:r>
      <w:r>
        <w:rPr>
          <w:spacing w:val="-7"/>
        </w:rPr>
        <w:t> </w:t>
      </w:r>
      <w:r>
        <w:rPr/>
        <w:t>it</w:t>
      </w:r>
      <w:r>
        <w:rPr>
          <w:spacing w:val="-8"/>
        </w:rPr>
        <w:t> </w:t>
      </w:r>
      <w:r>
        <w:rPr/>
        <w:t>was</w:t>
      </w:r>
      <w:r>
        <w:rPr>
          <w:spacing w:val="-9"/>
        </w:rPr>
        <w:t> </w:t>
      </w:r>
      <w:r>
        <w:rPr/>
        <w:t>0.56±0.41.</w:t>
      </w:r>
      <w:r>
        <w:rPr>
          <w:spacing w:val="-7"/>
        </w:rPr>
        <w:t> </w:t>
      </w:r>
      <w:r>
        <w:rPr/>
        <w:t>This</w:t>
      </w:r>
      <w:r>
        <w:rPr>
          <w:spacing w:val="-7"/>
        </w:rPr>
        <w:t> </w:t>
      </w:r>
      <w:r>
        <w:rPr/>
        <w:t>explains why</w:t>
      </w:r>
      <w:r>
        <w:rPr>
          <w:spacing w:val="-5"/>
        </w:rPr>
        <w:t> </w:t>
      </w:r>
      <w:r>
        <w:rPr/>
        <w:t>Etoricoxib</w:t>
      </w:r>
      <w:r>
        <w:rPr>
          <w:spacing w:val="-1"/>
        </w:rPr>
        <w:t> </w:t>
      </w:r>
      <w:r>
        <w:rPr/>
        <w:t>gives</w:t>
      </w:r>
      <w:r>
        <w:rPr>
          <w:spacing w:val="-2"/>
        </w:rPr>
        <w:t> </w:t>
      </w:r>
      <w:r>
        <w:rPr/>
        <w:t>almost</w:t>
      </w:r>
      <w:r>
        <w:rPr>
          <w:spacing w:val="-1"/>
        </w:rPr>
        <w:t> </w:t>
      </w:r>
      <w:r>
        <w:rPr/>
        <w:t>an</w:t>
      </w:r>
      <w:r>
        <w:rPr>
          <w:spacing w:val="-1"/>
        </w:rPr>
        <w:t> </w:t>
      </w:r>
      <w:r>
        <w:rPr/>
        <w:t>identical value</w:t>
      </w:r>
      <w:r>
        <w:rPr>
          <w:spacing w:val="-1"/>
        </w:rPr>
        <w:t> </w:t>
      </w:r>
      <w:r>
        <w:rPr/>
        <w:t>of mic- roalbuminuria compared to Diclofenac.</w:t>
      </w:r>
    </w:p>
    <w:p>
      <w:pPr>
        <w:pStyle w:val="BodyText"/>
        <w:spacing w:before="2"/>
        <w:ind w:left="238" w:right="43"/>
        <w:jc w:val="both"/>
      </w:pPr>
      <w:r>
        <w:rPr/>
        <w:t>Analyzing the group of patients treated with Etori- coxib in relation to the distribution of patients accor- ding to the values of NAG in the four groups, it was concluded</w:t>
      </w:r>
      <w:r>
        <w:rPr>
          <w:spacing w:val="-1"/>
        </w:rPr>
        <w:t> </w:t>
      </w:r>
      <w:r>
        <w:rPr/>
        <w:t>that</w:t>
      </w:r>
      <w:r>
        <w:rPr>
          <w:spacing w:val="-2"/>
        </w:rPr>
        <w:t> </w:t>
      </w:r>
      <w:r>
        <w:rPr/>
        <w:t>NAG was</w:t>
      </w:r>
      <w:r>
        <w:rPr>
          <w:spacing w:val="-2"/>
        </w:rPr>
        <w:t> </w:t>
      </w:r>
      <w:r>
        <w:rPr/>
        <w:t>registered</w:t>
      </w:r>
      <w:r>
        <w:rPr>
          <w:spacing w:val="-1"/>
        </w:rPr>
        <w:t> </w:t>
      </w:r>
      <w:r>
        <w:rPr/>
        <w:t>in</w:t>
      </w:r>
      <w:r>
        <w:rPr>
          <w:spacing w:val="-1"/>
        </w:rPr>
        <w:t> </w:t>
      </w:r>
      <w:r>
        <w:rPr/>
        <w:t>4 patients in</w:t>
      </w:r>
      <w:r>
        <w:rPr>
          <w:spacing w:val="-1"/>
        </w:rPr>
        <w:t> </w:t>
      </w:r>
      <w:r>
        <w:rPr/>
        <w:t>the 3rd week, when the mean value of NAG urinary in- duction was highest (1.12±0.13).</w:t>
      </w:r>
    </w:p>
    <w:p>
      <w:pPr>
        <w:pStyle w:val="BodyText"/>
        <w:ind w:left="238" w:right="43"/>
        <w:jc w:val="both"/>
      </w:pPr>
      <w:r>
        <w:rPr/>
        <w:t>Analyzing patients distribution according to NAG va- lues in the four probes in the group of patients treated only with Diclofenac, it was concluded that NAG was registered</w:t>
      </w:r>
      <w:r>
        <w:rPr>
          <w:spacing w:val="-4"/>
        </w:rPr>
        <w:t> </w:t>
      </w:r>
      <w:r>
        <w:rPr/>
        <w:t>in</w:t>
      </w:r>
      <w:r>
        <w:rPr>
          <w:spacing w:val="-4"/>
        </w:rPr>
        <w:t> </w:t>
      </w:r>
      <w:r>
        <w:rPr/>
        <w:t>6</w:t>
      </w:r>
      <w:r>
        <w:rPr>
          <w:spacing w:val="-4"/>
        </w:rPr>
        <w:t> </w:t>
      </w:r>
      <w:r>
        <w:rPr/>
        <w:t>patients</w:t>
      </w:r>
      <w:r>
        <w:rPr>
          <w:spacing w:val="-4"/>
        </w:rPr>
        <w:t> </w:t>
      </w:r>
      <w:r>
        <w:rPr/>
        <w:t>in</w:t>
      </w:r>
      <w:r>
        <w:rPr>
          <w:spacing w:val="-4"/>
        </w:rPr>
        <w:t> </w:t>
      </w:r>
      <w:r>
        <w:rPr/>
        <w:t>the</w:t>
      </w:r>
      <w:r>
        <w:rPr>
          <w:spacing w:val="-7"/>
        </w:rPr>
        <w:t> </w:t>
      </w:r>
      <w:r>
        <w:rPr/>
        <w:t>3rd</w:t>
      </w:r>
      <w:r>
        <w:rPr>
          <w:spacing w:val="-4"/>
        </w:rPr>
        <w:t> </w:t>
      </w:r>
      <w:r>
        <w:rPr/>
        <w:t>week,</w:t>
      </w:r>
      <w:r>
        <w:rPr>
          <w:spacing w:val="-4"/>
        </w:rPr>
        <w:t> </w:t>
      </w:r>
      <w:r>
        <w:rPr/>
        <w:t>when</w:t>
      </w:r>
      <w:r>
        <w:rPr>
          <w:spacing w:val="-4"/>
        </w:rPr>
        <w:t> </w:t>
      </w:r>
      <w:r>
        <w:rPr/>
        <w:t>the</w:t>
      </w:r>
      <w:r>
        <w:rPr>
          <w:spacing w:val="-4"/>
        </w:rPr>
        <w:t> </w:t>
      </w:r>
      <w:r>
        <w:rPr/>
        <w:t>mean </w:t>
      </w:r>
      <w:r>
        <w:rPr>
          <w:spacing w:val="-4"/>
        </w:rPr>
        <w:t>value</w:t>
      </w:r>
      <w:r>
        <w:rPr>
          <w:spacing w:val="-6"/>
        </w:rPr>
        <w:t> </w:t>
      </w:r>
      <w:r>
        <w:rPr>
          <w:spacing w:val="-4"/>
        </w:rPr>
        <w:t>of</w:t>
      </w:r>
      <w:r>
        <w:rPr>
          <w:spacing w:val="-7"/>
        </w:rPr>
        <w:t> </w:t>
      </w:r>
      <w:r>
        <w:rPr>
          <w:spacing w:val="-4"/>
        </w:rPr>
        <w:t>NAG</w:t>
      </w:r>
      <w:r>
        <w:rPr>
          <w:spacing w:val="-5"/>
        </w:rPr>
        <w:t> </w:t>
      </w:r>
      <w:r>
        <w:rPr>
          <w:spacing w:val="-4"/>
        </w:rPr>
        <w:t>urinary</w:t>
      </w:r>
      <w:r>
        <w:rPr>
          <w:spacing w:val="-6"/>
        </w:rPr>
        <w:t> </w:t>
      </w:r>
      <w:r>
        <w:rPr>
          <w:spacing w:val="-4"/>
        </w:rPr>
        <w:t>induction</w:t>
      </w:r>
      <w:r>
        <w:rPr>
          <w:spacing w:val="-6"/>
        </w:rPr>
        <w:t> </w:t>
      </w:r>
      <w:r>
        <w:rPr>
          <w:spacing w:val="-4"/>
        </w:rPr>
        <w:t>was highest</w:t>
      </w:r>
      <w:r>
        <w:rPr>
          <w:spacing w:val="-7"/>
        </w:rPr>
        <w:t> </w:t>
      </w:r>
      <w:r>
        <w:rPr>
          <w:spacing w:val="-4"/>
        </w:rPr>
        <w:t>(1.41±0.31).</w:t>
      </w:r>
    </w:p>
    <w:p>
      <w:pPr>
        <w:pStyle w:val="BodyText"/>
        <w:spacing w:before="4"/>
      </w:pPr>
    </w:p>
    <w:p>
      <w:pPr>
        <w:pStyle w:val="Heading4"/>
      </w:pPr>
      <w:r>
        <w:rPr>
          <w:spacing w:val="-2"/>
        </w:rPr>
        <w:t>Discussion</w:t>
      </w:r>
    </w:p>
    <w:p>
      <w:pPr>
        <w:pStyle w:val="BodyText"/>
        <w:spacing w:before="6"/>
        <w:rPr>
          <w:b/>
          <w:sz w:val="20"/>
        </w:rPr>
      </w:pPr>
    </w:p>
    <w:p>
      <w:pPr>
        <w:pStyle w:val="BodyText"/>
        <w:ind w:left="238" w:right="42"/>
        <w:jc w:val="both"/>
      </w:pPr>
      <w:r>
        <w:rPr/>
        <w:t>Approaches for the assessment of nephrotoxicity of drugs are possible only with drugs or medications that have a dominant proximal tubular excretion, such as Methotrexate, Etoricoxib, Diclofenac, Acetaminophen and gold salts. This approach for the assessment of nephrotoxicity of drugs is not possible with other me- dications or drugs from the baseline which are used in the</w:t>
      </w:r>
      <w:r>
        <w:rPr>
          <w:spacing w:val="-10"/>
        </w:rPr>
        <w:t> </w:t>
      </w:r>
      <w:r>
        <w:rPr/>
        <w:t>treatment</w:t>
      </w:r>
      <w:r>
        <w:rPr>
          <w:spacing w:val="-11"/>
        </w:rPr>
        <w:t> </w:t>
      </w:r>
      <w:r>
        <w:rPr/>
        <w:t>of</w:t>
      </w:r>
      <w:r>
        <w:rPr>
          <w:spacing w:val="-12"/>
        </w:rPr>
        <w:t> </w:t>
      </w:r>
      <w:r>
        <w:rPr/>
        <w:t>RA,</w:t>
      </w:r>
      <w:r>
        <w:rPr>
          <w:spacing w:val="-12"/>
        </w:rPr>
        <w:t> </w:t>
      </w:r>
      <w:r>
        <w:rPr/>
        <w:t>such</w:t>
      </w:r>
      <w:r>
        <w:rPr>
          <w:spacing w:val="-12"/>
        </w:rPr>
        <w:t> </w:t>
      </w:r>
      <w:r>
        <w:rPr/>
        <w:t>as</w:t>
      </w:r>
      <w:r>
        <w:rPr>
          <w:spacing w:val="-10"/>
        </w:rPr>
        <w:t> </w:t>
      </w:r>
      <w:r>
        <w:rPr/>
        <w:t>resorhin,</w:t>
      </w:r>
      <w:r>
        <w:rPr>
          <w:spacing w:val="-12"/>
        </w:rPr>
        <w:t> </w:t>
      </w:r>
      <w:r>
        <w:rPr/>
        <w:t>sulfazalazine</w:t>
      </w:r>
      <w:r>
        <w:rPr>
          <w:spacing w:val="-12"/>
        </w:rPr>
        <w:t> </w:t>
      </w:r>
      <w:r>
        <w:rPr/>
        <w:t>and leflunomide, due to predominantly hepatic excretion. For these preparations, there</w:t>
      </w:r>
      <w:r>
        <w:rPr>
          <w:spacing w:val="-2"/>
        </w:rPr>
        <w:t> </w:t>
      </w:r>
      <w:r>
        <w:rPr/>
        <w:t>are no literarature data</w:t>
      </w:r>
      <w:r>
        <w:rPr>
          <w:spacing w:val="-2"/>
        </w:rPr>
        <w:t> </w:t>
      </w:r>
      <w:r>
        <w:rPr/>
        <w:t>on the occurrence of proximal tubular dysfunction.</w:t>
      </w:r>
    </w:p>
    <w:p>
      <w:pPr>
        <w:pStyle w:val="BodyText"/>
        <w:spacing w:before="1"/>
        <w:ind w:left="238" w:right="38"/>
        <w:jc w:val="both"/>
      </w:pPr>
      <w:r>
        <w:rPr/>
        <w:t>Traditional</w:t>
      </w:r>
      <w:r>
        <w:rPr>
          <w:spacing w:val="-6"/>
        </w:rPr>
        <w:t> </w:t>
      </w:r>
      <w:r>
        <w:rPr/>
        <w:t>treatment</w:t>
      </w:r>
      <w:r>
        <w:rPr>
          <w:spacing w:val="-5"/>
        </w:rPr>
        <w:t> </w:t>
      </w:r>
      <w:r>
        <w:rPr/>
        <w:t>of</w:t>
      </w:r>
      <w:r>
        <w:rPr>
          <w:spacing w:val="-5"/>
        </w:rPr>
        <w:t> </w:t>
      </w:r>
      <w:r>
        <w:rPr/>
        <w:t>RA</w:t>
      </w:r>
      <w:r>
        <w:rPr>
          <w:spacing w:val="-3"/>
        </w:rPr>
        <w:t> </w:t>
      </w:r>
      <w:r>
        <w:rPr/>
        <w:t>includes</w:t>
      </w:r>
      <w:r>
        <w:rPr>
          <w:spacing w:val="-5"/>
        </w:rPr>
        <w:t> </w:t>
      </w:r>
      <w:r>
        <w:rPr/>
        <w:t>nonsteroidal</w:t>
      </w:r>
      <w:r>
        <w:rPr>
          <w:spacing w:val="-5"/>
        </w:rPr>
        <w:t> </w:t>
      </w:r>
      <w:r>
        <w:rPr/>
        <w:t>anti- </w:t>
      </w:r>
      <w:r>
        <w:rPr>
          <w:spacing w:val="-2"/>
        </w:rPr>
        <w:t>inflammatory</w:t>
      </w:r>
      <w:r>
        <w:rPr>
          <w:spacing w:val="-12"/>
        </w:rPr>
        <w:t> </w:t>
      </w:r>
      <w:r>
        <w:rPr>
          <w:spacing w:val="-2"/>
        </w:rPr>
        <w:t>drugs</w:t>
      </w:r>
      <w:r>
        <w:rPr>
          <w:spacing w:val="-11"/>
        </w:rPr>
        <w:t> </w:t>
      </w:r>
      <w:r>
        <w:rPr>
          <w:spacing w:val="-2"/>
        </w:rPr>
        <w:t>(NSAIDs),</w:t>
      </w:r>
      <w:r>
        <w:rPr>
          <w:spacing w:val="-11"/>
        </w:rPr>
        <w:t> </w:t>
      </w:r>
      <w:r>
        <w:rPr>
          <w:spacing w:val="-2"/>
        </w:rPr>
        <w:t>disease-modifying</w:t>
      </w:r>
      <w:r>
        <w:rPr>
          <w:spacing w:val="-11"/>
        </w:rPr>
        <w:t> </w:t>
      </w:r>
      <w:r>
        <w:rPr>
          <w:spacing w:val="-2"/>
        </w:rPr>
        <w:t>drugs </w:t>
      </w:r>
      <w:r>
        <w:rPr/>
        <w:t>(DMARDs) and immunosuppressive cytotoxic drugs. Methotrexate in the low-dose regimen is the most co- </w:t>
      </w:r>
      <w:r>
        <w:rPr>
          <w:spacing w:val="-4"/>
        </w:rPr>
        <w:t>mmonly</w:t>
      </w:r>
      <w:r>
        <w:rPr>
          <w:spacing w:val="-3"/>
        </w:rPr>
        <w:t> </w:t>
      </w:r>
      <w:r>
        <w:rPr>
          <w:spacing w:val="-4"/>
        </w:rPr>
        <w:t>used</w:t>
      </w:r>
      <w:r>
        <w:rPr>
          <w:spacing w:val="-8"/>
        </w:rPr>
        <w:t> </w:t>
      </w:r>
      <w:r>
        <w:rPr>
          <w:spacing w:val="-4"/>
        </w:rPr>
        <w:t>drug</w:t>
      </w:r>
      <w:r>
        <w:rPr>
          <w:spacing w:val="-9"/>
        </w:rPr>
        <w:t> </w:t>
      </w:r>
      <w:r>
        <w:rPr>
          <w:spacing w:val="-4"/>
        </w:rPr>
        <w:t>from</w:t>
      </w:r>
      <w:r>
        <w:rPr>
          <w:spacing w:val="-10"/>
        </w:rPr>
        <w:t> </w:t>
      </w:r>
      <w:r>
        <w:rPr>
          <w:spacing w:val="-4"/>
        </w:rPr>
        <w:t>the</w:t>
      </w:r>
      <w:r>
        <w:rPr>
          <w:spacing w:val="-6"/>
        </w:rPr>
        <w:t> </w:t>
      </w:r>
      <w:r>
        <w:rPr>
          <w:spacing w:val="-4"/>
        </w:rPr>
        <w:t>DMARDs</w:t>
      </w:r>
      <w:r>
        <w:rPr>
          <w:spacing w:val="-10"/>
        </w:rPr>
        <w:t> </w:t>
      </w:r>
      <w:r>
        <w:rPr>
          <w:spacing w:val="-4"/>
        </w:rPr>
        <w:t>group,</w:t>
      </w:r>
      <w:r>
        <w:rPr>
          <w:spacing w:val="-8"/>
        </w:rPr>
        <w:t> </w:t>
      </w:r>
      <w:r>
        <w:rPr>
          <w:spacing w:val="-4"/>
        </w:rPr>
        <w:t>while</w:t>
      </w:r>
      <w:r>
        <w:rPr>
          <w:spacing w:val="-9"/>
        </w:rPr>
        <w:t> </w:t>
      </w:r>
      <w:r>
        <w:rPr>
          <w:spacing w:val="-4"/>
        </w:rPr>
        <w:t>from the</w:t>
      </w:r>
      <w:r>
        <w:rPr>
          <w:spacing w:val="-8"/>
        </w:rPr>
        <w:t> </w:t>
      </w:r>
      <w:r>
        <w:rPr>
          <w:spacing w:val="-4"/>
        </w:rPr>
        <w:t>NSAIL</w:t>
      </w:r>
      <w:r>
        <w:rPr>
          <w:spacing w:val="-10"/>
        </w:rPr>
        <w:t> </w:t>
      </w:r>
      <w:r>
        <w:rPr>
          <w:spacing w:val="-4"/>
        </w:rPr>
        <w:t>group</w:t>
      </w:r>
      <w:r>
        <w:rPr>
          <w:spacing w:val="-5"/>
        </w:rPr>
        <w:t> </w:t>
      </w:r>
      <w:r>
        <w:rPr>
          <w:spacing w:val="-4"/>
        </w:rPr>
        <w:t>the</w:t>
      </w:r>
      <w:r>
        <w:rPr>
          <w:spacing w:val="-7"/>
        </w:rPr>
        <w:t> </w:t>
      </w:r>
      <w:r>
        <w:rPr>
          <w:spacing w:val="-4"/>
        </w:rPr>
        <w:t>most</w:t>
      </w:r>
      <w:r>
        <w:rPr>
          <w:spacing w:val="-7"/>
        </w:rPr>
        <w:t> </w:t>
      </w:r>
      <w:r>
        <w:rPr>
          <w:spacing w:val="-4"/>
        </w:rPr>
        <w:t>commonly</w:t>
      </w:r>
      <w:r>
        <w:rPr>
          <w:spacing w:val="-10"/>
        </w:rPr>
        <w:t> </w:t>
      </w:r>
      <w:r>
        <w:rPr>
          <w:spacing w:val="-4"/>
        </w:rPr>
        <w:t>used</w:t>
      </w:r>
      <w:r>
        <w:rPr>
          <w:spacing w:val="-5"/>
        </w:rPr>
        <w:t> </w:t>
      </w:r>
      <w:r>
        <w:rPr>
          <w:spacing w:val="-4"/>
        </w:rPr>
        <w:t>drug</w:t>
      </w:r>
      <w:r>
        <w:rPr>
          <w:spacing w:val="-6"/>
        </w:rPr>
        <w:t> </w:t>
      </w:r>
      <w:r>
        <w:rPr>
          <w:spacing w:val="-4"/>
        </w:rPr>
        <w:t>is</w:t>
      </w:r>
      <w:r>
        <w:rPr>
          <w:spacing w:val="-9"/>
        </w:rPr>
        <w:t> </w:t>
      </w:r>
      <w:r>
        <w:rPr>
          <w:spacing w:val="-4"/>
        </w:rPr>
        <w:t>Diclo- </w:t>
      </w:r>
      <w:r>
        <w:rPr/>
        <w:t>fenum</w:t>
      </w:r>
      <w:r>
        <w:rPr>
          <w:spacing w:val="-14"/>
        </w:rPr>
        <w:t> </w:t>
      </w:r>
      <w:r>
        <w:rPr/>
        <w:t>(Diklofenak</w:t>
      </w:r>
      <w:r>
        <w:rPr>
          <w:position w:val="7"/>
          <w:sz w:val="14"/>
        </w:rPr>
        <w:t>R</w:t>
      </w:r>
      <w:r>
        <w:rPr/>
        <w:t>),</w:t>
      </w:r>
      <w:r>
        <w:rPr>
          <w:spacing w:val="-4"/>
        </w:rPr>
        <w:t> </w:t>
      </w:r>
      <w:r>
        <w:rPr/>
        <w:t>as</w:t>
      </w:r>
      <w:r>
        <w:rPr>
          <w:spacing w:val="-5"/>
        </w:rPr>
        <w:t> </w:t>
      </w:r>
      <w:r>
        <w:rPr/>
        <w:t>well</w:t>
      </w:r>
      <w:r>
        <w:rPr>
          <w:spacing w:val="-5"/>
        </w:rPr>
        <w:t> </w:t>
      </w:r>
      <w:r>
        <w:rPr/>
        <w:t>as</w:t>
      </w:r>
      <w:r>
        <w:rPr>
          <w:spacing w:val="-5"/>
        </w:rPr>
        <w:t> </w:t>
      </w:r>
      <w:r>
        <w:rPr/>
        <w:t>Etoricoxib</w:t>
      </w:r>
      <w:r>
        <w:rPr>
          <w:spacing w:val="-4"/>
        </w:rPr>
        <w:t> </w:t>
      </w:r>
      <w:r>
        <w:rPr/>
        <w:t>(Arcoxia</w:t>
      </w:r>
      <w:r>
        <w:rPr>
          <w:position w:val="7"/>
          <w:sz w:val="14"/>
        </w:rPr>
        <w:t>R</w:t>
      </w:r>
      <w:r>
        <w:rPr/>
        <w:t>). In the non-treated RA tubular apparatus is primarily damaged and to a very small extent the glomerular apparatus [19]. A significant increase in the activity is due to the changes in cellular synthesis and not always the</w:t>
      </w:r>
      <w:r>
        <w:rPr>
          <w:spacing w:val="-4"/>
        </w:rPr>
        <w:t> </w:t>
      </w:r>
      <w:r>
        <w:rPr/>
        <w:t>enzymuria</w:t>
      </w:r>
      <w:r>
        <w:rPr>
          <w:spacing w:val="-2"/>
        </w:rPr>
        <w:t> </w:t>
      </w:r>
      <w:r>
        <w:rPr/>
        <w:t>may</w:t>
      </w:r>
      <w:r>
        <w:rPr>
          <w:spacing w:val="-7"/>
        </w:rPr>
        <w:t> </w:t>
      </w:r>
      <w:r>
        <w:rPr/>
        <w:t>result</w:t>
      </w:r>
      <w:r>
        <w:rPr>
          <w:spacing w:val="-5"/>
        </w:rPr>
        <w:t> </w:t>
      </w:r>
      <w:r>
        <w:rPr/>
        <w:t>in</w:t>
      </w:r>
      <w:r>
        <w:rPr>
          <w:spacing w:val="-4"/>
        </w:rPr>
        <w:t> </w:t>
      </w:r>
      <w:r>
        <w:rPr/>
        <w:t>lytic</w:t>
      </w:r>
      <w:r>
        <w:rPr>
          <w:spacing w:val="-4"/>
        </w:rPr>
        <w:t> </w:t>
      </w:r>
      <w:r>
        <w:rPr/>
        <w:t>or</w:t>
      </w:r>
      <w:r>
        <w:rPr>
          <w:spacing w:val="-5"/>
        </w:rPr>
        <w:t> </w:t>
      </w:r>
      <w:r>
        <w:rPr/>
        <w:t>necrotic</w:t>
      </w:r>
      <w:r>
        <w:rPr>
          <w:spacing w:val="-4"/>
        </w:rPr>
        <w:t> </w:t>
      </w:r>
      <w:r>
        <w:rPr/>
        <w:t>processes. Etoricoxib did not cause a significant damage to the renal proximal tubules in most of the observed pa- tients. The</w:t>
      </w:r>
      <w:r>
        <w:rPr>
          <w:spacing w:val="-1"/>
        </w:rPr>
        <w:t> </w:t>
      </w:r>
      <w:r>
        <w:rPr/>
        <w:t>nephrotoxicity</w:t>
      </w:r>
      <w:r>
        <w:rPr>
          <w:spacing w:val="-3"/>
        </w:rPr>
        <w:t> </w:t>
      </w:r>
      <w:r>
        <w:rPr/>
        <w:t>during the use</w:t>
      </w:r>
      <w:r>
        <w:rPr>
          <w:spacing w:val="-2"/>
        </w:rPr>
        <w:t> </w:t>
      </w:r>
      <w:r>
        <w:rPr/>
        <w:t>of</w:t>
      </w:r>
      <w:r>
        <w:rPr>
          <w:spacing w:val="-2"/>
        </w:rPr>
        <w:t> </w:t>
      </w:r>
      <w:r>
        <w:rPr/>
        <w:t>Diclofenac </w:t>
      </w:r>
      <w:r>
        <w:rPr>
          <w:spacing w:val="-2"/>
        </w:rPr>
        <w:t>was</w:t>
      </w:r>
      <w:r>
        <w:rPr>
          <w:spacing w:val="-10"/>
        </w:rPr>
        <w:t> </w:t>
      </w:r>
      <w:r>
        <w:rPr>
          <w:spacing w:val="-2"/>
        </w:rPr>
        <w:t>greater</w:t>
      </w:r>
      <w:r>
        <w:rPr>
          <w:spacing w:val="-10"/>
        </w:rPr>
        <w:t> </w:t>
      </w:r>
      <w:r>
        <w:rPr>
          <w:spacing w:val="-2"/>
        </w:rPr>
        <w:t>in</w:t>
      </w:r>
      <w:r>
        <w:rPr>
          <w:spacing w:val="-11"/>
        </w:rPr>
        <w:t> </w:t>
      </w:r>
      <w:r>
        <w:rPr>
          <w:spacing w:val="-2"/>
        </w:rPr>
        <w:t>comparison</w:t>
      </w:r>
      <w:r>
        <w:rPr>
          <w:spacing w:val="-10"/>
        </w:rPr>
        <w:t> </w:t>
      </w:r>
      <w:r>
        <w:rPr>
          <w:spacing w:val="-2"/>
        </w:rPr>
        <w:t>to</w:t>
      </w:r>
      <w:r>
        <w:rPr>
          <w:spacing w:val="-10"/>
        </w:rPr>
        <w:t> </w:t>
      </w:r>
      <w:r>
        <w:rPr>
          <w:spacing w:val="-2"/>
        </w:rPr>
        <w:t>Etoricoxib.</w:t>
      </w:r>
      <w:r>
        <w:rPr>
          <w:spacing w:val="-11"/>
        </w:rPr>
        <w:t> </w:t>
      </w:r>
      <w:r>
        <w:rPr>
          <w:spacing w:val="-2"/>
        </w:rPr>
        <w:t>Diclofenac</w:t>
      </w:r>
      <w:r>
        <w:rPr>
          <w:spacing w:val="-10"/>
        </w:rPr>
        <w:t> </w:t>
      </w:r>
      <w:r>
        <w:rPr>
          <w:spacing w:val="-2"/>
        </w:rPr>
        <w:t>was </w:t>
      </w:r>
      <w:r>
        <w:rPr/>
        <w:t>discretely more potent NAG inductor than Etoricoxib. Our observations correspond with those presented by other authors [20,21].</w:t>
      </w:r>
    </w:p>
    <w:p>
      <w:pPr>
        <w:pStyle w:val="BodyText"/>
        <w:ind w:left="238" w:right="41"/>
        <w:jc w:val="both"/>
      </w:pPr>
      <w:r>
        <w:rPr/>
        <w:t>Early detection of increased NAG enzymuria or occu- rrence of microalbuminuria before exposure to drugs may be used for prediction of possible toxicity asso- ciated with renal impairment.</w:t>
      </w:r>
    </w:p>
    <w:p>
      <w:pPr>
        <w:pStyle w:val="BodyText"/>
        <w:spacing w:before="92"/>
        <w:ind w:left="238" w:right="290"/>
        <w:jc w:val="both"/>
      </w:pPr>
      <w:r>
        <w:rPr/>
        <w:br w:type="column"/>
      </w:r>
      <w:r>
        <w:rPr/>
        <w:t>There was no change in the clinical findings of the re- nal</w:t>
      </w:r>
      <w:r>
        <w:rPr>
          <w:spacing w:val="-10"/>
        </w:rPr>
        <w:t> </w:t>
      </w:r>
      <w:r>
        <w:rPr/>
        <w:t>function</w:t>
      </w:r>
      <w:r>
        <w:rPr>
          <w:spacing w:val="-12"/>
        </w:rPr>
        <w:t> </w:t>
      </w:r>
      <w:r>
        <w:rPr/>
        <w:t>in</w:t>
      </w:r>
      <w:r>
        <w:rPr>
          <w:spacing w:val="-14"/>
        </w:rPr>
        <w:t> </w:t>
      </w:r>
      <w:r>
        <w:rPr/>
        <w:t>relation</w:t>
      </w:r>
      <w:r>
        <w:rPr>
          <w:spacing w:val="-11"/>
        </w:rPr>
        <w:t> </w:t>
      </w:r>
      <w:r>
        <w:rPr/>
        <w:t>to</w:t>
      </w:r>
      <w:r>
        <w:rPr>
          <w:spacing w:val="-14"/>
        </w:rPr>
        <w:t> </w:t>
      </w:r>
      <w:r>
        <w:rPr/>
        <w:t>degradation</w:t>
      </w:r>
      <w:r>
        <w:rPr>
          <w:spacing w:val="-11"/>
        </w:rPr>
        <w:t> </w:t>
      </w:r>
      <w:r>
        <w:rPr/>
        <w:t>products</w:t>
      </w:r>
      <w:r>
        <w:rPr>
          <w:spacing w:val="-14"/>
        </w:rPr>
        <w:t> </w:t>
      </w:r>
      <w:r>
        <w:rPr/>
        <w:t>of</w:t>
      </w:r>
      <w:r>
        <w:rPr>
          <w:spacing w:val="-13"/>
        </w:rPr>
        <w:t> </w:t>
      </w:r>
      <w:r>
        <w:rPr/>
        <w:t>nitro- gen metabolism (serum creatine, urea/serum, GFR) during the follow-up.</w:t>
      </w:r>
    </w:p>
    <w:p>
      <w:pPr>
        <w:pStyle w:val="BodyText"/>
        <w:spacing w:before="5"/>
      </w:pPr>
    </w:p>
    <w:p>
      <w:pPr>
        <w:pStyle w:val="Heading4"/>
      </w:pPr>
      <w:r>
        <w:rPr>
          <w:spacing w:val="-2"/>
        </w:rPr>
        <w:t>Conclusion</w:t>
      </w:r>
    </w:p>
    <w:p>
      <w:pPr>
        <w:pStyle w:val="BodyText"/>
        <w:spacing w:before="6"/>
        <w:rPr>
          <w:b/>
          <w:sz w:val="20"/>
        </w:rPr>
      </w:pPr>
    </w:p>
    <w:p>
      <w:pPr>
        <w:pStyle w:val="BodyText"/>
        <w:ind w:left="238" w:right="292"/>
        <w:jc w:val="both"/>
      </w:pPr>
      <w:r>
        <w:rPr/>
        <w:t>Determination of urinary NAG together with urinary creatinine excretion may be considered as a more sen- sitive test for renal lesions in patients with RA, as a complementary diagnostic tool.</w:t>
      </w:r>
    </w:p>
    <w:p>
      <w:pPr>
        <w:pStyle w:val="BodyText"/>
        <w:spacing w:before="1"/>
        <w:ind w:left="238" w:right="294"/>
        <w:jc w:val="both"/>
      </w:pPr>
      <w:r>
        <w:rPr/>
        <w:t>The results obtained in some studies confirmed the sa- </w:t>
      </w:r>
      <w:r>
        <w:rPr>
          <w:spacing w:val="-2"/>
        </w:rPr>
        <w:t>fety</w:t>
      </w:r>
      <w:r>
        <w:rPr>
          <w:spacing w:val="-12"/>
        </w:rPr>
        <w:t> </w:t>
      </w:r>
      <w:r>
        <w:rPr>
          <w:spacing w:val="-2"/>
        </w:rPr>
        <w:t>of</w:t>
      </w:r>
      <w:r>
        <w:rPr>
          <w:spacing w:val="-11"/>
        </w:rPr>
        <w:t> </w:t>
      </w:r>
      <w:r>
        <w:rPr>
          <w:spacing w:val="-2"/>
        </w:rPr>
        <w:t>Etoricoxib</w:t>
      </w:r>
      <w:r>
        <w:rPr>
          <w:spacing w:val="-11"/>
        </w:rPr>
        <w:t> </w:t>
      </w:r>
      <w:r>
        <w:rPr>
          <w:spacing w:val="-2"/>
        </w:rPr>
        <w:t>and</w:t>
      </w:r>
      <w:r>
        <w:rPr>
          <w:spacing w:val="-11"/>
        </w:rPr>
        <w:t> </w:t>
      </w:r>
      <w:r>
        <w:rPr>
          <w:spacing w:val="-2"/>
        </w:rPr>
        <w:t>Diclofenac</w:t>
      </w:r>
      <w:r>
        <w:rPr>
          <w:spacing w:val="-11"/>
        </w:rPr>
        <w:t> </w:t>
      </w:r>
      <w:r>
        <w:rPr>
          <w:spacing w:val="-2"/>
        </w:rPr>
        <w:t>in</w:t>
      </w:r>
      <w:r>
        <w:rPr>
          <w:spacing w:val="-11"/>
        </w:rPr>
        <w:t> </w:t>
      </w:r>
      <w:r>
        <w:rPr>
          <w:spacing w:val="-2"/>
        </w:rPr>
        <w:t>the</w:t>
      </w:r>
      <w:r>
        <w:rPr>
          <w:spacing w:val="-11"/>
        </w:rPr>
        <w:t> </w:t>
      </w:r>
      <w:r>
        <w:rPr>
          <w:spacing w:val="-2"/>
        </w:rPr>
        <w:t>treatment</w:t>
      </w:r>
      <w:r>
        <w:rPr>
          <w:spacing w:val="-11"/>
        </w:rPr>
        <w:t> </w:t>
      </w:r>
      <w:r>
        <w:rPr>
          <w:spacing w:val="-2"/>
        </w:rPr>
        <w:t>of</w:t>
      </w:r>
      <w:r>
        <w:rPr>
          <w:spacing w:val="-12"/>
        </w:rPr>
        <w:t> </w:t>
      </w:r>
      <w:r>
        <w:rPr>
          <w:spacing w:val="-2"/>
        </w:rPr>
        <w:t>RA.</w:t>
      </w:r>
    </w:p>
    <w:p>
      <w:pPr>
        <w:pStyle w:val="BodyText"/>
      </w:pPr>
    </w:p>
    <w:p>
      <w:pPr>
        <w:spacing w:before="0"/>
        <w:ind w:left="238" w:right="0" w:firstLine="0"/>
        <w:jc w:val="left"/>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4"/>
      </w:pPr>
    </w:p>
    <w:p>
      <w:pPr>
        <w:pStyle w:val="Heading4"/>
      </w:pPr>
      <w:r>
        <w:rPr>
          <w:spacing w:val="-2"/>
        </w:rPr>
        <w:t>Reference</w:t>
      </w:r>
    </w:p>
    <w:p>
      <w:pPr>
        <w:pStyle w:val="BodyText"/>
        <w:spacing w:before="10"/>
        <w:rPr>
          <w:b/>
          <w:sz w:val="20"/>
        </w:rPr>
      </w:pPr>
    </w:p>
    <w:p>
      <w:pPr>
        <w:pStyle w:val="ListParagraph"/>
        <w:numPr>
          <w:ilvl w:val="0"/>
          <w:numId w:val="9"/>
        </w:numPr>
        <w:tabs>
          <w:tab w:pos="627" w:val="left" w:leader="none"/>
        </w:tabs>
        <w:spacing w:line="240" w:lineRule="auto" w:before="0" w:after="0"/>
        <w:ind w:left="626" w:right="291" w:hanging="389"/>
        <w:jc w:val="both"/>
        <w:rPr>
          <w:sz w:val="18"/>
        </w:rPr>
      </w:pPr>
      <w:r>
        <w:rPr>
          <w:sz w:val="18"/>
        </w:rPr>
        <w:t>Morten L, Fredelik P, Petra Z, </w:t>
      </w:r>
      <w:r>
        <w:rPr>
          <w:i/>
          <w:sz w:val="18"/>
        </w:rPr>
        <w:t>et al</w:t>
      </w:r>
      <w:r>
        <w:rPr>
          <w:sz w:val="18"/>
        </w:rPr>
        <w:t>. Urinary proteomics </w:t>
      </w:r>
      <w:r>
        <w:rPr>
          <w:spacing w:val="-2"/>
          <w:sz w:val="18"/>
        </w:rPr>
        <w:t>predict</w:t>
      </w:r>
      <w:r>
        <w:rPr>
          <w:spacing w:val="-10"/>
          <w:sz w:val="18"/>
        </w:rPr>
        <w:t> </w:t>
      </w:r>
      <w:r>
        <w:rPr>
          <w:spacing w:val="-2"/>
          <w:sz w:val="18"/>
        </w:rPr>
        <w:t>onset</w:t>
      </w:r>
      <w:r>
        <w:rPr>
          <w:spacing w:val="-9"/>
          <w:sz w:val="18"/>
        </w:rPr>
        <w:t> </w:t>
      </w:r>
      <w:r>
        <w:rPr>
          <w:spacing w:val="-2"/>
          <w:sz w:val="18"/>
        </w:rPr>
        <w:t>of</w:t>
      </w:r>
      <w:r>
        <w:rPr>
          <w:spacing w:val="-9"/>
          <w:sz w:val="18"/>
        </w:rPr>
        <w:t> </w:t>
      </w:r>
      <w:r>
        <w:rPr>
          <w:spacing w:val="-2"/>
          <w:sz w:val="18"/>
        </w:rPr>
        <w:t>microalbuminuria</w:t>
      </w:r>
      <w:r>
        <w:rPr>
          <w:spacing w:val="-9"/>
          <w:sz w:val="18"/>
        </w:rPr>
        <w:t> </w:t>
      </w:r>
      <w:r>
        <w:rPr>
          <w:spacing w:val="-2"/>
          <w:sz w:val="18"/>
        </w:rPr>
        <w:t>in</w:t>
      </w:r>
      <w:r>
        <w:rPr>
          <w:spacing w:val="-10"/>
          <w:sz w:val="18"/>
        </w:rPr>
        <w:t> </w:t>
      </w:r>
      <w:r>
        <w:rPr>
          <w:spacing w:val="-2"/>
          <w:sz w:val="18"/>
        </w:rPr>
        <w:t>normoalbuminuric</w:t>
      </w:r>
      <w:r>
        <w:rPr>
          <w:spacing w:val="-9"/>
          <w:sz w:val="18"/>
        </w:rPr>
        <w:t> </w:t>
      </w:r>
      <w:r>
        <w:rPr>
          <w:spacing w:val="-2"/>
          <w:sz w:val="18"/>
        </w:rPr>
        <w:t>type </w:t>
      </w:r>
      <w:r>
        <w:rPr>
          <w:sz w:val="18"/>
        </w:rPr>
        <w:t>2 diabetic patients, a sub-study of the DIRECT-Protect 2 </w:t>
      </w:r>
      <w:r>
        <w:rPr>
          <w:spacing w:val="-2"/>
          <w:sz w:val="18"/>
        </w:rPr>
        <w:t>study. Nephrol</w:t>
      </w:r>
      <w:r>
        <w:rPr>
          <w:spacing w:val="-3"/>
          <w:sz w:val="18"/>
        </w:rPr>
        <w:t> </w:t>
      </w:r>
      <w:r>
        <w:rPr>
          <w:spacing w:val="-2"/>
          <w:sz w:val="18"/>
        </w:rPr>
        <w:t>Dial Transplant 2017;</w:t>
      </w:r>
      <w:r>
        <w:rPr>
          <w:spacing w:val="-3"/>
          <w:sz w:val="18"/>
        </w:rPr>
        <w:t> </w:t>
      </w:r>
      <w:r>
        <w:rPr>
          <w:spacing w:val="-2"/>
          <w:sz w:val="18"/>
        </w:rPr>
        <w:t>1:</w:t>
      </w:r>
      <w:r>
        <w:rPr>
          <w:spacing w:val="-3"/>
          <w:sz w:val="18"/>
        </w:rPr>
        <w:t> </w:t>
      </w:r>
      <w:r>
        <w:rPr>
          <w:spacing w:val="-2"/>
          <w:sz w:val="18"/>
        </w:rPr>
        <w:t>32(11):</w:t>
      </w:r>
      <w:r>
        <w:rPr>
          <w:spacing w:val="-3"/>
          <w:sz w:val="18"/>
        </w:rPr>
        <w:t> </w:t>
      </w:r>
      <w:r>
        <w:rPr>
          <w:spacing w:val="-2"/>
          <w:sz w:val="18"/>
        </w:rPr>
        <w:t>1866-1873.</w:t>
      </w:r>
    </w:p>
    <w:p>
      <w:pPr>
        <w:pStyle w:val="ListParagraph"/>
        <w:numPr>
          <w:ilvl w:val="0"/>
          <w:numId w:val="9"/>
        </w:numPr>
        <w:tabs>
          <w:tab w:pos="627" w:val="left" w:leader="none"/>
        </w:tabs>
        <w:spacing w:line="240" w:lineRule="auto" w:before="0" w:after="0"/>
        <w:ind w:left="626" w:right="291" w:hanging="389"/>
        <w:jc w:val="both"/>
        <w:rPr>
          <w:sz w:val="18"/>
        </w:rPr>
      </w:pPr>
      <w:r>
        <w:rPr>
          <w:spacing w:val="-2"/>
          <w:sz w:val="18"/>
        </w:rPr>
        <w:t>Seema</w:t>
      </w:r>
      <w:r>
        <w:rPr>
          <w:spacing w:val="-4"/>
          <w:sz w:val="18"/>
        </w:rPr>
        <w:t> </w:t>
      </w:r>
      <w:r>
        <w:rPr>
          <w:spacing w:val="-2"/>
          <w:sz w:val="18"/>
        </w:rPr>
        <w:t>B,</w:t>
      </w:r>
      <w:r>
        <w:rPr>
          <w:spacing w:val="-4"/>
          <w:sz w:val="18"/>
        </w:rPr>
        <w:t> </w:t>
      </w:r>
      <w:r>
        <w:rPr>
          <w:spacing w:val="-2"/>
          <w:sz w:val="18"/>
        </w:rPr>
        <w:t>Julia</w:t>
      </w:r>
      <w:r>
        <w:rPr>
          <w:spacing w:val="-6"/>
          <w:sz w:val="18"/>
        </w:rPr>
        <w:t> </w:t>
      </w:r>
      <w:r>
        <w:rPr>
          <w:spacing w:val="-2"/>
          <w:sz w:val="18"/>
        </w:rPr>
        <w:t>BL.</w:t>
      </w:r>
      <w:r>
        <w:rPr>
          <w:spacing w:val="-5"/>
          <w:sz w:val="18"/>
        </w:rPr>
        <w:t> </w:t>
      </w:r>
      <w:r>
        <w:rPr>
          <w:spacing w:val="-2"/>
          <w:sz w:val="18"/>
        </w:rPr>
        <w:t>Microalbuminuria</w:t>
      </w:r>
      <w:r>
        <w:rPr>
          <w:spacing w:val="-6"/>
          <w:sz w:val="18"/>
        </w:rPr>
        <w:t> </w:t>
      </w:r>
      <w:r>
        <w:rPr>
          <w:spacing w:val="-2"/>
          <w:sz w:val="18"/>
        </w:rPr>
        <w:t>as</w:t>
      </w:r>
      <w:r>
        <w:rPr>
          <w:spacing w:val="-6"/>
          <w:sz w:val="18"/>
        </w:rPr>
        <w:t> </w:t>
      </w:r>
      <w:r>
        <w:rPr>
          <w:spacing w:val="-2"/>
          <w:sz w:val="18"/>
        </w:rPr>
        <w:t>a</w:t>
      </w:r>
      <w:r>
        <w:rPr>
          <w:spacing w:val="-4"/>
          <w:sz w:val="18"/>
        </w:rPr>
        <w:t> </w:t>
      </w:r>
      <w:r>
        <w:rPr>
          <w:spacing w:val="-2"/>
          <w:sz w:val="18"/>
        </w:rPr>
        <w:t>target</w:t>
      </w:r>
      <w:r>
        <w:rPr>
          <w:spacing w:val="-5"/>
          <w:sz w:val="18"/>
        </w:rPr>
        <w:t> </w:t>
      </w:r>
      <w:r>
        <w:rPr>
          <w:spacing w:val="-2"/>
          <w:sz w:val="18"/>
        </w:rPr>
        <w:t>to</w:t>
      </w:r>
      <w:r>
        <w:rPr>
          <w:spacing w:val="-4"/>
          <w:sz w:val="18"/>
        </w:rPr>
        <w:t> </w:t>
      </w:r>
      <w:r>
        <w:rPr>
          <w:spacing w:val="-2"/>
          <w:sz w:val="18"/>
        </w:rPr>
        <w:t>improve </w:t>
      </w:r>
      <w:r>
        <w:rPr>
          <w:sz w:val="18"/>
        </w:rPr>
        <w:t>cardiovascular</w:t>
      </w:r>
      <w:r>
        <w:rPr>
          <w:spacing w:val="-11"/>
          <w:sz w:val="18"/>
        </w:rPr>
        <w:t> </w:t>
      </w:r>
      <w:r>
        <w:rPr>
          <w:sz w:val="18"/>
        </w:rPr>
        <w:t>and</w:t>
      </w:r>
      <w:r>
        <w:rPr>
          <w:spacing w:val="-3"/>
          <w:sz w:val="18"/>
        </w:rPr>
        <w:t> </w:t>
      </w:r>
      <w:r>
        <w:rPr>
          <w:sz w:val="18"/>
        </w:rPr>
        <w:t>renal</w:t>
      </w:r>
      <w:r>
        <w:rPr>
          <w:spacing w:val="-4"/>
          <w:sz w:val="18"/>
        </w:rPr>
        <w:t> </w:t>
      </w:r>
      <w:r>
        <w:rPr>
          <w:sz w:val="18"/>
        </w:rPr>
        <w:t>outcomes.</w:t>
      </w:r>
      <w:r>
        <w:rPr>
          <w:spacing w:val="-2"/>
          <w:sz w:val="18"/>
        </w:rPr>
        <w:t> </w:t>
      </w:r>
      <w:r>
        <w:rPr>
          <w:i/>
          <w:sz w:val="18"/>
        </w:rPr>
        <w:t>Am</w:t>
      </w:r>
      <w:r>
        <w:rPr>
          <w:i/>
          <w:spacing w:val="-4"/>
          <w:sz w:val="18"/>
        </w:rPr>
        <w:t> </w:t>
      </w:r>
      <w:r>
        <w:rPr>
          <w:i/>
          <w:sz w:val="18"/>
        </w:rPr>
        <w:t>J</w:t>
      </w:r>
      <w:r>
        <w:rPr>
          <w:i/>
          <w:spacing w:val="-5"/>
          <w:sz w:val="18"/>
        </w:rPr>
        <w:t> </w:t>
      </w:r>
      <w:r>
        <w:rPr>
          <w:i/>
          <w:sz w:val="18"/>
        </w:rPr>
        <w:t>Kidney</w:t>
      </w:r>
      <w:r>
        <w:rPr>
          <w:i/>
          <w:spacing w:val="-5"/>
          <w:sz w:val="18"/>
        </w:rPr>
        <w:t> </w:t>
      </w:r>
      <w:r>
        <w:rPr>
          <w:i/>
          <w:sz w:val="18"/>
        </w:rPr>
        <w:t>Dis</w:t>
      </w:r>
      <w:r>
        <w:rPr>
          <w:i/>
          <w:spacing w:val="-10"/>
          <w:sz w:val="18"/>
        </w:rPr>
        <w:t> </w:t>
      </w:r>
      <w:r>
        <w:rPr>
          <w:sz w:val="18"/>
        </w:rPr>
        <w:t>2006; 47(6): 927-946.</w:t>
      </w:r>
    </w:p>
    <w:p>
      <w:pPr>
        <w:pStyle w:val="ListParagraph"/>
        <w:numPr>
          <w:ilvl w:val="0"/>
          <w:numId w:val="9"/>
        </w:numPr>
        <w:tabs>
          <w:tab w:pos="627" w:val="left" w:leader="none"/>
        </w:tabs>
        <w:spacing w:line="240" w:lineRule="auto" w:before="0" w:after="0"/>
        <w:ind w:left="626" w:right="293" w:hanging="389"/>
        <w:jc w:val="both"/>
        <w:rPr>
          <w:sz w:val="18"/>
        </w:rPr>
      </w:pPr>
      <w:r>
        <w:rPr>
          <w:sz w:val="18"/>
        </w:rPr>
        <w:t>Jumana MY, Gong C, Prue AH, </w:t>
      </w:r>
      <w:r>
        <w:rPr>
          <w:i/>
          <w:sz w:val="18"/>
        </w:rPr>
        <w:t>et al</w:t>
      </w:r>
      <w:r>
        <w:rPr>
          <w:sz w:val="18"/>
        </w:rPr>
        <w:t>. Ascorbic acid protects against the nephrotoxicity and apoptosis caused</w:t>
      </w:r>
      <w:r>
        <w:rPr>
          <w:spacing w:val="40"/>
          <w:sz w:val="18"/>
        </w:rPr>
        <w:t> </w:t>
      </w:r>
      <w:r>
        <w:rPr>
          <w:sz w:val="18"/>
        </w:rPr>
        <w:t>by colistin and affects its pharmacokinetics. </w:t>
      </w:r>
      <w:r>
        <w:rPr>
          <w:i/>
          <w:sz w:val="18"/>
        </w:rPr>
        <w:t>J Antimicrob</w:t>
      </w:r>
      <w:r>
        <w:rPr>
          <w:i/>
          <w:sz w:val="18"/>
        </w:rPr>
        <w:t> Chemother </w:t>
      </w:r>
      <w:r>
        <w:rPr>
          <w:sz w:val="18"/>
        </w:rPr>
        <w:t>2012; 67(2): 452-459.</w:t>
      </w:r>
    </w:p>
    <w:p>
      <w:pPr>
        <w:pStyle w:val="ListParagraph"/>
        <w:numPr>
          <w:ilvl w:val="0"/>
          <w:numId w:val="9"/>
        </w:numPr>
        <w:tabs>
          <w:tab w:pos="627" w:val="left" w:leader="none"/>
        </w:tabs>
        <w:spacing w:line="240" w:lineRule="auto" w:before="0" w:after="0"/>
        <w:ind w:left="626" w:right="290" w:hanging="389"/>
        <w:jc w:val="both"/>
        <w:rPr>
          <w:sz w:val="18"/>
        </w:rPr>
      </w:pPr>
      <w:r>
        <w:rPr>
          <w:sz w:val="18"/>
        </w:rPr>
        <w:t>Sandra</w:t>
      </w:r>
      <w:r>
        <w:rPr>
          <w:spacing w:val="-5"/>
          <w:sz w:val="18"/>
        </w:rPr>
        <w:t> </w:t>
      </w:r>
      <w:r>
        <w:rPr>
          <w:sz w:val="18"/>
        </w:rPr>
        <w:t>LKG,</w:t>
      </w:r>
      <w:r>
        <w:rPr>
          <w:spacing w:val="-4"/>
          <w:sz w:val="18"/>
        </w:rPr>
        <w:t> </w:t>
      </w:r>
      <w:r>
        <w:rPr>
          <w:sz w:val="18"/>
        </w:rPr>
        <w:t>Pamela</w:t>
      </w:r>
      <w:r>
        <w:rPr>
          <w:spacing w:val="-4"/>
          <w:sz w:val="18"/>
        </w:rPr>
        <w:t> </w:t>
      </w:r>
      <w:r>
        <w:rPr>
          <w:sz w:val="18"/>
        </w:rPr>
        <w:t>LS,</w:t>
      </w:r>
      <w:r>
        <w:rPr>
          <w:spacing w:val="-4"/>
          <w:sz w:val="18"/>
        </w:rPr>
        <w:t> </w:t>
      </w:r>
      <w:r>
        <w:rPr>
          <w:sz w:val="18"/>
        </w:rPr>
        <w:t>Kianoush</w:t>
      </w:r>
      <w:r>
        <w:rPr>
          <w:spacing w:val="-4"/>
          <w:sz w:val="18"/>
        </w:rPr>
        <w:t> </w:t>
      </w:r>
      <w:r>
        <w:rPr>
          <w:sz w:val="18"/>
        </w:rPr>
        <w:t>K,</w:t>
      </w:r>
      <w:r>
        <w:rPr>
          <w:spacing w:val="-3"/>
          <w:sz w:val="18"/>
        </w:rPr>
        <w:t> </w:t>
      </w:r>
      <w:r>
        <w:rPr>
          <w:i/>
          <w:sz w:val="18"/>
        </w:rPr>
        <w:t>et</w:t>
      </w:r>
      <w:r>
        <w:rPr>
          <w:i/>
          <w:spacing w:val="-4"/>
          <w:sz w:val="18"/>
        </w:rPr>
        <w:t> </w:t>
      </w:r>
      <w:r>
        <w:rPr>
          <w:i/>
          <w:sz w:val="18"/>
        </w:rPr>
        <w:t>al</w:t>
      </w:r>
      <w:r>
        <w:rPr>
          <w:sz w:val="18"/>
        </w:rPr>
        <w:t>.</w:t>
      </w:r>
      <w:r>
        <w:rPr>
          <w:spacing w:val="-3"/>
          <w:sz w:val="18"/>
        </w:rPr>
        <w:t> </w:t>
      </w:r>
      <w:r>
        <w:rPr>
          <w:sz w:val="18"/>
        </w:rPr>
        <w:t>Clinical</w:t>
      </w:r>
      <w:r>
        <w:rPr>
          <w:spacing w:val="-4"/>
          <w:sz w:val="18"/>
        </w:rPr>
        <w:t> </w:t>
      </w:r>
      <w:r>
        <w:rPr>
          <w:sz w:val="18"/>
        </w:rPr>
        <w:t>Rele- </w:t>
      </w:r>
      <w:r>
        <w:rPr>
          <w:spacing w:val="-2"/>
          <w:sz w:val="18"/>
        </w:rPr>
        <w:t>vance and</w:t>
      </w:r>
      <w:r>
        <w:rPr>
          <w:spacing w:val="-7"/>
          <w:sz w:val="18"/>
        </w:rPr>
        <w:t> </w:t>
      </w:r>
      <w:r>
        <w:rPr>
          <w:spacing w:val="-2"/>
          <w:sz w:val="18"/>
        </w:rPr>
        <w:t>Predictive</w:t>
      </w:r>
      <w:r>
        <w:rPr>
          <w:spacing w:val="-9"/>
          <w:sz w:val="18"/>
        </w:rPr>
        <w:t> </w:t>
      </w:r>
      <w:r>
        <w:rPr>
          <w:spacing w:val="-2"/>
          <w:sz w:val="18"/>
        </w:rPr>
        <w:t>Value</w:t>
      </w:r>
      <w:r>
        <w:rPr>
          <w:spacing w:val="-9"/>
          <w:sz w:val="18"/>
        </w:rPr>
        <w:t> </w:t>
      </w:r>
      <w:r>
        <w:rPr>
          <w:spacing w:val="-2"/>
          <w:sz w:val="18"/>
        </w:rPr>
        <w:t>of</w:t>
      </w:r>
      <w:r>
        <w:rPr>
          <w:spacing w:val="-8"/>
          <w:sz w:val="18"/>
        </w:rPr>
        <w:t> </w:t>
      </w:r>
      <w:r>
        <w:rPr>
          <w:spacing w:val="-2"/>
          <w:sz w:val="18"/>
        </w:rPr>
        <w:t>Damage</w:t>
      </w:r>
      <w:r>
        <w:rPr>
          <w:spacing w:val="-9"/>
          <w:sz w:val="18"/>
        </w:rPr>
        <w:t> </w:t>
      </w:r>
      <w:r>
        <w:rPr>
          <w:spacing w:val="-2"/>
          <w:sz w:val="18"/>
        </w:rPr>
        <w:t>Biomarkers</w:t>
      </w:r>
      <w:r>
        <w:rPr>
          <w:spacing w:val="-9"/>
          <w:sz w:val="18"/>
        </w:rPr>
        <w:t> </w:t>
      </w:r>
      <w:r>
        <w:rPr>
          <w:spacing w:val="-2"/>
          <w:sz w:val="18"/>
        </w:rPr>
        <w:t>of</w:t>
      </w:r>
      <w:r>
        <w:rPr>
          <w:spacing w:val="-8"/>
          <w:sz w:val="18"/>
        </w:rPr>
        <w:t> </w:t>
      </w:r>
      <w:r>
        <w:rPr>
          <w:spacing w:val="-2"/>
          <w:sz w:val="18"/>
        </w:rPr>
        <w:t>Drug- </w:t>
      </w:r>
      <w:r>
        <w:rPr>
          <w:sz w:val="18"/>
        </w:rPr>
        <w:t>Induced</w:t>
      </w:r>
      <w:r>
        <w:rPr>
          <w:spacing w:val="-12"/>
          <w:sz w:val="18"/>
        </w:rPr>
        <w:t> </w:t>
      </w:r>
      <w:r>
        <w:rPr>
          <w:sz w:val="18"/>
        </w:rPr>
        <w:t>Kidney</w:t>
      </w:r>
      <w:r>
        <w:rPr>
          <w:spacing w:val="-11"/>
          <w:sz w:val="18"/>
        </w:rPr>
        <w:t> </w:t>
      </w:r>
      <w:r>
        <w:rPr>
          <w:sz w:val="18"/>
        </w:rPr>
        <w:t>Injury.</w:t>
      </w:r>
      <w:r>
        <w:rPr>
          <w:spacing w:val="-11"/>
          <w:sz w:val="18"/>
        </w:rPr>
        <w:t> </w:t>
      </w:r>
      <w:r>
        <w:rPr>
          <w:i/>
          <w:sz w:val="18"/>
        </w:rPr>
        <w:t>Drug</w:t>
      </w:r>
      <w:r>
        <w:rPr>
          <w:i/>
          <w:spacing w:val="-11"/>
          <w:sz w:val="18"/>
        </w:rPr>
        <w:t> </w:t>
      </w:r>
      <w:r>
        <w:rPr>
          <w:i/>
          <w:sz w:val="18"/>
        </w:rPr>
        <w:t>Saf</w:t>
      </w:r>
      <w:r>
        <w:rPr>
          <w:i/>
          <w:spacing w:val="-10"/>
          <w:sz w:val="18"/>
        </w:rPr>
        <w:t> </w:t>
      </w:r>
      <w:r>
        <w:rPr>
          <w:sz w:val="18"/>
        </w:rPr>
        <w:t>2017;</w:t>
      </w:r>
      <w:r>
        <w:rPr>
          <w:spacing w:val="-12"/>
          <w:sz w:val="18"/>
        </w:rPr>
        <w:t> </w:t>
      </w:r>
      <w:r>
        <w:rPr>
          <w:sz w:val="18"/>
        </w:rPr>
        <w:t>40(11):</w:t>
      </w:r>
      <w:r>
        <w:rPr>
          <w:spacing w:val="-11"/>
          <w:sz w:val="18"/>
        </w:rPr>
        <w:t> </w:t>
      </w:r>
      <w:r>
        <w:rPr>
          <w:sz w:val="18"/>
        </w:rPr>
        <w:t>1049-1074.</w:t>
      </w:r>
    </w:p>
    <w:p>
      <w:pPr>
        <w:pStyle w:val="ListParagraph"/>
        <w:numPr>
          <w:ilvl w:val="0"/>
          <w:numId w:val="9"/>
        </w:numPr>
        <w:tabs>
          <w:tab w:pos="627" w:val="left" w:leader="none"/>
        </w:tabs>
        <w:spacing w:line="240" w:lineRule="auto" w:before="0" w:after="0"/>
        <w:ind w:left="626" w:right="295" w:hanging="389"/>
        <w:jc w:val="both"/>
        <w:rPr>
          <w:sz w:val="18"/>
        </w:rPr>
      </w:pPr>
      <w:r>
        <w:rPr>
          <w:sz w:val="18"/>
        </w:rPr>
        <w:t>Allen KM. The Release of a Soluble Glycosylated Protein from</w:t>
      </w:r>
      <w:r>
        <w:rPr>
          <w:spacing w:val="-7"/>
          <w:sz w:val="18"/>
        </w:rPr>
        <w:t> </w:t>
      </w:r>
      <w:r>
        <w:rPr>
          <w:sz w:val="18"/>
        </w:rPr>
        <w:t>Glycogen</w:t>
      </w:r>
      <w:r>
        <w:rPr>
          <w:spacing w:val="-5"/>
          <w:sz w:val="18"/>
        </w:rPr>
        <w:t> </w:t>
      </w:r>
      <w:r>
        <w:rPr>
          <w:sz w:val="18"/>
        </w:rPr>
        <w:t>by</w:t>
      </w:r>
      <w:r>
        <w:rPr>
          <w:spacing w:val="-7"/>
          <w:sz w:val="18"/>
        </w:rPr>
        <w:t> </w:t>
      </w:r>
      <w:r>
        <w:rPr>
          <w:sz w:val="18"/>
        </w:rPr>
        <w:t>Recombinant</w:t>
      </w:r>
      <w:r>
        <w:rPr>
          <w:spacing w:val="-6"/>
          <w:sz w:val="18"/>
        </w:rPr>
        <w:t> </w:t>
      </w:r>
      <w:r>
        <w:rPr>
          <w:sz w:val="18"/>
        </w:rPr>
        <w:t>Lysosomal</w:t>
      </w:r>
      <w:r>
        <w:rPr>
          <w:spacing w:val="-4"/>
          <w:sz w:val="18"/>
        </w:rPr>
        <w:t> </w:t>
      </w:r>
      <w:r>
        <w:rPr>
          <w:sz w:val="18"/>
        </w:rPr>
        <w:t>α-Glucosidase (rhGAA) In Vitro and Its Presence in Serum In Vivo. </w:t>
      </w:r>
      <w:r>
        <w:rPr>
          <w:i/>
          <w:sz w:val="18"/>
        </w:rPr>
        <w:t>Biomolecules </w:t>
      </w:r>
      <w:r>
        <w:rPr>
          <w:sz w:val="18"/>
        </w:rPr>
        <w:t>2020; 10(12): 1613.</w:t>
      </w:r>
    </w:p>
    <w:p>
      <w:pPr>
        <w:pStyle w:val="ListParagraph"/>
        <w:numPr>
          <w:ilvl w:val="0"/>
          <w:numId w:val="9"/>
        </w:numPr>
        <w:tabs>
          <w:tab w:pos="627" w:val="left" w:leader="none"/>
        </w:tabs>
        <w:spacing w:line="240" w:lineRule="auto" w:before="0" w:after="0"/>
        <w:ind w:left="626" w:right="294" w:hanging="389"/>
        <w:jc w:val="both"/>
        <w:rPr>
          <w:sz w:val="18"/>
        </w:rPr>
      </w:pPr>
      <w:r>
        <w:rPr>
          <w:sz w:val="18"/>
        </w:rPr>
        <w:t>Spasovski</w:t>
      </w:r>
      <w:r>
        <w:rPr>
          <w:spacing w:val="-11"/>
          <w:sz w:val="18"/>
        </w:rPr>
        <w:t> </w:t>
      </w:r>
      <w:r>
        <w:rPr>
          <w:sz w:val="18"/>
        </w:rPr>
        <w:t>D.</w:t>
      </w:r>
      <w:r>
        <w:rPr>
          <w:spacing w:val="-11"/>
          <w:sz w:val="18"/>
        </w:rPr>
        <w:t> </w:t>
      </w:r>
      <w:r>
        <w:rPr>
          <w:sz w:val="18"/>
        </w:rPr>
        <w:t>Renal</w:t>
      </w:r>
      <w:r>
        <w:rPr>
          <w:spacing w:val="-10"/>
          <w:sz w:val="18"/>
        </w:rPr>
        <w:t> </w:t>
      </w:r>
      <w:r>
        <w:rPr>
          <w:sz w:val="18"/>
        </w:rPr>
        <w:t>markers</w:t>
      </w:r>
      <w:r>
        <w:rPr>
          <w:spacing w:val="-10"/>
          <w:sz w:val="18"/>
        </w:rPr>
        <w:t> </w:t>
      </w:r>
      <w:r>
        <w:rPr>
          <w:sz w:val="18"/>
        </w:rPr>
        <w:t>for</w:t>
      </w:r>
      <w:r>
        <w:rPr>
          <w:spacing w:val="-11"/>
          <w:sz w:val="18"/>
        </w:rPr>
        <w:t> </w:t>
      </w:r>
      <w:r>
        <w:rPr>
          <w:sz w:val="18"/>
        </w:rPr>
        <w:t>assessment</w:t>
      </w:r>
      <w:r>
        <w:rPr>
          <w:spacing w:val="-11"/>
          <w:sz w:val="18"/>
        </w:rPr>
        <w:t> </w:t>
      </w:r>
      <w:r>
        <w:rPr>
          <w:sz w:val="18"/>
        </w:rPr>
        <w:t>of</w:t>
      </w:r>
      <w:r>
        <w:rPr>
          <w:spacing w:val="-12"/>
          <w:sz w:val="18"/>
        </w:rPr>
        <w:t> </w:t>
      </w:r>
      <w:r>
        <w:rPr>
          <w:sz w:val="18"/>
        </w:rPr>
        <w:t>renal</w:t>
      </w:r>
      <w:r>
        <w:rPr>
          <w:spacing w:val="-10"/>
          <w:sz w:val="18"/>
        </w:rPr>
        <w:t> </w:t>
      </w:r>
      <w:r>
        <w:rPr>
          <w:sz w:val="18"/>
        </w:rPr>
        <w:t>tubular and glomerular dysfunction. </w:t>
      </w:r>
      <w:r>
        <w:rPr>
          <w:i/>
          <w:sz w:val="18"/>
        </w:rPr>
        <w:t>J Nephropharmacol</w:t>
      </w:r>
      <w:r>
        <w:rPr>
          <w:i/>
          <w:spacing w:val="-4"/>
          <w:sz w:val="18"/>
        </w:rPr>
        <w:t> </w:t>
      </w:r>
      <w:r>
        <w:rPr>
          <w:sz w:val="18"/>
        </w:rPr>
        <w:t>2013; 2(2): 23-25.</w:t>
      </w:r>
    </w:p>
    <w:p>
      <w:pPr>
        <w:pStyle w:val="ListParagraph"/>
        <w:numPr>
          <w:ilvl w:val="0"/>
          <w:numId w:val="9"/>
        </w:numPr>
        <w:tabs>
          <w:tab w:pos="627" w:val="left" w:leader="none"/>
        </w:tabs>
        <w:spacing w:line="207" w:lineRule="exact" w:before="0" w:after="0"/>
        <w:ind w:left="626" w:right="0" w:hanging="389"/>
        <w:jc w:val="both"/>
        <w:rPr>
          <w:sz w:val="18"/>
        </w:rPr>
      </w:pPr>
      <w:r>
        <w:rPr>
          <w:sz w:val="18"/>
        </w:rPr>
        <w:t>Jean</w:t>
      </w:r>
      <w:r>
        <w:rPr>
          <w:spacing w:val="16"/>
          <w:sz w:val="18"/>
        </w:rPr>
        <w:t> </w:t>
      </w:r>
      <w:r>
        <w:rPr>
          <w:sz w:val="18"/>
        </w:rPr>
        <w:t>FN,</w:t>
      </w:r>
      <w:r>
        <w:rPr>
          <w:spacing w:val="16"/>
          <w:sz w:val="18"/>
        </w:rPr>
        <w:t> </w:t>
      </w:r>
      <w:r>
        <w:rPr>
          <w:sz w:val="18"/>
        </w:rPr>
        <w:t>Martine</w:t>
      </w:r>
      <w:r>
        <w:rPr>
          <w:spacing w:val="14"/>
          <w:sz w:val="18"/>
        </w:rPr>
        <w:t> </w:t>
      </w:r>
      <w:r>
        <w:rPr>
          <w:sz w:val="18"/>
        </w:rPr>
        <w:t>L.</w:t>
      </w:r>
      <w:r>
        <w:rPr>
          <w:spacing w:val="16"/>
          <w:sz w:val="18"/>
        </w:rPr>
        <w:t> </w:t>
      </w:r>
      <w:r>
        <w:rPr>
          <w:sz w:val="18"/>
        </w:rPr>
        <w:t>Biomarkers</w:t>
      </w:r>
      <w:r>
        <w:rPr>
          <w:spacing w:val="18"/>
          <w:sz w:val="18"/>
        </w:rPr>
        <w:t> </w:t>
      </w:r>
      <w:r>
        <w:rPr>
          <w:sz w:val="18"/>
        </w:rPr>
        <w:t>in</w:t>
      </w:r>
      <w:r>
        <w:rPr>
          <w:spacing w:val="16"/>
          <w:sz w:val="18"/>
        </w:rPr>
        <w:t> </w:t>
      </w:r>
      <w:r>
        <w:rPr>
          <w:sz w:val="18"/>
        </w:rPr>
        <w:t>Acute</w:t>
      </w:r>
      <w:r>
        <w:rPr>
          <w:spacing w:val="15"/>
          <w:sz w:val="18"/>
        </w:rPr>
        <w:t> </w:t>
      </w:r>
      <w:r>
        <w:rPr>
          <w:sz w:val="18"/>
        </w:rPr>
        <w:t>Kidney</w:t>
      </w:r>
      <w:r>
        <w:rPr>
          <w:spacing w:val="12"/>
          <w:sz w:val="18"/>
        </w:rPr>
        <w:t> </w:t>
      </w:r>
      <w:r>
        <w:rPr>
          <w:spacing w:val="-2"/>
          <w:sz w:val="18"/>
        </w:rPr>
        <w:t>Injury.</w:t>
      </w:r>
    </w:p>
    <w:p>
      <w:pPr>
        <w:spacing w:line="206" w:lineRule="exact" w:before="0"/>
        <w:ind w:left="626" w:right="0" w:firstLine="0"/>
        <w:jc w:val="both"/>
        <w:rPr>
          <w:sz w:val="18"/>
        </w:rPr>
      </w:pPr>
      <w:r>
        <w:rPr>
          <w:i/>
          <w:sz w:val="18"/>
        </w:rPr>
        <w:t>Biomark</w:t>
      </w:r>
      <w:r>
        <w:rPr>
          <w:i/>
          <w:spacing w:val="-5"/>
          <w:sz w:val="18"/>
        </w:rPr>
        <w:t> </w:t>
      </w:r>
      <w:r>
        <w:rPr>
          <w:i/>
          <w:sz w:val="18"/>
        </w:rPr>
        <w:t>Insights</w:t>
      </w:r>
      <w:r>
        <w:rPr>
          <w:i/>
          <w:spacing w:val="-2"/>
          <w:sz w:val="18"/>
        </w:rPr>
        <w:t> </w:t>
      </w:r>
      <w:r>
        <w:rPr>
          <w:sz w:val="18"/>
        </w:rPr>
        <w:t>2008;</w:t>
      </w:r>
      <w:r>
        <w:rPr>
          <w:spacing w:val="-3"/>
          <w:sz w:val="18"/>
        </w:rPr>
        <w:t> </w:t>
      </w:r>
      <w:r>
        <w:rPr>
          <w:sz w:val="18"/>
        </w:rPr>
        <w:t>3:</w:t>
      </w:r>
      <w:r>
        <w:rPr>
          <w:spacing w:val="-2"/>
          <w:sz w:val="18"/>
        </w:rPr>
        <w:t> </w:t>
      </w:r>
      <w:r>
        <w:rPr>
          <w:sz w:val="18"/>
        </w:rPr>
        <w:t>115-</w:t>
      </w:r>
      <w:r>
        <w:rPr>
          <w:spacing w:val="-4"/>
          <w:sz w:val="18"/>
        </w:rPr>
        <w:t>125.</w:t>
      </w:r>
    </w:p>
    <w:p>
      <w:pPr>
        <w:pStyle w:val="ListParagraph"/>
        <w:numPr>
          <w:ilvl w:val="0"/>
          <w:numId w:val="9"/>
        </w:numPr>
        <w:tabs>
          <w:tab w:pos="627" w:val="left" w:leader="none"/>
        </w:tabs>
        <w:spacing w:line="240" w:lineRule="auto" w:before="0" w:after="0"/>
        <w:ind w:left="626" w:right="295" w:hanging="389"/>
        <w:jc w:val="both"/>
        <w:rPr>
          <w:sz w:val="18"/>
        </w:rPr>
      </w:pPr>
      <w:r>
        <w:rPr>
          <w:sz w:val="18"/>
        </w:rPr>
        <w:t>Sheerin NS, Sacks SH. Leaked protein and interstitial damage in the kidney: is complement the missing link? </w:t>
      </w:r>
      <w:r>
        <w:rPr>
          <w:i/>
          <w:sz w:val="18"/>
        </w:rPr>
        <w:t>Clin Exp Immunol </w:t>
      </w:r>
      <w:r>
        <w:rPr>
          <w:sz w:val="18"/>
        </w:rPr>
        <w:t>2002; 130(1): 1-3.</w:t>
      </w:r>
    </w:p>
    <w:p>
      <w:pPr>
        <w:pStyle w:val="ListParagraph"/>
        <w:numPr>
          <w:ilvl w:val="0"/>
          <w:numId w:val="9"/>
        </w:numPr>
        <w:tabs>
          <w:tab w:pos="627" w:val="left" w:leader="none"/>
        </w:tabs>
        <w:spacing w:line="240" w:lineRule="auto" w:before="1" w:after="0"/>
        <w:ind w:left="626" w:right="294" w:hanging="389"/>
        <w:jc w:val="both"/>
        <w:rPr>
          <w:sz w:val="18"/>
        </w:rPr>
      </w:pPr>
      <w:r>
        <w:rPr>
          <w:sz w:val="18"/>
        </w:rPr>
        <w:t>Halina M, Anna B, Katarzyna W, </w:t>
      </w:r>
      <w:r>
        <w:rPr>
          <w:i/>
          <w:sz w:val="18"/>
        </w:rPr>
        <w:t>et al</w:t>
      </w:r>
      <w:r>
        <w:rPr>
          <w:sz w:val="18"/>
        </w:rPr>
        <w:t>. Urinary N-acetyl- beta-D-glucosaminidase and its isoenzymes in smoking and non-smoking workers at copper foundry occupational co-exposed</w:t>
      </w:r>
      <w:r>
        <w:rPr>
          <w:spacing w:val="-4"/>
          <w:sz w:val="18"/>
        </w:rPr>
        <w:t> </w:t>
      </w:r>
      <w:r>
        <w:rPr>
          <w:sz w:val="18"/>
        </w:rPr>
        <w:t>to</w:t>
      </w:r>
      <w:r>
        <w:rPr>
          <w:spacing w:val="-4"/>
          <w:sz w:val="18"/>
        </w:rPr>
        <w:t> </w:t>
      </w:r>
      <w:r>
        <w:rPr>
          <w:sz w:val="18"/>
        </w:rPr>
        <w:t>arsenic</w:t>
      </w:r>
      <w:r>
        <w:rPr>
          <w:spacing w:val="-5"/>
          <w:sz w:val="18"/>
        </w:rPr>
        <w:t> </w:t>
      </w:r>
      <w:r>
        <w:rPr>
          <w:sz w:val="18"/>
        </w:rPr>
        <w:t>cadmium</w:t>
      </w:r>
      <w:r>
        <w:rPr>
          <w:spacing w:val="-7"/>
          <w:sz w:val="18"/>
        </w:rPr>
        <w:t> </w:t>
      </w:r>
      <w:r>
        <w:rPr>
          <w:sz w:val="18"/>
        </w:rPr>
        <w:t>and</w:t>
      </w:r>
      <w:r>
        <w:rPr>
          <w:spacing w:val="-4"/>
          <w:sz w:val="18"/>
        </w:rPr>
        <w:t> </w:t>
      </w:r>
      <w:r>
        <w:rPr>
          <w:sz w:val="18"/>
        </w:rPr>
        <w:t>lead.</w:t>
      </w:r>
      <w:r>
        <w:rPr>
          <w:spacing w:val="-4"/>
          <w:sz w:val="18"/>
        </w:rPr>
        <w:t> </w:t>
      </w:r>
      <w:r>
        <w:rPr>
          <w:i/>
          <w:sz w:val="18"/>
        </w:rPr>
        <w:t>Przegl</w:t>
      </w:r>
      <w:r>
        <w:rPr>
          <w:i/>
          <w:spacing w:val="-5"/>
          <w:sz w:val="18"/>
        </w:rPr>
        <w:t> </w:t>
      </w:r>
      <w:r>
        <w:rPr>
          <w:i/>
          <w:sz w:val="18"/>
        </w:rPr>
        <w:t>Lek</w:t>
      </w:r>
      <w:r>
        <w:rPr>
          <w:i/>
          <w:spacing w:val="-5"/>
          <w:sz w:val="18"/>
        </w:rPr>
        <w:t> </w:t>
      </w:r>
      <w:r>
        <w:rPr>
          <w:sz w:val="18"/>
        </w:rPr>
        <w:t>2008; 65(10): 518-521.</w:t>
      </w:r>
    </w:p>
    <w:p>
      <w:pPr>
        <w:pStyle w:val="ListParagraph"/>
        <w:numPr>
          <w:ilvl w:val="0"/>
          <w:numId w:val="9"/>
        </w:numPr>
        <w:tabs>
          <w:tab w:pos="627" w:val="left" w:leader="none"/>
        </w:tabs>
        <w:spacing w:line="240" w:lineRule="auto" w:before="0" w:after="0"/>
        <w:ind w:left="626" w:right="291" w:hanging="389"/>
        <w:jc w:val="both"/>
        <w:rPr>
          <w:sz w:val="18"/>
        </w:rPr>
      </w:pPr>
      <w:r>
        <w:rPr>
          <w:sz w:val="18"/>
        </w:rPr>
        <w:t>Rosemary LB, A Russel More, Diana MH, </w:t>
      </w:r>
      <w:r>
        <w:rPr>
          <w:i/>
          <w:sz w:val="18"/>
        </w:rPr>
        <w:t>et al</w:t>
      </w:r>
      <w:r>
        <w:rPr>
          <w:sz w:val="18"/>
        </w:rPr>
        <w:t>. Equine urinary N-acetyl-β-D-glucosaminidase assay validation</w:t>
      </w:r>
      <w:r>
        <w:rPr>
          <w:spacing w:val="40"/>
          <w:sz w:val="18"/>
        </w:rPr>
        <w:t> </w:t>
      </w:r>
      <w:r>
        <w:rPr>
          <w:sz w:val="18"/>
        </w:rPr>
        <w:t>and correlation with other markers of kidney injury. </w:t>
      </w:r>
      <w:r>
        <w:rPr>
          <w:i/>
          <w:sz w:val="18"/>
        </w:rPr>
        <w:t>J Vet</w:t>
      </w:r>
      <w:r>
        <w:rPr>
          <w:i/>
          <w:sz w:val="18"/>
        </w:rPr>
        <w:t> Diagn Invest </w:t>
      </w:r>
      <w:r>
        <w:rPr>
          <w:sz w:val="18"/>
        </w:rPr>
        <w:t>2019; 31(5): 688-695.</w:t>
      </w:r>
    </w:p>
    <w:p>
      <w:pPr>
        <w:pStyle w:val="ListParagraph"/>
        <w:numPr>
          <w:ilvl w:val="0"/>
          <w:numId w:val="9"/>
        </w:numPr>
        <w:tabs>
          <w:tab w:pos="627" w:val="left" w:leader="none"/>
        </w:tabs>
        <w:spacing w:line="240" w:lineRule="auto" w:before="0" w:after="0"/>
        <w:ind w:left="626" w:right="292" w:hanging="389"/>
        <w:jc w:val="both"/>
        <w:rPr>
          <w:sz w:val="18"/>
        </w:rPr>
      </w:pPr>
      <w:r>
        <w:rPr>
          <w:sz w:val="18"/>
        </w:rPr>
        <w:t>Heng</w:t>
      </w:r>
      <w:r>
        <w:rPr>
          <w:spacing w:val="-2"/>
          <w:sz w:val="18"/>
        </w:rPr>
        <w:t> </w:t>
      </w:r>
      <w:r>
        <w:rPr>
          <w:sz w:val="18"/>
        </w:rPr>
        <w:t>F, Yu Z,</w:t>
      </w:r>
      <w:r>
        <w:rPr>
          <w:spacing w:val="-2"/>
          <w:sz w:val="18"/>
        </w:rPr>
        <w:t> </w:t>
      </w:r>
      <w:r>
        <w:rPr>
          <w:sz w:val="18"/>
        </w:rPr>
        <w:t>Min Sun,</w:t>
      </w:r>
      <w:r>
        <w:rPr>
          <w:spacing w:val="-2"/>
          <w:sz w:val="18"/>
        </w:rPr>
        <w:t> </w:t>
      </w:r>
      <w:r>
        <w:rPr>
          <w:sz w:val="18"/>
        </w:rPr>
        <w:t>Jian-Hua</w:t>
      </w:r>
      <w:r>
        <w:rPr>
          <w:spacing w:val="-1"/>
          <w:sz w:val="18"/>
        </w:rPr>
        <w:t> </w:t>
      </w:r>
      <w:r>
        <w:rPr>
          <w:sz w:val="18"/>
        </w:rPr>
        <w:t>Zho.</w:t>
      </w:r>
      <w:r>
        <w:rPr>
          <w:spacing w:val="-2"/>
          <w:sz w:val="18"/>
        </w:rPr>
        <w:t> </w:t>
      </w:r>
      <w:r>
        <w:rPr>
          <w:sz w:val="18"/>
        </w:rPr>
        <w:t>Urinary</w:t>
      </w:r>
      <w:r>
        <w:rPr>
          <w:spacing w:val="-4"/>
          <w:sz w:val="18"/>
        </w:rPr>
        <w:t> </w:t>
      </w:r>
      <w:r>
        <w:rPr>
          <w:sz w:val="18"/>
        </w:rPr>
        <w:t>neutrophil gelatinase-associated lipocalin, kidney injury molecule-1, N-acetyl-β-D-glucosaminidase levels and mortality risk in </w:t>
      </w:r>
      <w:r>
        <w:rPr>
          <w:spacing w:val="-2"/>
          <w:sz w:val="18"/>
        </w:rPr>
        <w:t>septic</w:t>
      </w:r>
      <w:r>
        <w:rPr>
          <w:spacing w:val="-6"/>
          <w:sz w:val="18"/>
        </w:rPr>
        <w:t> </w:t>
      </w:r>
      <w:r>
        <w:rPr>
          <w:spacing w:val="-2"/>
          <w:sz w:val="18"/>
        </w:rPr>
        <w:t>patients with</w:t>
      </w:r>
      <w:r>
        <w:rPr>
          <w:spacing w:val="-3"/>
          <w:sz w:val="18"/>
        </w:rPr>
        <w:t> </w:t>
      </w:r>
      <w:r>
        <w:rPr>
          <w:spacing w:val="-2"/>
          <w:sz w:val="18"/>
        </w:rPr>
        <w:t>acute</w:t>
      </w:r>
      <w:r>
        <w:rPr>
          <w:spacing w:val="-5"/>
          <w:sz w:val="18"/>
        </w:rPr>
        <w:t> </w:t>
      </w:r>
      <w:r>
        <w:rPr>
          <w:spacing w:val="-2"/>
          <w:sz w:val="18"/>
        </w:rPr>
        <w:t>kidney</w:t>
      </w:r>
      <w:r>
        <w:rPr>
          <w:spacing w:val="-5"/>
          <w:sz w:val="18"/>
        </w:rPr>
        <w:t> </w:t>
      </w:r>
      <w:r>
        <w:rPr>
          <w:spacing w:val="-2"/>
          <w:sz w:val="18"/>
        </w:rPr>
        <w:t>injury. </w:t>
      </w:r>
      <w:r>
        <w:rPr>
          <w:i/>
          <w:spacing w:val="-2"/>
          <w:sz w:val="18"/>
        </w:rPr>
        <w:t>Arch Med</w:t>
      </w:r>
      <w:r>
        <w:rPr>
          <w:i/>
          <w:spacing w:val="-3"/>
          <w:sz w:val="18"/>
        </w:rPr>
        <w:t> </w:t>
      </w:r>
      <w:r>
        <w:rPr>
          <w:i/>
          <w:spacing w:val="-2"/>
          <w:sz w:val="18"/>
        </w:rPr>
        <w:t>Sci</w:t>
      </w:r>
      <w:r>
        <w:rPr>
          <w:i/>
          <w:spacing w:val="-10"/>
          <w:sz w:val="18"/>
        </w:rPr>
        <w:t> </w:t>
      </w:r>
      <w:r>
        <w:rPr>
          <w:spacing w:val="-2"/>
          <w:sz w:val="18"/>
        </w:rPr>
        <w:t>2018; </w:t>
      </w:r>
      <w:r>
        <w:rPr>
          <w:sz w:val="18"/>
        </w:rPr>
        <w:t>14(6): 1381-1386.</w:t>
      </w:r>
    </w:p>
    <w:p>
      <w:pPr>
        <w:pStyle w:val="ListParagraph"/>
        <w:numPr>
          <w:ilvl w:val="0"/>
          <w:numId w:val="9"/>
        </w:numPr>
        <w:tabs>
          <w:tab w:pos="627" w:val="left" w:leader="none"/>
        </w:tabs>
        <w:spacing w:line="240" w:lineRule="auto" w:before="0" w:after="0"/>
        <w:ind w:left="626" w:right="292" w:hanging="389"/>
        <w:jc w:val="both"/>
        <w:rPr>
          <w:sz w:val="18"/>
        </w:rPr>
      </w:pPr>
      <w:r>
        <w:rPr>
          <w:sz w:val="18"/>
        </w:rPr>
        <w:t>Muller RB, Schiff M, Kaegi T, </w:t>
      </w:r>
      <w:r>
        <w:rPr>
          <w:i/>
          <w:sz w:val="18"/>
        </w:rPr>
        <w:t>et al</w:t>
      </w:r>
      <w:r>
        <w:rPr>
          <w:sz w:val="18"/>
        </w:rPr>
        <w:t>. The new 2010 ACR/EULAR criteria as predictor of clinical and radiographic response in patients with early arthritis. </w:t>
      </w:r>
      <w:r>
        <w:rPr>
          <w:i/>
          <w:sz w:val="18"/>
        </w:rPr>
        <w:t>Clin</w:t>
      </w:r>
      <w:r>
        <w:rPr>
          <w:i/>
          <w:sz w:val="18"/>
        </w:rPr>
        <w:t> Rheumatol </w:t>
      </w:r>
      <w:r>
        <w:rPr>
          <w:sz w:val="18"/>
        </w:rPr>
        <w:t>2015; 34(1): 51-59.</w:t>
      </w:r>
    </w:p>
    <w:p>
      <w:pPr>
        <w:pStyle w:val="ListParagraph"/>
        <w:numPr>
          <w:ilvl w:val="0"/>
          <w:numId w:val="9"/>
        </w:numPr>
        <w:tabs>
          <w:tab w:pos="627" w:val="left" w:leader="none"/>
        </w:tabs>
        <w:spacing w:line="240" w:lineRule="auto" w:before="0" w:after="0"/>
        <w:ind w:left="626" w:right="290" w:hanging="389"/>
        <w:jc w:val="both"/>
        <w:rPr>
          <w:sz w:val="18"/>
        </w:rPr>
      </w:pPr>
      <w:r>
        <w:rPr>
          <w:sz w:val="18"/>
        </w:rPr>
        <w:t>Meliha CK, Elisabet L, Jan-Ake N, </w:t>
      </w:r>
      <w:r>
        <w:rPr>
          <w:i/>
          <w:sz w:val="18"/>
        </w:rPr>
        <w:t>et al</w:t>
      </w:r>
      <w:r>
        <w:rPr>
          <w:sz w:val="18"/>
        </w:rPr>
        <w:t>. Development of </w:t>
      </w:r>
      <w:r>
        <w:rPr>
          <w:spacing w:val="-2"/>
          <w:sz w:val="18"/>
        </w:rPr>
        <w:t>functional</w:t>
      </w:r>
      <w:r>
        <w:rPr>
          <w:spacing w:val="7"/>
          <w:sz w:val="18"/>
        </w:rPr>
        <w:t> </w:t>
      </w:r>
      <w:r>
        <w:rPr>
          <w:spacing w:val="-2"/>
          <w:sz w:val="18"/>
        </w:rPr>
        <w:t>impairment</w:t>
      </w:r>
      <w:r>
        <w:rPr>
          <w:spacing w:val="7"/>
          <w:sz w:val="18"/>
        </w:rPr>
        <w:t> </w:t>
      </w:r>
      <w:r>
        <w:rPr>
          <w:spacing w:val="-2"/>
          <w:sz w:val="18"/>
        </w:rPr>
        <w:t>and</w:t>
      </w:r>
      <w:r>
        <w:rPr>
          <w:spacing w:val="8"/>
          <w:sz w:val="18"/>
        </w:rPr>
        <w:t> </w:t>
      </w:r>
      <w:r>
        <w:rPr>
          <w:spacing w:val="-2"/>
          <w:sz w:val="18"/>
        </w:rPr>
        <w:t>disability</w:t>
      </w:r>
      <w:r>
        <w:rPr>
          <w:sz w:val="18"/>
        </w:rPr>
        <w:t> </w:t>
      </w:r>
      <w:r>
        <w:rPr>
          <w:spacing w:val="-2"/>
          <w:sz w:val="18"/>
        </w:rPr>
        <w:t>in</w:t>
      </w:r>
      <w:r>
        <w:rPr>
          <w:spacing w:val="8"/>
          <w:sz w:val="18"/>
        </w:rPr>
        <w:t> </w:t>
      </w:r>
      <w:r>
        <w:rPr>
          <w:spacing w:val="-2"/>
          <w:sz w:val="18"/>
        </w:rPr>
        <w:t>rheumatoid</w:t>
      </w:r>
      <w:r>
        <w:rPr>
          <w:spacing w:val="9"/>
          <w:sz w:val="18"/>
        </w:rPr>
        <w:t> </w:t>
      </w:r>
      <w:r>
        <w:rPr>
          <w:spacing w:val="-2"/>
          <w:sz w:val="18"/>
        </w:rPr>
        <w:t>arthritis</w:t>
      </w:r>
    </w:p>
    <w:p>
      <w:pPr>
        <w:spacing w:after="0" w:line="240" w:lineRule="auto"/>
        <w:jc w:val="both"/>
        <w:rPr>
          <w:sz w:val="18"/>
        </w:rPr>
        <w:sectPr>
          <w:type w:val="continuous"/>
          <w:pgSz w:w="11910" w:h="16840"/>
          <w:pgMar w:header="854" w:footer="0" w:top="740" w:bottom="0" w:left="900" w:right="840"/>
          <w:cols w:num="2" w:equalWidth="0">
            <w:col w:w="4922" w:space="76"/>
            <w:col w:w="5172"/>
          </w:cols>
        </w:sectPr>
      </w:pPr>
    </w:p>
    <w:p>
      <w:pPr>
        <w:pStyle w:val="BodyText"/>
        <w:spacing w:before="6"/>
        <w:rPr>
          <w:sz w:val="15"/>
        </w:rPr>
      </w:pPr>
    </w:p>
    <w:p>
      <w:pPr>
        <w:spacing w:after="0"/>
        <w:rPr>
          <w:sz w:val="15"/>
        </w:rPr>
        <w:sectPr>
          <w:pgSz w:w="11910" w:h="16840"/>
          <w:pgMar w:header="854" w:footer="0" w:top="1280" w:bottom="280" w:left="900" w:right="840"/>
        </w:sectPr>
      </w:pPr>
    </w:p>
    <w:p>
      <w:pPr>
        <w:spacing w:before="93"/>
        <w:ind w:left="626" w:right="38" w:firstLine="0"/>
        <w:jc w:val="both"/>
        <w:rPr>
          <w:sz w:val="18"/>
        </w:rPr>
      </w:pPr>
      <w:r>
        <w:rPr>
          <w:sz w:val="18"/>
        </w:rPr>
        <w:t>patients followed for 20 years: relation to disease activity, </w:t>
      </w:r>
      <w:r>
        <w:rPr>
          <w:spacing w:val="-4"/>
          <w:sz w:val="18"/>
        </w:rPr>
        <w:t>joint damage, and comorbidity. </w:t>
      </w:r>
      <w:r>
        <w:rPr>
          <w:i/>
          <w:spacing w:val="-4"/>
          <w:sz w:val="18"/>
        </w:rPr>
        <w:t>Arthritis Care Res (Hoboken)</w:t>
      </w:r>
      <w:r>
        <w:rPr>
          <w:i/>
          <w:spacing w:val="-4"/>
          <w:sz w:val="18"/>
        </w:rPr>
        <w:t> </w:t>
      </w:r>
      <w:r>
        <w:rPr>
          <w:sz w:val="18"/>
        </w:rPr>
        <w:t>2015; 67(3): 340-348.</w:t>
      </w:r>
    </w:p>
    <w:p>
      <w:pPr>
        <w:pStyle w:val="ListParagraph"/>
        <w:numPr>
          <w:ilvl w:val="0"/>
          <w:numId w:val="9"/>
        </w:numPr>
        <w:tabs>
          <w:tab w:pos="627" w:val="left" w:leader="none"/>
        </w:tabs>
        <w:spacing w:line="240" w:lineRule="auto" w:before="0" w:after="0"/>
        <w:ind w:left="626" w:right="43" w:hanging="389"/>
        <w:jc w:val="both"/>
        <w:rPr>
          <w:sz w:val="18"/>
        </w:rPr>
      </w:pPr>
      <w:r>
        <w:rPr>
          <w:sz w:val="18"/>
        </w:rPr>
        <w:t>Balsa A, Carmona L, Gonzalez-Alvaro I, Belmonte MA. Value of DAS-28 and DAS 28-3 as compared to ACR- defined remission in rheumatoid arthritis. </w:t>
      </w:r>
      <w:r>
        <w:rPr>
          <w:i/>
          <w:sz w:val="18"/>
        </w:rPr>
        <w:t>J Rheumatol</w:t>
      </w:r>
      <w:r>
        <w:rPr>
          <w:i/>
          <w:sz w:val="18"/>
        </w:rPr>
        <w:t> </w:t>
      </w:r>
      <w:r>
        <w:rPr>
          <w:sz w:val="18"/>
        </w:rPr>
        <w:t>2004; 31: 40-46.</w:t>
      </w:r>
    </w:p>
    <w:p>
      <w:pPr>
        <w:pStyle w:val="ListParagraph"/>
        <w:numPr>
          <w:ilvl w:val="0"/>
          <w:numId w:val="9"/>
        </w:numPr>
        <w:tabs>
          <w:tab w:pos="627" w:val="left" w:leader="none"/>
        </w:tabs>
        <w:spacing w:line="240" w:lineRule="auto" w:before="0" w:after="0"/>
        <w:ind w:left="626" w:right="40" w:hanging="389"/>
        <w:jc w:val="both"/>
        <w:rPr>
          <w:sz w:val="18"/>
        </w:rPr>
      </w:pPr>
      <w:r>
        <w:rPr>
          <w:sz w:val="18"/>
        </w:rPr>
        <w:t>Rafi R, Peter TC, John LO, </w:t>
      </w:r>
      <w:r>
        <w:rPr>
          <w:i/>
          <w:sz w:val="18"/>
        </w:rPr>
        <w:t>et al</w:t>
      </w:r>
      <w:r>
        <w:rPr>
          <w:sz w:val="18"/>
        </w:rPr>
        <w:t>. Comparison of the 2010 </w:t>
      </w:r>
      <w:r>
        <w:rPr>
          <w:spacing w:val="-6"/>
          <w:sz w:val="18"/>
        </w:rPr>
        <w:t>American</w:t>
      </w:r>
      <w:r>
        <w:rPr>
          <w:spacing w:val="-2"/>
          <w:sz w:val="18"/>
        </w:rPr>
        <w:t> </w:t>
      </w:r>
      <w:r>
        <w:rPr>
          <w:spacing w:val="-6"/>
          <w:sz w:val="18"/>
        </w:rPr>
        <w:t>College of</w:t>
      </w:r>
      <w:r>
        <w:rPr>
          <w:spacing w:val="-2"/>
          <w:sz w:val="18"/>
        </w:rPr>
        <w:t> </w:t>
      </w:r>
      <w:r>
        <w:rPr>
          <w:spacing w:val="-6"/>
          <w:sz w:val="18"/>
        </w:rPr>
        <w:t>Rheumatology/European</w:t>
      </w:r>
      <w:r>
        <w:rPr>
          <w:spacing w:val="-1"/>
          <w:sz w:val="18"/>
        </w:rPr>
        <w:t> </w:t>
      </w:r>
      <w:r>
        <w:rPr>
          <w:spacing w:val="-6"/>
          <w:sz w:val="18"/>
        </w:rPr>
        <w:t>League</w:t>
      </w:r>
      <w:r>
        <w:rPr>
          <w:spacing w:val="-3"/>
          <w:sz w:val="18"/>
        </w:rPr>
        <w:t> </w:t>
      </w:r>
      <w:r>
        <w:rPr>
          <w:spacing w:val="-6"/>
          <w:sz w:val="18"/>
        </w:rPr>
        <w:t>Against</w:t>
      </w:r>
      <w:r>
        <w:rPr>
          <w:sz w:val="18"/>
        </w:rPr>
        <w:t> Rheumatism and the 1987 American Rheumatism Asso- ciation classification criteria for rheumatoid arthritis in an early arthritis cohort in New Zealand. </w:t>
      </w:r>
      <w:r>
        <w:rPr>
          <w:i/>
          <w:sz w:val="18"/>
        </w:rPr>
        <w:t>J Rheumatol</w:t>
      </w:r>
      <w:r>
        <w:rPr>
          <w:i/>
          <w:spacing w:val="-4"/>
          <w:sz w:val="18"/>
        </w:rPr>
        <w:t> </w:t>
      </w:r>
      <w:r>
        <w:rPr>
          <w:sz w:val="18"/>
        </w:rPr>
        <w:t>2012; 39(11): 2098-2103.</w:t>
      </w:r>
    </w:p>
    <w:p>
      <w:pPr>
        <w:pStyle w:val="ListParagraph"/>
        <w:numPr>
          <w:ilvl w:val="0"/>
          <w:numId w:val="9"/>
        </w:numPr>
        <w:tabs>
          <w:tab w:pos="627" w:val="left" w:leader="none"/>
        </w:tabs>
        <w:spacing w:line="240" w:lineRule="auto" w:before="0" w:after="0"/>
        <w:ind w:left="626" w:right="40" w:hanging="389"/>
        <w:jc w:val="both"/>
        <w:rPr>
          <w:sz w:val="18"/>
        </w:rPr>
      </w:pPr>
      <w:r>
        <w:rPr>
          <w:sz w:val="18"/>
        </w:rPr>
        <w:t>Spasovski D, Gruev T, Marina N, </w:t>
      </w:r>
      <w:r>
        <w:rPr>
          <w:i/>
          <w:sz w:val="18"/>
        </w:rPr>
        <w:t>et al</w:t>
      </w:r>
      <w:r>
        <w:rPr>
          <w:sz w:val="18"/>
        </w:rPr>
        <w:t>. The diagnostic value of N-acetyl-b-D-glucosaminidase and microalbumin </w:t>
      </w:r>
      <w:r>
        <w:rPr>
          <w:spacing w:val="-6"/>
          <w:sz w:val="18"/>
        </w:rPr>
        <w:t>concentrations in rheumatoid arthritis. </w:t>
      </w:r>
      <w:r>
        <w:rPr>
          <w:i/>
          <w:spacing w:val="-6"/>
          <w:sz w:val="18"/>
        </w:rPr>
        <w:t>JMB </w:t>
      </w:r>
      <w:r>
        <w:rPr>
          <w:spacing w:val="-6"/>
          <w:sz w:val="18"/>
        </w:rPr>
        <w:t>2007; 26: 300-308.</w:t>
      </w:r>
    </w:p>
    <w:p>
      <w:pPr>
        <w:pStyle w:val="ListParagraph"/>
        <w:numPr>
          <w:ilvl w:val="0"/>
          <w:numId w:val="9"/>
        </w:numPr>
        <w:tabs>
          <w:tab w:pos="627" w:val="left" w:leader="none"/>
        </w:tabs>
        <w:spacing w:line="240" w:lineRule="auto" w:before="1" w:after="0"/>
        <w:ind w:left="626" w:right="45" w:hanging="389"/>
        <w:jc w:val="both"/>
        <w:rPr>
          <w:sz w:val="18"/>
        </w:rPr>
      </w:pPr>
      <w:r>
        <w:rPr>
          <w:sz w:val="18"/>
        </w:rPr>
        <w:t>Shunsuke M, Tamami Y, Naoyuki H, Yukitaka U. Preva- lence of and</w:t>
      </w:r>
      <w:r>
        <w:rPr>
          <w:spacing w:val="20"/>
          <w:sz w:val="18"/>
        </w:rPr>
        <w:t> </w:t>
      </w:r>
      <w:r>
        <w:rPr>
          <w:sz w:val="18"/>
        </w:rPr>
        <w:t>factors associated</w:t>
      </w:r>
      <w:r>
        <w:rPr>
          <w:spacing w:val="22"/>
          <w:sz w:val="18"/>
        </w:rPr>
        <w:t> </w:t>
      </w:r>
      <w:r>
        <w:rPr>
          <w:sz w:val="18"/>
        </w:rPr>
        <w:t>with</w:t>
      </w:r>
      <w:r>
        <w:rPr>
          <w:spacing w:val="20"/>
          <w:sz w:val="18"/>
        </w:rPr>
        <w:t> </w:t>
      </w:r>
      <w:r>
        <w:rPr>
          <w:sz w:val="18"/>
        </w:rPr>
        <w:t>renal dysfunction in</w:t>
      </w:r>
    </w:p>
    <w:p>
      <w:pPr>
        <w:spacing w:before="93"/>
        <w:ind w:left="626" w:right="293" w:firstLine="0"/>
        <w:jc w:val="both"/>
        <w:rPr>
          <w:sz w:val="18"/>
        </w:rPr>
      </w:pPr>
      <w:r>
        <w:rPr/>
        <w:br w:type="column"/>
      </w:r>
      <w:r>
        <w:rPr>
          <w:sz w:val="18"/>
        </w:rPr>
        <w:t>rheumatoid arthritis patients: a</w:t>
      </w:r>
      <w:r>
        <w:rPr>
          <w:spacing w:val="-1"/>
          <w:sz w:val="18"/>
        </w:rPr>
        <w:t> </w:t>
      </w:r>
      <w:r>
        <w:rPr>
          <w:sz w:val="18"/>
        </w:rPr>
        <w:t>cross-sectional study</w:t>
      </w:r>
      <w:r>
        <w:rPr>
          <w:spacing w:val="-4"/>
          <w:sz w:val="18"/>
        </w:rPr>
        <w:t> </w:t>
      </w:r>
      <w:r>
        <w:rPr>
          <w:sz w:val="18"/>
        </w:rPr>
        <w:t>in co- </w:t>
      </w:r>
      <w:r>
        <w:rPr>
          <w:spacing w:val="-4"/>
          <w:sz w:val="18"/>
        </w:rPr>
        <w:t>mmunity</w:t>
      </w:r>
      <w:r>
        <w:rPr>
          <w:sz w:val="18"/>
        </w:rPr>
        <w:t> </w:t>
      </w:r>
      <w:r>
        <w:rPr>
          <w:spacing w:val="-4"/>
          <w:sz w:val="18"/>
        </w:rPr>
        <w:t>hospitals.</w:t>
      </w:r>
      <w:r>
        <w:rPr>
          <w:spacing w:val="-7"/>
          <w:sz w:val="18"/>
        </w:rPr>
        <w:t> </w:t>
      </w:r>
      <w:r>
        <w:rPr>
          <w:i/>
          <w:spacing w:val="-4"/>
          <w:sz w:val="18"/>
        </w:rPr>
        <w:t>Clin</w:t>
      </w:r>
      <w:r>
        <w:rPr>
          <w:i/>
          <w:spacing w:val="-9"/>
          <w:sz w:val="18"/>
        </w:rPr>
        <w:t> </w:t>
      </w:r>
      <w:r>
        <w:rPr>
          <w:i/>
          <w:spacing w:val="-4"/>
          <w:sz w:val="18"/>
        </w:rPr>
        <w:t>Rheumatol</w:t>
      </w:r>
      <w:r>
        <w:rPr>
          <w:i/>
          <w:spacing w:val="-7"/>
          <w:sz w:val="18"/>
        </w:rPr>
        <w:t> </w:t>
      </w:r>
      <w:r>
        <w:rPr>
          <w:spacing w:val="-4"/>
          <w:sz w:val="18"/>
        </w:rPr>
        <w:t>2017;</w:t>
      </w:r>
      <w:r>
        <w:rPr>
          <w:spacing w:val="-10"/>
          <w:sz w:val="18"/>
        </w:rPr>
        <w:t> </w:t>
      </w:r>
      <w:r>
        <w:rPr>
          <w:spacing w:val="-4"/>
          <w:sz w:val="18"/>
        </w:rPr>
        <w:t>36(12):</w:t>
      </w:r>
      <w:r>
        <w:rPr>
          <w:spacing w:val="-10"/>
          <w:sz w:val="18"/>
        </w:rPr>
        <w:t> </w:t>
      </w:r>
      <w:r>
        <w:rPr>
          <w:spacing w:val="-4"/>
          <w:sz w:val="18"/>
        </w:rPr>
        <w:t>2673-2682.</w:t>
      </w:r>
    </w:p>
    <w:p>
      <w:pPr>
        <w:pStyle w:val="ListParagraph"/>
        <w:numPr>
          <w:ilvl w:val="0"/>
          <w:numId w:val="9"/>
        </w:numPr>
        <w:tabs>
          <w:tab w:pos="627" w:val="left" w:leader="none"/>
        </w:tabs>
        <w:spacing w:line="240" w:lineRule="auto" w:before="1" w:after="0"/>
        <w:ind w:left="626" w:right="287" w:hanging="389"/>
        <w:jc w:val="both"/>
        <w:rPr>
          <w:sz w:val="18"/>
        </w:rPr>
      </w:pPr>
      <w:hyperlink r:id="rId480">
        <w:r>
          <w:rPr>
            <w:sz w:val="18"/>
          </w:rPr>
          <w:t>Knudsen LS,</w:t>
        </w:r>
      </w:hyperlink>
      <w:r>
        <w:rPr>
          <w:sz w:val="18"/>
        </w:rPr>
        <w:t> </w:t>
      </w:r>
      <w:hyperlink r:id="rId481">
        <w:r>
          <w:rPr>
            <w:sz w:val="18"/>
          </w:rPr>
          <w:t>Klarlund M,</w:t>
        </w:r>
      </w:hyperlink>
      <w:r>
        <w:rPr>
          <w:sz w:val="18"/>
        </w:rPr>
        <w:t> </w:t>
      </w:r>
      <w:hyperlink r:id="rId482">
        <w:r>
          <w:rPr>
            <w:sz w:val="18"/>
          </w:rPr>
          <w:t>Skjodt H,</w:t>
        </w:r>
      </w:hyperlink>
      <w:r>
        <w:rPr>
          <w:sz w:val="18"/>
        </w:rPr>
        <w:t> </w:t>
      </w:r>
      <w:r>
        <w:rPr>
          <w:i/>
          <w:sz w:val="18"/>
        </w:rPr>
        <w:t>et al</w:t>
      </w:r>
      <w:r>
        <w:rPr>
          <w:sz w:val="18"/>
        </w:rPr>
        <w:t>. Biomarkers of inflammation in patients with unclassified polyarthritis</w:t>
      </w:r>
      <w:r>
        <w:rPr>
          <w:spacing w:val="80"/>
          <w:sz w:val="18"/>
        </w:rPr>
        <w:t> </w:t>
      </w:r>
      <w:r>
        <w:rPr>
          <w:spacing w:val="-4"/>
          <w:sz w:val="18"/>
        </w:rPr>
        <w:t>and early</w:t>
      </w:r>
      <w:r>
        <w:rPr>
          <w:spacing w:val="-6"/>
          <w:sz w:val="18"/>
        </w:rPr>
        <w:t> </w:t>
      </w:r>
      <w:r>
        <w:rPr>
          <w:spacing w:val="-4"/>
          <w:sz w:val="18"/>
        </w:rPr>
        <w:t>rheumatoid arthritis. Relationship to disease</w:t>
      </w:r>
      <w:r>
        <w:rPr>
          <w:spacing w:val="-6"/>
          <w:sz w:val="18"/>
        </w:rPr>
        <w:t> </w:t>
      </w:r>
      <w:r>
        <w:rPr>
          <w:spacing w:val="-4"/>
          <w:sz w:val="18"/>
        </w:rPr>
        <w:t>activity and</w:t>
      </w:r>
      <w:r>
        <w:rPr>
          <w:spacing w:val="-7"/>
          <w:sz w:val="18"/>
        </w:rPr>
        <w:t> </w:t>
      </w:r>
      <w:r>
        <w:rPr>
          <w:spacing w:val="-4"/>
          <w:sz w:val="18"/>
        </w:rPr>
        <w:t>radiographic</w:t>
      </w:r>
      <w:r>
        <w:rPr>
          <w:spacing w:val="-9"/>
          <w:sz w:val="18"/>
        </w:rPr>
        <w:t> </w:t>
      </w:r>
      <w:r>
        <w:rPr>
          <w:spacing w:val="-4"/>
          <w:sz w:val="18"/>
        </w:rPr>
        <w:t>outcome.</w:t>
      </w:r>
      <w:r>
        <w:rPr>
          <w:spacing w:val="-5"/>
          <w:sz w:val="18"/>
        </w:rPr>
        <w:t> </w:t>
      </w:r>
      <w:r>
        <w:rPr>
          <w:i/>
          <w:spacing w:val="-4"/>
          <w:sz w:val="18"/>
        </w:rPr>
        <w:t>J</w:t>
      </w:r>
      <w:r>
        <w:rPr>
          <w:i/>
          <w:spacing w:val="-9"/>
          <w:sz w:val="18"/>
        </w:rPr>
        <w:t> </w:t>
      </w:r>
      <w:r>
        <w:rPr>
          <w:i/>
          <w:spacing w:val="-4"/>
          <w:sz w:val="18"/>
        </w:rPr>
        <w:t>Rheumatol</w:t>
      </w:r>
      <w:r>
        <w:rPr>
          <w:i/>
          <w:spacing w:val="-8"/>
          <w:sz w:val="18"/>
        </w:rPr>
        <w:t> </w:t>
      </w:r>
      <w:r>
        <w:rPr>
          <w:spacing w:val="-4"/>
          <w:sz w:val="18"/>
        </w:rPr>
        <w:t>2008;</w:t>
      </w:r>
      <w:r>
        <w:rPr>
          <w:spacing w:val="-8"/>
          <w:sz w:val="18"/>
        </w:rPr>
        <w:t> </w:t>
      </w:r>
      <w:r>
        <w:rPr>
          <w:spacing w:val="-4"/>
          <w:sz w:val="18"/>
        </w:rPr>
        <w:t>35:</w:t>
      </w:r>
      <w:r>
        <w:rPr>
          <w:spacing w:val="-8"/>
          <w:sz w:val="18"/>
        </w:rPr>
        <w:t> </w:t>
      </w:r>
      <w:r>
        <w:rPr>
          <w:spacing w:val="-4"/>
          <w:sz w:val="18"/>
        </w:rPr>
        <w:t>1277-1287.</w:t>
      </w:r>
    </w:p>
    <w:p>
      <w:pPr>
        <w:pStyle w:val="ListParagraph"/>
        <w:numPr>
          <w:ilvl w:val="0"/>
          <w:numId w:val="9"/>
        </w:numPr>
        <w:tabs>
          <w:tab w:pos="627" w:val="left" w:leader="none"/>
        </w:tabs>
        <w:spacing w:line="240" w:lineRule="auto" w:before="0" w:after="0"/>
        <w:ind w:left="626" w:right="288" w:hanging="389"/>
        <w:jc w:val="both"/>
        <w:rPr>
          <w:sz w:val="18"/>
        </w:rPr>
      </w:pPr>
      <w:hyperlink r:id="rId483">
        <w:r>
          <w:rPr>
            <w:sz w:val="18"/>
          </w:rPr>
          <w:t>Koseki</w:t>
        </w:r>
        <w:r>
          <w:rPr>
            <w:spacing w:val="-9"/>
            <w:sz w:val="18"/>
          </w:rPr>
          <w:t> </w:t>
        </w:r>
        <w:r>
          <w:rPr>
            <w:sz w:val="18"/>
          </w:rPr>
          <w:t>Y,</w:t>
        </w:r>
      </w:hyperlink>
      <w:r>
        <w:rPr>
          <w:spacing w:val="-9"/>
          <w:sz w:val="18"/>
        </w:rPr>
        <w:t> </w:t>
      </w:r>
      <w:hyperlink r:id="rId484">
        <w:r>
          <w:rPr>
            <w:sz w:val="18"/>
          </w:rPr>
          <w:t>Terai</w:t>
        </w:r>
        <w:r>
          <w:rPr>
            <w:spacing w:val="-9"/>
            <w:sz w:val="18"/>
          </w:rPr>
          <w:t> </w:t>
        </w:r>
        <w:r>
          <w:rPr>
            <w:sz w:val="18"/>
          </w:rPr>
          <w:t>C,</w:t>
        </w:r>
      </w:hyperlink>
      <w:r>
        <w:rPr>
          <w:spacing w:val="-10"/>
          <w:sz w:val="18"/>
        </w:rPr>
        <w:t> </w:t>
      </w:r>
      <w:hyperlink r:id="rId485">
        <w:r>
          <w:rPr>
            <w:sz w:val="18"/>
          </w:rPr>
          <w:t>Moriguchi</w:t>
        </w:r>
        <w:r>
          <w:rPr>
            <w:spacing w:val="-11"/>
            <w:sz w:val="18"/>
          </w:rPr>
          <w:t> </w:t>
        </w:r>
        <w:r>
          <w:rPr>
            <w:sz w:val="18"/>
          </w:rPr>
          <w:t>M,</w:t>
        </w:r>
      </w:hyperlink>
      <w:r>
        <w:rPr>
          <w:spacing w:val="-9"/>
          <w:sz w:val="18"/>
        </w:rPr>
        <w:t> </w:t>
      </w:r>
      <w:r>
        <w:rPr>
          <w:i/>
          <w:sz w:val="18"/>
        </w:rPr>
        <w:t>et</w:t>
      </w:r>
      <w:r>
        <w:rPr>
          <w:i/>
          <w:spacing w:val="-11"/>
          <w:sz w:val="18"/>
        </w:rPr>
        <w:t> </w:t>
      </w:r>
      <w:r>
        <w:rPr>
          <w:i/>
          <w:sz w:val="18"/>
        </w:rPr>
        <w:t>al</w:t>
      </w:r>
      <w:r>
        <w:rPr>
          <w:sz w:val="18"/>
        </w:rPr>
        <w:t>.</w:t>
      </w:r>
      <w:r>
        <w:rPr>
          <w:spacing w:val="-9"/>
          <w:sz w:val="18"/>
        </w:rPr>
        <w:t> </w:t>
      </w:r>
      <w:r>
        <w:rPr>
          <w:sz w:val="18"/>
        </w:rPr>
        <w:t>A</w:t>
      </w:r>
      <w:r>
        <w:rPr>
          <w:spacing w:val="-11"/>
          <w:sz w:val="18"/>
        </w:rPr>
        <w:t> </w:t>
      </w:r>
      <w:r>
        <w:rPr>
          <w:sz w:val="18"/>
        </w:rPr>
        <w:t>prospective</w:t>
      </w:r>
      <w:r>
        <w:rPr>
          <w:spacing w:val="-10"/>
          <w:sz w:val="18"/>
        </w:rPr>
        <w:t> </w:t>
      </w:r>
      <w:r>
        <w:rPr>
          <w:sz w:val="18"/>
        </w:rPr>
        <w:t>study of renal disease in patients with early rheumatoid arthritis. </w:t>
      </w:r>
      <w:r>
        <w:rPr>
          <w:i/>
          <w:sz w:val="18"/>
        </w:rPr>
        <w:t>Ann Rheum Dis </w:t>
      </w:r>
      <w:r>
        <w:rPr>
          <w:sz w:val="18"/>
        </w:rPr>
        <w:t>2001; 60: 327-331.</w:t>
      </w:r>
    </w:p>
    <w:p>
      <w:pPr>
        <w:pStyle w:val="ListParagraph"/>
        <w:numPr>
          <w:ilvl w:val="0"/>
          <w:numId w:val="9"/>
        </w:numPr>
        <w:tabs>
          <w:tab w:pos="627" w:val="left" w:leader="none"/>
        </w:tabs>
        <w:spacing w:line="240" w:lineRule="auto" w:before="0" w:after="0"/>
        <w:ind w:left="626" w:right="294" w:hanging="389"/>
        <w:jc w:val="both"/>
        <w:rPr>
          <w:sz w:val="18"/>
        </w:rPr>
      </w:pPr>
      <w:hyperlink r:id="rId486">
        <w:r>
          <w:rPr>
            <w:sz w:val="18"/>
          </w:rPr>
          <w:t>Marchewka Z,</w:t>
        </w:r>
      </w:hyperlink>
      <w:r>
        <w:rPr>
          <w:sz w:val="18"/>
        </w:rPr>
        <w:t> </w:t>
      </w:r>
      <w:hyperlink r:id="rId487">
        <w:r>
          <w:rPr>
            <w:sz w:val="18"/>
          </w:rPr>
          <w:t>Przewłocki M,</w:t>
        </w:r>
      </w:hyperlink>
      <w:r>
        <w:rPr>
          <w:sz w:val="18"/>
        </w:rPr>
        <w:t> </w:t>
      </w:r>
      <w:hyperlink r:id="rId488">
        <w:r>
          <w:rPr>
            <w:sz w:val="18"/>
          </w:rPr>
          <w:t>Lepka M,</w:t>
        </w:r>
      </w:hyperlink>
      <w:r>
        <w:rPr>
          <w:sz w:val="18"/>
        </w:rPr>
        <w:t> </w:t>
      </w:r>
      <w:r>
        <w:rPr>
          <w:i/>
          <w:sz w:val="18"/>
        </w:rPr>
        <w:t>et al</w:t>
      </w:r>
      <w:r>
        <w:rPr>
          <w:sz w:val="18"/>
        </w:rPr>
        <w:t>. Selected biochemical parameters of urine in the evaluation of para- cetamol nephrotoxicity. </w:t>
      </w:r>
      <w:r>
        <w:rPr>
          <w:i/>
          <w:sz w:val="18"/>
        </w:rPr>
        <w:t>Przegl Lek </w:t>
      </w:r>
      <w:r>
        <w:rPr>
          <w:sz w:val="18"/>
        </w:rPr>
        <w:t>2006; 63: 1299-1303.</w:t>
      </w:r>
    </w:p>
    <w:p>
      <w:pPr>
        <w:pStyle w:val="ListParagraph"/>
        <w:numPr>
          <w:ilvl w:val="0"/>
          <w:numId w:val="9"/>
        </w:numPr>
        <w:tabs>
          <w:tab w:pos="627" w:val="left" w:leader="none"/>
        </w:tabs>
        <w:spacing w:line="240" w:lineRule="auto" w:before="0" w:after="0"/>
        <w:ind w:left="626" w:right="293" w:hanging="389"/>
        <w:jc w:val="both"/>
        <w:rPr>
          <w:sz w:val="18"/>
        </w:rPr>
      </w:pPr>
      <w:hyperlink r:id="rId489">
        <w:r>
          <w:rPr>
            <w:sz w:val="18"/>
          </w:rPr>
          <w:t>da Silva Melo DA,</w:t>
        </w:r>
      </w:hyperlink>
      <w:r>
        <w:rPr>
          <w:sz w:val="18"/>
        </w:rPr>
        <w:t> </w:t>
      </w:r>
      <w:hyperlink r:id="rId490">
        <w:r>
          <w:rPr>
            <w:sz w:val="18"/>
          </w:rPr>
          <w:t>Saciura VC,</w:t>
        </w:r>
      </w:hyperlink>
      <w:r>
        <w:rPr>
          <w:sz w:val="18"/>
        </w:rPr>
        <w:t> </w:t>
      </w:r>
      <w:hyperlink r:id="rId491">
        <w:r>
          <w:rPr>
            <w:sz w:val="18"/>
          </w:rPr>
          <w:t>Poloni JA,</w:t>
        </w:r>
      </w:hyperlink>
      <w:r>
        <w:rPr>
          <w:sz w:val="18"/>
        </w:rPr>
        <w:t> </w:t>
      </w:r>
      <w:r>
        <w:rPr>
          <w:i/>
          <w:sz w:val="18"/>
        </w:rPr>
        <w:t>et al</w:t>
      </w:r>
      <w:r>
        <w:rPr>
          <w:sz w:val="18"/>
        </w:rPr>
        <w:t>. Eva- luation of renal enzymuria and cellular excretion as an marker of acute nephrotoxicity due to an overdose of paracetamol. Clin Chim Acta 2006; 373: 88-89.</w:t>
      </w:r>
    </w:p>
    <w:p>
      <w:pPr>
        <w:spacing w:after="0" w:line="240" w:lineRule="auto"/>
        <w:jc w:val="both"/>
        <w:rPr>
          <w:sz w:val="18"/>
        </w:rPr>
        <w:sectPr>
          <w:type w:val="continuous"/>
          <w:pgSz w:w="11910" w:h="16840"/>
          <w:pgMar w:header="854" w:footer="0" w:top="740" w:bottom="0" w:left="900" w:right="840"/>
          <w:cols w:num="2" w:equalWidth="0">
            <w:col w:w="4921" w:space="77"/>
            <w:col w:w="5172"/>
          </w:cols>
        </w:sectPr>
      </w:pPr>
    </w:p>
    <w:p>
      <w:pPr>
        <w:pStyle w:val="BodyText"/>
        <w:spacing w:before="10"/>
        <w:rPr>
          <w:sz w:val="10"/>
        </w:rPr>
      </w:pPr>
    </w:p>
    <w:p>
      <w:pPr>
        <w:spacing w:before="90"/>
        <w:ind w:left="238" w:right="0" w:firstLine="0"/>
        <w:jc w:val="left"/>
        <w:rPr>
          <w:i/>
          <w:sz w:val="24"/>
        </w:rPr>
      </w:pPr>
      <w:r>
        <w:rPr>
          <w:i/>
          <w:sz w:val="24"/>
        </w:rPr>
        <w:t>Case</w:t>
      </w:r>
      <w:r>
        <w:rPr>
          <w:i/>
          <w:spacing w:val="-3"/>
          <w:sz w:val="24"/>
        </w:rPr>
        <w:t> </w:t>
      </w:r>
      <w:r>
        <w:rPr>
          <w:i/>
          <w:spacing w:val="-2"/>
          <w:sz w:val="24"/>
        </w:rPr>
        <w:t>report</w:t>
      </w:r>
    </w:p>
    <w:p>
      <w:pPr>
        <w:pStyle w:val="BodyText"/>
        <w:spacing w:before="8"/>
        <w:rPr>
          <w:i/>
        </w:rPr>
      </w:pPr>
    </w:p>
    <w:p>
      <w:pPr>
        <w:pStyle w:val="Heading2"/>
        <w:ind w:right="928"/>
      </w:pPr>
      <w:bookmarkStart w:name="_TOC_250014" w:id="8"/>
      <w:r>
        <w:rPr/>
        <w:t>CARDIOVASCULAR</w:t>
      </w:r>
      <w:r>
        <w:rPr>
          <w:spacing w:val="-7"/>
        </w:rPr>
        <w:t> </w:t>
      </w:r>
      <w:r>
        <w:rPr/>
        <w:t>COMPLICATIONS</w:t>
      </w:r>
      <w:r>
        <w:rPr>
          <w:spacing w:val="-6"/>
        </w:rPr>
        <w:t> </w:t>
      </w:r>
      <w:r>
        <w:rPr/>
        <w:t>IN</w:t>
      </w:r>
      <w:r>
        <w:rPr>
          <w:spacing w:val="-5"/>
        </w:rPr>
        <w:t> </w:t>
      </w:r>
      <w:r>
        <w:rPr/>
        <w:t>COVID-19</w:t>
      </w:r>
      <w:r>
        <w:rPr>
          <w:spacing w:val="-6"/>
        </w:rPr>
        <w:t> </w:t>
      </w:r>
      <w:r>
        <w:rPr/>
        <w:t>INFECTED</w:t>
      </w:r>
      <w:r>
        <w:rPr>
          <w:spacing w:val="-7"/>
        </w:rPr>
        <w:t> </w:t>
      </w:r>
      <w:r>
        <w:rPr/>
        <w:t>PATIENTS:</w:t>
      </w:r>
      <w:r>
        <w:rPr>
          <w:spacing w:val="-6"/>
        </w:rPr>
        <w:t> </w:t>
      </w:r>
      <w:bookmarkEnd w:id="8"/>
      <w:r>
        <w:rPr/>
        <w:t>MASSIVE PULMONARY EMBOLISM AND MYOCARDIAL INFARCTION WITH ACUTE HEART FAILURE - CASE SERIES REPORT</w:t>
      </w:r>
    </w:p>
    <w:p>
      <w:pPr>
        <w:pStyle w:val="BodyText"/>
        <w:rPr>
          <w:b/>
        </w:rPr>
      </w:pPr>
    </w:p>
    <w:p>
      <w:pPr>
        <w:pStyle w:val="Heading2"/>
        <w:ind w:right="354"/>
        <w:jc w:val="both"/>
      </w:pPr>
      <w:bookmarkStart w:name="_TOC_250013" w:id="9"/>
      <w:r>
        <w:rPr/>
        <w:t>КАРДИОВАСКУЛАРНИ</w:t>
      </w:r>
      <w:r>
        <w:rPr>
          <w:spacing w:val="-5"/>
        </w:rPr>
        <w:t> </w:t>
      </w:r>
      <w:r>
        <w:rPr/>
        <w:t>КОМПЛИКАЦИИ</w:t>
      </w:r>
      <w:r>
        <w:rPr>
          <w:spacing w:val="-8"/>
        </w:rPr>
        <w:t> </w:t>
      </w:r>
      <w:r>
        <w:rPr/>
        <w:t>КАЈ</w:t>
      </w:r>
      <w:r>
        <w:rPr>
          <w:spacing w:val="-3"/>
        </w:rPr>
        <w:t> </w:t>
      </w:r>
      <w:r>
        <w:rPr/>
        <w:t>COVID-19</w:t>
      </w:r>
      <w:r>
        <w:rPr>
          <w:spacing w:val="-6"/>
        </w:rPr>
        <w:t> </w:t>
      </w:r>
      <w:r>
        <w:rPr/>
        <w:t>БОЛНИ</w:t>
      </w:r>
      <w:r>
        <w:rPr>
          <w:spacing w:val="-8"/>
        </w:rPr>
        <w:t> </w:t>
      </w:r>
      <w:r>
        <w:rPr/>
        <w:t>ПАЦИЕНТИ:</w:t>
      </w:r>
      <w:r>
        <w:rPr>
          <w:spacing w:val="-5"/>
        </w:rPr>
        <w:t> </w:t>
      </w:r>
      <w:r>
        <w:rPr/>
        <w:t>МАСИВНА БЕЛОДРОБНА ЕМБОЛИЈА И МИОКАРДЕН ИНФАРКТ СО АКУТНА</w:t>
      </w:r>
      <w:r>
        <w:rPr>
          <w:spacing w:val="-2"/>
        </w:rPr>
        <w:t> </w:t>
      </w:r>
      <w:bookmarkEnd w:id="9"/>
      <w:r>
        <w:rPr/>
        <w:t>СРЦЕВА СЛАБОСТ – ПРИКАЗИ НА СЛУЧАИ</w:t>
      </w:r>
    </w:p>
    <w:p>
      <w:pPr>
        <w:pStyle w:val="BodyText"/>
        <w:spacing w:before="5"/>
        <w:rPr>
          <w:b/>
          <w:sz w:val="20"/>
        </w:rPr>
      </w:pPr>
    </w:p>
    <w:p>
      <w:pPr>
        <w:pStyle w:val="Heading1"/>
      </w:pPr>
      <w:bookmarkStart w:name="_TOC_250012" w:id="10"/>
      <w:r>
        <w:rPr/>
        <w:t>Irena</w:t>
      </w:r>
      <w:r>
        <w:rPr>
          <w:spacing w:val="-6"/>
        </w:rPr>
        <w:t> </w:t>
      </w:r>
      <w:r>
        <w:rPr/>
        <w:t>Mitevska,</w:t>
      </w:r>
      <w:r>
        <w:rPr>
          <w:spacing w:val="-2"/>
        </w:rPr>
        <w:t> </w:t>
      </w:r>
      <w:r>
        <w:rPr/>
        <w:t>Oliver</w:t>
      </w:r>
      <w:r>
        <w:rPr>
          <w:spacing w:val="-3"/>
        </w:rPr>
        <w:t> </w:t>
      </w:r>
      <w:r>
        <w:rPr/>
        <w:t>Busletikј,</w:t>
      </w:r>
      <w:r>
        <w:rPr>
          <w:spacing w:val="-2"/>
        </w:rPr>
        <w:t> </w:t>
      </w:r>
      <w:r>
        <w:rPr/>
        <w:t>Elena</w:t>
      </w:r>
      <w:r>
        <w:rPr>
          <w:spacing w:val="-3"/>
        </w:rPr>
        <w:t> </w:t>
      </w:r>
      <w:r>
        <w:rPr/>
        <w:t>Grueva.</w:t>
      </w:r>
      <w:r>
        <w:rPr>
          <w:spacing w:val="4"/>
        </w:rPr>
        <w:t> </w:t>
      </w:r>
      <w:r>
        <w:rPr/>
        <w:t>Irina</w:t>
      </w:r>
      <w:r>
        <w:rPr>
          <w:spacing w:val="-2"/>
        </w:rPr>
        <w:t> </w:t>
      </w:r>
      <w:r>
        <w:rPr/>
        <w:t>Kotlar</w:t>
      </w:r>
      <w:r>
        <w:rPr>
          <w:spacing w:val="-3"/>
        </w:rPr>
        <w:t> </w:t>
      </w:r>
      <w:r>
        <w:rPr/>
        <w:t>and</w:t>
      </w:r>
      <w:r>
        <w:rPr>
          <w:spacing w:val="-2"/>
        </w:rPr>
        <w:t> </w:t>
      </w:r>
      <w:r>
        <w:rPr/>
        <w:t>Elma</w:t>
      </w:r>
      <w:r>
        <w:rPr>
          <w:spacing w:val="-3"/>
        </w:rPr>
        <w:t> </w:t>
      </w:r>
      <w:bookmarkEnd w:id="10"/>
      <w:r>
        <w:rPr>
          <w:spacing w:val="-2"/>
        </w:rPr>
        <w:t>Kandic</w:t>
      </w:r>
    </w:p>
    <w:p>
      <w:pPr>
        <w:pStyle w:val="BodyText"/>
        <w:spacing w:before="1"/>
      </w:pPr>
    </w:p>
    <w:p>
      <w:pPr>
        <w:spacing w:before="0"/>
        <w:ind w:left="238" w:right="0" w:firstLine="0"/>
        <w:jc w:val="left"/>
        <w:rPr>
          <w:sz w:val="22"/>
        </w:rPr>
      </w:pPr>
      <w:r>
        <w:rPr>
          <w:sz w:val="22"/>
        </w:rPr>
        <w:t>University Clinic for Cardiology Diseases, Faculty of Medicine, Ss Cyril and Methodius University Skopje, Republic of North Macedonia</w:t>
      </w:r>
    </w:p>
    <w:p>
      <w:pPr>
        <w:pStyle w:val="BodyText"/>
        <w:spacing w:before="1"/>
        <w:rPr>
          <w:sz w:val="13"/>
        </w:rPr>
      </w:pPr>
    </w:p>
    <w:p>
      <w:pPr>
        <w:spacing w:after="0"/>
        <w:rPr>
          <w:sz w:val="13"/>
        </w:rPr>
        <w:sectPr>
          <w:headerReference w:type="default" r:id="rId492"/>
          <w:headerReference w:type="even" r:id="rId493"/>
          <w:pgSz w:w="11910" w:h="16840"/>
          <w:pgMar w:header="854" w:footer="0" w:top="1440" w:bottom="280" w:left="900" w:right="840"/>
        </w:sectPr>
      </w:pPr>
    </w:p>
    <w:p>
      <w:pPr>
        <w:pStyle w:val="Heading4"/>
        <w:spacing w:before="97"/>
      </w:pPr>
      <w:r>
        <w:rPr>
          <w:spacing w:val="-2"/>
        </w:rPr>
        <w:t>Аbstract</w:t>
      </w:r>
    </w:p>
    <w:p>
      <w:pPr>
        <w:pStyle w:val="BodyText"/>
        <w:spacing w:before="6"/>
        <w:rPr>
          <w:b/>
          <w:sz w:val="20"/>
        </w:rPr>
      </w:pPr>
    </w:p>
    <w:p>
      <w:pPr>
        <w:pStyle w:val="BodyText"/>
        <w:ind w:left="238" w:right="38"/>
        <w:jc w:val="both"/>
      </w:pPr>
      <w:r>
        <w:rPr/>
        <w:t>Patients with diagnosed COVID-19 infection have an increased risk of thrombotic events and complications, which</w:t>
      </w:r>
      <w:r>
        <w:rPr>
          <w:spacing w:val="-2"/>
        </w:rPr>
        <w:t> </w:t>
      </w:r>
      <w:r>
        <w:rPr/>
        <w:t>highly</w:t>
      </w:r>
      <w:r>
        <w:rPr>
          <w:spacing w:val="-7"/>
        </w:rPr>
        <w:t> </w:t>
      </w:r>
      <w:r>
        <w:rPr/>
        <w:t>contribute</w:t>
      </w:r>
      <w:r>
        <w:rPr>
          <w:spacing w:val="-2"/>
        </w:rPr>
        <w:t> </w:t>
      </w:r>
      <w:r>
        <w:rPr/>
        <w:t>to</w:t>
      </w:r>
      <w:r>
        <w:rPr>
          <w:spacing w:val="-2"/>
        </w:rPr>
        <w:t> </w:t>
      </w:r>
      <w:r>
        <w:rPr/>
        <w:t>raised</w:t>
      </w:r>
      <w:r>
        <w:rPr>
          <w:spacing w:val="-2"/>
        </w:rPr>
        <w:t> </w:t>
      </w:r>
      <w:r>
        <w:rPr/>
        <w:t>morbidity</w:t>
      </w:r>
      <w:r>
        <w:rPr>
          <w:spacing w:val="-7"/>
        </w:rPr>
        <w:t> </w:t>
      </w:r>
      <w:r>
        <w:rPr/>
        <w:t>and</w:t>
      </w:r>
      <w:r>
        <w:rPr>
          <w:spacing w:val="-2"/>
        </w:rPr>
        <w:t> </w:t>
      </w:r>
      <w:r>
        <w:rPr/>
        <w:t>morta- lity rate. Inflammation and hypercoagulability caused </w:t>
      </w:r>
      <w:r>
        <w:rPr>
          <w:spacing w:val="-4"/>
        </w:rPr>
        <w:t>by</w:t>
      </w:r>
      <w:r>
        <w:rPr>
          <w:spacing w:val="-7"/>
        </w:rPr>
        <w:t> </w:t>
      </w:r>
      <w:r>
        <w:rPr>
          <w:spacing w:val="-4"/>
        </w:rPr>
        <w:t>infection are responsible for</w:t>
      </w:r>
      <w:r>
        <w:rPr>
          <w:spacing w:val="-5"/>
        </w:rPr>
        <w:t> </w:t>
      </w:r>
      <w:r>
        <w:rPr>
          <w:spacing w:val="-4"/>
        </w:rPr>
        <w:t>pulmonary</w:t>
      </w:r>
      <w:r>
        <w:rPr>
          <w:spacing w:val="-6"/>
        </w:rPr>
        <w:t> </w:t>
      </w:r>
      <w:r>
        <w:rPr>
          <w:spacing w:val="-4"/>
        </w:rPr>
        <w:t>embolism</w:t>
      </w:r>
      <w:r>
        <w:rPr>
          <w:spacing w:val="-5"/>
        </w:rPr>
        <w:t> </w:t>
      </w:r>
      <w:r>
        <w:rPr>
          <w:spacing w:val="-4"/>
        </w:rPr>
        <w:t>and </w:t>
      </w:r>
      <w:r>
        <w:rPr/>
        <w:t>acute myocardial infarction in infected patients. Bed- side focus echocardiography is a very useful noninva- sive imaging method for fast diagnosis in critically ill patients suspected of being infected with COVID -19. We report two cases with acute thrombotic complica- tions</w:t>
      </w:r>
      <w:r>
        <w:rPr>
          <w:spacing w:val="-1"/>
        </w:rPr>
        <w:t> </w:t>
      </w:r>
      <w:r>
        <w:rPr/>
        <w:t>as</w:t>
      </w:r>
      <w:r>
        <w:rPr>
          <w:spacing w:val="-1"/>
        </w:rPr>
        <w:t> </w:t>
      </w:r>
      <w:r>
        <w:rPr/>
        <w:t>a</w:t>
      </w:r>
      <w:r>
        <w:rPr>
          <w:spacing w:val="-1"/>
        </w:rPr>
        <w:t> </w:t>
      </w:r>
      <w:r>
        <w:rPr/>
        <w:t>manifestation</w:t>
      </w:r>
      <w:r>
        <w:rPr>
          <w:spacing w:val="-1"/>
        </w:rPr>
        <w:t> </w:t>
      </w:r>
      <w:r>
        <w:rPr/>
        <w:t>of</w:t>
      </w:r>
      <w:r>
        <w:rPr>
          <w:spacing w:val="-4"/>
        </w:rPr>
        <w:t> </w:t>
      </w:r>
      <w:r>
        <w:rPr/>
        <w:t>COVID-19</w:t>
      </w:r>
      <w:r>
        <w:rPr>
          <w:spacing w:val="-1"/>
        </w:rPr>
        <w:t> </w:t>
      </w:r>
      <w:r>
        <w:rPr/>
        <w:t>infection.</w:t>
      </w:r>
      <w:r>
        <w:rPr>
          <w:spacing w:val="-1"/>
        </w:rPr>
        <w:t> </w:t>
      </w:r>
      <w:r>
        <w:rPr/>
        <w:t>Echo- cardiography</w:t>
      </w:r>
      <w:r>
        <w:rPr>
          <w:spacing w:val="-14"/>
        </w:rPr>
        <w:t> </w:t>
      </w:r>
      <w:r>
        <w:rPr/>
        <w:t>and</w:t>
      </w:r>
      <w:r>
        <w:rPr>
          <w:spacing w:val="-13"/>
        </w:rPr>
        <w:t> </w:t>
      </w:r>
      <w:r>
        <w:rPr/>
        <w:t>pulmonary</w:t>
      </w:r>
      <w:r>
        <w:rPr>
          <w:spacing w:val="-13"/>
        </w:rPr>
        <w:t> </w:t>
      </w:r>
      <w:r>
        <w:rPr/>
        <w:t>CT</w:t>
      </w:r>
      <w:r>
        <w:rPr>
          <w:spacing w:val="-13"/>
        </w:rPr>
        <w:t> </w:t>
      </w:r>
      <w:r>
        <w:rPr/>
        <w:t>angiography</w:t>
      </w:r>
      <w:r>
        <w:rPr>
          <w:spacing w:val="-13"/>
        </w:rPr>
        <w:t> </w:t>
      </w:r>
      <w:r>
        <w:rPr/>
        <w:t>helped</w:t>
      </w:r>
      <w:r>
        <w:rPr>
          <w:spacing w:val="-13"/>
        </w:rPr>
        <w:t> </w:t>
      </w:r>
      <w:r>
        <w:rPr/>
        <w:t>us to</w:t>
      </w:r>
      <w:r>
        <w:rPr>
          <w:spacing w:val="-14"/>
        </w:rPr>
        <w:t> </w:t>
      </w:r>
      <w:r>
        <w:rPr/>
        <w:t>properly</w:t>
      </w:r>
      <w:r>
        <w:rPr>
          <w:spacing w:val="-13"/>
        </w:rPr>
        <w:t> </w:t>
      </w:r>
      <w:r>
        <w:rPr/>
        <w:t>proceed</w:t>
      </w:r>
      <w:r>
        <w:rPr>
          <w:spacing w:val="-13"/>
        </w:rPr>
        <w:t> </w:t>
      </w:r>
      <w:r>
        <w:rPr/>
        <w:t>with</w:t>
      </w:r>
      <w:r>
        <w:rPr>
          <w:spacing w:val="-13"/>
        </w:rPr>
        <w:t> </w:t>
      </w:r>
      <w:r>
        <w:rPr/>
        <w:t>patient’s</w:t>
      </w:r>
      <w:r>
        <w:rPr>
          <w:spacing w:val="-13"/>
        </w:rPr>
        <w:t> </w:t>
      </w:r>
      <w:r>
        <w:rPr/>
        <w:t>management.</w:t>
      </w:r>
      <w:r>
        <w:rPr>
          <w:spacing w:val="-13"/>
        </w:rPr>
        <w:t> </w:t>
      </w:r>
      <w:r>
        <w:rPr/>
        <w:t>Prompt diagnosis and evidence-based management of these conditions</w:t>
      </w:r>
      <w:r>
        <w:rPr>
          <w:spacing w:val="26"/>
        </w:rPr>
        <w:t> </w:t>
      </w:r>
      <w:r>
        <w:rPr/>
        <w:t>are</w:t>
      </w:r>
      <w:r>
        <w:rPr>
          <w:spacing w:val="29"/>
        </w:rPr>
        <w:t> </w:t>
      </w:r>
      <w:r>
        <w:rPr/>
        <w:t>lifesaving.</w:t>
      </w:r>
      <w:r>
        <w:rPr>
          <w:spacing w:val="29"/>
        </w:rPr>
        <w:t> </w:t>
      </w:r>
      <w:r>
        <w:rPr/>
        <w:t>Echocardiography</w:t>
      </w:r>
      <w:r>
        <w:rPr>
          <w:spacing w:val="25"/>
        </w:rPr>
        <w:t> </w:t>
      </w:r>
      <w:r>
        <w:rPr/>
        <w:t>plays</w:t>
      </w:r>
      <w:r>
        <w:rPr>
          <w:spacing w:val="29"/>
        </w:rPr>
        <w:t> </w:t>
      </w:r>
      <w:r>
        <w:rPr>
          <w:spacing w:val="-5"/>
        </w:rPr>
        <w:t>an</w:t>
      </w:r>
    </w:p>
    <w:p>
      <w:pPr>
        <w:pStyle w:val="BodyText"/>
        <w:spacing w:before="92"/>
        <w:ind w:left="238" w:right="287"/>
        <w:jc w:val="both"/>
      </w:pPr>
      <w:r>
        <w:rPr/>
        <w:br w:type="column"/>
      </w:r>
      <w:r>
        <w:rPr/>
        <w:t>можна коронарна болест кај критично болни па- циенти кои се хемодинамски нестабилни со сус- пектна COVID-19 инфекција. Презентирани се два прикази на случаи со акутни тромботични компли- кации кај пациенти со COVI-19 инфекција, кај кои ехокардиографијата</w:t>
      </w:r>
      <w:r>
        <w:rPr>
          <w:spacing w:val="-14"/>
        </w:rPr>
        <w:t> </w:t>
      </w:r>
      <w:r>
        <w:rPr/>
        <w:t>и</w:t>
      </w:r>
      <w:r>
        <w:rPr>
          <w:spacing w:val="-13"/>
        </w:rPr>
        <w:t> </w:t>
      </w:r>
      <w:r>
        <w:rPr/>
        <w:t>плуќната</w:t>
      </w:r>
      <w:r>
        <w:rPr>
          <w:spacing w:val="-13"/>
        </w:rPr>
        <w:t> </w:t>
      </w:r>
      <w:r>
        <w:rPr/>
        <w:t>СТ</w:t>
      </w:r>
      <w:r>
        <w:rPr>
          <w:spacing w:val="-13"/>
        </w:rPr>
        <w:t> </w:t>
      </w:r>
      <w:r>
        <w:rPr/>
        <w:t>ангиографија</w:t>
      </w:r>
      <w:r>
        <w:rPr>
          <w:spacing w:val="-13"/>
        </w:rPr>
        <w:t> </w:t>
      </w:r>
      <w:r>
        <w:rPr/>
        <w:t>ни помогнаа соодветно да продолжиме со третманот на пациентите. Брзата дијагноза и третманот бази- ран на докази при овие состојби ги спасуваат жи- вотите</w:t>
      </w:r>
      <w:r>
        <w:rPr>
          <w:spacing w:val="-6"/>
        </w:rPr>
        <w:t> </w:t>
      </w:r>
      <w:r>
        <w:rPr/>
        <w:t>на</w:t>
      </w:r>
      <w:r>
        <w:rPr>
          <w:spacing w:val="-10"/>
        </w:rPr>
        <w:t> </w:t>
      </w:r>
      <w:r>
        <w:rPr/>
        <w:t>пациентите.</w:t>
      </w:r>
      <w:r>
        <w:rPr>
          <w:spacing w:val="-9"/>
        </w:rPr>
        <w:t> </w:t>
      </w:r>
      <w:r>
        <w:rPr/>
        <w:t>Фокусираната</w:t>
      </w:r>
      <w:r>
        <w:rPr>
          <w:spacing w:val="-10"/>
        </w:rPr>
        <w:t> </w:t>
      </w:r>
      <w:r>
        <w:rPr/>
        <w:t>ехокардиогра- фија има важна улога во дијгнозата и третманот на витално загрозени болни со тешка клиничка слика во услови на COVID-19 пандемија.</w:t>
      </w:r>
    </w:p>
    <w:p>
      <w:pPr>
        <w:pStyle w:val="BodyText"/>
        <w:spacing w:before="11"/>
        <w:rPr>
          <w:sz w:val="20"/>
        </w:rPr>
      </w:pPr>
    </w:p>
    <w:p>
      <w:pPr>
        <w:pStyle w:val="BodyText"/>
        <w:ind w:left="238" w:right="290"/>
        <w:jc w:val="both"/>
      </w:pPr>
      <w:r>
        <w:rPr>
          <w:b/>
        </w:rPr>
        <w:t>Клучни зборови:</w:t>
      </w:r>
      <w:r>
        <w:rPr>
          <w:b/>
          <w:spacing w:val="40"/>
        </w:rPr>
        <w:t> </w:t>
      </w:r>
      <w:r>
        <w:rPr/>
        <w:t>COVID-19</w:t>
      </w:r>
      <w:r>
        <w:rPr>
          <w:spacing w:val="40"/>
        </w:rPr>
        <w:t> </w:t>
      </w:r>
      <w:r>
        <w:rPr/>
        <w:t>инфекција, ехокар- диографија,</w:t>
      </w:r>
      <w:r>
        <w:rPr>
          <w:spacing w:val="-14"/>
        </w:rPr>
        <w:t> </w:t>
      </w:r>
      <w:r>
        <w:rPr/>
        <w:t>белодробна</w:t>
      </w:r>
      <w:r>
        <w:rPr>
          <w:spacing w:val="-13"/>
        </w:rPr>
        <w:t> </w:t>
      </w:r>
      <w:r>
        <w:rPr/>
        <w:t>емболија,</w:t>
      </w:r>
      <w:r>
        <w:rPr>
          <w:spacing w:val="-13"/>
        </w:rPr>
        <w:t> </w:t>
      </w:r>
      <w:r>
        <w:rPr/>
        <w:t>СТ</w:t>
      </w:r>
      <w:r>
        <w:rPr>
          <w:spacing w:val="-13"/>
        </w:rPr>
        <w:t> </w:t>
      </w:r>
      <w:r>
        <w:rPr/>
        <w:t>ангиографија, СТ сегмент миокарден инфакркт</w:t>
      </w:r>
    </w:p>
    <w:p>
      <w:pPr>
        <w:spacing w:after="0"/>
        <w:jc w:val="both"/>
        <w:sectPr>
          <w:type w:val="continuous"/>
          <w:pgSz w:w="11910" w:h="16840"/>
          <w:pgMar w:header="859" w:footer="0" w:top="740" w:bottom="0" w:left="900" w:right="840"/>
          <w:cols w:num="2" w:equalWidth="0">
            <w:col w:w="4918" w:space="80"/>
            <w:col w:w="5172"/>
          </w:cols>
        </w:sectPr>
      </w:pPr>
    </w:p>
    <w:p>
      <w:pPr>
        <w:pStyle w:val="BodyText"/>
        <w:tabs>
          <w:tab w:pos="5235" w:val="left" w:leader="none"/>
          <w:tab w:pos="9801" w:val="left" w:leader="none"/>
        </w:tabs>
        <w:ind w:left="238" w:right="365"/>
      </w:pPr>
      <w:r>
        <w:rPr/>
        <w:t>important role in the bedside management of critically</w:t>
        <w:tab/>
      </w:r>
      <w:r>
        <w:rPr>
          <w:u w:val="single"/>
        </w:rPr>
        <w:tab/>
      </w:r>
      <w:r>
        <w:rPr/>
        <w:t> ill patients during the COVID-19 pandemic.</w:t>
      </w:r>
    </w:p>
    <w:p>
      <w:pPr>
        <w:spacing w:after="0"/>
        <w:sectPr>
          <w:type w:val="continuous"/>
          <w:pgSz w:w="11910" w:h="16840"/>
          <w:pgMar w:header="859" w:footer="0" w:top="740" w:bottom="0" w:left="900" w:right="840"/>
        </w:sectPr>
      </w:pPr>
    </w:p>
    <w:p>
      <w:pPr>
        <w:pStyle w:val="BodyText"/>
      </w:pPr>
    </w:p>
    <w:p>
      <w:pPr>
        <w:pStyle w:val="BodyText"/>
        <w:spacing w:before="1"/>
        <w:ind w:left="238" w:right="46"/>
        <w:jc w:val="both"/>
      </w:pPr>
      <w:r>
        <w:rPr>
          <w:b/>
        </w:rPr>
        <w:t>Keywords: </w:t>
      </w:r>
      <w:r>
        <w:rPr/>
        <w:t>COVID-19 infection, echocardiography, pulmonary embolism, CT angiography, ST segment elevation myocardial infarction</w:t>
      </w:r>
    </w:p>
    <w:p>
      <w:pPr>
        <w:pStyle w:val="BodyText"/>
        <w:spacing w:before="6"/>
        <w:rPr>
          <w:sz w:val="18"/>
        </w:rPr>
      </w:pPr>
      <w:r>
        <w:rPr/>
        <w:pict>
          <v:shape style="position:absolute;margin-left:56.903999pt;margin-top:11.88238pt;width:225.9pt;height:.1pt;mso-position-horizontal-relative:page;mso-position-vertical-relative:paragraph;z-index:-15709184;mso-wrap-distance-left:0;mso-wrap-distance-right:0" id="docshape546" coordorigin="1138,238" coordsize="4518,0" path="m1138,238l5655,238e" filled="false" stroked="true" strokeweight=".4224pt" strokecolor="#000000">
            <v:path arrowok="t"/>
            <v:stroke dashstyle="solid"/>
            <w10:wrap type="topAndBottom"/>
          </v:shape>
        </w:pict>
      </w:r>
    </w:p>
    <w:p>
      <w:pPr>
        <w:pStyle w:val="BodyText"/>
        <w:spacing w:before="4"/>
      </w:pPr>
    </w:p>
    <w:p>
      <w:pPr>
        <w:pStyle w:val="Heading4"/>
      </w:pPr>
      <w:r>
        <w:rPr>
          <w:spacing w:val="-2"/>
        </w:rPr>
        <w:t>Абстракт</w:t>
      </w:r>
    </w:p>
    <w:p>
      <w:pPr>
        <w:pStyle w:val="BodyText"/>
        <w:spacing w:before="6"/>
        <w:rPr>
          <w:b/>
          <w:sz w:val="20"/>
        </w:rPr>
      </w:pPr>
    </w:p>
    <w:p>
      <w:pPr>
        <w:pStyle w:val="BodyText"/>
        <w:ind w:left="238" w:right="38"/>
        <w:jc w:val="both"/>
      </w:pPr>
      <w:r>
        <w:rPr/>
        <w:t>Пациентите</w:t>
      </w:r>
      <w:r>
        <w:rPr>
          <w:spacing w:val="-10"/>
        </w:rPr>
        <w:t> </w:t>
      </w:r>
      <w:r>
        <w:rPr/>
        <w:t>со</w:t>
      </w:r>
      <w:r>
        <w:rPr>
          <w:spacing w:val="-10"/>
        </w:rPr>
        <w:t> </w:t>
      </w:r>
      <w:r>
        <w:rPr/>
        <w:t>дијагностицирана</w:t>
      </w:r>
      <w:r>
        <w:rPr>
          <w:spacing w:val="-10"/>
        </w:rPr>
        <w:t> </w:t>
      </w:r>
      <w:r>
        <w:rPr/>
        <w:t>COVID-19</w:t>
      </w:r>
      <w:r>
        <w:rPr>
          <w:spacing w:val="-10"/>
        </w:rPr>
        <w:t> </w:t>
      </w:r>
      <w:r>
        <w:rPr/>
        <w:t>инфек- ција</w:t>
      </w:r>
      <w:r>
        <w:rPr>
          <w:spacing w:val="-9"/>
        </w:rPr>
        <w:t> </w:t>
      </w:r>
      <w:r>
        <w:rPr/>
        <w:t>имаат</w:t>
      </w:r>
      <w:r>
        <w:rPr>
          <w:spacing w:val="-12"/>
        </w:rPr>
        <w:t> </w:t>
      </w:r>
      <w:r>
        <w:rPr/>
        <w:t>зголемен</w:t>
      </w:r>
      <w:r>
        <w:rPr>
          <w:spacing w:val="-10"/>
        </w:rPr>
        <w:t> </w:t>
      </w:r>
      <w:r>
        <w:rPr/>
        <w:t>ризик</w:t>
      </w:r>
      <w:r>
        <w:rPr>
          <w:spacing w:val="-10"/>
        </w:rPr>
        <w:t> </w:t>
      </w:r>
      <w:r>
        <w:rPr/>
        <w:t>од</w:t>
      </w:r>
      <w:r>
        <w:rPr>
          <w:spacing w:val="-11"/>
        </w:rPr>
        <w:t> </w:t>
      </w:r>
      <w:r>
        <w:rPr/>
        <w:t>тромбемболиски</w:t>
      </w:r>
      <w:r>
        <w:rPr>
          <w:spacing w:val="-12"/>
        </w:rPr>
        <w:t> </w:t>
      </w:r>
      <w:r>
        <w:rPr/>
        <w:t>ком- пликации, кои значајно допринесуваат за зголемен морталитет и</w:t>
      </w:r>
      <w:r>
        <w:rPr>
          <w:spacing w:val="-1"/>
        </w:rPr>
        <w:t> </w:t>
      </w:r>
      <w:r>
        <w:rPr/>
        <w:t>морбидитет.</w:t>
      </w:r>
      <w:r>
        <w:rPr>
          <w:spacing w:val="-1"/>
        </w:rPr>
        <w:t> </w:t>
      </w:r>
      <w:r>
        <w:rPr/>
        <w:t>Инфламацијата и</w:t>
      </w:r>
      <w:r>
        <w:rPr>
          <w:spacing w:val="-1"/>
        </w:rPr>
        <w:t> </w:t>
      </w:r>
      <w:r>
        <w:rPr/>
        <w:t>хипер- коагулабилната состојба причинети од оваа инфек- ција се одговорни за појава на белодробна емболи- ја и миокарден инфаркт кај овие пациенти. Фокус </w:t>
      </w:r>
      <w:r>
        <w:rPr>
          <w:spacing w:val="-2"/>
        </w:rPr>
        <w:t>ехокардиографијата</w:t>
      </w:r>
      <w:r>
        <w:rPr>
          <w:spacing w:val="-12"/>
        </w:rPr>
        <w:t> </w:t>
      </w:r>
      <w:r>
        <w:rPr>
          <w:spacing w:val="-2"/>
        </w:rPr>
        <w:t>изведена</w:t>
      </w:r>
      <w:r>
        <w:rPr>
          <w:spacing w:val="-11"/>
        </w:rPr>
        <w:t> </w:t>
      </w:r>
      <w:r>
        <w:rPr>
          <w:spacing w:val="-2"/>
        </w:rPr>
        <w:t>кај</w:t>
      </w:r>
      <w:r>
        <w:rPr>
          <w:spacing w:val="-11"/>
        </w:rPr>
        <w:t> </w:t>
      </w:r>
      <w:r>
        <w:rPr>
          <w:spacing w:val="-2"/>
        </w:rPr>
        <w:t>пациенти</w:t>
      </w:r>
      <w:r>
        <w:rPr>
          <w:spacing w:val="-11"/>
        </w:rPr>
        <w:t> </w:t>
      </w:r>
      <w:r>
        <w:rPr>
          <w:spacing w:val="-2"/>
        </w:rPr>
        <w:t>во</w:t>
      </w:r>
      <w:r>
        <w:rPr>
          <w:spacing w:val="-11"/>
        </w:rPr>
        <w:t> </w:t>
      </w:r>
      <w:r>
        <w:rPr>
          <w:spacing w:val="-2"/>
        </w:rPr>
        <w:t>легло</w:t>
      </w:r>
      <w:r>
        <w:rPr>
          <w:spacing w:val="-11"/>
        </w:rPr>
        <w:t> </w:t>
      </w:r>
      <w:r>
        <w:rPr>
          <w:spacing w:val="-2"/>
        </w:rPr>
        <w:t>е </w:t>
      </w:r>
      <w:r>
        <w:rPr/>
        <w:t>многу</w:t>
      </w:r>
      <w:r>
        <w:rPr>
          <w:spacing w:val="-12"/>
        </w:rPr>
        <w:t> </w:t>
      </w:r>
      <w:r>
        <w:rPr/>
        <w:t>корисна</w:t>
      </w:r>
      <w:r>
        <w:rPr>
          <w:spacing w:val="-9"/>
        </w:rPr>
        <w:t> </w:t>
      </w:r>
      <w:r>
        <w:rPr/>
        <w:t>неинвазивна</w:t>
      </w:r>
      <w:r>
        <w:rPr>
          <w:spacing w:val="-10"/>
        </w:rPr>
        <w:t> </w:t>
      </w:r>
      <w:r>
        <w:rPr/>
        <w:t>визуализациона</w:t>
      </w:r>
      <w:r>
        <w:rPr>
          <w:spacing w:val="-9"/>
        </w:rPr>
        <w:t> </w:t>
      </w:r>
      <w:r>
        <w:rPr/>
        <w:t>метода за брза дијагноза на суспектна тромбемболија или</w:t>
      </w:r>
    </w:p>
    <w:p>
      <w:pPr>
        <w:pStyle w:val="BodyText"/>
        <w:rPr>
          <w:sz w:val="20"/>
        </w:rPr>
      </w:pPr>
    </w:p>
    <w:p>
      <w:pPr>
        <w:pStyle w:val="BodyText"/>
        <w:spacing w:before="10"/>
        <w:rPr>
          <w:sz w:val="14"/>
        </w:rPr>
      </w:pPr>
      <w:r>
        <w:rPr/>
        <w:pict>
          <v:shape style="position:absolute;margin-left:56.903999pt;margin-top:9.755116pt;width:96.05pt;height:.1pt;mso-position-horizontal-relative:page;mso-position-vertical-relative:paragraph;z-index:-15708672;mso-wrap-distance-left:0;mso-wrap-distance-right:0" id="docshape547" coordorigin="1138,195" coordsize="1921,0" path="m1138,195l3059,195e" filled="false" stroked="true" strokeweight=".32964pt" strokecolor="#000000">
            <v:path arrowok="t"/>
            <v:stroke dashstyle="solid"/>
            <w10:wrap type="topAndBottom"/>
          </v:shape>
        </w:pict>
      </w:r>
    </w:p>
    <w:p>
      <w:pPr>
        <w:spacing w:before="0"/>
        <w:ind w:left="238" w:right="42" w:firstLine="0"/>
        <w:jc w:val="both"/>
        <w:rPr>
          <w:sz w:val="16"/>
        </w:rPr>
      </w:pPr>
      <w:r>
        <w:rPr>
          <w:i/>
          <w:sz w:val="16"/>
        </w:rPr>
        <w:t>Correspondence</w:t>
      </w:r>
      <w:r>
        <w:rPr>
          <w:i/>
          <w:spacing w:val="-5"/>
          <w:sz w:val="16"/>
        </w:rPr>
        <w:t> </w:t>
      </w:r>
      <w:r>
        <w:rPr>
          <w:i/>
          <w:sz w:val="16"/>
        </w:rPr>
        <w:t>to:</w:t>
      </w:r>
      <w:r>
        <w:rPr>
          <w:i/>
          <w:spacing w:val="80"/>
          <w:sz w:val="16"/>
        </w:rPr>
        <w:t> </w:t>
      </w:r>
      <w:r>
        <w:rPr>
          <w:sz w:val="16"/>
        </w:rPr>
        <w:t>Irena Mitevska, Intensive Care Unit, University</w:t>
      </w:r>
      <w:r>
        <w:rPr>
          <w:spacing w:val="40"/>
          <w:sz w:val="16"/>
        </w:rPr>
        <w:t> </w:t>
      </w:r>
      <w:r>
        <w:rPr>
          <w:sz w:val="16"/>
        </w:rPr>
        <w:t>Clinic for Cardiology, 1000 Skopje, R. N. Macedonia; E-mail:</w:t>
      </w:r>
      <w:r>
        <w:rPr>
          <w:spacing w:val="40"/>
          <w:sz w:val="16"/>
        </w:rPr>
        <w:t> </w:t>
      </w:r>
      <w:hyperlink r:id="rId494">
        <w:r>
          <w:rPr>
            <w:spacing w:val="-2"/>
            <w:sz w:val="16"/>
          </w:rPr>
          <w:t>peovskai@yahoo.com</w:t>
        </w:r>
      </w:hyperlink>
    </w:p>
    <w:p>
      <w:pPr>
        <w:pStyle w:val="Heading4"/>
        <w:spacing w:before="4"/>
      </w:pPr>
      <w:r>
        <w:rPr>
          <w:b w:val="0"/>
        </w:rPr>
        <w:br w:type="column"/>
      </w:r>
      <w:r>
        <w:rPr>
          <w:spacing w:val="-2"/>
        </w:rPr>
        <w:t>Introduction</w:t>
      </w:r>
    </w:p>
    <w:p>
      <w:pPr>
        <w:pStyle w:val="BodyText"/>
        <w:spacing w:before="9"/>
        <w:rPr>
          <w:b/>
          <w:sz w:val="20"/>
        </w:rPr>
      </w:pPr>
    </w:p>
    <w:p>
      <w:pPr>
        <w:pStyle w:val="BodyText"/>
        <w:ind w:left="238" w:right="290"/>
        <w:jc w:val="both"/>
      </w:pPr>
      <w:r>
        <w:rPr/>
        <w:t>Inflammation and hypercoagulability are one of the mechanisms responsible for thrombotic complications in patients with COVID-19 infection [1]. We report two cases with acute thrombotic complications as a manifestation</w:t>
      </w:r>
      <w:r>
        <w:rPr>
          <w:spacing w:val="-1"/>
        </w:rPr>
        <w:t> </w:t>
      </w:r>
      <w:r>
        <w:rPr/>
        <w:t>of</w:t>
      </w:r>
      <w:r>
        <w:rPr>
          <w:spacing w:val="-2"/>
        </w:rPr>
        <w:t> </w:t>
      </w:r>
      <w:r>
        <w:rPr/>
        <w:t>COVID-19</w:t>
      </w:r>
      <w:r>
        <w:rPr>
          <w:spacing w:val="-1"/>
        </w:rPr>
        <w:t> </w:t>
      </w:r>
      <w:r>
        <w:rPr/>
        <w:t>infection.</w:t>
      </w:r>
      <w:r>
        <w:rPr>
          <w:spacing w:val="-1"/>
        </w:rPr>
        <w:t> </w:t>
      </w:r>
      <w:r>
        <w:rPr/>
        <w:t>The</w:t>
      </w:r>
      <w:r>
        <w:rPr>
          <w:spacing w:val="-1"/>
        </w:rPr>
        <w:t> </w:t>
      </w:r>
      <w:r>
        <w:rPr/>
        <w:t>first</w:t>
      </w:r>
      <w:r>
        <w:rPr>
          <w:spacing w:val="-3"/>
        </w:rPr>
        <w:t> </w:t>
      </w:r>
      <w:r>
        <w:rPr/>
        <w:t>patient was admitted because of sudden chest pain and dys- pnea.</w:t>
      </w:r>
      <w:r>
        <w:rPr>
          <w:spacing w:val="-3"/>
        </w:rPr>
        <w:t> </w:t>
      </w:r>
      <w:r>
        <w:rPr/>
        <w:t>After</w:t>
      </w:r>
      <w:r>
        <w:rPr>
          <w:spacing w:val="-2"/>
        </w:rPr>
        <w:t> </w:t>
      </w:r>
      <w:r>
        <w:rPr/>
        <w:t>excluding</w:t>
      </w:r>
      <w:r>
        <w:rPr>
          <w:spacing w:val="-3"/>
        </w:rPr>
        <w:t> </w:t>
      </w:r>
      <w:r>
        <w:rPr/>
        <w:t>coronary</w:t>
      </w:r>
      <w:r>
        <w:rPr>
          <w:spacing w:val="-6"/>
        </w:rPr>
        <w:t> </w:t>
      </w:r>
      <w:r>
        <w:rPr/>
        <w:t>artery</w:t>
      </w:r>
      <w:r>
        <w:rPr>
          <w:spacing w:val="-6"/>
        </w:rPr>
        <w:t> </w:t>
      </w:r>
      <w:r>
        <w:rPr/>
        <w:t>disease,</w:t>
      </w:r>
      <w:r>
        <w:rPr>
          <w:spacing w:val="-1"/>
        </w:rPr>
        <w:t> </w:t>
      </w:r>
      <w:r>
        <w:rPr/>
        <w:t>with</w:t>
      </w:r>
      <w:r>
        <w:rPr>
          <w:spacing w:val="-1"/>
        </w:rPr>
        <w:t> </w:t>
      </w:r>
      <w:r>
        <w:rPr/>
        <w:t>CT angiography the diagnosis of massive pulmonary em- bolism</w:t>
      </w:r>
      <w:r>
        <w:rPr>
          <w:spacing w:val="-2"/>
        </w:rPr>
        <w:t> </w:t>
      </w:r>
      <w:r>
        <w:rPr/>
        <w:t>(PE) complicated by</w:t>
      </w:r>
      <w:r>
        <w:rPr>
          <w:spacing w:val="-2"/>
        </w:rPr>
        <w:t> </w:t>
      </w:r>
      <w:r>
        <w:rPr/>
        <w:t>right</w:t>
      </w:r>
      <w:r>
        <w:rPr>
          <w:spacing w:val="-1"/>
        </w:rPr>
        <w:t> </w:t>
      </w:r>
      <w:r>
        <w:rPr/>
        <w:t>heart</w:t>
      </w:r>
      <w:r>
        <w:rPr>
          <w:spacing w:val="-1"/>
        </w:rPr>
        <w:t> </w:t>
      </w:r>
      <w:r>
        <w:rPr/>
        <w:t>failure and car- diogenic shock was established. The second patient was a 47-year-old man with acute chest pain and dys- pnea with ECG showing ST segment elevation myo- cardial infarction (STEMI). Urgent focus echocardio- graphy</w:t>
      </w:r>
      <w:r>
        <w:rPr>
          <w:spacing w:val="-9"/>
        </w:rPr>
        <w:t> </w:t>
      </w:r>
      <w:r>
        <w:rPr/>
        <w:t>was</w:t>
      </w:r>
      <w:r>
        <w:rPr>
          <w:spacing w:val="-12"/>
        </w:rPr>
        <w:t> </w:t>
      </w:r>
      <w:r>
        <w:rPr/>
        <w:t>performed</w:t>
      </w:r>
      <w:r>
        <w:rPr>
          <w:spacing w:val="-11"/>
        </w:rPr>
        <w:t> </w:t>
      </w:r>
      <w:r>
        <w:rPr/>
        <w:t>which</w:t>
      </w:r>
      <w:r>
        <w:rPr>
          <w:spacing w:val="-11"/>
        </w:rPr>
        <w:t> </w:t>
      </w:r>
      <w:r>
        <w:rPr/>
        <w:t>detected</w:t>
      </w:r>
      <w:r>
        <w:rPr>
          <w:spacing w:val="-13"/>
        </w:rPr>
        <w:t> </w:t>
      </w:r>
      <w:r>
        <w:rPr/>
        <w:t>reduced</w:t>
      </w:r>
      <w:r>
        <w:rPr>
          <w:spacing w:val="-11"/>
        </w:rPr>
        <w:t> </w:t>
      </w:r>
      <w:r>
        <w:rPr/>
        <w:t>left</w:t>
      </w:r>
      <w:r>
        <w:rPr>
          <w:spacing w:val="-12"/>
        </w:rPr>
        <w:t> </w:t>
      </w:r>
      <w:r>
        <w:rPr/>
        <w:t>ven- tricular</w:t>
      </w:r>
      <w:r>
        <w:rPr>
          <w:spacing w:val="-8"/>
        </w:rPr>
        <w:t> </w:t>
      </w:r>
      <w:r>
        <w:rPr/>
        <w:t>ejection</w:t>
      </w:r>
      <w:r>
        <w:rPr>
          <w:spacing w:val="-4"/>
        </w:rPr>
        <w:t> </w:t>
      </w:r>
      <w:r>
        <w:rPr/>
        <w:t>fraction</w:t>
      </w:r>
      <w:r>
        <w:rPr>
          <w:spacing w:val="-4"/>
        </w:rPr>
        <w:t> </w:t>
      </w:r>
      <w:r>
        <w:rPr/>
        <w:t>(LVEF)</w:t>
      </w:r>
      <w:r>
        <w:rPr>
          <w:spacing w:val="-4"/>
        </w:rPr>
        <w:t> </w:t>
      </w:r>
      <w:r>
        <w:rPr/>
        <w:t>of</w:t>
      </w:r>
      <w:r>
        <w:rPr>
          <w:spacing w:val="-4"/>
        </w:rPr>
        <w:t> </w:t>
      </w:r>
      <w:r>
        <w:rPr/>
        <w:t>35%.</w:t>
      </w:r>
      <w:r>
        <w:rPr>
          <w:spacing w:val="-4"/>
        </w:rPr>
        <w:t> </w:t>
      </w:r>
      <w:r>
        <w:rPr/>
        <w:t>Both</w:t>
      </w:r>
      <w:r>
        <w:rPr>
          <w:spacing w:val="-4"/>
        </w:rPr>
        <w:t> </w:t>
      </w:r>
      <w:r>
        <w:rPr/>
        <w:t>patients had polymerase chain reaction (PCR) test positive for COVID-19. These are two cases of thrombotic cardio- vascular complications as first manifestations of </w:t>
      </w:r>
      <w:r>
        <w:rPr>
          <w:spacing w:val="-4"/>
        </w:rPr>
        <w:t>COVID-19-infection where cardiovascular imaging adds </w:t>
      </w:r>
      <w:r>
        <w:rPr/>
        <w:t>to</w:t>
      </w:r>
      <w:r>
        <w:rPr>
          <w:spacing w:val="52"/>
        </w:rPr>
        <w:t> </w:t>
      </w:r>
      <w:r>
        <w:rPr/>
        <w:t>fast</w:t>
      </w:r>
      <w:r>
        <w:rPr>
          <w:spacing w:val="51"/>
        </w:rPr>
        <w:t> </w:t>
      </w:r>
      <w:r>
        <w:rPr/>
        <w:t>diagnosis</w:t>
      </w:r>
      <w:r>
        <w:rPr>
          <w:spacing w:val="52"/>
        </w:rPr>
        <w:t> </w:t>
      </w:r>
      <w:r>
        <w:rPr/>
        <w:t>and</w:t>
      </w:r>
      <w:r>
        <w:rPr>
          <w:spacing w:val="52"/>
        </w:rPr>
        <w:t> </w:t>
      </w:r>
      <w:r>
        <w:rPr/>
        <w:t>successful</w:t>
      </w:r>
      <w:r>
        <w:rPr>
          <w:spacing w:val="51"/>
        </w:rPr>
        <w:t> </w:t>
      </w:r>
      <w:r>
        <w:rPr/>
        <w:t>treatment.</w:t>
      </w:r>
      <w:r>
        <w:rPr>
          <w:spacing w:val="56"/>
        </w:rPr>
        <w:t> </w:t>
      </w:r>
      <w:r>
        <w:rPr>
          <w:spacing w:val="-2"/>
        </w:rPr>
        <w:t>Focused</w:t>
      </w:r>
    </w:p>
    <w:p>
      <w:pPr>
        <w:spacing w:after="0"/>
        <w:jc w:val="both"/>
        <w:sectPr>
          <w:type w:val="continuous"/>
          <w:pgSz w:w="11910" w:h="16840"/>
          <w:pgMar w:header="859" w:footer="0" w:top="740" w:bottom="0" w:left="900" w:right="840"/>
          <w:cols w:num="2" w:equalWidth="0">
            <w:col w:w="4921" w:space="76"/>
            <w:col w:w="5173"/>
          </w:cols>
        </w:sectPr>
      </w:pPr>
    </w:p>
    <w:p>
      <w:pPr>
        <w:pStyle w:val="BodyText"/>
        <w:spacing w:before="5"/>
        <w:rPr>
          <w:sz w:val="15"/>
        </w:rPr>
      </w:pPr>
    </w:p>
    <w:p>
      <w:pPr>
        <w:spacing w:after="0"/>
        <w:rPr>
          <w:sz w:val="15"/>
        </w:rPr>
        <w:sectPr>
          <w:pgSz w:w="11910" w:h="16840"/>
          <w:pgMar w:header="859" w:footer="0" w:top="1280" w:bottom="280" w:left="900" w:right="840"/>
        </w:sectPr>
      </w:pPr>
    </w:p>
    <w:p>
      <w:pPr>
        <w:pStyle w:val="BodyText"/>
        <w:spacing w:before="92"/>
        <w:ind w:left="238" w:right="39"/>
        <w:jc w:val="both"/>
      </w:pPr>
      <w:r>
        <w:rPr/>
        <w:t>echocardiography is a very useful noninvasive widely available method particularly</w:t>
      </w:r>
      <w:r>
        <w:rPr>
          <w:spacing w:val="-3"/>
        </w:rPr>
        <w:t> </w:t>
      </w:r>
      <w:r>
        <w:rPr/>
        <w:t>when evaluating patients with undifferentiated hypotension or acute dyspnea.</w:t>
      </w:r>
    </w:p>
    <w:p>
      <w:pPr>
        <w:pStyle w:val="BodyText"/>
        <w:spacing w:before="6"/>
      </w:pPr>
    </w:p>
    <w:p>
      <w:pPr>
        <w:pStyle w:val="Heading4"/>
      </w:pPr>
      <w:r>
        <w:rPr>
          <w:spacing w:val="-2"/>
        </w:rPr>
        <w:t>Cases</w:t>
      </w:r>
    </w:p>
    <w:p>
      <w:pPr>
        <w:pStyle w:val="BodyText"/>
        <w:spacing w:before="6"/>
        <w:rPr>
          <w:b/>
          <w:sz w:val="20"/>
        </w:rPr>
      </w:pPr>
    </w:p>
    <w:p>
      <w:pPr>
        <w:pStyle w:val="BodyText"/>
        <w:ind w:left="238" w:right="38"/>
      </w:pPr>
      <w:r>
        <w:rPr/>
        <w:t>A 73-year-old man presented to our emergency outpa- tients department with first episode of dyspnea, synco- pe</w:t>
      </w:r>
      <w:r>
        <w:rPr>
          <w:spacing w:val="35"/>
        </w:rPr>
        <w:t> </w:t>
      </w:r>
      <w:r>
        <w:rPr/>
        <w:t>and</w:t>
      </w:r>
      <w:r>
        <w:rPr>
          <w:spacing w:val="32"/>
        </w:rPr>
        <w:t> </w:t>
      </w:r>
      <w:r>
        <w:rPr/>
        <w:t>chest</w:t>
      </w:r>
      <w:r>
        <w:rPr>
          <w:spacing w:val="34"/>
        </w:rPr>
        <w:t> </w:t>
      </w:r>
      <w:r>
        <w:rPr/>
        <w:t>pain.</w:t>
      </w:r>
      <w:r>
        <w:rPr>
          <w:spacing w:val="32"/>
        </w:rPr>
        <w:t> </w:t>
      </w:r>
      <w:r>
        <w:rPr/>
        <w:t>The</w:t>
      </w:r>
      <w:r>
        <w:rPr>
          <w:spacing w:val="32"/>
        </w:rPr>
        <w:t> </w:t>
      </w:r>
      <w:r>
        <w:rPr/>
        <w:t>patient</w:t>
      </w:r>
      <w:r>
        <w:rPr>
          <w:spacing w:val="33"/>
        </w:rPr>
        <w:t> </w:t>
      </w:r>
      <w:r>
        <w:rPr/>
        <w:t>had</w:t>
      </w:r>
      <w:r>
        <w:rPr>
          <w:spacing w:val="32"/>
        </w:rPr>
        <w:t> </w:t>
      </w:r>
      <w:r>
        <w:rPr/>
        <w:t>diabetes</w:t>
      </w:r>
      <w:r>
        <w:rPr>
          <w:spacing w:val="34"/>
        </w:rPr>
        <w:t> </w:t>
      </w:r>
      <w:r>
        <w:rPr/>
        <w:t>mellitus type 2 and was receiving therapy for hypertension. He was</w:t>
      </w:r>
      <w:r>
        <w:rPr>
          <w:spacing w:val="28"/>
        </w:rPr>
        <w:t> </w:t>
      </w:r>
      <w:r>
        <w:rPr/>
        <w:t>afebrile</w:t>
      </w:r>
      <w:r>
        <w:rPr>
          <w:spacing w:val="29"/>
        </w:rPr>
        <w:t> </w:t>
      </w:r>
      <w:r>
        <w:rPr/>
        <w:t>(36.4</w:t>
      </w:r>
      <w:r>
        <w:rPr>
          <w:position w:val="7"/>
          <w:sz w:val="14"/>
        </w:rPr>
        <w:t>o</w:t>
      </w:r>
      <w:r>
        <w:rPr>
          <w:spacing w:val="31"/>
          <w:position w:val="7"/>
          <w:sz w:val="14"/>
        </w:rPr>
        <w:t> </w:t>
      </w:r>
      <w:r>
        <w:rPr/>
        <w:t>C).</w:t>
      </w:r>
      <w:r>
        <w:rPr>
          <w:spacing w:val="29"/>
        </w:rPr>
        <w:t> </w:t>
      </w:r>
      <w:r>
        <w:rPr/>
        <w:t>Physical</w:t>
      </w:r>
      <w:r>
        <w:rPr>
          <w:spacing w:val="27"/>
        </w:rPr>
        <w:t> </w:t>
      </w:r>
      <w:r>
        <w:rPr/>
        <w:t>examination</w:t>
      </w:r>
      <w:r>
        <w:rPr>
          <w:spacing w:val="29"/>
        </w:rPr>
        <w:t> </w:t>
      </w:r>
      <w:r>
        <w:rPr/>
        <w:t>showed irregular</w:t>
      </w:r>
      <w:r>
        <w:rPr>
          <w:spacing w:val="-3"/>
        </w:rPr>
        <w:t> </w:t>
      </w:r>
      <w:r>
        <w:rPr/>
        <w:t>heart</w:t>
      </w:r>
      <w:r>
        <w:rPr>
          <w:spacing w:val="-3"/>
        </w:rPr>
        <w:t> </w:t>
      </w:r>
      <w:r>
        <w:rPr/>
        <w:t>rhythm,</w:t>
      </w:r>
      <w:r>
        <w:rPr>
          <w:spacing w:val="-2"/>
        </w:rPr>
        <w:t> </w:t>
      </w:r>
      <w:r>
        <w:rPr/>
        <w:t>with</w:t>
      </w:r>
      <w:r>
        <w:rPr>
          <w:spacing w:val="-1"/>
        </w:rPr>
        <w:t> </w:t>
      </w:r>
      <w:r>
        <w:rPr/>
        <w:t>peripheral</w:t>
      </w:r>
      <w:r>
        <w:rPr>
          <w:spacing w:val="-3"/>
        </w:rPr>
        <w:t> </w:t>
      </w:r>
      <w:r>
        <w:rPr/>
        <w:t>and</w:t>
      </w:r>
      <w:r>
        <w:rPr>
          <w:spacing w:val="-2"/>
        </w:rPr>
        <w:t> </w:t>
      </w:r>
      <w:r>
        <w:rPr/>
        <w:t>basal</w:t>
      </w:r>
      <w:r>
        <w:rPr>
          <w:spacing w:val="-3"/>
        </w:rPr>
        <w:t> </w:t>
      </w:r>
      <w:r>
        <w:rPr/>
        <w:t>crepi- tation on the right lung. ECG showed atrial fibrillation with heart rate 120-130 bpm and right bundle branch block.</w:t>
      </w:r>
      <w:r>
        <w:rPr>
          <w:spacing w:val="40"/>
        </w:rPr>
        <w:t> </w:t>
      </w:r>
      <w:r>
        <w:rPr/>
        <w:t>Blood</w:t>
      </w:r>
      <w:r>
        <w:rPr>
          <w:spacing w:val="40"/>
        </w:rPr>
        <w:t> </w:t>
      </w:r>
      <w:r>
        <w:rPr/>
        <w:t>pressure</w:t>
      </w:r>
      <w:r>
        <w:rPr>
          <w:spacing w:val="40"/>
        </w:rPr>
        <w:t> </w:t>
      </w:r>
      <w:r>
        <w:rPr/>
        <w:t>was</w:t>
      </w:r>
      <w:r>
        <w:rPr>
          <w:spacing w:val="40"/>
        </w:rPr>
        <w:t> </w:t>
      </w:r>
      <w:r>
        <w:rPr/>
        <w:t>85/45</w:t>
      </w:r>
      <w:r>
        <w:rPr>
          <w:spacing w:val="40"/>
        </w:rPr>
        <w:t> </w:t>
      </w:r>
      <w:r>
        <w:rPr/>
        <w:t>mmHg</w:t>
      </w:r>
      <w:r>
        <w:rPr>
          <w:spacing w:val="40"/>
        </w:rPr>
        <w:t> </w:t>
      </w:r>
      <w:r>
        <w:rPr/>
        <w:t>with</w:t>
      </w:r>
      <w:r>
        <w:rPr>
          <w:spacing w:val="40"/>
        </w:rPr>
        <w:t> </w:t>
      </w:r>
      <w:r>
        <w:rPr/>
        <w:t>cold periphery. The patient denied any provocable PE risk factors</w:t>
      </w:r>
      <w:r>
        <w:rPr>
          <w:spacing w:val="40"/>
        </w:rPr>
        <w:t> </w:t>
      </w:r>
      <w:r>
        <w:rPr/>
        <w:t>(absent</w:t>
      </w:r>
      <w:r>
        <w:rPr>
          <w:spacing w:val="40"/>
        </w:rPr>
        <w:t> </w:t>
      </w:r>
      <w:r>
        <w:rPr/>
        <w:t>history</w:t>
      </w:r>
      <w:r>
        <w:rPr>
          <w:spacing w:val="40"/>
        </w:rPr>
        <w:t> </w:t>
      </w:r>
      <w:r>
        <w:rPr/>
        <w:t>of</w:t>
      </w:r>
      <w:r>
        <w:rPr>
          <w:spacing w:val="40"/>
        </w:rPr>
        <w:t> </w:t>
      </w:r>
      <w:r>
        <w:rPr/>
        <w:t>injury,</w:t>
      </w:r>
      <w:r>
        <w:rPr>
          <w:spacing w:val="40"/>
        </w:rPr>
        <w:t> </w:t>
      </w:r>
      <w:r>
        <w:rPr/>
        <w:t>surgical</w:t>
      </w:r>
      <w:r>
        <w:rPr>
          <w:spacing w:val="40"/>
        </w:rPr>
        <w:t> </w:t>
      </w:r>
      <w:r>
        <w:rPr/>
        <w:t>treatment, bed-rest over 72h, cancer history, no signs of</w:t>
      </w:r>
      <w:r>
        <w:rPr>
          <w:spacing w:val="40"/>
        </w:rPr>
        <w:t> </w:t>
      </w:r>
      <w:r>
        <w:rPr/>
        <w:t>DVT). Bedside echocardiography was performed immediate- ly after coronary angiography in order to evaluate the cause of patient symptoms and hemodynamic instabi- </w:t>
      </w:r>
      <w:r>
        <w:rPr>
          <w:spacing w:val="-2"/>
        </w:rPr>
        <w:t>lity. Examination</w:t>
      </w:r>
      <w:r>
        <w:rPr>
          <w:spacing w:val="-3"/>
        </w:rPr>
        <w:t> </w:t>
      </w:r>
      <w:r>
        <w:rPr>
          <w:spacing w:val="-2"/>
        </w:rPr>
        <w:t>showed</w:t>
      </w:r>
      <w:r>
        <w:rPr>
          <w:spacing w:val="-6"/>
        </w:rPr>
        <w:t> </w:t>
      </w:r>
      <w:r>
        <w:rPr>
          <w:spacing w:val="-2"/>
        </w:rPr>
        <w:t>increased</w:t>
      </w:r>
      <w:r>
        <w:rPr>
          <w:spacing w:val="-3"/>
        </w:rPr>
        <w:t> </w:t>
      </w:r>
      <w:r>
        <w:rPr>
          <w:spacing w:val="-2"/>
        </w:rPr>
        <w:t>right</w:t>
      </w:r>
      <w:r>
        <w:rPr>
          <w:spacing w:val="-4"/>
        </w:rPr>
        <w:t> </w:t>
      </w:r>
      <w:r>
        <w:rPr>
          <w:spacing w:val="-2"/>
        </w:rPr>
        <w:t>ventricle</w:t>
      </w:r>
      <w:r>
        <w:rPr>
          <w:spacing w:val="-6"/>
        </w:rPr>
        <w:t> </w:t>
      </w:r>
      <w:r>
        <w:rPr>
          <w:spacing w:val="-2"/>
        </w:rPr>
        <w:t>(RV) </w:t>
      </w:r>
      <w:r>
        <w:rPr/>
        <w:t>size and D-shaped left ventricle, increased RV to LV ratio &gt;1, reduced RV function (TAPSE 13, TDI S’ 9), presence of McConnell’s sign, severe tricuspid regur- gitation with dilated non-collapsible v. cava - 23 mm, </w:t>
      </w:r>
      <w:r>
        <w:rPr>
          <w:spacing w:val="-2"/>
        </w:rPr>
        <w:t>and</w:t>
      </w:r>
      <w:r>
        <w:rPr>
          <w:spacing w:val="-12"/>
        </w:rPr>
        <w:t> </w:t>
      </w:r>
      <w:r>
        <w:rPr>
          <w:spacing w:val="-2"/>
        </w:rPr>
        <w:t>signs</w:t>
      </w:r>
      <w:r>
        <w:rPr>
          <w:spacing w:val="-11"/>
        </w:rPr>
        <w:t> </w:t>
      </w:r>
      <w:r>
        <w:rPr>
          <w:spacing w:val="-2"/>
        </w:rPr>
        <w:t>of</w:t>
      </w:r>
      <w:r>
        <w:rPr>
          <w:spacing w:val="-11"/>
        </w:rPr>
        <w:t> </w:t>
      </w:r>
      <w:r>
        <w:rPr>
          <w:spacing w:val="-2"/>
        </w:rPr>
        <w:t>pulmonary</w:t>
      </w:r>
      <w:r>
        <w:rPr>
          <w:spacing w:val="-11"/>
        </w:rPr>
        <w:t> </w:t>
      </w:r>
      <w:r>
        <w:rPr>
          <w:spacing w:val="-2"/>
        </w:rPr>
        <w:t>hypertension</w:t>
      </w:r>
      <w:r>
        <w:rPr>
          <w:spacing w:val="-10"/>
        </w:rPr>
        <w:t> </w:t>
      </w:r>
      <w:r>
        <w:rPr>
          <w:spacing w:val="-2"/>
        </w:rPr>
        <w:t>(SPAP</w:t>
      </w:r>
      <w:r>
        <w:rPr>
          <w:spacing w:val="-10"/>
        </w:rPr>
        <w:t> </w:t>
      </w:r>
      <w:r>
        <w:rPr>
          <w:spacing w:val="-2"/>
        </w:rPr>
        <w:t>54</w:t>
      </w:r>
      <w:r>
        <w:rPr>
          <w:spacing w:val="-10"/>
        </w:rPr>
        <w:t> </w:t>
      </w:r>
      <w:r>
        <w:rPr>
          <w:spacing w:val="-2"/>
        </w:rPr>
        <w:t>mmHg); </w:t>
      </w:r>
      <w:r>
        <w:rPr/>
        <w:t>LV function was normal, with left ventricular ejection fraction 65%. Bedside transthoracic echocardiography findings with parasternal short-axis</w:t>
      </w:r>
      <w:r>
        <w:rPr>
          <w:spacing w:val="25"/>
        </w:rPr>
        <w:t> </w:t>
      </w:r>
      <w:r>
        <w:rPr/>
        <w:t>view of the heart showed</w:t>
      </w:r>
      <w:r>
        <w:rPr>
          <w:spacing w:val="29"/>
        </w:rPr>
        <w:t> </w:t>
      </w:r>
      <w:r>
        <w:rPr/>
        <w:t>dilated</w:t>
      </w:r>
      <w:r>
        <w:rPr>
          <w:spacing w:val="29"/>
        </w:rPr>
        <w:t> </w:t>
      </w:r>
      <w:r>
        <w:rPr/>
        <w:t>right</w:t>
      </w:r>
      <w:r>
        <w:rPr>
          <w:spacing w:val="28"/>
        </w:rPr>
        <w:t> </w:t>
      </w:r>
      <w:r>
        <w:rPr/>
        <w:t>ventricle</w:t>
      </w:r>
      <w:r>
        <w:rPr>
          <w:spacing w:val="29"/>
        </w:rPr>
        <w:t> </w:t>
      </w:r>
      <w:r>
        <w:rPr/>
        <w:t>as</w:t>
      </w:r>
      <w:r>
        <w:rPr>
          <w:spacing w:val="28"/>
        </w:rPr>
        <w:t> </w:t>
      </w:r>
      <w:r>
        <w:rPr/>
        <w:t>presented</w:t>
      </w:r>
      <w:r>
        <w:rPr>
          <w:spacing w:val="29"/>
        </w:rPr>
        <w:t> </w:t>
      </w:r>
      <w:r>
        <w:rPr/>
        <w:t>in</w:t>
      </w:r>
      <w:r>
        <w:rPr>
          <w:spacing w:val="26"/>
        </w:rPr>
        <w:t> </w:t>
      </w:r>
      <w:r>
        <w:rPr/>
        <w:t>Figure </w:t>
      </w:r>
      <w:r>
        <w:rPr>
          <w:spacing w:val="-2"/>
        </w:rPr>
        <w:t>1A.</w:t>
      </w:r>
      <w:r>
        <w:rPr>
          <w:spacing w:val="-3"/>
        </w:rPr>
        <w:t> </w:t>
      </w:r>
      <w:r>
        <w:rPr>
          <w:spacing w:val="-2"/>
        </w:rPr>
        <w:t>Doppler</w:t>
      </w:r>
      <w:r>
        <w:rPr>
          <w:spacing w:val="-4"/>
        </w:rPr>
        <w:t> </w:t>
      </w:r>
      <w:r>
        <w:rPr>
          <w:spacing w:val="-2"/>
        </w:rPr>
        <w:t>echocardiographic</w:t>
      </w:r>
      <w:r>
        <w:rPr>
          <w:spacing w:val="-3"/>
        </w:rPr>
        <w:t> </w:t>
      </w:r>
      <w:r>
        <w:rPr>
          <w:spacing w:val="-2"/>
        </w:rPr>
        <w:t>view</w:t>
      </w:r>
      <w:r>
        <w:rPr>
          <w:spacing w:val="-4"/>
        </w:rPr>
        <w:t> </w:t>
      </w:r>
      <w:r>
        <w:rPr>
          <w:spacing w:val="-2"/>
        </w:rPr>
        <w:t>of</w:t>
      </w:r>
      <w:r>
        <w:rPr>
          <w:spacing w:val="-4"/>
        </w:rPr>
        <w:t> </w:t>
      </w:r>
      <w:r>
        <w:rPr>
          <w:spacing w:val="-2"/>
        </w:rPr>
        <w:t>severe</w:t>
      </w:r>
      <w:r>
        <w:rPr>
          <w:spacing w:val="-3"/>
        </w:rPr>
        <w:t> </w:t>
      </w:r>
      <w:r>
        <w:rPr>
          <w:spacing w:val="-2"/>
        </w:rPr>
        <w:t>tricuspid </w:t>
      </w:r>
      <w:r>
        <w:rPr/>
        <w:t>regurgitation is shown in Figure 2B.</w:t>
      </w:r>
    </w:p>
    <w:p>
      <w:pPr>
        <w:pStyle w:val="BodyText"/>
        <w:ind w:left="238" w:right="38"/>
        <w:jc w:val="both"/>
      </w:pPr>
      <w:r>
        <w:rPr/>
        <w:t>Due to confirmed PE in the patient with cardiogenic shock fibrinolysis, Alteplase 100 mg infusion for two hours</w:t>
      </w:r>
      <w:r>
        <w:rPr>
          <w:spacing w:val="-3"/>
        </w:rPr>
        <w:t> </w:t>
      </w:r>
      <w:r>
        <w:rPr/>
        <w:t>was</w:t>
      </w:r>
      <w:r>
        <w:rPr>
          <w:spacing w:val="-4"/>
        </w:rPr>
        <w:t> </w:t>
      </w:r>
      <w:r>
        <w:rPr/>
        <w:t>applied,</w:t>
      </w:r>
      <w:r>
        <w:rPr>
          <w:spacing w:val="-3"/>
        </w:rPr>
        <w:t> </w:t>
      </w:r>
      <w:r>
        <w:rPr/>
        <w:t>based</w:t>
      </w:r>
      <w:r>
        <w:rPr>
          <w:spacing w:val="-3"/>
        </w:rPr>
        <w:t> </w:t>
      </w:r>
      <w:r>
        <w:rPr/>
        <w:t>on</w:t>
      </w:r>
      <w:r>
        <w:rPr>
          <w:spacing w:val="-3"/>
        </w:rPr>
        <w:t> </w:t>
      </w:r>
      <w:r>
        <w:rPr/>
        <w:t>PE</w:t>
      </w:r>
      <w:r>
        <w:rPr>
          <w:spacing w:val="-3"/>
        </w:rPr>
        <w:t> </w:t>
      </w:r>
      <w:r>
        <w:rPr/>
        <w:t>protocol</w:t>
      </w:r>
      <w:r>
        <w:rPr>
          <w:spacing w:val="-4"/>
        </w:rPr>
        <w:t> </w:t>
      </w:r>
      <w:r>
        <w:rPr/>
        <w:t>guidelines</w:t>
      </w:r>
      <w:r>
        <w:rPr>
          <w:spacing w:val="-4"/>
        </w:rPr>
        <w:t> </w:t>
      </w:r>
      <w:r>
        <w:rPr/>
        <w:t>for </w:t>
      </w:r>
      <w:r>
        <w:rPr>
          <w:spacing w:val="-6"/>
        </w:rPr>
        <w:t>high risk patients. The</w:t>
      </w:r>
      <w:r>
        <w:rPr/>
        <w:t> </w:t>
      </w:r>
      <w:r>
        <w:rPr>
          <w:spacing w:val="-6"/>
        </w:rPr>
        <w:t>patient</w:t>
      </w:r>
      <w:r>
        <w:rPr/>
        <w:t> </w:t>
      </w:r>
      <w:r>
        <w:rPr>
          <w:spacing w:val="-6"/>
        </w:rPr>
        <w:t>hemodynamically stabilized </w:t>
      </w:r>
      <w:r>
        <w:rPr/>
        <w:t>after</w:t>
      </w:r>
      <w:r>
        <w:rPr>
          <w:spacing w:val="-2"/>
        </w:rPr>
        <w:t> </w:t>
      </w:r>
      <w:r>
        <w:rPr/>
        <w:t>the</w:t>
      </w:r>
      <w:r>
        <w:rPr>
          <w:spacing w:val="-1"/>
        </w:rPr>
        <w:t> </w:t>
      </w:r>
      <w:r>
        <w:rPr/>
        <w:t>60</w:t>
      </w:r>
      <w:r>
        <w:rPr>
          <w:spacing w:val="-1"/>
        </w:rPr>
        <w:t> </w:t>
      </w:r>
      <w:r>
        <w:rPr/>
        <w:t>minutes</w:t>
      </w:r>
      <w:r>
        <w:rPr>
          <w:spacing w:val="-2"/>
        </w:rPr>
        <w:t> </w:t>
      </w:r>
      <w:r>
        <w:rPr/>
        <w:t>of</w:t>
      </w:r>
      <w:r>
        <w:rPr>
          <w:spacing w:val="-2"/>
        </w:rPr>
        <w:t> </w:t>
      </w:r>
      <w:r>
        <w:rPr/>
        <w:t>Alteplase</w:t>
      </w:r>
      <w:r>
        <w:rPr>
          <w:spacing w:val="-1"/>
        </w:rPr>
        <w:t> </w:t>
      </w:r>
      <w:r>
        <w:rPr/>
        <w:t>100mg</w:t>
      </w:r>
      <w:r>
        <w:rPr>
          <w:spacing w:val="-1"/>
        </w:rPr>
        <w:t> </w:t>
      </w:r>
      <w:r>
        <w:rPr/>
        <w:t>dose</w:t>
      </w:r>
      <w:r>
        <w:rPr>
          <w:spacing w:val="-2"/>
        </w:rPr>
        <w:t> </w:t>
      </w:r>
      <w:r>
        <w:rPr/>
        <w:t>infusion, with</w:t>
      </w:r>
      <w:r>
        <w:rPr>
          <w:spacing w:val="-4"/>
        </w:rPr>
        <w:t> </w:t>
      </w:r>
      <w:r>
        <w:rPr/>
        <w:t>BP</w:t>
      </w:r>
      <w:r>
        <w:rPr>
          <w:spacing w:val="-2"/>
        </w:rPr>
        <w:t> </w:t>
      </w:r>
      <w:r>
        <w:rPr/>
        <w:t>normalization</w:t>
      </w:r>
      <w:r>
        <w:rPr>
          <w:spacing w:val="-4"/>
        </w:rPr>
        <w:t> </w:t>
      </w:r>
      <w:r>
        <w:rPr/>
        <w:t>to</w:t>
      </w:r>
      <w:r>
        <w:rPr>
          <w:spacing w:val="-4"/>
        </w:rPr>
        <w:t> </w:t>
      </w:r>
      <w:r>
        <w:rPr/>
        <w:t>110/70</w:t>
      </w:r>
      <w:r>
        <w:rPr>
          <w:spacing w:val="-4"/>
        </w:rPr>
        <w:t> </w:t>
      </w:r>
      <w:r>
        <w:rPr/>
        <w:t>mmHg,</w:t>
      </w:r>
      <w:r>
        <w:rPr>
          <w:spacing w:val="-4"/>
        </w:rPr>
        <w:t> </w:t>
      </w:r>
      <w:r>
        <w:rPr/>
        <w:t>HR</w:t>
      </w:r>
      <w:r>
        <w:rPr>
          <w:spacing w:val="-4"/>
        </w:rPr>
        <w:t> </w:t>
      </w:r>
      <w:r>
        <w:rPr/>
        <w:t>100</w:t>
      </w:r>
      <w:r>
        <w:rPr>
          <w:spacing w:val="-4"/>
        </w:rPr>
        <w:t> </w:t>
      </w:r>
      <w:r>
        <w:rPr/>
        <w:t>bpm, </w:t>
      </w:r>
      <w:r>
        <w:rPr>
          <w:position w:val="2"/>
        </w:rPr>
        <w:t>0</w:t>
      </w:r>
      <w:r>
        <w:rPr>
          <w:sz w:val="14"/>
        </w:rPr>
        <w:t>2</w:t>
      </w:r>
      <w:r>
        <w:rPr>
          <w:spacing w:val="40"/>
          <w:sz w:val="14"/>
        </w:rPr>
        <w:t> </w:t>
      </w:r>
      <w:r>
        <w:rPr>
          <w:position w:val="2"/>
        </w:rPr>
        <w:t>92% on room air, respiratory rate of 11/min. The </w:t>
      </w:r>
      <w:r>
        <w:rPr/>
        <w:t>treatment</w:t>
      </w:r>
      <w:r>
        <w:rPr>
          <w:spacing w:val="24"/>
        </w:rPr>
        <w:t> </w:t>
      </w:r>
      <w:r>
        <w:rPr/>
        <w:t>continued</w:t>
      </w:r>
      <w:r>
        <w:rPr>
          <w:spacing w:val="25"/>
        </w:rPr>
        <w:t> </w:t>
      </w:r>
      <w:r>
        <w:rPr/>
        <w:t>with</w:t>
      </w:r>
      <w:r>
        <w:rPr>
          <w:spacing w:val="25"/>
        </w:rPr>
        <w:t> </w:t>
      </w:r>
      <w:r>
        <w:rPr/>
        <w:t>Heparin</w:t>
      </w:r>
      <w:r>
        <w:rPr>
          <w:spacing w:val="25"/>
        </w:rPr>
        <w:t> </w:t>
      </w:r>
      <w:r>
        <w:rPr/>
        <w:t>25.000</w:t>
      </w:r>
      <w:r>
        <w:rPr>
          <w:spacing w:val="25"/>
        </w:rPr>
        <w:t> </w:t>
      </w:r>
      <w:r>
        <w:rPr/>
        <w:t>IE</w:t>
      </w:r>
      <w:r>
        <w:rPr>
          <w:spacing w:val="26"/>
        </w:rPr>
        <w:t> </w:t>
      </w:r>
      <w:r>
        <w:rPr>
          <w:spacing w:val="-2"/>
        </w:rPr>
        <w:t>infusion</w:t>
      </w:r>
    </w:p>
    <w:p>
      <w:pPr>
        <w:pStyle w:val="BodyText"/>
        <w:spacing w:before="92"/>
        <w:ind w:left="238" w:right="296"/>
        <w:jc w:val="both"/>
      </w:pPr>
      <w:r>
        <w:rPr/>
        <w:br w:type="column"/>
      </w:r>
      <w:r>
        <w:rPr/>
        <w:t>for</w:t>
      </w:r>
      <w:r>
        <w:rPr>
          <w:spacing w:val="-5"/>
        </w:rPr>
        <w:t> </w:t>
      </w:r>
      <w:r>
        <w:rPr/>
        <w:t>24h</w:t>
      </w:r>
      <w:r>
        <w:rPr>
          <w:spacing w:val="-4"/>
        </w:rPr>
        <w:t> </w:t>
      </w:r>
      <w:r>
        <w:rPr/>
        <w:t>hours</w:t>
      </w:r>
      <w:r>
        <w:rPr>
          <w:spacing w:val="-4"/>
        </w:rPr>
        <w:t> </w:t>
      </w:r>
      <w:r>
        <w:rPr/>
        <w:t>and</w:t>
      </w:r>
      <w:r>
        <w:rPr>
          <w:spacing w:val="-4"/>
        </w:rPr>
        <w:t> </w:t>
      </w:r>
      <w:r>
        <w:rPr/>
        <w:t>the</w:t>
      </w:r>
      <w:r>
        <w:rPr>
          <w:spacing w:val="-4"/>
        </w:rPr>
        <w:t> </w:t>
      </w:r>
      <w:r>
        <w:rPr/>
        <w:t>patient</w:t>
      </w:r>
      <w:r>
        <w:rPr>
          <w:spacing w:val="-7"/>
        </w:rPr>
        <w:t> </w:t>
      </w:r>
      <w:r>
        <w:rPr/>
        <w:t>remained</w:t>
      </w:r>
      <w:r>
        <w:rPr>
          <w:spacing w:val="-4"/>
        </w:rPr>
        <w:t> </w:t>
      </w:r>
      <w:r>
        <w:rPr/>
        <w:t>clinically</w:t>
      </w:r>
      <w:r>
        <w:rPr>
          <w:spacing w:val="-6"/>
        </w:rPr>
        <w:t> </w:t>
      </w:r>
      <w:r>
        <w:rPr/>
        <w:t>stable with no further episodes of dyspnea or hypoxia.</w:t>
      </w:r>
    </w:p>
    <w:p>
      <w:pPr>
        <w:pStyle w:val="BodyText"/>
        <w:ind w:left="238" w:right="292"/>
        <w:jc w:val="both"/>
      </w:pPr>
      <w:r>
        <w:rPr/>
        <w:t>He was referred for pulmonary CT angiography the next day, which showed large intraluminal thrombi in the</w:t>
      </w:r>
      <w:r>
        <w:rPr>
          <w:spacing w:val="64"/>
        </w:rPr>
        <w:t> </w:t>
      </w:r>
      <w:r>
        <w:rPr/>
        <w:t>right</w:t>
      </w:r>
      <w:r>
        <w:rPr>
          <w:spacing w:val="63"/>
        </w:rPr>
        <w:t> </w:t>
      </w:r>
      <w:r>
        <w:rPr/>
        <w:t>pulmonary</w:t>
      </w:r>
      <w:r>
        <w:rPr>
          <w:spacing w:val="59"/>
        </w:rPr>
        <w:t> </w:t>
      </w:r>
      <w:r>
        <w:rPr/>
        <w:t>artery</w:t>
      </w:r>
      <w:r>
        <w:rPr>
          <w:spacing w:val="64"/>
        </w:rPr>
        <w:t> </w:t>
      </w:r>
      <w:r>
        <w:rPr/>
        <w:t>with</w:t>
      </w:r>
      <w:r>
        <w:rPr>
          <w:spacing w:val="64"/>
        </w:rPr>
        <w:t> </w:t>
      </w:r>
      <w:r>
        <w:rPr/>
        <w:t>dimensions</w:t>
      </w:r>
      <w:r>
        <w:rPr>
          <w:spacing w:val="64"/>
        </w:rPr>
        <w:t> </w:t>
      </w:r>
      <w:r>
        <w:rPr>
          <w:spacing w:val="-2"/>
        </w:rPr>
        <w:t>50x12</w:t>
      </w:r>
    </w:p>
    <w:p>
      <w:pPr>
        <w:pStyle w:val="BodyText"/>
        <w:ind w:left="238" w:right="291"/>
        <w:jc w:val="both"/>
      </w:pPr>
      <w:r>
        <w:rPr/>
        <w:t>mm. Thrombotic mases were found riding over the pulmonary trunk and multiple filling defects involving lobar and segmental branches of the right pulmonary artery, as well as linear saddle pulmonary</w:t>
      </w:r>
      <w:r>
        <w:rPr>
          <w:spacing w:val="-1"/>
        </w:rPr>
        <w:t> </w:t>
      </w:r>
      <w:r>
        <w:rPr/>
        <w:t>embolus ex- tending to the left pulmonary artery up to subsegmen- tal level (Figure 2A and B). Lung parenchyma showed 4-5 pneumonic focuses with ground glass pattern loca- ted subcostally in the upper and basal paracardial zo- nes, as shown in Figure 2C. After the PE was confir- </w:t>
      </w:r>
      <w:r>
        <w:rPr>
          <w:spacing w:val="-2"/>
        </w:rPr>
        <w:t>med,</w:t>
      </w:r>
      <w:r>
        <w:rPr>
          <w:spacing w:val="-6"/>
        </w:rPr>
        <w:t> </w:t>
      </w:r>
      <w:r>
        <w:rPr>
          <w:spacing w:val="-2"/>
        </w:rPr>
        <w:t>nasopharyngeal</w:t>
      </w:r>
      <w:r>
        <w:rPr>
          <w:spacing w:val="-11"/>
        </w:rPr>
        <w:t> </w:t>
      </w:r>
      <w:r>
        <w:rPr>
          <w:spacing w:val="-2"/>
        </w:rPr>
        <w:t>smear</w:t>
      </w:r>
      <w:r>
        <w:rPr>
          <w:spacing w:val="-11"/>
        </w:rPr>
        <w:t> </w:t>
      </w:r>
      <w:r>
        <w:rPr>
          <w:spacing w:val="-2"/>
        </w:rPr>
        <w:t>for</w:t>
      </w:r>
      <w:r>
        <w:rPr>
          <w:spacing w:val="-11"/>
        </w:rPr>
        <w:t> </w:t>
      </w:r>
      <w:r>
        <w:rPr>
          <w:spacing w:val="-2"/>
        </w:rPr>
        <w:t>SARV</w:t>
      </w:r>
      <w:r>
        <w:rPr>
          <w:spacing w:val="-12"/>
        </w:rPr>
        <w:t> </w:t>
      </w:r>
      <w:r>
        <w:rPr>
          <w:spacing w:val="-2"/>
        </w:rPr>
        <w:t>CoV-2</w:t>
      </w:r>
      <w:r>
        <w:rPr>
          <w:spacing w:val="-10"/>
        </w:rPr>
        <w:t> </w:t>
      </w:r>
      <w:r>
        <w:rPr>
          <w:spacing w:val="-2"/>
        </w:rPr>
        <w:t>was</w:t>
      </w:r>
      <w:r>
        <w:rPr>
          <w:spacing w:val="-11"/>
        </w:rPr>
        <w:t> </w:t>
      </w:r>
      <w:r>
        <w:rPr>
          <w:spacing w:val="-2"/>
        </w:rPr>
        <w:t>taken </w:t>
      </w:r>
      <w:r>
        <w:rPr/>
        <w:t>and the result was positive for virus RNK (real-time </w:t>
      </w:r>
      <w:r>
        <w:rPr>
          <w:spacing w:val="-4"/>
        </w:rPr>
        <w:t>fluorescence polymerase</w:t>
      </w:r>
      <w:r>
        <w:rPr>
          <w:spacing w:val="-10"/>
        </w:rPr>
        <w:t> </w:t>
      </w:r>
      <w:r>
        <w:rPr>
          <w:spacing w:val="-4"/>
        </w:rPr>
        <w:t>chain reaction-PCR). Evaluated </w:t>
      </w:r>
      <w:r>
        <w:rPr/>
        <w:t>sPESI score was 2, which indicated elevated 30-day death risk (10.9%).</w:t>
      </w:r>
    </w:p>
    <w:p>
      <w:pPr>
        <w:pStyle w:val="BodyText"/>
        <w:spacing w:before="1"/>
        <w:ind w:left="238" w:right="290"/>
        <w:jc w:val="both"/>
      </w:pPr>
      <w:r>
        <w:rPr/>
        <w:t>Laboratory results showed increased leukocytes level of 15x10</w:t>
      </w:r>
      <w:r>
        <w:rPr>
          <w:position w:val="7"/>
          <w:sz w:val="14"/>
        </w:rPr>
        <w:t>9</w:t>
      </w:r>
      <w:r>
        <w:rPr/>
        <w:t>/l (ref 4-9x10</w:t>
      </w:r>
      <w:r>
        <w:rPr>
          <w:position w:val="7"/>
          <w:sz w:val="14"/>
        </w:rPr>
        <w:t>9</w:t>
      </w:r>
      <w:r>
        <w:rPr/>
        <w:t>/l), lymphopenia (6.8%)-range 15-50%, elevated lactate dehydrogenase of 436 U/l- range (up to 248 U/L), C-reactive protein of 99.5</w:t>
      </w:r>
      <w:r>
        <w:rPr>
          <w:spacing w:val="-2"/>
        </w:rPr>
        <w:t> </w:t>
      </w:r>
      <w:r>
        <w:rPr/>
        <w:t>mg/l (ref. up to 6 mg/l), creatinine 188 ng/l (range 45-109 nmol/l), ferritin 476.51 mg/l (ref. up to 300 mg/l). Hs- Troponin I (ABBOT Essay) was elevated – 420.6 ng/l (reference values for men 0-34.2 ng/l), D-dimer levels </w:t>
      </w:r>
      <w:r>
        <w:rPr>
          <w:spacing w:val="-2"/>
        </w:rPr>
        <w:t>were</w:t>
      </w:r>
      <w:r>
        <w:rPr>
          <w:spacing w:val="-12"/>
        </w:rPr>
        <w:t> </w:t>
      </w:r>
      <w:r>
        <w:rPr>
          <w:spacing w:val="-2"/>
        </w:rPr>
        <w:t>increased-10.000</w:t>
      </w:r>
      <w:r>
        <w:rPr>
          <w:spacing w:val="-11"/>
        </w:rPr>
        <w:t> </w:t>
      </w:r>
      <w:r>
        <w:rPr>
          <w:spacing w:val="-2"/>
        </w:rPr>
        <w:t>ng/ml</w:t>
      </w:r>
      <w:r>
        <w:rPr>
          <w:spacing w:val="-11"/>
        </w:rPr>
        <w:t> </w:t>
      </w:r>
      <w:r>
        <w:rPr>
          <w:spacing w:val="-2"/>
        </w:rPr>
        <w:t>(cut</w:t>
      </w:r>
      <w:r>
        <w:rPr>
          <w:spacing w:val="-11"/>
        </w:rPr>
        <w:t> </w:t>
      </w:r>
      <w:r>
        <w:rPr>
          <w:spacing w:val="-2"/>
        </w:rPr>
        <w:t>off</w:t>
      </w:r>
      <w:r>
        <w:rPr>
          <w:spacing w:val="-11"/>
        </w:rPr>
        <w:t> </w:t>
      </w:r>
      <w:r>
        <w:rPr>
          <w:spacing w:val="-2"/>
        </w:rPr>
        <w:t>value</w:t>
      </w:r>
      <w:r>
        <w:rPr>
          <w:spacing w:val="-11"/>
        </w:rPr>
        <w:t> </w:t>
      </w:r>
      <w:r>
        <w:rPr>
          <w:spacing w:val="-2"/>
        </w:rPr>
        <w:t>&lt;500</w:t>
      </w:r>
      <w:r>
        <w:rPr>
          <w:spacing w:val="-11"/>
        </w:rPr>
        <w:t> </w:t>
      </w:r>
      <w:r>
        <w:rPr>
          <w:spacing w:val="-2"/>
        </w:rPr>
        <w:t>ng/ml). </w:t>
      </w:r>
      <w:r>
        <w:rPr/>
        <w:t>Gas analyses were within normal limits, with slightly decreased pCO2 levels.</w:t>
      </w:r>
    </w:p>
    <w:p>
      <w:pPr>
        <w:pStyle w:val="BodyText"/>
        <w:ind w:left="238" w:right="292"/>
        <w:jc w:val="both"/>
      </w:pPr>
      <w:r>
        <w:rPr/>
        <w:t>The</w:t>
      </w:r>
      <w:r>
        <w:rPr>
          <w:spacing w:val="-1"/>
        </w:rPr>
        <w:t> </w:t>
      </w:r>
      <w:r>
        <w:rPr/>
        <w:t>next</w:t>
      </w:r>
      <w:r>
        <w:rPr>
          <w:spacing w:val="-2"/>
        </w:rPr>
        <w:t> </w:t>
      </w:r>
      <w:r>
        <w:rPr/>
        <w:t>hospital</w:t>
      </w:r>
      <w:r>
        <w:rPr>
          <w:spacing w:val="-2"/>
        </w:rPr>
        <w:t> </w:t>
      </w:r>
      <w:r>
        <w:rPr/>
        <w:t>day</w:t>
      </w:r>
      <w:r>
        <w:rPr>
          <w:spacing w:val="-6"/>
        </w:rPr>
        <w:t> </w:t>
      </w:r>
      <w:r>
        <w:rPr/>
        <w:t>the</w:t>
      </w:r>
      <w:r>
        <w:rPr>
          <w:spacing w:val="-1"/>
        </w:rPr>
        <w:t> </w:t>
      </w:r>
      <w:r>
        <w:rPr/>
        <w:t>patient</w:t>
      </w:r>
      <w:r>
        <w:rPr>
          <w:spacing w:val="-2"/>
        </w:rPr>
        <w:t> </w:t>
      </w:r>
      <w:r>
        <w:rPr/>
        <w:t>was</w:t>
      </w:r>
      <w:r>
        <w:rPr>
          <w:spacing w:val="-2"/>
        </w:rPr>
        <w:t> </w:t>
      </w:r>
      <w:r>
        <w:rPr/>
        <w:t>transferred</w:t>
      </w:r>
      <w:r>
        <w:rPr>
          <w:spacing w:val="-1"/>
        </w:rPr>
        <w:t> </w:t>
      </w:r>
      <w:r>
        <w:rPr/>
        <w:t>to</w:t>
      </w:r>
      <w:r>
        <w:rPr>
          <w:spacing w:val="-1"/>
        </w:rPr>
        <w:t> </w:t>
      </w:r>
      <w:r>
        <w:rPr/>
        <w:t>the Clinic for infectious disease in a clinical stable condi- tion. The patient was clinically stable and treated at </w:t>
      </w:r>
      <w:r>
        <w:rPr>
          <w:spacing w:val="-2"/>
        </w:rPr>
        <w:t>Clinic</w:t>
      </w:r>
      <w:r>
        <w:rPr>
          <w:spacing w:val="-9"/>
        </w:rPr>
        <w:t> </w:t>
      </w:r>
      <w:r>
        <w:rPr>
          <w:spacing w:val="-2"/>
        </w:rPr>
        <w:t>for</w:t>
      </w:r>
      <w:r>
        <w:rPr>
          <w:spacing w:val="-10"/>
        </w:rPr>
        <w:t> </w:t>
      </w:r>
      <w:r>
        <w:rPr>
          <w:spacing w:val="-2"/>
        </w:rPr>
        <w:t>additional</w:t>
      </w:r>
      <w:r>
        <w:rPr>
          <w:spacing w:val="-8"/>
        </w:rPr>
        <w:t> </w:t>
      </w:r>
      <w:r>
        <w:rPr>
          <w:spacing w:val="-2"/>
        </w:rPr>
        <w:t>two</w:t>
      </w:r>
      <w:r>
        <w:rPr>
          <w:spacing w:val="-8"/>
        </w:rPr>
        <w:t> </w:t>
      </w:r>
      <w:r>
        <w:rPr>
          <w:spacing w:val="-2"/>
        </w:rPr>
        <w:t>weeks.</w:t>
      </w:r>
      <w:r>
        <w:rPr>
          <w:spacing w:val="-9"/>
        </w:rPr>
        <w:t> </w:t>
      </w:r>
      <w:r>
        <w:rPr>
          <w:spacing w:val="-2"/>
        </w:rPr>
        <w:t>He</w:t>
      </w:r>
      <w:r>
        <w:rPr>
          <w:spacing w:val="-9"/>
        </w:rPr>
        <w:t> </w:t>
      </w:r>
      <w:r>
        <w:rPr>
          <w:spacing w:val="-2"/>
        </w:rPr>
        <w:t>was</w:t>
      </w:r>
      <w:r>
        <w:rPr>
          <w:spacing w:val="-10"/>
        </w:rPr>
        <w:t> </w:t>
      </w:r>
      <w:r>
        <w:rPr>
          <w:spacing w:val="-2"/>
        </w:rPr>
        <w:t>discharged</w:t>
      </w:r>
      <w:r>
        <w:rPr>
          <w:spacing w:val="-9"/>
        </w:rPr>
        <w:t> </w:t>
      </w:r>
      <w:r>
        <w:rPr>
          <w:spacing w:val="-2"/>
        </w:rPr>
        <w:t>with </w:t>
      </w:r>
      <w:r>
        <w:rPr/>
        <w:t>a recommendation for oral anticoagulant therapy with Rivaroxaban of 20mg one daily for the next three months.</w:t>
      </w:r>
      <w:r>
        <w:rPr>
          <w:spacing w:val="-14"/>
        </w:rPr>
        <w:t> </w:t>
      </w:r>
      <w:r>
        <w:rPr/>
        <w:t>The</w:t>
      </w:r>
      <w:r>
        <w:rPr>
          <w:spacing w:val="-13"/>
        </w:rPr>
        <w:t> </w:t>
      </w:r>
      <w:r>
        <w:rPr/>
        <w:t>patient</w:t>
      </w:r>
      <w:r>
        <w:rPr>
          <w:spacing w:val="-13"/>
        </w:rPr>
        <w:t> </w:t>
      </w:r>
      <w:r>
        <w:rPr/>
        <w:t>was</w:t>
      </w:r>
      <w:r>
        <w:rPr>
          <w:spacing w:val="-13"/>
        </w:rPr>
        <w:t> </w:t>
      </w:r>
      <w:r>
        <w:rPr/>
        <w:t>called</w:t>
      </w:r>
      <w:r>
        <w:rPr>
          <w:spacing w:val="-13"/>
        </w:rPr>
        <w:t> </w:t>
      </w:r>
      <w:r>
        <w:rPr/>
        <w:t>for</w:t>
      </w:r>
      <w:r>
        <w:rPr>
          <w:spacing w:val="-13"/>
        </w:rPr>
        <w:t> </w:t>
      </w:r>
      <w:r>
        <w:rPr/>
        <w:t>outpatient</w:t>
      </w:r>
      <w:r>
        <w:rPr>
          <w:spacing w:val="-13"/>
        </w:rPr>
        <w:t> </w:t>
      </w:r>
      <w:r>
        <w:rPr/>
        <w:t>visit</w:t>
      </w:r>
      <w:r>
        <w:rPr>
          <w:spacing w:val="-13"/>
        </w:rPr>
        <w:t> </w:t>
      </w:r>
      <w:r>
        <w:rPr/>
        <w:t>at</w:t>
      </w:r>
      <w:r>
        <w:rPr>
          <w:spacing w:val="-14"/>
        </w:rPr>
        <w:t> </w:t>
      </w:r>
      <w:r>
        <w:rPr/>
        <w:t>the Cardiology</w:t>
      </w:r>
      <w:r>
        <w:rPr>
          <w:spacing w:val="-5"/>
        </w:rPr>
        <w:t> </w:t>
      </w:r>
      <w:r>
        <w:rPr/>
        <w:t>clinic after</w:t>
      </w:r>
      <w:r>
        <w:rPr>
          <w:spacing w:val="-2"/>
        </w:rPr>
        <w:t> </w:t>
      </w:r>
      <w:r>
        <w:rPr/>
        <w:t>four months.</w:t>
      </w:r>
      <w:r>
        <w:rPr>
          <w:spacing w:val="-2"/>
        </w:rPr>
        <w:t> </w:t>
      </w:r>
      <w:r>
        <w:rPr/>
        <w:t>He</w:t>
      </w:r>
      <w:r>
        <w:rPr>
          <w:spacing w:val="-1"/>
        </w:rPr>
        <w:t> </w:t>
      </w:r>
      <w:r>
        <w:rPr/>
        <w:t>was</w:t>
      </w:r>
      <w:r>
        <w:rPr>
          <w:spacing w:val="-2"/>
        </w:rPr>
        <w:t> </w:t>
      </w:r>
      <w:r>
        <w:rPr/>
        <w:t>in</w:t>
      </w:r>
      <w:r>
        <w:rPr>
          <w:spacing w:val="-1"/>
        </w:rPr>
        <w:t> </w:t>
      </w:r>
      <w:r>
        <w:rPr/>
        <w:t>a</w:t>
      </w:r>
      <w:r>
        <w:rPr>
          <w:spacing w:val="-1"/>
        </w:rPr>
        <w:t> </w:t>
      </w:r>
      <w:r>
        <w:rPr/>
        <w:t>stable condition with completely normalized echocardiogra- phy</w:t>
      </w:r>
      <w:r>
        <w:rPr>
          <w:spacing w:val="-2"/>
        </w:rPr>
        <w:t> </w:t>
      </w:r>
      <w:r>
        <w:rPr/>
        <w:t>result and no</w:t>
      </w:r>
      <w:r>
        <w:rPr>
          <w:spacing w:val="1"/>
        </w:rPr>
        <w:t> </w:t>
      </w:r>
      <w:r>
        <w:rPr/>
        <w:t>additional</w:t>
      </w:r>
      <w:r>
        <w:rPr>
          <w:spacing w:val="2"/>
        </w:rPr>
        <w:t> </w:t>
      </w:r>
      <w:r>
        <w:rPr/>
        <w:t>thrombotic</w:t>
      </w:r>
      <w:r>
        <w:rPr>
          <w:spacing w:val="1"/>
        </w:rPr>
        <w:t> </w:t>
      </w:r>
      <w:r>
        <w:rPr>
          <w:spacing w:val="-2"/>
        </w:rPr>
        <w:t>complications.</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8"/>
        <w:rPr>
          <w:sz w:val="20"/>
        </w:rPr>
      </w:pPr>
    </w:p>
    <w:p>
      <w:pPr>
        <w:pStyle w:val="BodyText"/>
        <w:ind w:left="1169"/>
        <w:rPr>
          <w:sz w:val="20"/>
        </w:rPr>
      </w:pPr>
      <w:r>
        <w:rPr>
          <w:sz w:val="20"/>
        </w:rPr>
        <w:drawing>
          <wp:inline distT="0" distB="0" distL="0" distR="0">
            <wp:extent cx="4928753" cy="1663636"/>
            <wp:effectExtent l="0" t="0" r="0" b="0"/>
            <wp:docPr id="11" name="image448.jpeg"/>
            <wp:cNvGraphicFramePr>
              <a:graphicFrameLocks noChangeAspect="1"/>
            </wp:cNvGraphicFramePr>
            <a:graphic>
              <a:graphicData uri="http://schemas.openxmlformats.org/drawingml/2006/picture">
                <pic:pic>
                  <pic:nvPicPr>
                    <pic:cNvPr id="12" name="image448.jpeg"/>
                    <pic:cNvPicPr/>
                  </pic:nvPicPr>
                  <pic:blipFill>
                    <a:blip r:embed="rId495" cstate="print"/>
                    <a:stretch>
                      <a:fillRect/>
                    </a:stretch>
                  </pic:blipFill>
                  <pic:spPr>
                    <a:xfrm>
                      <a:off x="0" y="0"/>
                      <a:ext cx="4928753" cy="1663636"/>
                    </a:xfrm>
                    <a:prstGeom prst="rect">
                      <a:avLst/>
                    </a:prstGeom>
                  </pic:spPr>
                </pic:pic>
              </a:graphicData>
            </a:graphic>
          </wp:inline>
        </w:drawing>
      </w:r>
      <w:r>
        <w:rPr>
          <w:sz w:val="20"/>
        </w:rPr>
      </w:r>
    </w:p>
    <w:p>
      <w:pPr>
        <w:spacing w:before="0"/>
        <w:ind w:left="1363" w:right="1141" w:firstLine="2"/>
        <w:jc w:val="left"/>
        <w:rPr>
          <w:sz w:val="18"/>
        </w:rPr>
      </w:pPr>
      <w:r>
        <w:rPr>
          <w:b/>
          <w:sz w:val="18"/>
        </w:rPr>
        <w:t>Fig.</w:t>
      </w:r>
      <w:r>
        <w:rPr>
          <w:b/>
          <w:spacing w:val="-5"/>
          <w:sz w:val="18"/>
        </w:rPr>
        <w:t> </w:t>
      </w:r>
      <w:r>
        <w:rPr>
          <w:b/>
          <w:sz w:val="18"/>
        </w:rPr>
        <w:t>1.</w:t>
      </w:r>
      <w:r>
        <w:rPr>
          <w:sz w:val="18"/>
        </w:rPr>
        <w:t>Bedside</w:t>
      </w:r>
      <w:r>
        <w:rPr>
          <w:spacing w:val="-4"/>
          <w:sz w:val="18"/>
        </w:rPr>
        <w:t> </w:t>
      </w:r>
      <w:r>
        <w:rPr>
          <w:sz w:val="18"/>
        </w:rPr>
        <w:t>Transthoracic</w:t>
      </w:r>
      <w:r>
        <w:rPr>
          <w:spacing w:val="-4"/>
          <w:sz w:val="18"/>
        </w:rPr>
        <w:t> </w:t>
      </w:r>
      <w:r>
        <w:rPr>
          <w:sz w:val="18"/>
        </w:rPr>
        <w:t>Echocardiography.</w:t>
      </w:r>
      <w:r>
        <w:rPr>
          <w:spacing w:val="-3"/>
          <w:sz w:val="18"/>
        </w:rPr>
        <w:t> </w:t>
      </w:r>
      <w:r>
        <w:rPr>
          <w:sz w:val="18"/>
        </w:rPr>
        <w:t>(A)</w:t>
      </w:r>
      <w:r>
        <w:rPr>
          <w:spacing w:val="-3"/>
          <w:sz w:val="18"/>
        </w:rPr>
        <w:t> </w:t>
      </w:r>
      <w:r>
        <w:rPr>
          <w:sz w:val="18"/>
        </w:rPr>
        <w:t>Parasternal</w:t>
      </w:r>
      <w:r>
        <w:rPr>
          <w:spacing w:val="-3"/>
          <w:sz w:val="18"/>
        </w:rPr>
        <w:t> </w:t>
      </w:r>
      <w:r>
        <w:rPr>
          <w:sz w:val="18"/>
        </w:rPr>
        <w:t>short-axis</w:t>
      </w:r>
      <w:r>
        <w:rPr>
          <w:spacing w:val="-3"/>
          <w:sz w:val="18"/>
        </w:rPr>
        <w:t> </w:t>
      </w:r>
      <w:r>
        <w:rPr>
          <w:sz w:val="18"/>
        </w:rPr>
        <w:t>view</w:t>
      </w:r>
      <w:r>
        <w:rPr>
          <w:spacing w:val="-6"/>
          <w:sz w:val="18"/>
        </w:rPr>
        <w:t> </w:t>
      </w:r>
      <w:r>
        <w:rPr>
          <w:sz w:val="18"/>
        </w:rPr>
        <w:t>of</w:t>
      </w:r>
      <w:r>
        <w:rPr>
          <w:spacing w:val="-5"/>
          <w:sz w:val="18"/>
        </w:rPr>
        <w:t> </w:t>
      </w:r>
      <w:r>
        <w:rPr>
          <w:sz w:val="18"/>
        </w:rPr>
        <w:t>the</w:t>
      </w:r>
      <w:r>
        <w:rPr>
          <w:spacing w:val="-4"/>
          <w:sz w:val="18"/>
        </w:rPr>
        <w:t> </w:t>
      </w:r>
      <w:r>
        <w:rPr>
          <w:sz w:val="18"/>
        </w:rPr>
        <w:t>heart</w:t>
      </w:r>
      <w:r>
        <w:rPr>
          <w:spacing w:val="-3"/>
          <w:sz w:val="18"/>
        </w:rPr>
        <w:t> </w:t>
      </w:r>
      <w:r>
        <w:rPr>
          <w:sz w:val="18"/>
        </w:rPr>
        <w:t>showing</w:t>
      </w:r>
      <w:r>
        <w:rPr>
          <w:spacing w:val="-4"/>
          <w:sz w:val="18"/>
        </w:rPr>
        <w:t> </w:t>
      </w:r>
      <w:r>
        <w:rPr>
          <w:sz w:val="18"/>
        </w:rPr>
        <w:t>a dilated right ventricle. Doppler echocardiographic view of severe tricuspid regurgitation (B)</w:t>
      </w:r>
    </w:p>
    <w:p>
      <w:pPr>
        <w:spacing w:after="0"/>
        <w:jc w:val="left"/>
        <w:rPr>
          <w:sz w:val="18"/>
        </w:rPr>
        <w:sectPr>
          <w:type w:val="continuous"/>
          <w:pgSz w:w="11910" w:h="16840"/>
          <w:pgMar w:header="854" w:footer="0" w:top="740" w:bottom="0" w:left="900" w:right="840"/>
        </w:sectPr>
      </w:pPr>
    </w:p>
    <w:p>
      <w:pPr>
        <w:pStyle w:val="BodyText"/>
        <w:rPr>
          <w:sz w:val="24"/>
        </w:rPr>
      </w:pPr>
    </w:p>
    <w:p>
      <w:pPr>
        <w:pStyle w:val="BodyText"/>
        <w:ind w:left="1872"/>
        <w:rPr>
          <w:sz w:val="20"/>
        </w:rPr>
      </w:pPr>
      <w:r>
        <w:rPr>
          <w:sz w:val="20"/>
        </w:rPr>
        <w:drawing>
          <wp:inline distT="0" distB="0" distL="0" distR="0">
            <wp:extent cx="4031158" cy="2130266"/>
            <wp:effectExtent l="0" t="0" r="0" b="0"/>
            <wp:docPr id="13" name="image449.jpeg"/>
            <wp:cNvGraphicFramePr>
              <a:graphicFrameLocks noChangeAspect="1"/>
            </wp:cNvGraphicFramePr>
            <a:graphic>
              <a:graphicData uri="http://schemas.openxmlformats.org/drawingml/2006/picture">
                <pic:pic>
                  <pic:nvPicPr>
                    <pic:cNvPr id="14" name="image449.jpeg"/>
                    <pic:cNvPicPr/>
                  </pic:nvPicPr>
                  <pic:blipFill>
                    <a:blip r:embed="rId497" cstate="print"/>
                    <a:stretch>
                      <a:fillRect/>
                    </a:stretch>
                  </pic:blipFill>
                  <pic:spPr>
                    <a:xfrm>
                      <a:off x="0" y="0"/>
                      <a:ext cx="4031158" cy="2130266"/>
                    </a:xfrm>
                    <a:prstGeom prst="rect">
                      <a:avLst/>
                    </a:prstGeom>
                  </pic:spPr>
                </pic:pic>
              </a:graphicData>
            </a:graphic>
          </wp:inline>
        </w:drawing>
      </w:r>
      <w:r>
        <w:rPr>
          <w:sz w:val="20"/>
        </w:rPr>
      </w:r>
    </w:p>
    <w:p>
      <w:pPr>
        <w:spacing w:before="3"/>
        <w:ind w:left="238" w:right="294" w:firstLine="0"/>
        <w:jc w:val="left"/>
        <w:rPr>
          <w:sz w:val="18"/>
        </w:rPr>
      </w:pPr>
      <w:r>
        <w:rPr>
          <w:b/>
          <w:sz w:val="18"/>
        </w:rPr>
        <w:t>Fig.</w:t>
      </w:r>
      <w:r>
        <w:rPr>
          <w:b/>
          <w:spacing w:val="-2"/>
          <w:sz w:val="18"/>
        </w:rPr>
        <w:t> </w:t>
      </w:r>
      <w:r>
        <w:rPr>
          <w:b/>
          <w:sz w:val="18"/>
        </w:rPr>
        <w:t>2.</w:t>
      </w:r>
      <w:r>
        <w:rPr>
          <w:b/>
          <w:spacing w:val="38"/>
          <w:sz w:val="18"/>
        </w:rPr>
        <w:t> </w:t>
      </w:r>
      <w:r>
        <w:rPr>
          <w:sz w:val="18"/>
        </w:rPr>
        <w:t>CT</w:t>
      </w:r>
      <w:r>
        <w:rPr>
          <w:spacing w:val="35"/>
          <w:sz w:val="18"/>
        </w:rPr>
        <w:t> </w:t>
      </w:r>
      <w:r>
        <w:rPr>
          <w:sz w:val="18"/>
        </w:rPr>
        <w:t>of</w:t>
      </w:r>
      <w:r>
        <w:rPr>
          <w:spacing w:val="35"/>
          <w:sz w:val="18"/>
        </w:rPr>
        <w:t> </w:t>
      </w:r>
      <w:r>
        <w:rPr>
          <w:sz w:val="18"/>
        </w:rPr>
        <w:t>the</w:t>
      </w:r>
      <w:r>
        <w:rPr>
          <w:spacing w:val="37"/>
          <w:sz w:val="18"/>
        </w:rPr>
        <w:t> </w:t>
      </w:r>
      <w:r>
        <w:rPr>
          <w:sz w:val="18"/>
        </w:rPr>
        <w:t>chest</w:t>
      </w:r>
      <w:r>
        <w:rPr>
          <w:spacing w:val="37"/>
          <w:sz w:val="18"/>
        </w:rPr>
        <w:t> </w:t>
      </w:r>
      <w:r>
        <w:rPr>
          <w:sz w:val="18"/>
        </w:rPr>
        <w:t>and</w:t>
      </w:r>
      <w:r>
        <w:rPr>
          <w:spacing w:val="38"/>
          <w:sz w:val="18"/>
        </w:rPr>
        <w:t> </w:t>
      </w:r>
      <w:r>
        <w:rPr>
          <w:sz w:val="18"/>
        </w:rPr>
        <w:t>CT</w:t>
      </w:r>
      <w:r>
        <w:rPr>
          <w:spacing w:val="30"/>
          <w:sz w:val="18"/>
        </w:rPr>
        <w:t> </w:t>
      </w:r>
      <w:r>
        <w:rPr>
          <w:sz w:val="18"/>
        </w:rPr>
        <w:t>Pulmonary</w:t>
      </w:r>
      <w:r>
        <w:rPr>
          <w:spacing w:val="36"/>
          <w:sz w:val="18"/>
        </w:rPr>
        <w:t> </w:t>
      </w:r>
      <w:r>
        <w:rPr>
          <w:sz w:val="18"/>
        </w:rPr>
        <w:t>Angiography.</w:t>
      </w:r>
      <w:r>
        <w:rPr>
          <w:spacing w:val="38"/>
          <w:sz w:val="18"/>
        </w:rPr>
        <w:t> </w:t>
      </w:r>
      <w:r>
        <w:rPr>
          <w:sz w:val="18"/>
        </w:rPr>
        <w:t>(A,</w:t>
      </w:r>
      <w:r>
        <w:rPr>
          <w:spacing w:val="38"/>
          <w:sz w:val="18"/>
        </w:rPr>
        <w:t> </w:t>
      </w:r>
      <w:r>
        <w:rPr>
          <w:sz w:val="18"/>
        </w:rPr>
        <w:t>B)</w:t>
      </w:r>
      <w:r>
        <w:rPr>
          <w:spacing w:val="37"/>
          <w:sz w:val="18"/>
        </w:rPr>
        <w:t> </w:t>
      </w:r>
      <w:r>
        <w:rPr>
          <w:sz w:val="18"/>
        </w:rPr>
        <w:t>Computed</w:t>
      </w:r>
      <w:r>
        <w:rPr>
          <w:spacing w:val="38"/>
          <w:sz w:val="18"/>
        </w:rPr>
        <w:t> </w:t>
      </w:r>
      <w:r>
        <w:rPr>
          <w:sz w:val="18"/>
        </w:rPr>
        <w:t>tomography</w:t>
      </w:r>
      <w:r>
        <w:rPr>
          <w:spacing w:val="34"/>
          <w:sz w:val="18"/>
        </w:rPr>
        <w:t> </w:t>
      </w:r>
      <w:r>
        <w:rPr>
          <w:sz w:val="18"/>
        </w:rPr>
        <w:t>pulmonary</w:t>
      </w:r>
      <w:r>
        <w:rPr>
          <w:spacing w:val="34"/>
          <w:sz w:val="18"/>
        </w:rPr>
        <w:t> </w:t>
      </w:r>
      <w:r>
        <w:rPr>
          <w:sz w:val="18"/>
        </w:rPr>
        <w:t>angiography</w:t>
      </w:r>
      <w:r>
        <w:rPr>
          <w:spacing w:val="34"/>
          <w:sz w:val="18"/>
        </w:rPr>
        <w:t> </w:t>
      </w:r>
      <w:r>
        <w:rPr>
          <w:sz w:val="18"/>
        </w:rPr>
        <w:t>demonstrates multiple</w:t>
      </w:r>
      <w:r>
        <w:rPr>
          <w:spacing w:val="-1"/>
          <w:sz w:val="18"/>
        </w:rPr>
        <w:t> </w:t>
      </w:r>
      <w:r>
        <w:rPr>
          <w:sz w:val="18"/>
        </w:rPr>
        <w:t>filling</w:t>
      </w:r>
      <w:r>
        <w:rPr>
          <w:spacing w:val="-1"/>
          <w:sz w:val="18"/>
        </w:rPr>
        <w:t> </w:t>
      </w:r>
      <w:r>
        <w:rPr>
          <w:sz w:val="18"/>
        </w:rPr>
        <w:t>defects involving lobar and segmental branches</w:t>
      </w:r>
      <w:r>
        <w:rPr>
          <w:spacing w:val="-1"/>
          <w:sz w:val="18"/>
        </w:rPr>
        <w:t> </w:t>
      </w:r>
      <w:r>
        <w:rPr>
          <w:sz w:val="18"/>
        </w:rPr>
        <w:t>of</w:t>
      </w:r>
      <w:r>
        <w:rPr>
          <w:spacing w:val="-1"/>
          <w:sz w:val="18"/>
        </w:rPr>
        <w:t> </w:t>
      </w:r>
      <w:r>
        <w:rPr>
          <w:sz w:val="18"/>
        </w:rPr>
        <w:t>the</w:t>
      </w:r>
      <w:r>
        <w:rPr>
          <w:spacing w:val="-1"/>
          <w:sz w:val="18"/>
        </w:rPr>
        <w:t> </w:t>
      </w:r>
      <w:r>
        <w:rPr>
          <w:sz w:val="18"/>
        </w:rPr>
        <w:t>right pulmonary</w:t>
      </w:r>
      <w:r>
        <w:rPr>
          <w:spacing w:val="-1"/>
          <w:sz w:val="18"/>
        </w:rPr>
        <w:t> </w:t>
      </w:r>
      <w:r>
        <w:rPr>
          <w:sz w:val="18"/>
        </w:rPr>
        <w:t>artery</w:t>
      </w:r>
      <w:r>
        <w:rPr>
          <w:spacing w:val="-2"/>
          <w:sz w:val="18"/>
        </w:rPr>
        <w:t> </w:t>
      </w:r>
      <w:r>
        <w:rPr>
          <w:sz w:val="18"/>
        </w:rPr>
        <w:t>and</w:t>
      </w:r>
      <w:r>
        <w:rPr>
          <w:spacing w:val="1"/>
          <w:sz w:val="18"/>
        </w:rPr>
        <w:t> </w:t>
      </w:r>
      <w:r>
        <w:rPr>
          <w:sz w:val="18"/>
        </w:rPr>
        <w:t>a linear saddle pulmonary</w:t>
      </w:r>
      <w:r>
        <w:rPr>
          <w:spacing w:val="-4"/>
          <w:sz w:val="18"/>
        </w:rPr>
        <w:t> </w:t>
      </w:r>
      <w:r>
        <w:rPr>
          <w:spacing w:val="-2"/>
          <w:sz w:val="18"/>
        </w:rPr>
        <w:t>embolus.</w:t>
      </w:r>
    </w:p>
    <w:p>
      <w:pPr>
        <w:spacing w:before="0"/>
        <w:ind w:left="238" w:right="294" w:firstLine="0"/>
        <w:jc w:val="left"/>
        <w:rPr>
          <w:sz w:val="18"/>
        </w:rPr>
      </w:pPr>
      <w:r>
        <w:rPr>
          <w:sz w:val="18"/>
        </w:rPr>
        <w:t>(C) Axial unenhanced chest computed</w:t>
      </w:r>
      <w:r>
        <w:rPr>
          <w:spacing w:val="-1"/>
          <w:sz w:val="18"/>
        </w:rPr>
        <w:t> </w:t>
      </w:r>
      <w:r>
        <w:rPr>
          <w:sz w:val="18"/>
        </w:rPr>
        <w:t>tomography</w:t>
      </w:r>
      <w:r>
        <w:rPr>
          <w:spacing w:val="-3"/>
          <w:sz w:val="18"/>
        </w:rPr>
        <w:t> </w:t>
      </w:r>
      <w:r>
        <w:rPr>
          <w:sz w:val="18"/>
        </w:rPr>
        <w:t>(CT) scan shows areas of ground-glass interstitial opacities in the subcostal</w:t>
      </w:r>
      <w:r>
        <w:rPr>
          <w:spacing w:val="-2"/>
          <w:sz w:val="18"/>
        </w:rPr>
        <w:t> </w:t>
      </w:r>
      <w:r>
        <w:rPr>
          <w:sz w:val="18"/>
        </w:rPr>
        <w:t>upper and basal paracardial zones</w:t>
      </w:r>
    </w:p>
    <w:p>
      <w:pPr>
        <w:pStyle w:val="BodyText"/>
        <w:spacing w:before="10"/>
        <w:rPr>
          <w:sz w:val="12"/>
        </w:rPr>
      </w:pPr>
    </w:p>
    <w:p>
      <w:pPr>
        <w:spacing w:after="0"/>
        <w:rPr>
          <w:sz w:val="12"/>
        </w:rPr>
        <w:sectPr>
          <w:headerReference w:type="default" r:id="rId496"/>
          <w:pgSz w:w="11910" w:h="16840"/>
          <w:pgMar w:header="854" w:footer="0" w:top="1300" w:bottom="280" w:left="900" w:right="840"/>
        </w:sectPr>
      </w:pPr>
    </w:p>
    <w:p>
      <w:pPr>
        <w:pStyle w:val="BodyText"/>
        <w:spacing w:before="93"/>
        <w:ind w:left="238" w:right="41"/>
        <w:jc w:val="both"/>
      </w:pPr>
      <w:r>
        <w:rPr/>
        <w:t>Our</w:t>
      </w:r>
      <w:r>
        <w:rPr>
          <w:spacing w:val="-3"/>
        </w:rPr>
        <w:t> </w:t>
      </w:r>
      <w:r>
        <w:rPr/>
        <w:t>second</w:t>
      </w:r>
      <w:r>
        <w:rPr>
          <w:spacing w:val="-2"/>
        </w:rPr>
        <w:t> </w:t>
      </w:r>
      <w:r>
        <w:rPr/>
        <w:t>case</w:t>
      </w:r>
      <w:r>
        <w:rPr>
          <w:spacing w:val="-2"/>
        </w:rPr>
        <w:t> </w:t>
      </w:r>
      <w:r>
        <w:rPr/>
        <w:t>was</w:t>
      </w:r>
      <w:r>
        <w:rPr>
          <w:spacing w:val="-2"/>
        </w:rPr>
        <w:t> </w:t>
      </w:r>
      <w:r>
        <w:rPr/>
        <w:t>a</w:t>
      </w:r>
      <w:r>
        <w:rPr>
          <w:spacing w:val="-4"/>
        </w:rPr>
        <w:t> </w:t>
      </w:r>
      <w:r>
        <w:rPr/>
        <w:t>47-year-old man</w:t>
      </w:r>
      <w:r>
        <w:rPr>
          <w:spacing w:val="-2"/>
        </w:rPr>
        <w:t> </w:t>
      </w:r>
      <w:r>
        <w:rPr/>
        <w:t>who</w:t>
      </w:r>
      <w:r>
        <w:rPr>
          <w:spacing w:val="-2"/>
        </w:rPr>
        <w:t> </w:t>
      </w:r>
      <w:r>
        <w:rPr/>
        <w:t>presented at our emergency department with chest pain and dys- pnea. He was febrile with temperature of 37.8</w:t>
      </w:r>
      <w:r>
        <w:rPr>
          <w:position w:val="7"/>
          <w:sz w:val="14"/>
        </w:rPr>
        <w:t>o</w:t>
      </w:r>
      <w:r>
        <w:rPr/>
        <w:t>C one day before hospital admission. His previous medical history included hypertension, smoking, diabetes type 2 treated with Metformin, hypercholesterolemia and increased body weight. Admission blood pressure was 110/65 mmHg and heart rate 130 bpm. Physical exa- mination showed basal lung crepitations and raised heart rate.</w:t>
      </w:r>
    </w:p>
    <w:p>
      <w:pPr>
        <w:pStyle w:val="BodyText"/>
        <w:ind w:left="238" w:right="40"/>
        <w:jc w:val="both"/>
      </w:pPr>
      <w:r>
        <w:rPr/>
        <w:t>Admission ECG showed signs of acute anterior ST segment elevation myocardial infarction. The patient received 300 mg aspirin, 600 mg Clopidogrel, 40 mg Rosuvastatin, 70 IE/kg bolus Heparin (5000 IE) and Furosemide intravenous bolus. The patient had Killip Class II and GRACE Score 108.</w:t>
      </w:r>
    </w:p>
    <w:p>
      <w:pPr>
        <w:pStyle w:val="BodyText"/>
        <w:ind w:left="238" w:right="38"/>
        <w:jc w:val="both"/>
      </w:pPr>
      <w:r>
        <w:rPr>
          <w:spacing w:val="-2"/>
        </w:rPr>
        <w:t>Laboratory</w:t>
      </w:r>
      <w:r>
        <w:rPr>
          <w:spacing w:val="-3"/>
        </w:rPr>
        <w:t> </w:t>
      </w:r>
      <w:r>
        <w:rPr>
          <w:spacing w:val="-2"/>
        </w:rPr>
        <w:t>analyses</w:t>
      </w:r>
      <w:r>
        <w:rPr>
          <w:spacing w:val="-3"/>
        </w:rPr>
        <w:t> </w:t>
      </w:r>
      <w:r>
        <w:rPr>
          <w:spacing w:val="-2"/>
        </w:rPr>
        <w:t>showed serum</w:t>
      </w:r>
      <w:r>
        <w:rPr>
          <w:spacing w:val="-4"/>
        </w:rPr>
        <w:t> </w:t>
      </w:r>
      <w:r>
        <w:rPr>
          <w:spacing w:val="-2"/>
        </w:rPr>
        <w:t>Hs-Troponin-I</w:t>
      </w:r>
      <w:r>
        <w:rPr>
          <w:spacing w:val="-3"/>
        </w:rPr>
        <w:t> </w:t>
      </w:r>
      <w:r>
        <w:rPr>
          <w:spacing w:val="-2"/>
        </w:rPr>
        <w:t>6385 </w:t>
      </w:r>
      <w:r>
        <w:rPr/>
        <w:t>ng/mL (normal range for men 0-34.2 ng/ml ABBOTT </w:t>
      </w:r>
      <w:r>
        <w:rPr>
          <w:spacing w:val="-2"/>
        </w:rPr>
        <w:t>essay),</w:t>
      </w:r>
      <w:r>
        <w:rPr>
          <w:spacing w:val="-12"/>
        </w:rPr>
        <w:t> </w:t>
      </w:r>
      <w:r>
        <w:rPr>
          <w:spacing w:val="-2"/>
        </w:rPr>
        <w:t>N-terminal</w:t>
      </w:r>
      <w:r>
        <w:rPr>
          <w:spacing w:val="-11"/>
        </w:rPr>
        <w:t> </w:t>
      </w:r>
      <w:r>
        <w:rPr>
          <w:spacing w:val="-2"/>
        </w:rPr>
        <w:t>proBNP</w:t>
      </w:r>
      <w:r>
        <w:rPr>
          <w:spacing w:val="-11"/>
        </w:rPr>
        <w:t> </w:t>
      </w:r>
      <w:r>
        <w:rPr>
          <w:spacing w:val="-2"/>
        </w:rPr>
        <w:t>6097</w:t>
      </w:r>
      <w:r>
        <w:rPr>
          <w:spacing w:val="-11"/>
        </w:rPr>
        <w:t> </w:t>
      </w:r>
      <w:r>
        <w:rPr>
          <w:spacing w:val="-2"/>
        </w:rPr>
        <w:t>pg/ml</w:t>
      </w:r>
      <w:r>
        <w:rPr>
          <w:spacing w:val="-11"/>
        </w:rPr>
        <w:t> </w:t>
      </w:r>
      <w:r>
        <w:rPr>
          <w:spacing w:val="-2"/>
        </w:rPr>
        <w:t>(Abbot</w:t>
      </w:r>
      <w:r>
        <w:rPr>
          <w:spacing w:val="-11"/>
        </w:rPr>
        <w:t> </w:t>
      </w:r>
      <w:r>
        <w:rPr>
          <w:spacing w:val="-2"/>
        </w:rPr>
        <w:t>Diagnos- </w:t>
      </w:r>
      <w:r>
        <w:rPr/>
        <w:t>tics), increased leukocytes level of 16 x10</w:t>
      </w:r>
      <w:r>
        <w:rPr>
          <w:position w:val="7"/>
          <w:sz w:val="14"/>
        </w:rPr>
        <w:t>9</w:t>
      </w:r>
      <w:r>
        <w:rPr/>
        <w:t>/l (ref. 4- 9x10</w:t>
      </w:r>
      <w:r>
        <w:rPr>
          <w:position w:val="7"/>
          <w:sz w:val="14"/>
        </w:rPr>
        <w:t>9</w:t>
      </w:r>
      <w:r>
        <w:rPr/>
        <w:t>/l), lymphopenia (7.1%)-range 15-50%, elevated lactate</w:t>
      </w:r>
      <w:r>
        <w:rPr>
          <w:spacing w:val="-8"/>
        </w:rPr>
        <w:t> </w:t>
      </w:r>
      <w:r>
        <w:rPr/>
        <w:t>dehydrogenase</w:t>
      </w:r>
      <w:r>
        <w:rPr>
          <w:spacing w:val="-8"/>
        </w:rPr>
        <w:t> </w:t>
      </w:r>
      <w:r>
        <w:rPr/>
        <w:t>of</w:t>
      </w:r>
      <w:r>
        <w:rPr>
          <w:spacing w:val="-8"/>
        </w:rPr>
        <w:t> </w:t>
      </w:r>
      <w:r>
        <w:rPr/>
        <w:t>517</w:t>
      </w:r>
      <w:r>
        <w:rPr>
          <w:spacing w:val="-7"/>
        </w:rPr>
        <w:t> </w:t>
      </w:r>
      <w:r>
        <w:rPr/>
        <w:t>U/l</w:t>
      </w:r>
      <w:r>
        <w:rPr>
          <w:spacing w:val="-8"/>
        </w:rPr>
        <w:t> </w:t>
      </w:r>
      <w:r>
        <w:rPr/>
        <w:t>(range</w:t>
      </w:r>
      <w:r>
        <w:rPr>
          <w:spacing w:val="-8"/>
        </w:rPr>
        <w:t> </w:t>
      </w:r>
      <w:r>
        <w:rPr/>
        <w:t>up</w:t>
      </w:r>
      <w:r>
        <w:rPr>
          <w:spacing w:val="-7"/>
        </w:rPr>
        <w:t> </w:t>
      </w:r>
      <w:r>
        <w:rPr/>
        <w:t>to</w:t>
      </w:r>
      <w:r>
        <w:rPr>
          <w:spacing w:val="-7"/>
        </w:rPr>
        <w:t> </w:t>
      </w:r>
      <w:r>
        <w:rPr/>
        <w:t>248</w:t>
      </w:r>
      <w:r>
        <w:rPr>
          <w:spacing w:val="-7"/>
        </w:rPr>
        <w:t> </w:t>
      </w:r>
      <w:r>
        <w:rPr/>
        <w:t>U/L) and</w:t>
      </w:r>
      <w:r>
        <w:rPr>
          <w:spacing w:val="-11"/>
        </w:rPr>
        <w:t> </w:t>
      </w:r>
      <w:r>
        <w:rPr/>
        <w:t>C-reactive</w:t>
      </w:r>
      <w:r>
        <w:rPr>
          <w:spacing w:val="-7"/>
        </w:rPr>
        <w:t> </w:t>
      </w:r>
      <w:r>
        <w:rPr/>
        <w:t>protein</w:t>
      </w:r>
      <w:r>
        <w:rPr>
          <w:spacing w:val="-6"/>
        </w:rPr>
        <w:t> </w:t>
      </w:r>
      <w:r>
        <w:rPr/>
        <w:t>of</w:t>
      </w:r>
      <w:r>
        <w:rPr>
          <w:spacing w:val="-7"/>
        </w:rPr>
        <w:t> </w:t>
      </w:r>
      <w:r>
        <w:rPr/>
        <w:t>115.5</w:t>
      </w:r>
      <w:r>
        <w:rPr>
          <w:spacing w:val="-14"/>
        </w:rPr>
        <w:t> </w:t>
      </w:r>
      <w:r>
        <w:rPr/>
        <w:t>mg/l</w:t>
      </w:r>
      <w:r>
        <w:rPr>
          <w:spacing w:val="-4"/>
        </w:rPr>
        <w:t> </w:t>
      </w:r>
      <w:r>
        <w:rPr/>
        <w:t>(ref.</w:t>
      </w:r>
      <w:r>
        <w:rPr>
          <w:spacing w:val="-6"/>
        </w:rPr>
        <w:t> </w:t>
      </w:r>
      <w:r>
        <w:rPr/>
        <w:t>up</w:t>
      </w:r>
      <w:r>
        <w:rPr>
          <w:spacing w:val="-6"/>
        </w:rPr>
        <w:t> </w:t>
      </w:r>
      <w:r>
        <w:rPr/>
        <w:t>to</w:t>
      </w:r>
      <w:r>
        <w:rPr>
          <w:spacing w:val="-6"/>
        </w:rPr>
        <w:t> </w:t>
      </w:r>
      <w:r>
        <w:rPr/>
        <w:t>6</w:t>
      </w:r>
      <w:r>
        <w:rPr>
          <w:spacing w:val="-4"/>
        </w:rPr>
        <w:t> </w:t>
      </w:r>
      <w:r>
        <w:rPr/>
        <w:t>mg/l). Nasopharyngeal</w:t>
      </w:r>
      <w:r>
        <w:rPr>
          <w:spacing w:val="-14"/>
        </w:rPr>
        <w:t> </w:t>
      </w:r>
      <w:r>
        <w:rPr/>
        <w:t>smear</w:t>
      </w:r>
      <w:r>
        <w:rPr>
          <w:spacing w:val="-13"/>
        </w:rPr>
        <w:t> </w:t>
      </w:r>
      <w:r>
        <w:rPr/>
        <w:t>for</w:t>
      </w:r>
      <w:r>
        <w:rPr>
          <w:spacing w:val="-13"/>
        </w:rPr>
        <w:t> </w:t>
      </w:r>
      <w:r>
        <w:rPr/>
        <w:t>SARV</w:t>
      </w:r>
      <w:r>
        <w:rPr>
          <w:spacing w:val="-13"/>
        </w:rPr>
        <w:t> </w:t>
      </w:r>
      <w:r>
        <w:rPr/>
        <w:t>CoV-2</w:t>
      </w:r>
      <w:r>
        <w:rPr>
          <w:spacing w:val="-13"/>
        </w:rPr>
        <w:t> </w:t>
      </w:r>
      <w:r>
        <w:rPr/>
        <w:t>was</w:t>
      </w:r>
      <w:r>
        <w:rPr>
          <w:spacing w:val="-11"/>
        </w:rPr>
        <w:t> </w:t>
      </w:r>
      <w:r>
        <w:rPr/>
        <w:t>taken</w:t>
      </w:r>
      <w:r>
        <w:rPr>
          <w:spacing w:val="-12"/>
        </w:rPr>
        <w:t> </w:t>
      </w:r>
      <w:r>
        <w:rPr/>
        <w:t>and result positive for virus RNK (real-time fluorescence polymerase chain reaction-PCR) was received.</w:t>
      </w:r>
    </w:p>
    <w:p>
      <w:pPr>
        <w:pStyle w:val="BodyText"/>
        <w:ind w:left="238" w:right="38"/>
        <w:jc w:val="both"/>
      </w:pPr>
      <w:r>
        <w:rPr/>
        <w:t>Focus bedside transthoracic echocardiography (TTE) </w:t>
      </w:r>
      <w:r>
        <w:rPr>
          <w:spacing w:val="-2"/>
        </w:rPr>
        <w:t>showed</w:t>
      </w:r>
      <w:r>
        <w:rPr>
          <w:spacing w:val="-4"/>
        </w:rPr>
        <w:t> </w:t>
      </w:r>
      <w:r>
        <w:rPr>
          <w:spacing w:val="-2"/>
        </w:rPr>
        <w:t>increased</w:t>
      </w:r>
      <w:r>
        <w:rPr>
          <w:spacing w:val="-4"/>
        </w:rPr>
        <w:t> </w:t>
      </w:r>
      <w:r>
        <w:rPr>
          <w:spacing w:val="-2"/>
        </w:rPr>
        <w:t>left</w:t>
      </w:r>
      <w:r>
        <w:rPr>
          <w:spacing w:val="-5"/>
        </w:rPr>
        <w:t> </w:t>
      </w:r>
      <w:r>
        <w:rPr>
          <w:spacing w:val="-2"/>
        </w:rPr>
        <w:t>ventricular volumes</w:t>
      </w:r>
      <w:r>
        <w:rPr>
          <w:spacing w:val="-4"/>
        </w:rPr>
        <w:t> </w:t>
      </w:r>
      <w:r>
        <w:rPr>
          <w:spacing w:val="-2"/>
        </w:rPr>
        <w:t>with</w:t>
      </w:r>
      <w:r>
        <w:rPr>
          <w:spacing w:val="-4"/>
        </w:rPr>
        <w:t> </w:t>
      </w:r>
      <w:r>
        <w:rPr>
          <w:spacing w:val="-2"/>
        </w:rPr>
        <w:t>severely </w:t>
      </w:r>
      <w:r>
        <w:rPr/>
        <w:t>reduced left ventricular function (LVEF) and EF 35%, akinesia</w:t>
      </w:r>
      <w:r>
        <w:rPr>
          <w:spacing w:val="-14"/>
        </w:rPr>
        <w:t> </w:t>
      </w:r>
      <w:r>
        <w:rPr/>
        <w:t>of</w:t>
      </w:r>
      <w:r>
        <w:rPr>
          <w:spacing w:val="-13"/>
        </w:rPr>
        <w:t> </w:t>
      </w:r>
      <w:r>
        <w:rPr/>
        <w:t>the</w:t>
      </w:r>
      <w:r>
        <w:rPr>
          <w:spacing w:val="-13"/>
        </w:rPr>
        <w:t> </w:t>
      </w:r>
      <w:r>
        <w:rPr/>
        <w:t>apex,</w:t>
      </w:r>
      <w:r>
        <w:rPr>
          <w:spacing w:val="-13"/>
        </w:rPr>
        <w:t> </w:t>
      </w:r>
      <w:r>
        <w:rPr/>
        <w:t>anterior</w:t>
      </w:r>
      <w:r>
        <w:rPr>
          <w:spacing w:val="-13"/>
        </w:rPr>
        <w:t> </w:t>
      </w:r>
      <w:r>
        <w:rPr/>
        <w:t>wall,</w:t>
      </w:r>
      <w:r>
        <w:rPr>
          <w:spacing w:val="-13"/>
        </w:rPr>
        <w:t> </w:t>
      </w:r>
      <w:r>
        <w:rPr/>
        <w:t>mid</w:t>
      </w:r>
      <w:r>
        <w:rPr>
          <w:spacing w:val="-13"/>
        </w:rPr>
        <w:t> </w:t>
      </w:r>
      <w:r>
        <w:rPr/>
        <w:t>and</w:t>
      </w:r>
      <w:r>
        <w:rPr>
          <w:spacing w:val="-13"/>
        </w:rPr>
        <w:t> </w:t>
      </w:r>
      <w:r>
        <w:rPr/>
        <w:t>apical</w:t>
      </w:r>
      <w:r>
        <w:rPr>
          <w:spacing w:val="-14"/>
        </w:rPr>
        <w:t> </w:t>
      </w:r>
      <w:r>
        <w:rPr/>
        <w:t>septal wall as shown in Figure 3. Coronary angiography was performed through right radial access and showed dis- tal occlusion of the left circumflex artery (LCx), with TIMI flow 0-chronic total occlusion (CTO), proximal 95%</w:t>
      </w:r>
      <w:r>
        <w:rPr>
          <w:spacing w:val="-10"/>
        </w:rPr>
        <w:t> </w:t>
      </w:r>
      <w:r>
        <w:rPr/>
        <w:t>stenosis</w:t>
      </w:r>
      <w:r>
        <w:rPr>
          <w:spacing w:val="-10"/>
        </w:rPr>
        <w:t> </w:t>
      </w:r>
      <w:r>
        <w:rPr/>
        <w:t>of</w:t>
      </w:r>
      <w:r>
        <w:rPr>
          <w:spacing w:val="-8"/>
        </w:rPr>
        <w:t> </w:t>
      </w:r>
      <w:r>
        <w:rPr/>
        <w:t>right</w:t>
      </w:r>
      <w:r>
        <w:rPr>
          <w:spacing w:val="-10"/>
        </w:rPr>
        <w:t> </w:t>
      </w:r>
      <w:r>
        <w:rPr/>
        <w:t>coronary</w:t>
      </w:r>
      <w:r>
        <w:rPr>
          <w:spacing w:val="-11"/>
        </w:rPr>
        <w:t> </w:t>
      </w:r>
      <w:r>
        <w:rPr/>
        <w:t>artery</w:t>
      </w:r>
      <w:r>
        <w:rPr>
          <w:spacing w:val="-9"/>
        </w:rPr>
        <w:t> </w:t>
      </w:r>
      <w:r>
        <w:rPr/>
        <w:t>(RCA)</w:t>
      </w:r>
      <w:r>
        <w:rPr>
          <w:spacing w:val="-10"/>
        </w:rPr>
        <w:t> </w:t>
      </w:r>
      <w:r>
        <w:rPr/>
        <w:t>with</w:t>
      </w:r>
      <w:r>
        <w:rPr>
          <w:spacing w:val="-9"/>
        </w:rPr>
        <w:t> </w:t>
      </w:r>
      <w:r>
        <w:rPr/>
        <w:t>TIMI flow</w:t>
      </w:r>
      <w:r>
        <w:rPr>
          <w:spacing w:val="-14"/>
        </w:rPr>
        <w:t> </w:t>
      </w:r>
      <w:r>
        <w:rPr/>
        <w:t>3,</w:t>
      </w:r>
      <w:r>
        <w:rPr>
          <w:spacing w:val="-13"/>
        </w:rPr>
        <w:t> </w:t>
      </w:r>
      <w:r>
        <w:rPr/>
        <w:t>1st</w:t>
      </w:r>
      <w:r>
        <w:rPr>
          <w:spacing w:val="-13"/>
        </w:rPr>
        <w:t> </w:t>
      </w:r>
      <w:r>
        <w:rPr/>
        <w:t>obtuse</w:t>
      </w:r>
      <w:r>
        <w:rPr>
          <w:spacing w:val="-13"/>
        </w:rPr>
        <w:t> </w:t>
      </w:r>
      <w:r>
        <w:rPr/>
        <w:t>marginal</w:t>
      </w:r>
      <w:r>
        <w:rPr>
          <w:spacing w:val="-13"/>
        </w:rPr>
        <w:t> </w:t>
      </w:r>
      <w:r>
        <w:rPr/>
        <w:t>artery</w:t>
      </w:r>
      <w:r>
        <w:rPr>
          <w:spacing w:val="-13"/>
        </w:rPr>
        <w:t> </w:t>
      </w:r>
      <w:r>
        <w:rPr/>
        <w:t>stenosis</w:t>
      </w:r>
      <w:r>
        <w:rPr>
          <w:spacing w:val="-13"/>
        </w:rPr>
        <w:t> </w:t>
      </w:r>
      <w:r>
        <w:rPr/>
        <w:t>of</w:t>
      </w:r>
      <w:r>
        <w:rPr>
          <w:spacing w:val="-13"/>
        </w:rPr>
        <w:t> </w:t>
      </w:r>
      <w:r>
        <w:rPr/>
        <w:t>100%</w:t>
      </w:r>
      <w:r>
        <w:rPr>
          <w:spacing w:val="-14"/>
        </w:rPr>
        <w:t> </w:t>
      </w:r>
      <w:r>
        <w:rPr/>
        <w:t>with </w:t>
      </w:r>
      <w:r>
        <w:rPr>
          <w:spacing w:val="-2"/>
        </w:rPr>
        <w:t>TIMI</w:t>
      </w:r>
      <w:r>
        <w:rPr>
          <w:spacing w:val="-12"/>
        </w:rPr>
        <w:t> </w:t>
      </w:r>
      <w:r>
        <w:rPr>
          <w:spacing w:val="-2"/>
        </w:rPr>
        <w:t>flow</w:t>
      </w:r>
      <w:r>
        <w:rPr>
          <w:spacing w:val="-11"/>
        </w:rPr>
        <w:t> </w:t>
      </w:r>
      <w:r>
        <w:rPr>
          <w:spacing w:val="-2"/>
        </w:rPr>
        <w:t>0-CTO.</w:t>
      </w:r>
      <w:r>
        <w:rPr>
          <w:spacing w:val="-11"/>
        </w:rPr>
        <w:t> </w:t>
      </w:r>
      <w:r>
        <w:rPr>
          <w:spacing w:val="-2"/>
        </w:rPr>
        <w:t>Culprit</w:t>
      </w:r>
      <w:r>
        <w:rPr>
          <w:spacing w:val="-11"/>
        </w:rPr>
        <w:t> </w:t>
      </w:r>
      <w:r>
        <w:rPr>
          <w:spacing w:val="-2"/>
        </w:rPr>
        <w:t>lesion</w:t>
      </w:r>
      <w:r>
        <w:rPr>
          <w:spacing w:val="-11"/>
        </w:rPr>
        <w:t> </w:t>
      </w:r>
      <w:r>
        <w:rPr>
          <w:spacing w:val="-2"/>
        </w:rPr>
        <w:t>was</w:t>
      </w:r>
      <w:r>
        <w:rPr>
          <w:spacing w:val="-11"/>
        </w:rPr>
        <w:t> </w:t>
      </w:r>
      <w:r>
        <w:rPr>
          <w:spacing w:val="-2"/>
        </w:rPr>
        <w:t>proximal</w:t>
      </w:r>
      <w:r>
        <w:rPr>
          <w:spacing w:val="-11"/>
        </w:rPr>
        <w:t> </w:t>
      </w:r>
      <w:r>
        <w:rPr>
          <w:spacing w:val="-2"/>
        </w:rPr>
        <w:t>left</w:t>
      </w:r>
      <w:r>
        <w:rPr>
          <w:spacing w:val="-11"/>
        </w:rPr>
        <w:t> </w:t>
      </w:r>
      <w:r>
        <w:rPr>
          <w:spacing w:val="-2"/>
        </w:rPr>
        <w:t>ante- </w:t>
      </w:r>
      <w:r>
        <w:rPr/>
        <w:t>rior</w:t>
      </w:r>
      <w:r>
        <w:rPr>
          <w:spacing w:val="13"/>
        </w:rPr>
        <w:t> </w:t>
      </w:r>
      <w:r>
        <w:rPr/>
        <w:t>descending</w:t>
      </w:r>
      <w:r>
        <w:rPr>
          <w:spacing w:val="19"/>
        </w:rPr>
        <w:t> </w:t>
      </w:r>
      <w:r>
        <w:rPr/>
        <w:t>coronary</w:t>
      </w:r>
      <w:r>
        <w:rPr>
          <w:spacing w:val="15"/>
        </w:rPr>
        <w:t> </w:t>
      </w:r>
      <w:r>
        <w:rPr/>
        <w:t>artery</w:t>
      </w:r>
      <w:r>
        <w:rPr>
          <w:spacing w:val="16"/>
        </w:rPr>
        <w:t> </w:t>
      </w:r>
      <w:r>
        <w:rPr/>
        <w:t>(LAD)</w:t>
      </w:r>
      <w:r>
        <w:rPr>
          <w:spacing w:val="18"/>
        </w:rPr>
        <w:t> </w:t>
      </w:r>
      <w:r>
        <w:rPr/>
        <w:t>with</w:t>
      </w:r>
      <w:r>
        <w:rPr>
          <w:spacing w:val="19"/>
        </w:rPr>
        <w:t> </w:t>
      </w:r>
      <w:r>
        <w:rPr/>
        <w:t>99%</w:t>
      </w:r>
      <w:r>
        <w:rPr>
          <w:spacing w:val="19"/>
        </w:rPr>
        <w:t> </w:t>
      </w:r>
      <w:r>
        <w:rPr>
          <w:spacing w:val="-4"/>
        </w:rPr>
        <w:t>ste-</w:t>
      </w:r>
    </w:p>
    <w:p>
      <w:pPr>
        <w:pStyle w:val="BodyText"/>
        <w:spacing w:before="93"/>
        <w:ind w:left="238" w:right="290"/>
        <w:jc w:val="both"/>
      </w:pPr>
      <w:r>
        <w:rPr/>
        <w:br w:type="column"/>
      </w:r>
      <w:r>
        <w:rPr/>
        <w:t>nosis</w:t>
      </w:r>
      <w:r>
        <w:rPr>
          <w:spacing w:val="-3"/>
        </w:rPr>
        <w:t> </w:t>
      </w:r>
      <w:r>
        <w:rPr/>
        <w:t>and</w:t>
      </w:r>
      <w:r>
        <w:rPr>
          <w:spacing w:val="-3"/>
        </w:rPr>
        <w:t> </w:t>
      </w:r>
      <w:r>
        <w:rPr/>
        <w:t>TIMI</w:t>
      </w:r>
      <w:r>
        <w:rPr>
          <w:spacing w:val="-7"/>
        </w:rPr>
        <w:t> </w:t>
      </w:r>
      <w:r>
        <w:rPr/>
        <w:t>flow</w:t>
      </w:r>
      <w:r>
        <w:rPr>
          <w:spacing w:val="-4"/>
        </w:rPr>
        <w:t> </w:t>
      </w:r>
      <w:r>
        <w:rPr/>
        <w:t>0,</w:t>
      </w:r>
      <w:r>
        <w:rPr>
          <w:spacing w:val="-3"/>
        </w:rPr>
        <w:t> </w:t>
      </w:r>
      <w:r>
        <w:rPr/>
        <w:t>shown</w:t>
      </w:r>
      <w:r>
        <w:rPr>
          <w:spacing w:val="-3"/>
        </w:rPr>
        <w:t> </w:t>
      </w:r>
      <w:r>
        <w:rPr/>
        <w:t>in</w:t>
      </w:r>
      <w:r>
        <w:rPr>
          <w:spacing w:val="-1"/>
        </w:rPr>
        <w:t> </w:t>
      </w:r>
      <w:r>
        <w:rPr/>
        <w:t>Figure</w:t>
      </w:r>
      <w:r>
        <w:rPr>
          <w:spacing w:val="-3"/>
        </w:rPr>
        <w:t> </w:t>
      </w:r>
      <w:r>
        <w:rPr/>
        <w:t>6A.</w:t>
      </w:r>
      <w:r>
        <w:rPr>
          <w:spacing w:val="-3"/>
        </w:rPr>
        <w:t> </w:t>
      </w:r>
      <w:r>
        <w:rPr/>
        <w:t>A</w:t>
      </w:r>
      <w:r>
        <w:rPr>
          <w:spacing w:val="-1"/>
        </w:rPr>
        <w:t> </w:t>
      </w:r>
      <w:r>
        <w:rPr/>
        <w:t>signify- cant stenosis of the proximal RCA is presented in </w:t>
      </w:r>
      <w:r>
        <w:rPr>
          <w:spacing w:val="-2"/>
        </w:rPr>
        <w:t>Figure</w:t>
      </w:r>
      <w:r>
        <w:rPr>
          <w:spacing w:val="-9"/>
        </w:rPr>
        <w:t> </w:t>
      </w:r>
      <w:r>
        <w:rPr>
          <w:spacing w:val="-2"/>
        </w:rPr>
        <w:t>4C.</w:t>
      </w:r>
      <w:r>
        <w:rPr>
          <w:spacing w:val="-9"/>
        </w:rPr>
        <w:t> </w:t>
      </w:r>
      <w:r>
        <w:rPr>
          <w:spacing w:val="-2"/>
        </w:rPr>
        <w:t>Direct</w:t>
      </w:r>
      <w:r>
        <w:rPr>
          <w:spacing w:val="-8"/>
        </w:rPr>
        <w:t> </w:t>
      </w:r>
      <w:r>
        <w:rPr>
          <w:spacing w:val="-2"/>
        </w:rPr>
        <w:t>coronary</w:t>
      </w:r>
      <w:r>
        <w:rPr>
          <w:spacing w:val="-11"/>
        </w:rPr>
        <w:t> </w:t>
      </w:r>
      <w:r>
        <w:rPr>
          <w:spacing w:val="-2"/>
        </w:rPr>
        <w:t>percutaneous</w:t>
      </w:r>
      <w:r>
        <w:rPr>
          <w:spacing w:val="-10"/>
        </w:rPr>
        <w:t> </w:t>
      </w:r>
      <w:r>
        <w:rPr>
          <w:spacing w:val="-2"/>
        </w:rPr>
        <w:t>procedure</w:t>
      </w:r>
      <w:r>
        <w:rPr>
          <w:spacing w:val="-8"/>
        </w:rPr>
        <w:t> </w:t>
      </w:r>
      <w:r>
        <w:rPr>
          <w:spacing w:val="-2"/>
        </w:rPr>
        <w:t>with </w:t>
      </w:r>
      <w:r>
        <w:rPr/>
        <w:t>stenting (PCI) of the mid LAD lesion with drug elu- ting stent (DES) was performed (Figure 4A). The final result after stenting of proximal LAD is shown in Figure</w:t>
      </w:r>
      <w:r>
        <w:rPr>
          <w:spacing w:val="-3"/>
        </w:rPr>
        <w:t> </w:t>
      </w:r>
      <w:r>
        <w:rPr/>
        <w:t>4B.</w:t>
      </w:r>
      <w:r>
        <w:rPr>
          <w:spacing w:val="-5"/>
        </w:rPr>
        <w:t> </w:t>
      </w:r>
      <w:r>
        <w:rPr/>
        <w:t>An</w:t>
      </w:r>
      <w:r>
        <w:rPr>
          <w:spacing w:val="-5"/>
        </w:rPr>
        <w:t> </w:t>
      </w:r>
      <w:r>
        <w:rPr/>
        <w:t>additional</w:t>
      </w:r>
      <w:r>
        <w:rPr>
          <w:spacing w:val="-4"/>
        </w:rPr>
        <w:t> </w:t>
      </w:r>
      <w:r>
        <w:rPr/>
        <w:t>stage</w:t>
      </w:r>
      <w:r>
        <w:rPr>
          <w:spacing w:val="-5"/>
        </w:rPr>
        <w:t> </w:t>
      </w:r>
      <w:r>
        <w:rPr/>
        <w:t>procedure</w:t>
      </w:r>
      <w:r>
        <w:rPr>
          <w:spacing w:val="-3"/>
        </w:rPr>
        <w:t> </w:t>
      </w:r>
      <w:r>
        <w:rPr/>
        <w:t>with</w:t>
      </w:r>
      <w:r>
        <w:rPr>
          <w:spacing w:val="-3"/>
        </w:rPr>
        <w:t> </w:t>
      </w:r>
      <w:r>
        <w:rPr/>
        <w:t>PCI</w:t>
      </w:r>
      <w:r>
        <w:rPr>
          <w:spacing w:val="-7"/>
        </w:rPr>
        <w:t> </w:t>
      </w:r>
      <w:r>
        <w:rPr/>
        <w:t>and stenting to proximal RCA stenosis was performed on </w:t>
      </w:r>
      <w:r>
        <w:rPr>
          <w:spacing w:val="-4"/>
        </w:rPr>
        <w:t>the</w:t>
      </w:r>
      <w:r>
        <w:rPr>
          <w:spacing w:val="-7"/>
        </w:rPr>
        <w:t> </w:t>
      </w:r>
      <w:r>
        <w:rPr>
          <w:spacing w:val="-4"/>
        </w:rPr>
        <w:t>third</w:t>
      </w:r>
      <w:r>
        <w:rPr>
          <w:spacing w:val="-6"/>
        </w:rPr>
        <w:t> </w:t>
      </w:r>
      <w:r>
        <w:rPr>
          <w:spacing w:val="-4"/>
        </w:rPr>
        <w:t>day</w:t>
      </w:r>
      <w:r>
        <w:rPr>
          <w:spacing w:val="-9"/>
        </w:rPr>
        <w:t> </w:t>
      </w:r>
      <w:r>
        <w:rPr>
          <w:spacing w:val="-4"/>
        </w:rPr>
        <w:t>of</w:t>
      </w:r>
      <w:r>
        <w:rPr>
          <w:spacing w:val="-7"/>
        </w:rPr>
        <w:t> </w:t>
      </w:r>
      <w:r>
        <w:rPr>
          <w:spacing w:val="-4"/>
        </w:rPr>
        <w:t>hospitalization</w:t>
      </w:r>
      <w:r>
        <w:rPr>
          <w:spacing w:val="-6"/>
        </w:rPr>
        <w:t> </w:t>
      </w:r>
      <w:r>
        <w:rPr>
          <w:spacing w:val="-4"/>
        </w:rPr>
        <w:t>with</w:t>
      </w:r>
      <w:r>
        <w:rPr>
          <w:spacing w:val="-6"/>
        </w:rPr>
        <w:t> </w:t>
      </w:r>
      <w:r>
        <w:rPr>
          <w:spacing w:val="-4"/>
        </w:rPr>
        <w:t>final</w:t>
      </w:r>
      <w:r>
        <w:rPr>
          <w:spacing w:val="-7"/>
        </w:rPr>
        <w:t> </w:t>
      </w:r>
      <w:r>
        <w:rPr>
          <w:spacing w:val="-4"/>
        </w:rPr>
        <w:t>results</w:t>
      </w:r>
      <w:r>
        <w:rPr>
          <w:spacing w:val="-7"/>
        </w:rPr>
        <w:t> </w:t>
      </w:r>
      <w:r>
        <w:rPr>
          <w:spacing w:val="-4"/>
        </w:rPr>
        <w:t>shown in </w:t>
      </w:r>
      <w:r>
        <w:rPr/>
        <w:t>Figure 4D. The patient was discharged after seven</w:t>
      </w:r>
      <w:r>
        <w:rPr>
          <w:spacing w:val="40"/>
        </w:rPr>
        <w:t> </w:t>
      </w:r>
      <w:r>
        <w:rPr/>
        <w:t>days of hospitalization, in a clinically stable condition and NYHA Class II. Control echocardiography was recommended</w:t>
      </w:r>
      <w:r>
        <w:rPr>
          <w:spacing w:val="-8"/>
        </w:rPr>
        <w:t> </w:t>
      </w:r>
      <w:r>
        <w:rPr/>
        <w:t>in</w:t>
      </w:r>
      <w:r>
        <w:rPr>
          <w:spacing w:val="-10"/>
        </w:rPr>
        <w:t> </w:t>
      </w:r>
      <w:r>
        <w:rPr/>
        <w:t>6</w:t>
      </w:r>
      <w:r>
        <w:rPr>
          <w:spacing w:val="-8"/>
        </w:rPr>
        <w:t> </w:t>
      </w:r>
      <w:r>
        <w:rPr/>
        <w:t>weeks</w:t>
      </w:r>
      <w:r>
        <w:rPr>
          <w:spacing w:val="-10"/>
        </w:rPr>
        <w:t> </w:t>
      </w:r>
      <w:r>
        <w:rPr/>
        <w:t>in</w:t>
      </w:r>
      <w:r>
        <w:rPr>
          <w:spacing w:val="-8"/>
        </w:rPr>
        <w:t> </w:t>
      </w:r>
      <w:r>
        <w:rPr/>
        <w:t>order</w:t>
      </w:r>
      <w:r>
        <w:rPr>
          <w:spacing w:val="-9"/>
        </w:rPr>
        <w:t> </w:t>
      </w:r>
      <w:r>
        <w:rPr/>
        <w:t>to</w:t>
      </w:r>
      <w:r>
        <w:rPr>
          <w:spacing w:val="-10"/>
        </w:rPr>
        <w:t> </w:t>
      </w:r>
      <w:r>
        <w:rPr/>
        <w:t>assess</w:t>
      </w:r>
      <w:r>
        <w:rPr>
          <w:spacing w:val="-8"/>
        </w:rPr>
        <w:t> </w:t>
      </w:r>
      <w:r>
        <w:rPr/>
        <w:t>the</w:t>
      </w:r>
      <w:r>
        <w:rPr>
          <w:spacing w:val="-10"/>
        </w:rPr>
        <w:t> </w:t>
      </w:r>
      <w:r>
        <w:rPr/>
        <w:t>need</w:t>
      </w:r>
      <w:r>
        <w:rPr>
          <w:spacing w:val="-8"/>
        </w:rPr>
        <w:t> </w:t>
      </w:r>
      <w:r>
        <w:rPr/>
        <w:t>for ICD</w:t>
      </w:r>
      <w:r>
        <w:rPr>
          <w:spacing w:val="-13"/>
        </w:rPr>
        <w:t> </w:t>
      </w:r>
      <w:r>
        <w:rPr/>
        <w:t>implantation</w:t>
      </w:r>
      <w:r>
        <w:rPr>
          <w:spacing w:val="-13"/>
        </w:rPr>
        <w:t> </w:t>
      </w:r>
      <w:r>
        <w:rPr/>
        <w:t>for</w:t>
      </w:r>
      <w:r>
        <w:rPr>
          <w:spacing w:val="-14"/>
        </w:rPr>
        <w:t> </w:t>
      </w:r>
      <w:r>
        <w:rPr/>
        <w:t>primary</w:t>
      </w:r>
      <w:r>
        <w:rPr>
          <w:spacing w:val="-12"/>
        </w:rPr>
        <w:t> </w:t>
      </w:r>
      <w:r>
        <w:rPr/>
        <w:t>prevention</w:t>
      </w:r>
      <w:r>
        <w:rPr>
          <w:spacing w:val="-13"/>
        </w:rPr>
        <w:t> </w:t>
      </w:r>
      <w:r>
        <w:rPr/>
        <w:t>of</w:t>
      </w:r>
      <w:r>
        <w:rPr>
          <w:spacing w:val="-14"/>
        </w:rPr>
        <w:t> </w:t>
      </w:r>
      <w:r>
        <w:rPr/>
        <w:t>sudden</w:t>
      </w:r>
      <w:r>
        <w:rPr>
          <w:spacing w:val="-12"/>
        </w:rPr>
        <w:t> </w:t>
      </w:r>
      <w:r>
        <w:rPr/>
        <w:t>car- diac death. He was discharged with the following the- </w:t>
      </w:r>
      <w:r>
        <w:rPr>
          <w:spacing w:val="-4"/>
        </w:rPr>
        <w:t>rapy:</w:t>
      </w:r>
      <w:r>
        <w:rPr/>
        <w:t> </w:t>
      </w:r>
      <w:r>
        <w:rPr>
          <w:spacing w:val="-4"/>
        </w:rPr>
        <w:t>Aspirin</w:t>
      </w:r>
      <w:r>
        <w:rPr>
          <w:spacing w:val="-6"/>
        </w:rPr>
        <w:t> </w:t>
      </w:r>
      <w:r>
        <w:rPr>
          <w:spacing w:val="-4"/>
        </w:rPr>
        <w:t>100mg</w:t>
      </w:r>
      <w:r>
        <w:rPr>
          <w:spacing w:val="-8"/>
        </w:rPr>
        <w:t> </w:t>
      </w:r>
      <w:r>
        <w:rPr>
          <w:spacing w:val="-4"/>
        </w:rPr>
        <w:t>od,</w:t>
      </w:r>
      <w:r>
        <w:rPr>
          <w:spacing w:val="-8"/>
        </w:rPr>
        <w:t> </w:t>
      </w:r>
      <w:r>
        <w:rPr>
          <w:spacing w:val="-4"/>
        </w:rPr>
        <w:t>Clopidogrel</w:t>
      </w:r>
      <w:r>
        <w:rPr>
          <w:spacing w:val="-7"/>
        </w:rPr>
        <w:t> </w:t>
      </w:r>
      <w:r>
        <w:rPr>
          <w:spacing w:val="-4"/>
        </w:rPr>
        <w:t>75</w:t>
      </w:r>
      <w:r>
        <w:rPr>
          <w:spacing w:val="-8"/>
        </w:rPr>
        <w:t> </w:t>
      </w:r>
      <w:r>
        <w:rPr>
          <w:spacing w:val="-4"/>
        </w:rPr>
        <w:t>od,</w:t>
      </w:r>
      <w:r>
        <w:rPr>
          <w:spacing w:val="-8"/>
        </w:rPr>
        <w:t> </w:t>
      </w:r>
      <w:r>
        <w:rPr>
          <w:spacing w:val="-4"/>
        </w:rPr>
        <w:t>Rosuvastatin </w:t>
      </w:r>
      <w:r>
        <w:rPr/>
        <w:t>40mg od, Ramipril 5mg od, Carvedilol 6.25mg 2 x1/2, Elprenone 25mg od.</w:t>
      </w:r>
    </w:p>
    <w:p>
      <w:pPr>
        <w:pStyle w:val="BodyText"/>
        <w:spacing w:before="2"/>
        <w:rPr>
          <w:sz w:val="19"/>
        </w:rPr>
      </w:pPr>
      <w:r>
        <w:rPr/>
        <w:drawing>
          <wp:anchor distT="0" distB="0" distL="0" distR="0" allowOverlap="1" layoutInCell="1" locked="0" behindDoc="0" simplePos="0" relativeHeight="40">
            <wp:simplePos x="0" y="0"/>
            <wp:positionH relativeFrom="page">
              <wp:posOffset>4050665</wp:posOffset>
            </wp:positionH>
            <wp:positionV relativeFrom="paragraph">
              <wp:posOffset>155245</wp:posOffset>
            </wp:positionV>
            <wp:extent cx="2633482" cy="2427732"/>
            <wp:effectExtent l="0" t="0" r="0" b="0"/>
            <wp:wrapTopAndBottom/>
            <wp:docPr id="15" name="image450.jpeg"/>
            <wp:cNvGraphicFramePr>
              <a:graphicFrameLocks noChangeAspect="1"/>
            </wp:cNvGraphicFramePr>
            <a:graphic>
              <a:graphicData uri="http://schemas.openxmlformats.org/drawingml/2006/picture">
                <pic:pic>
                  <pic:nvPicPr>
                    <pic:cNvPr id="16" name="image450.jpeg"/>
                    <pic:cNvPicPr/>
                  </pic:nvPicPr>
                  <pic:blipFill>
                    <a:blip r:embed="rId498" cstate="print"/>
                    <a:stretch>
                      <a:fillRect/>
                    </a:stretch>
                  </pic:blipFill>
                  <pic:spPr>
                    <a:xfrm>
                      <a:off x="0" y="0"/>
                      <a:ext cx="2633482" cy="2427732"/>
                    </a:xfrm>
                    <a:prstGeom prst="rect">
                      <a:avLst/>
                    </a:prstGeom>
                  </pic:spPr>
                </pic:pic>
              </a:graphicData>
            </a:graphic>
          </wp:anchor>
        </w:drawing>
      </w:r>
    </w:p>
    <w:p>
      <w:pPr>
        <w:spacing w:line="240" w:lineRule="auto" w:before="0"/>
        <w:ind w:left="466" w:right="347" w:firstLine="0"/>
        <w:jc w:val="left"/>
        <w:rPr>
          <w:sz w:val="18"/>
        </w:rPr>
      </w:pPr>
      <w:r>
        <w:rPr>
          <w:b/>
          <w:sz w:val="18"/>
        </w:rPr>
        <w:t>Fig.</w:t>
      </w:r>
      <w:r>
        <w:rPr>
          <w:b/>
          <w:spacing w:val="-8"/>
          <w:sz w:val="18"/>
        </w:rPr>
        <w:t> </w:t>
      </w:r>
      <w:r>
        <w:rPr>
          <w:b/>
          <w:sz w:val="18"/>
        </w:rPr>
        <w:t>3.</w:t>
      </w:r>
      <w:r>
        <w:rPr>
          <w:b/>
          <w:spacing w:val="-8"/>
          <w:sz w:val="18"/>
        </w:rPr>
        <w:t> </w:t>
      </w:r>
      <w:r>
        <w:rPr>
          <w:sz w:val="18"/>
        </w:rPr>
        <w:t>Bedside</w:t>
      </w:r>
      <w:r>
        <w:rPr>
          <w:spacing w:val="-8"/>
          <w:sz w:val="18"/>
        </w:rPr>
        <w:t> </w:t>
      </w:r>
      <w:r>
        <w:rPr>
          <w:sz w:val="18"/>
        </w:rPr>
        <w:t>echocardiography</w:t>
      </w:r>
      <w:r>
        <w:rPr>
          <w:spacing w:val="-10"/>
          <w:sz w:val="18"/>
        </w:rPr>
        <w:t> </w:t>
      </w:r>
      <w:r>
        <w:rPr>
          <w:sz w:val="18"/>
        </w:rPr>
        <w:t>showing</w:t>
      </w:r>
      <w:r>
        <w:rPr>
          <w:spacing w:val="-8"/>
          <w:sz w:val="18"/>
        </w:rPr>
        <w:t> </w:t>
      </w:r>
      <w:r>
        <w:rPr>
          <w:sz w:val="18"/>
        </w:rPr>
        <w:t>increased</w:t>
      </w:r>
      <w:r>
        <w:rPr>
          <w:spacing w:val="-6"/>
          <w:sz w:val="18"/>
        </w:rPr>
        <w:t> </w:t>
      </w:r>
      <w:r>
        <w:rPr>
          <w:sz w:val="18"/>
        </w:rPr>
        <w:t>left ventricular cavities and volumes with reduced left ventricular function</w:t>
      </w:r>
    </w:p>
    <w:p>
      <w:pPr>
        <w:spacing w:after="0" w:line="240" w:lineRule="auto"/>
        <w:jc w:val="left"/>
        <w:rPr>
          <w:sz w:val="18"/>
        </w:rPr>
        <w:sectPr>
          <w:type w:val="continuous"/>
          <w:pgSz w:w="11910" w:h="16840"/>
          <w:pgMar w:header="854" w:footer="0" w:top="740" w:bottom="0" w:left="900" w:right="840"/>
          <w:cols w:num="2" w:equalWidth="0">
            <w:col w:w="4922" w:space="76"/>
            <w:col w:w="5172"/>
          </w:cols>
        </w:sectPr>
      </w:pPr>
    </w:p>
    <w:p>
      <w:pPr>
        <w:pStyle w:val="BodyText"/>
        <w:spacing w:before="4"/>
        <w:rPr>
          <w:sz w:val="17"/>
        </w:rPr>
      </w:pPr>
    </w:p>
    <w:p>
      <w:pPr>
        <w:spacing w:after="0"/>
        <w:rPr>
          <w:sz w:val="17"/>
        </w:rPr>
        <w:sectPr>
          <w:headerReference w:type="even" r:id="rId499"/>
          <w:pgSz w:w="11910" w:h="16840"/>
          <w:pgMar w:header="0" w:footer="0" w:top="1920" w:bottom="280" w:left="900" w:right="840"/>
        </w:sectPr>
      </w:pPr>
    </w:p>
    <w:p>
      <w:pPr>
        <w:pStyle w:val="BodyText"/>
        <w:rPr>
          <w:sz w:val="24"/>
        </w:rPr>
      </w:pPr>
    </w:p>
    <w:p>
      <w:pPr>
        <w:pStyle w:val="BodyText"/>
        <w:ind w:left="2177"/>
        <w:rPr>
          <w:sz w:val="20"/>
        </w:rPr>
      </w:pPr>
      <w:r>
        <w:rPr>
          <w:sz w:val="20"/>
        </w:rPr>
        <w:drawing>
          <wp:inline distT="0" distB="0" distL="0" distR="0">
            <wp:extent cx="3644373" cy="2900933"/>
            <wp:effectExtent l="0" t="0" r="0" b="0"/>
            <wp:docPr id="17" name="image451.jpeg"/>
            <wp:cNvGraphicFramePr>
              <a:graphicFrameLocks noChangeAspect="1"/>
            </wp:cNvGraphicFramePr>
            <a:graphic>
              <a:graphicData uri="http://schemas.openxmlformats.org/drawingml/2006/picture">
                <pic:pic>
                  <pic:nvPicPr>
                    <pic:cNvPr id="18" name="image451.jpeg"/>
                    <pic:cNvPicPr/>
                  </pic:nvPicPr>
                  <pic:blipFill>
                    <a:blip r:embed="rId502" cstate="print"/>
                    <a:stretch>
                      <a:fillRect/>
                    </a:stretch>
                  </pic:blipFill>
                  <pic:spPr>
                    <a:xfrm>
                      <a:off x="0" y="0"/>
                      <a:ext cx="3644373" cy="2900933"/>
                    </a:xfrm>
                    <a:prstGeom prst="rect">
                      <a:avLst/>
                    </a:prstGeom>
                  </pic:spPr>
                </pic:pic>
              </a:graphicData>
            </a:graphic>
          </wp:inline>
        </w:drawing>
      </w:r>
      <w:r>
        <w:rPr>
          <w:sz w:val="20"/>
        </w:rPr>
      </w:r>
    </w:p>
    <w:p>
      <w:pPr>
        <w:spacing w:before="8"/>
        <w:ind w:left="238" w:right="296" w:firstLine="0"/>
        <w:jc w:val="both"/>
        <w:rPr>
          <w:sz w:val="18"/>
        </w:rPr>
      </w:pPr>
      <w:r>
        <w:rPr>
          <w:b/>
          <w:sz w:val="18"/>
        </w:rPr>
        <w:t>Fig.</w:t>
      </w:r>
      <w:r>
        <w:rPr>
          <w:b/>
          <w:spacing w:val="-3"/>
          <w:sz w:val="18"/>
        </w:rPr>
        <w:t> </w:t>
      </w:r>
      <w:r>
        <w:rPr>
          <w:b/>
          <w:sz w:val="18"/>
        </w:rPr>
        <w:t>4. </w:t>
      </w:r>
      <w:r>
        <w:rPr>
          <w:sz w:val="18"/>
        </w:rPr>
        <w:t>(A)</w:t>
      </w:r>
      <w:r>
        <w:rPr>
          <w:spacing w:val="-1"/>
          <w:sz w:val="18"/>
        </w:rPr>
        <w:t> </w:t>
      </w:r>
      <w:r>
        <w:rPr>
          <w:sz w:val="18"/>
        </w:rPr>
        <w:t>Significant</w:t>
      </w:r>
      <w:r>
        <w:rPr>
          <w:spacing w:val="-1"/>
          <w:sz w:val="18"/>
        </w:rPr>
        <w:t> </w:t>
      </w:r>
      <w:r>
        <w:rPr>
          <w:sz w:val="18"/>
        </w:rPr>
        <w:t>stenosis</w:t>
      </w:r>
      <w:r>
        <w:rPr>
          <w:spacing w:val="-2"/>
          <w:sz w:val="18"/>
        </w:rPr>
        <w:t> </w:t>
      </w:r>
      <w:r>
        <w:rPr>
          <w:sz w:val="18"/>
        </w:rPr>
        <w:t>of</w:t>
      </w:r>
      <w:r>
        <w:rPr>
          <w:spacing w:val="-3"/>
          <w:sz w:val="18"/>
        </w:rPr>
        <w:t> </w:t>
      </w:r>
      <w:r>
        <w:rPr>
          <w:sz w:val="18"/>
        </w:rPr>
        <w:t>proximal</w:t>
      </w:r>
      <w:r>
        <w:rPr>
          <w:spacing w:val="-1"/>
          <w:sz w:val="18"/>
        </w:rPr>
        <w:t> </w:t>
      </w:r>
      <w:r>
        <w:rPr>
          <w:sz w:val="18"/>
        </w:rPr>
        <w:t>left</w:t>
      </w:r>
      <w:r>
        <w:rPr>
          <w:spacing w:val="-1"/>
          <w:sz w:val="18"/>
        </w:rPr>
        <w:t> </w:t>
      </w:r>
      <w:r>
        <w:rPr>
          <w:sz w:val="18"/>
        </w:rPr>
        <w:t>anterior</w:t>
      </w:r>
      <w:r>
        <w:rPr>
          <w:spacing w:val="-1"/>
          <w:sz w:val="18"/>
        </w:rPr>
        <w:t> </w:t>
      </w:r>
      <w:r>
        <w:rPr>
          <w:sz w:val="18"/>
        </w:rPr>
        <w:t>descending</w:t>
      </w:r>
      <w:r>
        <w:rPr>
          <w:spacing w:val="-5"/>
          <w:sz w:val="18"/>
        </w:rPr>
        <w:t> </w:t>
      </w:r>
      <w:r>
        <w:rPr>
          <w:sz w:val="18"/>
        </w:rPr>
        <w:t>coronary</w:t>
      </w:r>
      <w:r>
        <w:rPr>
          <w:spacing w:val="-5"/>
          <w:sz w:val="18"/>
        </w:rPr>
        <w:t> </w:t>
      </w:r>
      <w:r>
        <w:rPr>
          <w:sz w:val="18"/>
        </w:rPr>
        <w:t>artery.</w:t>
      </w:r>
      <w:r>
        <w:rPr>
          <w:spacing w:val="-1"/>
          <w:sz w:val="18"/>
        </w:rPr>
        <w:t> </w:t>
      </w:r>
      <w:r>
        <w:rPr>
          <w:sz w:val="18"/>
        </w:rPr>
        <w:t>(B)</w:t>
      </w:r>
      <w:r>
        <w:rPr>
          <w:spacing w:val="-1"/>
          <w:sz w:val="18"/>
        </w:rPr>
        <w:t> </w:t>
      </w:r>
      <w:r>
        <w:rPr>
          <w:sz w:val="18"/>
        </w:rPr>
        <w:t>Final</w:t>
      </w:r>
      <w:r>
        <w:rPr>
          <w:spacing w:val="-1"/>
          <w:sz w:val="18"/>
        </w:rPr>
        <w:t> </w:t>
      </w:r>
      <w:r>
        <w:rPr>
          <w:sz w:val="18"/>
        </w:rPr>
        <w:t>result</w:t>
      </w:r>
      <w:r>
        <w:rPr>
          <w:spacing w:val="-1"/>
          <w:sz w:val="18"/>
        </w:rPr>
        <w:t> </w:t>
      </w:r>
      <w:r>
        <w:rPr>
          <w:sz w:val="18"/>
        </w:rPr>
        <w:t>after stenting</w:t>
      </w:r>
      <w:r>
        <w:rPr>
          <w:spacing w:val="-2"/>
          <w:sz w:val="18"/>
        </w:rPr>
        <w:t> </w:t>
      </w:r>
      <w:r>
        <w:rPr>
          <w:sz w:val="18"/>
        </w:rPr>
        <w:t>of</w:t>
      </w:r>
      <w:r>
        <w:rPr>
          <w:spacing w:val="-3"/>
          <w:sz w:val="18"/>
        </w:rPr>
        <w:t> </w:t>
      </w:r>
      <w:r>
        <w:rPr>
          <w:sz w:val="18"/>
        </w:rPr>
        <w:t>the</w:t>
      </w:r>
      <w:r>
        <w:rPr>
          <w:spacing w:val="-2"/>
          <w:sz w:val="18"/>
        </w:rPr>
        <w:t> </w:t>
      </w:r>
      <w:r>
        <w:rPr>
          <w:sz w:val="18"/>
        </w:rPr>
        <w:t>proximal</w:t>
      </w:r>
      <w:r>
        <w:rPr>
          <w:spacing w:val="-1"/>
          <w:sz w:val="18"/>
        </w:rPr>
        <w:t> </w:t>
      </w:r>
      <w:r>
        <w:rPr>
          <w:sz w:val="18"/>
        </w:rPr>
        <w:t>left anterior descending coronary artery. (C) Significant stenosis of the proximal right coronary. (D) Final result after stenting of the proximal right coronary artery</w:t>
      </w:r>
    </w:p>
    <w:p>
      <w:pPr>
        <w:pStyle w:val="BodyText"/>
        <w:rPr>
          <w:sz w:val="13"/>
        </w:rPr>
      </w:pPr>
    </w:p>
    <w:p>
      <w:pPr>
        <w:spacing w:after="0"/>
        <w:rPr>
          <w:sz w:val="13"/>
        </w:rPr>
        <w:sectPr>
          <w:headerReference w:type="default" r:id="rId500"/>
          <w:headerReference w:type="even" r:id="rId501"/>
          <w:pgSz w:w="11910" w:h="16840"/>
          <w:pgMar w:header="854" w:footer="0" w:top="1280" w:bottom="280" w:left="900" w:right="840"/>
        </w:sectPr>
      </w:pPr>
    </w:p>
    <w:p>
      <w:pPr>
        <w:pStyle w:val="Heading4"/>
        <w:spacing w:before="97"/>
      </w:pPr>
      <w:r>
        <w:rPr>
          <w:spacing w:val="-2"/>
        </w:rPr>
        <w:t>Discussion</w:t>
      </w:r>
    </w:p>
    <w:p>
      <w:pPr>
        <w:pStyle w:val="BodyText"/>
        <w:spacing w:before="6"/>
        <w:rPr>
          <w:b/>
          <w:sz w:val="20"/>
        </w:rPr>
      </w:pPr>
    </w:p>
    <w:p>
      <w:pPr>
        <w:pStyle w:val="BodyText"/>
        <w:ind w:left="238" w:right="38"/>
        <w:jc w:val="both"/>
      </w:pPr>
      <w:r>
        <w:rPr/>
        <w:t>The pandemic caused by the severe acute respiratory syndrome-coronavirus-2 (SARS-CoV-2) has increased patients’</w:t>
      </w:r>
      <w:r>
        <w:rPr>
          <w:spacing w:val="-14"/>
        </w:rPr>
        <w:t> </w:t>
      </w:r>
      <w:r>
        <w:rPr/>
        <w:t>risk</w:t>
      </w:r>
      <w:r>
        <w:rPr>
          <w:spacing w:val="-13"/>
        </w:rPr>
        <w:t> </w:t>
      </w:r>
      <w:r>
        <w:rPr/>
        <w:t>of</w:t>
      </w:r>
      <w:r>
        <w:rPr>
          <w:spacing w:val="-13"/>
        </w:rPr>
        <w:t> </w:t>
      </w:r>
      <w:r>
        <w:rPr/>
        <w:t>thrombotic</w:t>
      </w:r>
      <w:r>
        <w:rPr>
          <w:spacing w:val="-13"/>
        </w:rPr>
        <w:t> </w:t>
      </w:r>
      <w:r>
        <w:rPr/>
        <w:t>complications</w:t>
      </w:r>
      <w:r>
        <w:rPr>
          <w:spacing w:val="-13"/>
        </w:rPr>
        <w:t> </w:t>
      </w:r>
      <w:r>
        <w:rPr/>
        <w:t>due</w:t>
      </w:r>
      <w:r>
        <w:rPr>
          <w:spacing w:val="-13"/>
        </w:rPr>
        <w:t> </w:t>
      </w:r>
      <w:r>
        <w:rPr/>
        <w:t>to</w:t>
      </w:r>
      <w:r>
        <w:rPr>
          <w:spacing w:val="-13"/>
        </w:rPr>
        <w:t> </w:t>
      </w:r>
      <w:r>
        <w:rPr/>
        <w:t>enhan- ced activation of several inflammatory and prothrom- botic mechanisms as well as endothelial dysfunction and blood stasis [</w:t>
      </w:r>
      <w:hyperlink r:id="rId503">
        <w:r>
          <w:rPr/>
          <w:t>2</w:t>
        </w:r>
      </w:hyperlink>
      <w:r>
        <w:rPr/>
        <w:t>]. The induction of an abnormal in- flammatory</w:t>
      </w:r>
      <w:r>
        <w:rPr>
          <w:spacing w:val="-1"/>
        </w:rPr>
        <w:t> </w:t>
      </w:r>
      <w:r>
        <w:rPr/>
        <w:t>state may</w:t>
      </w:r>
      <w:r>
        <w:rPr>
          <w:spacing w:val="-1"/>
        </w:rPr>
        <w:t> </w:t>
      </w:r>
      <w:r>
        <w:rPr/>
        <w:t>lead to cytokine storm, resulting </w:t>
      </w:r>
      <w:r>
        <w:rPr>
          <w:spacing w:val="-4"/>
        </w:rPr>
        <w:t>from</w:t>
      </w:r>
      <w:r>
        <w:rPr>
          <w:spacing w:val="-8"/>
        </w:rPr>
        <w:t> </w:t>
      </w:r>
      <w:r>
        <w:rPr>
          <w:spacing w:val="-4"/>
        </w:rPr>
        <w:t>disbalance</w:t>
      </w:r>
      <w:r>
        <w:rPr>
          <w:spacing w:val="-5"/>
        </w:rPr>
        <w:t> </w:t>
      </w:r>
      <w:r>
        <w:rPr>
          <w:spacing w:val="-4"/>
        </w:rPr>
        <w:t>of</w:t>
      </w:r>
      <w:r>
        <w:rPr>
          <w:spacing w:val="-8"/>
        </w:rPr>
        <w:t> </w:t>
      </w:r>
      <w:r>
        <w:rPr>
          <w:spacing w:val="-4"/>
        </w:rPr>
        <w:t>T</w:t>
      </w:r>
      <w:r>
        <w:rPr>
          <w:spacing w:val="-7"/>
        </w:rPr>
        <w:t> </w:t>
      </w:r>
      <w:r>
        <w:rPr>
          <w:spacing w:val="-4"/>
        </w:rPr>
        <w:t>cell</w:t>
      </w:r>
      <w:r>
        <w:rPr>
          <w:spacing w:val="-8"/>
        </w:rPr>
        <w:t> </w:t>
      </w:r>
      <w:r>
        <w:rPr>
          <w:spacing w:val="-4"/>
        </w:rPr>
        <w:t>activation,</w:t>
      </w:r>
      <w:r>
        <w:rPr>
          <w:spacing w:val="-7"/>
        </w:rPr>
        <w:t> </w:t>
      </w:r>
      <w:r>
        <w:rPr>
          <w:spacing w:val="-4"/>
        </w:rPr>
        <w:t>abnormal</w:t>
      </w:r>
      <w:r>
        <w:rPr>
          <w:spacing w:val="-6"/>
        </w:rPr>
        <w:t> </w:t>
      </w:r>
      <w:r>
        <w:rPr>
          <w:spacing w:val="-4"/>
        </w:rPr>
        <w:t>interleukin </w:t>
      </w:r>
      <w:r>
        <w:rPr/>
        <w:t>(IL)-6 and other cytokines release. Several reports in- dicate that abnormal immune system activation may lead to plaque instability as a cause of acute coronary events [</w:t>
      </w:r>
      <w:hyperlink r:id="rId503">
        <w:r>
          <w:rPr/>
          <w:t>2</w:t>
        </w:r>
      </w:hyperlink>
      <w:r>
        <w:rPr/>
        <w:t>,3]. Early reports suggest incidences of DVT and</w:t>
      </w:r>
      <w:r>
        <w:rPr>
          <w:spacing w:val="-1"/>
        </w:rPr>
        <w:t> </w:t>
      </w:r>
      <w:r>
        <w:rPr/>
        <w:t>PE up to 30% in</w:t>
      </w:r>
      <w:r>
        <w:rPr>
          <w:spacing w:val="-1"/>
        </w:rPr>
        <w:t> </w:t>
      </w:r>
      <w:r>
        <w:rPr/>
        <w:t>COVID-19 infected patients.</w:t>
      </w:r>
      <w:r>
        <w:rPr>
          <w:spacing w:val="-2"/>
        </w:rPr>
        <w:t> </w:t>
      </w:r>
      <w:r>
        <w:rPr/>
        <w:t>The clinical experiences since the start of the pandemic report that approximately 50% of infected patients</w:t>
      </w:r>
      <w:r>
        <w:rPr>
          <w:spacing w:val="40"/>
        </w:rPr>
        <w:t> </w:t>
      </w:r>
      <w:r>
        <w:rPr/>
        <w:t>have elevated D-dimer levels during the disease cour- se, which is associated with increased thrombosis risk and worse prognosis [4].</w:t>
      </w:r>
    </w:p>
    <w:p>
      <w:pPr>
        <w:pStyle w:val="BodyText"/>
        <w:spacing w:before="1"/>
        <w:ind w:left="238" w:right="40"/>
        <w:jc w:val="both"/>
      </w:pPr>
      <w:r>
        <w:rPr/>
        <w:t>In the presented cases, the first patient had elevated C- reactive protein and D-dimer levels with no other risk factors for pulmonary</w:t>
      </w:r>
      <w:r>
        <w:rPr>
          <w:spacing w:val="-1"/>
        </w:rPr>
        <w:t> </w:t>
      </w:r>
      <w:r>
        <w:rPr/>
        <w:t>embolism, indicating a COVID- 19–related</w:t>
      </w:r>
      <w:r>
        <w:rPr>
          <w:spacing w:val="-3"/>
        </w:rPr>
        <w:t> </w:t>
      </w:r>
      <w:r>
        <w:rPr/>
        <w:t>hypercoagulable</w:t>
      </w:r>
      <w:r>
        <w:rPr>
          <w:spacing w:val="-5"/>
        </w:rPr>
        <w:t> </w:t>
      </w:r>
      <w:r>
        <w:rPr/>
        <w:t>state</w:t>
      </w:r>
      <w:r>
        <w:rPr>
          <w:spacing w:val="-3"/>
        </w:rPr>
        <w:t> </w:t>
      </w:r>
      <w:r>
        <w:rPr/>
        <w:t>as</w:t>
      </w:r>
      <w:r>
        <w:rPr>
          <w:spacing w:val="-4"/>
        </w:rPr>
        <w:t> </w:t>
      </w:r>
      <w:r>
        <w:rPr/>
        <w:t>a</w:t>
      </w:r>
      <w:r>
        <w:rPr>
          <w:spacing w:val="-3"/>
        </w:rPr>
        <w:t> </w:t>
      </w:r>
      <w:r>
        <w:rPr/>
        <w:t>possible</w:t>
      </w:r>
      <w:r>
        <w:rPr>
          <w:spacing w:val="-3"/>
        </w:rPr>
        <w:t> </w:t>
      </w:r>
      <w:r>
        <w:rPr/>
        <w:t>cause</w:t>
      </w:r>
      <w:r>
        <w:rPr>
          <w:spacing w:val="-5"/>
        </w:rPr>
        <w:t> </w:t>
      </w:r>
      <w:r>
        <w:rPr/>
        <w:t>of PE. The use of focused echocardiography allowed us</w:t>
      </w:r>
      <w:r>
        <w:rPr>
          <w:spacing w:val="40"/>
        </w:rPr>
        <w:t> </w:t>
      </w:r>
      <w:r>
        <w:rPr/>
        <w:t>to better evaluate the patient’s shock etiology after excluding coronary artery disease (CAD), facilitating early</w:t>
      </w:r>
      <w:r>
        <w:rPr>
          <w:spacing w:val="-2"/>
        </w:rPr>
        <w:t> </w:t>
      </w:r>
      <w:r>
        <w:rPr/>
        <w:t>decision-making regarding ongoing management strategies. It should be recognized that acute RV strain may be a complicating feature of COVID-19 infection and may not always be due to PE [5]. Pulmonary hy- pertension due to hypoxic vasoconstriction has been proposed as a plausible physiological mechanism for acute</w:t>
      </w:r>
      <w:r>
        <w:rPr>
          <w:spacing w:val="32"/>
        </w:rPr>
        <w:t> </w:t>
      </w:r>
      <w:r>
        <w:rPr/>
        <w:t>RV</w:t>
      </w:r>
      <w:r>
        <w:rPr>
          <w:spacing w:val="33"/>
        </w:rPr>
        <w:t> </w:t>
      </w:r>
      <w:r>
        <w:rPr/>
        <w:t>dysfunction</w:t>
      </w:r>
      <w:r>
        <w:rPr>
          <w:spacing w:val="33"/>
        </w:rPr>
        <w:t> </w:t>
      </w:r>
      <w:r>
        <w:rPr/>
        <w:t>in</w:t>
      </w:r>
      <w:r>
        <w:rPr>
          <w:spacing w:val="32"/>
        </w:rPr>
        <w:t> </w:t>
      </w:r>
      <w:r>
        <w:rPr/>
        <w:t>patients</w:t>
      </w:r>
      <w:r>
        <w:rPr>
          <w:spacing w:val="33"/>
        </w:rPr>
        <w:t> </w:t>
      </w:r>
      <w:r>
        <w:rPr/>
        <w:t>with</w:t>
      </w:r>
      <w:r>
        <w:rPr>
          <w:spacing w:val="33"/>
        </w:rPr>
        <w:t> </w:t>
      </w:r>
      <w:r>
        <w:rPr/>
        <w:t>SARS-CoV-</w:t>
      </w:r>
      <w:r>
        <w:rPr>
          <w:spacing w:val="-10"/>
        </w:rPr>
        <w:t>2</w:t>
      </w:r>
    </w:p>
    <w:p>
      <w:pPr>
        <w:pStyle w:val="BodyText"/>
        <w:spacing w:before="92"/>
        <w:ind w:left="238" w:right="290"/>
        <w:jc w:val="both"/>
      </w:pPr>
      <w:r>
        <w:rPr/>
        <w:br w:type="column"/>
      </w:r>
      <w:r>
        <w:rPr/>
        <w:t>infection.</w:t>
      </w:r>
      <w:r>
        <w:rPr>
          <w:spacing w:val="-14"/>
        </w:rPr>
        <w:t> </w:t>
      </w:r>
      <w:r>
        <w:rPr/>
        <w:t>An</w:t>
      </w:r>
      <w:r>
        <w:rPr>
          <w:spacing w:val="-13"/>
        </w:rPr>
        <w:t> </w:t>
      </w:r>
      <w:r>
        <w:rPr/>
        <w:t>Italian</w:t>
      </w:r>
      <w:r>
        <w:rPr>
          <w:spacing w:val="-1"/>
        </w:rPr>
        <w:t> </w:t>
      </w:r>
      <w:r>
        <w:rPr/>
        <w:t>prospective</w:t>
      </w:r>
      <w:r>
        <w:rPr>
          <w:spacing w:val="-1"/>
        </w:rPr>
        <w:t> </w:t>
      </w:r>
      <w:r>
        <w:rPr/>
        <w:t>study</w:t>
      </w:r>
      <w:r>
        <w:rPr>
          <w:spacing w:val="-3"/>
        </w:rPr>
        <w:t> </w:t>
      </w:r>
      <w:r>
        <w:rPr/>
        <w:t>evaluating</w:t>
      </w:r>
      <w:r>
        <w:rPr>
          <w:spacing w:val="-1"/>
        </w:rPr>
        <w:t> </w:t>
      </w:r>
      <w:r>
        <w:rPr/>
        <w:t>chest CT results in patients with COVID-19 showed a high prevalence of sub-segmental pulmonary vessel enlar- gement, which may be caused by pro-inflammatory factors [6].</w:t>
      </w:r>
      <w:r>
        <w:rPr>
          <w:spacing w:val="-5"/>
        </w:rPr>
        <w:t> </w:t>
      </w:r>
      <w:r>
        <w:rPr/>
        <w:t>Generalized inflammatory endotheliopathy might</w:t>
      </w:r>
      <w:r>
        <w:rPr>
          <w:spacing w:val="-2"/>
        </w:rPr>
        <w:t> </w:t>
      </w:r>
      <w:r>
        <w:rPr/>
        <w:t>be</w:t>
      </w:r>
      <w:r>
        <w:rPr>
          <w:spacing w:val="-1"/>
        </w:rPr>
        <w:t> </w:t>
      </w:r>
      <w:r>
        <w:rPr/>
        <w:t>the</w:t>
      </w:r>
      <w:r>
        <w:rPr>
          <w:spacing w:val="-1"/>
        </w:rPr>
        <w:t> </w:t>
      </w:r>
      <w:r>
        <w:rPr/>
        <w:t>cause</w:t>
      </w:r>
      <w:r>
        <w:rPr>
          <w:spacing w:val="-4"/>
        </w:rPr>
        <w:t> </w:t>
      </w:r>
      <w:r>
        <w:rPr/>
        <w:t>of</w:t>
      </w:r>
      <w:r>
        <w:rPr>
          <w:spacing w:val="-2"/>
        </w:rPr>
        <w:t> </w:t>
      </w:r>
      <w:r>
        <w:rPr/>
        <w:t>microthrombi</w:t>
      </w:r>
      <w:r>
        <w:rPr>
          <w:spacing w:val="-2"/>
        </w:rPr>
        <w:t> </w:t>
      </w:r>
      <w:r>
        <w:rPr/>
        <w:t>risk</w:t>
      </w:r>
      <w:r>
        <w:rPr>
          <w:spacing w:val="-2"/>
        </w:rPr>
        <w:t> </w:t>
      </w:r>
      <w:r>
        <w:rPr/>
        <w:t>and one</w:t>
      </w:r>
      <w:r>
        <w:rPr>
          <w:spacing w:val="-4"/>
        </w:rPr>
        <w:t> </w:t>
      </w:r>
      <w:r>
        <w:rPr/>
        <w:t>of</w:t>
      </w:r>
      <w:r>
        <w:rPr>
          <w:spacing w:val="-2"/>
        </w:rPr>
        <w:t> </w:t>
      </w:r>
      <w:r>
        <w:rPr/>
        <w:t>the explanations of pulmonary hypertension or multiorgan failure</w:t>
      </w:r>
      <w:r>
        <w:rPr>
          <w:spacing w:val="-6"/>
        </w:rPr>
        <w:t> </w:t>
      </w:r>
      <w:r>
        <w:rPr/>
        <w:t>in</w:t>
      </w:r>
      <w:r>
        <w:rPr>
          <w:spacing w:val="-6"/>
        </w:rPr>
        <w:t> </w:t>
      </w:r>
      <w:r>
        <w:rPr/>
        <w:t>COVID-19</w:t>
      </w:r>
      <w:r>
        <w:rPr>
          <w:spacing w:val="-6"/>
        </w:rPr>
        <w:t> </w:t>
      </w:r>
      <w:r>
        <w:rPr/>
        <w:t>patients.</w:t>
      </w:r>
      <w:r>
        <w:rPr>
          <w:spacing w:val="-4"/>
        </w:rPr>
        <w:t> </w:t>
      </w:r>
      <w:r>
        <w:rPr/>
        <w:t>Focus</w:t>
      </w:r>
      <w:r>
        <w:rPr>
          <w:spacing w:val="-7"/>
        </w:rPr>
        <w:t> </w:t>
      </w:r>
      <w:r>
        <w:rPr/>
        <w:t>echocardiography in our first patient revealed typical signs of RV dys- function and pulmonary hypertension. The diagnosis</w:t>
      </w:r>
      <w:r>
        <w:rPr>
          <w:spacing w:val="40"/>
        </w:rPr>
        <w:t> </w:t>
      </w:r>
      <w:r>
        <w:rPr/>
        <w:t>of massive PE was confirmed by CT angiography of the pulmonary artery.</w:t>
      </w:r>
    </w:p>
    <w:p>
      <w:pPr>
        <w:pStyle w:val="BodyText"/>
        <w:ind w:left="238" w:right="287"/>
        <w:jc w:val="both"/>
      </w:pPr>
      <w:r>
        <w:rPr/>
        <w:t>Our second patient had several comorbidities and an increased risk of myocardial infarction, although the presence of COVID-19 infection might additionally </w:t>
      </w:r>
      <w:r>
        <w:rPr>
          <w:spacing w:val="-2"/>
        </w:rPr>
        <w:t>add</w:t>
      </w:r>
      <w:r>
        <w:rPr>
          <w:spacing w:val="-10"/>
        </w:rPr>
        <w:t> </w:t>
      </w:r>
      <w:r>
        <w:rPr>
          <w:spacing w:val="-2"/>
        </w:rPr>
        <w:t>to</w:t>
      </w:r>
      <w:r>
        <w:rPr>
          <w:spacing w:val="-10"/>
        </w:rPr>
        <w:t> </w:t>
      </w:r>
      <w:r>
        <w:rPr>
          <w:spacing w:val="-2"/>
        </w:rPr>
        <w:t>hypercoagulability</w:t>
      </w:r>
      <w:r>
        <w:rPr>
          <w:spacing w:val="-12"/>
        </w:rPr>
        <w:t> </w:t>
      </w:r>
      <w:r>
        <w:rPr>
          <w:spacing w:val="-2"/>
        </w:rPr>
        <w:t>state,</w:t>
      </w:r>
      <w:r>
        <w:rPr>
          <w:spacing w:val="-9"/>
        </w:rPr>
        <w:t> </w:t>
      </w:r>
      <w:r>
        <w:rPr>
          <w:spacing w:val="-2"/>
        </w:rPr>
        <w:t>severe</w:t>
      </w:r>
      <w:r>
        <w:rPr>
          <w:spacing w:val="-10"/>
        </w:rPr>
        <w:t> </w:t>
      </w:r>
      <w:r>
        <w:rPr>
          <w:spacing w:val="-2"/>
        </w:rPr>
        <w:t>inflammation</w:t>
      </w:r>
      <w:r>
        <w:rPr>
          <w:spacing w:val="-10"/>
        </w:rPr>
        <w:t> </w:t>
      </w:r>
      <w:r>
        <w:rPr>
          <w:spacing w:val="-2"/>
        </w:rPr>
        <w:t>and </w:t>
      </w:r>
      <w:r>
        <w:rPr/>
        <w:t>plaque instability. In our second case bedside echocar- diography</w:t>
      </w:r>
      <w:r>
        <w:rPr>
          <w:spacing w:val="-6"/>
        </w:rPr>
        <w:t> </w:t>
      </w:r>
      <w:r>
        <w:rPr/>
        <w:t>showed</w:t>
      </w:r>
      <w:r>
        <w:rPr>
          <w:spacing w:val="-1"/>
        </w:rPr>
        <w:t> </w:t>
      </w:r>
      <w:r>
        <w:rPr/>
        <w:t>a</w:t>
      </w:r>
      <w:r>
        <w:rPr>
          <w:spacing w:val="-1"/>
        </w:rPr>
        <w:t> </w:t>
      </w:r>
      <w:r>
        <w:rPr/>
        <w:t>severe</w:t>
      </w:r>
      <w:r>
        <w:rPr>
          <w:spacing w:val="-1"/>
        </w:rPr>
        <w:t> </w:t>
      </w:r>
      <w:r>
        <w:rPr/>
        <w:t>left</w:t>
      </w:r>
      <w:r>
        <w:rPr>
          <w:spacing w:val="-2"/>
        </w:rPr>
        <w:t> </w:t>
      </w:r>
      <w:r>
        <w:rPr/>
        <w:t>ventricular</w:t>
      </w:r>
      <w:r>
        <w:rPr>
          <w:spacing w:val="-2"/>
        </w:rPr>
        <w:t> </w:t>
      </w:r>
      <w:r>
        <w:rPr/>
        <w:t>dysfunction due to CAD. Diagnosis of PE or STEMI in patients with COVID-19 infection might be quite challenging. ST-segment</w:t>
      </w:r>
      <w:r>
        <w:rPr>
          <w:spacing w:val="-11"/>
        </w:rPr>
        <w:t> </w:t>
      </w:r>
      <w:r>
        <w:rPr/>
        <w:t>elevation</w:t>
      </w:r>
      <w:r>
        <w:rPr>
          <w:spacing w:val="-9"/>
        </w:rPr>
        <w:t> </w:t>
      </w:r>
      <w:r>
        <w:rPr/>
        <w:t>in</w:t>
      </w:r>
      <w:r>
        <w:rPr>
          <w:spacing w:val="-10"/>
        </w:rPr>
        <w:t> </w:t>
      </w:r>
      <w:r>
        <w:rPr/>
        <w:t>the</w:t>
      </w:r>
      <w:r>
        <w:rPr>
          <w:spacing w:val="-9"/>
        </w:rPr>
        <w:t> </w:t>
      </w:r>
      <w:r>
        <w:rPr/>
        <w:t>COVID-19</w:t>
      </w:r>
      <w:r>
        <w:rPr>
          <w:spacing w:val="-9"/>
        </w:rPr>
        <w:t> </w:t>
      </w:r>
      <w:r>
        <w:rPr/>
        <w:t>era</w:t>
      </w:r>
      <w:r>
        <w:rPr>
          <w:spacing w:val="-9"/>
        </w:rPr>
        <w:t> </w:t>
      </w:r>
      <w:r>
        <w:rPr/>
        <w:t>may</w:t>
      </w:r>
      <w:r>
        <w:rPr>
          <w:spacing w:val="-10"/>
        </w:rPr>
        <w:t> </w:t>
      </w:r>
      <w:r>
        <w:rPr/>
        <w:t>mimic several</w:t>
      </w:r>
      <w:r>
        <w:rPr>
          <w:spacing w:val="-8"/>
        </w:rPr>
        <w:t> </w:t>
      </w:r>
      <w:r>
        <w:rPr/>
        <w:t>heart</w:t>
      </w:r>
      <w:r>
        <w:rPr>
          <w:spacing w:val="-8"/>
        </w:rPr>
        <w:t> </w:t>
      </w:r>
      <w:r>
        <w:rPr/>
        <w:t>conditions</w:t>
      </w:r>
      <w:r>
        <w:rPr>
          <w:spacing w:val="-7"/>
        </w:rPr>
        <w:t> </w:t>
      </w:r>
      <w:r>
        <w:rPr/>
        <w:t>such</w:t>
      </w:r>
      <w:r>
        <w:rPr>
          <w:spacing w:val="-6"/>
        </w:rPr>
        <w:t> </w:t>
      </w:r>
      <w:r>
        <w:rPr/>
        <w:t>as</w:t>
      </w:r>
      <w:r>
        <w:rPr>
          <w:spacing w:val="-7"/>
        </w:rPr>
        <w:t> </w:t>
      </w:r>
      <w:r>
        <w:rPr/>
        <w:t>myocarditis,</w:t>
      </w:r>
      <w:r>
        <w:rPr>
          <w:spacing w:val="-6"/>
        </w:rPr>
        <w:t> </w:t>
      </w:r>
      <w:r>
        <w:rPr/>
        <w:t>microvas- cular thrombosis, cytokine-induced injury, and stress cardiomyopathy [7]. Noninvasive imaging modalities such as echocardiography and CT angiography are of great value in these cases, helping to obtain fast diag- nosis. European Society of Cardiology recommenda- tions</w:t>
      </w:r>
      <w:r>
        <w:rPr>
          <w:spacing w:val="-4"/>
        </w:rPr>
        <w:t> </w:t>
      </w:r>
      <w:r>
        <w:rPr/>
        <w:t>for</w:t>
      </w:r>
      <w:r>
        <w:rPr>
          <w:spacing w:val="-9"/>
        </w:rPr>
        <w:t> </w:t>
      </w:r>
      <w:r>
        <w:rPr/>
        <w:t>imaging</w:t>
      </w:r>
      <w:r>
        <w:rPr>
          <w:spacing w:val="-10"/>
        </w:rPr>
        <w:t> </w:t>
      </w:r>
      <w:r>
        <w:rPr/>
        <w:t>in</w:t>
      </w:r>
      <w:r>
        <w:rPr>
          <w:spacing w:val="-10"/>
        </w:rPr>
        <w:t> </w:t>
      </w:r>
      <w:r>
        <w:rPr/>
        <w:t>COVID-19</w:t>
      </w:r>
      <w:r>
        <w:rPr>
          <w:spacing w:val="-10"/>
        </w:rPr>
        <w:t> </w:t>
      </w:r>
      <w:r>
        <w:rPr/>
        <w:t>patients</w:t>
      </w:r>
      <w:r>
        <w:rPr>
          <w:spacing w:val="-9"/>
        </w:rPr>
        <w:t> </w:t>
      </w:r>
      <w:r>
        <w:rPr/>
        <w:t>state</w:t>
      </w:r>
      <w:r>
        <w:rPr>
          <w:spacing w:val="-10"/>
        </w:rPr>
        <w:t> </w:t>
      </w:r>
      <w:r>
        <w:rPr/>
        <w:t>that</w:t>
      </w:r>
      <w:r>
        <w:rPr>
          <w:spacing w:val="-10"/>
        </w:rPr>
        <w:t> </w:t>
      </w:r>
      <w:r>
        <w:rPr/>
        <w:t>focus echocardiography should be used in clinical situations were obtained information is expected to significantly add</w:t>
      </w:r>
      <w:r>
        <w:rPr>
          <w:spacing w:val="-14"/>
        </w:rPr>
        <w:t> </w:t>
      </w:r>
      <w:r>
        <w:rPr/>
        <w:t>to</w:t>
      </w:r>
      <w:r>
        <w:rPr>
          <w:spacing w:val="-13"/>
        </w:rPr>
        <w:t> </w:t>
      </w:r>
      <w:r>
        <w:rPr/>
        <w:t>patient’s</w:t>
      </w:r>
      <w:r>
        <w:rPr>
          <w:spacing w:val="-13"/>
        </w:rPr>
        <w:t> </w:t>
      </w:r>
      <w:r>
        <w:rPr/>
        <w:t>diagnosis</w:t>
      </w:r>
      <w:r>
        <w:rPr>
          <w:spacing w:val="-13"/>
        </w:rPr>
        <w:t> </w:t>
      </w:r>
      <w:r>
        <w:rPr/>
        <w:t>and</w:t>
      </w:r>
      <w:r>
        <w:rPr>
          <w:spacing w:val="-13"/>
        </w:rPr>
        <w:t> </w:t>
      </w:r>
      <w:r>
        <w:rPr/>
        <w:t>treatment.</w:t>
      </w:r>
      <w:r>
        <w:rPr>
          <w:spacing w:val="-13"/>
        </w:rPr>
        <w:t> </w:t>
      </w:r>
      <w:r>
        <w:rPr/>
        <w:t>Focus</w:t>
      </w:r>
      <w:r>
        <w:rPr>
          <w:spacing w:val="-13"/>
        </w:rPr>
        <w:t> </w:t>
      </w:r>
      <w:r>
        <w:rPr/>
        <w:t>echocar- diography addresses specific questions and it is espe- cially useful in hemodynamically unstable patients in intensive</w:t>
      </w:r>
      <w:r>
        <w:rPr>
          <w:spacing w:val="27"/>
        </w:rPr>
        <w:t> </w:t>
      </w:r>
      <w:r>
        <w:rPr/>
        <w:t>care</w:t>
      </w:r>
      <w:r>
        <w:rPr>
          <w:spacing w:val="27"/>
        </w:rPr>
        <w:t> </w:t>
      </w:r>
      <w:r>
        <w:rPr/>
        <w:t>units.</w:t>
      </w:r>
      <w:r>
        <w:rPr>
          <w:spacing w:val="27"/>
        </w:rPr>
        <w:t> </w:t>
      </w:r>
      <w:r>
        <w:rPr/>
        <w:t>Some</w:t>
      </w:r>
      <w:r>
        <w:rPr>
          <w:spacing w:val="32"/>
        </w:rPr>
        <w:t> </w:t>
      </w:r>
      <w:r>
        <w:rPr/>
        <w:t>of</w:t>
      </w:r>
      <w:r>
        <w:rPr>
          <w:spacing w:val="27"/>
        </w:rPr>
        <w:t> </w:t>
      </w:r>
      <w:r>
        <w:rPr/>
        <w:t>the</w:t>
      </w:r>
      <w:r>
        <w:rPr>
          <w:spacing w:val="27"/>
        </w:rPr>
        <w:t> </w:t>
      </w:r>
      <w:r>
        <w:rPr/>
        <w:t>key</w:t>
      </w:r>
      <w:r>
        <w:rPr>
          <w:spacing w:val="23"/>
        </w:rPr>
        <w:t> </w:t>
      </w:r>
      <w:r>
        <w:rPr>
          <w:spacing w:val="-2"/>
        </w:rPr>
        <w:t>echocardiogra-</w:t>
      </w:r>
    </w:p>
    <w:p>
      <w:pPr>
        <w:spacing w:after="0"/>
        <w:jc w:val="both"/>
        <w:sectPr>
          <w:type w:val="continuous"/>
          <w:pgSz w:w="11910" w:h="16840"/>
          <w:pgMar w:header="854" w:footer="0" w:top="740" w:bottom="0" w:left="900" w:right="840"/>
          <w:cols w:num="2" w:equalWidth="0">
            <w:col w:w="4921" w:space="76"/>
            <w:col w:w="5173"/>
          </w:cols>
        </w:sectPr>
      </w:pPr>
    </w:p>
    <w:p>
      <w:pPr>
        <w:pStyle w:val="BodyText"/>
        <w:spacing w:before="5"/>
        <w:rPr>
          <w:sz w:val="15"/>
        </w:rPr>
      </w:pPr>
    </w:p>
    <w:p>
      <w:pPr>
        <w:spacing w:after="0"/>
        <w:rPr>
          <w:sz w:val="15"/>
        </w:rPr>
        <w:sectPr>
          <w:pgSz w:w="11910" w:h="16840"/>
          <w:pgMar w:header="854" w:footer="0" w:top="1300" w:bottom="280" w:left="900" w:right="840"/>
        </w:sectPr>
      </w:pPr>
    </w:p>
    <w:p>
      <w:pPr>
        <w:pStyle w:val="BodyText"/>
        <w:spacing w:before="92"/>
        <w:ind w:left="238" w:right="38"/>
        <w:jc w:val="both"/>
      </w:pPr>
      <w:r>
        <w:rPr/>
        <w:t>phic features of</w:t>
      </w:r>
      <w:r>
        <w:rPr>
          <w:spacing w:val="-3"/>
        </w:rPr>
        <w:t> </w:t>
      </w:r>
      <w:r>
        <w:rPr/>
        <w:t>RV</w:t>
      </w:r>
      <w:r>
        <w:rPr>
          <w:spacing w:val="-1"/>
        </w:rPr>
        <w:t> </w:t>
      </w:r>
      <w:r>
        <w:rPr/>
        <w:t>dysfunction include</w:t>
      </w:r>
      <w:r>
        <w:rPr>
          <w:spacing w:val="-2"/>
        </w:rPr>
        <w:t> </w:t>
      </w:r>
      <w:r>
        <w:rPr/>
        <w:t>RV</w:t>
      </w:r>
      <w:r>
        <w:rPr>
          <w:spacing w:val="-1"/>
        </w:rPr>
        <w:t> </w:t>
      </w:r>
      <w:r>
        <w:rPr/>
        <w:t>dilatation, flattening of the interventricular septal wall (“D-sign” on</w:t>
      </w:r>
      <w:r>
        <w:rPr>
          <w:spacing w:val="-5"/>
        </w:rPr>
        <w:t> </w:t>
      </w:r>
      <w:r>
        <w:rPr/>
        <w:t>parasternal</w:t>
      </w:r>
      <w:r>
        <w:rPr>
          <w:spacing w:val="-6"/>
        </w:rPr>
        <w:t> </w:t>
      </w:r>
      <w:r>
        <w:rPr/>
        <w:t>short-axis</w:t>
      </w:r>
      <w:r>
        <w:rPr>
          <w:spacing w:val="-4"/>
        </w:rPr>
        <w:t> </w:t>
      </w:r>
      <w:r>
        <w:rPr/>
        <w:t>view)</w:t>
      </w:r>
      <w:r>
        <w:rPr>
          <w:spacing w:val="-6"/>
        </w:rPr>
        <w:t> </w:t>
      </w:r>
      <w:r>
        <w:rPr/>
        <w:t>and</w:t>
      </w:r>
      <w:r>
        <w:rPr>
          <w:spacing w:val="-5"/>
        </w:rPr>
        <w:t> </w:t>
      </w:r>
      <w:r>
        <w:rPr/>
        <w:t>impaired</w:t>
      </w:r>
      <w:r>
        <w:rPr>
          <w:spacing w:val="-5"/>
        </w:rPr>
        <w:t> </w:t>
      </w:r>
      <w:r>
        <w:rPr/>
        <w:t>longitudi- nal RV systolic function denoted by reduced tricuspid annular plane systolic excursion (TAPSE) [8]. It has been</w:t>
      </w:r>
      <w:r>
        <w:rPr>
          <w:spacing w:val="-1"/>
        </w:rPr>
        <w:t> </w:t>
      </w:r>
      <w:r>
        <w:rPr/>
        <w:t>proposed</w:t>
      </w:r>
      <w:r>
        <w:rPr>
          <w:spacing w:val="-1"/>
        </w:rPr>
        <w:t> </w:t>
      </w:r>
      <w:r>
        <w:rPr/>
        <w:t>that</w:t>
      </w:r>
      <w:r>
        <w:rPr>
          <w:spacing w:val="-2"/>
        </w:rPr>
        <w:t> </w:t>
      </w:r>
      <w:r>
        <w:rPr/>
        <w:t>acute</w:t>
      </w:r>
      <w:r>
        <w:rPr>
          <w:spacing w:val="-1"/>
        </w:rPr>
        <w:t> </w:t>
      </w:r>
      <w:r>
        <w:rPr/>
        <w:t>right</w:t>
      </w:r>
      <w:r>
        <w:rPr>
          <w:spacing w:val="-2"/>
        </w:rPr>
        <w:t> </w:t>
      </w:r>
      <w:r>
        <w:rPr/>
        <w:t>heart</w:t>
      </w:r>
      <w:r>
        <w:rPr>
          <w:spacing w:val="-2"/>
        </w:rPr>
        <w:t> </w:t>
      </w:r>
      <w:r>
        <w:rPr/>
        <w:t>failure in COVID- 19 may</w:t>
      </w:r>
      <w:r>
        <w:rPr>
          <w:spacing w:val="-5"/>
        </w:rPr>
        <w:t> </w:t>
      </w:r>
      <w:r>
        <w:rPr/>
        <w:t>also</w:t>
      </w:r>
      <w:r>
        <w:rPr>
          <w:spacing w:val="-1"/>
        </w:rPr>
        <w:t> </w:t>
      </w:r>
      <w:r>
        <w:rPr/>
        <w:t>be caused by</w:t>
      </w:r>
      <w:r>
        <w:rPr>
          <w:spacing w:val="-5"/>
        </w:rPr>
        <w:t> </w:t>
      </w:r>
      <w:r>
        <w:rPr/>
        <w:t>an increased pulmonary</w:t>
      </w:r>
      <w:r>
        <w:rPr>
          <w:spacing w:val="-2"/>
        </w:rPr>
        <w:t> </w:t>
      </w:r>
      <w:r>
        <w:rPr/>
        <w:t>vas- cular</w:t>
      </w:r>
      <w:r>
        <w:rPr>
          <w:spacing w:val="-7"/>
        </w:rPr>
        <w:t> </w:t>
      </w:r>
      <w:r>
        <w:rPr/>
        <w:t>resistance</w:t>
      </w:r>
      <w:r>
        <w:rPr>
          <w:spacing w:val="-6"/>
        </w:rPr>
        <w:t> </w:t>
      </w:r>
      <w:r>
        <w:rPr/>
        <w:t>secondary</w:t>
      </w:r>
      <w:r>
        <w:rPr>
          <w:spacing w:val="-8"/>
        </w:rPr>
        <w:t> </w:t>
      </w:r>
      <w:r>
        <w:rPr/>
        <w:t>to</w:t>
      </w:r>
      <w:r>
        <w:rPr>
          <w:spacing w:val="-4"/>
        </w:rPr>
        <w:t> </w:t>
      </w:r>
      <w:r>
        <w:rPr/>
        <w:t>hypoxic</w:t>
      </w:r>
      <w:r>
        <w:rPr>
          <w:spacing w:val="-6"/>
        </w:rPr>
        <w:t> </w:t>
      </w:r>
      <w:r>
        <w:rPr/>
        <w:t>vasoconstriction. In the state of pandemic it is particularly important to consider other differential diagnoses for acute respire- tory symptoms, acute heart failure and hemodynamic instability. Point-of-care ultrasound (POCUS) can be effective</w:t>
      </w:r>
      <w:r>
        <w:rPr>
          <w:spacing w:val="-4"/>
        </w:rPr>
        <w:t> </w:t>
      </w:r>
      <w:r>
        <w:rPr/>
        <w:t>in</w:t>
      </w:r>
      <w:r>
        <w:rPr>
          <w:spacing w:val="-4"/>
        </w:rPr>
        <w:t> </w:t>
      </w:r>
      <w:r>
        <w:rPr/>
        <w:t>helping</w:t>
      </w:r>
      <w:r>
        <w:rPr>
          <w:spacing w:val="-4"/>
        </w:rPr>
        <w:t> </w:t>
      </w:r>
      <w:r>
        <w:rPr/>
        <w:t>to</w:t>
      </w:r>
      <w:r>
        <w:rPr>
          <w:spacing w:val="-4"/>
        </w:rPr>
        <w:t> </w:t>
      </w:r>
      <w:r>
        <w:rPr/>
        <w:t>discriminate</w:t>
      </w:r>
      <w:r>
        <w:rPr>
          <w:spacing w:val="-4"/>
        </w:rPr>
        <w:t> </w:t>
      </w:r>
      <w:r>
        <w:rPr/>
        <w:t>between</w:t>
      </w:r>
      <w:r>
        <w:rPr>
          <w:spacing w:val="-4"/>
        </w:rPr>
        <w:t> </w:t>
      </w:r>
      <w:r>
        <w:rPr/>
        <w:t>the</w:t>
      </w:r>
      <w:r>
        <w:rPr>
          <w:spacing w:val="-4"/>
        </w:rPr>
        <w:t> </w:t>
      </w:r>
      <w:r>
        <w:rPr/>
        <w:t>impor- tant</w:t>
      </w:r>
      <w:r>
        <w:rPr>
          <w:spacing w:val="-14"/>
        </w:rPr>
        <w:t> </w:t>
      </w:r>
      <w:r>
        <w:rPr/>
        <w:t>and</w:t>
      </w:r>
      <w:r>
        <w:rPr>
          <w:spacing w:val="-13"/>
        </w:rPr>
        <w:t> </w:t>
      </w:r>
      <w:r>
        <w:rPr/>
        <w:t>life-threatening</w:t>
      </w:r>
      <w:r>
        <w:rPr>
          <w:spacing w:val="-13"/>
        </w:rPr>
        <w:t> </w:t>
      </w:r>
      <w:r>
        <w:rPr/>
        <w:t>causes</w:t>
      </w:r>
      <w:r>
        <w:rPr>
          <w:spacing w:val="-13"/>
        </w:rPr>
        <w:t> </w:t>
      </w:r>
      <w:r>
        <w:rPr/>
        <w:t>of</w:t>
      </w:r>
      <w:r>
        <w:rPr>
          <w:spacing w:val="-13"/>
        </w:rPr>
        <w:t> </w:t>
      </w:r>
      <w:r>
        <w:rPr/>
        <w:t>acute</w:t>
      </w:r>
      <w:r>
        <w:rPr>
          <w:spacing w:val="-13"/>
        </w:rPr>
        <w:t> </w:t>
      </w:r>
      <w:r>
        <w:rPr/>
        <w:t>dyspnea,</w:t>
      </w:r>
      <w:r>
        <w:rPr>
          <w:spacing w:val="-13"/>
        </w:rPr>
        <w:t> </w:t>
      </w:r>
      <w:r>
        <w:rPr/>
        <w:t>which is especially relevant in emergency department popu- lation [8].</w:t>
      </w:r>
    </w:p>
    <w:p>
      <w:pPr>
        <w:pStyle w:val="BodyText"/>
        <w:spacing w:before="1"/>
        <w:ind w:left="238" w:right="38"/>
        <w:jc w:val="both"/>
      </w:pPr>
      <w:r>
        <w:rPr/>
        <w:t>The number of STEMI complications in COVID-19 pandemic increased mostly</w:t>
      </w:r>
      <w:r>
        <w:rPr>
          <w:spacing w:val="-3"/>
        </w:rPr>
        <w:t> </w:t>
      </w:r>
      <w:r>
        <w:rPr/>
        <w:t>due to a</w:t>
      </w:r>
      <w:r>
        <w:rPr>
          <w:spacing w:val="-1"/>
        </w:rPr>
        <w:t> </w:t>
      </w:r>
      <w:r>
        <w:rPr/>
        <w:t>higher rate of</w:t>
      </w:r>
      <w:r>
        <w:rPr>
          <w:spacing w:val="-2"/>
        </w:rPr>
        <w:t> </w:t>
      </w:r>
      <w:r>
        <w:rPr/>
        <w:t>acu- te heart failure caused by severe left ventricular dys- function. Late call for medical help is one of the ex- planations</w:t>
      </w:r>
      <w:r>
        <w:rPr>
          <w:spacing w:val="-14"/>
        </w:rPr>
        <w:t> </w:t>
      </w:r>
      <w:r>
        <w:rPr/>
        <w:t>for</w:t>
      </w:r>
      <w:r>
        <w:rPr>
          <w:spacing w:val="-13"/>
        </w:rPr>
        <w:t> </w:t>
      </w:r>
      <w:r>
        <w:rPr/>
        <w:t>the</w:t>
      </w:r>
      <w:r>
        <w:rPr>
          <w:spacing w:val="-13"/>
        </w:rPr>
        <w:t> </w:t>
      </w:r>
      <w:r>
        <w:rPr/>
        <w:t>ischemia-induced</w:t>
      </w:r>
      <w:r>
        <w:rPr>
          <w:spacing w:val="-13"/>
        </w:rPr>
        <w:t> </w:t>
      </w:r>
      <w:r>
        <w:rPr/>
        <w:t>left</w:t>
      </w:r>
      <w:r>
        <w:rPr>
          <w:spacing w:val="-13"/>
        </w:rPr>
        <w:t> </w:t>
      </w:r>
      <w:r>
        <w:rPr/>
        <w:t>ventricular</w:t>
      </w:r>
      <w:r>
        <w:rPr>
          <w:spacing w:val="-13"/>
        </w:rPr>
        <w:t> </w:t>
      </w:r>
      <w:r>
        <w:rPr/>
        <w:t>dys- function</w:t>
      </w:r>
      <w:r>
        <w:rPr>
          <w:spacing w:val="-14"/>
        </w:rPr>
        <w:t> </w:t>
      </w:r>
      <w:r>
        <w:rPr/>
        <w:t>in</w:t>
      </w:r>
      <w:r>
        <w:rPr>
          <w:spacing w:val="-5"/>
        </w:rPr>
        <w:t> </w:t>
      </w:r>
      <w:r>
        <w:rPr/>
        <w:t>those</w:t>
      </w:r>
      <w:r>
        <w:rPr>
          <w:spacing w:val="-7"/>
        </w:rPr>
        <w:t> </w:t>
      </w:r>
      <w:r>
        <w:rPr/>
        <w:t>patients.</w:t>
      </w:r>
      <w:r>
        <w:rPr>
          <w:spacing w:val="-7"/>
        </w:rPr>
        <w:t> </w:t>
      </w:r>
      <w:r>
        <w:rPr/>
        <w:t>Based</w:t>
      </w:r>
      <w:r>
        <w:rPr>
          <w:spacing w:val="-6"/>
        </w:rPr>
        <w:t> </w:t>
      </w:r>
      <w:r>
        <w:rPr/>
        <w:t>on</w:t>
      </w:r>
      <w:r>
        <w:rPr>
          <w:spacing w:val="-8"/>
        </w:rPr>
        <w:t> </w:t>
      </w:r>
      <w:r>
        <w:rPr/>
        <w:t>the</w:t>
      </w:r>
      <w:r>
        <w:rPr>
          <w:spacing w:val="-6"/>
        </w:rPr>
        <w:t> </w:t>
      </w:r>
      <w:r>
        <w:rPr/>
        <w:t>latest</w:t>
      </w:r>
      <w:r>
        <w:rPr>
          <w:spacing w:val="-8"/>
        </w:rPr>
        <w:t> </w:t>
      </w:r>
      <w:r>
        <w:rPr/>
        <w:t>European guidelines,</w:t>
      </w:r>
      <w:r>
        <w:rPr>
          <w:spacing w:val="-2"/>
        </w:rPr>
        <w:t> </w:t>
      </w:r>
      <w:r>
        <w:rPr/>
        <w:t>reperfusion</w:t>
      </w:r>
      <w:r>
        <w:rPr>
          <w:spacing w:val="-2"/>
        </w:rPr>
        <w:t> </w:t>
      </w:r>
      <w:r>
        <w:rPr/>
        <w:t>therapy</w:t>
      </w:r>
      <w:r>
        <w:rPr>
          <w:spacing w:val="-6"/>
        </w:rPr>
        <w:t> </w:t>
      </w:r>
      <w:r>
        <w:rPr/>
        <w:t>is</w:t>
      </w:r>
      <w:r>
        <w:rPr>
          <w:spacing w:val="-3"/>
        </w:rPr>
        <w:t> </w:t>
      </w:r>
      <w:r>
        <w:rPr/>
        <w:t>a</w:t>
      </w:r>
      <w:r>
        <w:rPr>
          <w:spacing w:val="-2"/>
        </w:rPr>
        <w:t> </w:t>
      </w:r>
      <w:r>
        <w:rPr/>
        <w:t>treatment</w:t>
      </w:r>
      <w:r>
        <w:rPr>
          <w:spacing w:val="-3"/>
        </w:rPr>
        <w:t> </w:t>
      </w:r>
      <w:r>
        <w:rPr/>
        <w:t>of</w:t>
      </w:r>
      <w:r>
        <w:rPr>
          <w:spacing w:val="-3"/>
        </w:rPr>
        <w:t> </w:t>
      </w:r>
      <w:r>
        <w:rPr/>
        <w:t>choice in patients with symptoms of ischemia below 12 h du- ration and persistent ST-segment elevation [9]. Initia- tion of anticoagulation is recommended in patients</w:t>
      </w:r>
      <w:r>
        <w:rPr>
          <w:spacing w:val="40"/>
        </w:rPr>
        <w:t> </w:t>
      </w:r>
      <w:r>
        <w:rPr>
          <w:spacing w:val="-2"/>
        </w:rPr>
        <w:t>with</w:t>
      </w:r>
      <w:r>
        <w:rPr>
          <w:spacing w:val="-12"/>
        </w:rPr>
        <w:t> </w:t>
      </w:r>
      <w:r>
        <w:rPr>
          <w:spacing w:val="-2"/>
        </w:rPr>
        <w:t>high</w:t>
      </w:r>
      <w:r>
        <w:rPr>
          <w:spacing w:val="-11"/>
        </w:rPr>
        <w:t> </w:t>
      </w:r>
      <w:r>
        <w:rPr>
          <w:spacing w:val="-2"/>
        </w:rPr>
        <w:t>or</w:t>
      </w:r>
      <w:r>
        <w:rPr>
          <w:spacing w:val="-11"/>
        </w:rPr>
        <w:t> </w:t>
      </w:r>
      <w:r>
        <w:rPr>
          <w:spacing w:val="-2"/>
        </w:rPr>
        <w:t>intermediate</w:t>
      </w:r>
      <w:r>
        <w:rPr>
          <w:spacing w:val="-11"/>
        </w:rPr>
        <w:t> </w:t>
      </w:r>
      <w:r>
        <w:rPr>
          <w:spacing w:val="-2"/>
        </w:rPr>
        <w:t>clinical</w:t>
      </w:r>
      <w:r>
        <w:rPr>
          <w:spacing w:val="-11"/>
        </w:rPr>
        <w:t> </w:t>
      </w:r>
      <w:r>
        <w:rPr>
          <w:spacing w:val="-2"/>
        </w:rPr>
        <w:t>probability</w:t>
      </w:r>
      <w:r>
        <w:rPr>
          <w:spacing w:val="-11"/>
        </w:rPr>
        <w:t> </w:t>
      </w:r>
      <w:r>
        <w:rPr>
          <w:spacing w:val="-2"/>
        </w:rPr>
        <w:t>of</w:t>
      </w:r>
      <w:r>
        <w:rPr>
          <w:spacing w:val="-11"/>
        </w:rPr>
        <w:t> </w:t>
      </w:r>
      <w:r>
        <w:rPr>
          <w:spacing w:val="-2"/>
        </w:rPr>
        <w:t>PE</w:t>
      </w:r>
      <w:r>
        <w:rPr>
          <w:spacing w:val="-11"/>
        </w:rPr>
        <w:t> </w:t>
      </w:r>
      <w:r>
        <w:rPr>
          <w:spacing w:val="-2"/>
        </w:rPr>
        <w:t>while </w:t>
      </w:r>
      <w:r>
        <w:rPr/>
        <w:t>diagnostic work-up is in progress or while COVID-19 </w:t>
      </w:r>
      <w:r>
        <w:rPr>
          <w:spacing w:val="-4"/>
        </w:rPr>
        <w:t>preventive measures are being implemented. Fibrinolytic </w:t>
      </w:r>
      <w:r>
        <w:rPr/>
        <w:t>therapy is lifesaving for management of PE in patients with cardiogenic shock [1,10].</w:t>
      </w:r>
    </w:p>
    <w:p>
      <w:pPr>
        <w:pStyle w:val="BodyText"/>
        <w:spacing w:before="5"/>
      </w:pPr>
    </w:p>
    <w:p>
      <w:pPr>
        <w:pStyle w:val="Heading4"/>
        <w:spacing w:before="1"/>
      </w:pPr>
      <w:r>
        <w:rPr>
          <w:spacing w:val="-2"/>
        </w:rPr>
        <w:t>Conclusion</w:t>
      </w:r>
    </w:p>
    <w:p>
      <w:pPr>
        <w:pStyle w:val="BodyText"/>
        <w:spacing w:before="6"/>
        <w:rPr>
          <w:b/>
          <w:sz w:val="20"/>
        </w:rPr>
      </w:pPr>
    </w:p>
    <w:p>
      <w:pPr>
        <w:pStyle w:val="BodyText"/>
        <w:ind w:left="238" w:right="40"/>
        <w:jc w:val="both"/>
      </w:pPr>
      <w:r>
        <w:rPr/>
        <w:t>Pulmonary embolism and acute myocardial infarction can be the first manifestation or complication of COVID-19 infection. Point-of-care ultrasound provide on time diagnosis and help us categorize the type of shock</w:t>
      </w:r>
      <w:r>
        <w:rPr>
          <w:spacing w:val="-14"/>
        </w:rPr>
        <w:t> </w:t>
      </w:r>
      <w:r>
        <w:rPr/>
        <w:t>and</w:t>
      </w:r>
      <w:r>
        <w:rPr>
          <w:spacing w:val="-13"/>
        </w:rPr>
        <w:t> </w:t>
      </w:r>
      <w:r>
        <w:rPr/>
        <w:t>prompt</w:t>
      </w:r>
      <w:r>
        <w:rPr>
          <w:spacing w:val="-13"/>
        </w:rPr>
        <w:t> </w:t>
      </w:r>
      <w:r>
        <w:rPr/>
        <w:t>assessment</w:t>
      </w:r>
      <w:r>
        <w:rPr>
          <w:spacing w:val="-13"/>
        </w:rPr>
        <w:t> </w:t>
      </w:r>
      <w:r>
        <w:rPr/>
        <w:t>of</w:t>
      </w:r>
      <w:r>
        <w:rPr>
          <w:spacing w:val="-13"/>
        </w:rPr>
        <w:t> </w:t>
      </w:r>
      <w:r>
        <w:rPr/>
        <w:t>LV</w:t>
      </w:r>
      <w:r>
        <w:rPr>
          <w:spacing w:val="-13"/>
        </w:rPr>
        <w:t> </w:t>
      </w:r>
      <w:r>
        <w:rPr/>
        <w:t>dysfunction</w:t>
      </w:r>
      <w:r>
        <w:rPr>
          <w:spacing w:val="-13"/>
        </w:rPr>
        <w:t> </w:t>
      </w:r>
      <w:r>
        <w:rPr/>
        <w:t>caused by</w:t>
      </w:r>
      <w:r>
        <w:rPr>
          <w:spacing w:val="7"/>
        </w:rPr>
        <w:t> </w:t>
      </w:r>
      <w:r>
        <w:rPr/>
        <w:t>myocardial</w:t>
      </w:r>
      <w:r>
        <w:rPr>
          <w:spacing w:val="10"/>
        </w:rPr>
        <w:t> </w:t>
      </w:r>
      <w:r>
        <w:rPr/>
        <w:t>injury.</w:t>
      </w:r>
      <w:r>
        <w:rPr>
          <w:spacing w:val="11"/>
        </w:rPr>
        <w:t> </w:t>
      </w:r>
      <w:r>
        <w:rPr/>
        <w:t>CT</w:t>
      </w:r>
      <w:r>
        <w:rPr>
          <w:spacing w:val="11"/>
        </w:rPr>
        <w:t> </w:t>
      </w:r>
      <w:r>
        <w:rPr/>
        <w:t>angiography</w:t>
      </w:r>
      <w:r>
        <w:rPr>
          <w:spacing w:val="7"/>
        </w:rPr>
        <w:t> </w:t>
      </w:r>
      <w:r>
        <w:rPr/>
        <w:t>remains</w:t>
      </w:r>
      <w:r>
        <w:rPr>
          <w:spacing w:val="13"/>
        </w:rPr>
        <w:t> </w:t>
      </w:r>
      <w:r>
        <w:rPr/>
        <w:t>a</w:t>
      </w:r>
      <w:r>
        <w:rPr>
          <w:spacing w:val="11"/>
        </w:rPr>
        <w:t> </w:t>
      </w:r>
      <w:r>
        <w:rPr>
          <w:spacing w:val="-4"/>
        </w:rPr>
        <w:t>gold</w:t>
      </w:r>
    </w:p>
    <w:p>
      <w:pPr>
        <w:pStyle w:val="BodyText"/>
        <w:spacing w:before="92"/>
        <w:ind w:left="238" w:right="291"/>
        <w:jc w:val="both"/>
      </w:pPr>
      <w:r>
        <w:rPr/>
        <w:br w:type="column"/>
      </w:r>
      <w:r>
        <w:rPr/>
        <w:t>standard</w:t>
      </w:r>
      <w:r>
        <w:rPr>
          <w:spacing w:val="-2"/>
        </w:rPr>
        <w:t> </w:t>
      </w:r>
      <w:r>
        <w:rPr/>
        <w:t>for</w:t>
      </w:r>
      <w:r>
        <w:rPr>
          <w:spacing w:val="-4"/>
        </w:rPr>
        <w:t> </w:t>
      </w:r>
      <w:r>
        <w:rPr/>
        <w:t>diagnosis</w:t>
      </w:r>
      <w:r>
        <w:rPr>
          <w:spacing w:val="-4"/>
        </w:rPr>
        <w:t> </w:t>
      </w:r>
      <w:r>
        <w:rPr/>
        <w:t>of</w:t>
      </w:r>
      <w:r>
        <w:rPr>
          <w:spacing w:val="-3"/>
        </w:rPr>
        <w:t> </w:t>
      </w:r>
      <w:r>
        <w:rPr/>
        <w:t>pulmonary</w:t>
      </w:r>
      <w:r>
        <w:rPr>
          <w:spacing w:val="-6"/>
        </w:rPr>
        <w:t> </w:t>
      </w:r>
      <w:r>
        <w:rPr/>
        <w:t>embolism</w:t>
      </w:r>
      <w:r>
        <w:rPr>
          <w:spacing w:val="-5"/>
        </w:rPr>
        <w:t> </w:t>
      </w:r>
      <w:r>
        <w:rPr/>
        <w:t>in</w:t>
      </w:r>
      <w:r>
        <w:rPr>
          <w:spacing w:val="-2"/>
        </w:rPr>
        <w:t> </w:t>
      </w:r>
      <w:r>
        <w:rPr/>
        <w:t>these patients. It is of vital importance to understand COVID-19 cardiovascular complications and practice </w:t>
      </w:r>
      <w:r>
        <w:rPr>
          <w:spacing w:val="-4"/>
        </w:rPr>
        <w:t>evidence-based</w:t>
      </w:r>
      <w:r>
        <w:rPr>
          <w:spacing w:val="-10"/>
        </w:rPr>
        <w:t> </w:t>
      </w:r>
      <w:r>
        <w:rPr>
          <w:spacing w:val="-4"/>
        </w:rPr>
        <w:t>medicine</w:t>
      </w:r>
      <w:r>
        <w:rPr>
          <w:spacing w:val="-9"/>
        </w:rPr>
        <w:t> </w:t>
      </w:r>
      <w:r>
        <w:rPr>
          <w:spacing w:val="-4"/>
        </w:rPr>
        <w:t>to</w:t>
      </w:r>
      <w:r>
        <w:rPr>
          <w:spacing w:val="-9"/>
        </w:rPr>
        <w:t> </w:t>
      </w:r>
      <w:r>
        <w:rPr>
          <w:spacing w:val="-4"/>
        </w:rPr>
        <w:t>avoid</w:t>
      </w:r>
      <w:r>
        <w:rPr>
          <w:spacing w:val="-9"/>
        </w:rPr>
        <w:t> </w:t>
      </w:r>
      <w:r>
        <w:rPr>
          <w:spacing w:val="-4"/>
        </w:rPr>
        <w:t>this</w:t>
      </w:r>
      <w:r>
        <w:rPr>
          <w:spacing w:val="-9"/>
        </w:rPr>
        <w:t> </w:t>
      </w:r>
      <w:r>
        <w:rPr>
          <w:spacing w:val="-4"/>
        </w:rPr>
        <w:t>infection</w:t>
      </w:r>
      <w:r>
        <w:rPr>
          <w:spacing w:val="-9"/>
        </w:rPr>
        <w:t> </w:t>
      </w:r>
      <w:r>
        <w:rPr>
          <w:spacing w:val="-4"/>
        </w:rPr>
        <w:t>becoming </w:t>
      </w:r>
      <w:r>
        <w:rPr/>
        <w:t>the trigger for a new cardiovascular pandemic.</w:t>
      </w:r>
    </w:p>
    <w:p>
      <w:pPr>
        <w:pStyle w:val="BodyText"/>
        <w:spacing w:before="2"/>
      </w:pPr>
    </w:p>
    <w:p>
      <w:pPr>
        <w:spacing w:before="0"/>
        <w:ind w:left="238" w:right="0" w:firstLine="0"/>
        <w:jc w:val="both"/>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1"/>
      </w:pPr>
    </w:p>
    <w:p>
      <w:pPr>
        <w:pStyle w:val="Heading4"/>
        <w:spacing w:before="1"/>
      </w:pPr>
      <w:r>
        <w:rPr>
          <w:spacing w:val="-2"/>
        </w:rPr>
        <w:t>References</w:t>
      </w:r>
    </w:p>
    <w:p>
      <w:pPr>
        <w:pStyle w:val="BodyText"/>
        <w:spacing w:before="10"/>
        <w:rPr>
          <w:b/>
          <w:sz w:val="20"/>
        </w:rPr>
      </w:pPr>
    </w:p>
    <w:p>
      <w:pPr>
        <w:pStyle w:val="ListParagraph"/>
        <w:numPr>
          <w:ilvl w:val="0"/>
          <w:numId w:val="10"/>
        </w:numPr>
        <w:tabs>
          <w:tab w:pos="626" w:val="left" w:leader="none"/>
          <w:tab w:pos="627" w:val="left" w:leader="none"/>
        </w:tabs>
        <w:spacing w:line="240" w:lineRule="auto" w:before="0" w:after="0"/>
        <w:ind w:left="626" w:right="329" w:hanging="389"/>
        <w:jc w:val="left"/>
        <w:rPr>
          <w:sz w:val="18"/>
        </w:rPr>
      </w:pPr>
      <w:r>
        <w:rPr>
          <w:sz w:val="18"/>
        </w:rPr>
        <w:t>ESC Guidance for the Diagnosis and Management of CV Disease during the COVID-19 Pandemic [Internet]. Available</w:t>
      </w:r>
      <w:r>
        <w:rPr>
          <w:spacing w:val="-12"/>
          <w:sz w:val="18"/>
        </w:rPr>
        <w:t> </w:t>
      </w:r>
      <w:r>
        <w:rPr>
          <w:sz w:val="18"/>
        </w:rPr>
        <w:t>from:</w:t>
      </w:r>
      <w:r>
        <w:rPr>
          <w:spacing w:val="-11"/>
          <w:sz w:val="18"/>
        </w:rPr>
        <w:t> </w:t>
      </w:r>
      <w:hyperlink r:id="rId504">
        <w:r>
          <w:rPr>
            <w:sz w:val="18"/>
          </w:rPr>
          <w:t>www.escardio.org/Education/COVID-19-</w:t>
        </w:r>
      </w:hyperlink>
      <w:r>
        <w:rPr>
          <w:sz w:val="18"/>
        </w:rPr>
        <w:t> </w:t>
      </w:r>
      <w:r>
        <w:rPr>
          <w:spacing w:val="-2"/>
          <w:sz w:val="18"/>
        </w:rPr>
        <w:t>and-Cardiology/ESC-COVID-19-Guidance.</w:t>
      </w:r>
    </w:p>
    <w:p>
      <w:pPr>
        <w:pStyle w:val="ListParagraph"/>
        <w:numPr>
          <w:ilvl w:val="0"/>
          <w:numId w:val="10"/>
        </w:numPr>
        <w:tabs>
          <w:tab w:pos="627" w:val="left" w:leader="none"/>
        </w:tabs>
        <w:spacing w:line="240" w:lineRule="auto" w:before="0" w:after="0"/>
        <w:ind w:left="626" w:right="293" w:hanging="389"/>
        <w:jc w:val="both"/>
        <w:rPr>
          <w:sz w:val="18"/>
        </w:rPr>
      </w:pPr>
      <w:r>
        <w:rPr>
          <w:sz w:val="18"/>
        </w:rPr>
        <w:t>Wong</w:t>
      </w:r>
      <w:r>
        <w:rPr>
          <w:spacing w:val="-3"/>
          <w:sz w:val="18"/>
        </w:rPr>
        <w:t> </w:t>
      </w:r>
      <w:r>
        <w:rPr>
          <w:sz w:val="18"/>
        </w:rPr>
        <w:t>CK,</w:t>
      </w:r>
      <w:r>
        <w:rPr>
          <w:spacing w:val="-3"/>
          <w:sz w:val="18"/>
        </w:rPr>
        <w:t> </w:t>
      </w:r>
      <w:r>
        <w:rPr>
          <w:sz w:val="18"/>
        </w:rPr>
        <w:t>Lam</w:t>
      </w:r>
      <w:r>
        <w:rPr>
          <w:spacing w:val="-5"/>
          <w:sz w:val="18"/>
        </w:rPr>
        <w:t> </w:t>
      </w:r>
      <w:r>
        <w:rPr>
          <w:sz w:val="18"/>
        </w:rPr>
        <w:t>CW,</w:t>
      </w:r>
      <w:r>
        <w:rPr>
          <w:spacing w:val="40"/>
          <w:sz w:val="18"/>
        </w:rPr>
        <w:t> </w:t>
      </w:r>
      <w:r>
        <w:rPr>
          <w:sz w:val="18"/>
        </w:rPr>
        <w:t>Wu</w:t>
      </w:r>
      <w:r>
        <w:rPr>
          <w:spacing w:val="-1"/>
          <w:sz w:val="18"/>
        </w:rPr>
        <w:t> </w:t>
      </w:r>
      <w:r>
        <w:rPr>
          <w:sz w:val="18"/>
        </w:rPr>
        <w:t>AK,</w:t>
      </w:r>
      <w:r>
        <w:rPr>
          <w:spacing w:val="-2"/>
          <w:sz w:val="18"/>
        </w:rPr>
        <w:t> </w:t>
      </w:r>
      <w:r>
        <w:rPr>
          <w:i/>
          <w:sz w:val="18"/>
        </w:rPr>
        <w:t>et</w:t>
      </w:r>
      <w:r>
        <w:rPr>
          <w:i/>
          <w:spacing w:val="-1"/>
          <w:sz w:val="18"/>
        </w:rPr>
        <w:t> </w:t>
      </w:r>
      <w:r>
        <w:rPr>
          <w:i/>
          <w:sz w:val="18"/>
        </w:rPr>
        <w:t>al</w:t>
      </w:r>
      <w:r>
        <w:rPr>
          <w:sz w:val="18"/>
        </w:rPr>
        <w:t>.</w:t>
      </w:r>
      <w:r>
        <w:rPr>
          <w:spacing w:val="-3"/>
          <w:sz w:val="18"/>
        </w:rPr>
        <w:t> </w:t>
      </w:r>
      <w:r>
        <w:rPr>
          <w:sz w:val="18"/>
        </w:rPr>
        <w:t>Plasma</w:t>
      </w:r>
      <w:r>
        <w:rPr>
          <w:spacing w:val="-2"/>
          <w:sz w:val="18"/>
        </w:rPr>
        <w:t> </w:t>
      </w:r>
      <w:r>
        <w:rPr>
          <w:sz w:val="18"/>
        </w:rPr>
        <w:t>inflammatory cytokines and chemokines in severe acute respiratory syndrome. </w:t>
      </w:r>
      <w:r>
        <w:rPr>
          <w:i/>
          <w:sz w:val="18"/>
        </w:rPr>
        <w:t>Clin Exp Immunol </w:t>
      </w:r>
      <w:r>
        <w:rPr>
          <w:sz w:val="18"/>
        </w:rPr>
        <w:t>2004; 136(1): 95-103.</w:t>
      </w:r>
    </w:p>
    <w:p>
      <w:pPr>
        <w:pStyle w:val="ListParagraph"/>
        <w:numPr>
          <w:ilvl w:val="0"/>
          <w:numId w:val="10"/>
        </w:numPr>
        <w:tabs>
          <w:tab w:pos="627" w:val="left" w:leader="none"/>
        </w:tabs>
        <w:spacing w:line="240" w:lineRule="auto" w:before="0" w:after="0"/>
        <w:ind w:left="626" w:right="292" w:hanging="389"/>
        <w:jc w:val="both"/>
        <w:rPr>
          <w:sz w:val="18"/>
        </w:rPr>
      </w:pPr>
      <w:r>
        <w:rPr>
          <w:sz w:val="18"/>
        </w:rPr>
        <w:t>Bikdeli B, Madhavan MV, Jimenez D, </w:t>
      </w:r>
      <w:r>
        <w:rPr>
          <w:i/>
          <w:sz w:val="18"/>
        </w:rPr>
        <w:t>et al</w:t>
      </w:r>
      <w:r>
        <w:rPr>
          <w:sz w:val="18"/>
        </w:rPr>
        <w:t>. COVID-19 and</w:t>
      </w:r>
      <w:r>
        <w:rPr>
          <w:spacing w:val="-5"/>
          <w:sz w:val="18"/>
        </w:rPr>
        <w:t> </w:t>
      </w:r>
      <w:r>
        <w:rPr>
          <w:sz w:val="18"/>
        </w:rPr>
        <w:t>Thrombotic</w:t>
      </w:r>
      <w:r>
        <w:rPr>
          <w:spacing w:val="-7"/>
          <w:sz w:val="18"/>
        </w:rPr>
        <w:t> </w:t>
      </w:r>
      <w:r>
        <w:rPr>
          <w:sz w:val="18"/>
        </w:rPr>
        <w:t>or</w:t>
      </w:r>
      <w:r>
        <w:rPr>
          <w:spacing w:val="-6"/>
          <w:sz w:val="18"/>
        </w:rPr>
        <w:t> </w:t>
      </w:r>
      <w:r>
        <w:rPr>
          <w:sz w:val="18"/>
        </w:rPr>
        <w:t>Thromboembolic</w:t>
      </w:r>
      <w:r>
        <w:rPr>
          <w:spacing w:val="-7"/>
          <w:sz w:val="18"/>
        </w:rPr>
        <w:t> </w:t>
      </w:r>
      <w:r>
        <w:rPr>
          <w:sz w:val="18"/>
        </w:rPr>
        <w:t>Disease:</w:t>
      </w:r>
      <w:r>
        <w:rPr>
          <w:spacing w:val="-6"/>
          <w:sz w:val="18"/>
        </w:rPr>
        <w:t> </w:t>
      </w:r>
      <w:r>
        <w:rPr>
          <w:sz w:val="18"/>
        </w:rPr>
        <w:t>Implications for Prevention, Antithrombotic Therapy, and Follow-up. </w:t>
      </w:r>
      <w:r>
        <w:rPr>
          <w:i/>
          <w:sz w:val="18"/>
        </w:rPr>
        <w:t>J</w:t>
      </w:r>
      <w:r>
        <w:rPr>
          <w:i/>
          <w:sz w:val="18"/>
        </w:rPr>
        <w:t> Am Coll Cardiol </w:t>
      </w:r>
      <w:r>
        <w:rPr>
          <w:sz w:val="18"/>
        </w:rPr>
        <w:t>2020; S0735-1097(20)35008-7.</w:t>
      </w:r>
    </w:p>
    <w:p>
      <w:pPr>
        <w:pStyle w:val="ListParagraph"/>
        <w:numPr>
          <w:ilvl w:val="0"/>
          <w:numId w:val="10"/>
        </w:numPr>
        <w:tabs>
          <w:tab w:pos="627" w:val="left" w:leader="none"/>
        </w:tabs>
        <w:spacing w:line="240" w:lineRule="auto" w:before="0" w:after="0"/>
        <w:ind w:left="626" w:right="291" w:hanging="389"/>
        <w:jc w:val="both"/>
        <w:rPr>
          <w:sz w:val="18"/>
        </w:rPr>
      </w:pPr>
      <w:r>
        <w:rPr>
          <w:sz w:val="18"/>
        </w:rPr>
        <w:t>Behnood</w:t>
      </w:r>
      <w:r>
        <w:rPr>
          <w:spacing w:val="-5"/>
          <w:sz w:val="18"/>
        </w:rPr>
        <w:t> </w:t>
      </w:r>
      <w:r>
        <w:rPr>
          <w:sz w:val="18"/>
        </w:rPr>
        <w:t>Bikdeli</w:t>
      </w:r>
      <w:r>
        <w:rPr>
          <w:color w:val="666666"/>
          <w:sz w:val="18"/>
        </w:rPr>
        <w:t>,</w:t>
      </w:r>
      <w:r>
        <w:rPr>
          <w:color w:val="666666"/>
          <w:spacing w:val="-8"/>
          <w:sz w:val="18"/>
        </w:rPr>
        <w:t> </w:t>
      </w:r>
      <w:r>
        <w:rPr>
          <w:sz w:val="18"/>
        </w:rPr>
        <w:t>Mahesh</w:t>
      </w:r>
      <w:r>
        <w:rPr>
          <w:spacing w:val="-8"/>
          <w:sz w:val="18"/>
        </w:rPr>
        <w:t> </w:t>
      </w:r>
      <w:r>
        <w:rPr>
          <w:sz w:val="18"/>
        </w:rPr>
        <w:t>V</w:t>
      </w:r>
      <w:r>
        <w:rPr>
          <w:spacing w:val="-4"/>
          <w:sz w:val="18"/>
        </w:rPr>
        <w:t> </w:t>
      </w:r>
      <w:r>
        <w:rPr>
          <w:sz w:val="18"/>
        </w:rPr>
        <w:t>Madhavan</w:t>
      </w:r>
      <w:r>
        <w:rPr>
          <w:color w:val="666666"/>
          <w:sz w:val="18"/>
        </w:rPr>
        <w:t>,</w:t>
      </w:r>
      <w:r>
        <w:rPr>
          <w:color w:val="666666"/>
          <w:spacing w:val="-5"/>
          <w:sz w:val="18"/>
        </w:rPr>
        <w:t> </w:t>
      </w:r>
      <w:r>
        <w:rPr>
          <w:sz w:val="18"/>
        </w:rPr>
        <w:t>David</w:t>
      </w:r>
      <w:r>
        <w:rPr>
          <w:spacing w:val="-5"/>
          <w:sz w:val="18"/>
        </w:rPr>
        <w:t> </w:t>
      </w:r>
      <w:r>
        <w:rPr>
          <w:sz w:val="18"/>
        </w:rPr>
        <w:t>Jimenez,</w:t>
      </w:r>
      <w:r>
        <w:rPr>
          <w:spacing w:val="-3"/>
          <w:sz w:val="18"/>
        </w:rPr>
        <w:t> </w:t>
      </w:r>
      <w:r>
        <w:rPr>
          <w:i/>
          <w:sz w:val="18"/>
        </w:rPr>
        <w:t>et</w:t>
      </w:r>
      <w:r>
        <w:rPr>
          <w:i/>
          <w:sz w:val="18"/>
        </w:rPr>
        <w:t> </w:t>
      </w:r>
      <w:r>
        <w:rPr>
          <w:i/>
          <w:spacing w:val="-2"/>
          <w:sz w:val="18"/>
        </w:rPr>
        <w:t>al</w:t>
      </w:r>
      <w:r>
        <w:rPr>
          <w:spacing w:val="-2"/>
          <w:sz w:val="18"/>
        </w:rPr>
        <w:t>.</w:t>
      </w:r>
      <w:r>
        <w:rPr>
          <w:spacing w:val="-10"/>
          <w:sz w:val="18"/>
        </w:rPr>
        <w:t> </w:t>
      </w:r>
      <w:r>
        <w:rPr>
          <w:spacing w:val="-2"/>
          <w:sz w:val="18"/>
        </w:rPr>
        <w:t>COVID-19</w:t>
      </w:r>
      <w:r>
        <w:rPr>
          <w:spacing w:val="-9"/>
          <w:sz w:val="18"/>
        </w:rPr>
        <w:t> </w:t>
      </w:r>
      <w:r>
        <w:rPr>
          <w:spacing w:val="-2"/>
          <w:sz w:val="18"/>
        </w:rPr>
        <w:t>and</w:t>
      </w:r>
      <w:r>
        <w:rPr>
          <w:spacing w:val="-9"/>
          <w:sz w:val="18"/>
        </w:rPr>
        <w:t> </w:t>
      </w:r>
      <w:r>
        <w:rPr>
          <w:spacing w:val="-2"/>
          <w:sz w:val="18"/>
        </w:rPr>
        <w:t>Thrombotic</w:t>
      </w:r>
      <w:r>
        <w:rPr>
          <w:spacing w:val="-9"/>
          <w:sz w:val="18"/>
        </w:rPr>
        <w:t> </w:t>
      </w:r>
      <w:r>
        <w:rPr>
          <w:spacing w:val="-2"/>
          <w:sz w:val="18"/>
        </w:rPr>
        <w:t>or</w:t>
      </w:r>
      <w:r>
        <w:rPr>
          <w:spacing w:val="-10"/>
          <w:sz w:val="18"/>
        </w:rPr>
        <w:t> </w:t>
      </w:r>
      <w:r>
        <w:rPr>
          <w:spacing w:val="-2"/>
          <w:sz w:val="18"/>
        </w:rPr>
        <w:t>Thromboembolic</w:t>
      </w:r>
      <w:r>
        <w:rPr>
          <w:spacing w:val="-9"/>
          <w:sz w:val="18"/>
        </w:rPr>
        <w:t> </w:t>
      </w:r>
      <w:r>
        <w:rPr>
          <w:spacing w:val="-2"/>
          <w:sz w:val="18"/>
        </w:rPr>
        <w:t>Disease: </w:t>
      </w:r>
      <w:r>
        <w:rPr>
          <w:sz w:val="18"/>
        </w:rPr>
        <w:t>Implications for Prevention, Antithrombotic Therapy, and Follow-Up:</w:t>
      </w:r>
      <w:r>
        <w:rPr>
          <w:spacing w:val="-4"/>
          <w:sz w:val="18"/>
        </w:rPr>
        <w:t> </w:t>
      </w:r>
      <w:r>
        <w:rPr>
          <w:i/>
          <w:sz w:val="18"/>
        </w:rPr>
        <w:t>JACC</w:t>
      </w:r>
      <w:r>
        <w:rPr>
          <w:i/>
          <w:spacing w:val="-5"/>
          <w:sz w:val="18"/>
        </w:rPr>
        <w:t> </w:t>
      </w:r>
      <w:r>
        <w:rPr>
          <w:sz w:val="18"/>
        </w:rPr>
        <w:t>State-of-the-Art Review. </w:t>
      </w:r>
      <w:r>
        <w:rPr>
          <w:i/>
          <w:sz w:val="18"/>
        </w:rPr>
        <w:t>Journal of the</w:t>
      </w:r>
      <w:r>
        <w:rPr>
          <w:i/>
          <w:sz w:val="18"/>
        </w:rPr>
        <w:t> </w:t>
      </w:r>
      <w:r>
        <w:rPr>
          <w:i/>
          <w:spacing w:val="-4"/>
          <w:sz w:val="18"/>
        </w:rPr>
        <w:t>American</w:t>
      </w:r>
      <w:r>
        <w:rPr>
          <w:i/>
          <w:spacing w:val="-13"/>
          <w:sz w:val="18"/>
        </w:rPr>
        <w:t> </w:t>
      </w:r>
      <w:r>
        <w:rPr>
          <w:i/>
          <w:spacing w:val="-4"/>
          <w:sz w:val="18"/>
        </w:rPr>
        <w:t>College</w:t>
      </w:r>
      <w:r>
        <w:rPr>
          <w:i/>
          <w:spacing w:val="-15"/>
          <w:sz w:val="18"/>
        </w:rPr>
        <w:t> </w:t>
      </w:r>
      <w:r>
        <w:rPr>
          <w:i/>
          <w:spacing w:val="-4"/>
          <w:sz w:val="18"/>
        </w:rPr>
        <w:t>of</w:t>
      </w:r>
      <w:r>
        <w:rPr>
          <w:i/>
          <w:spacing w:val="-11"/>
          <w:sz w:val="18"/>
        </w:rPr>
        <w:t> </w:t>
      </w:r>
      <w:r>
        <w:rPr>
          <w:i/>
          <w:spacing w:val="-4"/>
          <w:sz w:val="18"/>
        </w:rPr>
        <w:t>Cardiology</w:t>
      </w:r>
      <w:r>
        <w:rPr>
          <w:i/>
          <w:spacing w:val="-15"/>
          <w:sz w:val="18"/>
        </w:rPr>
        <w:t> </w:t>
      </w:r>
      <w:r>
        <w:rPr>
          <w:spacing w:val="-4"/>
          <w:sz w:val="18"/>
        </w:rPr>
        <w:t>2020;</w:t>
      </w:r>
      <w:r>
        <w:rPr>
          <w:spacing w:val="-14"/>
          <w:sz w:val="18"/>
        </w:rPr>
        <w:t> </w:t>
      </w:r>
      <w:r>
        <w:rPr>
          <w:spacing w:val="-4"/>
          <w:sz w:val="18"/>
        </w:rPr>
        <w:t>75(23):</w:t>
      </w:r>
      <w:r>
        <w:rPr>
          <w:spacing w:val="-14"/>
          <w:sz w:val="18"/>
        </w:rPr>
        <w:t> </w:t>
      </w:r>
      <w:r>
        <w:rPr>
          <w:spacing w:val="-4"/>
          <w:sz w:val="18"/>
        </w:rPr>
        <w:t>16:</w:t>
      </w:r>
      <w:r>
        <w:rPr>
          <w:spacing w:val="-12"/>
          <w:sz w:val="18"/>
        </w:rPr>
        <w:t> </w:t>
      </w:r>
      <w:r>
        <w:rPr>
          <w:spacing w:val="-4"/>
          <w:sz w:val="18"/>
        </w:rPr>
        <w:t>2950-2973.</w:t>
      </w:r>
    </w:p>
    <w:p>
      <w:pPr>
        <w:pStyle w:val="ListParagraph"/>
        <w:numPr>
          <w:ilvl w:val="0"/>
          <w:numId w:val="10"/>
        </w:numPr>
        <w:tabs>
          <w:tab w:pos="627" w:val="left" w:leader="none"/>
        </w:tabs>
        <w:spacing w:line="240" w:lineRule="auto" w:before="1" w:after="0"/>
        <w:ind w:left="626" w:right="290" w:hanging="389"/>
        <w:jc w:val="both"/>
        <w:rPr>
          <w:sz w:val="18"/>
        </w:rPr>
      </w:pPr>
      <w:r>
        <w:rPr>
          <w:sz w:val="18"/>
        </w:rPr>
        <w:t>Dresden S, Mitchell P, Rahimi L, </w:t>
      </w:r>
      <w:r>
        <w:rPr>
          <w:i/>
          <w:sz w:val="18"/>
        </w:rPr>
        <w:t>et</w:t>
      </w:r>
      <w:r>
        <w:rPr>
          <w:i/>
          <w:spacing w:val="-2"/>
          <w:sz w:val="18"/>
        </w:rPr>
        <w:t> </w:t>
      </w:r>
      <w:r>
        <w:rPr>
          <w:i/>
          <w:sz w:val="18"/>
        </w:rPr>
        <w:t>al</w:t>
      </w:r>
      <w:r>
        <w:rPr>
          <w:sz w:val="18"/>
        </w:rPr>
        <w:t>.</w:t>
      </w:r>
      <w:r>
        <w:rPr>
          <w:spacing w:val="-2"/>
          <w:sz w:val="18"/>
        </w:rPr>
        <w:t> </w:t>
      </w:r>
      <w:r>
        <w:rPr>
          <w:sz w:val="18"/>
        </w:rPr>
        <w:t>Right ventricular </w:t>
      </w:r>
      <w:r>
        <w:rPr>
          <w:spacing w:val="-2"/>
          <w:sz w:val="18"/>
        </w:rPr>
        <w:t>dilatation on bedside echocardiography</w:t>
      </w:r>
      <w:r>
        <w:rPr>
          <w:spacing w:val="-3"/>
          <w:sz w:val="18"/>
        </w:rPr>
        <w:t> </w:t>
      </w:r>
      <w:r>
        <w:rPr>
          <w:spacing w:val="-2"/>
          <w:sz w:val="18"/>
        </w:rPr>
        <w:t>performed by emer- </w:t>
      </w:r>
      <w:r>
        <w:rPr>
          <w:sz w:val="18"/>
        </w:rPr>
        <w:t>gency physicians aids in the diagnosis of pulmonary em- bolism. </w:t>
      </w:r>
      <w:r>
        <w:rPr>
          <w:i/>
          <w:sz w:val="18"/>
        </w:rPr>
        <w:t>Ann Emerg Med </w:t>
      </w:r>
      <w:r>
        <w:rPr>
          <w:sz w:val="18"/>
        </w:rPr>
        <w:t>2014; 63: 16-24.</w:t>
      </w:r>
    </w:p>
    <w:p>
      <w:pPr>
        <w:pStyle w:val="ListParagraph"/>
        <w:numPr>
          <w:ilvl w:val="0"/>
          <w:numId w:val="10"/>
        </w:numPr>
        <w:tabs>
          <w:tab w:pos="627" w:val="left" w:leader="none"/>
        </w:tabs>
        <w:spacing w:line="240" w:lineRule="auto" w:before="0" w:after="0"/>
        <w:ind w:left="626" w:right="296" w:hanging="389"/>
        <w:jc w:val="both"/>
        <w:rPr>
          <w:sz w:val="18"/>
        </w:rPr>
      </w:pPr>
      <w:r>
        <w:rPr>
          <w:sz w:val="18"/>
        </w:rPr>
        <w:t>Caruso D, Zerunian M, Polici M, </w:t>
      </w:r>
      <w:r>
        <w:rPr>
          <w:i/>
          <w:sz w:val="18"/>
        </w:rPr>
        <w:t>et</w:t>
      </w:r>
      <w:r>
        <w:rPr>
          <w:i/>
          <w:spacing w:val="-2"/>
          <w:sz w:val="18"/>
        </w:rPr>
        <w:t> </w:t>
      </w:r>
      <w:r>
        <w:rPr>
          <w:i/>
          <w:sz w:val="18"/>
        </w:rPr>
        <w:t>al</w:t>
      </w:r>
      <w:r>
        <w:rPr>
          <w:sz w:val="18"/>
        </w:rPr>
        <w:t>.</w:t>
      </w:r>
      <w:r>
        <w:rPr>
          <w:spacing w:val="-2"/>
          <w:sz w:val="18"/>
        </w:rPr>
        <w:t> </w:t>
      </w:r>
      <w:r>
        <w:rPr>
          <w:sz w:val="18"/>
        </w:rPr>
        <w:t>Chest CT features </w:t>
      </w:r>
      <w:r>
        <w:rPr>
          <w:spacing w:val="-4"/>
          <w:sz w:val="18"/>
        </w:rPr>
        <w:t>of</w:t>
      </w:r>
      <w:r>
        <w:rPr>
          <w:spacing w:val="-9"/>
          <w:sz w:val="18"/>
        </w:rPr>
        <w:t> </w:t>
      </w:r>
      <w:r>
        <w:rPr>
          <w:spacing w:val="-4"/>
          <w:sz w:val="18"/>
        </w:rPr>
        <w:t>COVID-19</w:t>
      </w:r>
      <w:r>
        <w:rPr>
          <w:spacing w:val="-8"/>
          <w:sz w:val="18"/>
        </w:rPr>
        <w:t> </w:t>
      </w:r>
      <w:r>
        <w:rPr>
          <w:spacing w:val="-4"/>
          <w:sz w:val="18"/>
        </w:rPr>
        <w:t>in</w:t>
      </w:r>
      <w:r>
        <w:rPr>
          <w:spacing w:val="-8"/>
          <w:sz w:val="18"/>
        </w:rPr>
        <w:t> </w:t>
      </w:r>
      <w:r>
        <w:rPr>
          <w:spacing w:val="-4"/>
          <w:sz w:val="18"/>
        </w:rPr>
        <w:t>Rome,</w:t>
      </w:r>
      <w:r>
        <w:rPr>
          <w:spacing w:val="-6"/>
          <w:sz w:val="18"/>
        </w:rPr>
        <w:t> </w:t>
      </w:r>
      <w:r>
        <w:rPr>
          <w:spacing w:val="-4"/>
          <w:sz w:val="18"/>
        </w:rPr>
        <w:t>Italy.</w:t>
      </w:r>
      <w:r>
        <w:rPr>
          <w:spacing w:val="-6"/>
          <w:sz w:val="18"/>
        </w:rPr>
        <w:t> </w:t>
      </w:r>
      <w:r>
        <w:rPr>
          <w:i/>
          <w:spacing w:val="-4"/>
          <w:sz w:val="18"/>
        </w:rPr>
        <w:t>Radiology</w:t>
      </w:r>
      <w:r>
        <w:rPr>
          <w:i/>
          <w:spacing w:val="-10"/>
          <w:sz w:val="18"/>
        </w:rPr>
        <w:t> </w:t>
      </w:r>
      <w:r>
        <w:rPr>
          <w:spacing w:val="-4"/>
          <w:sz w:val="18"/>
        </w:rPr>
        <w:t>2020;</w:t>
      </w:r>
      <w:r>
        <w:rPr>
          <w:spacing w:val="-9"/>
          <w:sz w:val="18"/>
        </w:rPr>
        <w:t> </w:t>
      </w:r>
      <w:r>
        <w:rPr>
          <w:spacing w:val="-4"/>
          <w:sz w:val="18"/>
        </w:rPr>
        <w:t>296:</w:t>
      </w:r>
      <w:r>
        <w:rPr>
          <w:spacing w:val="-9"/>
          <w:sz w:val="18"/>
        </w:rPr>
        <w:t> </w:t>
      </w:r>
      <w:r>
        <w:rPr>
          <w:spacing w:val="-4"/>
          <w:sz w:val="18"/>
        </w:rPr>
        <w:t>E79-E85.</w:t>
      </w:r>
    </w:p>
    <w:p>
      <w:pPr>
        <w:pStyle w:val="ListParagraph"/>
        <w:numPr>
          <w:ilvl w:val="0"/>
          <w:numId w:val="10"/>
        </w:numPr>
        <w:tabs>
          <w:tab w:pos="627" w:val="left" w:leader="none"/>
        </w:tabs>
        <w:spacing w:line="240" w:lineRule="auto" w:before="0" w:after="0"/>
        <w:ind w:left="626" w:right="293" w:hanging="389"/>
        <w:jc w:val="both"/>
        <w:rPr>
          <w:sz w:val="18"/>
        </w:rPr>
      </w:pPr>
      <w:r>
        <w:rPr>
          <w:sz w:val="18"/>
        </w:rPr>
        <w:t>Neo Poyiadji, Peter Cormier, Parth Y Patel, </w:t>
      </w:r>
      <w:r>
        <w:rPr>
          <w:i/>
          <w:sz w:val="18"/>
        </w:rPr>
        <w:t>et al</w:t>
      </w:r>
      <w:r>
        <w:rPr>
          <w:sz w:val="18"/>
        </w:rPr>
        <w:t>. Acute Pulmonary Embolism and COVID-19. </w:t>
      </w:r>
      <w:r>
        <w:rPr>
          <w:i/>
          <w:sz w:val="18"/>
        </w:rPr>
        <w:t>Radiology </w:t>
      </w:r>
      <w:r>
        <w:rPr>
          <w:sz w:val="18"/>
        </w:rPr>
        <w:t>2020.</w:t>
      </w:r>
    </w:p>
    <w:p>
      <w:pPr>
        <w:pStyle w:val="ListParagraph"/>
        <w:numPr>
          <w:ilvl w:val="0"/>
          <w:numId w:val="10"/>
        </w:numPr>
        <w:tabs>
          <w:tab w:pos="627" w:val="left" w:leader="none"/>
        </w:tabs>
        <w:spacing w:line="240" w:lineRule="auto" w:before="0" w:after="0"/>
        <w:ind w:left="626" w:right="291" w:hanging="389"/>
        <w:jc w:val="both"/>
        <w:rPr>
          <w:sz w:val="18"/>
        </w:rPr>
      </w:pPr>
      <w:r>
        <w:rPr>
          <w:sz w:val="18"/>
        </w:rPr>
        <w:t>Peng QY, Wang XT, Zhang LN. Using echocardiography to guide the treatment of novel coronavirus pneumonia. </w:t>
      </w:r>
      <w:r>
        <w:rPr>
          <w:i/>
          <w:sz w:val="18"/>
        </w:rPr>
        <w:t>Crit Care </w:t>
      </w:r>
      <w:r>
        <w:rPr>
          <w:sz w:val="18"/>
        </w:rPr>
        <w:t>2020; 24: 1-3.</w:t>
      </w:r>
    </w:p>
    <w:p>
      <w:pPr>
        <w:pStyle w:val="ListParagraph"/>
        <w:numPr>
          <w:ilvl w:val="0"/>
          <w:numId w:val="10"/>
        </w:numPr>
        <w:tabs>
          <w:tab w:pos="627" w:val="left" w:leader="none"/>
        </w:tabs>
        <w:spacing w:line="240" w:lineRule="auto" w:before="0" w:after="0"/>
        <w:ind w:left="626" w:right="292" w:hanging="389"/>
        <w:jc w:val="both"/>
        <w:rPr>
          <w:sz w:val="18"/>
        </w:rPr>
      </w:pPr>
      <w:r>
        <w:rPr>
          <w:sz w:val="18"/>
        </w:rPr>
        <w:t>Jianhua Wu, Mamas M, Muhammad R, </w:t>
      </w:r>
      <w:r>
        <w:rPr>
          <w:i/>
          <w:sz w:val="18"/>
        </w:rPr>
        <w:t>et al</w:t>
      </w:r>
      <w:r>
        <w:rPr>
          <w:sz w:val="18"/>
        </w:rPr>
        <w:t>. Patient response, treatments and mortality for acute myocardial infarction during the COVID-19 pandemic. </w:t>
      </w:r>
      <w:r>
        <w:rPr>
          <w:i/>
          <w:sz w:val="18"/>
        </w:rPr>
        <w:t>European</w:t>
      </w:r>
      <w:r>
        <w:rPr>
          <w:i/>
          <w:sz w:val="18"/>
        </w:rPr>
        <w:t> </w:t>
      </w:r>
      <w:r>
        <w:rPr>
          <w:i/>
          <w:spacing w:val="-4"/>
          <w:sz w:val="18"/>
        </w:rPr>
        <w:t>Heart</w:t>
      </w:r>
      <w:r>
        <w:rPr>
          <w:i/>
          <w:spacing w:val="-6"/>
          <w:sz w:val="18"/>
        </w:rPr>
        <w:t> </w:t>
      </w:r>
      <w:r>
        <w:rPr>
          <w:i/>
          <w:spacing w:val="-4"/>
          <w:sz w:val="18"/>
        </w:rPr>
        <w:t>Journal</w:t>
      </w:r>
      <w:r>
        <w:rPr>
          <w:i/>
          <w:spacing w:val="-6"/>
          <w:sz w:val="18"/>
        </w:rPr>
        <w:t> </w:t>
      </w:r>
      <w:r>
        <w:rPr>
          <w:i/>
          <w:spacing w:val="-4"/>
          <w:sz w:val="18"/>
        </w:rPr>
        <w:t>-</w:t>
      </w:r>
      <w:r>
        <w:rPr>
          <w:i/>
          <w:spacing w:val="-6"/>
          <w:sz w:val="18"/>
        </w:rPr>
        <w:t> </w:t>
      </w:r>
      <w:r>
        <w:rPr>
          <w:i/>
          <w:spacing w:val="-4"/>
          <w:sz w:val="18"/>
        </w:rPr>
        <w:t>Quality</w:t>
      </w:r>
      <w:r>
        <w:rPr>
          <w:i/>
          <w:spacing w:val="-7"/>
          <w:sz w:val="18"/>
        </w:rPr>
        <w:t> </w:t>
      </w:r>
      <w:r>
        <w:rPr>
          <w:i/>
          <w:spacing w:val="-4"/>
          <w:sz w:val="18"/>
        </w:rPr>
        <w:t>of Care</w:t>
      </w:r>
      <w:r>
        <w:rPr>
          <w:i/>
          <w:spacing w:val="-7"/>
          <w:sz w:val="18"/>
        </w:rPr>
        <w:t> </w:t>
      </w:r>
      <w:r>
        <w:rPr>
          <w:i/>
          <w:spacing w:val="-4"/>
          <w:sz w:val="18"/>
        </w:rPr>
        <w:t>and</w:t>
      </w:r>
      <w:r>
        <w:rPr>
          <w:i/>
          <w:spacing w:val="-5"/>
          <w:sz w:val="18"/>
        </w:rPr>
        <w:t> </w:t>
      </w:r>
      <w:r>
        <w:rPr>
          <w:i/>
          <w:spacing w:val="-4"/>
          <w:sz w:val="18"/>
        </w:rPr>
        <w:t>Clinical Outcomes</w:t>
      </w:r>
      <w:r>
        <w:rPr>
          <w:i/>
          <w:spacing w:val="-7"/>
          <w:sz w:val="18"/>
        </w:rPr>
        <w:t> </w:t>
      </w:r>
      <w:r>
        <w:rPr>
          <w:spacing w:val="-4"/>
          <w:sz w:val="18"/>
        </w:rPr>
        <w:t>2020.</w:t>
      </w:r>
    </w:p>
    <w:p>
      <w:pPr>
        <w:pStyle w:val="ListParagraph"/>
        <w:numPr>
          <w:ilvl w:val="0"/>
          <w:numId w:val="10"/>
        </w:numPr>
        <w:tabs>
          <w:tab w:pos="627" w:val="left" w:leader="none"/>
        </w:tabs>
        <w:spacing w:line="240" w:lineRule="auto" w:before="0" w:after="0"/>
        <w:ind w:left="626" w:right="290" w:hanging="389"/>
        <w:jc w:val="both"/>
        <w:rPr>
          <w:sz w:val="18"/>
        </w:rPr>
      </w:pPr>
      <w:r>
        <w:rPr>
          <w:sz w:val="18"/>
        </w:rPr>
        <w:t>Oudkerk M, Büller HR, Kuijpers D, </w:t>
      </w:r>
      <w:r>
        <w:rPr>
          <w:i/>
          <w:sz w:val="18"/>
        </w:rPr>
        <w:t>et al</w:t>
      </w:r>
      <w:r>
        <w:rPr>
          <w:sz w:val="18"/>
        </w:rPr>
        <w:t>. Diagnosis, Pre- vention,</w:t>
      </w:r>
      <w:r>
        <w:rPr>
          <w:spacing w:val="-5"/>
          <w:sz w:val="18"/>
        </w:rPr>
        <w:t> </w:t>
      </w:r>
      <w:r>
        <w:rPr>
          <w:sz w:val="18"/>
        </w:rPr>
        <w:t>and</w:t>
      </w:r>
      <w:r>
        <w:rPr>
          <w:spacing w:val="-10"/>
          <w:sz w:val="18"/>
        </w:rPr>
        <w:t> </w:t>
      </w:r>
      <w:r>
        <w:rPr>
          <w:sz w:val="18"/>
        </w:rPr>
        <w:t>Treatment</w:t>
      </w:r>
      <w:r>
        <w:rPr>
          <w:spacing w:val="-10"/>
          <w:sz w:val="18"/>
        </w:rPr>
        <w:t> </w:t>
      </w:r>
      <w:r>
        <w:rPr>
          <w:sz w:val="18"/>
        </w:rPr>
        <w:t>of</w:t>
      </w:r>
      <w:r>
        <w:rPr>
          <w:spacing w:val="-10"/>
          <w:sz w:val="18"/>
        </w:rPr>
        <w:t> </w:t>
      </w:r>
      <w:r>
        <w:rPr>
          <w:sz w:val="18"/>
        </w:rPr>
        <w:t>Thromboembolic</w:t>
      </w:r>
      <w:r>
        <w:rPr>
          <w:spacing w:val="-11"/>
          <w:sz w:val="18"/>
        </w:rPr>
        <w:t> </w:t>
      </w:r>
      <w:r>
        <w:rPr>
          <w:sz w:val="18"/>
        </w:rPr>
        <w:t>Complications in COVID-19: Report of the National Institute for Public Health of the Netherlands. </w:t>
      </w:r>
      <w:r>
        <w:rPr>
          <w:i/>
          <w:sz w:val="18"/>
        </w:rPr>
        <w:t>Radiology </w:t>
      </w:r>
      <w:r>
        <w:rPr>
          <w:sz w:val="18"/>
        </w:rPr>
        <w:t>2020; 201629.</w:t>
      </w:r>
    </w:p>
    <w:p>
      <w:pPr>
        <w:spacing w:after="0" w:line="240" w:lineRule="auto"/>
        <w:jc w:val="both"/>
        <w:rPr>
          <w:sz w:val="18"/>
        </w:rPr>
        <w:sectPr>
          <w:type w:val="continuous"/>
          <w:pgSz w:w="11910" w:h="16840"/>
          <w:pgMar w:header="854" w:footer="0" w:top="740" w:bottom="0" w:left="900" w:right="840"/>
          <w:cols w:num="2" w:equalWidth="0">
            <w:col w:w="4919" w:space="79"/>
            <w:col w:w="5172"/>
          </w:cols>
        </w:sectPr>
      </w:pPr>
    </w:p>
    <w:p>
      <w:pPr>
        <w:tabs>
          <w:tab w:pos="9203" w:val="left" w:leader="none"/>
        </w:tabs>
        <w:spacing w:before="75"/>
        <w:ind w:left="238" w:right="0" w:firstLine="0"/>
        <w:jc w:val="left"/>
        <w:rPr>
          <w:rFonts w:ascii="Courier New"/>
          <w:sz w:val="48"/>
        </w:rPr>
      </w:pPr>
      <w:r>
        <w:rPr/>
        <w:pict>
          <v:shape style="position:absolute;margin-left:528.580017pt;margin-top:4.037615pt;width:10.1pt;height:11.05pt;mso-position-horizontal-relative:page;mso-position-vertical-relative:paragraph;z-index:-17633792" type="#_x0000_t202" id="docshape557" filled="false" stroked="false">
            <v:textbox inset="0,0,0,0">
              <w:txbxContent>
                <w:p>
                  <w:pPr>
                    <w:spacing w:line="221" w:lineRule="exact" w:before="0"/>
                    <w:ind w:left="0" w:right="0" w:firstLine="0"/>
                    <w:jc w:val="left"/>
                    <w:rPr>
                      <w:sz w:val="20"/>
                    </w:rPr>
                  </w:pPr>
                  <w:r>
                    <w:rPr>
                      <w:spacing w:val="-5"/>
                      <w:sz w:val="20"/>
                    </w:rPr>
                    <w:t>28</w:t>
                  </w:r>
                </w:p>
              </w:txbxContent>
            </v:textbox>
            <w10:wrap type="none"/>
          </v:shape>
        </w:pict>
      </w: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28-</w:t>
      </w:r>
      <w:r>
        <w:rPr>
          <w:spacing w:val="-5"/>
          <w:w w:val="105"/>
          <w:sz w:val="24"/>
        </w:rPr>
        <w:t>31</w:t>
      </w:r>
      <w:r>
        <w:rPr>
          <w:sz w:val="24"/>
        </w:rPr>
        <w:tab/>
      </w:r>
      <w:r>
        <w:rPr>
          <w:rFonts w:ascii="Courier New"/>
          <w:color w:val="999999"/>
          <w:spacing w:val="-5"/>
          <w:w w:val="105"/>
          <w:position w:val="-23"/>
          <w:sz w:val="48"/>
        </w:rPr>
        <w:t>MMP</w:t>
      </w:r>
    </w:p>
    <w:p>
      <w:pPr>
        <w:spacing w:before="218"/>
        <w:ind w:left="238" w:right="0" w:firstLine="0"/>
        <w:jc w:val="left"/>
        <w:rPr>
          <w:i/>
          <w:sz w:val="24"/>
        </w:rPr>
      </w:pPr>
      <w:r>
        <w:rPr>
          <w:i/>
          <w:sz w:val="24"/>
        </w:rPr>
        <w:t>Case</w:t>
      </w:r>
      <w:r>
        <w:rPr>
          <w:i/>
          <w:spacing w:val="-3"/>
          <w:sz w:val="24"/>
        </w:rPr>
        <w:t> </w:t>
      </w:r>
      <w:r>
        <w:rPr>
          <w:i/>
          <w:spacing w:val="-2"/>
          <w:sz w:val="24"/>
        </w:rPr>
        <w:t>report</w:t>
      </w:r>
    </w:p>
    <w:p>
      <w:pPr>
        <w:pStyle w:val="BodyText"/>
        <w:spacing w:before="7"/>
        <w:rPr>
          <w:i/>
        </w:rPr>
      </w:pPr>
    </w:p>
    <w:p>
      <w:pPr>
        <w:pStyle w:val="Heading2"/>
      </w:pPr>
      <w:bookmarkStart w:name="_TOC_250011" w:id="11"/>
      <w:r>
        <w:rPr/>
        <w:t>EXPLORATIVE</w:t>
      </w:r>
      <w:r>
        <w:rPr>
          <w:spacing w:val="40"/>
        </w:rPr>
        <w:t> </w:t>
      </w:r>
      <w:r>
        <w:rPr/>
        <w:t>LAPAROSCOPY</w:t>
      </w:r>
      <w:r>
        <w:rPr>
          <w:spacing w:val="40"/>
        </w:rPr>
        <w:t> </w:t>
      </w:r>
      <w:r>
        <w:rPr/>
        <w:t>IN</w:t>
      </w:r>
      <w:r>
        <w:rPr>
          <w:spacing w:val="40"/>
        </w:rPr>
        <w:t> </w:t>
      </w:r>
      <w:r>
        <w:rPr/>
        <w:t>THE</w:t>
      </w:r>
      <w:r>
        <w:rPr>
          <w:spacing w:val="40"/>
        </w:rPr>
        <w:t> </w:t>
      </w:r>
      <w:r>
        <w:rPr/>
        <w:t>ASSESSMENT</w:t>
      </w:r>
      <w:r>
        <w:rPr>
          <w:spacing w:val="40"/>
        </w:rPr>
        <w:t> </w:t>
      </w:r>
      <w:r>
        <w:rPr/>
        <w:t>OF</w:t>
      </w:r>
      <w:r>
        <w:rPr>
          <w:spacing w:val="40"/>
        </w:rPr>
        <w:t> </w:t>
      </w:r>
      <w:r>
        <w:rPr/>
        <w:t>MALIGNANCIES</w:t>
      </w:r>
      <w:r>
        <w:rPr>
          <w:spacing w:val="40"/>
        </w:rPr>
        <w:t> </w:t>
      </w:r>
      <w:r>
        <w:rPr/>
        <w:t>OF</w:t>
      </w:r>
      <w:r>
        <w:rPr>
          <w:spacing w:val="40"/>
        </w:rPr>
        <w:t> </w:t>
      </w:r>
      <w:bookmarkEnd w:id="11"/>
      <w:r>
        <w:rPr/>
        <w:t>FEMALE GENITAL ORGANS - A CASE REPORT</w:t>
      </w:r>
    </w:p>
    <w:p>
      <w:pPr>
        <w:pStyle w:val="BodyText"/>
        <w:spacing w:before="11"/>
        <w:rPr>
          <w:b/>
          <w:sz w:val="20"/>
        </w:rPr>
      </w:pPr>
    </w:p>
    <w:p>
      <w:pPr>
        <w:pStyle w:val="Heading2"/>
        <w:tabs>
          <w:tab w:pos="2581" w:val="left" w:leader="none"/>
          <w:tab w:pos="4930" w:val="left" w:leader="none"/>
          <w:tab w:pos="5288" w:val="left" w:leader="none"/>
          <w:tab w:pos="5892" w:val="left" w:leader="none"/>
          <w:tab w:pos="7461" w:val="left" w:leader="none"/>
          <w:tab w:pos="8077" w:val="left" w:leader="none"/>
        </w:tabs>
        <w:ind w:right="294"/>
      </w:pPr>
      <w:bookmarkStart w:name="_TOC_250010" w:id="12"/>
      <w:r>
        <w:rPr>
          <w:spacing w:val="-2"/>
        </w:rPr>
        <w:t>ЕКСПЛОРАТИВНА</w:t>
      </w:r>
      <w:r>
        <w:rPr/>
        <w:tab/>
      </w:r>
      <w:r>
        <w:rPr>
          <w:spacing w:val="-2"/>
        </w:rPr>
        <w:t>ЛАПАРОСКОПИЈА</w:t>
      </w:r>
      <w:r>
        <w:rPr/>
        <w:tab/>
      </w:r>
      <w:r>
        <w:rPr>
          <w:spacing w:val="-10"/>
        </w:rPr>
        <w:t>-</w:t>
      </w:r>
      <w:r>
        <w:rPr/>
        <w:tab/>
      </w:r>
      <w:r>
        <w:rPr>
          <w:spacing w:val="-6"/>
        </w:rPr>
        <w:t>ВО</w:t>
      </w:r>
      <w:r>
        <w:rPr/>
        <w:tab/>
      </w:r>
      <w:r>
        <w:rPr>
          <w:spacing w:val="-2"/>
        </w:rPr>
        <w:t>ПРОЦЕНКА</w:t>
      </w:r>
      <w:r>
        <w:rPr/>
        <w:tab/>
      </w:r>
      <w:r>
        <w:rPr>
          <w:spacing w:val="-6"/>
        </w:rPr>
        <w:t>НА</w:t>
      </w:r>
      <w:r>
        <w:rPr/>
        <w:tab/>
      </w:r>
      <w:r>
        <w:rPr>
          <w:spacing w:val="-2"/>
        </w:rPr>
        <w:t>МАЛИГНИТЕТИ </w:t>
      </w:r>
      <w:bookmarkEnd w:id="12"/>
      <w:r>
        <w:rPr/>
        <w:t>НАГЕНИТАЛНИ ЖЕНСКИ ОРГАНИ – ПРИКАЗ НА СЛУЧАЈ</w:t>
      </w:r>
    </w:p>
    <w:p>
      <w:pPr>
        <w:pStyle w:val="BodyText"/>
        <w:spacing w:before="6"/>
        <w:rPr>
          <w:b/>
          <w:sz w:val="20"/>
        </w:rPr>
      </w:pPr>
    </w:p>
    <w:p>
      <w:pPr>
        <w:pStyle w:val="Heading1"/>
      </w:pPr>
      <w:bookmarkStart w:name="_TOC_250009" w:id="13"/>
      <w:r>
        <w:rPr/>
        <w:t>Saso</w:t>
      </w:r>
      <w:r>
        <w:rPr>
          <w:spacing w:val="-4"/>
        </w:rPr>
        <w:t> </w:t>
      </w:r>
      <w:r>
        <w:rPr/>
        <w:t>Stojcevski</w:t>
      </w:r>
      <w:r>
        <w:rPr>
          <w:spacing w:val="-3"/>
        </w:rPr>
        <w:t> </w:t>
      </w:r>
      <w:r>
        <w:rPr/>
        <w:t>and</w:t>
      </w:r>
      <w:r>
        <w:rPr>
          <w:spacing w:val="-3"/>
        </w:rPr>
        <w:t> </w:t>
      </w:r>
      <w:r>
        <w:rPr/>
        <w:t>Violeta</w:t>
      </w:r>
      <w:r>
        <w:rPr>
          <w:spacing w:val="-3"/>
        </w:rPr>
        <w:t> </w:t>
      </w:r>
      <w:bookmarkEnd w:id="13"/>
      <w:r>
        <w:rPr>
          <w:spacing w:val="-2"/>
        </w:rPr>
        <w:t>Nikolov</w:t>
      </w:r>
    </w:p>
    <w:p>
      <w:pPr>
        <w:pStyle w:val="BodyText"/>
      </w:pPr>
    </w:p>
    <w:p>
      <w:pPr>
        <w:spacing w:before="0"/>
        <w:ind w:left="238" w:right="0" w:firstLine="0"/>
        <w:jc w:val="left"/>
        <w:rPr>
          <w:sz w:val="22"/>
        </w:rPr>
      </w:pPr>
      <w:r>
        <w:rPr>
          <w:sz w:val="22"/>
        </w:rPr>
        <w:t>University</w:t>
      </w:r>
      <w:r>
        <w:rPr>
          <w:spacing w:val="24"/>
          <w:sz w:val="22"/>
        </w:rPr>
        <w:t> </w:t>
      </w:r>
      <w:r>
        <w:rPr>
          <w:sz w:val="22"/>
        </w:rPr>
        <w:t>clinic</w:t>
      </w:r>
      <w:r>
        <w:rPr>
          <w:spacing w:val="24"/>
          <w:sz w:val="22"/>
        </w:rPr>
        <w:t> </w:t>
      </w:r>
      <w:r>
        <w:rPr>
          <w:sz w:val="22"/>
        </w:rPr>
        <w:t>for</w:t>
      </w:r>
      <w:r>
        <w:rPr>
          <w:spacing w:val="25"/>
          <w:sz w:val="22"/>
        </w:rPr>
        <w:t> </w:t>
      </w:r>
      <w:r>
        <w:rPr>
          <w:sz w:val="22"/>
        </w:rPr>
        <w:t>Ginekology</w:t>
      </w:r>
      <w:r>
        <w:rPr>
          <w:spacing w:val="24"/>
          <w:sz w:val="22"/>
        </w:rPr>
        <w:t> </w:t>
      </w:r>
      <w:r>
        <w:rPr>
          <w:sz w:val="22"/>
        </w:rPr>
        <w:t>and</w:t>
      </w:r>
      <w:r>
        <w:rPr>
          <w:spacing w:val="27"/>
          <w:sz w:val="22"/>
        </w:rPr>
        <w:t> </w:t>
      </w:r>
      <w:r>
        <w:rPr>
          <w:sz w:val="22"/>
        </w:rPr>
        <w:t>Obstetrics,</w:t>
      </w:r>
      <w:r>
        <w:rPr>
          <w:spacing w:val="24"/>
          <w:sz w:val="22"/>
        </w:rPr>
        <w:t> </w:t>
      </w:r>
      <w:r>
        <w:rPr>
          <w:sz w:val="22"/>
        </w:rPr>
        <w:t>Faculty</w:t>
      </w:r>
      <w:r>
        <w:rPr>
          <w:spacing w:val="24"/>
          <w:sz w:val="22"/>
        </w:rPr>
        <w:t> </w:t>
      </w:r>
      <w:r>
        <w:rPr>
          <w:sz w:val="22"/>
        </w:rPr>
        <w:t>of</w:t>
      </w:r>
      <w:r>
        <w:rPr>
          <w:spacing w:val="25"/>
          <w:sz w:val="22"/>
        </w:rPr>
        <w:t> </w:t>
      </w:r>
      <w:r>
        <w:rPr>
          <w:sz w:val="22"/>
        </w:rPr>
        <w:t>Medicine,</w:t>
      </w:r>
      <w:r>
        <w:rPr>
          <w:spacing w:val="27"/>
          <w:sz w:val="22"/>
        </w:rPr>
        <w:t> </w:t>
      </w:r>
      <w:r>
        <w:rPr>
          <w:sz w:val="22"/>
        </w:rPr>
        <w:t>Ss</w:t>
      </w:r>
      <w:r>
        <w:rPr>
          <w:spacing w:val="27"/>
          <w:sz w:val="22"/>
        </w:rPr>
        <w:t> </w:t>
      </w:r>
      <w:r>
        <w:rPr>
          <w:sz w:val="22"/>
        </w:rPr>
        <w:t>Cyril</w:t>
      </w:r>
      <w:r>
        <w:rPr>
          <w:spacing w:val="25"/>
          <w:sz w:val="22"/>
        </w:rPr>
        <w:t> </w:t>
      </w:r>
      <w:r>
        <w:rPr>
          <w:sz w:val="22"/>
        </w:rPr>
        <w:t>and</w:t>
      </w:r>
      <w:r>
        <w:rPr>
          <w:spacing w:val="24"/>
          <w:sz w:val="22"/>
        </w:rPr>
        <w:t> </w:t>
      </w:r>
      <w:r>
        <w:rPr>
          <w:sz w:val="22"/>
        </w:rPr>
        <w:t>Methodius</w:t>
      </w:r>
      <w:r>
        <w:rPr>
          <w:spacing w:val="24"/>
          <w:sz w:val="22"/>
        </w:rPr>
        <w:t> </w:t>
      </w:r>
      <w:r>
        <w:rPr>
          <w:sz w:val="22"/>
        </w:rPr>
        <w:t>University Skopje, Republic of North Macedonia</w:t>
      </w:r>
    </w:p>
    <w:p>
      <w:pPr>
        <w:pStyle w:val="BodyText"/>
        <w:spacing w:before="2"/>
        <w:rPr>
          <w:sz w:val="13"/>
        </w:rPr>
      </w:pPr>
    </w:p>
    <w:p>
      <w:pPr>
        <w:spacing w:after="0"/>
        <w:rPr>
          <w:sz w:val="13"/>
        </w:rPr>
        <w:sectPr>
          <w:headerReference w:type="default" r:id="rId505"/>
          <w:pgSz w:w="11910" w:h="16840"/>
          <w:pgMar w:header="0" w:footer="0" w:top="760" w:bottom="280" w:left="900" w:right="840"/>
        </w:sectPr>
      </w:pPr>
    </w:p>
    <w:p>
      <w:pPr>
        <w:pStyle w:val="Heading4"/>
        <w:spacing w:before="97"/>
      </w:pPr>
      <w:r>
        <w:rPr>
          <w:spacing w:val="-2"/>
        </w:rPr>
        <w:t>Abstract</w:t>
      </w:r>
    </w:p>
    <w:p>
      <w:pPr>
        <w:pStyle w:val="BodyText"/>
        <w:spacing w:before="6"/>
        <w:rPr>
          <w:b/>
          <w:sz w:val="20"/>
        </w:rPr>
      </w:pPr>
    </w:p>
    <w:p>
      <w:pPr>
        <w:pStyle w:val="BodyText"/>
        <w:ind w:left="238" w:right="38"/>
        <w:jc w:val="both"/>
      </w:pPr>
      <w:r>
        <w:rPr>
          <w:b/>
        </w:rPr>
        <w:t>Introduction. </w:t>
      </w:r>
      <w:r>
        <w:rPr/>
        <w:t>The term "peritoneal carcinomatosis" mainly refers to primary or secondary malignancy of the peritoneum, but is also used to describe metastatic changes to the peritoneal surface of cancer cells of various origins.</w:t>
      </w:r>
    </w:p>
    <w:p>
      <w:pPr>
        <w:pStyle w:val="BodyText"/>
        <w:spacing w:before="92"/>
        <w:ind w:left="238" w:right="290"/>
        <w:jc w:val="both"/>
      </w:pPr>
      <w:r>
        <w:rPr/>
        <w:br w:type="column"/>
      </w:r>
      <w:r>
        <w:rPr/>
        <w:t>dition of these patients, exploratory laparoscopy is re- commended, with short hospitalization, accurate diag- nosis and appropriate further management of the di- sease in a good general health of the patient.</w:t>
      </w:r>
    </w:p>
    <w:p>
      <w:pPr>
        <w:pStyle w:val="BodyText"/>
      </w:pPr>
    </w:p>
    <w:p>
      <w:pPr>
        <w:pStyle w:val="BodyText"/>
        <w:ind w:left="238" w:right="291"/>
        <w:jc w:val="both"/>
      </w:pPr>
      <w:r>
        <w:rPr>
          <w:b/>
        </w:rPr>
        <w:t>Keywords: </w:t>
      </w:r>
      <w:r>
        <w:rPr/>
        <w:t>explorative laparoscopy, breast cancer, peritoneal carcinomatosis, metastases</w:t>
      </w:r>
    </w:p>
    <w:p>
      <w:pPr>
        <w:spacing w:after="0"/>
        <w:jc w:val="both"/>
        <w:sectPr>
          <w:type w:val="continuous"/>
          <w:pgSz w:w="11910" w:h="16840"/>
          <w:pgMar w:header="0" w:footer="0" w:top="740" w:bottom="0" w:left="900" w:right="840"/>
          <w:cols w:num="2" w:equalWidth="0">
            <w:col w:w="4915" w:space="83"/>
            <w:col w:w="5172"/>
          </w:cols>
        </w:sectPr>
      </w:pPr>
    </w:p>
    <w:p>
      <w:pPr>
        <w:pStyle w:val="BodyText"/>
        <w:tabs>
          <w:tab w:pos="5235" w:val="left" w:leader="none"/>
          <w:tab w:pos="9800" w:val="left" w:leader="none"/>
        </w:tabs>
        <w:ind w:left="238" w:right="365"/>
      </w:pPr>
      <w:r>
        <w:rPr>
          <w:b/>
        </w:rPr>
        <w:t>Case report. </w:t>
      </w:r>
      <w:r>
        <w:rPr/>
        <w:t>A 55-year-old patient with a clinical pic-</w:t>
        <w:tab/>
      </w:r>
      <w:r>
        <w:rPr>
          <w:u w:val="single"/>
        </w:rPr>
        <w:tab/>
      </w:r>
      <w:r>
        <w:rPr/>
        <w:t> ture</w:t>
      </w:r>
      <w:r>
        <w:rPr>
          <w:spacing w:val="40"/>
        </w:rPr>
        <w:t> </w:t>
      </w:r>
      <w:r>
        <w:rPr/>
        <w:t>of</w:t>
      </w:r>
      <w:r>
        <w:rPr>
          <w:spacing w:val="40"/>
        </w:rPr>
        <w:t> </w:t>
      </w:r>
      <w:r>
        <w:rPr/>
        <w:t>heaviness</w:t>
      </w:r>
      <w:r>
        <w:rPr>
          <w:spacing w:val="40"/>
        </w:rPr>
        <w:t> </w:t>
      </w:r>
      <w:r>
        <w:rPr/>
        <w:t>and</w:t>
      </w:r>
      <w:r>
        <w:rPr>
          <w:spacing w:val="40"/>
        </w:rPr>
        <w:t> </w:t>
      </w:r>
      <w:r>
        <w:rPr/>
        <w:t>pain</w:t>
      </w:r>
      <w:r>
        <w:rPr>
          <w:spacing w:val="40"/>
        </w:rPr>
        <w:t> </w:t>
      </w:r>
      <w:r>
        <w:rPr/>
        <w:t>in</w:t>
      </w:r>
      <w:r>
        <w:rPr>
          <w:spacing w:val="40"/>
        </w:rPr>
        <w:t> </w:t>
      </w:r>
      <w:r>
        <w:rPr/>
        <w:t>the</w:t>
      </w:r>
      <w:r>
        <w:rPr>
          <w:spacing w:val="40"/>
        </w:rPr>
        <w:t> </w:t>
      </w:r>
      <w:r>
        <w:rPr/>
        <w:t>abdomen,</w:t>
      </w:r>
      <w:r>
        <w:rPr>
          <w:spacing w:val="40"/>
        </w:rPr>
        <w:t> </w:t>
      </w:r>
      <w:r>
        <w:rPr/>
        <w:t>with</w:t>
      </w:r>
      <w:r>
        <w:rPr>
          <w:spacing w:val="40"/>
        </w:rPr>
        <w:t> </w:t>
      </w:r>
      <w:r>
        <w:rPr/>
        <w:t>pre-</w:t>
      </w:r>
    </w:p>
    <w:p>
      <w:pPr>
        <w:spacing w:after="0"/>
        <w:sectPr>
          <w:type w:val="continuous"/>
          <w:pgSz w:w="11910" w:h="16840"/>
          <w:pgMar w:header="0" w:footer="0" w:top="740" w:bottom="0" w:left="900" w:right="840"/>
        </w:sectPr>
      </w:pPr>
    </w:p>
    <w:p>
      <w:pPr>
        <w:pStyle w:val="BodyText"/>
        <w:ind w:left="238" w:right="38"/>
        <w:jc w:val="both"/>
      </w:pPr>
      <w:r>
        <w:rPr/>
        <w:pict>
          <v:rect style="position:absolute;margin-left:497.899994pt;margin-top:41.649994pt;width:81pt;height:31.8pt;mso-position-horizontal-relative:page;mso-position-vertical-relative:page;z-index:-17633280" id="docshape558" filled="true" fillcolor="#ffffff" stroked="false">
            <v:fill type="solid"/>
            <w10:wrap type="none"/>
          </v:rect>
        </w:pict>
      </w:r>
      <w:r>
        <w:rPr/>
        <w:t>sence of ascites, and an orderly finding on a classic gynecological</w:t>
      </w:r>
      <w:r>
        <w:rPr>
          <w:spacing w:val="-2"/>
        </w:rPr>
        <w:t> </w:t>
      </w:r>
      <w:r>
        <w:rPr/>
        <w:t>and</w:t>
      </w:r>
      <w:r>
        <w:rPr>
          <w:spacing w:val="-1"/>
        </w:rPr>
        <w:t> </w:t>
      </w:r>
      <w:r>
        <w:rPr/>
        <w:t>ultrasound</w:t>
      </w:r>
      <w:r>
        <w:rPr>
          <w:spacing w:val="-1"/>
        </w:rPr>
        <w:t> </w:t>
      </w:r>
      <w:r>
        <w:rPr/>
        <w:t>examination,</w:t>
      </w:r>
      <w:r>
        <w:rPr>
          <w:spacing w:val="-1"/>
        </w:rPr>
        <w:t> </w:t>
      </w:r>
      <w:r>
        <w:rPr/>
        <w:t>with</w:t>
      </w:r>
      <w:r>
        <w:rPr>
          <w:spacing w:val="-1"/>
        </w:rPr>
        <w:t> </w:t>
      </w:r>
      <w:r>
        <w:rPr/>
        <w:t>eleva- ted tumor markers was admitted to our hospital. Addi- tional investigations (upper and lower digestive endo- scopy, as well as CT of abdominal pelvis) ruled out </w:t>
      </w:r>
      <w:r>
        <w:rPr>
          <w:spacing w:val="-2"/>
        </w:rPr>
        <w:t>pathological</w:t>
      </w:r>
      <w:r>
        <w:rPr>
          <w:spacing w:val="-12"/>
        </w:rPr>
        <w:t> </w:t>
      </w:r>
      <w:r>
        <w:rPr>
          <w:spacing w:val="-2"/>
        </w:rPr>
        <w:t>changes</w:t>
      </w:r>
      <w:r>
        <w:rPr>
          <w:spacing w:val="-11"/>
        </w:rPr>
        <w:t> </w:t>
      </w:r>
      <w:r>
        <w:rPr>
          <w:spacing w:val="-2"/>
        </w:rPr>
        <w:t>in</w:t>
      </w:r>
      <w:r>
        <w:rPr>
          <w:spacing w:val="-11"/>
        </w:rPr>
        <w:t> </w:t>
      </w:r>
      <w:r>
        <w:rPr>
          <w:spacing w:val="-2"/>
        </w:rPr>
        <w:t>the</w:t>
      </w:r>
      <w:r>
        <w:rPr>
          <w:spacing w:val="-11"/>
        </w:rPr>
        <w:t> </w:t>
      </w:r>
      <w:r>
        <w:rPr>
          <w:spacing w:val="-2"/>
        </w:rPr>
        <w:t>digestive</w:t>
      </w:r>
      <w:r>
        <w:rPr>
          <w:spacing w:val="-11"/>
        </w:rPr>
        <w:t> </w:t>
      </w:r>
      <w:r>
        <w:rPr>
          <w:spacing w:val="-2"/>
        </w:rPr>
        <w:t>and</w:t>
      </w:r>
      <w:r>
        <w:rPr>
          <w:spacing w:val="-11"/>
        </w:rPr>
        <w:t> </w:t>
      </w:r>
      <w:r>
        <w:rPr>
          <w:spacing w:val="-2"/>
        </w:rPr>
        <w:t>urinary</w:t>
      </w:r>
      <w:r>
        <w:rPr>
          <w:spacing w:val="-11"/>
        </w:rPr>
        <w:t> </w:t>
      </w:r>
      <w:r>
        <w:rPr>
          <w:spacing w:val="-2"/>
        </w:rPr>
        <w:t>organs. </w:t>
      </w:r>
      <w:r>
        <w:rPr/>
        <w:t>After proper preoperative preparation, the patient un- derwent laparoscopic exploration. Diffuse presence of </w:t>
      </w:r>
      <w:r>
        <w:rPr>
          <w:color w:val="000000"/>
          <w:shd w:fill="F8F8F9" w:color="auto" w:val="clear"/>
        </w:rPr>
        <w:t>whitish</w:t>
      </w:r>
      <w:r>
        <w:rPr>
          <w:color w:val="000000"/>
        </w:rPr>
        <w:t> changes wassuspected as metastatic deposits and registered intraoperatively. A biopsy of the omen- tummajus was performed and a sample of ascites fluid was taken for cytodiagnosis, with a finding for carci- noma lobulare mammae metastaticum omenti et peri- tonei and group IV classification. Additional examina- </w:t>
      </w:r>
      <w:r>
        <w:rPr>
          <w:color w:val="000000"/>
          <w:spacing w:val="-2"/>
        </w:rPr>
        <w:t>tions (mammography</w:t>
      </w:r>
      <w:r>
        <w:rPr>
          <w:color w:val="000000"/>
          <w:spacing w:val="-8"/>
        </w:rPr>
        <w:t> </w:t>
      </w:r>
      <w:r>
        <w:rPr>
          <w:color w:val="000000"/>
          <w:spacing w:val="-2"/>
        </w:rPr>
        <w:t>and</w:t>
      </w:r>
      <w:r>
        <w:rPr>
          <w:color w:val="000000"/>
          <w:spacing w:val="-4"/>
        </w:rPr>
        <w:t> </w:t>
      </w:r>
      <w:r>
        <w:rPr>
          <w:color w:val="000000"/>
          <w:spacing w:val="-2"/>
        </w:rPr>
        <w:t>thin-needle</w:t>
      </w:r>
      <w:r>
        <w:rPr>
          <w:color w:val="000000"/>
          <w:spacing w:val="-6"/>
        </w:rPr>
        <w:t> </w:t>
      </w:r>
      <w:r>
        <w:rPr>
          <w:color w:val="000000"/>
          <w:spacing w:val="-2"/>
        </w:rPr>
        <w:t>aspiration</w:t>
      </w:r>
      <w:r>
        <w:rPr>
          <w:color w:val="000000"/>
          <w:spacing w:val="-5"/>
        </w:rPr>
        <w:t> </w:t>
      </w:r>
      <w:r>
        <w:rPr>
          <w:color w:val="000000"/>
          <w:spacing w:val="-2"/>
        </w:rPr>
        <w:t>biopsy) </w:t>
      </w:r>
      <w:r>
        <w:rPr>
          <w:color w:val="000000"/>
          <w:spacing w:val="-4"/>
        </w:rPr>
        <w:t>confirmed</w:t>
      </w:r>
      <w:r>
        <w:rPr>
          <w:color w:val="000000"/>
          <w:spacing w:val="-8"/>
        </w:rPr>
        <w:t> </w:t>
      </w:r>
      <w:r>
        <w:rPr>
          <w:color w:val="000000"/>
          <w:spacing w:val="-4"/>
        </w:rPr>
        <w:t>the</w:t>
      </w:r>
      <w:r>
        <w:rPr>
          <w:color w:val="000000"/>
          <w:spacing w:val="-8"/>
        </w:rPr>
        <w:t> </w:t>
      </w:r>
      <w:r>
        <w:rPr>
          <w:color w:val="000000"/>
          <w:spacing w:val="-4"/>
        </w:rPr>
        <w:t>diagnosis-Ca</w:t>
      </w:r>
      <w:r>
        <w:rPr>
          <w:color w:val="000000"/>
          <w:spacing w:val="-6"/>
        </w:rPr>
        <w:t> </w:t>
      </w:r>
      <w:r>
        <w:rPr>
          <w:color w:val="000000"/>
          <w:spacing w:val="-4"/>
        </w:rPr>
        <w:t>lobularemammae</w:t>
      </w:r>
      <w:r>
        <w:rPr>
          <w:color w:val="000000"/>
          <w:spacing w:val="-6"/>
        </w:rPr>
        <w:t> </w:t>
      </w:r>
      <w:r>
        <w:rPr>
          <w:color w:val="000000"/>
          <w:spacing w:val="-4"/>
        </w:rPr>
        <w:t>G1(7</w:t>
      </w:r>
      <w:r>
        <w:rPr>
          <w:color w:val="000000"/>
          <w:spacing w:val="-5"/>
        </w:rPr>
        <w:t> </w:t>
      </w:r>
      <w:r>
        <w:rPr>
          <w:color w:val="000000"/>
          <w:spacing w:val="-4"/>
        </w:rPr>
        <w:t>mm). </w:t>
      </w:r>
      <w:r>
        <w:rPr>
          <w:b/>
          <w:color w:val="000000"/>
        </w:rPr>
        <w:t>Discussion. </w:t>
      </w:r>
      <w:r>
        <w:rPr>
          <w:color w:val="000000"/>
        </w:rPr>
        <w:t>Metastatic spread of breast cancer to the gastrointestinal</w:t>
      </w:r>
      <w:r>
        <w:rPr>
          <w:color w:val="000000"/>
          <w:spacing w:val="-1"/>
        </w:rPr>
        <w:t> </w:t>
      </w:r>
      <w:r>
        <w:rPr>
          <w:color w:val="000000"/>
        </w:rPr>
        <w:t>tract, peritoneum-retroperitoneum, and gynecological organs has a higher prevalence in intra- lobular carcinoma than in ductal breast cancer. Occu- rrence of peritoneal metastases is a life-threatening condition,</w:t>
      </w:r>
      <w:r>
        <w:rPr>
          <w:color w:val="000000"/>
          <w:spacing w:val="-1"/>
        </w:rPr>
        <w:t> </w:t>
      </w:r>
      <w:r>
        <w:rPr>
          <w:color w:val="000000"/>
        </w:rPr>
        <w:t>with</w:t>
      </w:r>
      <w:r>
        <w:rPr>
          <w:color w:val="000000"/>
          <w:spacing w:val="-1"/>
        </w:rPr>
        <w:t> </w:t>
      </w:r>
      <w:r>
        <w:rPr>
          <w:color w:val="000000"/>
        </w:rPr>
        <w:t>a very</w:t>
      </w:r>
      <w:r>
        <w:rPr>
          <w:color w:val="000000"/>
          <w:spacing w:val="-3"/>
        </w:rPr>
        <w:t> </w:t>
      </w:r>
      <w:r>
        <w:rPr>
          <w:color w:val="000000"/>
        </w:rPr>
        <w:t>high mortality</w:t>
      </w:r>
      <w:r>
        <w:rPr>
          <w:color w:val="000000"/>
          <w:spacing w:val="-3"/>
        </w:rPr>
        <w:t> </w:t>
      </w:r>
      <w:r>
        <w:rPr>
          <w:color w:val="000000"/>
        </w:rPr>
        <w:t>rate, although</w:t>
      </w:r>
      <w:r>
        <w:rPr>
          <w:color w:val="000000"/>
          <w:spacing w:val="-1"/>
        </w:rPr>
        <w:t> </w:t>
      </w:r>
      <w:r>
        <w:rPr>
          <w:color w:val="000000"/>
        </w:rPr>
        <w:t>the prevalence of peritoneal metastases from</w:t>
      </w:r>
      <w:r>
        <w:rPr>
          <w:color w:val="000000"/>
          <w:spacing w:val="-1"/>
        </w:rPr>
        <w:t> </w:t>
      </w:r>
      <w:r>
        <w:rPr>
          <w:color w:val="000000"/>
        </w:rPr>
        <w:t>breast cancer is small (0.7%), and occurs during disease progression or</w:t>
      </w:r>
      <w:r>
        <w:rPr>
          <w:color w:val="000000"/>
          <w:spacing w:val="-3"/>
        </w:rPr>
        <w:t> </w:t>
      </w:r>
      <w:r>
        <w:rPr>
          <w:color w:val="000000"/>
        </w:rPr>
        <w:t>it</w:t>
      </w:r>
      <w:r>
        <w:rPr>
          <w:color w:val="000000"/>
          <w:spacing w:val="-3"/>
        </w:rPr>
        <w:t> </w:t>
      </w:r>
      <w:r>
        <w:rPr>
          <w:color w:val="000000"/>
        </w:rPr>
        <w:t>is</w:t>
      </w:r>
      <w:r>
        <w:rPr>
          <w:color w:val="000000"/>
          <w:spacing w:val="-2"/>
        </w:rPr>
        <w:t> </w:t>
      </w:r>
      <w:r>
        <w:rPr>
          <w:color w:val="000000"/>
        </w:rPr>
        <w:t>detected</w:t>
      </w:r>
      <w:r>
        <w:rPr>
          <w:color w:val="000000"/>
          <w:spacing w:val="-2"/>
        </w:rPr>
        <w:t> </w:t>
      </w:r>
      <w:r>
        <w:rPr>
          <w:color w:val="000000"/>
        </w:rPr>
        <w:t>as</w:t>
      </w:r>
      <w:r>
        <w:rPr>
          <w:color w:val="000000"/>
          <w:spacing w:val="-3"/>
        </w:rPr>
        <w:t> </w:t>
      </w:r>
      <w:r>
        <w:rPr>
          <w:color w:val="000000"/>
        </w:rPr>
        <w:t>a</w:t>
      </w:r>
      <w:r>
        <w:rPr>
          <w:color w:val="000000"/>
          <w:spacing w:val="-2"/>
        </w:rPr>
        <w:t> </w:t>
      </w:r>
      <w:r>
        <w:rPr>
          <w:color w:val="000000"/>
        </w:rPr>
        <w:t>consequence.</w:t>
      </w:r>
      <w:r>
        <w:rPr>
          <w:color w:val="000000"/>
          <w:spacing w:val="-2"/>
        </w:rPr>
        <w:t> </w:t>
      </w:r>
      <w:r>
        <w:rPr>
          <w:color w:val="000000"/>
        </w:rPr>
        <w:t>The</w:t>
      </w:r>
      <w:r>
        <w:rPr>
          <w:color w:val="000000"/>
          <w:spacing w:val="-2"/>
        </w:rPr>
        <w:t> </w:t>
      </w:r>
      <w:r>
        <w:rPr>
          <w:color w:val="000000"/>
        </w:rPr>
        <w:t>aim</w:t>
      </w:r>
      <w:r>
        <w:rPr>
          <w:color w:val="000000"/>
          <w:spacing w:val="-6"/>
        </w:rPr>
        <w:t> </w:t>
      </w:r>
      <w:r>
        <w:rPr>
          <w:color w:val="000000"/>
        </w:rPr>
        <w:t>of</w:t>
      </w:r>
      <w:r>
        <w:rPr>
          <w:color w:val="000000"/>
          <w:spacing w:val="-3"/>
        </w:rPr>
        <w:t> </w:t>
      </w:r>
      <w:r>
        <w:rPr>
          <w:color w:val="000000"/>
        </w:rPr>
        <w:t>the</w:t>
      </w:r>
      <w:r>
        <w:rPr>
          <w:color w:val="000000"/>
          <w:spacing w:val="-2"/>
        </w:rPr>
        <w:t> </w:t>
      </w:r>
      <w:r>
        <w:rPr>
          <w:color w:val="000000"/>
        </w:rPr>
        <w:t>study is to indicate the advantage of exploratory</w:t>
      </w:r>
      <w:r>
        <w:rPr>
          <w:color w:val="000000"/>
          <w:spacing w:val="-3"/>
        </w:rPr>
        <w:t> </w:t>
      </w:r>
      <w:r>
        <w:rPr>
          <w:color w:val="000000"/>
        </w:rPr>
        <w:t>laparoscopy over laparotomy in obtaining a definitive diagnosis.</w:t>
      </w:r>
    </w:p>
    <w:p>
      <w:pPr>
        <w:pStyle w:val="BodyText"/>
        <w:spacing w:before="1"/>
        <w:ind w:left="238" w:right="39"/>
        <w:jc w:val="both"/>
      </w:pPr>
      <w:r>
        <w:rPr>
          <w:b/>
          <w:spacing w:val="-2"/>
        </w:rPr>
        <w:t>Conclusion.</w:t>
      </w:r>
      <w:r>
        <w:rPr>
          <w:b/>
          <w:spacing w:val="-2"/>
        </w:rPr>
        <w:t> </w:t>
      </w:r>
      <w:r>
        <w:rPr>
          <w:spacing w:val="-2"/>
        </w:rPr>
        <w:t>Peritoneal</w:t>
      </w:r>
      <w:r>
        <w:rPr>
          <w:spacing w:val="-2"/>
        </w:rPr>
        <w:t> carcinomatosis originating</w:t>
      </w:r>
      <w:r>
        <w:rPr>
          <w:spacing w:val="-2"/>
        </w:rPr>
        <w:t> from </w:t>
      </w:r>
      <w:r>
        <w:rPr/>
        <w:t>breast cancer is a rare condition that develops late in the</w:t>
      </w:r>
      <w:r>
        <w:rPr>
          <w:spacing w:val="-11"/>
        </w:rPr>
        <w:t> </w:t>
      </w:r>
      <w:r>
        <w:rPr/>
        <w:t>evolution</w:t>
      </w:r>
      <w:r>
        <w:rPr>
          <w:spacing w:val="-11"/>
        </w:rPr>
        <w:t> </w:t>
      </w:r>
      <w:r>
        <w:rPr/>
        <w:t>of</w:t>
      </w:r>
      <w:r>
        <w:rPr>
          <w:spacing w:val="-9"/>
        </w:rPr>
        <w:t> </w:t>
      </w:r>
      <w:r>
        <w:rPr/>
        <w:t>the</w:t>
      </w:r>
      <w:r>
        <w:rPr>
          <w:spacing w:val="-11"/>
        </w:rPr>
        <w:t> </w:t>
      </w:r>
      <w:r>
        <w:rPr/>
        <w:t>disease.</w:t>
      </w:r>
      <w:r>
        <w:rPr>
          <w:spacing w:val="-11"/>
        </w:rPr>
        <w:t> </w:t>
      </w:r>
      <w:r>
        <w:rPr/>
        <w:t>To</w:t>
      </w:r>
      <w:r>
        <w:rPr>
          <w:spacing w:val="-11"/>
        </w:rPr>
        <w:t> </w:t>
      </w:r>
      <w:r>
        <w:rPr/>
        <w:t>improve</w:t>
      </w:r>
      <w:r>
        <w:rPr>
          <w:spacing w:val="-9"/>
        </w:rPr>
        <w:t> </w:t>
      </w:r>
      <w:r>
        <w:rPr/>
        <w:t>the</w:t>
      </w:r>
      <w:r>
        <w:rPr>
          <w:spacing w:val="-9"/>
        </w:rPr>
        <w:t> </w:t>
      </w:r>
      <w:r>
        <w:rPr/>
        <w:t>health</w:t>
      </w:r>
      <w:r>
        <w:rPr>
          <w:spacing w:val="-8"/>
        </w:rPr>
        <w:t> </w:t>
      </w:r>
      <w:r>
        <w:rPr/>
        <w:t>con-</w:t>
      </w:r>
    </w:p>
    <w:p>
      <w:pPr>
        <w:pStyle w:val="BodyText"/>
        <w:rPr>
          <w:sz w:val="20"/>
        </w:rPr>
      </w:pPr>
    </w:p>
    <w:p>
      <w:pPr>
        <w:pStyle w:val="BodyText"/>
        <w:spacing w:before="9"/>
        <w:rPr>
          <w:sz w:val="14"/>
        </w:rPr>
      </w:pPr>
      <w:r>
        <w:rPr/>
        <w:pict>
          <v:shape style="position:absolute;margin-left:56.903999pt;margin-top:9.746058pt;width:96.05pt;height:.1pt;mso-position-horizontal-relative:page;mso-position-vertical-relative:paragraph;z-index:-15707648;mso-wrap-distance-left:0;mso-wrap-distance-right:0" id="docshape559" coordorigin="1138,195" coordsize="1921,0" path="m1138,195l3059,195e" filled="false" stroked="true" strokeweight=".32964pt" strokecolor="#000000">
            <v:path arrowok="t"/>
            <v:stroke dashstyle="solid"/>
            <w10:wrap type="topAndBottom"/>
          </v:shape>
        </w:pict>
      </w:r>
    </w:p>
    <w:p>
      <w:pPr>
        <w:spacing w:before="0"/>
        <w:ind w:left="238" w:right="42" w:firstLine="0"/>
        <w:jc w:val="both"/>
        <w:rPr>
          <w:sz w:val="16"/>
        </w:rPr>
      </w:pPr>
      <w:r>
        <w:rPr>
          <w:i/>
          <w:sz w:val="16"/>
        </w:rPr>
        <w:t>Correspondence</w:t>
      </w:r>
      <w:r>
        <w:rPr>
          <w:i/>
          <w:spacing w:val="-1"/>
          <w:sz w:val="16"/>
        </w:rPr>
        <w:t> </w:t>
      </w:r>
      <w:r>
        <w:rPr>
          <w:i/>
          <w:sz w:val="16"/>
        </w:rPr>
        <w:t>to:</w:t>
      </w:r>
      <w:r>
        <w:rPr>
          <w:i/>
          <w:spacing w:val="80"/>
          <w:sz w:val="16"/>
        </w:rPr>
        <w:t> </w:t>
      </w:r>
      <w:r>
        <w:rPr>
          <w:sz w:val="16"/>
        </w:rPr>
        <w:t>Violeta Nikolov, University</w:t>
      </w:r>
      <w:r>
        <w:rPr>
          <w:spacing w:val="-3"/>
          <w:sz w:val="16"/>
        </w:rPr>
        <w:t> </w:t>
      </w:r>
      <w:r>
        <w:rPr>
          <w:sz w:val="16"/>
        </w:rPr>
        <w:t>clinic</w:t>
      </w:r>
      <w:r>
        <w:rPr>
          <w:spacing w:val="-1"/>
          <w:sz w:val="16"/>
        </w:rPr>
        <w:t> </w:t>
      </w:r>
      <w:r>
        <w:rPr>
          <w:sz w:val="16"/>
        </w:rPr>
        <w:t>of Ginekology</w:t>
      </w:r>
      <w:r>
        <w:rPr>
          <w:spacing w:val="40"/>
          <w:sz w:val="16"/>
        </w:rPr>
        <w:t> </w:t>
      </w:r>
      <w:r>
        <w:rPr>
          <w:spacing w:val="-8"/>
          <w:sz w:val="16"/>
        </w:rPr>
        <w:t>and Obstetrics, 1000 Skopje, R. N. Macedonia; E-mail: </w:t>
      </w:r>
      <w:hyperlink r:id="rId506">
        <w:r>
          <w:rPr>
            <w:spacing w:val="-8"/>
            <w:sz w:val="16"/>
          </w:rPr>
          <w:t>violeta13dr@yahoo.com</w:t>
        </w:r>
      </w:hyperlink>
    </w:p>
    <w:p>
      <w:pPr>
        <w:pStyle w:val="Heading4"/>
        <w:spacing w:before="3"/>
      </w:pPr>
      <w:r>
        <w:rPr>
          <w:b w:val="0"/>
        </w:rPr>
        <w:br w:type="column"/>
      </w:r>
      <w:r>
        <w:rPr>
          <w:spacing w:val="-2"/>
        </w:rPr>
        <w:t>Абстракт</w:t>
      </w:r>
    </w:p>
    <w:p>
      <w:pPr>
        <w:pStyle w:val="BodyText"/>
        <w:spacing w:before="9"/>
        <w:rPr>
          <w:b/>
          <w:sz w:val="20"/>
        </w:rPr>
      </w:pPr>
    </w:p>
    <w:p>
      <w:pPr>
        <w:pStyle w:val="BodyText"/>
        <w:ind w:left="238" w:right="290"/>
        <w:jc w:val="both"/>
      </w:pPr>
      <w:r>
        <w:rPr>
          <w:b/>
        </w:rPr>
        <w:t>Вовед. </w:t>
      </w:r>
      <w:r>
        <w:rPr/>
        <w:t>Терминот „Перитонеална карциноматоза“, главно се однесува на примарен или секундарен малигнитет на перитонеумот, но се користи и за дескрипција на метастатските промени на перито- неалната површина од канцер клетки со различно </w:t>
      </w:r>
      <w:r>
        <w:rPr>
          <w:spacing w:val="-2"/>
        </w:rPr>
        <w:t>потекло.</w:t>
      </w:r>
    </w:p>
    <w:p>
      <w:pPr>
        <w:pStyle w:val="BodyText"/>
        <w:ind w:left="238" w:right="287"/>
        <w:jc w:val="both"/>
      </w:pPr>
      <w:r>
        <w:rPr>
          <w:b/>
        </w:rPr>
        <w:t>Приказ на случај. </w:t>
      </w:r>
      <w:r>
        <w:rPr/>
        <w:t>Пациентка на 55 год. со кли- ничка слика</w:t>
      </w:r>
      <w:r>
        <w:rPr>
          <w:spacing w:val="-5"/>
        </w:rPr>
        <w:t> </w:t>
      </w:r>
      <w:r>
        <w:rPr/>
        <w:t>на</w:t>
      </w:r>
      <w:r>
        <w:rPr>
          <w:spacing w:val="-5"/>
        </w:rPr>
        <w:t> </w:t>
      </w:r>
      <w:r>
        <w:rPr/>
        <w:t>тежина</w:t>
      </w:r>
      <w:r>
        <w:rPr>
          <w:spacing w:val="-5"/>
        </w:rPr>
        <w:t> </w:t>
      </w:r>
      <w:r>
        <w:rPr/>
        <w:t>и</w:t>
      </w:r>
      <w:r>
        <w:rPr>
          <w:spacing w:val="-5"/>
        </w:rPr>
        <w:t> </w:t>
      </w:r>
      <w:r>
        <w:rPr/>
        <w:t>болка</w:t>
      </w:r>
      <w:r>
        <w:rPr>
          <w:spacing w:val="-5"/>
        </w:rPr>
        <w:t> </w:t>
      </w:r>
      <w:r>
        <w:rPr/>
        <w:t>во</w:t>
      </w:r>
      <w:r>
        <w:rPr>
          <w:spacing w:val="-5"/>
        </w:rPr>
        <w:t> </w:t>
      </w:r>
      <w:r>
        <w:rPr/>
        <w:t>абдоменот</w:t>
      </w:r>
      <w:r>
        <w:rPr>
          <w:spacing w:val="-6"/>
        </w:rPr>
        <w:t> </w:t>
      </w:r>
      <w:r>
        <w:rPr/>
        <w:t>и</w:t>
      </w:r>
      <w:r>
        <w:rPr>
          <w:spacing w:val="-5"/>
        </w:rPr>
        <w:t> </w:t>
      </w:r>
      <w:r>
        <w:rPr/>
        <w:t>при- суство на асцит, со уреден наод на класичен гине- колошки и ултразвучен преглед, со покачени ту- морски маркери. Дополнителните инвестигации (горна</w:t>
      </w:r>
      <w:r>
        <w:rPr>
          <w:spacing w:val="-13"/>
        </w:rPr>
        <w:t> </w:t>
      </w:r>
      <w:r>
        <w:rPr/>
        <w:t>и</w:t>
      </w:r>
      <w:r>
        <w:rPr>
          <w:spacing w:val="-13"/>
        </w:rPr>
        <w:t> </w:t>
      </w:r>
      <w:r>
        <w:rPr/>
        <w:t>долна</w:t>
      </w:r>
      <w:r>
        <w:rPr>
          <w:spacing w:val="-13"/>
        </w:rPr>
        <w:t> </w:t>
      </w:r>
      <w:r>
        <w:rPr/>
        <w:t>дигестивна</w:t>
      </w:r>
      <w:r>
        <w:rPr>
          <w:spacing w:val="-13"/>
        </w:rPr>
        <w:t> </w:t>
      </w:r>
      <w:r>
        <w:rPr/>
        <w:t>ендоскопија,</w:t>
      </w:r>
      <w:r>
        <w:rPr>
          <w:spacing w:val="-12"/>
        </w:rPr>
        <w:t> </w:t>
      </w:r>
      <w:r>
        <w:rPr/>
        <w:t>како</w:t>
      </w:r>
      <w:r>
        <w:rPr>
          <w:spacing w:val="-12"/>
        </w:rPr>
        <w:t> </w:t>
      </w:r>
      <w:r>
        <w:rPr/>
        <w:t>и</w:t>
      </w:r>
      <w:r>
        <w:rPr>
          <w:spacing w:val="-13"/>
        </w:rPr>
        <w:t> </w:t>
      </w:r>
      <w:r>
        <w:rPr/>
        <w:t>КТМ на абдомен и мала карлица) исклучија патолошки промени на дигестивните и уринарните органи. По соодветна предоперативна припрема, пациентката беше подложена на лапароскопска експлорација. Интраоперативно е регистрирана дифузна присут- ност на беличасти промени суспектни за метастат- ски депозити. Направена е биопсија на оментум мајус и земен примерок од асцитна течност за ци- тодијагноза, со наод за Carcinoma lobulare mammae metastaticum omenti et peritonei parietalis, а цито- лошкиот наод е од IV класификациона група. До- полнителни</w:t>
      </w:r>
      <w:r>
        <w:rPr>
          <w:spacing w:val="-2"/>
        </w:rPr>
        <w:t> </w:t>
      </w:r>
      <w:r>
        <w:rPr/>
        <w:t>иследувања</w:t>
      </w:r>
      <w:r>
        <w:rPr>
          <w:spacing w:val="-2"/>
        </w:rPr>
        <w:t> </w:t>
      </w:r>
      <w:r>
        <w:rPr/>
        <w:t>(мамографијата</w:t>
      </w:r>
      <w:r>
        <w:rPr>
          <w:spacing w:val="-2"/>
        </w:rPr>
        <w:t> </w:t>
      </w:r>
      <w:r>
        <w:rPr/>
        <w:t>и</w:t>
      </w:r>
      <w:r>
        <w:rPr>
          <w:spacing w:val="-2"/>
        </w:rPr>
        <w:t> </w:t>
      </w:r>
      <w:r>
        <w:rPr/>
        <w:t>тенкоиг- лената аспирациона биопсија) ја потврдија дијаг- нозата-Ca lobulare mammae G1(7mm).</w:t>
      </w:r>
    </w:p>
    <w:p>
      <w:pPr>
        <w:pStyle w:val="BodyText"/>
        <w:spacing w:before="1"/>
        <w:ind w:left="238" w:right="287"/>
        <w:jc w:val="both"/>
      </w:pPr>
      <w:r>
        <w:rPr>
          <w:b/>
        </w:rPr>
        <w:t>Дискусија. </w:t>
      </w:r>
      <w:r>
        <w:rPr/>
        <w:t>Метастатското ширење на карциномот на</w:t>
      </w:r>
      <w:r>
        <w:rPr>
          <w:spacing w:val="-3"/>
        </w:rPr>
        <w:t> </w:t>
      </w:r>
      <w:r>
        <w:rPr/>
        <w:t>дојка</w:t>
      </w:r>
      <w:r>
        <w:rPr>
          <w:spacing w:val="-3"/>
        </w:rPr>
        <w:t> </w:t>
      </w:r>
      <w:r>
        <w:rPr/>
        <w:t>кон</w:t>
      </w:r>
      <w:r>
        <w:rPr>
          <w:spacing w:val="-3"/>
        </w:rPr>
        <w:t> </w:t>
      </w:r>
      <w:r>
        <w:rPr/>
        <w:t>гастроинтестиналниот</w:t>
      </w:r>
      <w:r>
        <w:rPr>
          <w:spacing w:val="-5"/>
        </w:rPr>
        <w:t> </w:t>
      </w:r>
      <w:r>
        <w:rPr/>
        <w:t>систем,</w:t>
      </w:r>
      <w:r>
        <w:rPr>
          <w:spacing w:val="-5"/>
        </w:rPr>
        <w:t> </w:t>
      </w:r>
      <w:r>
        <w:rPr/>
        <w:t>перито- неум-ретроперитонеум, и гинеколошките органи </w:t>
      </w:r>
      <w:r>
        <w:rPr>
          <w:spacing w:val="-2"/>
        </w:rPr>
        <w:t>има</w:t>
      </w:r>
      <w:r>
        <w:rPr>
          <w:spacing w:val="-9"/>
        </w:rPr>
        <w:t> </w:t>
      </w:r>
      <w:r>
        <w:rPr>
          <w:spacing w:val="-2"/>
        </w:rPr>
        <w:t>поголема</w:t>
      </w:r>
      <w:r>
        <w:rPr>
          <w:spacing w:val="-9"/>
        </w:rPr>
        <w:t> </w:t>
      </w:r>
      <w:r>
        <w:rPr>
          <w:spacing w:val="-2"/>
        </w:rPr>
        <w:t>преваленца</w:t>
      </w:r>
      <w:r>
        <w:rPr>
          <w:spacing w:val="-9"/>
        </w:rPr>
        <w:t> </w:t>
      </w:r>
      <w:r>
        <w:rPr>
          <w:spacing w:val="-2"/>
        </w:rPr>
        <w:t>кај</w:t>
      </w:r>
      <w:r>
        <w:rPr>
          <w:spacing w:val="-9"/>
        </w:rPr>
        <w:t> </w:t>
      </w:r>
      <w:r>
        <w:rPr>
          <w:spacing w:val="-2"/>
        </w:rPr>
        <w:t>интралобуларниот</w:t>
      </w:r>
      <w:r>
        <w:rPr>
          <w:spacing w:val="-9"/>
        </w:rPr>
        <w:t> </w:t>
      </w:r>
      <w:r>
        <w:rPr>
          <w:spacing w:val="-2"/>
        </w:rPr>
        <w:t>кар- </w:t>
      </w:r>
      <w:r>
        <w:rPr/>
        <w:t>цином, отколку кај дукталниот карцином на дојка. Појава</w:t>
      </w:r>
      <w:r>
        <w:rPr>
          <w:spacing w:val="-4"/>
        </w:rPr>
        <w:t> </w:t>
      </w:r>
      <w:r>
        <w:rPr/>
        <w:t>на</w:t>
      </w:r>
      <w:r>
        <w:rPr>
          <w:spacing w:val="-3"/>
        </w:rPr>
        <w:t> </w:t>
      </w:r>
      <w:r>
        <w:rPr/>
        <w:t>перитонеални</w:t>
      </w:r>
      <w:r>
        <w:rPr>
          <w:spacing w:val="-3"/>
        </w:rPr>
        <w:t> </w:t>
      </w:r>
      <w:r>
        <w:rPr/>
        <w:t>метастази</w:t>
      </w:r>
      <w:r>
        <w:rPr>
          <w:spacing w:val="-2"/>
        </w:rPr>
        <w:t> </w:t>
      </w:r>
      <w:r>
        <w:rPr/>
        <w:t>претставува</w:t>
      </w:r>
      <w:r>
        <w:rPr>
          <w:spacing w:val="-3"/>
        </w:rPr>
        <w:t> </w:t>
      </w:r>
      <w:r>
        <w:rPr>
          <w:spacing w:val="-5"/>
        </w:rPr>
        <w:t>жи-</w:t>
      </w:r>
    </w:p>
    <w:p>
      <w:pPr>
        <w:spacing w:after="0"/>
        <w:jc w:val="both"/>
        <w:sectPr>
          <w:type w:val="continuous"/>
          <w:pgSz w:w="11910" w:h="16840"/>
          <w:pgMar w:header="0" w:footer="0" w:top="740" w:bottom="0" w:left="900" w:right="840"/>
          <w:cols w:num="2" w:equalWidth="0">
            <w:col w:w="4919" w:space="79"/>
            <w:col w:w="5172"/>
          </w:cols>
        </w:sectPr>
      </w:pPr>
    </w:p>
    <w:p>
      <w:pPr>
        <w:pStyle w:val="BodyText"/>
        <w:spacing w:before="5"/>
        <w:rPr>
          <w:sz w:val="15"/>
        </w:rPr>
      </w:pPr>
    </w:p>
    <w:p>
      <w:pPr>
        <w:spacing w:after="0"/>
        <w:rPr>
          <w:sz w:val="15"/>
        </w:rPr>
        <w:sectPr>
          <w:headerReference w:type="even" r:id="rId507"/>
          <w:headerReference w:type="default" r:id="rId508"/>
          <w:pgSz w:w="11910" w:h="16840"/>
          <w:pgMar w:header="854" w:footer="0" w:top="1300" w:bottom="280" w:left="900" w:right="840"/>
        </w:sectPr>
      </w:pPr>
    </w:p>
    <w:p>
      <w:pPr>
        <w:pStyle w:val="BodyText"/>
        <w:spacing w:before="92"/>
        <w:ind w:left="238" w:right="40"/>
        <w:jc w:val="both"/>
      </w:pPr>
      <w:r>
        <w:rPr/>
        <w:t>вотно-загрозувачка состојба, со многу висок про- цент на морталитет, иако преваленцата на перито- неалните метастази од карцином на дојка е мал (0,7%), а се појавува за време на прогресија на болеста или се открива како негова последица. Целта е да се укаже на предноста на експлоратив- ната лапароскопија пред лапаротомијата, во доби- вање на дефинитивна дијагноза.</w:t>
      </w:r>
    </w:p>
    <w:p>
      <w:pPr>
        <w:pStyle w:val="BodyText"/>
        <w:ind w:left="238" w:right="38"/>
        <w:jc w:val="both"/>
      </w:pPr>
      <w:r>
        <w:rPr>
          <w:b/>
        </w:rPr>
        <w:t>Заклучок. </w:t>
      </w:r>
      <w:r>
        <w:rPr/>
        <w:t>Перитонеалната карциноматоза со по- текло од канцер на дојка е ретка состојба, која се развива доцна во еволуција на болеста. За да се подобри здравствената состојба на овие пациентки се препорачува експлоративната лапароскопија, со кратка</w:t>
      </w:r>
      <w:r>
        <w:rPr>
          <w:spacing w:val="-14"/>
        </w:rPr>
        <w:t> </w:t>
      </w:r>
      <w:r>
        <w:rPr/>
        <w:t>хоспитализација,</w:t>
      </w:r>
      <w:r>
        <w:rPr>
          <w:spacing w:val="-13"/>
        </w:rPr>
        <w:t> </w:t>
      </w:r>
      <w:r>
        <w:rPr/>
        <w:t>прецизна</w:t>
      </w:r>
      <w:r>
        <w:rPr>
          <w:spacing w:val="-13"/>
        </w:rPr>
        <w:t> </w:t>
      </w:r>
      <w:r>
        <w:rPr/>
        <w:t>дијагноза</w:t>
      </w:r>
      <w:r>
        <w:rPr>
          <w:spacing w:val="-13"/>
        </w:rPr>
        <w:t> </w:t>
      </w:r>
      <w:r>
        <w:rPr/>
        <w:t>и</w:t>
      </w:r>
      <w:r>
        <w:rPr>
          <w:spacing w:val="6"/>
        </w:rPr>
        <w:t> </w:t>
      </w:r>
      <w:r>
        <w:rPr/>
        <w:t>соод- ветно понатамошно менаџирање на болеста во добра општа здравствена состојба на пациентката.</w:t>
      </w:r>
    </w:p>
    <w:p>
      <w:pPr>
        <w:pStyle w:val="BodyText"/>
        <w:spacing w:before="11"/>
        <w:rPr>
          <w:sz w:val="20"/>
        </w:rPr>
      </w:pPr>
    </w:p>
    <w:p>
      <w:pPr>
        <w:pStyle w:val="BodyText"/>
        <w:ind w:left="238" w:right="44"/>
        <w:jc w:val="both"/>
      </w:pPr>
      <w:r>
        <w:rPr>
          <w:b/>
          <w:spacing w:val="-2"/>
        </w:rPr>
        <w:t>Клучни</w:t>
      </w:r>
      <w:r>
        <w:rPr>
          <w:b/>
          <w:spacing w:val="-10"/>
        </w:rPr>
        <w:t> </w:t>
      </w:r>
      <w:r>
        <w:rPr>
          <w:b/>
          <w:spacing w:val="-2"/>
        </w:rPr>
        <w:t>зборови:</w:t>
      </w:r>
      <w:r>
        <w:rPr>
          <w:b/>
          <w:spacing w:val="-11"/>
        </w:rPr>
        <w:t> </w:t>
      </w:r>
      <w:r>
        <w:rPr>
          <w:spacing w:val="-2"/>
        </w:rPr>
        <w:t>експлоративна</w:t>
      </w:r>
      <w:r>
        <w:rPr>
          <w:spacing w:val="-11"/>
        </w:rPr>
        <w:t> </w:t>
      </w:r>
      <w:r>
        <w:rPr>
          <w:spacing w:val="-2"/>
        </w:rPr>
        <w:t>лапароскопија,</w:t>
      </w:r>
      <w:r>
        <w:rPr>
          <w:spacing w:val="-11"/>
        </w:rPr>
        <w:t> </w:t>
      </w:r>
      <w:r>
        <w:rPr>
          <w:spacing w:val="-2"/>
        </w:rPr>
        <w:t>рак </w:t>
      </w:r>
      <w:r>
        <w:rPr/>
        <w:t>на</w:t>
      </w:r>
      <w:r>
        <w:rPr>
          <w:spacing w:val="-8"/>
        </w:rPr>
        <w:t> </w:t>
      </w:r>
      <w:r>
        <w:rPr/>
        <w:t>дојка,</w:t>
      </w:r>
      <w:r>
        <w:rPr>
          <w:spacing w:val="-7"/>
        </w:rPr>
        <w:t> </w:t>
      </w:r>
      <w:r>
        <w:rPr/>
        <w:t>перитонеалната</w:t>
      </w:r>
      <w:r>
        <w:rPr>
          <w:spacing w:val="-8"/>
        </w:rPr>
        <w:t> </w:t>
      </w:r>
      <w:r>
        <w:rPr/>
        <w:t>карциноматоза,</w:t>
      </w:r>
      <w:r>
        <w:rPr>
          <w:spacing w:val="-7"/>
        </w:rPr>
        <w:t> </w:t>
      </w:r>
      <w:r>
        <w:rPr>
          <w:spacing w:val="-2"/>
        </w:rPr>
        <w:t>метастази</w:t>
      </w:r>
    </w:p>
    <w:p>
      <w:pPr>
        <w:pStyle w:val="BodyText"/>
        <w:spacing w:before="8"/>
        <w:rPr>
          <w:sz w:val="18"/>
        </w:rPr>
      </w:pPr>
      <w:r>
        <w:rPr/>
        <w:pict>
          <v:shape style="position:absolute;margin-left:56.903999pt;margin-top:11.984921pt;width:225.9pt;height:.1pt;mso-position-horizontal-relative:page;mso-position-vertical-relative:paragraph;z-index:-15706112;mso-wrap-distance-left:0;mso-wrap-distance-right:0" id="docshape566" coordorigin="1138,240" coordsize="4518,0" path="m1138,240l5656,240e" filled="false" stroked="true" strokeweight=".4224pt" strokecolor="#000000">
            <v:path arrowok="t"/>
            <v:stroke dashstyle="solid"/>
            <w10:wrap type="topAndBottom"/>
          </v:shape>
        </w:pict>
      </w:r>
    </w:p>
    <w:p>
      <w:pPr>
        <w:pStyle w:val="BodyText"/>
        <w:spacing w:before="4"/>
      </w:pPr>
    </w:p>
    <w:p>
      <w:pPr>
        <w:pStyle w:val="Heading4"/>
      </w:pPr>
      <w:r>
        <w:rPr>
          <w:spacing w:val="-2"/>
        </w:rPr>
        <w:t>Introduction</w:t>
      </w:r>
    </w:p>
    <w:p>
      <w:pPr>
        <w:pStyle w:val="BodyText"/>
        <w:spacing w:before="6"/>
        <w:rPr>
          <w:b/>
          <w:sz w:val="20"/>
        </w:rPr>
      </w:pPr>
    </w:p>
    <w:p>
      <w:pPr>
        <w:pStyle w:val="BodyText"/>
        <w:ind w:left="238" w:right="38"/>
        <w:jc w:val="both"/>
      </w:pPr>
      <w:r>
        <w:rPr/>
        <w:t>The term peritoneal carcinomatosis generally refers to the metastatic involvement of the peritoneum. The name was first coined in 1931 by Sampson for the thorough description of metastatic involvement of the </w:t>
      </w:r>
      <w:r>
        <w:rPr>
          <w:spacing w:val="-2"/>
        </w:rPr>
        <w:t>peritoneal</w:t>
      </w:r>
      <w:r>
        <w:rPr>
          <w:spacing w:val="-4"/>
        </w:rPr>
        <w:t> </w:t>
      </w:r>
      <w:r>
        <w:rPr>
          <w:spacing w:val="-2"/>
        </w:rPr>
        <w:t>stromal</w:t>
      </w:r>
      <w:r>
        <w:rPr>
          <w:spacing w:val="-4"/>
        </w:rPr>
        <w:t> </w:t>
      </w:r>
      <w:r>
        <w:rPr>
          <w:spacing w:val="-2"/>
        </w:rPr>
        <w:t>surface</w:t>
      </w:r>
      <w:r>
        <w:rPr>
          <w:spacing w:val="-3"/>
        </w:rPr>
        <w:t> </w:t>
      </w:r>
      <w:r>
        <w:rPr>
          <w:spacing w:val="-2"/>
        </w:rPr>
        <w:t>by</w:t>
      </w:r>
      <w:r>
        <w:rPr>
          <w:spacing w:val="-5"/>
        </w:rPr>
        <w:t> </w:t>
      </w:r>
      <w:r>
        <w:rPr>
          <w:spacing w:val="-2"/>
        </w:rPr>
        <w:t>ovarian</w:t>
      </w:r>
      <w:r>
        <w:rPr>
          <w:spacing w:val="-5"/>
        </w:rPr>
        <w:t> </w:t>
      </w:r>
      <w:r>
        <w:rPr>
          <w:spacing w:val="-2"/>
        </w:rPr>
        <w:t>cancer</w:t>
      </w:r>
      <w:r>
        <w:rPr>
          <w:spacing w:val="-4"/>
        </w:rPr>
        <w:t> </w:t>
      </w:r>
      <w:r>
        <w:rPr>
          <w:spacing w:val="-2"/>
        </w:rPr>
        <w:t>cells.</w:t>
      </w:r>
      <w:r>
        <w:rPr>
          <w:spacing w:val="-10"/>
        </w:rPr>
        <w:t> </w:t>
      </w:r>
      <w:r>
        <w:rPr>
          <w:spacing w:val="-2"/>
        </w:rPr>
        <w:t>Since </w:t>
      </w:r>
      <w:r>
        <w:rPr/>
        <w:t>then,</w:t>
      </w:r>
      <w:r>
        <w:rPr>
          <w:spacing w:val="-3"/>
        </w:rPr>
        <w:t> </w:t>
      </w:r>
      <w:r>
        <w:rPr/>
        <w:t>it</w:t>
      </w:r>
      <w:r>
        <w:rPr>
          <w:spacing w:val="-4"/>
        </w:rPr>
        <w:t> </w:t>
      </w:r>
      <w:r>
        <w:rPr/>
        <w:t>refers</w:t>
      </w:r>
      <w:r>
        <w:rPr>
          <w:spacing w:val="-2"/>
        </w:rPr>
        <w:t> </w:t>
      </w:r>
      <w:r>
        <w:rPr/>
        <w:t>to</w:t>
      </w:r>
      <w:r>
        <w:rPr>
          <w:spacing w:val="-3"/>
        </w:rPr>
        <w:t> </w:t>
      </w:r>
      <w:r>
        <w:rPr/>
        <w:t>almost</w:t>
      </w:r>
      <w:r>
        <w:rPr>
          <w:spacing w:val="-4"/>
        </w:rPr>
        <w:t> </w:t>
      </w:r>
      <w:r>
        <w:rPr/>
        <w:t>any</w:t>
      </w:r>
      <w:r>
        <w:rPr>
          <w:spacing w:val="-3"/>
        </w:rPr>
        <w:t> </w:t>
      </w:r>
      <w:r>
        <w:rPr/>
        <w:t>peritoneal</w:t>
      </w:r>
      <w:r>
        <w:rPr>
          <w:spacing w:val="-5"/>
        </w:rPr>
        <w:t> </w:t>
      </w:r>
      <w:r>
        <w:rPr/>
        <w:t>metastatic</w:t>
      </w:r>
      <w:r>
        <w:rPr>
          <w:spacing w:val="-1"/>
        </w:rPr>
        <w:t> </w:t>
      </w:r>
      <w:r>
        <w:rPr/>
        <w:t>depo- sits. Metastatic cancer to the peritoneum is more co- mmon than a primary peritoneal malignancy. It often occurs</w:t>
      </w:r>
      <w:r>
        <w:rPr>
          <w:spacing w:val="-14"/>
        </w:rPr>
        <w:t> </w:t>
      </w:r>
      <w:r>
        <w:rPr/>
        <w:t>with</w:t>
      </w:r>
      <w:r>
        <w:rPr>
          <w:spacing w:val="-13"/>
        </w:rPr>
        <w:t> </w:t>
      </w:r>
      <w:r>
        <w:rPr/>
        <w:t>gastrointestinal</w:t>
      </w:r>
      <w:r>
        <w:rPr>
          <w:spacing w:val="-13"/>
        </w:rPr>
        <w:t> </w:t>
      </w:r>
      <w:r>
        <w:rPr/>
        <w:t>or</w:t>
      </w:r>
      <w:r>
        <w:rPr>
          <w:spacing w:val="-13"/>
        </w:rPr>
        <w:t> </w:t>
      </w:r>
      <w:r>
        <w:rPr/>
        <w:t>gynecological</w:t>
      </w:r>
      <w:r>
        <w:rPr>
          <w:spacing w:val="-13"/>
        </w:rPr>
        <w:t> </w:t>
      </w:r>
      <w:r>
        <w:rPr/>
        <w:t>malignan- cies</w:t>
      </w:r>
      <w:r>
        <w:rPr>
          <w:spacing w:val="-10"/>
        </w:rPr>
        <w:t> </w:t>
      </w:r>
      <w:r>
        <w:rPr/>
        <w:t>of</w:t>
      </w:r>
      <w:r>
        <w:rPr>
          <w:spacing w:val="-8"/>
        </w:rPr>
        <w:t> </w:t>
      </w:r>
      <w:r>
        <w:rPr/>
        <w:t>advanced</w:t>
      </w:r>
      <w:r>
        <w:rPr>
          <w:spacing w:val="-7"/>
        </w:rPr>
        <w:t> </w:t>
      </w:r>
      <w:r>
        <w:rPr/>
        <w:t>stages</w:t>
      </w:r>
      <w:r>
        <w:rPr>
          <w:spacing w:val="-8"/>
        </w:rPr>
        <w:t> </w:t>
      </w:r>
      <w:r>
        <w:rPr/>
        <w:t>with</w:t>
      </w:r>
      <w:r>
        <w:rPr>
          <w:spacing w:val="-5"/>
        </w:rPr>
        <w:t> </w:t>
      </w:r>
      <w:r>
        <w:rPr/>
        <w:t>locoregional</w:t>
      </w:r>
      <w:r>
        <w:rPr>
          <w:spacing w:val="-8"/>
        </w:rPr>
        <w:t> </w:t>
      </w:r>
      <w:r>
        <w:rPr/>
        <w:t>involvement. Peritoneal involvement is most common with cancers of the gastrointestinal, reproductive, and genitourinary tracts. Ovarian, colon, and gastric cancers are by far</w:t>
      </w:r>
      <w:r>
        <w:rPr>
          <w:spacing w:val="40"/>
        </w:rPr>
        <w:t> </w:t>
      </w:r>
      <w:r>
        <w:rPr/>
        <w:t>the most common conditions presenting in advanced stages with peritoneal metastasis. Cancers involving other organs such as the pancreas, appendix, small in- testine, endometrium, and prostate can also cause pe- ritoneal metastasis, but such occur less frequently. While peritoneal carcinomatosis can arise from extra- abdominal primary malignancies, such cases are unco- mmon, and they account for approximately 10% of diagnosed cases of peritoneal metastasis.</w:t>
      </w:r>
      <w:r>
        <w:rPr>
          <w:spacing w:val="-3"/>
        </w:rPr>
        <w:t> </w:t>
      </w:r>
      <w:r>
        <w:rPr/>
        <w:t>Examples include</w:t>
      </w:r>
      <w:r>
        <w:rPr>
          <w:spacing w:val="-12"/>
        </w:rPr>
        <w:t> </w:t>
      </w:r>
      <w:r>
        <w:rPr/>
        <w:t>breast</w:t>
      </w:r>
      <w:r>
        <w:rPr>
          <w:spacing w:val="-13"/>
        </w:rPr>
        <w:t> </w:t>
      </w:r>
      <w:r>
        <w:rPr/>
        <w:t>cancer,</w:t>
      </w:r>
      <w:r>
        <w:rPr>
          <w:spacing w:val="-10"/>
        </w:rPr>
        <w:t> </w:t>
      </w:r>
      <w:r>
        <w:rPr/>
        <w:t>lung</w:t>
      </w:r>
      <w:r>
        <w:rPr>
          <w:spacing w:val="-12"/>
        </w:rPr>
        <w:t> </w:t>
      </w:r>
      <w:r>
        <w:rPr/>
        <w:t>cancer,</w:t>
      </w:r>
      <w:r>
        <w:rPr>
          <w:spacing w:val="-12"/>
        </w:rPr>
        <w:t> </w:t>
      </w:r>
      <w:r>
        <w:rPr/>
        <w:t>and</w:t>
      </w:r>
      <w:r>
        <w:rPr>
          <w:spacing w:val="-10"/>
        </w:rPr>
        <w:t> </w:t>
      </w:r>
      <w:r>
        <w:rPr/>
        <w:t>malignant</w:t>
      </w:r>
      <w:r>
        <w:rPr>
          <w:spacing w:val="-11"/>
        </w:rPr>
        <w:t> </w:t>
      </w:r>
      <w:r>
        <w:rPr/>
        <w:t>mela- noma.</w:t>
      </w:r>
      <w:r>
        <w:rPr>
          <w:spacing w:val="-4"/>
        </w:rPr>
        <w:t> </w:t>
      </w:r>
      <w:r>
        <w:rPr/>
        <w:t>Peritoneal</w:t>
      </w:r>
      <w:r>
        <w:rPr>
          <w:spacing w:val="-6"/>
        </w:rPr>
        <w:t> </w:t>
      </w:r>
      <w:r>
        <w:rPr/>
        <w:t>carcinomatosis</w:t>
      </w:r>
      <w:r>
        <w:rPr>
          <w:spacing w:val="-5"/>
        </w:rPr>
        <w:t> </w:t>
      </w:r>
      <w:r>
        <w:rPr/>
        <w:t>from</w:t>
      </w:r>
      <w:r>
        <w:rPr>
          <w:spacing w:val="-7"/>
        </w:rPr>
        <w:t> </w:t>
      </w:r>
      <w:r>
        <w:rPr/>
        <w:t>extra-abdominal malignancy</w:t>
      </w:r>
      <w:r>
        <w:rPr>
          <w:spacing w:val="-6"/>
        </w:rPr>
        <w:t> </w:t>
      </w:r>
      <w:r>
        <w:rPr/>
        <w:t>presents</w:t>
      </w:r>
      <w:r>
        <w:rPr>
          <w:spacing w:val="-2"/>
        </w:rPr>
        <w:t> </w:t>
      </w:r>
      <w:r>
        <w:rPr/>
        <w:t>in</w:t>
      </w:r>
      <w:r>
        <w:rPr>
          <w:spacing w:val="-1"/>
        </w:rPr>
        <w:t> </w:t>
      </w:r>
      <w:r>
        <w:rPr/>
        <w:t>only</w:t>
      </w:r>
      <w:r>
        <w:rPr>
          <w:spacing w:val="-3"/>
        </w:rPr>
        <w:t> </w:t>
      </w:r>
      <w:r>
        <w:rPr/>
        <w:t>10%</w:t>
      </w:r>
      <w:r>
        <w:rPr>
          <w:spacing w:val="-2"/>
        </w:rPr>
        <w:t> </w:t>
      </w:r>
      <w:r>
        <w:rPr/>
        <w:t>of</w:t>
      </w:r>
      <w:r>
        <w:rPr>
          <w:spacing w:val="-2"/>
        </w:rPr>
        <w:t> </w:t>
      </w:r>
      <w:r>
        <w:rPr/>
        <w:t>cases</w:t>
      </w:r>
      <w:r>
        <w:rPr>
          <w:spacing w:val="-2"/>
        </w:rPr>
        <w:t> </w:t>
      </w:r>
      <w:r>
        <w:rPr/>
        <w:t>where</w:t>
      </w:r>
      <w:r>
        <w:rPr>
          <w:spacing w:val="-1"/>
        </w:rPr>
        <w:t> </w:t>
      </w:r>
      <w:r>
        <w:rPr/>
        <w:t>meta- static breast cancer is 41%[1]. Recognition and treat- ment of breast cancer metastases, such as bone, liver, lung, and brain, are well documented, and their spread to the peritoneal surface is a rare clinical presentation. Abdominal carcinomatosis from breast cancer is very rare and usually occurs during the progression of the disease or is revealed as a consequence, as in the case we present. Although peritoneal metastases of breast cancer</w:t>
      </w:r>
      <w:r>
        <w:rPr>
          <w:spacing w:val="13"/>
        </w:rPr>
        <w:t> </w:t>
      </w:r>
      <w:r>
        <w:rPr/>
        <w:t>are</w:t>
      </w:r>
      <w:r>
        <w:rPr>
          <w:spacing w:val="11"/>
        </w:rPr>
        <w:t> </w:t>
      </w:r>
      <w:r>
        <w:rPr/>
        <w:t>a</w:t>
      </w:r>
      <w:r>
        <w:rPr>
          <w:spacing w:val="13"/>
        </w:rPr>
        <w:t> </w:t>
      </w:r>
      <w:r>
        <w:rPr/>
        <w:t>clinical</w:t>
      </w:r>
      <w:r>
        <w:rPr>
          <w:spacing w:val="13"/>
        </w:rPr>
        <w:t> </w:t>
      </w:r>
      <w:r>
        <w:rPr/>
        <w:t>challenge,</w:t>
      </w:r>
      <w:r>
        <w:rPr>
          <w:spacing w:val="13"/>
        </w:rPr>
        <w:t> </w:t>
      </w:r>
      <w:r>
        <w:rPr/>
        <w:t>there</w:t>
      </w:r>
      <w:r>
        <w:rPr>
          <w:spacing w:val="13"/>
        </w:rPr>
        <w:t> </w:t>
      </w:r>
      <w:r>
        <w:rPr/>
        <w:t>is</w:t>
      </w:r>
      <w:r>
        <w:rPr>
          <w:spacing w:val="11"/>
        </w:rPr>
        <w:t> </w:t>
      </w:r>
      <w:r>
        <w:rPr/>
        <w:t>not</w:t>
      </w:r>
      <w:r>
        <w:rPr>
          <w:spacing w:val="12"/>
        </w:rPr>
        <w:t> </w:t>
      </w:r>
      <w:r>
        <w:rPr/>
        <w:t>much</w:t>
      </w:r>
      <w:r>
        <w:rPr>
          <w:spacing w:val="14"/>
        </w:rPr>
        <w:t> </w:t>
      </w:r>
      <w:r>
        <w:rPr>
          <w:spacing w:val="-4"/>
        </w:rPr>
        <w:t>data</w:t>
      </w:r>
    </w:p>
    <w:p>
      <w:pPr>
        <w:pStyle w:val="BodyText"/>
        <w:spacing w:before="92"/>
        <w:ind w:left="238" w:right="294"/>
        <w:jc w:val="both"/>
      </w:pPr>
      <w:r>
        <w:rPr/>
        <w:br w:type="column"/>
      </w:r>
      <w:r>
        <w:rPr/>
        <w:t>in the literature with particular attention to diagnostic problems due to the masked clinical picture.</w:t>
      </w:r>
    </w:p>
    <w:p>
      <w:pPr>
        <w:pStyle w:val="BodyText"/>
        <w:spacing w:before="5"/>
      </w:pPr>
    </w:p>
    <w:p>
      <w:pPr>
        <w:pStyle w:val="Heading4"/>
        <w:jc w:val="both"/>
      </w:pPr>
      <w:r>
        <w:rPr/>
        <w:t>Case</w:t>
      </w:r>
      <w:r>
        <w:rPr>
          <w:spacing w:val="-1"/>
        </w:rPr>
        <w:t> </w:t>
      </w:r>
      <w:r>
        <w:rPr>
          <w:spacing w:val="-2"/>
        </w:rPr>
        <w:t>report</w:t>
      </w:r>
    </w:p>
    <w:p>
      <w:pPr>
        <w:pStyle w:val="BodyText"/>
        <w:spacing w:before="6"/>
        <w:rPr>
          <w:b/>
          <w:sz w:val="20"/>
        </w:rPr>
      </w:pPr>
    </w:p>
    <w:p>
      <w:pPr>
        <w:pStyle w:val="BodyText"/>
        <w:ind w:left="238" w:right="287"/>
        <w:jc w:val="both"/>
      </w:pPr>
      <w:r>
        <w:rPr/>
        <w:t>The patient N.Z, a 55-year-old woman with a clinical picture of heaviness in the abdomen, due to the pre- sence of ascites and pain in the abdomen was admitted to our hospital. The gynecological examination, under the</w:t>
      </w:r>
      <w:r>
        <w:rPr>
          <w:spacing w:val="-12"/>
        </w:rPr>
        <w:t> </w:t>
      </w:r>
      <w:r>
        <w:rPr/>
        <w:t>speculum</w:t>
      </w:r>
      <w:r>
        <w:rPr>
          <w:spacing w:val="-13"/>
        </w:rPr>
        <w:t> </w:t>
      </w:r>
      <w:r>
        <w:rPr/>
        <w:t>and</w:t>
      </w:r>
      <w:r>
        <w:rPr>
          <w:spacing w:val="-12"/>
        </w:rPr>
        <w:t> </w:t>
      </w:r>
      <w:r>
        <w:rPr/>
        <w:t>bimanual</w:t>
      </w:r>
      <w:r>
        <w:rPr>
          <w:spacing w:val="-12"/>
        </w:rPr>
        <w:t> </w:t>
      </w:r>
      <w:r>
        <w:rPr/>
        <w:t>examination,</w:t>
      </w:r>
      <w:r>
        <w:rPr>
          <w:spacing w:val="-12"/>
        </w:rPr>
        <w:t> </w:t>
      </w:r>
      <w:r>
        <w:rPr/>
        <w:t>showed</w:t>
      </w:r>
      <w:r>
        <w:rPr>
          <w:spacing w:val="-12"/>
        </w:rPr>
        <w:t> </w:t>
      </w:r>
      <w:r>
        <w:rPr/>
        <w:t>an</w:t>
      </w:r>
      <w:r>
        <w:rPr>
          <w:spacing w:val="-13"/>
        </w:rPr>
        <w:t> </w:t>
      </w:r>
      <w:r>
        <w:rPr/>
        <w:t>or- derly finding. Ultrasound examination-uterus and ova- ries looked good macromorphologically, with ascites fluid present in cavum Douglasi.</w:t>
      </w:r>
    </w:p>
    <w:p>
      <w:pPr>
        <w:pStyle w:val="BodyText"/>
        <w:spacing w:line="241" w:lineRule="exact" w:before="1"/>
        <w:ind w:left="238"/>
        <w:jc w:val="both"/>
      </w:pPr>
      <w:r>
        <w:rPr/>
        <w:t>PAP</w:t>
      </w:r>
      <w:r>
        <w:rPr>
          <w:spacing w:val="-3"/>
        </w:rPr>
        <w:t> </w:t>
      </w:r>
      <w:r>
        <w:rPr/>
        <w:t>test</w:t>
      </w:r>
      <w:r>
        <w:rPr>
          <w:spacing w:val="-4"/>
        </w:rPr>
        <w:t> </w:t>
      </w:r>
      <w:r>
        <w:rPr/>
        <w:t>showed</w:t>
      </w:r>
      <w:r>
        <w:rPr>
          <w:spacing w:val="-2"/>
        </w:rPr>
        <w:t> </w:t>
      </w:r>
      <w:r>
        <w:rPr/>
        <w:t>signs</w:t>
      </w:r>
      <w:r>
        <w:rPr>
          <w:spacing w:val="-3"/>
        </w:rPr>
        <w:t> </w:t>
      </w:r>
      <w:r>
        <w:rPr/>
        <w:t>of</w:t>
      </w:r>
      <w:r>
        <w:rPr>
          <w:spacing w:val="-3"/>
        </w:rPr>
        <w:t> </w:t>
      </w:r>
      <w:r>
        <w:rPr>
          <w:spacing w:val="-2"/>
        </w:rPr>
        <w:t>inflammation.</w:t>
      </w:r>
    </w:p>
    <w:p>
      <w:pPr>
        <w:pStyle w:val="BodyText"/>
        <w:ind w:left="238" w:right="292"/>
        <w:jc w:val="both"/>
      </w:pPr>
      <w:r>
        <w:rPr/>
        <w:t>Laboratory analysis: platelets 657x10^9/L and D- dimers=3024mg / l.</w:t>
      </w:r>
    </w:p>
    <w:p>
      <w:pPr>
        <w:pStyle w:val="BodyText"/>
        <w:spacing w:before="1"/>
        <w:ind w:left="238" w:right="291"/>
        <w:jc w:val="both"/>
      </w:pPr>
      <w:r>
        <w:rPr/>
        <w:t>Gynecological examinations showed no convincing signs of gynecological pathology, only elevated tumor markers: CA15.3=180 U/ml, CA19.9=184.5 U/ml, CA125=75.5 U/ml.</w:t>
      </w:r>
    </w:p>
    <w:p>
      <w:pPr>
        <w:pStyle w:val="BodyText"/>
        <w:ind w:left="238" w:right="291"/>
        <w:jc w:val="both"/>
      </w:pPr>
      <w:r>
        <w:rPr/>
        <w:t>A gastroscopy</w:t>
      </w:r>
      <w:r>
        <w:rPr>
          <w:spacing w:val="-4"/>
        </w:rPr>
        <w:t> </w:t>
      </w:r>
      <w:r>
        <w:rPr/>
        <w:t>finding</w:t>
      </w:r>
      <w:r>
        <w:rPr>
          <w:spacing w:val="-1"/>
        </w:rPr>
        <w:t> </w:t>
      </w:r>
      <w:r>
        <w:rPr/>
        <w:t>indicated an</w:t>
      </w:r>
      <w:r>
        <w:rPr>
          <w:spacing w:val="-1"/>
        </w:rPr>
        <w:t> </w:t>
      </w:r>
      <w:r>
        <w:rPr/>
        <w:t>oesophageal</w:t>
      </w:r>
      <w:r>
        <w:rPr>
          <w:spacing w:val="-1"/>
        </w:rPr>
        <w:t> </w:t>
      </w:r>
      <w:r>
        <w:rPr/>
        <w:t>hernia </w:t>
      </w:r>
      <w:r>
        <w:rPr>
          <w:spacing w:val="-2"/>
        </w:rPr>
        <w:t>and</w:t>
      </w:r>
      <w:r>
        <w:rPr>
          <w:spacing w:val="-12"/>
        </w:rPr>
        <w:t> </w:t>
      </w:r>
      <w:r>
        <w:rPr>
          <w:spacing w:val="-2"/>
        </w:rPr>
        <w:t>a</w:t>
      </w:r>
      <w:r>
        <w:rPr>
          <w:spacing w:val="-11"/>
        </w:rPr>
        <w:t> </w:t>
      </w:r>
      <w:r>
        <w:rPr>
          <w:spacing w:val="-2"/>
        </w:rPr>
        <w:t>Helicobacter</w:t>
      </w:r>
      <w:r>
        <w:rPr>
          <w:spacing w:val="-11"/>
        </w:rPr>
        <w:t> </w:t>
      </w:r>
      <w:r>
        <w:rPr>
          <w:spacing w:val="-2"/>
        </w:rPr>
        <w:t>pylori</w:t>
      </w:r>
      <w:r>
        <w:rPr>
          <w:spacing w:val="-11"/>
        </w:rPr>
        <w:t> </w:t>
      </w:r>
      <w:r>
        <w:rPr>
          <w:spacing w:val="-2"/>
        </w:rPr>
        <w:t>test</w:t>
      </w:r>
      <w:r>
        <w:rPr>
          <w:spacing w:val="-11"/>
        </w:rPr>
        <w:t> </w:t>
      </w:r>
      <w:r>
        <w:rPr>
          <w:spacing w:val="-2"/>
        </w:rPr>
        <w:t>was</w:t>
      </w:r>
      <w:r>
        <w:rPr>
          <w:spacing w:val="-11"/>
        </w:rPr>
        <w:t> </w:t>
      </w:r>
      <w:r>
        <w:rPr>
          <w:spacing w:val="-2"/>
        </w:rPr>
        <w:t>made.</w:t>
      </w:r>
      <w:r>
        <w:rPr>
          <w:spacing w:val="-11"/>
        </w:rPr>
        <w:t> </w:t>
      </w:r>
      <w:r>
        <w:rPr>
          <w:spacing w:val="-2"/>
        </w:rPr>
        <w:t>The</w:t>
      </w:r>
      <w:r>
        <w:rPr>
          <w:spacing w:val="-11"/>
        </w:rPr>
        <w:t> </w:t>
      </w:r>
      <w:r>
        <w:rPr>
          <w:spacing w:val="-2"/>
        </w:rPr>
        <w:t>endoscopic </w:t>
      </w:r>
      <w:r>
        <w:rPr/>
        <w:t>examinationof the colon showed an orderly finding of the left colon.</w:t>
      </w:r>
    </w:p>
    <w:p>
      <w:pPr>
        <w:pStyle w:val="BodyText"/>
        <w:ind w:left="238" w:right="290"/>
        <w:jc w:val="both"/>
      </w:pPr>
      <w:r>
        <w:rPr/>
        <w:t>Auscultatory impaired vesicular respiration at the ba- ses of the lungs. CT of the lungs and mediastinum- </w:t>
      </w:r>
      <w:r>
        <w:rPr>
          <w:spacing w:val="-4"/>
        </w:rPr>
        <w:t>with findings in support of peripheral, subpleural nodular </w:t>
      </w:r>
      <w:r>
        <w:rPr/>
        <w:t>and ground glass opacifications locally confluent in addition to inflammatory pneumonic changes. Present fibroadhesive changes basal, ventral, pleurodiaphrag- matic, and pleuropericardial.</w:t>
      </w:r>
    </w:p>
    <w:p>
      <w:pPr>
        <w:pStyle w:val="BodyText"/>
        <w:ind w:left="238" w:right="290"/>
        <w:jc w:val="both"/>
      </w:pPr>
      <w:r>
        <w:rPr/>
        <w:t>CT of the abdomen and small pelvis-uterud and ova- ries</w:t>
      </w:r>
      <w:r>
        <w:rPr>
          <w:spacing w:val="-5"/>
        </w:rPr>
        <w:t> </w:t>
      </w:r>
      <w:r>
        <w:rPr/>
        <w:t>neat.</w:t>
      </w:r>
      <w:r>
        <w:rPr>
          <w:spacing w:val="-9"/>
        </w:rPr>
        <w:t> </w:t>
      </w:r>
      <w:r>
        <w:rPr/>
        <w:t>Expressed</w:t>
      </w:r>
      <w:r>
        <w:rPr>
          <w:spacing w:val="-9"/>
        </w:rPr>
        <w:t> </w:t>
      </w:r>
      <w:r>
        <w:rPr/>
        <w:t>intestinal</w:t>
      </w:r>
      <w:r>
        <w:rPr>
          <w:spacing w:val="-11"/>
        </w:rPr>
        <w:t> </w:t>
      </w:r>
      <w:r>
        <w:rPr/>
        <w:t>retention,</w:t>
      </w:r>
      <w:r>
        <w:rPr>
          <w:spacing w:val="-9"/>
        </w:rPr>
        <w:t> </w:t>
      </w:r>
      <w:r>
        <w:rPr/>
        <w:t>more</w:t>
      </w:r>
      <w:r>
        <w:rPr>
          <w:spacing w:val="-9"/>
        </w:rPr>
        <w:t> </w:t>
      </w:r>
      <w:r>
        <w:rPr/>
        <w:t>pronoun- ced in the small intestine with a slightly thickened</w:t>
      </w:r>
      <w:r>
        <w:rPr>
          <w:spacing w:val="40"/>
        </w:rPr>
        <w:t> </w:t>
      </w:r>
      <w:r>
        <w:rPr/>
        <w:t>wall, in addition to inflammation. In thesmall pelvis quite a small amount of free fluid. Reactive inguinal lymph nodes bilaterally with massive hilus and d=1.5 cm. in the projection of the shown skeleton, numerous punctiform hyperdence changes were observed on all segments of the spine and pelvis.</w:t>
      </w:r>
    </w:p>
    <w:p>
      <w:pPr>
        <w:pStyle w:val="BodyText"/>
        <w:spacing w:before="2"/>
        <w:ind w:left="238" w:right="287"/>
        <w:jc w:val="both"/>
      </w:pPr>
      <w:r>
        <w:rPr/>
        <w:t>After proper preoperative preparation, the patient underwent</w:t>
      </w:r>
      <w:r>
        <w:rPr>
          <w:spacing w:val="-6"/>
        </w:rPr>
        <w:t> </w:t>
      </w:r>
      <w:r>
        <w:rPr/>
        <w:t>laparoscopic</w:t>
      </w:r>
      <w:r>
        <w:rPr>
          <w:spacing w:val="-5"/>
        </w:rPr>
        <w:t> </w:t>
      </w:r>
      <w:r>
        <w:rPr/>
        <w:t>exploration.</w:t>
      </w:r>
      <w:r>
        <w:rPr>
          <w:spacing w:val="-5"/>
        </w:rPr>
        <w:t> </w:t>
      </w:r>
      <w:r>
        <w:rPr/>
        <w:t>Upon</w:t>
      </w:r>
      <w:r>
        <w:rPr>
          <w:spacing w:val="-5"/>
        </w:rPr>
        <w:t> </w:t>
      </w:r>
      <w:r>
        <w:rPr/>
        <w:t>entering</w:t>
      </w:r>
      <w:r>
        <w:rPr>
          <w:spacing w:val="-5"/>
        </w:rPr>
        <w:t> </w:t>
      </w:r>
      <w:r>
        <w:rPr/>
        <w:t>the abdominal cavity, a yellowish-free fluid was found, which was</w:t>
      </w:r>
      <w:r>
        <w:rPr>
          <w:spacing w:val="-1"/>
        </w:rPr>
        <w:t> </w:t>
      </w:r>
      <w:r>
        <w:rPr/>
        <w:t>aspirated and sent</w:t>
      </w:r>
      <w:r>
        <w:rPr>
          <w:spacing w:val="-1"/>
        </w:rPr>
        <w:t> </w:t>
      </w:r>
      <w:r>
        <w:rPr/>
        <w:t>for</w:t>
      </w:r>
      <w:r>
        <w:rPr>
          <w:spacing w:val="-1"/>
        </w:rPr>
        <w:t> </w:t>
      </w:r>
      <w:r>
        <w:rPr/>
        <w:t>cytopathological</w:t>
      </w:r>
      <w:r>
        <w:rPr>
          <w:spacing w:val="-2"/>
        </w:rPr>
        <w:t> </w:t>
      </w:r>
      <w:r>
        <w:rPr/>
        <w:t>exa- mination. Bleach deposits were visualized on the pa- rietal peritoneum on the anterior abdominal wall, as well as small bowel and mesentery. A biopsy of the parietal peritoneum and the large omentum was per- formed, with which the biopsy material was histopa- thologically confirmed and a definitive diagnosis was made. The pathohistological finding of the biopsy ma- terial was Carcinoma lobulare mammae metastaticum omenti et peritonei parietalis, and the cytological fin- ding wasof group IV classification. Later, additional investigations such as mammography and thin-needle aspiration biopsy confirmed the diagnosis-Carcinoma lobulare</w:t>
      </w:r>
      <w:r>
        <w:rPr>
          <w:spacing w:val="1"/>
        </w:rPr>
        <w:t> </w:t>
      </w:r>
      <w:r>
        <w:rPr/>
        <w:t>mammae G1(7</w:t>
      </w:r>
      <w:r>
        <w:rPr>
          <w:spacing w:val="2"/>
        </w:rPr>
        <w:t> </w:t>
      </w:r>
      <w:r>
        <w:rPr/>
        <w:t>mm).</w:t>
      </w:r>
      <w:r>
        <w:rPr>
          <w:spacing w:val="1"/>
        </w:rPr>
        <w:t> </w:t>
      </w:r>
      <w:r>
        <w:rPr/>
        <w:t>Tumor</w:t>
      </w:r>
      <w:r>
        <w:rPr>
          <w:spacing w:val="2"/>
        </w:rPr>
        <w:t> </w:t>
      </w:r>
      <w:r>
        <w:rPr/>
        <w:t>markers</w:t>
      </w:r>
      <w:r>
        <w:rPr>
          <w:spacing w:val="2"/>
        </w:rPr>
        <w:t> </w:t>
      </w:r>
      <w:r>
        <w:rPr/>
        <w:t>were</w:t>
      </w:r>
      <w:r>
        <w:rPr>
          <w:spacing w:val="1"/>
        </w:rPr>
        <w:t> </w:t>
      </w:r>
      <w:r>
        <w:rPr>
          <w:spacing w:val="-5"/>
        </w:rPr>
        <w:t>in-</w:t>
      </w:r>
    </w:p>
    <w:p>
      <w:pPr>
        <w:spacing w:after="0"/>
        <w:jc w:val="both"/>
        <w:sectPr>
          <w:type w:val="continuous"/>
          <w:pgSz w:w="11910" w:h="16840"/>
          <w:pgMar w:header="854" w:footer="0" w:top="740" w:bottom="0" w:left="900" w:right="840"/>
          <w:cols w:num="2" w:equalWidth="0">
            <w:col w:w="4921" w:space="76"/>
            <w:col w:w="5173"/>
          </w:cols>
        </w:sectPr>
      </w:pPr>
    </w:p>
    <w:p>
      <w:pPr>
        <w:pStyle w:val="BodyText"/>
        <w:spacing w:before="5"/>
        <w:rPr>
          <w:sz w:val="15"/>
        </w:rPr>
      </w:pPr>
    </w:p>
    <w:p>
      <w:pPr>
        <w:spacing w:after="0"/>
        <w:rPr>
          <w:sz w:val="15"/>
        </w:rPr>
        <w:sectPr>
          <w:pgSz w:w="11910" w:h="16840"/>
          <w:pgMar w:header="854" w:footer="0" w:top="1280" w:bottom="280" w:left="900" w:right="840"/>
        </w:sectPr>
      </w:pPr>
    </w:p>
    <w:p>
      <w:pPr>
        <w:pStyle w:val="BodyText"/>
        <w:spacing w:before="92"/>
        <w:ind w:left="238"/>
      </w:pPr>
      <w:r>
        <w:rPr>
          <w:spacing w:val="-2"/>
        </w:rPr>
        <w:t>creased:</w:t>
      </w:r>
      <w:r>
        <w:rPr>
          <w:spacing w:val="26"/>
        </w:rPr>
        <w:t> </w:t>
      </w:r>
      <w:r>
        <w:rPr>
          <w:spacing w:val="-2"/>
        </w:rPr>
        <w:t>CA15.3=339</w:t>
      </w:r>
      <w:r>
        <w:rPr>
          <w:spacing w:val="18"/>
        </w:rPr>
        <w:t> </w:t>
      </w:r>
      <w:r>
        <w:rPr>
          <w:spacing w:val="-2"/>
        </w:rPr>
        <w:t>U/ml,</w:t>
      </w:r>
      <w:r>
        <w:rPr>
          <w:spacing w:val="20"/>
        </w:rPr>
        <w:t> </w:t>
      </w:r>
      <w:r>
        <w:rPr>
          <w:spacing w:val="-2"/>
        </w:rPr>
        <w:t>CEA=322</w:t>
      </w:r>
      <w:r>
        <w:rPr>
          <w:spacing w:val="19"/>
        </w:rPr>
        <w:t> </w:t>
      </w:r>
      <w:r>
        <w:rPr>
          <w:spacing w:val="-2"/>
        </w:rPr>
        <w:t>U/ml,</w:t>
      </w:r>
      <w:r>
        <w:rPr>
          <w:spacing w:val="20"/>
        </w:rPr>
        <w:t> </w:t>
      </w:r>
      <w:r>
        <w:rPr>
          <w:spacing w:val="-2"/>
        </w:rPr>
        <w:t>CA125=</w:t>
      </w:r>
    </w:p>
    <w:p>
      <w:pPr>
        <w:pStyle w:val="BodyText"/>
        <w:spacing w:before="1"/>
        <w:ind w:left="238"/>
      </w:pPr>
      <w:r>
        <w:rPr/>
        <w:t>230.5</w:t>
      </w:r>
      <w:r>
        <w:rPr>
          <w:spacing w:val="-16"/>
        </w:rPr>
        <w:t> </w:t>
      </w:r>
      <w:r>
        <w:rPr/>
        <w:t>U/ml,</w:t>
      </w:r>
      <w:r>
        <w:rPr>
          <w:spacing w:val="-13"/>
        </w:rPr>
        <w:t> </w:t>
      </w:r>
      <w:r>
        <w:rPr/>
        <w:t>He4</w:t>
      </w:r>
      <w:r>
        <w:rPr>
          <w:spacing w:val="-10"/>
        </w:rPr>
        <w:t> </w:t>
      </w:r>
      <w:r>
        <w:rPr/>
        <w:t>187.9</w:t>
      </w:r>
      <w:r>
        <w:rPr>
          <w:spacing w:val="-10"/>
        </w:rPr>
        <w:t> </w:t>
      </w:r>
      <w:r>
        <w:rPr>
          <w:spacing w:val="-4"/>
        </w:rPr>
        <w:t>U/ml.</w:t>
      </w:r>
    </w:p>
    <w:p>
      <w:pPr>
        <w:pStyle w:val="BodyText"/>
        <w:spacing w:before="4"/>
      </w:pPr>
    </w:p>
    <w:p>
      <w:pPr>
        <w:pStyle w:val="Heading4"/>
      </w:pPr>
      <w:r>
        <w:rPr>
          <w:spacing w:val="-2"/>
        </w:rPr>
        <w:t>Discussion</w:t>
      </w:r>
    </w:p>
    <w:p>
      <w:pPr>
        <w:pStyle w:val="BodyText"/>
        <w:spacing w:before="6"/>
        <w:rPr>
          <w:b/>
          <w:sz w:val="20"/>
        </w:rPr>
      </w:pPr>
    </w:p>
    <w:p>
      <w:pPr>
        <w:pStyle w:val="BodyText"/>
        <w:ind w:left="238" w:right="38"/>
        <w:jc w:val="both"/>
      </w:pPr>
      <w:r>
        <w:rPr/>
        <w:t>The metastatic spread of breast carcinoma to the gas- trointestinal system, peritoneum-retroperitoneum, and gynecologic organs is much more prevalent in carci- noma intralobulare than in carcinoma ductale. Com- paring rates of metastasis from carcinoma intralobu- lare and carcinoma ductale revealed statistically signi- ficant differences to peritoneum-retroperitoneum</w:t>
      </w:r>
      <w:r>
        <w:rPr>
          <w:spacing w:val="-1"/>
        </w:rPr>
        <w:t> </w:t>
      </w:r>
      <w:r>
        <w:rPr/>
        <w:t>3.1% carcinoma</w:t>
      </w:r>
      <w:r>
        <w:rPr>
          <w:spacing w:val="-14"/>
        </w:rPr>
        <w:t> </w:t>
      </w:r>
      <w:r>
        <w:rPr/>
        <w:t>intralobulare</w:t>
      </w:r>
      <w:r>
        <w:rPr>
          <w:spacing w:val="-13"/>
        </w:rPr>
        <w:t> </w:t>
      </w:r>
      <w:r>
        <w:rPr>
          <w:i/>
        </w:rPr>
        <w:t>vs</w:t>
      </w:r>
      <w:r>
        <w:rPr/>
        <w:t>.</w:t>
      </w:r>
      <w:r>
        <w:rPr>
          <w:spacing w:val="-13"/>
        </w:rPr>
        <w:t> </w:t>
      </w:r>
      <w:r>
        <w:rPr/>
        <w:t>0.6%</w:t>
      </w:r>
      <w:r>
        <w:rPr>
          <w:spacing w:val="-13"/>
        </w:rPr>
        <w:t> </w:t>
      </w:r>
      <w:r>
        <w:rPr/>
        <w:t>carcinoma</w:t>
      </w:r>
      <w:r>
        <w:rPr>
          <w:spacing w:val="-13"/>
        </w:rPr>
        <w:t> </w:t>
      </w:r>
      <w:r>
        <w:rPr/>
        <w:t>ductale</w:t>
      </w:r>
      <w:r>
        <w:rPr>
          <w:spacing w:val="-13"/>
        </w:rPr>
        <w:t> </w:t>
      </w:r>
      <w:r>
        <w:rPr/>
        <w:t>[2]. </w:t>
      </w:r>
      <w:r>
        <w:rPr>
          <w:spacing w:val="-2"/>
        </w:rPr>
        <w:t>Peritoneal</w:t>
      </w:r>
      <w:r>
        <w:rPr>
          <w:spacing w:val="-3"/>
        </w:rPr>
        <w:t> </w:t>
      </w:r>
      <w:r>
        <w:rPr>
          <w:spacing w:val="-2"/>
        </w:rPr>
        <w:t>metastasis is</w:t>
      </w:r>
      <w:r>
        <w:rPr>
          <w:spacing w:val="-4"/>
        </w:rPr>
        <w:t> </w:t>
      </w:r>
      <w:r>
        <w:rPr>
          <w:spacing w:val="-2"/>
        </w:rPr>
        <w:t>a life-threatening</w:t>
      </w:r>
      <w:r>
        <w:rPr>
          <w:spacing w:val="-4"/>
        </w:rPr>
        <w:t> </w:t>
      </w:r>
      <w:r>
        <w:rPr>
          <w:spacing w:val="-2"/>
        </w:rPr>
        <w:t>condition</w:t>
      </w:r>
      <w:r>
        <w:rPr>
          <w:spacing w:val="-4"/>
        </w:rPr>
        <w:t> </w:t>
      </w:r>
      <w:r>
        <w:rPr>
          <w:spacing w:val="-2"/>
        </w:rPr>
        <w:t>with </w:t>
      </w:r>
      <w:r>
        <w:rPr/>
        <w:t>a very high mortality rate. This carcinomatosis may originate from extra-abdominal primary malignancies, and such cases are uncommon. They account for 10% of the diagnosed cases of peritoneal metastases, and of them as much as 41% account for breast cancer [3]. The</w:t>
      </w:r>
      <w:r>
        <w:rPr>
          <w:spacing w:val="-2"/>
        </w:rPr>
        <w:t> </w:t>
      </w:r>
      <w:r>
        <w:rPr/>
        <w:t>diagnosis</w:t>
      </w:r>
      <w:r>
        <w:rPr>
          <w:spacing w:val="-3"/>
        </w:rPr>
        <w:t> </w:t>
      </w:r>
      <w:r>
        <w:rPr/>
        <w:t>and</w:t>
      </w:r>
      <w:r>
        <w:rPr>
          <w:spacing w:val="-2"/>
        </w:rPr>
        <w:t> </w:t>
      </w:r>
      <w:r>
        <w:rPr/>
        <w:t>treatment</w:t>
      </w:r>
      <w:r>
        <w:rPr>
          <w:spacing w:val="-3"/>
        </w:rPr>
        <w:t> </w:t>
      </w:r>
      <w:r>
        <w:rPr/>
        <w:t>of</w:t>
      </w:r>
      <w:r>
        <w:rPr>
          <w:spacing w:val="-3"/>
        </w:rPr>
        <w:t> </w:t>
      </w:r>
      <w:r>
        <w:rPr/>
        <w:t>metastases</w:t>
      </w:r>
      <w:r>
        <w:rPr>
          <w:spacing w:val="-3"/>
        </w:rPr>
        <w:t> </w:t>
      </w:r>
      <w:r>
        <w:rPr/>
        <w:t>from</w:t>
      </w:r>
      <w:r>
        <w:rPr>
          <w:spacing w:val="-5"/>
        </w:rPr>
        <w:t> </w:t>
      </w:r>
      <w:r>
        <w:rPr/>
        <w:t>breast, bone,</w:t>
      </w:r>
      <w:r>
        <w:rPr>
          <w:spacing w:val="-5"/>
        </w:rPr>
        <w:t> </w:t>
      </w:r>
      <w:r>
        <w:rPr/>
        <w:t>liver,</w:t>
      </w:r>
      <w:r>
        <w:rPr>
          <w:spacing w:val="-2"/>
        </w:rPr>
        <w:t> </w:t>
      </w:r>
      <w:r>
        <w:rPr/>
        <w:t>lung,</w:t>
      </w:r>
      <w:r>
        <w:rPr>
          <w:spacing w:val="-2"/>
        </w:rPr>
        <w:t> </w:t>
      </w:r>
      <w:r>
        <w:rPr/>
        <w:t>and</w:t>
      </w:r>
      <w:r>
        <w:rPr>
          <w:spacing w:val="-5"/>
        </w:rPr>
        <w:t> </w:t>
      </w:r>
      <w:r>
        <w:rPr/>
        <w:t>brain</w:t>
      </w:r>
      <w:r>
        <w:rPr>
          <w:spacing w:val="-4"/>
        </w:rPr>
        <w:t> </w:t>
      </w:r>
      <w:r>
        <w:rPr/>
        <w:t>cancers</w:t>
      </w:r>
      <w:r>
        <w:rPr>
          <w:spacing w:val="-3"/>
        </w:rPr>
        <w:t> </w:t>
      </w:r>
      <w:r>
        <w:rPr/>
        <w:t>are</w:t>
      </w:r>
      <w:r>
        <w:rPr>
          <w:spacing w:val="-5"/>
        </w:rPr>
        <w:t> </w:t>
      </w:r>
      <w:r>
        <w:rPr/>
        <w:t>well</w:t>
      </w:r>
      <w:r>
        <w:rPr>
          <w:spacing w:val="-1"/>
        </w:rPr>
        <w:t> </w:t>
      </w:r>
      <w:r>
        <w:rPr/>
        <w:t>document- ted, but their spread to the peritoneal surface is a rare clinical presentation. Distant metastases affect organs at the following frequency: bones 67.8%, liver 47.8%, lungs 42.6%, distant lymph nodes 27%, brain 15.2%, peritoneum (peritoneal carcinomatosis) 7.6%, and elsewhere 6.9%. The prevalence of peritoneal breast cancer metastasis is 0.7% [4-6]. Abdominal carcinoma of breast cancer is very rare, usually occurring during cancer</w:t>
      </w:r>
      <w:r>
        <w:rPr>
          <w:spacing w:val="-4"/>
        </w:rPr>
        <w:t> </w:t>
      </w:r>
      <w:r>
        <w:rPr/>
        <w:t>progression</w:t>
      </w:r>
      <w:r>
        <w:rPr>
          <w:spacing w:val="-4"/>
        </w:rPr>
        <w:t> </w:t>
      </w:r>
      <w:r>
        <w:rPr/>
        <w:t>or</w:t>
      </w:r>
      <w:r>
        <w:rPr>
          <w:spacing w:val="-4"/>
        </w:rPr>
        <w:t> </w:t>
      </w:r>
      <w:r>
        <w:rPr/>
        <w:t>being</w:t>
      </w:r>
      <w:r>
        <w:rPr>
          <w:spacing w:val="-6"/>
        </w:rPr>
        <w:t> </w:t>
      </w:r>
      <w:r>
        <w:rPr/>
        <w:t>detected</w:t>
      </w:r>
      <w:r>
        <w:rPr>
          <w:spacing w:val="-4"/>
        </w:rPr>
        <w:t> </w:t>
      </w:r>
      <w:r>
        <w:rPr/>
        <w:t>as</w:t>
      </w:r>
      <w:r>
        <w:rPr>
          <w:spacing w:val="-4"/>
        </w:rPr>
        <w:t> </w:t>
      </w:r>
      <w:r>
        <w:rPr/>
        <w:t>a</w:t>
      </w:r>
      <w:r>
        <w:rPr>
          <w:spacing w:val="-4"/>
        </w:rPr>
        <w:t> </w:t>
      </w:r>
      <w:r>
        <w:rPr/>
        <w:t>consequence, as was the case we have presented here.</w:t>
      </w:r>
    </w:p>
    <w:p>
      <w:pPr>
        <w:pStyle w:val="BodyText"/>
        <w:spacing w:before="1"/>
        <w:ind w:left="238" w:right="38"/>
        <w:jc w:val="both"/>
      </w:pPr>
      <w:r>
        <w:rPr/>
        <w:t>The aimof this report wasto point outthe role of ex- ploratory laparoscopy as an advantage of laparotomy</w:t>
      </w:r>
      <w:r>
        <w:rPr>
          <w:spacing w:val="40"/>
        </w:rPr>
        <w:t> </w:t>
      </w:r>
      <w:r>
        <w:rPr/>
        <w:t>in obtaining a definitive diagnosis with a histopatho- logical finding. Thhe patient wasdischarged imme- diately</w:t>
      </w:r>
      <w:r>
        <w:rPr>
          <w:spacing w:val="-8"/>
        </w:rPr>
        <w:t> </w:t>
      </w:r>
      <w:r>
        <w:rPr/>
        <w:t>after</w:t>
      </w:r>
      <w:r>
        <w:rPr>
          <w:spacing w:val="-4"/>
        </w:rPr>
        <w:t> </w:t>
      </w:r>
      <w:r>
        <w:rPr/>
        <w:t>the</w:t>
      </w:r>
      <w:r>
        <w:rPr>
          <w:spacing w:val="-3"/>
        </w:rPr>
        <w:t> </w:t>
      </w:r>
      <w:r>
        <w:rPr/>
        <w:t>intervention</w:t>
      </w:r>
      <w:r>
        <w:rPr>
          <w:spacing w:val="-2"/>
        </w:rPr>
        <w:t> </w:t>
      </w:r>
      <w:r>
        <w:rPr/>
        <w:t>in</w:t>
      </w:r>
      <w:r>
        <w:rPr>
          <w:spacing w:val="-3"/>
        </w:rPr>
        <w:t> </w:t>
      </w:r>
      <w:r>
        <w:rPr/>
        <w:t>a</w:t>
      </w:r>
      <w:r>
        <w:rPr>
          <w:spacing w:val="-3"/>
        </w:rPr>
        <w:t> </w:t>
      </w:r>
      <w:r>
        <w:rPr/>
        <w:t>good</w:t>
      </w:r>
      <w:r>
        <w:rPr>
          <w:spacing w:val="-3"/>
        </w:rPr>
        <w:t> </w:t>
      </w:r>
      <w:r>
        <w:rPr/>
        <w:t>health</w:t>
      </w:r>
      <w:r>
        <w:rPr>
          <w:spacing w:val="-3"/>
        </w:rPr>
        <w:t> </w:t>
      </w:r>
      <w:r>
        <w:rPr/>
        <w:t>condition for further treatment.</w:t>
      </w:r>
    </w:p>
    <w:p>
      <w:pPr>
        <w:pStyle w:val="BodyText"/>
        <w:spacing w:before="1"/>
        <w:ind w:left="238" w:right="39"/>
        <w:jc w:val="both"/>
      </w:pPr>
      <w:r>
        <w:rPr/>
        <w:t>It poses a challenge in cases where clinical presenta- tion, endoscopic and radiological examinations show no convincing signs of ovarian changes or advanced stage tumorsof undefined origin.</w:t>
      </w:r>
    </w:p>
    <w:p>
      <w:pPr>
        <w:pStyle w:val="BodyText"/>
        <w:ind w:left="238" w:right="38"/>
        <w:jc w:val="both"/>
      </w:pPr>
      <w:r>
        <w:rPr/>
        <w:t>Confirmation of such malignancies requires histopa- thological findings, which is why practice has shown that it is better to do explorative laparoscopy, which allows</w:t>
      </w:r>
      <w:r>
        <w:rPr>
          <w:spacing w:val="20"/>
        </w:rPr>
        <w:t> </w:t>
      </w:r>
      <w:r>
        <w:rPr/>
        <w:t>a</w:t>
      </w:r>
      <w:r>
        <w:rPr>
          <w:spacing w:val="22"/>
        </w:rPr>
        <w:t> </w:t>
      </w:r>
      <w:r>
        <w:rPr/>
        <w:t>decision</w:t>
      </w:r>
      <w:r>
        <w:rPr>
          <w:spacing w:val="21"/>
        </w:rPr>
        <w:t> </w:t>
      </w:r>
      <w:r>
        <w:rPr/>
        <w:t>to</w:t>
      </w:r>
      <w:r>
        <w:rPr>
          <w:spacing w:val="22"/>
        </w:rPr>
        <w:t> </w:t>
      </w:r>
      <w:r>
        <w:rPr/>
        <w:t>be</w:t>
      </w:r>
      <w:r>
        <w:rPr>
          <w:spacing w:val="21"/>
        </w:rPr>
        <w:t> </w:t>
      </w:r>
      <w:r>
        <w:rPr/>
        <w:t>made</w:t>
      </w:r>
      <w:r>
        <w:rPr>
          <w:spacing w:val="20"/>
        </w:rPr>
        <w:t> </w:t>
      </w:r>
      <w:r>
        <w:rPr/>
        <w:t>for</w:t>
      </w:r>
      <w:r>
        <w:rPr>
          <w:spacing w:val="21"/>
        </w:rPr>
        <w:t> </w:t>
      </w:r>
      <w:r>
        <w:rPr/>
        <w:t>proper</w:t>
      </w:r>
      <w:r>
        <w:rPr>
          <w:spacing w:val="21"/>
        </w:rPr>
        <w:t> </w:t>
      </w:r>
      <w:r>
        <w:rPr>
          <w:spacing w:val="-2"/>
        </w:rPr>
        <w:t>management</w:t>
      </w:r>
    </w:p>
    <w:p>
      <w:pPr>
        <w:pStyle w:val="BodyText"/>
        <w:spacing w:before="92"/>
        <w:ind w:left="238" w:right="292"/>
        <w:jc w:val="both"/>
      </w:pPr>
      <w:r>
        <w:rPr/>
        <w:br w:type="column"/>
      </w:r>
      <w:r>
        <w:rPr/>
        <w:t>of the advanced stage of the patient’s disease, and to avoid explorative laparotomy which has severe post- operative survival after the procedure.</w:t>
      </w:r>
    </w:p>
    <w:p>
      <w:pPr>
        <w:pStyle w:val="BodyText"/>
        <w:spacing w:before="6"/>
      </w:pPr>
    </w:p>
    <w:p>
      <w:pPr>
        <w:pStyle w:val="Heading4"/>
      </w:pPr>
      <w:r>
        <w:rPr>
          <w:spacing w:val="-2"/>
        </w:rPr>
        <w:t>Conclusion</w:t>
      </w:r>
    </w:p>
    <w:p>
      <w:pPr>
        <w:pStyle w:val="BodyText"/>
        <w:spacing w:before="6"/>
        <w:rPr>
          <w:b/>
          <w:sz w:val="20"/>
        </w:rPr>
      </w:pPr>
    </w:p>
    <w:p>
      <w:pPr>
        <w:pStyle w:val="BodyText"/>
        <w:ind w:left="238" w:right="292"/>
        <w:jc w:val="both"/>
      </w:pPr>
      <w:r>
        <w:rPr/>
        <w:t>Peritoneal carcinomatosis originating from breast can- cer is a rare condition that develops late in the evolu- tion of the disease. The development of such lesions is most commonly associated with aggressive histology (as in lobular breast cancer) and advanced stage in the diagnosis of the disease, and is mainly associated with a poor outcome [7].</w:t>
      </w:r>
    </w:p>
    <w:p>
      <w:pPr>
        <w:pStyle w:val="BodyText"/>
        <w:ind w:left="238" w:right="290"/>
        <w:jc w:val="both"/>
      </w:pPr>
      <w:r>
        <w:rPr/>
        <w:t>A positive diagnosis of peritoneal carcinomatosis ori- ginating from breast cancer can be obtained by biopsy of the tumor nodules. In order to improve the health of these patients, explorative laparoscopy is recommend- ded as a diagnostic tool in the strategy for manage- ment of advanced stages of breast cancer. In this way, with a short hospitalization of a patient in good health condition,</w:t>
      </w:r>
      <w:r>
        <w:rPr>
          <w:spacing w:val="-2"/>
        </w:rPr>
        <w:t> </w:t>
      </w:r>
      <w:r>
        <w:rPr/>
        <w:t>an</w:t>
      </w:r>
      <w:r>
        <w:rPr>
          <w:spacing w:val="-2"/>
        </w:rPr>
        <w:t> </w:t>
      </w:r>
      <w:r>
        <w:rPr/>
        <w:t>accurate</w:t>
      </w:r>
      <w:r>
        <w:rPr>
          <w:spacing w:val="-2"/>
        </w:rPr>
        <w:t> </w:t>
      </w:r>
      <w:r>
        <w:rPr/>
        <w:t>diagnosis</w:t>
      </w:r>
      <w:r>
        <w:rPr>
          <w:spacing w:val="-3"/>
        </w:rPr>
        <w:t> </w:t>
      </w:r>
      <w:r>
        <w:rPr/>
        <w:t>is</w:t>
      </w:r>
      <w:r>
        <w:rPr>
          <w:spacing w:val="-3"/>
        </w:rPr>
        <w:t> </w:t>
      </w:r>
      <w:r>
        <w:rPr/>
        <w:t>obtained</w:t>
      </w:r>
      <w:r>
        <w:rPr>
          <w:spacing w:val="-2"/>
        </w:rPr>
        <w:t> </w:t>
      </w:r>
      <w:r>
        <w:rPr/>
        <w:t>and</w:t>
      </w:r>
      <w:r>
        <w:rPr>
          <w:spacing w:val="-2"/>
        </w:rPr>
        <w:t> </w:t>
      </w:r>
      <w:r>
        <w:rPr/>
        <w:t>proper disease management can be conducted.</w:t>
      </w:r>
    </w:p>
    <w:p>
      <w:pPr>
        <w:pStyle w:val="BodyText"/>
        <w:spacing w:before="1"/>
      </w:pPr>
    </w:p>
    <w:p>
      <w:pPr>
        <w:spacing w:before="0"/>
        <w:ind w:left="238" w:right="0" w:firstLine="0"/>
        <w:jc w:val="left"/>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4"/>
      </w:pPr>
    </w:p>
    <w:p>
      <w:pPr>
        <w:pStyle w:val="Heading4"/>
      </w:pPr>
      <w:r>
        <w:rPr>
          <w:spacing w:val="-2"/>
        </w:rPr>
        <w:t>References</w:t>
      </w:r>
    </w:p>
    <w:p>
      <w:pPr>
        <w:pStyle w:val="BodyText"/>
        <w:spacing w:before="8"/>
        <w:rPr>
          <w:b/>
          <w:sz w:val="20"/>
        </w:rPr>
      </w:pPr>
    </w:p>
    <w:p>
      <w:pPr>
        <w:pStyle w:val="ListParagraph"/>
        <w:numPr>
          <w:ilvl w:val="0"/>
          <w:numId w:val="11"/>
        </w:numPr>
        <w:tabs>
          <w:tab w:pos="627" w:val="left" w:leader="none"/>
        </w:tabs>
        <w:spacing w:line="240" w:lineRule="auto" w:before="0" w:after="0"/>
        <w:ind w:left="626" w:right="295" w:hanging="389"/>
        <w:jc w:val="both"/>
        <w:rPr>
          <w:sz w:val="18"/>
        </w:rPr>
      </w:pPr>
      <w:r>
        <w:rPr>
          <w:sz w:val="18"/>
        </w:rPr>
        <w:t>Jay P. Desai;</w:t>
      </w:r>
      <w:r>
        <w:rPr>
          <w:spacing w:val="-2"/>
          <w:sz w:val="18"/>
        </w:rPr>
        <w:t> </w:t>
      </w:r>
      <w:r>
        <w:rPr>
          <w:sz w:val="18"/>
        </w:rPr>
        <w:t>Fady Moustarah, Peritoneal metastasis. June 2020. https://pubmed.ncbi.nlm.nih.gov/31082158/.</w:t>
      </w:r>
    </w:p>
    <w:p>
      <w:pPr>
        <w:pStyle w:val="ListParagraph"/>
        <w:numPr>
          <w:ilvl w:val="0"/>
          <w:numId w:val="11"/>
        </w:numPr>
        <w:tabs>
          <w:tab w:pos="627" w:val="left" w:leader="none"/>
        </w:tabs>
        <w:spacing w:line="240" w:lineRule="auto" w:before="1" w:after="0"/>
        <w:ind w:left="626" w:right="295" w:hanging="389"/>
        <w:jc w:val="both"/>
        <w:rPr>
          <w:sz w:val="18"/>
        </w:rPr>
      </w:pPr>
      <w:r>
        <w:rPr>
          <w:sz w:val="18"/>
        </w:rPr>
        <w:t>Janelle D Stevens,</w:t>
      </w:r>
      <w:r>
        <w:rPr>
          <w:spacing w:val="-1"/>
          <w:sz w:val="18"/>
        </w:rPr>
        <w:t> </w:t>
      </w:r>
      <w:hyperlink r:id="rId509">
        <w:r>
          <w:rPr>
            <w:sz w:val="18"/>
          </w:rPr>
          <w:t>Roy R Danks.</w:t>
        </w:r>
      </w:hyperlink>
      <w:r>
        <w:rPr>
          <w:sz w:val="18"/>
        </w:rPr>
        <w:t> Case report of mesen- teric metastases from lobular breast carcinoma. March 2011; 111(3): 180-182.</w:t>
      </w:r>
    </w:p>
    <w:p>
      <w:pPr>
        <w:pStyle w:val="ListParagraph"/>
        <w:numPr>
          <w:ilvl w:val="0"/>
          <w:numId w:val="11"/>
        </w:numPr>
        <w:tabs>
          <w:tab w:pos="627" w:val="left" w:leader="none"/>
        </w:tabs>
        <w:spacing w:line="240" w:lineRule="auto" w:before="1" w:after="0"/>
        <w:ind w:left="626" w:right="290" w:hanging="389"/>
        <w:jc w:val="both"/>
        <w:rPr>
          <w:sz w:val="18"/>
        </w:rPr>
      </w:pPr>
      <w:r>
        <w:rPr>
          <w:sz w:val="18"/>
        </w:rPr>
        <w:t>Flanagan M, Solon J, Chang KH, </w:t>
      </w:r>
      <w:r>
        <w:rPr>
          <w:i/>
          <w:sz w:val="18"/>
        </w:rPr>
        <w:t>et al</w:t>
      </w:r>
      <w:r>
        <w:rPr>
          <w:sz w:val="18"/>
        </w:rPr>
        <w:t>. Peritoneal metastases from extra-abdominal cancer - A population- based</w:t>
      </w:r>
      <w:r>
        <w:rPr>
          <w:spacing w:val="20"/>
          <w:sz w:val="18"/>
        </w:rPr>
        <w:t> </w:t>
      </w:r>
      <w:r>
        <w:rPr>
          <w:sz w:val="18"/>
        </w:rPr>
        <w:t>study.</w:t>
      </w:r>
      <w:r>
        <w:rPr>
          <w:spacing w:val="-1"/>
          <w:sz w:val="18"/>
        </w:rPr>
        <w:t> </w:t>
      </w:r>
      <w:r>
        <w:rPr>
          <w:i/>
          <w:sz w:val="18"/>
        </w:rPr>
        <w:t>Eur</w:t>
      </w:r>
      <w:r>
        <w:rPr>
          <w:i/>
          <w:spacing w:val="18"/>
          <w:sz w:val="18"/>
        </w:rPr>
        <w:t> </w:t>
      </w:r>
      <w:r>
        <w:rPr>
          <w:i/>
          <w:sz w:val="18"/>
        </w:rPr>
        <w:t>J</w:t>
      </w:r>
      <w:r>
        <w:rPr>
          <w:i/>
          <w:spacing w:val="18"/>
          <w:sz w:val="18"/>
        </w:rPr>
        <w:t> </w:t>
      </w:r>
      <w:r>
        <w:rPr>
          <w:i/>
          <w:sz w:val="18"/>
        </w:rPr>
        <w:t>Surg</w:t>
      </w:r>
      <w:r>
        <w:rPr>
          <w:i/>
          <w:spacing w:val="20"/>
          <w:sz w:val="18"/>
        </w:rPr>
        <w:t> </w:t>
      </w:r>
      <w:r>
        <w:rPr>
          <w:i/>
          <w:sz w:val="18"/>
        </w:rPr>
        <w:t>Oncol</w:t>
      </w:r>
      <w:r>
        <w:rPr>
          <w:i/>
          <w:spacing w:val="-3"/>
          <w:sz w:val="18"/>
        </w:rPr>
        <w:t> </w:t>
      </w:r>
      <w:r>
        <w:rPr>
          <w:sz w:val="18"/>
        </w:rPr>
        <w:t>2018;</w:t>
      </w:r>
      <w:r>
        <w:rPr>
          <w:spacing w:val="20"/>
          <w:sz w:val="18"/>
        </w:rPr>
        <w:t> </w:t>
      </w:r>
      <w:r>
        <w:rPr>
          <w:sz w:val="18"/>
        </w:rPr>
        <w:t>44(11):</w:t>
      </w:r>
      <w:r>
        <w:rPr>
          <w:spacing w:val="20"/>
          <w:sz w:val="18"/>
        </w:rPr>
        <w:t> </w:t>
      </w:r>
      <w:r>
        <w:rPr>
          <w:sz w:val="18"/>
        </w:rPr>
        <w:t>1811-1817.</w:t>
      </w:r>
    </w:p>
    <w:p>
      <w:pPr>
        <w:spacing w:line="205" w:lineRule="exact" w:before="0"/>
        <w:ind w:left="626" w:right="0" w:firstLine="0"/>
        <w:jc w:val="both"/>
        <w:rPr>
          <w:sz w:val="18"/>
        </w:rPr>
      </w:pPr>
      <w:r>
        <w:rPr>
          <w:sz w:val="18"/>
        </w:rPr>
        <w:t>doi:</w:t>
      </w:r>
      <w:r>
        <w:rPr>
          <w:spacing w:val="-5"/>
          <w:sz w:val="18"/>
        </w:rPr>
        <w:t> </w:t>
      </w:r>
      <w:r>
        <w:rPr>
          <w:sz w:val="18"/>
        </w:rPr>
        <w:t>10.1016/j.ejso.2018.07.049.</w:t>
      </w:r>
      <w:r>
        <w:rPr>
          <w:spacing w:val="-5"/>
          <w:sz w:val="18"/>
        </w:rPr>
        <w:t> </w:t>
      </w:r>
      <w:r>
        <w:rPr>
          <w:sz w:val="18"/>
        </w:rPr>
        <w:t>Epub</w:t>
      </w:r>
      <w:r>
        <w:rPr>
          <w:spacing w:val="-2"/>
          <w:sz w:val="18"/>
        </w:rPr>
        <w:t> </w:t>
      </w:r>
      <w:r>
        <w:rPr>
          <w:sz w:val="18"/>
        </w:rPr>
        <w:t>2018</w:t>
      </w:r>
      <w:r>
        <w:rPr>
          <w:spacing w:val="-2"/>
          <w:sz w:val="18"/>
        </w:rPr>
        <w:t> </w:t>
      </w:r>
      <w:r>
        <w:rPr>
          <w:sz w:val="18"/>
        </w:rPr>
        <w:t>Jul</w:t>
      </w:r>
      <w:r>
        <w:rPr>
          <w:spacing w:val="-3"/>
          <w:sz w:val="18"/>
        </w:rPr>
        <w:t> </w:t>
      </w:r>
      <w:r>
        <w:rPr>
          <w:spacing w:val="-5"/>
          <w:sz w:val="18"/>
        </w:rPr>
        <w:t>26.</w:t>
      </w:r>
    </w:p>
    <w:p>
      <w:pPr>
        <w:pStyle w:val="ListParagraph"/>
        <w:numPr>
          <w:ilvl w:val="0"/>
          <w:numId w:val="11"/>
        </w:numPr>
        <w:tabs>
          <w:tab w:pos="627" w:val="left" w:leader="none"/>
        </w:tabs>
        <w:spacing w:line="240" w:lineRule="auto" w:before="2" w:after="0"/>
        <w:ind w:left="626" w:right="297" w:hanging="389"/>
        <w:jc w:val="both"/>
        <w:rPr>
          <w:sz w:val="18"/>
        </w:rPr>
      </w:pPr>
      <w:r>
        <w:rPr>
          <w:sz w:val="18"/>
        </w:rPr>
        <w:t>Sampson JA. Implantation Peritoneal Carcinomatosis of Ovarian Origin. </w:t>
      </w:r>
      <w:r>
        <w:rPr>
          <w:i/>
          <w:sz w:val="18"/>
        </w:rPr>
        <w:t>Am J Pathol </w:t>
      </w:r>
      <w:r>
        <w:rPr>
          <w:sz w:val="18"/>
        </w:rPr>
        <w:t>1931; 7(5): 423-444.39.</w:t>
      </w:r>
    </w:p>
    <w:p>
      <w:pPr>
        <w:pStyle w:val="ListParagraph"/>
        <w:numPr>
          <w:ilvl w:val="0"/>
          <w:numId w:val="11"/>
        </w:numPr>
        <w:tabs>
          <w:tab w:pos="627" w:val="left" w:leader="none"/>
        </w:tabs>
        <w:spacing w:line="240" w:lineRule="auto" w:before="0" w:after="0"/>
        <w:ind w:left="626" w:right="295" w:hanging="389"/>
        <w:jc w:val="both"/>
        <w:rPr>
          <w:sz w:val="18"/>
        </w:rPr>
      </w:pPr>
      <w:hyperlink r:id="rId510">
        <w:r>
          <w:rPr>
            <w:sz w:val="18"/>
          </w:rPr>
          <w:t>Serena Bertozzi,</w:t>
        </w:r>
      </w:hyperlink>
      <w:r>
        <w:rPr>
          <w:sz w:val="18"/>
        </w:rPr>
        <w:t> </w:t>
      </w:r>
      <w:hyperlink r:id="rId511">
        <w:r>
          <w:rPr>
            <w:sz w:val="18"/>
          </w:rPr>
          <w:t>Ambrogio P Londero,</w:t>
        </w:r>
      </w:hyperlink>
      <w:r>
        <w:rPr>
          <w:spacing w:val="-6"/>
          <w:sz w:val="18"/>
        </w:rPr>
        <w:t> </w:t>
      </w:r>
      <w:hyperlink r:id="rId512">
        <w:r>
          <w:rPr>
            <w:sz w:val="18"/>
          </w:rPr>
          <w:t>Carla Cedolini,</w:t>
        </w:r>
      </w:hyperlink>
      <w:r>
        <w:rPr>
          <w:spacing w:val="-6"/>
          <w:sz w:val="18"/>
        </w:rPr>
        <w:t> </w:t>
      </w:r>
      <w:r>
        <w:rPr>
          <w:i/>
          <w:sz w:val="18"/>
        </w:rPr>
        <w:t>et</w:t>
      </w:r>
      <w:r>
        <w:rPr>
          <w:i/>
          <w:sz w:val="18"/>
        </w:rPr>
        <w:t> al</w:t>
      </w:r>
      <w:r>
        <w:rPr>
          <w:sz w:val="18"/>
        </w:rPr>
        <w:t>. Prevalence, risk factors, and prognosis of peritoneal metastasis</w:t>
      </w:r>
      <w:r>
        <w:rPr>
          <w:spacing w:val="40"/>
          <w:sz w:val="18"/>
        </w:rPr>
        <w:t> </w:t>
      </w:r>
      <w:r>
        <w:rPr>
          <w:sz w:val="18"/>
        </w:rPr>
        <w:t>from</w:t>
      </w:r>
      <w:r>
        <w:rPr>
          <w:spacing w:val="40"/>
          <w:sz w:val="18"/>
        </w:rPr>
        <w:t> </w:t>
      </w:r>
      <w:r>
        <w:rPr>
          <w:sz w:val="18"/>
        </w:rPr>
        <w:t>breast</w:t>
      </w:r>
      <w:r>
        <w:rPr>
          <w:spacing w:val="40"/>
          <w:sz w:val="18"/>
        </w:rPr>
        <w:t> </w:t>
      </w:r>
      <w:r>
        <w:rPr>
          <w:sz w:val="18"/>
        </w:rPr>
        <w:t>cancer</w:t>
      </w:r>
      <w:r>
        <w:rPr>
          <w:spacing w:val="40"/>
          <w:sz w:val="18"/>
        </w:rPr>
        <w:t> </w:t>
      </w:r>
      <w:r>
        <w:rPr>
          <w:sz w:val="18"/>
        </w:rPr>
        <w:t>2015;</w:t>
      </w:r>
      <w:r>
        <w:rPr>
          <w:spacing w:val="40"/>
          <w:sz w:val="18"/>
        </w:rPr>
        <w:t> </w:t>
      </w:r>
      <w:r>
        <w:rPr>
          <w:sz w:val="18"/>
        </w:rPr>
        <w:t>4:</w:t>
      </w:r>
      <w:r>
        <w:rPr>
          <w:spacing w:val="40"/>
          <w:sz w:val="18"/>
        </w:rPr>
        <w:t> </w:t>
      </w:r>
      <w:r>
        <w:rPr>
          <w:sz w:val="18"/>
        </w:rPr>
        <w:t>688.</w:t>
      </w:r>
      <w:r>
        <w:rPr>
          <w:spacing w:val="40"/>
          <w:sz w:val="18"/>
        </w:rPr>
        <w:t> </w:t>
      </w:r>
      <w:r>
        <w:rPr>
          <w:sz w:val="18"/>
        </w:rPr>
        <w:t>Published</w:t>
      </w:r>
    </w:p>
    <w:p>
      <w:pPr>
        <w:spacing w:line="207" w:lineRule="exact" w:before="0"/>
        <w:ind w:left="626" w:right="0" w:firstLine="0"/>
        <w:jc w:val="both"/>
        <w:rPr>
          <w:sz w:val="18"/>
        </w:rPr>
      </w:pPr>
      <w:r>
        <w:rPr>
          <w:sz w:val="18"/>
        </w:rPr>
        <w:t>online</w:t>
      </w:r>
      <w:r>
        <w:rPr>
          <w:spacing w:val="-2"/>
          <w:sz w:val="18"/>
        </w:rPr>
        <w:t> </w:t>
      </w:r>
      <w:r>
        <w:rPr>
          <w:sz w:val="18"/>
        </w:rPr>
        <w:t>2015 Nov</w:t>
      </w:r>
      <w:r>
        <w:rPr>
          <w:spacing w:val="-5"/>
          <w:sz w:val="18"/>
        </w:rPr>
        <w:t> </w:t>
      </w:r>
      <w:r>
        <w:rPr>
          <w:sz w:val="18"/>
        </w:rPr>
        <w:t>10.</w:t>
      </w:r>
      <w:r>
        <w:rPr>
          <w:spacing w:val="-3"/>
          <w:sz w:val="18"/>
        </w:rPr>
        <w:t> </w:t>
      </w:r>
      <w:r>
        <w:rPr>
          <w:sz w:val="18"/>
        </w:rPr>
        <w:t>doi:</w:t>
      </w:r>
      <w:r>
        <w:rPr>
          <w:spacing w:val="-2"/>
          <w:sz w:val="18"/>
        </w:rPr>
        <w:t> </w:t>
      </w:r>
      <w:r>
        <w:rPr>
          <w:sz w:val="18"/>
        </w:rPr>
        <w:t>10.1186/s40064-015-1449-</w:t>
      </w:r>
      <w:r>
        <w:rPr>
          <w:spacing w:val="-5"/>
          <w:sz w:val="18"/>
        </w:rPr>
        <w:t>x.</w:t>
      </w:r>
    </w:p>
    <w:p>
      <w:pPr>
        <w:pStyle w:val="ListParagraph"/>
        <w:numPr>
          <w:ilvl w:val="0"/>
          <w:numId w:val="11"/>
        </w:numPr>
        <w:tabs>
          <w:tab w:pos="627" w:val="left" w:leader="none"/>
        </w:tabs>
        <w:spacing w:line="240" w:lineRule="auto" w:before="0" w:after="0"/>
        <w:ind w:left="626" w:right="293" w:hanging="389"/>
        <w:jc w:val="both"/>
        <w:rPr>
          <w:sz w:val="18"/>
        </w:rPr>
      </w:pPr>
      <w:r>
        <w:rPr>
          <w:sz w:val="18"/>
        </w:rPr>
        <w:t>Andrian Panuta,</w:t>
      </w:r>
      <w:r>
        <w:rPr>
          <w:spacing w:val="-4"/>
          <w:sz w:val="18"/>
        </w:rPr>
        <w:t> </w:t>
      </w:r>
      <w:r>
        <w:rPr>
          <w:sz w:val="18"/>
        </w:rPr>
        <w:t>Iulian Radu, Ionuț Huțanu, </w:t>
      </w:r>
      <w:r>
        <w:rPr>
          <w:i/>
          <w:sz w:val="18"/>
        </w:rPr>
        <w:t>et al</w:t>
      </w:r>
      <w:r>
        <w:rPr>
          <w:sz w:val="18"/>
        </w:rPr>
        <w:t>. Breast cancer with intraabdominal metastases. Is surgery necessary?</w:t>
      </w:r>
      <w:r>
        <w:rPr>
          <w:spacing w:val="40"/>
          <w:sz w:val="18"/>
        </w:rPr>
        <w:t> </w:t>
      </w:r>
      <w:r>
        <w:rPr>
          <w:i/>
          <w:sz w:val="18"/>
        </w:rPr>
        <w:t>Arch Clin Cases </w:t>
      </w:r>
      <w:r>
        <w:rPr>
          <w:sz w:val="18"/>
        </w:rPr>
        <w:t>2018; 5(4): 128-134.</w:t>
      </w:r>
    </w:p>
    <w:p>
      <w:pPr>
        <w:pStyle w:val="ListParagraph"/>
        <w:numPr>
          <w:ilvl w:val="0"/>
          <w:numId w:val="11"/>
        </w:numPr>
        <w:tabs>
          <w:tab w:pos="627" w:val="left" w:leader="none"/>
        </w:tabs>
        <w:spacing w:line="240" w:lineRule="auto" w:before="0" w:after="0"/>
        <w:ind w:left="626" w:right="293" w:hanging="389"/>
        <w:jc w:val="both"/>
        <w:rPr>
          <w:sz w:val="18"/>
        </w:rPr>
      </w:pPr>
      <w:r>
        <w:rPr>
          <w:sz w:val="18"/>
        </w:rPr>
        <w:t>Nicolae Bacalbasa. Diagnostic and therapeutic strategies</w:t>
      </w:r>
      <w:r>
        <w:rPr>
          <w:spacing w:val="40"/>
          <w:sz w:val="18"/>
        </w:rPr>
        <w:t> </w:t>
      </w:r>
      <w:r>
        <w:rPr>
          <w:sz w:val="18"/>
        </w:rPr>
        <w:t>in peritoneal carcinomatosis from breast cancer-literature minireview. 2018; 53(40): 590-593.</w:t>
      </w:r>
    </w:p>
    <w:p>
      <w:pPr>
        <w:spacing w:after="0" w:line="240" w:lineRule="auto"/>
        <w:jc w:val="both"/>
        <w:rPr>
          <w:sz w:val="18"/>
        </w:rPr>
        <w:sectPr>
          <w:type w:val="continuous"/>
          <w:pgSz w:w="11910" w:h="16840"/>
          <w:pgMar w:header="854" w:footer="0" w:top="740" w:bottom="0" w:left="900" w:right="840"/>
          <w:cols w:num="2" w:equalWidth="0">
            <w:col w:w="4919" w:space="79"/>
            <w:col w:w="5172"/>
          </w:cols>
        </w:sectPr>
      </w:pPr>
    </w:p>
    <w:p>
      <w:pPr>
        <w:pStyle w:val="BodyText"/>
        <w:spacing w:before="10"/>
        <w:rPr>
          <w:sz w:val="10"/>
        </w:rPr>
      </w:pPr>
    </w:p>
    <w:p>
      <w:pPr>
        <w:spacing w:before="90"/>
        <w:ind w:left="238" w:right="0" w:firstLine="0"/>
        <w:jc w:val="left"/>
        <w:rPr>
          <w:i/>
          <w:sz w:val="24"/>
        </w:rPr>
      </w:pPr>
      <w:r>
        <w:rPr>
          <w:i/>
          <w:sz w:val="24"/>
        </w:rPr>
        <w:t>Case</w:t>
      </w:r>
      <w:r>
        <w:rPr>
          <w:i/>
          <w:spacing w:val="-3"/>
          <w:sz w:val="24"/>
        </w:rPr>
        <w:t> </w:t>
      </w:r>
      <w:r>
        <w:rPr>
          <w:i/>
          <w:spacing w:val="-2"/>
          <w:sz w:val="24"/>
        </w:rPr>
        <w:t>report</w:t>
      </w:r>
    </w:p>
    <w:p>
      <w:pPr>
        <w:pStyle w:val="BodyText"/>
        <w:spacing w:before="8"/>
        <w:rPr>
          <w:i/>
        </w:rPr>
      </w:pPr>
    </w:p>
    <w:p>
      <w:pPr>
        <w:pStyle w:val="Heading2"/>
        <w:spacing w:line="468" w:lineRule="auto"/>
        <w:ind w:right="2197"/>
      </w:pPr>
      <w:bookmarkStart w:name="_TOC_250008" w:id="14"/>
      <w:r>
        <w:rPr/>
        <w:t>MACROHEMATURIA IN SARS-COV-2 PREGNANT PATIENT МАКРОХЕМАТУРИЈА</w:t>
      </w:r>
      <w:r>
        <w:rPr>
          <w:spacing w:val="-11"/>
        </w:rPr>
        <w:t> </w:t>
      </w:r>
      <w:r>
        <w:rPr/>
        <w:t>КАЈ</w:t>
      </w:r>
      <w:r>
        <w:rPr>
          <w:spacing w:val="-8"/>
        </w:rPr>
        <w:t> </w:t>
      </w:r>
      <w:r>
        <w:rPr/>
        <w:t>SARS-COV-2</w:t>
      </w:r>
      <w:r>
        <w:rPr>
          <w:spacing w:val="-8"/>
        </w:rPr>
        <w:t> </w:t>
      </w:r>
      <w:r>
        <w:rPr/>
        <w:t>БРЕМЕНА</w:t>
      </w:r>
      <w:r>
        <w:rPr>
          <w:spacing w:val="-11"/>
        </w:rPr>
        <w:t> </w:t>
      </w:r>
      <w:bookmarkEnd w:id="14"/>
      <w:r>
        <w:rPr/>
        <w:t>ПАЦИЕНТКА</w:t>
      </w:r>
    </w:p>
    <w:p>
      <w:pPr>
        <w:pStyle w:val="Heading1"/>
      </w:pPr>
      <w:r>
        <w:rPr/>
        <w:t>Rina</w:t>
      </w:r>
      <w:r>
        <w:rPr>
          <w:spacing w:val="38"/>
        </w:rPr>
        <w:t> </w:t>
      </w:r>
      <w:r>
        <w:rPr/>
        <w:t>Purrini,</w:t>
      </w:r>
      <w:r>
        <w:rPr>
          <w:spacing w:val="36"/>
        </w:rPr>
        <w:t> </w:t>
      </w:r>
      <w:r>
        <w:rPr/>
        <w:t>Jadranka</w:t>
      </w:r>
      <w:r>
        <w:rPr>
          <w:spacing w:val="38"/>
        </w:rPr>
        <w:t> </w:t>
      </w:r>
      <w:r>
        <w:rPr/>
        <w:t>Georgievska,</w:t>
      </w:r>
      <w:r>
        <w:rPr>
          <w:spacing w:val="38"/>
        </w:rPr>
        <w:t> </w:t>
      </w:r>
      <w:r>
        <w:rPr/>
        <w:t>Maja</w:t>
      </w:r>
      <w:r>
        <w:rPr>
          <w:spacing w:val="38"/>
        </w:rPr>
        <w:t> </w:t>
      </w:r>
      <w:r>
        <w:rPr/>
        <w:t>Pejkovska</w:t>
      </w:r>
      <w:r>
        <w:rPr>
          <w:spacing w:val="40"/>
        </w:rPr>
        <w:t> </w:t>
      </w:r>
      <w:r>
        <w:rPr/>
        <w:t>Ilieva,</w:t>
      </w:r>
      <w:r>
        <w:rPr>
          <w:spacing w:val="38"/>
        </w:rPr>
        <w:t> </w:t>
      </w:r>
      <w:r>
        <w:rPr/>
        <w:t>Vesna</w:t>
      </w:r>
      <w:r>
        <w:rPr>
          <w:spacing w:val="40"/>
        </w:rPr>
        <w:t> </w:t>
      </w:r>
      <w:r>
        <w:rPr/>
        <w:t>Livrinova,</w:t>
      </w:r>
      <w:r>
        <w:rPr>
          <w:spacing w:val="38"/>
        </w:rPr>
        <w:t> </w:t>
      </w:r>
      <w:r>
        <w:rPr/>
        <w:t>Albina</w:t>
      </w:r>
      <w:r>
        <w:rPr>
          <w:spacing w:val="38"/>
        </w:rPr>
        <w:t> </w:t>
      </w:r>
      <w:r>
        <w:rPr/>
        <w:t>Bejta</w:t>
      </w:r>
      <w:r>
        <w:rPr>
          <w:spacing w:val="38"/>
        </w:rPr>
        <w:t> </w:t>
      </w:r>
      <w:r>
        <w:rPr/>
        <w:t>and Romir Kadriu</w:t>
      </w:r>
    </w:p>
    <w:p>
      <w:pPr>
        <w:pStyle w:val="BodyText"/>
        <w:spacing w:before="9"/>
        <w:rPr>
          <w:sz w:val="20"/>
        </w:rPr>
      </w:pPr>
    </w:p>
    <w:p>
      <w:pPr>
        <w:spacing w:before="1"/>
        <w:ind w:left="238" w:right="0" w:firstLine="0"/>
        <w:jc w:val="left"/>
        <w:rPr>
          <w:sz w:val="22"/>
        </w:rPr>
      </w:pPr>
      <w:r>
        <w:rPr>
          <w:sz w:val="22"/>
        </w:rPr>
        <w:t>University</w:t>
      </w:r>
      <w:r>
        <w:rPr>
          <w:spacing w:val="-10"/>
          <w:sz w:val="22"/>
        </w:rPr>
        <w:t> </w:t>
      </w:r>
      <w:r>
        <w:rPr>
          <w:sz w:val="22"/>
        </w:rPr>
        <w:t>Clinic</w:t>
      </w:r>
      <w:r>
        <w:rPr>
          <w:spacing w:val="-7"/>
          <w:sz w:val="22"/>
        </w:rPr>
        <w:t> </w:t>
      </w:r>
      <w:r>
        <w:rPr>
          <w:sz w:val="22"/>
        </w:rPr>
        <w:t>for</w:t>
      </w:r>
      <w:r>
        <w:rPr>
          <w:spacing w:val="-5"/>
          <w:sz w:val="22"/>
        </w:rPr>
        <w:t> </w:t>
      </w:r>
      <w:r>
        <w:rPr>
          <w:sz w:val="22"/>
        </w:rPr>
        <w:t>Obstetrics</w:t>
      </w:r>
      <w:r>
        <w:rPr>
          <w:spacing w:val="-7"/>
          <w:sz w:val="22"/>
        </w:rPr>
        <w:t> </w:t>
      </w:r>
      <w:r>
        <w:rPr>
          <w:sz w:val="22"/>
        </w:rPr>
        <w:t>and</w:t>
      </w:r>
      <w:r>
        <w:rPr>
          <w:spacing w:val="-5"/>
          <w:sz w:val="22"/>
        </w:rPr>
        <w:t> </w:t>
      </w:r>
      <w:r>
        <w:rPr>
          <w:sz w:val="22"/>
        </w:rPr>
        <w:t>Gynecology,</w:t>
      </w:r>
      <w:r>
        <w:rPr>
          <w:spacing w:val="-5"/>
          <w:sz w:val="22"/>
        </w:rPr>
        <w:t> </w:t>
      </w:r>
      <w:r>
        <w:rPr>
          <w:sz w:val="22"/>
        </w:rPr>
        <w:t>“Mother</w:t>
      </w:r>
      <w:r>
        <w:rPr>
          <w:spacing w:val="-7"/>
          <w:sz w:val="22"/>
        </w:rPr>
        <w:t> </w:t>
      </w:r>
      <w:r>
        <w:rPr>
          <w:sz w:val="22"/>
        </w:rPr>
        <w:t>Teresa”,</w:t>
      </w:r>
      <w:r>
        <w:rPr>
          <w:spacing w:val="-5"/>
          <w:sz w:val="22"/>
        </w:rPr>
        <w:t> </w:t>
      </w:r>
      <w:r>
        <w:rPr>
          <w:sz w:val="22"/>
        </w:rPr>
        <w:t>Skopje,</w:t>
      </w:r>
      <w:r>
        <w:rPr>
          <w:spacing w:val="-4"/>
          <w:sz w:val="22"/>
        </w:rPr>
        <w:t> </w:t>
      </w:r>
      <w:r>
        <w:rPr>
          <w:spacing w:val="-2"/>
          <w:sz w:val="22"/>
        </w:rPr>
        <w:t>Macedonia</w:t>
      </w:r>
    </w:p>
    <w:p>
      <w:pPr>
        <w:pStyle w:val="BodyText"/>
        <w:spacing w:before="10"/>
        <w:rPr>
          <w:sz w:val="12"/>
        </w:rPr>
      </w:pPr>
    </w:p>
    <w:p>
      <w:pPr>
        <w:spacing w:after="0"/>
        <w:rPr>
          <w:sz w:val="12"/>
        </w:rPr>
        <w:sectPr>
          <w:headerReference w:type="even" r:id="rId513"/>
          <w:headerReference w:type="default" r:id="rId514"/>
          <w:pgSz w:w="11910" w:h="16840"/>
          <w:pgMar w:header="854" w:footer="0" w:top="1440" w:bottom="280" w:left="900" w:right="840"/>
        </w:sectPr>
      </w:pPr>
    </w:p>
    <w:p>
      <w:pPr>
        <w:pStyle w:val="Heading4"/>
        <w:spacing w:before="98"/>
      </w:pPr>
      <w:r>
        <w:rPr>
          <w:spacing w:val="-2"/>
        </w:rPr>
        <w:t>Abstract</w:t>
      </w:r>
    </w:p>
    <w:p>
      <w:pPr>
        <w:pStyle w:val="BodyText"/>
        <w:spacing w:before="6"/>
        <w:rPr>
          <w:b/>
          <w:sz w:val="20"/>
        </w:rPr>
      </w:pPr>
    </w:p>
    <w:p>
      <w:pPr>
        <w:pStyle w:val="BodyText"/>
        <w:ind w:left="238" w:right="38"/>
        <w:jc w:val="both"/>
      </w:pPr>
      <w:r>
        <w:rPr/>
        <w:t>Covid-19</w:t>
      </w:r>
      <w:r>
        <w:rPr>
          <w:spacing w:val="-14"/>
        </w:rPr>
        <w:t> </w:t>
      </w:r>
      <w:r>
        <w:rPr/>
        <w:t>is</w:t>
      </w:r>
      <w:r>
        <w:rPr>
          <w:spacing w:val="-13"/>
        </w:rPr>
        <w:t> </w:t>
      </w:r>
      <w:r>
        <w:rPr/>
        <w:t>a</w:t>
      </w:r>
      <w:r>
        <w:rPr>
          <w:spacing w:val="-13"/>
        </w:rPr>
        <w:t> </w:t>
      </w:r>
      <w:r>
        <w:rPr/>
        <w:t>new</w:t>
      </w:r>
      <w:r>
        <w:rPr>
          <w:spacing w:val="-13"/>
        </w:rPr>
        <w:t> </w:t>
      </w:r>
      <w:r>
        <w:rPr/>
        <w:t>virus</w:t>
      </w:r>
      <w:r>
        <w:rPr>
          <w:spacing w:val="-13"/>
        </w:rPr>
        <w:t> </w:t>
      </w:r>
      <w:r>
        <w:rPr/>
        <w:t>and</w:t>
      </w:r>
      <w:r>
        <w:rPr>
          <w:spacing w:val="-13"/>
        </w:rPr>
        <w:t> </w:t>
      </w:r>
      <w:r>
        <w:rPr/>
        <w:t>very</w:t>
      </w:r>
      <w:r>
        <w:rPr>
          <w:spacing w:val="-13"/>
        </w:rPr>
        <w:t> </w:t>
      </w:r>
      <w:r>
        <w:rPr/>
        <w:t>little</w:t>
      </w:r>
      <w:r>
        <w:rPr>
          <w:spacing w:val="-13"/>
        </w:rPr>
        <w:t> </w:t>
      </w:r>
      <w:r>
        <w:rPr/>
        <w:t>research</w:t>
      </w:r>
      <w:r>
        <w:rPr>
          <w:spacing w:val="-14"/>
        </w:rPr>
        <w:t> </w:t>
      </w:r>
      <w:r>
        <w:rPr/>
        <w:t>has</w:t>
      </w:r>
      <w:r>
        <w:rPr>
          <w:spacing w:val="-13"/>
        </w:rPr>
        <w:t> </w:t>
      </w:r>
      <w:r>
        <w:rPr/>
        <w:t>been done regarding it. Target organs of SARS-CoV-2 are not</w:t>
      </w:r>
      <w:r>
        <w:rPr>
          <w:spacing w:val="-14"/>
        </w:rPr>
        <w:t> </w:t>
      </w:r>
      <w:r>
        <w:rPr/>
        <w:t>only</w:t>
      </w:r>
      <w:r>
        <w:rPr>
          <w:spacing w:val="-13"/>
        </w:rPr>
        <w:t> </w:t>
      </w:r>
      <w:r>
        <w:rPr/>
        <w:t>the</w:t>
      </w:r>
      <w:r>
        <w:rPr>
          <w:spacing w:val="-13"/>
        </w:rPr>
        <w:t> </w:t>
      </w:r>
      <w:r>
        <w:rPr/>
        <w:t>lungs</w:t>
      </w:r>
      <w:r>
        <w:rPr>
          <w:spacing w:val="-13"/>
        </w:rPr>
        <w:t> </w:t>
      </w:r>
      <w:r>
        <w:rPr/>
        <w:t>and</w:t>
      </w:r>
      <w:r>
        <w:rPr>
          <w:spacing w:val="-13"/>
        </w:rPr>
        <w:t> </w:t>
      </w:r>
      <w:r>
        <w:rPr/>
        <w:t>the</w:t>
      </w:r>
      <w:r>
        <w:rPr>
          <w:spacing w:val="-13"/>
        </w:rPr>
        <w:t> </w:t>
      </w:r>
      <w:r>
        <w:rPr/>
        <w:t>heart</w:t>
      </w:r>
      <w:r>
        <w:rPr>
          <w:spacing w:val="-13"/>
        </w:rPr>
        <w:t> </w:t>
      </w:r>
      <w:r>
        <w:rPr/>
        <w:t>but</w:t>
      </w:r>
      <w:r>
        <w:rPr>
          <w:spacing w:val="-13"/>
        </w:rPr>
        <w:t> </w:t>
      </w:r>
      <w:r>
        <w:rPr/>
        <w:t>other</w:t>
      </w:r>
      <w:r>
        <w:rPr>
          <w:spacing w:val="-14"/>
        </w:rPr>
        <w:t> </w:t>
      </w:r>
      <w:r>
        <w:rPr/>
        <w:t>organs</w:t>
      </w:r>
      <w:r>
        <w:rPr>
          <w:spacing w:val="-13"/>
        </w:rPr>
        <w:t> </w:t>
      </w:r>
      <w:r>
        <w:rPr/>
        <w:t>as</w:t>
      </w:r>
      <w:r>
        <w:rPr>
          <w:spacing w:val="-13"/>
        </w:rPr>
        <w:t> </w:t>
      </w:r>
      <w:r>
        <w:rPr/>
        <w:t>well. There has been a huge focus on the effect this novel virus has on the kidneys. This is proven by the presen- ce of proteinuria, hematuria and acute kidney injury (AKI). This has been specifically noted in pregnant women, who are a target group for a more complex COVID19 disease than in the nonpregnant ones. We have</w:t>
      </w:r>
      <w:r>
        <w:rPr>
          <w:spacing w:val="31"/>
        </w:rPr>
        <w:t> </w:t>
      </w:r>
      <w:r>
        <w:rPr/>
        <w:t>reported</w:t>
      </w:r>
      <w:r>
        <w:rPr>
          <w:spacing w:val="32"/>
        </w:rPr>
        <w:t> </w:t>
      </w:r>
      <w:r>
        <w:rPr/>
        <w:t>a</w:t>
      </w:r>
      <w:r>
        <w:rPr>
          <w:spacing w:val="32"/>
        </w:rPr>
        <w:t> </w:t>
      </w:r>
      <w:r>
        <w:rPr/>
        <w:t>case</w:t>
      </w:r>
      <w:r>
        <w:rPr>
          <w:spacing w:val="31"/>
        </w:rPr>
        <w:t> </w:t>
      </w:r>
      <w:r>
        <w:rPr/>
        <w:t>of</w:t>
      </w:r>
      <w:r>
        <w:rPr>
          <w:spacing w:val="31"/>
        </w:rPr>
        <w:t> </w:t>
      </w:r>
      <w:r>
        <w:rPr/>
        <w:t>a</w:t>
      </w:r>
      <w:r>
        <w:rPr>
          <w:spacing w:val="27"/>
        </w:rPr>
        <w:t> </w:t>
      </w:r>
      <w:r>
        <w:rPr/>
        <w:t>COVID19</w:t>
      </w:r>
      <w:r>
        <w:rPr>
          <w:spacing w:val="32"/>
        </w:rPr>
        <w:t> </w:t>
      </w:r>
      <w:r>
        <w:rPr/>
        <w:t>positive</w:t>
      </w:r>
      <w:r>
        <w:rPr>
          <w:spacing w:val="32"/>
        </w:rPr>
        <w:t> </w:t>
      </w:r>
      <w:r>
        <w:rPr>
          <w:spacing w:val="-2"/>
        </w:rPr>
        <w:t>patient</w:t>
      </w:r>
    </w:p>
    <w:p>
      <w:pPr>
        <w:pStyle w:val="BodyText"/>
        <w:spacing w:before="93"/>
        <w:ind w:left="238" w:right="287"/>
        <w:jc w:val="both"/>
      </w:pPr>
      <w:r>
        <w:rPr/>
        <w:br w:type="column"/>
      </w:r>
      <w:r>
        <w:rPr/>
        <w:t>зиторно гломеруларно оштетување поради вирус- </w:t>
      </w:r>
      <w:r>
        <w:rPr>
          <w:spacing w:val="-6"/>
        </w:rPr>
        <w:t>ната</w:t>
      </w:r>
      <w:r>
        <w:rPr>
          <w:spacing w:val="6"/>
        </w:rPr>
        <w:t> </w:t>
      </w:r>
      <w:r>
        <w:rPr>
          <w:spacing w:val="-6"/>
        </w:rPr>
        <w:t>инфекција.</w:t>
      </w:r>
      <w:r>
        <w:rPr>
          <w:spacing w:val="-7"/>
        </w:rPr>
        <w:t> </w:t>
      </w:r>
      <w:r>
        <w:rPr>
          <w:spacing w:val="-6"/>
        </w:rPr>
        <w:t>Пациентката</w:t>
      </w:r>
      <w:r>
        <w:rPr>
          <w:spacing w:val="-7"/>
        </w:rPr>
        <w:t> </w:t>
      </w:r>
      <w:r>
        <w:rPr>
          <w:spacing w:val="-6"/>
        </w:rPr>
        <w:t>роди</w:t>
      </w:r>
      <w:r>
        <w:rPr>
          <w:spacing w:val="-7"/>
        </w:rPr>
        <w:t> </w:t>
      </w:r>
      <w:r>
        <w:rPr>
          <w:spacing w:val="-6"/>
        </w:rPr>
        <w:t>две</w:t>
      </w:r>
      <w:r>
        <w:rPr>
          <w:spacing w:val="-7"/>
        </w:rPr>
        <w:t> </w:t>
      </w:r>
      <w:r>
        <w:rPr>
          <w:spacing w:val="-6"/>
        </w:rPr>
        <w:t>здрави</w:t>
      </w:r>
      <w:r>
        <w:rPr>
          <w:spacing w:val="-7"/>
        </w:rPr>
        <w:t> </w:t>
      </w:r>
      <w:r>
        <w:rPr>
          <w:spacing w:val="-6"/>
        </w:rPr>
        <w:t>КОВИД </w:t>
      </w:r>
      <w:r>
        <w:rPr/>
        <w:t>19 негативни новороденчиња, а таа продолжи со третман на Клиника за инфективни болести. Бре- мените жени, без претходна бубрежна патологија се склони на бубрежно оштетување како резултат на</w:t>
      </w:r>
      <w:r>
        <w:rPr>
          <w:spacing w:val="-8"/>
        </w:rPr>
        <w:t> </w:t>
      </w:r>
      <w:r>
        <w:rPr/>
        <w:t>SARS-CoV-2</w:t>
      </w:r>
      <w:r>
        <w:rPr>
          <w:spacing w:val="-8"/>
        </w:rPr>
        <w:t> </w:t>
      </w:r>
      <w:r>
        <w:rPr/>
        <w:t>инфекција,</w:t>
      </w:r>
      <w:r>
        <w:rPr>
          <w:spacing w:val="-6"/>
        </w:rPr>
        <w:t> </w:t>
      </w:r>
      <w:r>
        <w:rPr/>
        <w:t>и</w:t>
      </w:r>
      <w:r>
        <w:rPr>
          <w:spacing w:val="-8"/>
        </w:rPr>
        <w:t> </w:t>
      </w:r>
      <w:r>
        <w:rPr/>
        <w:t>треба</w:t>
      </w:r>
      <w:r>
        <w:rPr>
          <w:spacing w:val="-8"/>
        </w:rPr>
        <w:t> </w:t>
      </w:r>
      <w:r>
        <w:rPr/>
        <w:t>да</w:t>
      </w:r>
      <w:r>
        <w:rPr>
          <w:spacing w:val="-8"/>
        </w:rPr>
        <w:t> </w:t>
      </w:r>
      <w:r>
        <w:rPr/>
        <w:t>бидат</w:t>
      </w:r>
      <w:r>
        <w:rPr>
          <w:spacing w:val="-8"/>
        </w:rPr>
        <w:t> </w:t>
      </w:r>
      <w:r>
        <w:rPr/>
        <w:t>внима- телно мониторирани за развојот на акутното буб- режно оштетување, се со цел да го спречат тоа.</w:t>
      </w:r>
    </w:p>
    <w:p>
      <w:pPr>
        <w:pStyle w:val="BodyText"/>
      </w:pPr>
    </w:p>
    <w:p>
      <w:pPr>
        <w:spacing w:before="0"/>
        <w:ind w:left="238" w:right="0" w:firstLine="0"/>
        <w:jc w:val="left"/>
        <w:rPr>
          <w:sz w:val="21"/>
        </w:rPr>
      </w:pPr>
      <w:r>
        <w:rPr>
          <w:b/>
          <w:sz w:val="21"/>
        </w:rPr>
        <w:t>Клучни</w:t>
      </w:r>
      <w:r>
        <w:rPr>
          <w:b/>
          <w:spacing w:val="-11"/>
          <w:sz w:val="21"/>
        </w:rPr>
        <w:t> </w:t>
      </w:r>
      <w:r>
        <w:rPr>
          <w:b/>
          <w:sz w:val="21"/>
        </w:rPr>
        <w:t>зборови:</w:t>
      </w:r>
      <w:r>
        <w:rPr>
          <w:b/>
          <w:spacing w:val="-12"/>
          <w:sz w:val="21"/>
        </w:rPr>
        <w:t> </w:t>
      </w:r>
      <w:r>
        <w:rPr>
          <w:sz w:val="21"/>
        </w:rPr>
        <w:t>SARS-CoV-2,</w:t>
      </w:r>
      <w:r>
        <w:rPr>
          <w:spacing w:val="-11"/>
          <w:sz w:val="21"/>
        </w:rPr>
        <w:t> </w:t>
      </w:r>
      <w:r>
        <w:rPr>
          <w:sz w:val="21"/>
        </w:rPr>
        <w:t>макрохематурија, acidum uricum, бубрези</w:t>
      </w:r>
    </w:p>
    <w:p>
      <w:pPr>
        <w:spacing w:after="0"/>
        <w:jc w:val="left"/>
        <w:rPr>
          <w:sz w:val="21"/>
        </w:rPr>
        <w:sectPr>
          <w:type w:val="continuous"/>
          <w:pgSz w:w="11910" w:h="16840"/>
          <w:pgMar w:header="859" w:footer="0" w:top="740" w:bottom="0" w:left="900" w:right="840"/>
          <w:cols w:num="2" w:equalWidth="0">
            <w:col w:w="4918" w:space="79"/>
            <w:col w:w="5173"/>
          </w:cols>
        </w:sectPr>
      </w:pPr>
    </w:p>
    <w:p>
      <w:pPr>
        <w:pStyle w:val="BodyText"/>
        <w:tabs>
          <w:tab w:pos="5235" w:val="left" w:leader="none"/>
          <w:tab w:pos="9782" w:val="left" w:leader="none"/>
        </w:tabs>
        <w:ind w:left="238" w:right="385"/>
      </w:pPr>
      <w:r>
        <w:rPr/>
        <w:t>with a gemellar pregnancy complicated with macrohe-</w:t>
        <w:tab/>
      </w:r>
      <w:r>
        <w:rPr>
          <w:u w:val="single"/>
        </w:rPr>
        <w:tab/>
      </w:r>
      <w:r>
        <w:rPr/>
        <w:t> maturia because of transitory glomerular damage due</w:t>
      </w:r>
    </w:p>
    <w:p>
      <w:pPr>
        <w:spacing w:after="0"/>
        <w:sectPr>
          <w:type w:val="continuous"/>
          <w:pgSz w:w="11910" w:h="16840"/>
          <w:pgMar w:header="859" w:footer="0" w:top="740" w:bottom="0" w:left="900" w:right="840"/>
        </w:sectPr>
      </w:pPr>
    </w:p>
    <w:p>
      <w:pPr>
        <w:pStyle w:val="BodyText"/>
        <w:ind w:left="238" w:right="38"/>
        <w:jc w:val="both"/>
      </w:pPr>
      <w:r>
        <w:rPr/>
        <w:t>to</w:t>
      </w:r>
      <w:r>
        <w:rPr>
          <w:spacing w:val="-8"/>
        </w:rPr>
        <w:t> </w:t>
      </w:r>
      <w:r>
        <w:rPr/>
        <w:t>the</w:t>
      </w:r>
      <w:r>
        <w:rPr>
          <w:spacing w:val="-8"/>
        </w:rPr>
        <w:t> </w:t>
      </w:r>
      <w:r>
        <w:rPr/>
        <w:t>virus</w:t>
      </w:r>
      <w:r>
        <w:rPr>
          <w:spacing w:val="-8"/>
        </w:rPr>
        <w:t> </w:t>
      </w:r>
      <w:r>
        <w:rPr/>
        <w:t>infection.</w:t>
      </w:r>
      <w:r>
        <w:rPr>
          <w:spacing w:val="-8"/>
        </w:rPr>
        <w:t> </w:t>
      </w:r>
      <w:r>
        <w:rPr/>
        <w:t>The</w:t>
      </w:r>
      <w:r>
        <w:rPr>
          <w:spacing w:val="-10"/>
        </w:rPr>
        <w:t> </w:t>
      </w:r>
      <w:r>
        <w:rPr/>
        <w:t>patient</w:t>
      </w:r>
      <w:r>
        <w:rPr>
          <w:spacing w:val="-9"/>
        </w:rPr>
        <w:t> </w:t>
      </w:r>
      <w:r>
        <w:rPr/>
        <w:t>delivered</w:t>
      </w:r>
      <w:r>
        <w:rPr>
          <w:spacing w:val="-8"/>
        </w:rPr>
        <w:t> </w:t>
      </w:r>
      <w:r>
        <w:rPr/>
        <w:t>two</w:t>
      </w:r>
      <w:r>
        <w:rPr>
          <w:spacing w:val="-10"/>
        </w:rPr>
        <w:t> </w:t>
      </w:r>
      <w:r>
        <w:rPr/>
        <w:t>healthy </w:t>
      </w:r>
      <w:r>
        <w:rPr>
          <w:spacing w:val="-2"/>
        </w:rPr>
        <w:t>COVID19</w:t>
      </w:r>
      <w:r>
        <w:rPr>
          <w:spacing w:val="-12"/>
        </w:rPr>
        <w:t> </w:t>
      </w:r>
      <w:r>
        <w:rPr>
          <w:spacing w:val="-2"/>
        </w:rPr>
        <w:t>negative</w:t>
      </w:r>
      <w:r>
        <w:rPr>
          <w:spacing w:val="-11"/>
        </w:rPr>
        <w:t> </w:t>
      </w:r>
      <w:r>
        <w:rPr>
          <w:spacing w:val="-2"/>
        </w:rPr>
        <w:t>newborns,</w:t>
      </w:r>
      <w:r>
        <w:rPr>
          <w:spacing w:val="-11"/>
        </w:rPr>
        <w:t> </w:t>
      </w:r>
      <w:r>
        <w:rPr>
          <w:spacing w:val="-2"/>
        </w:rPr>
        <w:t>while</w:t>
      </w:r>
      <w:r>
        <w:rPr>
          <w:spacing w:val="-11"/>
        </w:rPr>
        <w:t> </w:t>
      </w:r>
      <w:r>
        <w:rPr>
          <w:spacing w:val="-2"/>
        </w:rPr>
        <w:t>she</w:t>
      </w:r>
      <w:r>
        <w:rPr>
          <w:spacing w:val="-11"/>
        </w:rPr>
        <w:t> </w:t>
      </w:r>
      <w:r>
        <w:rPr>
          <w:spacing w:val="-2"/>
        </w:rPr>
        <w:t>continued</w:t>
      </w:r>
      <w:r>
        <w:rPr>
          <w:spacing w:val="-11"/>
        </w:rPr>
        <w:t> </w:t>
      </w:r>
      <w:r>
        <w:rPr>
          <w:spacing w:val="-2"/>
        </w:rPr>
        <w:t>treat- </w:t>
      </w:r>
      <w:r>
        <w:rPr/>
        <w:t>ment in the Clinic of Infectology. Pregnant women, without any previous kidney pathology are prone to kidney damage as a result of SARS-CoV-2 infection, and should be closely monitored for the development of AKI in order to prevent it.</w:t>
      </w:r>
    </w:p>
    <w:p>
      <w:pPr>
        <w:pStyle w:val="BodyText"/>
        <w:spacing w:before="11"/>
        <w:rPr>
          <w:sz w:val="20"/>
        </w:rPr>
      </w:pPr>
    </w:p>
    <w:p>
      <w:pPr>
        <w:pStyle w:val="BodyText"/>
        <w:ind w:left="238" w:right="272"/>
      </w:pPr>
      <w:r>
        <w:rPr>
          <w:b/>
        </w:rPr>
        <w:t>Keywords:</w:t>
      </w:r>
      <w:r>
        <w:rPr>
          <w:b/>
          <w:spacing w:val="-13"/>
        </w:rPr>
        <w:t> </w:t>
      </w:r>
      <w:r>
        <w:rPr/>
        <w:t>SARS-CoV-2,</w:t>
      </w:r>
      <w:r>
        <w:rPr>
          <w:spacing w:val="-14"/>
        </w:rPr>
        <w:t> </w:t>
      </w:r>
      <w:r>
        <w:rPr/>
        <w:t>macrohematuria,</w:t>
      </w:r>
      <w:r>
        <w:rPr>
          <w:spacing w:val="-10"/>
        </w:rPr>
        <w:t> </w:t>
      </w:r>
      <w:r>
        <w:rPr/>
        <w:t>acidum uricum, kidney</w:t>
      </w:r>
    </w:p>
    <w:p>
      <w:pPr>
        <w:pStyle w:val="BodyText"/>
        <w:spacing w:before="5"/>
        <w:rPr>
          <w:sz w:val="18"/>
        </w:rPr>
      </w:pPr>
      <w:r>
        <w:rPr/>
        <w:pict>
          <v:shape style="position:absolute;margin-left:56.903999pt;margin-top:11.803517pt;width:225pt;height:.1pt;mso-position-horizontal-relative:page;mso-position-vertical-relative:paragraph;z-index:-15705600;mso-wrap-distance-left:0;mso-wrap-distance-right:0" id="docshape572" coordorigin="1138,236" coordsize="4500,0" path="m1138,236l5637,236e" filled="false" stroked="true" strokeweight=".68574pt" strokecolor="#000000">
            <v:path arrowok="t"/>
            <v:stroke dashstyle="solid"/>
            <w10:wrap type="topAndBottom"/>
          </v:shape>
        </w:pict>
      </w:r>
    </w:p>
    <w:p>
      <w:pPr>
        <w:pStyle w:val="BodyText"/>
        <w:spacing w:before="1"/>
        <w:rPr>
          <w:sz w:val="19"/>
        </w:rPr>
      </w:pPr>
    </w:p>
    <w:p>
      <w:pPr>
        <w:pStyle w:val="Heading4"/>
      </w:pPr>
      <w:r>
        <w:rPr>
          <w:spacing w:val="-2"/>
        </w:rPr>
        <w:t>Abstrakt</w:t>
      </w:r>
    </w:p>
    <w:p>
      <w:pPr>
        <w:pStyle w:val="BodyText"/>
        <w:spacing w:before="6"/>
        <w:rPr>
          <w:b/>
          <w:sz w:val="20"/>
        </w:rPr>
      </w:pPr>
    </w:p>
    <w:p>
      <w:pPr>
        <w:pStyle w:val="BodyText"/>
        <w:ind w:left="238" w:right="38"/>
        <w:jc w:val="both"/>
      </w:pPr>
      <w:r>
        <w:rPr/>
        <w:t>Ковид 19 е нов вирус за кој што има малку истра- жувања. Таргет органи на SARS-CoV-2 инфекција- та не се само белите дробови и срцето но и други органи исто така. Голем фокус е даден на ефектот кој овој нов вирус го има вра бубрезите. Ова е до- кажано</w:t>
      </w:r>
      <w:r>
        <w:rPr>
          <w:spacing w:val="-4"/>
        </w:rPr>
        <w:t> </w:t>
      </w:r>
      <w:r>
        <w:rPr/>
        <w:t>од присуството</w:t>
      </w:r>
      <w:r>
        <w:rPr>
          <w:spacing w:val="-1"/>
        </w:rPr>
        <w:t> </w:t>
      </w:r>
      <w:r>
        <w:rPr/>
        <w:t>на</w:t>
      </w:r>
      <w:r>
        <w:rPr>
          <w:spacing w:val="-3"/>
        </w:rPr>
        <w:t> </w:t>
      </w:r>
      <w:r>
        <w:rPr/>
        <w:t>протеинурија,</w:t>
      </w:r>
      <w:r>
        <w:rPr>
          <w:spacing w:val="-1"/>
        </w:rPr>
        <w:t> </w:t>
      </w:r>
      <w:r>
        <w:rPr/>
        <w:t>хематури- ја па се до акутно бубрежно оштетување кај тие пациенти. Оваа појава е забележана и кај гравид- ната популација, која што е таргет група на ком- плексна</w:t>
      </w:r>
      <w:r>
        <w:rPr>
          <w:spacing w:val="-14"/>
        </w:rPr>
        <w:t> </w:t>
      </w:r>
      <w:r>
        <w:rPr/>
        <w:t>КОВИД</w:t>
      </w:r>
      <w:r>
        <w:rPr>
          <w:spacing w:val="-13"/>
        </w:rPr>
        <w:t> </w:t>
      </w:r>
      <w:r>
        <w:rPr/>
        <w:t>19</w:t>
      </w:r>
      <w:r>
        <w:rPr>
          <w:spacing w:val="-13"/>
        </w:rPr>
        <w:t> </w:t>
      </w:r>
      <w:r>
        <w:rPr/>
        <w:t>болест</w:t>
      </w:r>
      <w:r>
        <w:rPr>
          <w:spacing w:val="-13"/>
        </w:rPr>
        <w:t> </w:t>
      </w:r>
      <w:r>
        <w:rPr/>
        <w:t>во</w:t>
      </w:r>
      <w:r>
        <w:rPr>
          <w:spacing w:val="-13"/>
        </w:rPr>
        <w:t> </w:t>
      </w:r>
      <w:r>
        <w:rPr/>
        <w:t>споредба</w:t>
      </w:r>
      <w:r>
        <w:rPr>
          <w:spacing w:val="-13"/>
        </w:rPr>
        <w:t> </w:t>
      </w:r>
      <w:r>
        <w:rPr/>
        <w:t>со</w:t>
      </w:r>
      <w:r>
        <w:rPr>
          <w:spacing w:val="-13"/>
        </w:rPr>
        <w:t> </w:t>
      </w:r>
      <w:r>
        <w:rPr/>
        <w:t>негравид- ната популација. Ние имаме пријавено случај на </w:t>
      </w:r>
      <w:r>
        <w:rPr>
          <w:spacing w:val="-2"/>
        </w:rPr>
        <w:t>КОВИД19</w:t>
      </w:r>
      <w:r>
        <w:rPr>
          <w:spacing w:val="-12"/>
        </w:rPr>
        <w:t> </w:t>
      </w:r>
      <w:r>
        <w:rPr>
          <w:spacing w:val="-2"/>
        </w:rPr>
        <w:t>позитивна</w:t>
      </w:r>
      <w:r>
        <w:rPr>
          <w:spacing w:val="-11"/>
        </w:rPr>
        <w:t> </w:t>
      </w:r>
      <w:r>
        <w:rPr>
          <w:spacing w:val="-2"/>
        </w:rPr>
        <w:t>пациентка</w:t>
      </w:r>
      <w:r>
        <w:rPr>
          <w:spacing w:val="-11"/>
        </w:rPr>
        <w:t> </w:t>
      </w:r>
      <w:r>
        <w:rPr>
          <w:spacing w:val="-2"/>
        </w:rPr>
        <w:t>со</w:t>
      </w:r>
      <w:r>
        <w:rPr>
          <w:spacing w:val="-11"/>
        </w:rPr>
        <w:t> </w:t>
      </w:r>
      <w:r>
        <w:rPr>
          <w:spacing w:val="-2"/>
        </w:rPr>
        <w:t>гемеларна</w:t>
      </w:r>
      <w:r>
        <w:rPr>
          <w:spacing w:val="-11"/>
        </w:rPr>
        <w:t> </w:t>
      </w:r>
      <w:r>
        <w:rPr>
          <w:spacing w:val="-2"/>
        </w:rPr>
        <w:t>бреме- </w:t>
      </w:r>
      <w:r>
        <w:rPr>
          <w:spacing w:val="-4"/>
        </w:rPr>
        <w:t>ност</w:t>
      </w:r>
      <w:r>
        <w:rPr/>
        <w:t> </w:t>
      </w:r>
      <w:r>
        <w:rPr>
          <w:spacing w:val="-4"/>
        </w:rPr>
        <w:t>комплицирана</w:t>
      </w:r>
      <w:r>
        <w:rPr>
          <w:spacing w:val="-5"/>
        </w:rPr>
        <w:t> </w:t>
      </w:r>
      <w:r>
        <w:rPr>
          <w:spacing w:val="-4"/>
        </w:rPr>
        <w:t>со</w:t>
      </w:r>
      <w:r>
        <w:rPr>
          <w:spacing w:val="-5"/>
        </w:rPr>
        <w:t> </w:t>
      </w:r>
      <w:r>
        <w:rPr>
          <w:spacing w:val="-4"/>
        </w:rPr>
        <w:t>макрохематурија</w:t>
      </w:r>
      <w:r>
        <w:rPr>
          <w:spacing w:val="-5"/>
        </w:rPr>
        <w:t> </w:t>
      </w:r>
      <w:r>
        <w:rPr>
          <w:spacing w:val="-4"/>
        </w:rPr>
        <w:t>поради</w:t>
      </w:r>
      <w:r>
        <w:rPr>
          <w:spacing w:val="-5"/>
        </w:rPr>
        <w:t> </w:t>
      </w:r>
      <w:r>
        <w:rPr>
          <w:spacing w:val="-4"/>
        </w:rPr>
        <w:t>тран-</w:t>
      </w:r>
    </w:p>
    <w:p>
      <w:pPr>
        <w:pStyle w:val="BodyText"/>
        <w:rPr>
          <w:sz w:val="20"/>
        </w:rPr>
      </w:pPr>
    </w:p>
    <w:p>
      <w:pPr>
        <w:pStyle w:val="BodyText"/>
        <w:spacing w:before="8"/>
        <w:rPr>
          <w:sz w:val="14"/>
        </w:rPr>
      </w:pPr>
      <w:r>
        <w:rPr/>
        <w:pict>
          <v:shape style="position:absolute;margin-left:56.903999pt;margin-top:9.672052pt;width:96.05pt;height:.1pt;mso-position-horizontal-relative:page;mso-position-vertical-relative:paragraph;z-index:-15705088;mso-wrap-distance-left:0;mso-wrap-distance-right:0" id="docshape573" coordorigin="1138,193" coordsize="1921,0" path="m1138,193l3059,193e" filled="false" stroked="true" strokeweight=".32964pt" strokecolor="#000000">
            <v:path arrowok="t"/>
            <v:stroke dashstyle="solid"/>
            <w10:wrap type="topAndBottom"/>
          </v:shape>
        </w:pict>
      </w:r>
    </w:p>
    <w:p>
      <w:pPr>
        <w:tabs>
          <w:tab w:pos="1754" w:val="left" w:leader="none"/>
        </w:tabs>
        <w:spacing w:before="0"/>
        <w:ind w:left="238" w:right="272" w:firstLine="0"/>
        <w:jc w:val="left"/>
        <w:rPr>
          <w:sz w:val="16"/>
        </w:rPr>
      </w:pPr>
      <w:r>
        <w:rPr>
          <w:i/>
          <w:sz w:val="16"/>
        </w:rPr>
        <w:t>Correspondence</w:t>
      </w:r>
      <w:r>
        <w:rPr>
          <w:i/>
          <w:spacing w:val="-5"/>
          <w:sz w:val="16"/>
        </w:rPr>
        <w:t> </w:t>
      </w:r>
      <w:r>
        <w:rPr>
          <w:i/>
          <w:sz w:val="16"/>
        </w:rPr>
        <w:t>to:</w:t>
        <w:tab/>
      </w:r>
      <w:r>
        <w:rPr>
          <w:sz w:val="16"/>
        </w:rPr>
        <w:t>Rina</w:t>
      </w:r>
      <w:r>
        <w:rPr>
          <w:spacing w:val="-6"/>
          <w:sz w:val="16"/>
        </w:rPr>
        <w:t> </w:t>
      </w:r>
      <w:r>
        <w:rPr>
          <w:sz w:val="16"/>
        </w:rPr>
        <w:t>Purrini,</w:t>
      </w:r>
      <w:r>
        <w:rPr>
          <w:spacing w:val="-8"/>
          <w:sz w:val="16"/>
        </w:rPr>
        <w:t> </w:t>
      </w:r>
      <w:r>
        <w:rPr>
          <w:sz w:val="16"/>
        </w:rPr>
        <w:t>University</w:t>
      </w:r>
      <w:r>
        <w:rPr>
          <w:spacing w:val="-9"/>
          <w:sz w:val="16"/>
        </w:rPr>
        <w:t> </w:t>
      </w:r>
      <w:r>
        <w:rPr>
          <w:sz w:val="16"/>
        </w:rPr>
        <w:t>Clinic</w:t>
      </w:r>
      <w:r>
        <w:rPr>
          <w:spacing w:val="-6"/>
          <w:sz w:val="16"/>
        </w:rPr>
        <w:t> </w:t>
      </w:r>
      <w:r>
        <w:rPr>
          <w:sz w:val="16"/>
        </w:rPr>
        <w:t>for</w:t>
      </w:r>
      <w:r>
        <w:rPr>
          <w:spacing w:val="-7"/>
          <w:sz w:val="16"/>
        </w:rPr>
        <w:t> </w:t>
      </w:r>
      <w:r>
        <w:rPr>
          <w:sz w:val="16"/>
        </w:rPr>
        <w:t>Obstetrics</w:t>
      </w:r>
      <w:r>
        <w:rPr>
          <w:spacing w:val="40"/>
          <w:sz w:val="16"/>
        </w:rPr>
        <w:t> </w:t>
      </w:r>
      <w:r>
        <w:rPr>
          <w:sz w:val="16"/>
        </w:rPr>
        <w:t>and Gynecology, "Mother Tereza", 1000 Skopje, R. N. Macedonia;</w:t>
      </w:r>
      <w:r>
        <w:rPr>
          <w:spacing w:val="40"/>
          <w:sz w:val="16"/>
        </w:rPr>
        <w:t> </w:t>
      </w:r>
      <w:r>
        <w:rPr>
          <w:sz w:val="16"/>
        </w:rPr>
        <w:t>E-mail:</w:t>
      </w:r>
      <w:r>
        <w:rPr>
          <w:spacing w:val="-3"/>
          <w:sz w:val="16"/>
        </w:rPr>
        <w:t> </w:t>
      </w:r>
      <w:hyperlink r:id="rId515">
        <w:r>
          <w:rPr>
            <w:sz w:val="16"/>
          </w:rPr>
          <w:t>purrini.r@gmail.com</w:t>
        </w:r>
      </w:hyperlink>
    </w:p>
    <w:p>
      <w:pPr>
        <w:pStyle w:val="Heading4"/>
        <w:spacing w:line="219" w:lineRule="exact"/>
      </w:pPr>
      <w:r>
        <w:rPr>
          <w:b w:val="0"/>
        </w:rPr>
        <w:br w:type="column"/>
      </w:r>
      <w:r>
        <w:rPr>
          <w:spacing w:val="-2"/>
        </w:rPr>
        <w:t>Introduction</w:t>
      </w:r>
    </w:p>
    <w:p>
      <w:pPr>
        <w:pStyle w:val="BodyText"/>
        <w:spacing w:before="6"/>
        <w:rPr>
          <w:b/>
          <w:sz w:val="20"/>
        </w:rPr>
      </w:pPr>
    </w:p>
    <w:p>
      <w:pPr>
        <w:pStyle w:val="BodyText"/>
        <w:ind w:left="238" w:right="290"/>
        <w:jc w:val="both"/>
      </w:pPr>
      <w:r>
        <w:rPr/>
        <w:t>The COVID19 infection in the pregnant population signifies a specific issue with not yet enough research. </w:t>
      </w:r>
      <w:r>
        <w:rPr>
          <w:spacing w:val="-4"/>
        </w:rPr>
        <w:t>Pregnant</w:t>
      </w:r>
      <w:r>
        <w:rPr>
          <w:spacing w:val="-5"/>
        </w:rPr>
        <w:t> </w:t>
      </w:r>
      <w:r>
        <w:rPr>
          <w:spacing w:val="-4"/>
        </w:rPr>
        <w:t>women infected with COVID-19 are at</w:t>
      </w:r>
      <w:r>
        <w:rPr>
          <w:spacing w:val="-5"/>
        </w:rPr>
        <w:t> </w:t>
      </w:r>
      <w:r>
        <w:rPr>
          <w:spacing w:val="-4"/>
        </w:rPr>
        <w:t>a higher </w:t>
      </w:r>
      <w:r>
        <w:rPr/>
        <w:t>risk</w:t>
      </w:r>
      <w:r>
        <w:rPr>
          <w:spacing w:val="-6"/>
        </w:rPr>
        <w:t> </w:t>
      </w:r>
      <w:r>
        <w:rPr/>
        <w:t>of</w:t>
      </w:r>
      <w:r>
        <w:rPr>
          <w:spacing w:val="-5"/>
        </w:rPr>
        <w:t> </w:t>
      </w:r>
      <w:r>
        <w:rPr/>
        <w:t>a</w:t>
      </w:r>
      <w:r>
        <w:rPr>
          <w:spacing w:val="-4"/>
        </w:rPr>
        <w:t> </w:t>
      </w:r>
      <w:r>
        <w:rPr/>
        <w:t>more</w:t>
      </w:r>
      <w:r>
        <w:rPr>
          <w:spacing w:val="-6"/>
        </w:rPr>
        <w:t> </w:t>
      </w:r>
      <w:r>
        <w:rPr/>
        <w:t>complicated</w:t>
      </w:r>
      <w:r>
        <w:rPr>
          <w:spacing w:val="-4"/>
        </w:rPr>
        <w:t> </w:t>
      </w:r>
      <w:r>
        <w:rPr/>
        <w:t>disease</w:t>
      </w:r>
      <w:r>
        <w:rPr>
          <w:spacing w:val="-6"/>
        </w:rPr>
        <w:t> </w:t>
      </w:r>
      <w:r>
        <w:rPr/>
        <w:t>outcome</w:t>
      </w:r>
      <w:r>
        <w:rPr>
          <w:spacing w:val="-6"/>
        </w:rPr>
        <w:t> </w:t>
      </w:r>
      <w:r>
        <w:rPr/>
        <w:t>rather</w:t>
      </w:r>
      <w:r>
        <w:rPr>
          <w:spacing w:val="-5"/>
        </w:rPr>
        <w:t> </w:t>
      </w:r>
      <w:r>
        <w:rPr/>
        <w:t>than nonpregnant women. Comorbidity factors for a com- plex COVID-19 disease in pregnant women are age, high body mass index, preexistent diabetes or hyper- tension. Although SARS-CoV-2 is described as a res- piratory virus, it has been shown to have multiorgan involvement</w:t>
      </w:r>
      <w:r>
        <w:rPr>
          <w:spacing w:val="-8"/>
        </w:rPr>
        <w:t> </w:t>
      </w:r>
      <w:r>
        <w:rPr/>
        <w:t>as</w:t>
      </w:r>
      <w:r>
        <w:rPr>
          <w:spacing w:val="-8"/>
        </w:rPr>
        <w:t> </w:t>
      </w:r>
      <w:r>
        <w:rPr/>
        <w:t>well</w:t>
      </w:r>
      <w:r>
        <w:rPr>
          <w:spacing w:val="-8"/>
        </w:rPr>
        <w:t> </w:t>
      </w:r>
      <w:r>
        <w:rPr/>
        <w:t>[1].</w:t>
      </w:r>
      <w:r>
        <w:rPr>
          <w:spacing w:val="-7"/>
        </w:rPr>
        <w:t> </w:t>
      </w:r>
      <w:r>
        <w:rPr/>
        <w:t>Around</w:t>
      </w:r>
      <w:r>
        <w:rPr>
          <w:spacing w:val="-7"/>
        </w:rPr>
        <w:t> </w:t>
      </w:r>
      <w:r>
        <w:rPr/>
        <w:t>1</w:t>
      </w:r>
      <w:r>
        <w:rPr>
          <w:spacing w:val="-7"/>
        </w:rPr>
        <w:t> </w:t>
      </w:r>
      <w:r>
        <w:rPr/>
        <w:t>out</w:t>
      </w:r>
      <w:r>
        <w:rPr>
          <w:spacing w:val="-8"/>
        </w:rPr>
        <w:t> </w:t>
      </w:r>
      <w:r>
        <w:rPr/>
        <w:t>of</w:t>
      </w:r>
      <w:r>
        <w:rPr>
          <w:spacing w:val="-8"/>
        </w:rPr>
        <w:t> </w:t>
      </w:r>
      <w:r>
        <w:rPr/>
        <w:t>3</w:t>
      </w:r>
      <w:r>
        <w:rPr>
          <w:spacing w:val="-7"/>
        </w:rPr>
        <w:t> </w:t>
      </w:r>
      <w:r>
        <w:rPr/>
        <w:t>hospitalized COVID-19 patients presented with signs of acute kid- ney insufficiency without having any previous kidney pathology. In general, based on kidney biopsies the damage includes acute glomerulonephritis and acute tubular injury. Based on a retrospective cohort study, there is a high incidence of AKI in patients with </w:t>
      </w:r>
      <w:r>
        <w:rPr>
          <w:spacing w:val="-2"/>
        </w:rPr>
        <w:t>COVID-19</w:t>
      </w:r>
      <w:r>
        <w:rPr>
          <w:spacing w:val="-10"/>
        </w:rPr>
        <w:t> </w:t>
      </w:r>
      <w:r>
        <w:rPr>
          <w:spacing w:val="-2"/>
        </w:rPr>
        <w:t>that</w:t>
      </w:r>
      <w:r>
        <w:rPr>
          <w:spacing w:val="-11"/>
        </w:rPr>
        <w:t> </w:t>
      </w:r>
      <w:r>
        <w:rPr>
          <w:spacing w:val="-2"/>
        </w:rPr>
        <w:t>was</w:t>
      </w:r>
      <w:r>
        <w:rPr>
          <w:spacing w:val="-11"/>
        </w:rPr>
        <w:t> </w:t>
      </w:r>
      <w:r>
        <w:rPr>
          <w:spacing w:val="-2"/>
        </w:rPr>
        <w:t>associated</w:t>
      </w:r>
      <w:r>
        <w:rPr>
          <w:spacing w:val="-11"/>
        </w:rPr>
        <w:t> </w:t>
      </w:r>
      <w:r>
        <w:rPr>
          <w:spacing w:val="-2"/>
        </w:rPr>
        <w:t>with</w:t>
      </w:r>
      <w:r>
        <w:rPr>
          <w:spacing w:val="-11"/>
        </w:rPr>
        <w:t> </w:t>
      </w:r>
      <w:r>
        <w:rPr>
          <w:spacing w:val="-2"/>
        </w:rPr>
        <w:t>a</w:t>
      </w:r>
      <w:r>
        <w:rPr>
          <w:spacing w:val="-11"/>
        </w:rPr>
        <w:t> </w:t>
      </w:r>
      <w:r>
        <w:rPr>
          <w:spacing w:val="-2"/>
        </w:rPr>
        <w:t>3-fold</w:t>
      </w:r>
      <w:r>
        <w:rPr>
          <w:spacing w:val="-11"/>
        </w:rPr>
        <w:t> </w:t>
      </w:r>
      <w:r>
        <w:rPr>
          <w:spacing w:val="-2"/>
        </w:rPr>
        <w:t>higher</w:t>
      </w:r>
      <w:r>
        <w:rPr>
          <w:spacing w:val="-11"/>
        </w:rPr>
        <w:t> </w:t>
      </w:r>
      <w:r>
        <w:rPr>
          <w:spacing w:val="-2"/>
        </w:rPr>
        <w:t>odds </w:t>
      </w:r>
      <w:r>
        <w:rPr/>
        <w:t>of death than COVID-19 without AKI and a 4-fold </w:t>
      </w:r>
      <w:r>
        <w:rPr>
          <w:spacing w:val="-2"/>
        </w:rPr>
        <w:t>higher</w:t>
      </w:r>
      <w:r>
        <w:rPr>
          <w:spacing w:val="-12"/>
        </w:rPr>
        <w:t> </w:t>
      </w:r>
      <w:r>
        <w:rPr>
          <w:spacing w:val="-2"/>
        </w:rPr>
        <w:t>odds</w:t>
      </w:r>
      <w:r>
        <w:rPr>
          <w:spacing w:val="-11"/>
        </w:rPr>
        <w:t> </w:t>
      </w:r>
      <w:r>
        <w:rPr>
          <w:spacing w:val="-2"/>
        </w:rPr>
        <w:t>of</w:t>
      </w:r>
      <w:r>
        <w:rPr>
          <w:spacing w:val="-11"/>
        </w:rPr>
        <w:t> </w:t>
      </w:r>
      <w:r>
        <w:rPr>
          <w:spacing w:val="-2"/>
        </w:rPr>
        <w:t>death</w:t>
      </w:r>
      <w:r>
        <w:rPr>
          <w:spacing w:val="-11"/>
        </w:rPr>
        <w:t> </w:t>
      </w:r>
      <w:r>
        <w:rPr>
          <w:spacing w:val="-2"/>
        </w:rPr>
        <w:t>than</w:t>
      </w:r>
      <w:r>
        <w:rPr>
          <w:spacing w:val="-11"/>
        </w:rPr>
        <w:t> </w:t>
      </w:r>
      <w:r>
        <w:rPr>
          <w:spacing w:val="-2"/>
        </w:rPr>
        <w:t>AKI</w:t>
      </w:r>
      <w:r>
        <w:rPr>
          <w:spacing w:val="-11"/>
        </w:rPr>
        <w:t> </w:t>
      </w:r>
      <w:r>
        <w:rPr>
          <w:spacing w:val="-2"/>
        </w:rPr>
        <w:t>due</w:t>
      </w:r>
      <w:r>
        <w:rPr>
          <w:spacing w:val="-11"/>
        </w:rPr>
        <w:t> </w:t>
      </w:r>
      <w:r>
        <w:rPr>
          <w:spacing w:val="-2"/>
        </w:rPr>
        <w:t>to</w:t>
      </w:r>
      <w:r>
        <w:rPr>
          <w:spacing w:val="-11"/>
        </w:rPr>
        <w:t> </w:t>
      </w:r>
      <w:r>
        <w:rPr>
          <w:spacing w:val="-2"/>
        </w:rPr>
        <w:t>other</w:t>
      </w:r>
      <w:r>
        <w:rPr>
          <w:spacing w:val="-12"/>
        </w:rPr>
        <w:t> </w:t>
      </w:r>
      <w:r>
        <w:rPr>
          <w:spacing w:val="-2"/>
        </w:rPr>
        <w:t>causes.</w:t>
      </w:r>
      <w:r>
        <w:rPr>
          <w:spacing w:val="-11"/>
        </w:rPr>
        <w:t> </w:t>
      </w:r>
      <w:r>
        <w:rPr>
          <w:spacing w:val="-2"/>
        </w:rPr>
        <w:t>These </w:t>
      </w:r>
      <w:r>
        <w:rPr/>
        <w:t>data indicate that patients with COVID-19 should be monitored for the development of AKI and measures taken</w:t>
      </w:r>
      <w:r>
        <w:rPr>
          <w:spacing w:val="-7"/>
        </w:rPr>
        <w:t> </w:t>
      </w:r>
      <w:r>
        <w:rPr/>
        <w:t>to</w:t>
      </w:r>
      <w:r>
        <w:rPr>
          <w:spacing w:val="-7"/>
        </w:rPr>
        <w:t> </w:t>
      </w:r>
      <w:r>
        <w:rPr/>
        <w:t>prevent</w:t>
      </w:r>
      <w:r>
        <w:rPr>
          <w:spacing w:val="-8"/>
        </w:rPr>
        <w:t> </w:t>
      </w:r>
      <w:r>
        <w:rPr/>
        <w:t>this</w:t>
      </w:r>
      <w:r>
        <w:rPr>
          <w:spacing w:val="-7"/>
        </w:rPr>
        <w:t> </w:t>
      </w:r>
      <w:r>
        <w:rPr/>
        <w:t>[2].</w:t>
      </w:r>
      <w:r>
        <w:rPr>
          <w:spacing w:val="-8"/>
        </w:rPr>
        <w:t> </w:t>
      </w:r>
      <w:r>
        <w:rPr/>
        <w:t>We</w:t>
      </w:r>
      <w:r>
        <w:rPr>
          <w:spacing w:val="-5"/>
        </w:rPr>
        <w:t> </w:t>
      </w:r>
      <w:r>
        <w:rPr/>
        <w:t>would</w:t>
      </w:r>
      <w:r>
        <w:rPr>
          <w:spacing w:val="-7"/>
        </w:rPr>
        <w:t> </w:t>
      </w:r>
      <w:r>
        <w:rPr/>
        <w:t>like</w:t>
      </w:r>
      <w:r>
        <w:rPr>
          <w:spacing w:val="-7"/>
        </w:rPr>
        <w:t> </w:t>
      </w:r>
      <w:r>
        <w:rPr/>
        <w:t>to</w:t>
      </w:r>
      <w:r>
        <w:rPr>
          <w:spacing w:val="-7"/>
        </w:rPr>
        <w:t> </w:t>
      </w:r>
      <w:r>
        <w:rPr/>
        <w:t>report</w:t>
      </w:r>
      <w:r>
        <w:rPr>
          <w:spacing w:val="-9"/>
        </w:rPr>
        <w:t> </w:t>
      </w:r>
      <w:r>
        <w:rPr/>
        <w:t>a</w:t>
      </w:r>
      <w:r>
        <w:rPr>
          <w:spacing w:val="-7"/>
        </w:rPr>
        <w:t> </w:t>
      </w:r>
      <w:r>
        <w:rPr/>
        <w:t>case of a pregnant woman with COVID-19 who developed </w:t>
      </w:r>
      <w:r>
        <w:rPr>
          <w:spacing w:val="-2"/>
        </w:rPr>
        <w:t>macrohematuria.</w:t>
      </w:r>
    </w:p>
    <w:p>
      <w:pPr>
        <w:pStyle w:val="BodyText"/>
        <w:spacing w:before="7"/>
      </w:pPr>
    </w:p>
    <w:p>
      <w:pPr>
        <w:pStyle w:val="Heading4"/>
        <w:jc w:val="both"/>
      </w:pPr>
      <w:r>
        <w:rPr/>
        <w:t>Case</w:t>
      </w:r>
      <w:r>
        <w:rPr>
          <w:spacing w:val="-1"/>
        </w:rPr>
        <w:t> </w:t>
      </w:r>
      <w:r>
        <w:rPr>
          <w:spacing w:val="-2"/>
        </w:rPr>
        <w:t>report</w:t>
      </w:r>
    </w:p>
    <w:p>
      <w:pPr>
        <w:pStyle w:val="BodyText"/>
        <w:spacing w:before="6"/>
        <w:rPr>
          <w:b/>
          <w:sz w:val="20"/>
        </w:rPr>
      </w:pPr>
    </w:p>
    <w:p>
      <w:pPr>
        <w:pStyle w:val="BodyText"/>
        <w:spacing w:before="1"/>
        <w:ind w:left="238" w:right="292"/>
        <w:jc w:val="both"/>
      </w:pPr>
      <w:r>
        <w:rPr/>
        <w:t>A 32-year-old patient, (gravida 4, para 2), presented at </w:t>
      </w:r>
      <w:r>
        <w:rPr>
          <w:spacing w:val="-2"/>
        </w:rPr>
        <w:t>34+2</w:t>
      </w:r>
      <w:r>
        <w:rPr>
          <w:spacing w:val="-5"/>
        </w:rPr>
        <w:t> </w:t>
      </w:r>
      <w:r>
        <w:rPr>
          <w:spacing w:val="-2"/>
        </w:rPr>
        <w:t>gestational</w:t>
      </w:r>
      <w:r>
        <w:rPr>
          <w:spacing w:val="-1"/>
        </w:rPr>
        <w:t> </w:t>
      </w:r>
      <w:r>
        <w:rPr>
          <w:spacing w:val="-2"/>
        </w:rPr>
        <w:t>weeks</w:t>
      </w:r>
      <w:r>
        <w:rPr>
          <w:spacing w:val="-1"/>
        </w:rPr>
        <w:t> </w:t>
      </w:r>
      <w:r>
        <w:rPr>
          <w:spacing w:val="-2"/>
        </w:rPr>
        <w:t>with</w:t>
      </w:r>
      <w:r>
        <w:rPr>
          <w:spacing w:val="2"/>
        </w:rPr>
        <w:t> </w:t>
      </w:r>
      <w:r>
        <w:rPr>
          <w:spacing w:val="-2"/>
        </w:rPr>
        <w:t>a 3-days-history</w:t>
      </w:r>
      <w:r>
        <w:rPr>
          <w:spacing w:val="-4"/>
        </w:rPr>
        <w:t> </w:t>
      </w:r>
      <w:r>
        <w:rPr>
          <w:spacing w:val="-2"/>
        </w:rPr>
        <w:t>of nausea,</w:t>
      </w:r>
    </w:p>
    <w:p>
      <w:pPr>
        <w:spacing w:after="0"/>
        <w:jc w:val="both"/>
        <w:sectPr>
          <w:type w:val="continuous"/>
          <w:pgSz w:w="11910" w:h="16840"/>
          <w:pgMar w:header="859" w:footer="0" w:top="740" w:bottom="0" w:left="900" w:right="840"/>
          <w:cols w:num="2" w:equalWidth="0">
            <w:col w:w="4921" w:space="76"/>
            <w:col w:w="5173"/>
          </w:cols>
        </w:sectPr>
      </w:pPr>
    </w:p>
    <w:p>
      <w:pPr>
        <w:pStyle w:val="BodyText"/>
        <w:spacing w:before="5"/>
        <w:rPr>
          <w:sz w:val="15"/>
        </w:rPr>
      </w:pPr>
    </w:p>
    <w:p>
      <w:pPr>
        <w:spacing w:after="0"/>
        <w:rPr>
          <w:sz w:val="15"/>
        </w:rPr>
        <w:sectPr>
          <w:pgSz w:w="11910" w:h="16840"/>
          <w:pgMar w:header="859" w:footer="0" w:top="1280" w:bottom="280" w:left="900" w:right="840"/>
        </w:sectPr>
      </w:pPr>
    </w:p>
    <w:p>
      <w:pPr>
        <w:pStyle w:val="BodyText"/>
        <w:spacing w:before="92"/>
        <w:ind w:left="238" w:right="38"/>
        <w:jc w:val="both"/>
      </w:pPr>
      <w:r>
        <w:rPr/>
        <w:t>emesis and diarrhea. On admission she had stable vital parameters. Her temperature was 36.8*C, her blood pressure 130/80 mmHg, her</w:t>
      </w:r>
      <w:r>
        <w:rPr>
          <w:spacing w:val="-2"/>
        </w:rPr>
        <w:t> </w:t>
      </w:r>
      <w:r>
        <w:rPr/>
        <w:t>pulse 78 beats per minute, respiratory rate 22 breaths per minute and her oxygen saturation 96%. The patient had her first successful pregnancy, with twins, after three successive in vitro fertilization procedures. During her prenatal history</w:t>
      </w:r>
      <w:r>
        <w:rPr>
          <w:spacing w:val="40"/>
        </w:rPr>
        <w:t> </w:t>
      </w:r>
      <w:r>
        <w:rPr/>
        <w:t>she</w:t>
      </w:r>
      <w:r>
        <w:rPr>
          <w:spacing w:val="-14"/>
        </w:rPr>
        <w:t> </w:t>
      </w:r>
      <w:r>
        <w:rPr/>
        <w:t>had</w:t>
      </w:r>
      <w:r>
        <w:rPr>
          <w:spacing w:val="-13"/>
        </w:rPr>
        <w:t> </w:t>
      </w:r>
      <w:r>
        <w:rPr/>
        <w:t>a</w:t>
      </w:r>
      <w:r>
        <w:rPr>
          <w:spacing w:val="-13"/>
        </w:rPr>
        <w:t> </w:t>
      </w:r>
      <w:r>
        <w:rPr/>
        <w:t>cerclage</w:t>
      </w:r>
      <w:r>
        <w:rPr>
          <w:spacing w:val="-13"/>
        </w:rPr>
        <w:t> </w:t>
      </w:r>
      <w:r>
        <w:rPr/>
        <w:t>placement</w:t>
      </w:r>
      <w:r>
        <w:rPr>
          <w:spacing w:val="-13"/>
        </w:rPr>
        <w:t> </w:t>
      </w:r>
      <w:r>
        <w:rPr/>
        <w:t>at</w:t>
      </w:r>
      <w:r>
        <w:rPr>
          <w:spacing w:val="-13"/>
        </w:rPr>
        <w:t> </w:t>
      </w:r>
      <w:r>
        <w:rPr/>
        <w:t>13+0</w:t>
      </w:r>
      <w:r>
        <w:rPr>
          <w:spacing w:val="-13"/>
        </w:rPr>
        <w:t> </w:t>
      </w:r>
      <w:r>
        <w:rPr/>
        <w:t>gestational</w:t>
      </w:r>
      <w:r>
        <w:rPr>
          <w:spacing w:val="-13"/>
        </w:rPr>
        <w:t> </w:t>
      </w:r>
      <w:r>
        <w:rPr/>
        <w:t>weeks, </w:t>
      </w:r>
      <w:r>
        <w:rPr>
          <w:spacing w:val="-4"/>
        </w:rPr>
        <w:t>and she developed pregnancy induced hypertension, con- </w:t>
      </w:r>
      <w:r>
        <w:rPr/>
        <w:t>trolled</w:t>
      </w:r>
      <w:r>
        <w:rPr>
          <w:spacing w:val="-9"/>
        </w:rPr>
        <w:t> </w:t>
      </w:r>
      <w:r>
        <w:rPr/>
        <w:t>with</w:t>
      </w:r>
      <w:r>
        <w:rPr>
          <w:spacing w:val="-5"/>
        </w:rPr>
        <w:t> </w:t>
      </w:r>
      <w:r>
        <w:rPr/>
        <w:t>antihypertensive</w:t>
      </w:r>
      <w:r>
        <w:rPr>
          <w:spacing w:val="-3"/>
        </w:rPr>
        <w:t> </w:t>
      </w:r>
      <w:r>
        <w:rPr/>
        <w:t>therapy</w:t>
      </w:r>
      <w:r>
        <w:rPr>
          <w:spacing w:val="-9"/>
        </w:rPr>
        <w:t> </w:t>
      </w:r>
      <w:r>
        <w:rPr/>
        <w:t>(Tbl.</w:t>
      </w:r>
      <w:r>
        <w:rPr>
          <w:spacing w:val="-4"/>
        </w:rPr>
        <w:t> </w:t>
      </w:r>
      <w:r>
        <w:rPr/>
        <w:t>Methyldopa 2x250 mg) as well as anticoagulant therapy (Amp. Enoxaparin 40mg/1x1) starting from 23</w:t>
      </w:r>
      <w:r>
        <w:rPr>
          <w:position w:val="7"/>
          <w:sz w:val="14"/>
        </w:rPr>
        <w:t>rd</w:t>
      </w:r>
      <w:r>
        <w:rPr>
          <w:spacing w:val="40"/>
          <w:position w:val="7"/>
          <w:sz w:val="14"/>
        </w:rPr>
        <w:t> </w:t>
      </w:r>
      <w:r>
        <w:rPr/>
        <w:t>gestational week. Because of her symptoms she had COVID19</w:t>
      </w:r>
      <w:r>
        <w:rPr>
          <w:spacing w:val="40"/>
        </w:rPr>
        <w:t> </w:t>
      </w:r>
      <w:r>
        <w:rPr/>
        <w:t>test</w:t>
      </w:r>
      <w:r>
        <w:rPr>
          <w:spacing w:val="-4"/>
        </w:rPr>
        <w:t> </w:t>
      </w:r>
      <w:r>
        <w:rPr/>
        <w:t>done</w:t>
      </w:r>
      <w:r>
        <w:rPr>
          <w:spacing w:val="-3"/>
        </w:rPr>
        <w:t> </w:t>
      </w:r>
      <w:r>
        <w:rPr/>
        <w:t>at</w:t>
      </w:r>
      <w:r>
        <w:rPr>
          <w:spacing w:val="-5"/>
        </w:rPr>
        <w:t> </w:t>
      </w:r>
      <w:r>
        <w:rPr/>
        <w:t>our</w:t>
      </w:r>
      <w:r>
        <w:rPr>
          <w:spacing w:val="-4"/>
        </w:rPr>
        <w:t> </w:t>
      </w:r>
      <w:r>
        <w:rPr/>
        <w:t>clinic</w:t>
      </w:r>
      <w:r>
        <w:rPr>
          <w:spacing w:val="-3"/>
        </w:rPr>
        <w:t> </w:t>
      </w:r>
      <w:r>
        <w:rPr/>
        <w:t>prior</w:t>
      </w:r>
      <w:r>
        <w:rPr>
          <w:spacing w:val="-4"/>
        </w:rPr>
        <w:t> </w:t>
      </w:r>
      <w:r>
        <w:rPr/>
        <w:t>to</w:t>
      </w:r>
      <w:r>
        <w:rPr>
          <w:spacing w:val="-3"/>
        </w:rPr>
        <w:t> </w:t>
      </w:r>
      <w:r>
        <w:rPr/>
        <w:t>admission.</w:t>
      </w:r>
      <w:r>
        <w:rPr>
          <w:spacing w:val="-3"/>
        </w:rPr>
        <w:t> </w:t>
      </w:r>
      <w:r>
        <w:rPr/>
        <w:t>The</w:t>
      </w:r>
      <w:r>
        <w:rPr>
          <w:spacing w:val="-3"/>
        </w:rPr>
        <w:t> </w:t>
      </w:r>
      <w:r>
        <w:rPr/>
        <w:t>nasopha- ryngeal swab returned positive for severe acute respi- </w:t>
      </w:r>
      <w:r>
        <w:rPr>
          <w:spacing w:val="-4"/>
        </w:rPr>
        <w:t>ratory syndrome coronavirus 2 (SARS-CoV-2) infection. </w:t>
      </w:r>
      <w:r>
        <w:rPr/>
        <w:t>Despite the normal fetal heart rate of both twins, with- out any uterine activity and an ultrasound imaging</w:t>
      </w:r>
      <w:r>
        <w:rPr>
          <w:spacing w:val="40"/>
        </w:rPr>
        <w:t> </w:t>
      </w:r>
      <w:r>
        <w:rPr/>
        <w:t>with no abnormal findings, the patient was admitted to our hospital for further investigation. On the first day, her blood results showed high acidum uricum levels- 692 mmol/L, creatinine 120 </w:t>
      </w:r>
      <w:r>
        <w:rPr>
          <w:color w:val="1F2023"/>
        </w:rPr>
        <w:t>μmol/L, urea 12mmol/,L </w:t>
      </w:r>
      <w:r>
        <w:rPr/>
        <w:t>and normal Hgb, Wbc, Hct, CRP, total proteins and albumin levels. Her urine results showed presence of </w:t>
      </w:r>
      <w:r>
        <w:rPr>
          <w:spacing w:val="-2"/>
        </w:rPr>
        <w:t>ketones</w:t>
      </w:r>
      <w:r>
        <w:rPr>
          <w:spacing w:val="-12"/>
        </w:rPr>
        <w:t> </w:t>
      </w:r>
      <w:r>
        <w:rPr>
          <w:spacing w:val="-2"/>
        </w:rPr>
        <w:t>(+)</w:t>
      </w:r>
      <w:r>
        <w:rPr>
          <w:spacing w:val="-11"/>
        </w:rPr>
        <w:t> </w:t>
      </w:r>
      <w:r>
        <w:rPr>
          <w:spacing w:val="-2"/>
        </w:rPr>
        <w:t>and</w:t>
      </w:r>
      <w:r>
        <w:rPr>
          <w:spacing w:val="-11"/>
        </w:rPr>
        <w:t> </w:t>
      </w:r>
      <w:r>
        <w:rPr>
          <w:spacing w:val="-2"/>
        </w:rPr>
        <w:t>no</w:t>
      </w:r>
      <w:r>
        <w:rPr>
          <w:spacing w:val="-11"/>
        </w:rPr>
        <w:t> </w:t>
      </w:r>
      <w:r>
        <w:rPr>
          <w:spacing w:val="-2"/>
        </w:rPr>
        <w:t>presence</w:t>
      </w:r>
      <w:r>
        <w:rPr>
          <w:spacing w:val="-11"/>
        </w:rPr>
        <w:t> </w:t>
      </w:r>
      <w:r>
        <w:rPr>
          <w:spacing w:val="-2"/>
        </w:rPr>
        <w:t>of</w:t>
      </w:r>
      <w:r>
        <w:rPr>
          <w:spacing w:val="-11"/>
        </w:rPr>
        <w:t> </w:t>
      </w:r>
      <w:r>
        <w:rPr>
          <w:spacing w:val="-2"/>
        </w:rPr>
        <w:t>proteins.</w:t>
      </w:r>
      <w:r>
        <w:rPr>
          <w:spacing w:val="-11"/>
        </w:rPr>
        <w:t> </w:t>
      </w:r>
      <w:r>
        <w:rPr>
          <w:spacing w:val="-2"/>
        </w:rPr>
        <w:t>After</w:t>
      </w:r>
      <w:r>
        <w:rPr>
          <w:spacing w:val="-11"/>
        </w:rPr>
        <w:t> </w:t>
      </w:r>
      <w:r>
        <w:rPr>
          <w:spacing w:val="-2"/>
        </w:rPr>
        <w:t>consulting </w:t>
      </w:r>
      <w:r>
        <w:rPr/>
        <w:t>a nephrologist, a Foley catheter was placed, draining yellow transparent urine. Two hours later, there was 300 ml reddish transparent urine diuresis. On the se- cond day, blood tests showed a further elevation of acidum uricum to 737 mmol/L, as well as a reduction of the total proteins to 52 g/L and albumins to 24 g/L and d-dimer levels of 8168 ngr/mL. The patient was administered 220ml of universal blood plasma, 20% 50mL albumin solution, anticoagulant therapy (Amp. </w:t>
      </w:r>
      <w:r>
        <w:rPr>
          <w:spacing w:val="-2"/>
        </w:rPr>
        <w:t>Enoxaparin</w:t>
      </w:r>
      <w:r>
        <w:rPr>
          <w:spacing w:val="-4"/>
        </w:rPr>
        <w:t> </w:t>
      </w:r>
      <w:r>
        <w:rPr>
          <w:spacing w:val="-2"/>
        </w:rPr>
        <w:t>40mg/1x1</w:t>
      </w:r>
      <w:r>
        <w:rPr>
          <w:spacing w:val="-3"/>
        </w:rPr>
        <w:t> </w:t>
      </w:r>
      <w:r>
        <w:rPr>
          <w:spacing w:val="-2"/>
        </w:rPr>
        <w:t>(patient</w:t>
      </w:r>
      <w:r>
        <w:rPr>
          <w:spacing w:val="-5"/>
        </w:rPr>
        <w:t> </w:t>
      </w:r>
      <w:r>
        <w:rPr>
          <w:spacing w:val="-2"/>
        </w:rPr>
        <w:t>weight-95kg)),</w:t>
      </w:r>
      <w:r>
        <w:rPr>
          <w:spacing w:val="-4"/>
        </w:rPr>
        <w:t> </w:t>
      </w:r>
      <w:r>
        <w:rPr>
          <w:spacing w:val="-2"/>
        </w:rPr>
        <w:t>antibiotic </w:t>
      </w:r>
      <w:r>
        <w:rPr/>
        <w:t>Amp.</w:t>
      </w:r>
      <w:r>
        <w:rPr>
          <w:spacing w:val="-12"/>
        </w:rPr>
        <w:t> </w:t>
      </w:r>
      <w:r>
        <w:rPr/>
        <w:t>Klimicin</w:t>
      </w:r>
      <w:r>
        <w:rPr>
          <w:spacing w:val="-13"/>
        </w:rPr>
        <w:t> </w:t>
      </w:r>
      <w:r>
        <w:rPr/>
        <w:t>600mg/8h,</w:t>
      </w:r>
      <w:r>
        <w:rPr>
          <w:spacing w:val="-13"/>
        </w:rPr>
        <w:t> </w:t>
      </w:r>
      <w:r>
        <w:rPr/>
        <w:t>MgSO4</w:t>
      </w:r>
      <w:r>
        <w:rPr>
          <w:spacing w:val="-13"/>
        </w:rPr>
        <w:t> </w:t>
      </w:r>
      <w:r>
        <w:rPr/>
        <w:t>1gr/h</w:t>
      </w:r>
      <w:r>
        <w:rPr>
          <w:spacing w:val="-13"/>
        </w:rPr>
        <w:t> </w:t>
      </w:r>
      <w:r>
        <w:rPr/>
        <w:t>and</w:t>
      </w:r>
      <w:r>
        <w:rPr>
          <w:spacing w:val="-13"/>
        </w:rPr>
        <w:t> </w:t>
      </w:r>
      <w:r>
        <w:rPr/>
        <w:t>continued with the antihypertensive therapy with tbl.Methyldopa (2x250mg). The same day, in the evening, her urine presented</w:t>
      </w:r>
      <w:r>
        <w:rPr>
          <w:spacing w:val="-4"/>
        </w:rPr>
        <w:t> </w:t>
      </w:r>
      <w:r>
        <w:rPr/>
        <w:t>with</w:t>
      </w:r>
      <w:r>
        <w:rPr>
          <w:spacing w:val="-4"/>
        </w:rPr>
        <w:t> </w:t>
      </w:r>
      <w:r>
        <w:rPr/>
        <w:t>massive</w:t>
      </w:r>
      <w:r>
        <w:rPr>
          <w:spacing w:val="-2"/>
        </w:rPr>
        <w:t> </w:t>
      </w:r>
      <w:r>
        <w:rPr/>
        <w:t>macrohematuria,</w:t>
      </w:r>
      <w:r>
        <w:rPr>
          <w:spacing w:val="-4"/>
        </w:rPr>
        <w:t> </w:t>
      </w:r>
      <w:r>
        <w:rPr/>
        <w:t>which</w:t>
      </w:r>
      <w:r>
        <w:rPr>
          <w:spacing w:val="-4"/>
        </w:rPr>
        <w:t> </w:t>
      </w:r>
      <w:r>
        <w:rPr/>
        <w:t>was</w:t>
      </w:r>
      <w:r>
        <w:rPr>
          <w:spacing w:val="-5"/>
        </w:rPr>
        <w:t> </w:t>
      </w:r>
      <w:r>
        <w:rPr/>
        <w:t>an indication for an urgent cesarean section, on maternal indication. She delivered twins. The first twin had a weight/height index of 2900gr/52cm, Apgar score of 8/8 and a pH of the umbilical artery of 7.36, while the second</w:t>
      </w:r>
      <w:r>
        <w:rPr>
          <w:spacing w:val="-13"/>
        </w:rPr>
        <w:t> </w:t>
      </w:r>
      <w:r>
        <w:rPr/>
        <w:t>twin</w:t>
      </w:r>
      <w:r>
        <w:rPr>
          <w:spacing w:val="-13"/>
        </w:rPr>
        <w:t> </w:t>
      </w:r>
      <w:r>
        <w:rPr/>
        <w:t>had</w:t>
      </w:r>
      <w:r>
        <w:rPr>
          <w:spacing w:val="-13"/>
        </w:rPr>
        <w:t> </w:t>
      </w:r>
      <w:r>
        <w:rPr/>
        <w:t>a</w:t>
      </w:r>
      <w:r>
        <w:rPr>
          <w:spacing w:val="-12"/>
        </w:rPr>
        <w:t> </w:t>
      </w:r>
      <w:r>
        <w:rPr/>
        <w:t>weight/height</w:t>
      </w:r>
      <w:r>
        <w:rPr>
          <w:spacing w:val="-13"/>
        </w:rPr>
        <w:t> </w:t>
      </w:r>
      <w:r>
        <w:rPr/>
        <w:t>index</w:t>
      </w:r>
      <w:r>
        <w:rPr>
          <w:spacing w:val="-13"/>
        </w:rPr>
        <w:t> </w:t>
      </w:r>
      <w:r>
        <w:rPr/>
        <w:t>of</w:t>
      </w:r>
      <w:r>
        <w:rPr>
          <w:spacing w:val="-13"/>
        </w:rPr>
        <w:t> </w:t>
      </w:r>
      <w:r>
        <w:rPr/>
        <w:t>2420gr/50cm, Apgar</w:t>
      </w:r>
      <w:r>
        <w:rPr>
          <w:spacing w:val="5"/>
        </w:rPr>
        <w:t> </w:t>
      </w:r>
      <w:r>
        <w:rPr/>
        <w:t>score</w:t>
      </w:r>
      <w:r>
        <w:rPr>
          <w:spacing w:val="7"/>
        </w:rPr>
        <w:t> </w:t>
      </w:r>
      <w:r>
        <w:rPr/>
        <w:t>of</w:t>
      </w:r>
      <w:r>
        <w:rPr>
          <w:spacing w:val="6"/>
        </w:rPr>
        <w:t> </w:t>
      </w:r>
      <w:r>
        <w:rPr/>
        <w:t>8/8</w:t>
      </w:r>
      <w:r>
        <w:rPr>
          <w:spacing w:val="5"/>
        </w:rPr>
        <w:t> </w:t>
      </w:r>
      <w:r>
        <w:rPr/>
        <w:t>and</w:t>
      </w:r>
      <w:r>
        <w:rPr>
          <w:spacing w:val="7"/>
        </w:rPr>
        <w:t> </w:t>
      </w:r>
      <w:r>
        <w:rPr/>
        <w:t>a</w:t>
      </w:r>
      <w:r>
        <w:rPr>
          <w:spacing w:val="5"/>
        </w:rPr>
        <w:t> </w:t>
      </w:r>
      <w:r>
        <w:rPr/>
        <w:t>pH</w:t>
      </w:r>
      <w:r>
        <w:rPr>
          <w:spacing w:val="6"/>
        </w:rPr>
        <w:t> </w:t>
      </w:r>
      <w:r>
        <w:rPr/>
        <w:t>of</w:t>
      </w:r>
      <w:r>
        <w:rPr>
          <w:spacing w:val="6"/>
        </w:rPr>
        <w:t> </w:t>
      </w:r>
      <w:r>
        <w:rPr/>
        <w:t>the</w:t>
      </w:r>
      <w:r>
        <w:rPr>
          <w:spacing w:val="7"/>
        </w:rPr>
        <w:t> </w:t>
      </w:r>
      <w:r>
        <w:rPr/>
        <w:t>umbilical</w:t>
      </w:r>
      <w:r>
        <w:rPr>
          <w:spacing w:val="6"/>
        </w:rPr>
        <w:t> </w:t>
      </w:r>
      <w:r>
        <w:rPr/>
        <w:t>artery</w:t>
      </w:r>
      <w:r>
        <w:rPr>
          <w:spacing w:val="5"/>
        </w:rPr>
        <w:t> </w:t>
      </w:r>
      <w:r>
        <w:rPr>
          <w:spacing w:val="-5"/>
        </w:rPr>
        <w:t>of</w:t>
      </w:r>
    </w:p>
    <w:p>
      <w:pPr>
        <w:pStyle w:val="BodyText"/>
        <w:ind w:left="238" w:right="38"/>
        <w:jc w:val="both"/>
      </w:pPr>
      <w:r>
        <w:rPr>
          <w:spacing w:val="-2"/>
        </w:rPr>
        <w:t>7.35.</w:t>
      </w:r>
      <w:r>
        <w:rPr>
          <w:spacing w:val="-12"/>
        </w:rPr>
        <w:t> </w:t>
      </w:r>
      <w:r>
        <w:rPr>
          <w:spacing w:val="-2"/>
        </w:rPr>
        <w:t>The</w:t>
      </w:r>
      <w:r>
        <w:rPr>
          <w:spacing w:val="-11"/>
        </w:rPr>
        <w:t> </w:t>
      </w:r>
      <w:r>
        <w:rPr>
          <w:spacing w:val="-2"/>
        </w:rPr>
        <w:t>operation</w:t>
      </w:r>
      <w:r>
        <w:rPr>
          <w:spacing w:val="-11"/>
        </w:rPr>
        <w:t> </w:t>
      </w:r>
      <w:r>
        <w:rPr>
          <w:spacing w:val="-2"/>
        </w:rPr>
        <w:t>was</w:t>
      </w:r>
      <w:r>
        <w:rPr>
          <w:spacing w:val="-11"/>
        </w:rPr>
        <w:t> </w:t>
      </w:r>
      <w:r>
        <w:rPr>
          <w:spacing w:val="-2"/>
        </w:rPr>
        <w:t>performed</w:t>
      </w:r>
      <w:r>
        <w:rPr>
          <w:spacing w:val="-11"/>
        </w:rPr>
        <w:t> </w:t>
      </w:r>
      <w:r>
        <w:rPr>
          <w:spacing w:val="-2"/>
        </w:rPr>
        <w:t>in</w:t>
      </w:r>
      <w:r>
        <w:rPr>
          <w:spacing w:val="-11"/>
        </w:rPr>
        <w:t> </w:t>
      </w:r>
      <w:r>
        <w:rPr>
          <w:spacing w:val="-2"/>
        </w:rPr>
        <w:t>general</w:t>
      </w:r>
      <w:r>
        <w:rPr>
          <w:spacing w:val="-11"/>
        </w:rPr>
        <w:t> </w:t>
      </w:r>
      <w:r>
        <w:rPr>
          <w:spacing w:val="-2"/>
        </w:rPr>
        <w:t>anesthesia, </w:t>
      </w:r>
      <w:r>
        <w:rPr/>
        <w:t>but the patient was then transferred to the University Clinic for Infectious Diseases for further evaluation because of hyposaturation, with a decrease of oxygen </w:t>
      </w:r>
      <w:r>
        <w:rPr>
          <w:spacing w:val="-2"/>
        </w:rPr>
        <w:t>saturation</w:t>
      </w:r>
      <w:r>
        <w:rPr>
          <w:spacing w:val="-4"/>
        </w:rPr>
        <w:t> </w:t>
      </w:r>
      <w:r>
        <w:rPr>
          <w:spacing w:val="-2"/>
        </w:rPr>
        <w:t>levels</w:t>
      </w:r>
      <w:r>
        <w:rPr>
          <w:spacing w:val="-6"/>
        </w:rPr>
        <w:t> </w:t>
      </w:r>
      <w:r>
        <w:rPr>
          <w:spacing w:val="-2"/>
        </w:rPr>
        <w:t>down</w:t>
      </w:r>
      <w:r>
        <w:rPr>
          <w:spacing w:val="-6"/>
        </w:rPr>
        <w:t> </w:t>
      </w:r>
      <w:r>
        <w:rPr>
          <w:spacing w:val="-2"/>
        </w:rPr>
        <w:t>to</w:t>
      </w:r>
      <w:r>
        <w:rPr>
          <w:spacing w:val="-6"/>
        </w:rPr>
        <w:t> </w:t>
      </w:r>
      <w:r>
        <w:rPr>
          <w:spacing w:val="-2"/>
        </w:rPr>
        <w:t>82%,</w:t>
      </w:r>
      <w:r>
        <w:rPr>
          <w:spacing w:val="-6"/>
        </w:rPr>
        <w:t> </w:t>
      </w:r>
      <w:r>
        <w:rPr>
          <w:spacing w:val="-2"/>
        </w:rPr>
        <w:t>blood</w:t>
      </w:r>
      <w:r>
        <w:rPr>
          <w:spacing w:val="-6"/>
        </w:rPr>
        <w:t> </w:t>
      </w:r>
      <w:r>
        <w:rPr>
          <w:spacing w:val="-2"/>
        </w:rPr>
        <w:t>pressure</w:t>
      </w:r>
      <w:r>
        <w:rPr>
          <w:spacing w:val="-6"/>
        </w:rPr>
        <w:t> </w:t>
      </w:r>
      <w:r>
        <w:rPr>
          <w:spacing w:val="-2"/>
        </w:rPr>
        <w:t>of</w:t>
      </w:r>
      <w:r>
        <w:rPr>
          <w:spacing w:val="-6"/>
        </w:rPr>
        <w:t> </w:t>
      </w:r>
      <w:r>
        <w:rPr>
          <w:spacing w:val="-2"/>
        </w:rPr>
        <w:t>130/90 </w:t>
      </w:r>
      <w:r>
        <w:rPr/>
        <w:t>mmHg, pulse 95 beats per minute. The patient was hospitalized in the Clinic for Infectious Diseases for</w:t>
      </w:r>
      <w:r>
        <w:rPr>
          <w:spacing w:val="80"/>
        </w:rPr>
        <w:t> </w:t>
      </w:r>
      <w:r>
        <w:rPr/>
        <w:t>10 days. In the post-partum period, on the first three postoperative days she was put on an oxygen mask su- pport due to hyposaturation below 82%. In the second postoperative day, her urine became yellow and trans- </w:t>
      </w:r>
      <w:r>
        <w:rPr>
          <w:spacing w:val="-2"/>
        </w:rPr>
        <w:t>parent</w:t>
      </w:r>
      <w:r>
        <w:rPr>
          <w:spacing w:val="-7"/>
        </w:rPr>
        <w:t> </w:t>
      </w:r>
      <w:r>
        <w:rPr>
          <w:spacing w:val="-2"/>
        </w:rPr>
        <w:t>again.</w:t>
      </w:r>
      <w:r>
        <w:rPr>
          <w:spacing w:val="-11"/>
        </w:rPr>
        <w:t> </w:t>
      </w:r>
      <w:r>
        <w:rPr>
          <w:spacing w:val="-2"/>
        </w:rPr>
        <w:t>She</w:t>
      </w:r>
      <w:r>
        <w:rPr>
          <w:spacing w:val="-8"/>
        </w:rPr>
        <w:t> </w:t>
      </w:r>
      <w:r>
        <w:rPr>
          <w:spacing w:val="-2"/>
        </w:rPr>
        <w:t>was</w:t>
      </w:r>
      <w:r>
        <w:rPr>
          <w:spacing w:val="-10"/>
        </w:rPr>
        <w:t> </w:t>
      </w:r>
      <w:r>
        <w:rPr>
          <w:spacing w:val="-2"/>
        </w:rPr>
        <w:t>administered</w:t>
      </w:r>
      <w:r>
        <w:rPr>
          <w:spacing w:val="-11"/>
        </w:rPr>
        <w:t> </w:t>
      </w:r>
      <w:r>
        <w:rPr>
          <w:spacing w:val="-2"/>
        </w:rPr>
        <w:t>broad</w:t>
      </w:r>
      <w:r>
        <w:rPr>
          <w:spacing w:val="-8"/>
        </w:rPr>
        <w:t> </w:t>
      </w:r>
      <w:r>
        <w:rPr>
          <w:spacing w:val="-2"/>
        </w:rPr>
        <w:t>spectrum</w:t>
      </w:r>
      <w:r>
        <w:rPr>
          <w:spacing w:val="-11"/>
        </w:rPr>
        <w:t> </w:t>
      </w:r>
      <w:r>
        <w:rPr>
          <w:spacing w:val="-4"/>
        </w:rPr>
        <w:t>anti-</w:t>
      </w:r>
    </w:p>
    <w:p>
      <w:pPr>
        <w:pStyle w:val="BodyText"/>
        <w:spacing w:line="237" w:lineRule="auto" w:before="94"/>
        <w:ind w:left="238" w:right="292"/>
        <w:jc w:val="both"/>
      </w:pPr>
      <w:r>
        <w:rPr/>
        <w:br w:type="column"/>
      </w:r>
      <w:r>
        <w:rPr>
          <w:spacing w:val="-2"/>
        </w:rPr>
        <w:t>biotics,</w:t>
      </w:r>
      <w:r>
        <w:rPr>
          <w:spacing w:val="-2"/>
        </w:rPr>
        <w:t> corticosteroids</w:t>
      </w:r>
      <w:r>
        <w:rPr>
          <w:spacing w:val="-5"/>
        </w:rPr>
        <w:t> </w:t>
      </w:r>
      <w:r>
        <w:rPr>
          <w:spacing w:val="-2"/>
        </w:rPr>
        <w:t>and</w:t>
      </w:r>
      <w:r>
        <w:rPr>
          <w:spacing w:val="-5"/>
        </w:rPr>
        <w:t> </w:t>
      </w:r>
      <w:r>
        <w:rPr>
          <w:spacing w:val="-2"/>
        </w:rPr>
        <w:t>anticoagulant</w:t>
      </w:r>
      <w:r>
        <w:rPr>
          <w:spacing w:val="-4"/>
        </w:rPr>
        <w:t> </w:t>
      </w:r>
      <w:r>
        <w:rPr>
          <w:spacing w:val="-2"/>
        </w:rPr>
        <w:t>therapy</w:t>
      </w:r>
      <w:r>
        <w:rPr>
          <w:spacing w:val="-5"/>
        </w:rPr>
        <w:t> </w:t>
      </w:r>
      <w:r>
        <w:rPr>
          <w:spacing w:val="-2"/>
        </w:rPr>
        <w:t>(Amp. Enoxaparin</w:t>
      </w:r>
      <w:r>
        <w:rPr>
          <w:spacing w:val="-4"/>
        </w:rPr>
        <w:t> </w:t>
      </w:r>
      <w:r>
        <w:rPr>
          <w:spacing w:val="-2"/>
        </w:rPr>
        <w:t>a</w:t>
      </w:r>
      <w:r>
        <w:rPr>
          <w:spacing w:val="-5"/>
        </w:rPr>
        <w:t> </w:t>
      </w:r>
      <w:r>
        <w:rPr>
          <w:spacing w:val="-2"/>
        </w:rPr>
        <w:t>60mg/2x1).</w:t>
      </w:r>
      <w:r>
        <w:rPr>
          <w:spacing w:val="-4"/>
        </w:rPr>
        <w:t> </w:t>
      </w:r>
      <w:r>
        <w:rPr>
          <w:spacing w:val="-2"/>
        </w:rPr>
        <w:t>She</w:t>
      </w:r>
      <w:r>
        <w:rPr>
          <w:spacing w:val="-5"/>
        </w:rPr>
        <w:t> </w:t>
      </w:r>
      <w:r>
        <w:rPr>
          <w:spacing w:val="-2"/>
        </w:rPr>
        <w:t>was continuously</w:t>
      </w:r>
      <w:r>
        <w:rPr>
          <w:spacing w:val="-6"/>
        </w:rPr>
        <w:t> </w:t>
      </w:r>
      <w:r>
        <w:rPr>
          <w:spacing w:val="-2"/>
        </w:rPr>
        <w:t>afebrile </w:t>
      </w:r>
      <w:r>
        <w:rPr/>
        <w:t>and had stable vital parameters. Her blood results on the 2</w:t>
      </w:r>
      <w:r>
        <w:rPr>
          <w:position w:val="7"/>
          <w:sz w:val="14"/>
        </w:rPr>
        <w:t>nd</w:t>
      </w:r>
      <w:r>
        <w:rPr>
          <w:spacing w:val="40"/>
          <w:position w:val="7"/>
          <w:sz w:val="14"/>
        </w:rPr>
        <w:t> </w:t>
      </w:r>
      <w:r>
        <w:rPr/>
        <w:t>postoperative day showed Hgb 100g/L, WBC 14x10*9/L,</w:t>
      </w:r>
      <w:r>
        <w:rPr>
          <w:spacing w:val="-13"/>
        </w:rPr>
        <w:t> </w:t>
      </w:r>
      <w:r>
        <w:rPr/>
        <w:t>CRP</w:t>
      </w:r>
      <w:r>
        <w:rPr>
          <w:spacing w:val="-11"/>
        </w:rPr>
        <w:t> </w:t>
      </w:r>
      <w:r>
        <w:rPr/>
        <w:t>112mg/L,</w:t>
      </w:r>
      <w:r>
        <w:rPr>
          <w:spacing w:val="-12"/>
        </w:rPr>
        <w:t> </w:t>
      </w:r>
      <w:r>
        <w:rPr/>
        <w:t>acidum</w:t>
      </w:r>
      <w:r>
        <w:rPr>
          <w:spacing w:val="-14"/>
        </w:rPr>
        <w:t> </w:t>
      </w:r>
      <w:r>
        <w:rPr/>
        <w:t>uricum</w:t>
      </w:r>
      <w:r>
        <w:rPr>
          <w:spacing w:val="-13"/>
        </w:rPr>
        <w:t> </w:t>
      </w:r>
      <w:r>
        <w:rPr/>
        <w:t>600μmol/L, creatinine 100μmol/L, urea 9mmol/L. She fully reco- vered on the 10</w:t>
      </w:r>
      <w:r>
        <w:rPr>
          <w:position w:val="7"/>
          <w:sz w:val="14"/>
        </w:rPr>
        <w:t>th</w:t>
      </w:r>
      <w:r>
        <w:rPr>
          <w:spacing w:val="40"/>
          <w:position w:val="7"/>
          <w:sz w:val="14"/>
        </w:rPr>
        <w:t> </w:t>
      </w:r>
      <w:r>
        <w:rPr/>
        <w:t>postpartum day.</w:t>
      </w:r>
    </w:p>
    <w:p>
      <w:pPr>
        <w:pStyle w:val="BodyText"/>
        <w:spacing w:before="5"/>
        <w:ind w:left="238" w:right="291"/>
        <w:jc w:val="both"/>
      </w:pPr>
      <w:r>
        <w:rPr/>
        <w:t>The newborns were hospitalized in the neonatology </w:t>
      </w:r>
      <w:r>
        <w:rPr>
          <w:spacing w:val="-4"/>
        </w:rPr>
        <w:t>unit,</w:t>
      </w:r>
      <w:r>
        <w:rPr>
          <w:spacing w:val="-5"/>
        </w:rPr>
        <w:t> </w:t>
      </w:r>
      <w:r>
        <w:rPr>
          <w:spacing w:val="-4"/>
        </w:rPr>
        <w:t>and they</w:t>
      </w:r>
      <w:r>
        <w:rPr>
          <w:spacing w:val="-5"/>
        </w:rPr>
        <w:t> </w:t>
      </w:r>
      <w:r>
        <w:rPr>
          <w:spacing w:val="-4"/>
        </w:rPr>
        <w:t>tested</w:t>
      </w:r>
      <w:r>
        <w:rPr>
          <w:spacing w:val="-5"/>
        </w:rPr>
        <w:t> </w:t>
      </w:r>
      <w:r>
        <w:rPr>
          <w:spacing w:val="-4"/>
        </w:rPr>
        <w:t>negative for</w:t>
      </w:r>
      <w:r>
        <w:rPr>
          <w:spacing w:val="-6"/>
        </w:rPr>
        <w:t> </w:t>
      </w:r>
      <w:r>
        <w:rPr>
          <w:spacing w:val="-4"/>
        </w:rPr>
        <w:t>SARS-CoV-2 infection. </w:t>
      </w:r>
      <w:r>
        <w:rPr/>
        <w:t>They were further investigated and hospitalized for 6 days.</w:t>
      </w:r>
      <w:r>
        <w:rPr>
          <w:spacing w:val="-10"/>
        </w:rPr>
        <w:t> </w:t>
      </w:r>
      <w:r>
        <w:rPr/>
        <w:t>Both</w:t>
      </w:r>
      <w:r>
        <w:rPr>
          <w:spacing w:val="-10"/>
        </w:rPr>
        <w:t> </w:t>
      </w:r>
      <w:r>
        <w:rPr/>
        <w:t>newborns</w:t>
      </w:r>
      <w:r>
        <w:rPr>
          <w:spacing w:val="-10"/>
        </w:rPr>
        <w:t> </w:t>
      </w:r>
      <w:r>
        <w:rPr/>
        <w:t>had</w:t>
      </w:r>
      <w:r>
        <w:rPr>
          <w:spacing w:val="-10"/>
        </w:rPr>
        <w:t> </w:t>
      </w:r>
      <w:r>
        <w:rPr/>
        <w:t>stable</w:t>
      </w:r>
      <w:r>
        <w:rPr>
          <w:spacing w:val="-8"/>
        </w:rPr>
        <w:t> </w:t>
      </w:r>
      <w:r>
        <w:rPr/>
        <w:t>vital</w:t>
      </w:r>
      <w:r>
        <w:rPr>
          <w:spacing w:val="-9"/>
        </w:rPr>
        <w:t> </w:t>
      </w:r>
      <w:r>
        <w:rPr/>
        <w:t>parameters</w:t>
      </w:r>
      <w:r>
        <w:rPr>
          <w:spacing w:val="-10"/>
        </w:rPr>
        <w:t> </w:t>
      </w:r>
      <w:r>
        <w:rPr/>
        <w:t>during their hospitalization. The first newborn had body tem- perature 36,8*C, pulse 114 beats per minute, oxygen saturation 96%, blood pressure 66/42mmHg, respire- </w:t>
      </w:r>
      <w:r>
        <w:rPr>
          <w:spacing w:val="-4"/>
        </w:rPr>
        <w:t>tion</w:t>
      </w:r>
      <w:r>
        <w:rPr/>
        <w:t> </w:t>
      </w:r>
      <w:r>
        <w:rPr>
          <w:spacing w:val="-4"/>
        </w:rPr>
        <w:t>rate</w:t>
      </w:r>
      <w:r>
        <w:rPr>
          <w:spacing w:val="-8"/>
        </w:rPr>
        <w:t> </w:t>
      </w:r>
      <w:r>
        <w:rPr>
          <w:spacing w:val="-4"/>
        </w:rPr>
        <w:t>49</w:t>
      </w:r>
      <w:r>
        <w:rPr>
          <w:spacing w:val="-5"/>
        </w:rPr>
        <w:t> </w:t>
      </w:r>
      <w:r>
        <w:rPr>
          <w:spacing w:val="-4"/>
        </w:rPr>
        <w:t>breaths</w:t>
      </w:r>
      <w:r>
        <w:rPr>
          <w:spacing w:val="-8"/>
        </w:rPr>
        <w:t> </w:t>
      </w:r>
      <w:r>
        <w:rPr>
          <w:spacing w:val="-4"/>
        </w:rPr>
        <w:t>per minute,</w:t>
      </w:r>
      <w:r>
        <w:rPr>
          <w:spacing w:val="-8"/>
        </w:rPr>
        <w:t> </w:t>
      </w:r>
      <w:r>
        <w:rPr>
          <w:spacing w:val="-4"/>
        </w:rPr>
        <w:t>regular</w:t>
      </w:r>
      <w:r>
        <w:rPr>
          <w:spacing w:val="-6"/>
        </w:rPr>
        <w:t> </w:t>
      </w:r>
      <w:r>
        <w:rPr>
          <w:spacing w:val="-4"/>
        </w:rPr>
        <w:t>diuresis</w:t>
      </w:r>
      <w:r>
        <w:rPr>
          <w:spacing w:val="-6"/>
        </w:rPr>
        <w:t> </w:t>
      </w:r>
      <w:r>
        <w:rPr>
          <w:spacing w:val="-4"/>
        </w:rPr>
        <w:t>and</w:t>
      </w:r>
      <w:r>
        <w:rPr>
          <w:spacing w:val="-5"/>
        </w:rPr>
        <w:t> </w:t>
      </w:r>
      <w:r>
        <w:rPr>
          <w:spacing w:val="-4"/>
        </w:rPr>
        <w:t>stool. </w:t>
      </w:r>
      <w:r>
        <w:rPr/>
        <w:t>The second newborn had body temperature 36,9*C, pulse 142 beats per minute, oxygen saturation 99%, blood</w:t>
      </w:r>
      <w:r>
        <w:rPr>
          <w:spacing w:val="-13"/>
        </w:rPr>
        <w:t> </w:t>
      </w:r>
      <w:r>
        <w:rPr/>
        <w:t>pressure</w:t>
      </w:r>
      <w:r>
        <w:rPr>
          <w:spacing w:val="-13"/>
        </w:rPr>
        <w:t> </w:t>
      </w:r>
      <w:r>
        <w:rPr/>
        <w:t>57/31</w:t>
      </w:r>
      <w:r>
        <w:rPr>
          <w:spacing w:val="-11"/>
        </w:rPr>
        <w:t> </w:t>
      </w:r>
      <w:r>
        <w:rPr/>
        <w:t>mmHg,</w:t>
      </w:r>
      <w:r>
        <w:rPr>
          <w:spacing w:val="-12"/>
        </w:rPr>
        <w:t> </w:t>
      </w:r>
      <w:r>
        <w:rPr/>
        <w:t>respiration</w:t>
      </w:r>
      <w:r>
        <w:rPr>
          <w:spacing w:val="-13"/>
        </w:rPr>
        <w:t> </w:t>
      </w:r>
      <w:r>
        <w:rPr/>
        <w:t>rate</w:t>
      </w:r>
      <w:r>
        <w:rPr>
          <w:spacing w:val="-13"/>
        </w:rPr>
        <w:t> </w:t>
      </w:r>
      <w:r>
        <w:rPr/>
        <w:t>40</w:t>
      </w:r>
      <w:r>
        <w:rPr>
          <w:spacing w:val="-13"/>
        </w:rPr>
        <w:t> </w:t>
      </w:r>
      <w:r>
        <w:rPr/>
        <w:t>breaths </w:t>
      </w:r>
      <w:r>
        <w:rPr>
          <w:spacing w:val="-4"/>
        </w:rPr>
        <w:t>per</w:t>
      </w:r>
      <w:r>
        <w:rPr>
          <w:spacing w:val="-7"/>
        </w:rPr>
        <w:t> </w:t>
      </w:r>
      <w:r>
        <w:rPr>
          <w:spacing w:val="-4"/>
        </w:rPr>
        <w:t>minute,</w:t>
      </w:r>
      <w:r>
        <w:rPr>
          <w:spacing w:val="-6"/>
        </w:rPr>
        <w:t> </w:t>
      </w:r>
      <w:r>
        <w:rPr>
          <w:spacing w:val="-4"/>
        </w:rPr>
        <w:t>regular</w:t>
      </w:r>
      <w:r>
        <w:rPr>
          <w:spacing w:val="-7"/>
        </w:rPr>
        <w:t> </w:t>
      </w:r>
      <w:r>
        <w:rPr>
          <w:spacing w:val="-4"/>
        </w:rPr>
        <w:t>diuresis</w:t>
      </w:r>
      <w:r>
        <w:rPr>
          <w:spacing w:val="-7"/>
        </w:rPr>
        <w:t> </w:t>
      </w:r>
      <w:r>
        <w:rPr>
          <w:spacing w:val="-4"/>
        </w:rPr>
        <w:t>and</w:t>
      </w:r>
      <w:r>
        <w:rPr>
          <w:spacing w:val="-9"/>
        </w:rPr>
        <w:t> </w:t>
      </w:r>
      <w:r>
        <w:rPr>
          <w:spacing w:val="-4"/>
        </w:rPr>
        <w:t>stool.</w:t>
      </w:r>
      <w:r>
        <w:rPr>
          <w:spacing w:val="-9"/>
        </w:rPr>
        <w:t> </w:t>
      </w:r>
      <w:r>
        <w:rPr>
          <w:spacing w:val="-4"/>
        </w:rPr>
        <w:t>They</w:t>
      </w:r>
      <w:r>
        <w:rPr>
          <w:spacing w:val="-9"/>
        </w:rPr>
        <w:t> </w:t>
      </w:r>
      <w:r>
        <w:rPr>
          <w:spacing w:val="-4"/>
        </w:rPr>
        <w:t>were</w:t>
      </w:r>
      <w:r>
        <w:rPr>
          <w:spacing w:val="-7"/>
        </w:rPr>
        <w:t> </w:t>
      </w:r>
      <w:r>
        <w:rPr>
          <w:spacing w:val="-4"/>
        </w:rPr>
        <w:t>released </w:t>
      </w:r>
      <w:r>
        <w:rPr/>
        <w:t>on the 6</w:t>
      </w:r>
      <w:r>
        <w:rPr>
          <w:position w:val="7"/>
          <w:sz w:val="14"/>
        </w:rPr>
        <w:t>th</w:t>
      </w:r>
      <w:r>
        <w:rPr>
          <w:spacing w:val="16"/>
          <w:position w:val="7"/>
          <w:sz w:val="14"/>
        </w:rPr>
        <w:t> </w:t>
      </w:r>
      <w:r>
        <w:rPr/>
        <w:t>day</w:t>
      </w:r>
      <w:r>
        <w:rPr>
          <w:spacing w:val="-4"/>
        </w:rPr>
        <w:t> </w:t>
      </w:r>
      <w:r>
        <w:rPr/>
        <w:t>after birth, with stable health conditions.</w:t>
      </w:r>
    </w:p>
    <w:p>
      <w:pPr>
        <w:pStyle w:val="BodyText"/>
        <w:spacing w:before="1"/>
      </w:pPr>
    </w:p>
    <w:p>
      <w:pPr>
        <w:pStyle w:val="Heading4"/>
        <w:spacing w:before="1"/>
      </w:pPr>
      <w:r>
        <w:rPr>
          <w:spacing w:val="-2"/>
        </w:rPr>
        <w:t>Discussion</w:t>
      </w:r>
    </w:p>
    <w:p>
      <w:pPr>
        <w:pStyle w:val="BodyText"/>
        <w:spacing w:before="6"/>
        <w:rPr>
          <w:b/>
          <w:sz w:val="20"/>
        </w:rPr>
      </w:pPr>
    </w:p>
    <w:p>
      <w:pPr>
        <w:pStyle w:val="BodyText"/>
        <w:ind w:left="238" w:right="290"/>
        <w:jc w:val="both"/>
      </w:pPr>
      <w:r>
        <w:rPr/>
        <w:t>Patients infected with COVID19 are showing signs of kidney damage, even those who have had no prior un- derlying kidney pathology. Comorbidities commonly associated with renal susceptibility to injury, such as diabetes mellitus, hypertension, cardiovascular disease and advanced age are evident risk factors in the deve- lopment of COVID-19-associated acute kidney injury [3].</w:t>
      </w:r>
      <w:r>
        <w:rPr>
          <w:spacing w:val="-3"/>
        </w:rPr>
        <w:t> </w:t>
      </w:r>
      <w:r>
        <w:rPr/>
        <w:t>Our</w:t>
      </w:r>
      <w:r>
        <w:rPr>
          <w:spacing w:val="-6"/>
        </w:rPr>
        <w:t> </w:t>
      </w:r>
      <w:r>
        <w:rPr/>
        <w:t>case,</w:t>
      </w:r>
      <w:r>
        <w:rPr>
          <w:spacing w:val="-5"/>
        </w:rPr>
        <w:t> </w:t>
      </w:r>
      <w:r>
        <w:rPr/>
        <w:t>presented</w:t>
      </w:r>
      <w:r>
        <w:rPr>
          <w:spacing w:val="-3"/>
        </w:rPr>
        <w:t> </w:t>
      </w:r>
      <w:r>
        <w:rPr/>
        <w:t>with</w:t>
      </w:r>
      <w:r>
        <w:rPr>
          <w:spacing w:val="-5"/>
        </w:rPr>
        <w:t> </w:t>
      </w:r>
      <w:r>
        <w:rPr/>
        <w:t>massive</w:t>
      </w:r>
      <w:r>
        <w:rPr>
          <w:spacing w:val="-3"/>
        </w:rPr>
        <w:t> </w:t>
      </w:r>
      <w:r>
        <w:rPr/>
        <w:t>macrohematuria, as</w:t>
      </w:r>
      <w:r>
        <w:rPr>
          <w:spacing w:val="-14"/>
        </w:rPr>
        <w:t> </w:t>
      </w:r>
      <w:r>
        <w:rPr/>
        <w:t>a</w:t>
      </w:r>
      <w:r>
        <w:rPr>
          <w:spacing w:val="-13"/>
        </w:rPr>
        <w:t> </w:t>
      </w:r>
      <w:r>
        <w:rPr/>
        <w:t>result</w:t>
      </w:r>
      <w:r>
        <w:rPr>
          <w:spacing w:val="-13"/>
        </w:rPr>
        <w:t> </w:t>
      </w:r>
      <w:r>
        <w:rPr/>
        <w:t>of</w:t>
      </w:r>
      <w:r>
        <w:rPr>
          <w:spacing w:val="-13"/>
        </w:rPr>
        <w:t> </w:t>
      </w:r>
      <w:r>
        <w:rPr/>
        <w:t>endothelial</w:t>
      </w:r>
      <w:r>
        <w:rPr>
          <w:spacing w:val="-13"/>
        </w:rPr>
        <w:t> </w:t>
      </w:r>
      <w:r>
        <w:rPr/>
        <w:t>damage</w:t>
      </w:r>
      <w:r>
        <w:rPr>
          <w:spacing w:val="-13"/>
        </w:rPr>
        <w:t> </w:t>
      </w:r>
      <w:r>
        <w:rPr/>
        <w:t>of</w:t>
      </w:r>
      <w:r>
        <w:rPr>
          <w:spacing w:val="-13"/>
        </w:rPr>
        <w:t> </w:t>
      </w:r>
      <w:r>
        <w:rPr/>
        <w:t>the</w:t>
      </w:r>
      <w:r>
        <w:rPr>
          <w:spacing w:val="-13"/>
        </w:rPr>
        <w:t> </w:t>
      </w:r>
      <w:r>
        <w:rPr/>
        <w:t>glomeruli</w:t>
      </w:r>
      <w:r>
        <w:rPr>
          <w:spacing w:val="-14"/>
        </w:rPr>
        <w:t> </w:t>
      </w:r>
      <w:r>
        <w:rPr/>
        <w:t>due</w:t>
      </w:r>
      <w:r>
        <w:rPr>
          <w:spacing w:val="-13"/>
        </w:rPr>
        <w:t> </w:t>
      </w:r>
      <w:r>
        <w:rPr/>
        <w:t>to her</w:t>
      </w:r>
      <w:r>
        <w:rPr>
          <w:spacing w:val="-3"/>
        </w:rPr>
        <w:t> </w:t>
      </w:r>
      <w:r>
        <w:rPr/>
        <w:t>underlying</w:t>
      </w:r>
      <w:r>
        <w:rPr>
          <w:spacing w:val="-2"/>
        </w:rPr>
        <w:t> </w:t>
      </w:r>
      <w:r>
        <w:rPr/>
        <w:t>preeclampsia or</w:t>
      </w:r>
      <w:r>
        <w:rPr>
          <w:spacing w:val="-3"/>
        </w:rPr>
        <w:t> </w:t>
      </w:r>
      <w:r>
        <w:rPr/>
        <w:t>due</w:t>
      </w:r>
      <w:r>
        <w:rPr>
          <w:spacing w:val="-2"/>
        </w:rPr>
        <w:t> </w:t>
      </w:r>
      <w:r>
        <w:rPr/>
        <w:t>to</w:t>
      </w:r>
      <w:r>
        <w:rPr>
          <w:spacing w:val="-2"/>
        </w:rPr>
        <w:t> </w:t>
      </w:r>
      <w:r>
        <w:rPr/>
        <w:t>transient</w:t>
      </w:r>
      <w:r>
        <w:rPr>
          <w:spacing w:val="-3"/>
        </w:rPr>
        <w:t> </w:t>
      </w:r>
      <w:r>
        <w:rPr/>
        <w:t>glome- rular damage because of her COVID19 infection.</w:t>
      </w:r>
    </w:p>
    <w:p>
      <w:pPr>
        <w:pStyle w:val="BodyText"/>
        <w:spacing w:before="1"/>
        <w:ind w:left="238" w:right="292"/>
        <w:jc w:val="both"/>
      </w:pPr>
      <w:r>
        <w:rPr/>
        <w:t>The impact of COVID19 in kidneys is not yet clear, however data so far suggests that kidney damage is most likely the result of several processes occurring either in isolation or in tandem. Some pathophysiolo- gical mechanisms explain that kidney disease may be caused by</w:t>
      </w:r>
      <w:r>
        <w:rPr>
          <w:spacing w:val="-2"/>
        </w:rPr>
        <w:t> </w:t>
      </w:r>
      <w:r>
        <w:rPr/>
        <w:t>SARS-CoV-2 binding to the ACE2 receptor on kidney cells that allow the virus to enter. Detection of coronavirus during the autopsy of kidneys and in</w:t>
      </w:r>
      <w:r>
        <w:rPr>
          <w:spacing w:val="40"/>
        </w:rPr>
        <w:t> </w:t>
      </w:r>
      <w:r>
        <w:rPr/>
        <w:t>the urine of patients infected with SARS-CoV-2 su- pports</w:t>
      </w:r>
      <w:r>
        <w:rPr>
          <w:spacing w:val="-3"/>
        </w:rPr>
        <w:t> </w:t>
      </w:r>
      <w:r>
        <w:rPr/>
        <w:t>the</w:t>
      </w:r>
      <w:r>
        <w:rPr>
          <w:spacing w:val="-3"/>
        </w:rPr>
        <w:t> </w:t>
      </w:r>
      <w:r>
        <w:rPr/>
        <w:t>theory</w:t>
      </w:r>
      <w:r>
        <w:rPr>
          <w:spacing w:val="-6"/>
        </w:rPr>
        <w:t> </w:t>
      </w:r>
      <w:r>
        <w:rPr/>
        <w:t>that</w:t>
      </w:r>
      <w:r>
        <w:rPr>
          <w:spacing w:val="-4"/>
        </w:rPr>
        <w:t> </w:t>
      </w:r>
      <w:r>
        <w:rPr/>
        <w:t>the</w:t>
      </w:r>
      <w:r>
        <w:rPr>
          <w:spacing w:val="-1"/>
        </w:rPr>
        <w:t> </w:t>
      </w:r>
      <w:r>
        <w:rPr/>
        <w:t>virus</w:t>
      </w:r>
      <w:r>
        <w:rPr>
          <w:spacing w:val="-3"/>
        </w:rPr>
        <w:t> </w:t>
      </w:r>
      <w:r>
        <w:rPr/>
        <w:t>can</w:t>
      </w:r>
      <w:r>
        <w:rPr>
          <w:spacing w:val="-3"/>
        </w:rPr>
        <w:t> </w:t>
      </w:r>
      <w:r>
        <w:rPr/>
        <w:t>directly</w:t>
      </w:r>
      <w:r>
        <w:rPr>
          <w:spacing w:val="-6"/>
        </w:rPr>
        <w:t> </w:t>
      </w:r>
      <w:r>
        <w:rPr/>
        <w:t>damage</w:t>
      </w:r>
      <w:r>
        <w:rPr>
          <w:spacing w:val="-1"/>
        </w:rPr>
        <w:t> </w:t>
      </w:r>
      <w:r>
        <w:rPr/>
        <w:t>the kidneys [4]. Acute tubular injury is a predominant fin- ding in histopathological examination of postmortem tissues,</w:t>
      </w:r>
      <w:r>
        <w:rPr>
          <w:spacing w:val="-10"/>
        </w:rPr>
        <w:t> </w:t>
      </w:r>
      <w:r>
        <w:rPr/>
        <w:t>which</w:t>
      </w:r>
      <w:r>
        <w:rPr>
          <w:spacing w:val="-10"/>
        </w:rPr>
        <w:t> </w:t>
      </w:r>
      <w:r>
        <w:rPr/>
        <w:t>could</w:t>
      </w:r>
      <w:r>
        <w:rPr>
          <w:spacing w:val="-10"/>
        </w:rPr>
        <w:t> </w:t>
      </w:r>
      <w:r>
        <w:rPr/>
        <w:t>also</w:t>
      </w:r>
      <w:r>
        <w:rPr>
          <w:spacing w:val="-10"/>
        </w:rPr>
        <w:t> </w:t>
      </w:r>
      <w:r>
        <w:rPr/>
        <w:t>explain</w:t>
      </w:r>
      <w:r>
        <w:rPr>
          <w:spacing w:val="-10"/>
        </w:rPr>
        <w:t> </w:t>
      </w:r>
      <w:r>
        <w:rPr/>
        <w:t>the</w:t>
      </w:r>
      <w:r>
        <w:rPr>
          <w:spacing w:val="-10"/>
        </w:rPr>
        <w:t> </w:t>
      </w:r>
      <w:r>
        <w:rPr/>
        <w:t>hematoproteinuria observed</w:t>
      </w:r>
      <w:r>
        <w:rPr>
          <w:spacing w:val="-2"/>
        </w:rPr>
        <w:t> </w:t>
      </w:r>
      <w:r>
        <w:rPr/>
        <w:t>in</w:t>
      </w:r>
      <w:r>
        <w:rPr>
          <w:spacing w:val="-2"/>
        </w:rPr>
        <w:t> </w:t>
      </w:r>
      <w:r>
        <w:rPr/>
        <w:t>many</w:t>
      </w:r>
      <w:r>
        <w:rPr>
          <w:spacing w:val="-6"/>
        </w:rPr>
        <w:t> </w:t>
      </w:r>
      <w:r>
        <w:rPr/>
        <w:t>patients. Another</w:t>
      </w:r>
      <w:r>
        <w:rPr>
          <w:spacing w:val="-3"/>
        </w:rPr>
        <w:t> </w:t>
      </w:r>
      <w:r>
        <w:rPr/>
        <w:t>mechanism</w:t>
      </w:r>
      <w:r>
        <w:rPr>
          <w:spacing w:val="-5"/>
        </w:rPr>
        <w:t> </w:t>
      </w:r>
      <w:r>
        <w:rPr/>
        <w:t>of</w:t>
      </w:r>
      <w:r>
        <w:rPr>
          <w:spacing w:val="-3"/>
        </w:rPr>
        <w:t> </w:t>
      </w:r>
      <w:r>
        <w:rPr/>
        <w:t>kid- ney damage is COVID-19-associated coagulopathy. It is characterized by high D-dimer levels and microvas- cular damage. COVID-19 tends to have high rates of severe</w:t>
      </w:r>
      <w:r>
        <w:rPr>
          <w:spacing w:val="-14"/>
        </w:rPr>
        <w:t> </w:t>
      </w:r>
      <w:r>
        <w:rPr/>
        <w:t>thromboembolic</w:t>
      </w:r>
      <w:r>
        <w:rPr>
          <w:spacing w:val="-13"/>
        </w:rPr>
        <w:t> </w:t>
      </w:r>
      <w:r>
        <w:rPr/>
        <w:t>complications</w:t>
      </w:r>
      <w:r>
        <w:rPr>
          <w:spacing w:val="-13"/>
        </w:rPr>
        <w:t> </w:t>
      </w:r>
      <w:r>
        <w:rPr/>
        <w:t>and</w:t>
      </w:r>
      <w:r>
        <w:rPr>
          <w:spacing w:val="-13"/>
        </w:rPr>
        <w:t> </w:t>
      </w:r>
      <w:r>
        <w:rPr/>
        <w:t>endotheliitis despite of anticoagulation. Based on data, COVID-19- associated organ dysfunction is caused by the “cyto- kine storm syndrome”. The release of excessive and uncontrolled pro-inflammatory cytokines attacks the lungs,</w:t>
      </w:r>
      <w:r>
        <w:rPr>
          <w:spacing w:val="3"/>
        </w:rPr>
        <w:t> </w:t>
      </w:r>
      <w:r>
        <w:rPr/>
        <w:t>heart</w:t>
      </w:r>
      <w:r>
        <w:rPr>
          <w:spacing w:val="4"/>
        </w:rPr>
        <w:t> </w:t>
      </w:r>
      <w:r>
        <w:rPr/>
        <w:t>and</w:t>
      </w:r>
      <w:r>
        <w:rPr>
          <w:spacing w:val="4"/>
        </w:rPr>
        <w:t> </w:t>
      </w:r>
      <w:r>
        <w:rPr/>
        <w:t>kidneys</w:t>
      </w:r>
      <w:r>
        <w:rPr>
          <w:spacing w:val="6"/>
        </w:rPr>
        <w:t> </w:t>
      </w:r>
      <w:r>
        <w:rPr/>
        <w:t>and</w:t>
      </w:r>
      <w:r>
        <w:rPr>
          <w:spacing w:val="5"/>
        </w:rPr>
        <w:t> </w:t>
      </w:r>
      <w:r>
        <w:rPr/>
        <w:t>thus</w:t>
      </w:r>
      <w:r>
        <w:rPr>
          <w:spacing w:val="3"/>
        </w:rPr>
        <w:t> </w:t>
      </w:r>
      <w:r>
        <w:rPr/>
        <w:t>brings</w:t>
      </w:r>
      <w:r>
        <w:rPr>
          <w:spacing w:val="4"/>
        </w:rPr>
        <w:t> </w:t>
      </w:r>
      <w:r>
        <w:rPr/>
        <w:t>to</w:t>
      </w:r>
      <w:r>
        <w:rPr>
          <w:spacing w:val="9"/>
        </w:rPr>
        <w:t> </w:t>
      </w:r>
      <w:r>
        <w:rPr>
          <w:spacing w:val="-2"/>
        </w:rPr>
        <w:t>multiorgan</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5"/>
        <w:rPr>
          <w:sz w:val="15"/>
        </w:rPr>
      </w:pPr>
    </w:p>
    <w:p>
      <w:pPr>
        <w:spacing w:after="0"/>
        <w:rPr>
          <w:sz w:val="15"/>
        </w:rPr>
        <w:sectPr>
          <w:headerReference w:type="even" r:id="rId516"/>
          <w:pgSz w:w="11910" w:h="16840"/>
          <w:pgMar w:header="854" w:footer="0" w:top="1300" w:bottom="280" w:left="900" w:right="840"/>
        </w:sectPr>
      </w:pPr>
    </w:p>
    <w:p>
      <w:pPr>
        <w:pStyle w:val="BodyText"/>
        <w:spacing w:before="92"/>
        <w:ind w:left="238" w:right="44"/>
        <w:jc w:val="both"/>
      </w:pPr>
      <w:r>
        <w:rPr/>
        <w:t>failure. All of these mechanisms contribute to acute kidney injury, which complicates the course of the COVID-19 disease in infected patients.</w:t>
      </w:r>
    </w:p>
    <w:p>
      <w:pPr>
        <w:pStyle w:val="BodyText"/>
        <w:spacing w:before="1"/>
        <w:ind w:left="238" w:right="38"/>
        <w:jc w:val="both"/>
      </w:pPr>
      <w:r>
        <w:rPr/>
        <w:t>Our case, presented with a patient who was COVID19 positive and had controlled pregnancy induced hyper- tension. Until the COVID19 infection, her pregnancy was uneventful. After the infection, she showed eleva- tion of acidum uricum, creatinine, urea and d-dimers, and no proteinuria. If proteinuria had been present, we would have linked this phenomenon with an aggrava- tion of her pregnancy induced hypertension to preec- lampsia. In their recent publication, Dap et al, presen- ted a case of a COVID19 pregnant woman, in which the diagnosis of preeclampsia was wrongly assumed because of proteinuria, due to preeclampsia-like syn- drome induced by the severe infection [5]</w:t>
      </w:r>
      <w:r>
        <w:rPr>
          <w:position w:val="7"/>
          <w:sz w:val="14"/>
        </w:rPr>
        <w:t>.</w:t>
      </w:r>
      <w:r>
        <w:rPr>
          <w:spacing w:val="40"/>
          <w:position w:val="7"/>
          <w:sz w:val="14"/>
        </w:rPr>
        <w:t> </w:t>
      </w:r>
      <w:r>
        <w:rPr/>
        <w:t>Similar to </w:t>
      </w:r>
      <w:r>
        <w:rPr>
          <w:spacing w:val="-2"/>
        </w:rPr>
        <w:t>this</w:t>
      </w:r>
      <w:r>
        <w:rPr>
          <w:spacing w:val="-9"/>
        </w:rPr>
        <w:t> </w:t>
      </w:r>
      <w:r>
        <w:rPr>
          <w:spacing w:val="-2"/>
        </w:rPr>
        <w:t>case,</w:t>
      </w:r>
      <w:r>
        <w:rPr>
          <w:spacing w:val="-8"/>
        </w:rPr>
        <w:t> </w:t>
      </w:r>
      <w:r>
        <w:rPr>
          <w:spacing w:val="-2"/>
        </w:rPr>
        <w:t>our</w:t>
      </w:r>
      <w:r>
        <w:rPr>
          <w:spacing w:val="-9"/>
        </w:rPr>
        <w:t> </w:t>
      </w:r>
      <w:r>
        <w:rPr>
          <w:spacing w:val="-2"/>
        </w:rPr>
        <w:t>patient</w:t>
      </w:r>
      <w:r>
        <w:rPr>
          <w:spacing w:val="-7"/>
        </w:rPr>
        <w:t> </w:t>
      </w:r>
      <w:r>
        <w:rPr>
          <w:spacing w:val="-2"/>
        </w:rPr>
        <w:t>who</w:t>
      </w:r>
      <w:r>
        <w:rPr>
          <w:spacing w:val="-8"/>
        </w:rPr>
        <w:t> </w:t>
      </w:r>
      <w:r>
        <w:rPr>
          <w:spacing w:val="-2"/>
        </w:rPr>
        <w:t>had</w:t>
      </w:r>
      <w:r>
        <w:rPr>
          <w:spacing w:val="-6"/>
        </w:rPr>
        <w:t> </w:t>
      </w:r>
      <w:r>
        <w:rPr>
          <w:spacing w:val="-2"/>
        </w:rPr>
        <w:t>a</w:t>
      </w:r>
      <w:r>
        <w:rPr>
          <w:spacing w:val="-8"/>
        </w:rPr>
        <w:t> </w:t>
      </w:r>
      <w:r>
        <w:rPr>
          <w:spacing w:val="-2"/>
        </w:rPr>
        <w:t>controlled</w:t>
      </w:r>
      <w:r>
        <w:rPr>
          <w:spacing w:val="-8"/>
        </w:rPr>
        <w:t> </w:t>
      </w:r>
      <w:r>
        <w:rPr>
          <w:spacing w:val="-2"/>
        </w:rPr>
        <w:t>prenatal</w:t>
      </w:r>
      <w:r>
        <w:rPr>
          <w:spacing w:val="-9"/>
        </w:rPr>
        <w:t> </w:t>
      </w:r>
      <w:r>
        <w:rPr>
          <w:spacing w:val="-2"/>
        </w:rPr>
        <w:t>preg- </w:t>
      </w:r>
      <w:r>
        <w:rPr>
          <w:spacing w:val="-4"/>
        </w:rPr>
        <w:t>nancy induced</w:t>
      </w:r>
      <w:r>
        <w:rPr>
          <w:spacing w:val="-7"/>
        </w:rPr>
        <w:t> </w:t>
      </w:r>
      <w:r>
        <w:rPr>
          <w:spacing w:val="-4"/>
        </w:rPr>
        <w:t>hypertension,</w:t>
      </w:r>
      <w:r>
        <w:rPr>
          <w:spacing w:val="-7"/>
        </w:rPr>
        <w:t> </w:t>
      </w:r>
      <w:r>
        <w:rPr>
          <w:spacing w:val="-4"/>
        </w:rPr>
        <w:t>a</w:t>
      </w:r>
      <w:r>
        <w:rPr>
          <w:spacing w:val="-5"/>
        </w:rPr>
        <w:t> </w:t>
      </w:r>
      <w:r>
        <w:rPr>
          <w:spacing w:val="-4"/>
        </w:rPr>
        <w:t>postpartum</w:t>
      </w:r>
      <w:r>
        <w:rPr>
          <w:spacing w:val="-8"/>
        </w:rPr>
        <w:t> </w:t>
      </w:r>
      <w:r>
        <w:rPr>
          <w:spacing w:val="-4"/>
        </w:rPr>
        <w:t>macroscopica- </w:t>
      </w:r>
      <w:r>
        <w:rPr/>
        <w:t>lly normal placenta, with no previous kidney patho- logy, our hypothesis would be that the presence of macrohematuria seems to be the result of the endothe- lial damage of the glomeruli due to COVID19 infec- tion. Because of the fast deterioration of the patients health condition and the need to terminate the preg- </w:t>
      </w:r>
      <w:r>
        <w:rPr>
          <w:spacing w:val="-2"/>
        </w:rPr>
        <w:t>nancy</w:t>
      </w:r>
      <w:r>
        <w:rPr>
          <w:spacing w:val="-12"/>
        </w:rPr>
        <w:t> </w:t>
      </w:r>
      <w:r>
        <w:rPr>
          <w:spacing w:val="-2"/>
        </w:rPr>
        <w:t>on</w:t>
      </w:r>
      <w:r>
        <w:rPr>
          <w:spacing w:val="-11"/>
        </w:rPr>
        <w:t> </w:t>
      </w:r>
      <w:r>
        <w:rPr>
          <w:spacing w:val="-2"/>
        </w:rPr>
        <w:t>maternal</w:t>
      </w:r>
      <w:r>
        <w:rPr>
          <w:spacing w:val="-11"/>
        </w:rPr>
        <w:t> </w:t>
      </w:r>
      <w:r>
        <w:rPr>
          <w:spacing w:val="-2"/>
        </w:rPr>
        <w:t>indication,</w:t>
      </w:r>
      <w:r>
        <w:rPr>
          <w:spacing w:val="-11"/>
        </w:rPr>
        <w:t> </w:t>
      </w:r>
      <w:r>
        <w:rPr>
          <w:spacing w:val="-2"/>
        </w:rPr>
        <w:t>further</w:t>
      </w:r>
      <w:r>
        <w:rPr>
          <w:spacing w:val="-11"/>
        </w:rPr>
        <w:t> </w:t>
      </w:r>
      <w:r>
        <w:rPr>
          <w:spacing w:val="-2"/>
        </w:rPr>
        <w:t>investigations</w:t>
      </w:r>
      <w:r>
        <w:rPr>
          <w:spacing w:val="-11"/>
        </w:rPr>
        <w:t> </w:t>
      </w:r>
      <w:r>
        <w:rPr>
          <w:spacing w:val="-2"/>
        </w:rPr>
        <w:t>such </w:t>
      </w:r>
      <w:r>
        <w:rPr/>
        <w:t>as kidney</w:t>
      </w:r>
      <w:r>
        <w:rPr>
          <w:spacing w:val="-1"/>
        </w:rPr>
        <w:t> </w:t>
      </w:r>
      <w:r>
        <w:rPr/>
        <w:t>ultrasounds and more detailed urine analysis that would support this case, could not be undergone</w:t>
      </w:r>
    </w:p>
    <w:p>
      <w:pPr>
        <w:pStyle w:val="BodyText"/>
        <w:spacing w:before="11"/>
        <w:rPr>
          <w:sz w:val="20"/>
        </w:rPr>
      </w:pPr>
    </w:p>
    <w:p>
      <w:pPr>
        <w:pStyle w:val="Heading4"/>
      </w:pPr>
      <w:r>
        <w:rPr>
          <w:spacing w:val="-2"/>
        </w:rPr>
        <w:t>Conclusion</w:t>
      </w:r>
    </w:p>
    <w:p>
      <w:pPr>
        <w:pStyle w:val="BodyText"/>
        <w:spacing w:before="6"/>
        <w:rPr>
          <w:b/>
          <w:sz w:val="20"/>
        </w:rPr>
      </w:pPr>
    </w:p>
    <w:p>
      <w:pPr>
        <w:pStyle w:val="BodyText"/>
        <w:ind w:left="238" w:right="42"/>
        <w:jc w:val="both"/>
      </w:pPr>
      <w:r>
        <w:rPr/>
        <w:t>There is limited data on long-term effects following</w:t>
      </w:r>
      <w:r>
        <w:rPr>
          <w:spacing w:val="40"/>
        </w:rPr>
        <w:t> </w:t>
      </w:r>
      <w:r>
        <w:rPr/>
        <w:t>the</w:t>
      </w:r>
      <w:r>
        <w:rPr>
          <w:spacing w:val="-6"/>
        </w:rPr>
        <w:t> </w:t>
      </w:r>
      <w:r>
        <w:rPr/>
        <w:t>development</w:t>
      </w:r>
      <w:r>
        <w:rPr>
          <w:spacing w:val="-7"/>
        </w:rPr>
        <w:t> </w:t>
      </w:r>
      <w:r>
        <w:rPr/>
        <w:t>of</w:t>
      </w:r>
      <w:r>
        <w:rPr>
          <w:spacing w:val="-6"/>
        </w:rPr>
        <w:t> </w:t>
      </w:r>
      <w:r>
        <w:rPr/>
        <w:t>acute</w:t>
      </w:r>
      <w:r>
        <w:rPr>
          <w:spacing w:val="-4"/>
        </w:rPr>
        <w:t> </w:t>
      </w:r>
      <w:r>
        <w:rPr/>
        <w:t>kidney</w:t>
      </w:r>
      <w:r>
        <w:rPr>
          <w:spacing w:val="-7"/>
        </w:rPr>
        <w:t> </w:t>
      </w:r>
      <w:r>
        <w:rPr/>
        <w:t>injury</w:t>
      </w:r>
      <w:r>
        <w:rPr>
          <w:spacing w:val="-6"/>
        </w:rPr>
        <w:t> </w:t>
      </w:r>
      <w:r>
        <w:rPr/>
        <w:t>in</w:t>
      </w:r>
      <w:r>
        <w:rPr>
          <w:spacing w:val="-6"/>
        </w:rPr>
        <w:t> </w:t>
      </w:r>
      <w:r>
        <w:rPr/>
        <w:t>patients</w:t>
      </w:r>
      <w:r>
        <w:rPr>
          <w:spacing w:val="-4"/>
        </w:rPr>
        <w:t> </w:t>
      </w:r>
      <w:r>
        <w:rPr/>
        <w:t>with </w:t>
      </w:r>
      <w:r>
        <w:rPr>
          <w:spacing w:val="-2"/>
        </w:rPr>
        <w:t>COVID-19.</w:t>
      </w:r>
      <w:r>
        <w:rPr>
          <w:spacing w:val="-8"/>
        </w:rPr>
        <w:t> </w:t>
      </w:r>
      <w:r>
        <w:rPr>
          <w:spacing w:val="-2"/>
        </w:rPr>
        <w:t>This</w:t>
      </w:r>
      <w:r>
        <w:rPr>
          <w:spacing w:val="-6"/>
        </w:rPr>
        <w:t> </w:t>
      </w:r>
      <w:r>
        <w:rPr>
          <w:spacing w:val="-2"/>
        </w:rPr>
        <w:t>disease</w:t>
      </w:r>
      <w:r>
        <w:rPr>
          <w:spacing w:val="-6"/>
        </w:rPr>
        <w:t> </w:t>
      </w:r>
      <w:r>
        <w:rPr>
          <w:spacing w:val="-2"/>
        </w:rPr>
        <w:t>causes</w:t>
      </w:r>
      <w:r>
        <w:rPr>
          <w:spacing w:val="-4"/>
        </w:rPr>
        <w:t> </w:t>
      </w:r>
      <w:r>
        <w:rPr>
          <w:spacing w:val="-2"/>
        </w:rPr>
        <w:t>multiorgan</w:t>
      </w:r>
      <w:r>
        <w:rPr>
          <w:spacing w:val="-5"/>
        </w:rPr>
        <w:t> </w:t>
      </w:r>
      <w:r>
        <w:rPr>
          <w:spacing w:val="-2"/>
        </w:rPr>
        <w:t>damage</w:t>
      </w:r>
      <w:r>
        <w:rPr>
          <w:spacing w:val="-6"/>
        </w:rPr>
        <w:t> </w:t>
      </w:r>
      <w:r>
        <w:rPr>
          <w:spacing w:val="-5"/>
        </w:rPr>
        <w:t>and</w:t>
      </w:r>
    </w:p>
    <w:p>
      <w:pPr>
        <w:pStyle w:val="BodyText"/>
        <w:spacing w:before="92"/>
        <w:ind w:left="238" w:right="290"/>
        <w:jc w:val="both"/>
      </w:pPr>
      <w:r>
        <w:rPr/>
        <w:br w:type="column"/>
      </w:r>
      <w:r>
        <w:rPr/>
        <w:t>it specifically affects the lungs and the kidneys. The presence of comorbidities such as high blood pressure and high body mass index increases the incidence of acute</w:t>
      </w:r>
      <w:r>
        <w:rPr>
          <w:spacing w:val="8"/>
        </w:rPr>
        <w:t> </w:t>
      </w:r>
      <w:r>
        <w:rPr/>
        <w:t>kidney</w:t>
      </w:r>
      <w:r>
        <w:rPr>
          <w:spacing w:val="7"/>
        </w:rPr>
        <w:t> </w:t>
      </w:r>
      <w:r>
        <w:rPr/>
        <w:t>injury</w:t>
      </w:r>
      <w:r>
        <w:rPr>
          <w:spacing w:val="6"/>
        </w:rPr>
        <w:t> </w:t>
      </w:r>
      <w:r>
        <w:rPr/>
        <w:t>in</w:t>
      </w:r>
      <w:r>
        <w:rPr>
          <w:spacing w:val="10"/>
        </w:rPr>
        <w:t> </w:t>
      </w:r>
      <w:r>
        <w:rPr/>
        <w:t>pregnant</w:t>
      </w:r>
      <w:r>
        <w:rPr>
          <w:spacing w:val="7"/>
        </w:rPr>
        <w:t> </w:t>
      </w:r>
      <w:r>
        <w:rPr/>
        <w:t>patients</w:t>
      </w:r>
      <w:r>
        <w:rPr>
          <w:spacing w:val="9"/>
        </w:rPr>
        <w:t> </w:t>
      </w:r>
      <w:r>
        <w:rPr/>
        <w:t>with</w:t>
      </w:r>
      <w:r>
        <w:rPr>
          <w:spacing w:val="10"/>
        </w:rPr>
        <w:t> </w:t>
      </w:r>
      <w:r>
        <w:rPr>
          <w:spacing w:val="-2"/>
        </w:rPr>
        <w:t>COVID-</w:t>
      </w:r>
    </w:p>
    <w:p>
      <w:pPr>
        <w:pStyle w:val="BodyText"/>
        <w:ind w:left="238" w:right="291"/>
        <w:jc w:val="both"/>
      </w:pPr>
      <w:r>
        <w:rPr/>
        <w:t>19.</w:t>
      </w:r>
      <w:r>
        <w:rPr>
          <w:spacing w:val="-14"/>
        </w:rPr>
        <w:t> </w:t>
      </w:r>
      <w:r>
        <w:rPr/>
        <w:t>However,</w:t>
      </w:r>
      <w:r>
        <w:rPr>
          <w:spacing w:val="-13"/>
        </w:rPr>
        <w:t> </w:t>
      </w:r>
      <w:r>
        <w:rPr/>
        <w:t>all</w:t>
      </w:r>
      <w:r>
        <w:rPr>
          <w:spacing w:val="-13"/>
        </w:rPr>
        <w:t> </w:t>
      </w:r>
      <w:r>
        <w:rPr/>
        <w:t>pregnant</w:t>
      </w:r>
      <w:r>
        <w:rPr>
          <w:spacing w:val="-13"/>
        </w:rPr>
        <w:t> </w:t>
      </w:r>
      <w:r>
        <w:rPr/>
        <w:t>patients</w:t>
      </w:r>
      <w:r>
        <w:rPr>
          <w:spacing w:val="-13"/>
        </w:rPr>
        <w:t> </w:t>
      </w:r>
      <w:r>
        <w:rPr/>
        <w:t>infected</w:t>
      </w:r>
      <w:r>
        <w:rPr>
          <w:spacing w:val="-12"/>
        </w:rPr>
        <w:t> </w:t>
      </w:r>
      <w:r>
        <w:rPr/>
        <w:t>with</w:t>
      </w:r>
      <w:r>
        <w:rPr>
          <w:spacing w:val="-13"/>
        </w:rPr>
        <w:t> </w:t>
      </w:r>
      <w:r>
        <w:rPr/>
        <w:t>SARS- CoV-2 should be closely monitored for the develop- ment of kidney injury and appearance of macrohema- turia. Measures should be taken to prevent this, and</w:t>
      </w:r>
      <w:r>
        <w:rPr>
          <w:spacing w:val="80"/>
        </w:rPr>
        <w:t> </w:t>
      </w:r>
      <w:r>
        <w:rPr/>
        <w:t>the best clinical approach is yet to be found. Therefore </w:t>
      </w:r>
      <w:r>
        <w:rPr>
          <w:spacing w:val="-4"/>
        </w:rPr>
        <w:t>these patients should be given multidisciplinary</w:t>
      </w:r>
      <w:r>
        <w:rPr>
          <w:spacing w:val="-6"/>
        </w:rPr>
        <w:t> </w:t>
      </w:r>
      <w:r>
        <w:rPr>
          <w:spacing w:val="-4"/>
        </w:rPr>
        <w:t>approach </w:t>
      </w:r>
      <w:r>
        <w:rPr/>
        <w:t>in order to make decisions regarding recommended treatments for the best patient outcome.</w:t>
      </w:r>
    </w:p>
    <w:p>
      <w:pPr>
        <w:pStyle w:val="BodyText"/>
        <w:spacing w:before="2"/>
      </w:pPr>
    </w:p>
    <w:p>
      <w:pPr>
        <w:spacing w:before="0"/>
        <w:ind w:left="238" w:right="0" w:firstLine="0"/>
        <w:jc w:val="both"/>
        <w:rPr>
          <w:i/>
          <w:sz w:val="18"/>
        </w:rPr>
      </w:pPr>
      <w:r>
        <w:rPr>
          <w:i/>
          <w:sz w:val="18"/>
        </w:rPr>
        <w:t>Conflict</w:t>
      </w:r>
      <w:r>
        <w:rPr>
          <w:i/>
          <w:spacing w:val="-3"/>
          <w:sz w:val="18"/>
        </w:rPr>
        <w:t> </w:t>
      </w:r>
      <w:r>
        <w:rPr>
          <w:i/>
          <w:sz w:val="18"/>
        </w:rPr>
        <w:t>of</w:t>
      </w:r>
      <w:r>
        <w:rPr>
          <w:i/>
          <w:spacing w:val="-3"/>
          <w:sz w:val="18"/>
        </w:rPr>
        <w:t> </w:t>
      </w:r>
      <w:r>
        <w:rPr>
          <w:i/>
          <w:sz w:val="18"/>
        </w:rPr>
        <w:t>interest</w:t>
      </w:r>
      <w:r>
        <w:rPr>
          <w:i/>
          <w:spacing w:val="-1"/>
          <w:sz w:val="18"/>
        </w:rPr>
        <w:t> </w:t>
      </w:r>
      <w:r>
        <w:rPr>
          <w:i/>
          <w:sz w:val="18"/>
        </w:rPr>
        <w:t>statement.</w:t>
      </w:r>
      <w:r>
        <w:rPr>
          <w:i/>
          <w:spacing w:val="-1"/>
          <w:sz w:val="18"/>
        </w:rPr>
        <w:t> </w:t>
      </w:r>
      <w:r>
        <w:rPr>
          <w:i/>
          <w:sz w:val="18"/>
        </w:rPr>
        <w:t>None</w:t>
      </w:r>
      <w:r>
        <w:rPr>
          <w:i/>
          <w:spacing w:val="-1"/>
          <w:sz w:val="18"/>
        </w:rPr>
        <w:t> </w:t>
      </w:r>
      <w:r>
        <w:rPr>
          <w:i/>
          <w:spacing w:val="-2"/>
          <w:sz w:val="18"/>
        </w:rPr>
        <w:t>declared.</w:t>
      </w:r>
    </w:p>
    <w:p>
      <w:pPr>
        <w:pStyle w:val="BodyText"/>
        <w:spacing w:before="4"/>
        <w:rPr>
          <w:i/>
        </w:rPr>
      </w:pPr>
    </w:p>
    <w:p>
      <w:pPr>
        <w:pStyle w:val="Heading4"/>
      </w:pPr>
      <w:r>
        <w:rPr>
          <w:spacing w:val="-2"/>
        </w:rPr>
        <w:t>References</w:t>
      </w:r>
    </w:p>
    <w:p>
      <w:pPr>
        <w:pStyle w:val="BodyText"/>
        <w:spacing w:before="7"/>
        <w:rPr>
          <w:b/>
          <w:sz w:val="20"/>
        </w:rPr>
      </w:pPr>
    </w:p>
    <w:p>
      <w:pPr>
        <w:pStyle w:val="ListParagraph"/>
        <w:numPr>
          <w:ilvl w:val="0"/>
          <w:numId w:val="12"/>
        </w:numPr>
        <w:tabs>
          <w:tab w:pos="627" w:val="left" w:leader="none"/>
        </w:tabs>
        <w:spacing w:line="240" w:lineRule="auto" w:before="1" w:after="0"/>
        <w:ind w:left="626" w:right="290" w:hanging="389"/>
        <w:jc w:val="both"/>
        <w:rPr>
          <w:sz w:val="18"/>
        </w:rPr>
      </w:pPr>
      <w:r>
        <w:rPr>
          <w:sz w:val="18"/>
        </w:rPr>
        <w:t>Chan L, Hindi J, Nadkarni GN. Covid-19: The Kidneys Tell</w:t>
      </w:r>
      <w:r>
        <w:rPr>
          <w:spacing w:val="-7"/>
          <w:sz w:val="18"/>
        </w:rPr>
        <w:t> </w:t>
      </w:r>
      <w:r>
        <w:rPr>
          <w:sz w:val="18"/>
        </w:rPr>
        <w:t>a</w:t>
      </w:r>
      <w:r>
        <w:rPr>
          <w:spacing w:val="-7"/>
          <w:sz w:val="18"/>
        </w:rPr>
        <w:t> </w:t>
      </w:r>
      <w:r>
        <w:rPr>
          <w:sz w:val="18"/>
        </w:rPr>
        <w:t>Tale.</w:t>
      </w:r>
      <w:r>
        <w:rPr>
          <w:spacing w:val="-7"/>
          <w:sz w:val="18"/>
        </w:rPr>
        <w:t> </w:t>
      </w:r>
      <w:r>
        <w:rPr>
          <w:i/>
          <w:sz w:val="18"/>
        </w:rPr>
        <w:t>American</w:t>
      </w:r>
      <w:r>
        <w:rPr>
          <w:i/>
          <w:spacing w:val="-7"/>
          <w:sz w:val="18"/>
        </w:rPr>
        <w:t> </w:t>
      </w:r>
      <w:r>
        <w:rPr>
          <w:i/>
          <w:sz w:val="18"/>
        </w:rPr>
        <w:t>Journal</w:t>
      </w:r>
      <w:r>
        <w:rPr>
          <w:i/>
          <w:spacing w:val="-7"/>
          <w:sz w:val="18"/>
        </w:rPr>
        <w:t> </w:t>
      </w:r>
      <w:r>
        <w:rPr>
          <w:i/>
          <w:sz w:val="18"/>
        </w:rPr>
        <w:t>of</w:t>
      </w:r>
      <w:r>
        <w:rPr>
          <w:i/>
          <w:spacing w:val="-7"/>
          <w:sz w:val="18"/>
        </w:rPr>
        <w:t> </w:t>
      </w:r>
      <w:r>
        <w:rPr>
          <w:i/>
          <w:sz w:val="18"/>
        </w:rPr>
        <w:t>Kidney</w:t>
      </w:r>
      <w:r>
        <w:rPr>
          <w:i/>
          <w:spacing w:val="-7"/>
          <w:sz w:val="18"/>
        </w:rPr>
        <w:t> </w:t>
      </w:r>
      <w:r>
        <w:rPr>
          <w:i/>
          <w:sz w:val="18"/>
        </w:rPr>
        <w:t>Diseases</w:t>
      </w:r>
      <w:r>
        <w:rPr>
          <w:sz w:val="18"/>
        </w:rPr>
        <w:t>.</w:t>
      </w:r>
      <w:r>
        <w:rPr>
          <w:spacing w:val="-7"/>
          <w:sz w:val="18"/>
        </w:rPr>
        <w:t> </w:t>
      </w:r>
      <w:r>
        <w:rPr>
          <w:sz w:val="18"/>
        </w:rPr>
        <w:t>Volume 77, Issue 2, P175-177, published: December 17</w:t>
      </w:r>
      <w:r>
        <w:rPr>
          <w:sz w:val="18"/>
          <w:vertAlign w:val="superscript"/>
        </w:rPr>
        <w:t>th</w:t>
      </w:r>
      <w:r>
        <w:rPr>
          <w:sz w:val="18"/>
          <w:vertAlign w:val="baseline"/>
        </w:rPr>
        <w:t>, 2020.</w:t>
      </w:r>
    </w:p>
    <w:p>
      <w:pPr>
        <w:pStyle w:val="ListParagraph"/>
        <w:numPr>
          <w:ilvl w:val="0"/>
          <w:numId w:val="12"/>
        </w:numPr>
        <w:tabs>
          <w:tab w:pos="627" w:val="left" w:leader="none"/>
        </w:tabs>
        <w:spacing w:line="240" w:lineRule="auto" w:before="0" w:after="0"/>
        <w:ind w:left="626" w:right="291" w:hanging="389"/>
        <w:jc w:val="both"/>
        <w:rPr>
          <w:sz w:val="18"/>
        </w:rPr>
      </w:pPr>
      <w:r>
        <w:rPr>
          <w:sz w:val="18"/>
        </w:rPr>
        <w:t>Nitin</w:t>
      </w:r>
      <w:r>
        <w:rPr>
          <w:spacing w:val="-12"/>
          <w:sz w:val="18"/>
        </w:rPr>
        <w:t> </w:t>
      </w:r>
      <w:r>
        <w:rPr>
          <w:sz w:val="18"/>
        </w:rPr>
        <w:t>V</w:t>
      </w:r>
      <w:r>
        <w:rPr>
          <w:spacing w:val="-11"/>
          <w:sz w:val="18"/>
        </w:rPr>
        <w:t> </w:t>
      </w:r>
      <w:r>
        <w:rPr>
          <w:sz w:val="18"/>
        </w:rPr>
        <w:t>Kolhe,</w:t>
      </w:r>
      <w:r>
        <w:rPr>
          <w:spacing w:val="-11"/>
          <w:sz w:val="18"/>
        </w:rPr>
        <w:t> </w:t>
      </w:r>
      <w:r>
        <w:rPr>
          <w:sz w:val="18"/>
        </w:rPr>
        <w:t>Richard</w:t>
      </w:r>
      <w:r>
        <w:rPr>
          <w:spacing w:val="-11"/>
          <w:sz w:val="18"/>
        </w:rPr>
        <w:t> </w:t>
      </w:r>
      <w:r>
        <w:rPr>
          <w:sz w:val="18"/>
        </w:rPr>
        <w:t>J</w:t>
      </w:r>
      <w:r>
        <w:rPr>
          <w:spacing w:val="-12"/>
          <w:sz w:val="18"/>
        </w:rPr>
        <w:t> </w:t>
      </w:r>
      <w:r>
        <w:rPr>
          <w:sz w:val="18"/>
        </w:rPr>
        <w:t>Fluck,</w:t>
      </w:r>
      <w:r>
        <w:rPr>
          <w:spacing w:val="-11"/>
          <w:sz w:val="18"/>
        </w:rPr>
        <w:t> </w:t>
      </w:r>
      <w:r>
        <w:rPr>
          <w:sz w:val="18"/>
        </w:rPr>
        <w:t>Nicholas</w:t>
      </w:r>
      <w:r>
        <w:rPr>
          <w:spacing w:val="-11"/>
          <w:sz w:val="18"/>
        </w:rPr>
        <w:t> </w:t>
      </w:r>
      <w:r>
        <w:rPr>
          <w:sz w:val="18"/>
        </w:rPr>
        <w:t>M</w:t>
      </w:r>
      <w:r>
        <w:rPr>
          <w:spacing w:val="-11"/>
          <w:sz w:val="18"/>
        </w:rPr>
        <w:t> </w:t>
      </w:r>
      <w:r>
        <w:rPr>
          <w:sz w:val="18"/>
        </w:rPr>
        <w:t>Selby,</w:t>
      </w:r>
      <w:r>
        <w:rPr>
          <w:spacing w:val="-12"/>
          <w:sz w:val="18"/>
        </w:rPr>
        <w:t> </w:t>
      </w:r>
      <w:r>
        <w:rPr>
          <w:sz w:val="18"/>
        </w:rPr>
        <w:t>Maarten W Taal. Acute kidney injury associated with COVID-19:</w:t>
      </w:r>
      <w:r>
        <w:rPr>
          <w:spacing w:val="40"/>
          <w:sz w:val="18"/>
        </w:rPr>
        <w:t> </w:t>
      </w:r>
      <w:r>
        <w:rPr>
          <w:sz w:val="18"/>
        </w:rPr>
        <w:t>A retrospective cohort study. </w:t>
      </w:r>
      <w:r>
        <w:rPr>
          <w:i/>
          <w:sz w:val="18"/>
        </w:rPr>
        <w:t>PLOS Medicine</w:t>
      </w:r>
      <w:r>
        <w:rPr>
          <w:sz w:val="18"/>
        </w:rPr>
        <w:t>. Published: October 30, 2020.</w:t>
      </w:r>
    </w:p>
    <w:p>
      <w:pPr>
        <w:pStyle w:val="ListParagraph"/>
        <w:numPr>
          <w:ilvl w:val="0"/>
          <w:numId w:val="12"/>
        </w:numPr>
        <w:tabs>
          <w:tab w:pos="627" w:val="left" w:leader="none"/>
        </w:tabs>
        <w:spacing w:line="240" w:lineRule="auto" w:before="0" w:after="0"/>
        <w:ind w:left="626" w:right="292" w:hanging="389"/>
        <w:jc w:val="both"/>
        <w:rPr>
          <w:sz w:val="18"/>
        </w:rPr>
      </w:pPr>
      <w:r>
        <w:rPr>
          <w:sz w:val="18"/>
        </w:rPr>
        <w:t>Belon L, Sarnowski A, Forni L. COVID-19 infection and the kidney. </w:t>
      </w:r>
      <w:r>
        <w:rPr>
          <w:i/>
          <w:sz w:val="18"/>
        </w:rPr>
        <w:t>British Journal of Hospital Medicine</w:t>
      </w:r>
      <w:r>
        <w:rPr>
          <w:sz w:val="18"/>
        </w:rPr>
        <w:t>. Vol.81, No.10. Published online: October 6</w:t>
      </w:r>
      <w:r>
        <w:rPr>
          <w:sz w:val="18"/>
          <w:vertAlign w:val="superscript"/>
        </w:rPr>
        <w:t>th</w:t>
      </w:r>
      <w:r>
        <w:rPr>
          <w:sz w:val="18"/>
          <w:vertAlign w:val="baseline"/>
        </w:rPr>
        <w:t>, 2020.</w:t>
      </w:r>
    </w:p>
    <w:p>
      <w:pPr>
        <w:pStyle w:val="ListParagraph"/>
        <w:numPr>
          <w:ilvl w:val="0"/>
          <w:numId w:val="12"/>
        </w:numPr>
        <w:tabs>
          <w:tab w:pos="627" w:val="left" w:leader="none"/>
        </w:tabs>
        <w:spacing w:line="240" w:lineRule="auto" w:before="0" w:after="0"/>
        <w:ind w:left="626" w:right="291" w:hanging="389"/>
        <w:jc w:val="both"/>
        <w:rPr>
          <w:sz w:val="18"/>
        </w:rPr>
      </w:pPr>
      <w:r>
        <w:rPr>
          <w:sz w:val="18"/>
        </w:rPr>
        <w:t>Benedetii</w:t>
      </w:r>
      <w:r>
        <w:rPr>
          <w:spacing w:val="-1"/>
          <w:sz w:val="18"/>
        </w:rPr>
        <w:t> </w:t>
      </w:r>
      <w:r>
        <w:rPr>
          <w:sz w:val="18"/>
        </w:rPr>
        <w:t>C,</w:t>
      </w:r>
      <w:r>
        <w:rPr>
          <w:spacing w:val="-1"/>
          <w:sz w:val="18"/>
        </w:rPr>
        <w:t> </w:t>
      </w:r>
      <w:r>
        <w:rPr>
          <w:sz w:val="18"/>
        </w:rPr>
        <w:t>Waldman</w:t>
      </w:r>
      <w:r>
        <w:rPr>
          <w:spacing w:val="-1"/>
          <w:sz w:val="18"/>
        </w:rPr>
        <w:t> </w:t>
      </w:r>
      <w:r>
        <w:rPr>
          <w:sz w:val="18"/>
        </w:rPr>
        <w:t>M,</w:t>
      </w:r>
      <w:r>
        <w:rPr>
          <w:spacing w:val="-1"/>
          <w:sz w:val="18"/>
        </w:rPr>
        <w:t> </w:t>
      </w:r>
      <w:r>
        <w:rPr>
          <w:sz w:val="18"/>
        </w:rPr>
        <w:t>Zaza G, </w:t>
      </w:r>
      <w:r>
        <w:rPr>
          <w:i/>
          <w:sz w:val="18"/>
        </w:rPr>
        <w:t>et</w:t>
      </w:r>
      <w:r>
        <w:rPr>
          <w:i/>
          <w:spacing w:val="-1"/>
          <w:sz w:val="18"/>
        </w:rPr>
        <w:t> </w:t>
      </w:r>
      <w:r>
        <w:rPr>
          <w:i/>
          <w:sz w:val="18"/>
        </w:rPr>
        <w:t>al</w:t>
      </w:r>
      <w:r>
        <w:rPr>
          <w:sz w:val="18"/>
        </w:rPr>
        <w:t>.</w:t>
      </w:r>
      <w:r>
        <w:rPr>
          <w:spacing w:val="-1"/>
          <w:sz w:val="18"/>
        </w:rPr>
        <w:t> </w:t>
      </w:r>
      <w:r>
        <w:rPr>
          <w:sz w:val="18"/>
        </w:rPr>
        <w:t>Covid-19</w:t>
      </w:r>
      <w:r>
        <w:rPr>
          <w:spacing w:val="-1"/>
          <w:sz w:val="18"/>
        </w:rPr>
        <w:t> </w:t>
      </w:r>
      <w:r>
        <w:rPr>
          <w:sz w:val="18"/>
        </w:rPr>
        <w:t>and</w:t>
      </w:r>
      <w:r>
        <w:rPr>
          <w:spacing w:val="-1"/>
          <w:sz w:val="18"/>
        </w:rPr>
        <w:t> </w:t>
      </w:r>
      <w:r>
        <w:rPr>
          <w:sz w:val="18"/>
        </w:rPr>
        <w:t>the Kidneys: An Update. </w:t>
      </w:r>
      <w:r>
        <w:rPr>
          <w:i/>
          <w:sz w:val="18"/>
        </w:rPr>
        <w:t>Frontiers in Medicine</w:t>
      </w:r>
      <w:r>
        <w:rPr>
          <w:sz w:val="18"/>
        </w:rPr>
        <w:t>. Published online: July 21</w:t>
      </w:r>
      <w:r>
        <w:rPr>
          <w:sz w:val="18"/>
          <w:vertAlign w:val="superscript"/>
        </w:rPr>
        <w:t>st</w:t>
      </w:r>
      <w:r>
        <w:rPr>
          <w:sz w:val="18"/>
          <w:vertAlign w:val="baseline"/>
        </w:rPr>
        <w:t>, 2020.</w:t>
      </w:r>
    </w:p>
    <w:p>
      <w:pPr>
        <w:pStyle w:val="ListParagraph"/>
        <w:numPr>
          <w:ilvl w:val="0"/>
          <w:numId w:val="12"/>
        </w:numPr>
        <w:tabs>
          <w:tab w:pos="627" w:val="left" w:leader="none"/>
        </w:tabs>
        <w:spacing w:line="240" w:lineRule="auto" w:before="0" w:after="0"/>
        <w:ind w:left="626" w:right="294" w:hanging="389"/>
        <w:jc w:val="both"/>
        <w:rPr>
          <w:sz w:val="18"/>
        </w:rPr>
      </w:pPr>
      <w:r>
        <w:rPr>
          <w:spacing w:val="-4"/>
          <w:sz w:val="18"/>
        </w:rPr>
        <w:t>Dap</w:t>
      </w:r>
      <w:r>
        <w:rPr>
          <w:spacing w:val="-7"/>
          <w:sz w:val="18"/>
        </w:rPr>
        <w:t> </w:t>
      </w:r>
      <w:r>
        <w:rPr>
          <w:spacing w:val="-4"/>
          <w:sz w:val="18"/>
        </w:rPr>
        <w:t>M, Morel</w:t>
      </w:r>
      <w:r>
        <w:rPr>
          <w:spacing w:val="-5"/>
          <w:sz w:val="18"/>
        </w:rPr>
        <w:t> </w:t>
      </w:r>
      <w:r>
        <w:rPr>
          <w:spacing w:val="-4"/>
          <w:sz w:val="18"/>
        </w:rPr>
        <w:t>O.</w:t>
      </w:r>
      <w:r>
        <w:rPr>
          <w:spacing w:val="-6"/>
          <w:sz w:val="18"/>
        </w:rPr>
        <w:t> </w:t>
      </w:r>
      <w:r>
        <w:rPr>
          <w:spacing w:val="-4"/>
          <w:sz w:val="18"/>
        </w:rPr>
        <w:t>Proteinuria</w:t>
      </w:r>
      <w:r>
        <w:rPr>
          <w:spacing w:val="-8"/>
          <w:sz w:val="18"/>
        </w:rPr>
        <w:t> </w:t>
      </w:r>
      <w:r>
        <w:rPr>
          <w:spacing w:val="-4"/>
          <w:sz w:val="18"/>
        </w:rPr>
        <w:t>in COVID-19</w:t>
      </w:r>
      <w:r>
        <w:rPr>
          <w:spacing w:val="-6"/>
          <w:sz w:val="18"/>
        </w:rPr>
        <w:t> </w:t>
      </w:r>
      <w:r>
        <w:rPr>
          <w:spacing w:val="-4"/>
          <w:sz w:val="18"/>
        </w:rPr>
        <w:t>pregnant woman: </w:t>
      </w:r>
      <w:r>
        <w:rPr>
          <w:sz w:val="18"/>
        </w:rPr>
        <w:t>Preeclampsia or severe infection?. National Center for </w:t>
      </w:r>
      <w:r>
        <w:rPr>
          <w:spacing w:val="-6"/>
          <w:sz w:val="18"/>
        </w:rPr>
        <w:t>Biotechnology Information,</w:t>
      </w:r>
      <w:r>
        <w:rPr>
          <w:spacing w:val="-5"/>
          <w:sz w:val="18"/>
        </w:rPr>
        <w:t> </w:t>
      </w:r>
      <w:r>
        <w:rPr>
          <w:spacing w:val="-6"/>
          <w:sz w:val="18"/>
        </w:rPr>
        <w:t>U.S.</w:t>
      </w:r>
      <w:r>
        <w:rPr>
          <w:spacing w:val="-5"/>
          <w:sz w:val="18"/>
        </w:rPr>
        <w:t> </w:t>
      </w:r>
      <w:r>
        <w:rPr>
          <w:spacing w:val="-6"/>
          <w:sz w:val="18"/>
        </w:rPr>
        <w:t>National</w:t>
      </w:r>
      <w:r>
        <w:rPr>
          <w:spacing w:val="-5"/>
          <w:sz w:val="18"/>
        </w:rPr>
        <w:t> </w:t>
      </w:r>
      <w:r>
        <w:rPr>
          <w:spacing w:val="-6"/>
          <w:sz w:val="18"/>
        </w:rPr>
        <w:t>Library of</w:t>
      </w:r>
      <w:r>
        <w:rPr>
          <w:spacing w:val="-5"/>
          <w:sz w:val="18"/>
        </w:rPr>
        <w:t> </w:t>
      </w:r>
      <w:r>
        <w:rPr>
          <w:spacing w:val="-6"/>
          <w:sz w:val="18"/>
        </w:rPr>
        <w:t>Medicine.</w:t>
      </w:r>
      <w:r>
        <w:rPr>
          <w:sz w:val="18"/>
        </w:rPr>
        <w:t> Published online: July 3</w:t>
      </w:r>
      <w:r>
        <w:rPr>
          <w:sz w:val="18"/>
          <w:vertAlign w:val="superscript"/>
        </w:rPr>
        <w:t>rd</w:t>
      </w:r>
      <w:r>
        <w:rPr>
          <w:sz w:val="18"/>
          <w:vertAlign w:val="baseline"/>
        </w:rPr>
        <w:t>, 2020.</w:t>
      </w:r>
    </w:p>
    <w:p>
      <w:pPr>
        <w:spacing w:after="0" w:line="240" w:lineRule="auto"/>
        <w:jc w:val="both"/>
        <w:rPr>
          <w:sz w:val="18"/>
        </w:rPr>
        <w:sectPr>
          <w:type w:val="continuous"/>
          <w:pgSz w:w="11910" w:h="16840"/>
          <w:pgMar w:header="854" w:footer="0" w:top="740" w:bottom="0" w:left="900" w:right="840"/>
          <w:cols w:num="2" w:equalWidth="0">
            <w:col w:w="4921" w:space="76"/>
            <w:col w:w="5173"/>
          </w:cols>
        </w:sectPr>
      </w:pPr>
    </w:p>
    <w:p>
      <w:pPr>
        <w:tabs>
          <w:tab w:pos="9203" w:val="left" w:leader="none"/>
        </w:tabs>
        <w:spacing w:before="75"/>
        <w:ind w:left="238" w:right="0" w:firstLine="0"/>
        <w:jc w:val="left"/>
        <w:rPr>
          <w:rFonts w:ascii="Courier New"/>
          <w:sz w:val="48"/>
        </w:rPr>
      </w:pPr>
      <w:r>
        <w:rPr/>
        <w:pict>
          <v:shape style="position:absolute;margin-left:528.580017pt;margin-top:4.037615pt;width:10.1pt;height:11.05pt;mso-position-horizontal-relative:page;mso-position-vertical-relative:paragraph;z-index:-17630208" type="#_x0000_t202" id="docshape577" filled="false" stroked="false">
            <v:textbox inset="0,0,0,0">
              <w:txbxContent>
                <w:p>
                  <w:pPr>
                    <w:spacing w:line="221" w:lineRule="exact" w:before="0"/>
                    <w:ind w:left="0" w:right="0" w:firstLine="0"/>
                    <w:jc w:val="left"/>
                    <w:rPr>
                      <w:sz w:val="20"/>
                    </w:rPr>
                  </w:pPr>
                  <w:r>
                    <w:rPr>
                      <w:spacing w:val="-5"/>
                      <w:sz w:val="20"/>
                    </w:rPr>
                    <w:t>34</w:t>
                  </w:r>
                </w:p>
              </w:txbxContent>
            </v:textbox>
            <w10:wrap type="none"/>
          </v:shape>
        </w:pict>
      </w: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34-</w:t>
      </w:r>
      <w:r>
        <w:rPr>
          <w:spacing w:val="-5"/>
          <w:w w:val="105"/>
          <w:sz w:val="24"/>
        </w:rPr>
        <w:t>37</w:t>
      </w:r>
      <w:r>
        <w:rPr>
          <w:sz w:val="24"/>
        </w:rPr>
        <w:tab/>
      </w:r>
      <w:r>
        <w:rPr>
          <w:rFonts w:ascii="Courier New"/>
          <w:color w:val="999999"/>
          <w:spacing w:val="-5"/>
          <w:w w:val="105"/>
          <w:position w:val="-23"/>
          <w:sz w:val="48"/>
        </w:rPr>
        <w:t>MMP</w:t>
      </w:r>
    </w:p>
    <w:p>
      <w:pPr>
        <w:spacing w:before="218"/>
        <w:ind w:left="238" w:right="0" w:firstLine="0"/>
        <w:jc w:val="left"/>
        <w:rPr>
          <w:i/>
          <w:sz w:val="24"/>
        </w:rPr>
      </w:pPr>
      <w:r>
        <w:rPr>
          <w:i/>
          <w:sz w:val="24"/>
        </w:rPr>
        <w:t>Case</w:t>
      </w:r>
      <w:r>
        <w:rPr>
          <w:i/>
          <w:spacing w:val="-3"/>
          <w:sz w:val="24"/>
        </w:rPr>
        <w:t> </w:t>
      </w:r>
      <w:r>
        <w:rPr>
          <w:i/>
          <w:spacing w:val="-2"/>
          <w:sz w:val="24"/>
        </w:rPr>
        <w:t>report</w:t>
      </w:r>
    </w:p>
    <w:p>
      <w:pPr>
        <w:pStyle w:val="BodyText"/>
        <w:spacing w:before="7"/>
        <w:rPr>
          <w:i/>
        </w:rPr>
      </w:pPr>
    </w:p>
    <w:p>
      <w:pPr>
        <w:pStyle w:val="Heading2"/>
      </w:pPr>
      <w:bookmarkStart w:name="_TOC_250007" w:id="15"/>
      <w:r>
        <w:rPr/>
        <w:t>COMPLETE</w:t>
      </w:r>
      <w:r>
        <w:rPr>
          <w:spacing w:val="-6"/>
        </w:rPr>
        <w:t> </w:t>
      </w:r>
      <w:r>
        <w:rPr/>
        <w:t>KAWASAKI</w:t>
      </w:r>
      <w:r>
        <w:rPr>
          <w:spacing w:val="-5"/>
        </w:rPr>
        <w:t> </w:t>
      </w:r>
      <w:r>
        <w:rPr/>
        <w:t>DISEASE</w:t>
      </w:r>
      <w:r>
        <w:rPr>
          <w:spacing w:val="-7"/>
        </w:rPr>
        <w:t> </w:t>
      </w:r>
      <w:r>
        <w:rPr/>
        <w:t>IN</w:t>
      </w:r>
      <w:r>
        <w:rPr>
          <w:spacing w:val="-5"/>
        </w:rPr>
        <w:t> </w:t>
      </w:r>
      <w:r>
        <w:rPr/>
        <w:t>A</w:t>
      </w:r>
      <w:r>
        <w:rPr>
          <w:spacing w:val="-7"/>
        </w:rPr>
        <w:t> </w:t>
      </w:r>
      <w:r>
        <w:rPr/>
        <w:t>CHILD</w:t>
      </w:r>
      <w:r>
        <w:rPr>
          <w:spacing w:val="-6"/>
        </w:rPr>
        <w:t> </w:t>
      </w:r>
      <w:r>
        <w:rPr/>
        <w:t>WITH</w:t>
      </w:r>
      <w:r>
        <w:rPr>
          <w:spacing w:val="-2"/>
        </w:rPr>
        <w:t> </w:t>
      </w:r>
      <w:r>
        <w:rPr/>
        <w:t>TRANSIENT HYPOGAMMAGLOBULINEMIA OF INFANCY -</w:t>
      </w:r>
      <w:r>
        <w:rPr>
          <w:spacing w:val="40"/>
        </w:rPr>
        <w:t> </w:t>
      </w:r>
      <w:bookmarkEnd w:id="15"/>
      <w:r>
        <w:rPr/>
        <w:t>CASE REPORT</w:t>
      </w:r>
    </w:p>
    <w:p>
      <w:pPr>
        <w:pStyle w:val="BodyText"/>
        <w:spacing w:before="11"/>
        <w:rPr>
          <w:b/>
          <w:sz w:val="20"/>
        </w:rPr>
      </w:pPr>
    </w:p>
    <w:p>
      <w:pPr>
        <w:pStyle w:val="Heading2"/>
      </w:pPr>
      <w:bookmarkStart w:name="_TOC_250006" w:id="16"/>
      <w:r>
        <w:rPr/>
        <w:t>КОМПЛЕТНА</w:t>
      </w:r>
      <w:r>
        <w:rPr>
          <w:spacing w:val="-4"/>
        </w:rPr>
        <w:t> </w:t>
      </w:r>
      <w:r>
        <w:rPr/>
        <w:t>ФОРМА</w:t>
      </w:r>
      <w:r>
        <w:rPr>
          <w:spacing w:val="-7"/>
        </w:rPr>
        <w:t> </w:t>
      </w:r>
      <w:r>
        <w:rPr/>
        <w:t>НА</w:t>
      </w:r>
      <w:r>
        <w:rPr>
          <w:spacing w:val="-4"/>
        </w:rPr>
        <w:t> </w:t>
      </w:r>
      <w:r>
        <w:rPr/>
        <w:t>БОЛЕСТА</w:t>
      </w:r>
      <w:r>
        <w:rPr>
          <w:spacing w:val="-7"/>
        </w:rPr>
        <w:t> </w:t>
      </w:r>
      <w:r>
        <w:rPr/>
        <w:t>НА</w:t>
      </w:r>
      <w:r>
        <w:rPr>
          <w:spacing w:val="-4"/>
        </w:rPr>
        <w:t> </w:t>
      </w:r>
      <w:r>
        <w:rPr/>
        <w:t>КАВАСАКИ</w:t>
      </w:r>
      <w:r>
        <w:rPr>
          <w:spacing w:val="-2"/>
        </w:rPr>
        <w:t> </w:t>
      </w:r>
      <w:r>
        <w:rPr/>
        <w:t>КАЈ</w:t>
      </w:r>
      <w:r>
        <w:rPr>
          <w:spacing w:val="-3"/>
        </w:rPr>
        <w:t> </w:t>
      </w:r>
      <w:r>
        <w:rPr/>
        <w:t>ДЕТЕ</w:t>
      </w:r>
      <w:r>
        <w:rPr>
          <w:spacing w:val="-4"/>
        </w:rPr>
        <w:t> </w:t>
      </w:r>
      <w:r>
        <w:rPr/>
        <w:t>СО</w:t>
      </w:r>
      <w:r>
        <w:rPr>
          <w:spacing w:val="-5"/>
        </w:rPr>
        <w:t> </w:t>
      </w:r>
      <w:bookmarkEnd w:id="16"/>
      <w:r>
        <w:rPr/>
        <w:t>ТРАНЗИТОРНА ХИПОГАМАГЛОБУЛИНЕМИЈА НА РАНОТО ДЕТСТВО-ПРИКАЗ НА СЛУЧАЈ</w:t>
      </w:r>
    </w:p>
    <w:p>
      <w:pPr>
        <w:pStyle w:val="BodyText"/>
        <w:spacing w:before="6"/>
        <w:rPr>
          <w:b/>
          <w:sz w:val="20"/>
        </w:rPr>
      </w:pPr>
    </w:p>
    <w:p>
      <w:pPr>
        <w:pStyle w:val="Heading1"/>
      </w:pPr>
      <w:bookmarkStart w:name="_TOC_250005" w:id="17"/>
      <w:r>
        <w:rPr/>
        <w:t>Lidija</w:t>
      </w:r>
      <w:r>
        <w:rPr>
          <w:spacing w:val="-5"/>
        </w:rPr>
        <w:t> </w:t>
      </w:r>
      <w:r>
        <w:rPr/>
        <w:t>Kareva,</w:t>
      </w:r>
      <w:r>
        <w:rPr>
          <w:spacing w:val="-2"/>
        </w:rPr>
        <w:t> </w:t>
      </w:r>
      <w:r>
        <w:rPr/>
        <w:t>Kristina</w:t>
      </w:r>
      <w:r>
        <w:rPr>
          <w:spacing w:val="-2"/>
        </w:rPr>
        <w:t> </w:t>
      </w:r>
      <w:r>
        <w:rPr/>
        <w:t>Mironska,</w:t>
      </w:r>
      <w:r>
        <w:rPr>
          <w:spacing w:val="-2"/>
        </w:rPr>
        <w:t> </w:t>
      </w:r>
      <w:r>
        <w:rPr/>
        <w:t>Katarina</w:t>
      </w:r>
      <w:r>
        <w:rPr>
          <w:spacing w:val="-2"/>
        </w:rPr>
        <w:t> </w:t>
      </w:r>
      <w:r>
        <w:rPr/>
        <w:t>Stavrik</w:t>
      </w:r>
      <w:r>
        <w:rPr>
          <w:spacing w:val="-2"/>
        </w:rPr>
        <w:t> </w:t>
      </w:r>
      <w:r>
        <w:rPr/>
        <w:t>and</w:t>
      </w:r>
      <w:r>
        <w:rPr>
          <w:spacing w:val="-2"/>
        </w:rPr>
        <w:t> </w:t>
      </w:r>
      <w:r>
        <w:rPr/>
        <w:t>Arjeta</w:t>
      </w:r>
      <w:r>
        <w:rPr>
          <w:spacing w:val="-3"/>
        </w:rPr>
        <w:t> </w:t>
      </w:r>
      <w:bookmarkEnd w:id="17"/>
      <w:r>
        <w:rPr>
          <w:spacing w:val="-2"/>
        </w:rPr>
        <w:t>Hasani</w:t>
      </w:r>
    </w:p>
    <w:p>
      <w:pPr>
        <w:pStyle w:val="BodyText"/>
      </w:pPr>
    </w:p>
    <w:p>
      <w:pPr>
        <w:spacing w:before="0"/>
        <w:ind w:left="238" w:right="294" w:firstLine="0"/>
        <w:jc w:val="left"/>
        <w:rPr>
          <w:sz w:val="22"/>
        </w:rPr>
      </w:pPr>
      <w:r>
        <w:rPr>
          <w:sz w:val="22"/>
        </w:rPr>
        <w:t>Department</w:t>
      </w:r>
      <w:r>
        <w:rPr>
          <w:spacing w:val="40"/>
          <w:sz w:val="22"/>
        </w:rPr>
        <w:t> </w:t>
      </w:r>
      <w:r>
        <w:rPr>
          <w:sz w:val="22"/>
        </w:rPr>
        <w:t>of</w:t>
      </w:r>
      <w:r>
        <w:rPr>
          <w:spacing w:val="40"/>
          <w:sz w:val="22"/>
        </w:rPr>
        <w:t> </w:t>
      </w:r>
      <w:r>
        <w:rPr>
          <w:sz w:val="22"/>
        </w:rPr>
        <w:t>Immunology,</w:t>
      </w:r>
      <w:r>
        <w:rPr>
          <w:spacing w:val="40"/>
          <w:sz w:val="22"/>
        </w:rPr>
        <w:t> </w:t>
      </w:r>
      <w:r>
        <w:rPr>
          <w:sz w:val="22"/>
        </w:rPr>
        <w:t>University</w:t>
      </w:r>
      <w:r>
        <w:rPr>
          <w:spacing w:val="37"/>
          <w:sz w:val="22"/>
        </w:rPr>
        <w:t> </w:t>
      </w:r>
      <w:r>
        <w:rPr>
          <w:sz w:val="22"/>
        </w:rPr>
        <w:t>Pediatric</w:t>
      </w:r>
      <w:r>
        <w:rPr>
          <w:spacing w:val="40"/>
          <w:sz w:val="22"/>
        </w:rPr>
        <w:t> </w:t>
      </w:r>
      <w:r>
        <w:rPr>
          <w:sz w:val="22"/>
        </w:rPr>
        <w:t>Clinic,</w:t>
      </w:r>
      <w:r>
        <w:rPr>
          <w:spacing w:val="40"/>
          <w:sz w:val="22"/>
        </w:rPr>
        <w:t> </w:t>
      </w:r>
      <w:r>
        <w:rPr>
          <w:sz w:val="22"/>
        </w:rPr>
        <w:t>Ss.</w:t>
      </w:r>
      <w:r>
        <w:rPr>
          <w:spacing w:val="40"/>
          <w:sz w:val="22"/>
        </w:rPr>
        <w:t> </w:t>
      </w:r>
      <w:r>
        <w:rPr>
          <w:sz w:val="22"/>
        </w:rPr>
        <w:t>Cyril</w:t>
      </w:r>
      <w:r>
        <w:rPr>
          <w:spacing w:val="40"/>
          <w:sz w:val="22"/>
        </w:rPr>
        <w:t> </w:t>
      </w:r>
      <w:r>
        <w:rPr>
          <w:sz w:val="22"/>
        </w:rPr>
        <w:t>and</w:t>
      </w:r>
      <w:r>
        <w:rPr>
          <w:spacing w:val="38"/>
          <w:sz w:val="22"/>
        </w:rPr>
        <w:t> </w:t>
      </w:r>
      <w:r>
        <w:rPr>
          <w:sz w:val="22"/>
        </w:rPr>
        <w:t>Methodius</w:t>
      </w:r>
      <w:r>
        <w:rPr>
          <w:spacing w:val="40"/>
          <w:sz w:val="22"/>
        </w:rPr>
        <w:t> </w:t>
      </w:r>
      <w:r>
        <w:rPr>
          <w:sz w:val="22"/>
        </w:rPr>
        <w:t>University</w:t>
      </w:r>
      <w:r>
        <w:rPr>
          <w:spacing w:val="37"/>
          <w:sz w:val="22"/>
        </w:rPr>
        <w:t> </w:t>
      </w:r>
      <w:r>
        <w:rPr>
          <w:sz w:val="22"/>
        </w:rPr>
        <w:t>in</w:t>
      </w:r>
      <w:r>
        <w:rPr>
          <w:spacing w:val="40"/>
          <w:sz w:val="22"/>
        </w:rPr>
        <w:t> </w:t>
      </w:r>
      <w:r>
        <w:rPr>
          <w:sz w:val="22"/>
        </w:rPr>
        <w:t>Skopje, Republic North Macedonia</w:t>
      </w:r>
    </w:p>
    <w:p>
      <w:pPr>
        <w:pStyle w:val="BodyText"/>
        <w:spacing w:before="2"/>
        <w:rPr>
          <w:sz w:val="13"/>
        </w:rPr>
      </w:pPr>
    </w:p>
    <w:p>
      <w:pPr>
        <w:spacing w:after="0"/>
        <w:rPr>
          <w:sz w:val="13"/>
        </w:rPr>
        <w:sectPr>
          <w:headerReference w:type="default" r:id="rId517"/>
          <w:pgSz w:w="11910" w:h="16840"/>
          <w:pgMar w:header="0" w:footer="0" w:top="760" w:bottom="280" w:left="900" w:right="840"/>
        </w:sectPr>
      </w:pPr>
    </w:p>
    <w:p>
      <w:pPr>
        <w:pStyle w:val="Heading4"/>
        <w:spacing w:before="97"/>
      </w:pPr>
      <w:r>
        <w:rPr>
          <w:spacing w:val="-2"/>
        </w:rPr>
        <w:t>Abstract</w:t>
      </w:r>
    </w:p>
    <w:p>
      <w:pPr>
        <w:pStyle w:val="BodyText"/>
        <w:spacing w:before="6"/>
        <w:rPr>
          <w:b/>
          <w:sz w:val="20"/>
        </w:rPr>
      </w:pPr>
    </w:p>
    <w:p>
      <w:pPr>
        <w:pStyle w:val="BodyText"/>
        <w:ind w:left="238" w:right="38"/>
        <w:jc w:val="both"/>
      </w:pPr>
      <w:r>
        <w:rPr/>
        <w:t>Kawasaki disease is an acute febrile illness</w:t>
      </w:r>
      <w:r>
        <w:rPr>
          <w:spacing w:val="-2"/>
        </w:rPr>
        <w:t> </w:t>
      </w:r>
      <w:r>
        <w:rPr/>
        <w:t>of early childhood characterized by vasculitis of the arteries. The</w:t>
      </w:r>
      <w:r>
        <w:rPr>
          <w:spacing w:val="-4"/>
        </w:rPr>
        <w:t> </w:t>
      </w:r>
      <w:r>
        <w:rPr/>
        <w:t>diagnosis</w:t>
      </w:r>
      <w:r>
        <w:rPr>
          <w:spacing w:val="-4"/>
        </w:rPr>
        <w:t> </w:t>
      </w:r>
      <w:r>
        <w:rPr/>
        <w:t>of</w:t>
      </w:r>
      <w:r>
        <w:rPr>
          <w:spacing w:val="-3"/>
        </w:rPr>
        <w:t> </w:t>
      </w:r>
      <w:r>
        <w:rPr/>
        <w:t>complete</w:t>
      </w:r>
      <w:r>
        <w:rPr>
          <w:spacing w:val="-2"/>
        </w:rPr>
        <w:t> </w:t>
      </w:r>
      <w:r>
        <w:rPr/>
        <w:t>Kawasaki</w:t>
      </w:r>
      <w:r>
        <w:rPr>
          <w:spacing w:val="-3"/>
        </w:rPr>
        <w:t> </w:t>
      </w:r>
      <w:r>
        <w:rPr/>
        <w:t>disease</w:t>
      </w:r>
      <w:r>
        <w:rPr>
          <w:spacing w:val="-2"/>
        </w:rPr>
        <w:t> </w:t>
      </w:r>
      <w:r>
        <w:rPr/>
        <w:t>should</w:t>
      </w:r>
      <w:r>
        <w:rPr>
          <w:spacing w:val="-4"/>
        </w:rPr>
        <w:t> </w:t>
      </w:r>
      <w:r>
        <w:rPr/>
        <w:t>be made in a child who has a fever lasting for 5 days or more and has at least 4 of 5 the clinical criteria: rash, </w:t>
      </w:r>
      <w:r>
        <w:rPr>
          <w:spacing w:val="-4"/>
        </w:rPr>
        <w:t>conjunctival injection, oropharyngeal erythema, swelling </w:t>
      </w:r>
      <w:r>
        <w:rPr/>
        <w:t>and</w:t>
      </w:r>
      <w:r>
        <w:rPr>
          <w:spacing w:val="-4"/>
        </w:rPr>
        <w:t> </w:t>
      </w:r>
      <w:r>
        <w:rPr/>
        <w:t>erythema</w:t>
      </w:r>
      <w:r>
        <w:rPr>
          <w:spacing w:val="-4"/>
        </w:rPr>
        <w:t> </w:t>
      </w:r>
      <w:r>
        <w:rPr/>
        <w:t>of</w:t>
      </w:r>
      <w:r>
        <w:rPr>
          <w:spacing w:val="-3"/>
        </w:rPr>
        <w:t> </w:t>
      </w:r>
      <w:r>
        <w:rPr/>
        <w:t>the</w:t>
      </w:r>
      <w:r>
        <w:rPr>
          <w:spacing w:val="-4"/>
        </w:rPr>
        <w:t> </w:t>
      </w:r>
      <w:r>
        <w:rPr/>
        <w:t>extremities,</w:t>
      </w:r>
      <w:r>
        <w:rPr>
          <w:spacing w:val="-4"/>
        </w:rPr>
        <w:t> </w:t>
      </w:r>
      <w:r>
        <w:rPr/>
        <w:t>and</w:t>
      </w:r>
      <w:r>
        <w:rPr>
          <w:spacing w:val="-4"/>
        </w:rPr>
        <w:t> </w:t>
      </w:r>
      <w:r>
        <w:rPr/>
        <w:t>unilateral</w:t>
      </w:r>
      <w:r>
        <w:rPr>
          <w:spacing w:val="-5"/>
        </w:rPr>
        <w:t> </w:t>
      </w:r>
      <w:r>
        <w:rPr/>
        <w:t>cervical lymphadenopathy. Incomplete form of the disease is diagnosed when a patient presents with fever for 5</w:t>
      </w:r>
      <w:r>
        <w:rPr>
          <w:spacing w:val="40"/>
        </w:rPr>
        <w:t> </w:t>
      </w:r>
      <w:r>
        <w:rPr/>
        <w:t>days or longer, 2 or 3 of the principal clinical features, and laboratory findings suggestive of the disease or echocardiographic abnormalities. Kawasaki disease</w:t>
      </w:r>
      <w:r>
        <w:rPr>
          <w:spacing w:val="40"/>
        </w:rPr>
        <w:t> </w:t>
      </w:r>
      <w:r>
        <w:rPr/>
        <w:t>has been described as a complication of various pri- </w:t>
      </w:r>
      <w:r>
        <w:rPr>
          <w:spacing w:val="-2"/>
        </w:rPr>
        <w:t>mary</w:t>
      </w:r>
      <w:r>
        <w:rPr>
          <w:spacing w:val="-4"/>
        </w:rPr>
        <w:t> </w:t>
      </w:r>
      <w:r>
        <w:rPr>
          <w:spacing w:val="-2"/>
        </w:rPr>
        <w:t>and</w:t>
      </w:r>
      <w:r>
        <w:rPr>
          <w:spacing w:val="-7"/>
        </w:rPr>
        <w:t> </w:t>
      </w:r>
      <w:r>
        <w:rPr>
          <w:spacing w:val="-2"/>
        </w:rPr>
        <w:t>secondary</w:t>
      </w:r>
      <w:r>
        <w:rPr>
          <w:spacing w:val="-9"/>
        </w:rPr>
        <w:t> </w:t>
      </w:r>
      <w:r>
        <w:rPr>
          <w:spacing w:val="-2"/>
        </w:rPr>
        <w:t>immunodeficiency</w:t>
      </w:r>
      <w:r>
        <w:rPr>
          <w:spacing w:val="-11"/>
        </w:rPr>
        <w:t> </w:t>
      </w:r>
      <w:r>
        <w:rPr>
          <w:spacing w:val="-2"/>
        </w:rPr>
        <w:t>disorders,</w:t>
      </w:r>
      <w:r>
        <w:rPr>
          <w:spacing w:val="-7"/>
        </w:rPr>
        <w:t> </w:t>
      </w:r>
      <w:r>
        <w:rPr>
          <w:spacing w:val="-2"/>
        </w:rPr>
        <w:t>hence </w:t>
      </w:r>
      <w:r>
        <w:rPr/>
        <w:t>supporting</w:t>
      </w:r>
      <w:r>
        <w:rPr>
          <w:spacing w:val="-14"/>
        </w:rPr>
        <w:t> </w:t>
      </w:r>
      <w:r>
        <w:rPr/>
        <w:t>an</w:t>
      </w:r>
      <w:r>
        <w:rPr>
          <w:spacing w:val="-12"/>
        </w:rPr>
        <w:t> </w:t>
      </w:r>
      <w:r>
        <w:rPr/>
        <w:t>infectious</w:t>
      </w:r>
      <w:r>
        <w:rPr>
          <w:spacing w:val="-12"/>
        </w:rPr>
        <w:t> </w:t>
      </w:r>
      <w:r>
        <w:rPr/>
        <w:t>etiology</w:t>
      </w:r>
      <w:r>
        <w:rPr>
          <w:spacing w:val="-14"/>
        </w:rPr>
        <w:t> </w:t>
      </w:r>
      <w:r>
        <w:rPr/>
        <w:t>of</w:t>
      </w:r>
      <w:r>
        <w:rPr>
          <w:spacing w:val="-11"/>
        </w:rPr>
        <w:t> </w:t>
      </w:r>
      <w:r>
        <w:rPr/>
        <w:t>this</w:t>
      </w:r>
      <w:r>
        <w:rPr>
          <w:spacing w:val="-12"/>
        </w:rPr>
        <w:t> </w:t>
      </w:r>
      <w:r>
        <w:rPr/>
        <w:t>disease.</w:t>
      </w:r>
      <w:r>
        <w:rPr>
          <w:spacing w:val="-12"/>
        </w:rPr>
        <w:t> </w:t>
      </w:r>
      <w:r>
        <w:rPr/>
        <w:t>Immu- nodeficiencies</w:t>
      </w:r>
      <w:r>
        <w:rPr>
          <w:spacing w:val="-9"/>
        </w:rPr>
        <w:t> </w:t>
      </w:r>
      <w:r>
        <w:rPr/>
        <w:t>may</w:t>
      </w:r>
      <w:r>
        <w:rPr>
          <w:spacing w:val="-11"/>
        </w:rPr>
        <w:t> </w:t>
      </w:r>
      <w:r>
        <w:rPr/>
        <w:t>result</w:t>
      </w:r>
      <w:r>
        <w:rPr>
          <w:spacing w:val="-8"/>
        </w:rPr>
        <w:t> </w:t>
      </w:r>
      <w:r>
        <w:rPr/>
        <w:t>in</w:t>
      </w:r>
      <w:r>
        <w:rPr>
          <w:spacing w:val="-5"/>
        </w:rPr>
        <w:t> </w:t>
      </w:r>
      <w:r>
        <w:rPr/>
        <w:t>an</w:t>
      </w:r>
      <w:r>
        <w:rPr>
          <w:spacing w:val="-8"/>
        </w:rPr>
        <w:t> </w:t>
      </w:r>
      <w:r>
        <w:rPr/>
        <w:t>incomplete</w:t>
      </w:r>
      <w:r>
        <w:rPr>
          <w:spacing w:val="-8"/>
        </w:rPr>
        <w:t> </w:t>
      </w:r>
      <w:r>
        <w:rPr/>
        <w:t>clinical</w:t>
      </w:r>
      <w:r>
        <w:rPr>
          <w:spacing w:val="-8"/>
        </w:rPr>
        <w:t> </w:t>
      </w:r>
      <w:r>
        <w:rPr/>
        <w:t>pre- sentation of Kawasaki disease and end up with delay</w:t>
      </w:r>
      <w:r>
        <w:rPr>
          <w:spacing w:val="40"/>
        </w:rPr>
        <w:t> </w:t>
      </w:r>
      <w:r>
        <w:rPr/>
        <w:t>in diagnosis and therefore treatment, which may lead</w:t>
      </w:r>
      <w:r>
        <w:rPr>
          <w:spacing w:val="40"/>
        </w:rPr>
        <w:t> </w:t>
      </w:r>
      <w:r>
        <w:rPr/>
        <w:t>to development of coronary artery aneurysm. We pre- </w:t>
      </w:r>
      <w:r>
        <w:rPr>
          <w:spacing w:val="-2"/>
        </w:rPr>
        <w:t>sent</w:t>
      </w:r>
      <w:r>
        <w:rPr>
          <w:spacing w:val="-12"/>
        </w:rPr>
        <w:t> </w:t>
      </w:r>
      <w:r>
        <w:rPr>
          <w:spacing w:val="-2"/>
        </w:rPr>
        <w:t>the</w:t>
      </w:r>
      <w:r>
        <w:rPr>
          <w:spacing w:val="-11"/>
        </w:rPr>
        <w:t> </w:t>
      </w:r>
      <w:r>
        <w:rPr>
          <w:spacing w:val="-2"/>
        </w:rPr>
        <w:t>case</w:t>
      </w:r>
      <w:r>
        <w:rPr>
          <w:spacing w:val="-11"/>
        </w:rPr>
        <w:t> </w:t>
      </w:r>
      <w:r>
        <w:rPr>
          <w:spacing w:val="-2"/>
        </w:rPr>
        <w:t>of</w:t>
      </w:r>
      <w:r>
        <w:rPr>
          <w:spacing w:val="-11"/>
        </w:rPr>
        <w:t> </w:t>
      </w:r>
      <w:r>
        <w:rPr>
          <w:spacing w:val="-2"/>
        </w:rPr>
        <w:t>a</w:t>
      </w:r>
      <w:r>
        <w:rPr>
          <w:spacing w:val="-11"/>
        </w:rPr>
        <w:t> </w:t>
      </w:r>
      <w:r>
        <w:rPr>
          <w:spacing w:val="-2"/>
        </w:rPr>
        <w:t>2.5-year-old</w:t>
      </w:r>
      <w:r>
        <w:rPr>
          <w:spacing w:val="-11"/>
        </w:rPr>
        <w:t> </w:t>
      </w:r>
      <w:r>
        <w:rPr>
          <w:spacing w:val="-2"/>
        </w:rPr>
        <w:t>girl</w:t>
      </w:r>
      <w:r>
        <w:rPr>
          <w:spacing w:val="-11"/>
        </w:rPr>
        <w:t> </w:t>
      </w:r>
      <w:r>
        <w:rPr>
          <w:spacing w:val="-2"/>
        </w:rPr>
        <w:t>with</w:t>
      </w:r>
      <w:r>
        <w:rPr>
          <w:spacing w:val="-11"/>
        </w:rPr>
        <w:t> </w:t>
      </w:r>
      <w:r>
        <w:rPr>
          <w:spacing w:val="-2"/>
        </w:rPr>
        <w:t>transient</w:t>
      </w:r>
      <w:r>
        <w:rPr>
          <w:spacing w:val="-12"/>
        </w:rPr>
        <w:t> </w:t>
      </w:r>
      <w:r>
        <w:rPr>
          <w:spacing w:val="-2"/>
        </w:rPr>
        <w:t>hypoga- </w:t>
      </w:r>
      <w:r>
        <w:rPr/>
        <w:t>mmaglobulinemia</w:t>
      </w:r>
      <w:r>
        <w:rPr>
          <w:spacing w:val="-4"/>
        </w:rPr>
        <w:t> </w:t>
      </w:r>
      <w:r>
        <w:rPr/>
        <w:t>of</w:t>
      </w:r>
      <w:r>
        <w:rPr>
          <w:spacing w:val="-1"/>
        </w:rPr>
        <w:t> </w:t>
      </w:r>
      <w:r>
        <w:rPr/>
        <w:t>infancy</w:t>
      </w:r>
      <w:r>
        <w:rPr>
          <w:spacing w:val="-2"/>
        </w:rPr>
        <w:t> </w:t>
      </w:r>
      <w:r>
        <w:rPr/>
        <w:t>who has</w:t>
      </w:r>
      <w:r>
        <w:rPr>
          <w:spacing w:val="-1"/>
        </w:rPr>
        <w:t> </w:t>
      </w:r>
      <w:r>
        <w:rPr/>
        <w:t>a</w:t>
      </w:r>
      <w:r>
        <w:rPr>
          <w:spacing w:val="-2"/>
        </w:rPr>
        <w:t> </w:t>
      </w:r>
      <w:r>
        <w:rPr/>
        <w:t>complete</w:t>
      </w:r>
      <w:r>
        <w:rPr>
          <w:spacing w:val="-1"/>
        </w:rPr>
        <w:t> </w:t>
      </w:r>
      <w:r>
        <w:rPr/>
        <w:t>form of</w:t>
      </w:r>
      <w:r>
        <w:rPr>
          <w:spacing w:val="4"/>
        </w:rPr>
        <w:t> </w:t>
      </w:r>
      <w:r>
        <w:rPr/>
        <w:t>the</w:t>
      </w:r>
      <w:r>
        <w:rPr>
          <w:spacing w:val="6"/>
        </w:rPr>
        <w:t> </w:t>
      </w:r>
      <w:r>
        <w:rPr/>
        <w:t>disease</w:t>
      </w:r>
      <w:r>
        <w:rPr>
          <w:spacing w:val="6"/>
        </w:rPr>
        <w:t> </w:t>
      </w:r>
      <w:r>
        <w:rPr/>
        <w:t>without</w:t>
      </w:r>
      <w:r>
        <w:rPr>
          <w:spacing w:val="5"/>
        </w:rPr>
        <w:t> </w:t>
      </w:r>
      <w:r>
        <w:rPr/>
        <w:t>coronary</w:t>
      </w:r>
      <w:r>
        <w:rPr>
          <w:spacing w:val="1"/>
        </w:rPr>
        <w:t> </w:t>
      </w:r>
      <w:r>
        <w:rPr/>
        <w:t>artery</w:t>
      </w:r>
      <w:r>
        <w:rPr>
          <w:spacing w:val="4"/>
        </w:rPr>
        <w:t> </w:t>
      </w:r>
      <w:r>
        <w:rPr/>
        <w:t>aneurysm</w:t>
      </w:r>
      <w:r>
        <w:rPr>
          <w:spacing w:val="4"/>
        </w:rPr>
        <w:t> </w:t>
      </w:r>
      <w:r>
        <w:rPr>
          <w:spacing w:val="-4"/>
        </w:rPr>
        <w:t>deve-</w:t>
      </w:r>
    </w:p>
    <w:p>
      <w:pPr>
        <w:pStyle w:val="BodyText"/>
        <w:spacing w:before="92"/>
        <w:ind w:left="238" w:right="290"/>
        <w:jc w:val="both"/>
      </w:pPr>
      <w:r>
        <w:rPr/>
        <w:br w:type="column"/>
      </w:r>
      <w:r>
        <w:rPr/>
        <w:t>коњуктивите, црвенило на орофарингсот, оток и црвенило на екстремитетите, и унилатерална лим- фаденопатија. Инкоплетната форма на болеста се дијагностицира кај пациенти кои имаат покачена температура 5 дена или подолго, 2 или 3 од глав- ните клинички критериуми и лабараториски или ехокардиографски наоди во прилог на болеста. Бо- леста на</w:t>
      </w:r>
      <w:r>
        <w:rPr>
          <w:spacing w:val="-2"/>
        </w:rPr>
        <w:t> </w:t>
      </w:r>
      <w:r>
        <w:rPr/>
        <w:t>Кавасаки</w:t>
      </w:r>
      <w:r>
        <w:rPr>
          <w:spacing w:val="-2"/>
        </w:rPr>
        <w:t> </w:t>
      </w:r>
      <w:r>
        <w:rPr/>
        <w:t>е</w:t>
      </w:r>
      <w:r>
        <w:rPr>
          <w:spacing w:val="-2"/>
        </w:rPr>
        <w:t> </w:t>
      </w:r>
      <w:r>
        <w:rPr/>
        <w:t>опишана како</w:t>
      </w:r>
      <w:r>
        <w:rPr>
          <w:spacing w:val="-1"/>
        </w:rPr>
        <w:t> </w:t>
      </w:r>
      <w:r>
        <w:rPr/>
        <w:t>компликација на разни</w:t>
      </w:r>
      <w:r>
        <w:rPr>
          <w:spacing w:val="-1"/>
        </w:rPr>
        <w:t> </w:t>
      </w:r>
      <w:r>
        <w:rPr/>
        <w:t>примарни</w:t>
      </w:r>
      <w:r>
        <w:rPr>
          <w:spacing w:val="-1"/>
        </w:rPr>
        <w:t> </w:t>
      </w:r>
      <w:r>
        <w:rPr/>
        <w:t>и</w:t>
      </w:r>
      <w:r>
        <w:rPr>
          <w:spacing w:val="-1"/>
        </w:rPr>
        <w:t> </w:t>
      </w:r>
      <w:r>
        <w:rPr/>
        <w:t>секундарни</w:t>
      </w:r>
      <w:r>
        <w:rPr>
          <w:spacing w:val="-1"/>
        </w:rPr>
        <w:t> </w:t>
      </w:r>
      <w:r>
        <w:rPr/>
        <w:t>имунодефицити</w:t>
      </w:r>
      <w:r>
        <w:rPr>
          <w:spacing w:val="-1"/>
        </w:rPr>
        <w:t> </w:t>
      </w:r>
      <w:r>
        <w:rPr/>
        <w:t>што оди</w:t>
      </w:r>
      <w:r>
        <w:rPr>
          <w:spacing w:val="-4"/>
        </w:rPr>
        <w:t> </w:t>
      </w:r>
      <w:r>
        <w:rPr/>
        <w:t>во</w:t>
      </w:r>
      <w:r>
        <w:rPr>
          <w:spacing w:val="-4"/>
        </w:rPr>
        <w:t> </w:t>
      </w:r>
      <w:r>
        <w:rPr/>
        <w:t>прилог</w:t>
      </w:r>
      <w:r>
        <w:rPr>
          <w:spacing w:val="-4"/>
        </w:rPr>
        <w:t> </w:t>
      </w:r>
      <w:r>
        <w:rPr/>
        <w:t>на</w:t>
      </w:r>
      <w:r>
        <w:rPr>
          <w:spacing w:val="-4"/>
        </w:rPr>
        <w:t> </w:t>
      </w:r>
      <w:r>
        <w:rPr/>
        <w:t>инфективна</w:t>
      </w:r>
      <w:r>
        <w:rPr>
          <w:spacing w:val="-4"/>
        </w:rPr>
        <w:t> </w:t>
      </w:r>
      <w:r>
        <w:rPr/>
        <w:t>етиологија.</w:t>
      </w:r>
      <w:r>
        <w:rPr>
          <w:spacing w:val="-7"/>
        </w:rPr>
        <w:t> </w:t>
      </w:r>
      <w:r>
        <w:rPr/>
        <w:t>Имуноде- фицитните болести често можат да имаат инком- плетна клиничка презентација на болеста што мо- же да резутира со покасна дијагноза и закаснето започнување на лекувањето, кое пак од своја стра- на доведува до формирање на аневризми на коро- нарните артерии. Ние презентираме 2,5 годишно девојче со Транзиторна хипогамаглобулинемија на раното</w:t>
      </w:r>
      <w:r>
        <w:rPr>
          <w:spacing w:val="-2"/>
        </w:rPr>
        <w:t> </w:t>
      </w:r>
      <w:r>
        <w:rPr/>
        <w:t>детство,</w:t>
      </w:r>
      <w:r>
        <w:rPr>
          <w:spacing w:val="-2"/>
        </w:rPr>
        <w:t> </w:t>
      </w:r>
      <w:r>
        <w:rPr/>
        <w:t>кое</w:t>
      </w:r>
      <w:r>
        <w:rPr>
          <w:spacing w:val="-2"/>
        </w:rPr>
        <w:t> </w:t>
      </w:r>
      <w:r>
        <w:rPr/>
        <w:t>имаше</w:t>
      </w:r>
      <w:r>
        <w:rPr>
          <w:spacing w:val="-3"/>
        </w:rPr>
        <w:t> </w:t>
      </w:r>
      <w:r>
        <w:rPr/>
        <w:t>комплетна форма</w:t>
      </w:r>
      <w:r>
        <w:rPr>
          <w:spacing w:val="-2"/>
        </w:rPr>
        <w:t> </w:t>
      </w:r>
      <w:r>
        <w:rPr/>
        <w:t>на</w:t>
      </w:r>
      <w:r>
        <w:rPr>
          <w:spacing w:val="-3"/>
        </w:rPr>
        <w:t> </w:t>
      </w:r>
      <w:r>
        <w:rPr/>
        <w:t>бо- леста, без развој на аневризма на коронарните ар- терии, со цел да укажеме на можноста за појава на болеста на Каваски кај децата со имундефицит.</w:t>
      </w:r>
    </w:p>
    <w:p>
      <w:pPr>
        <w:pStyle w:val="BodyText"/>
        <w:spacing w:before="10"/>
        <w:rPr>
          <w:sz w:val="20"/>
        </w:rPr>
      </w:pPr>
    </w:p>
    <w:p>
      <w:pPr>
        <w:pStyle w:val="BodyText"/>
        <w:spacing w:before="1"/>
        <w:ind w:left="238" w:right="290"/>
        <w:jc w:val="both"/>
      </w:pPr>
      <w:r>
        <w:rPr>
          <w:b/>
        </w:rPr>
        <w:t>Клучни зборови: </w:t>
      </w:r>
      <w:r>
        <w:rPr/>
        <w:t>болест на Каваски, хипогама- глобулинемија на раното детство, имунoдефицит</w:t>
      </w:r>
    </w:p>
    <w:p>
      <w:pPr>
        <w:spacing w:after="0"/>
        <w:jc w:val="both"/>
        <w:sectPr>
          <w:type w:val="continuous"/>
          <w:pgSz w:w="11910" w:h="16840"/>
          <w:pgMar w:header="0" w:footer="0" w:top="740" w:bottom="0" w:left="900" w:right="840"/>
          <w:cols w:num="2" w:equalWidth="0">
            <w:col w:w="4921" w:space="76"/>
            <w:col w:w="5173"/>
          </w:cols>
        </w:sectPr>
      </w:pPr>
    </w:p>
    <w:p>
      <w:pPr>
        <w:pStyle w:val="BodyText"/>
        <w:tabs>
          <w:tab w:pos="5235" w:val="left" w:leader="none"/>
          <w:tab w:pos="9801" w:val="left" w:leader="none"/>
        </w:tabs>
        <w:spacing w:before="1"/>
        <w:ind w:left="238" w:right="365"/>
      </w:pPr>
      <w:r>
        <w:rPr/>
        <w:t>lopment, to emphasize the occurrence of Kawasaki di-</w:t>
        <w:tab/>
      </w:r>
      <w:r>
        <w:rPr>
          <w:u w:val="single"/>
        </w:rPr>
        <w:tab/>
      </w:r>
      <w:r>
        <w:rPr/>
        <w:t> sease in immune deficiency situations.</w:t>
      </w:r>
    </w:p>
    <w:p>
      <w:pPr>
        <w:spacing w:after="0"/>
        <w:sectPr>
          <w:type w:val="continuous"/>
          <w:pgSz w:w="11910" w:h="16840"/>
          <w:pgMar w:header="0" w:footer="0" w:top="740" w:bottom="0" w:left="900" w:right="840"/>
        </w:sectPr>
      </w:pPr>
    </w:p>
    <w:p>
      <w:pPr>
        <w:pStyle w:val="BodyText"/>
        <w:spacing w:before="1"/>
      </w:pPr>
      <w:r>
        <w:rPr/>
        <w:pict>
          <v:rect style="position:absolute;margin-left:497.899994pt;margin-top:41.649994pt;width:81pt;height:31.8pt;mso-position-horizontal-relative:page;mso-position-vertical-relative:page;z-index:-17629696" id="docshape578" filled="true" fillcolor="#ffffff" stroked="false">
            <v:fill type="solid"/>
            <w10:wrap type="none"/>
          </v:rect>
        </w:pict>
      </w:r>
    </w:p>
    <w:p>
      <w:pPr>
        <w:pStyle w:val="BodyText"/>
        <w:ind w:left="238"/>
      </w:pPr>
      <w:r>
        <w:rPr>
          <w:b/>
        </w:rPr>
        <w:t>Keywords:</w:t>
      </w:r>
      <w:r>
        <w:rPr>
          <w:b/>
          <w:spacing w:val="22"/>
        </w:rPr>
        <w:t> </w:t>
      </w:r>
      <w:r>
        <w:rPr/>
        <w:t>Kawasaki</w:t>
      </w:r>
      <w:r>
        <w:rPr>
          <w:spacing w:val="22"/>
        </w:rPr>
        <w:t> </w:t>
      </w:r>
      <w:r>
        <w:rPr/>
        <w:t>disease,</w:t>
      </w:r>
      <w:r>
        <w:rPr>
          <w:spacing w:val="23"/>
        </w:rPr>
        <w:t> </w:t>
      </w:r>
      <w:r>
        <w:rPr/>
        <w:t>transient</w:t>
      </w:r>
      <w:r>
        <w:rPr>
          <w:spacing w:val="22"/>
        </w:rPr>
        <w:t> </w:t>
      </w:r>
      <w:r>
        <w:rPr/>
        <w:t>hypogamma- globulinemia of infancy, immunodeficiency</w:t>
      </w:r>
    </w:p>
    <w:p>
      <w:pPr>
        <w:pStyle w:val="BodyText"/>
        <w:spacing w:before="6"/>
        <w:rPr>
          <w:sz w:val="18"/>
        </w:rPr>
      </w:pPr>
      <w:r>
        <w:rPr/>
        <w:pict>
          <v:shape style="position:absolute;margin-left:56.903999pt;margin-top:11.877726pt;width:225.9pt;height:.1pt;mso-position-horizontal-relative:page;mso-position-vertical-relative:paragraph;z-index:-15704576;mso-wrap-distance-left:0;mso-wrap-distance-right:0" id="docshape579" coordorigin="1138,238" coordsize="4518,0" path="m1138,238l5656,238e" filled="false" stroked="true" strokeweight=".4224pt" strokecolor="#000000">
            <v:path arrowok="t"/>
            <v:stroke dashstyle="solid"/>
            <w10:wrap type="topAndBottom"/>
          </v:shape>
        </w:pict>
      </w:r>
    </w:p>
    <w:p>
      <w:pPr>
        <w:pStyle w:val="BodyText"/>
        <w:spacing w:before="4"/>
      </w:pPr>
    </w:p>
    <w:p>
      <w:pPr>
        <w:pStyle w:val="Heading4"/>
      </w:pPr>
      <w:r>
        <w:rPr>
          <w:spacing w:val="-2"/>
        </w:rPr>
        <w:t>Апстракт</w:t>
      </w:r>
    </w:p>
    <w:p>
      <w:pPr>
        <w:pStyle w:val="BodyText"/>
        <w:spacing w:before="6"/>
        <w:rPr>
          <w:b/>
          <w:sz w:val="20"/>
        </w:rPr>
      </w:pPr>
    </w:p>
    <w:p>
      <w:pPr>
        <w:pStyle w:val="BodyText"/>
        <w:ind w:left="238" w:right="38"/>
        <w:jc w:val="both"/>
      </w:pPr>
      <w:r>
        <w:rPr/>
        <w:t>Болеста</w:t>
      </w:r>
      <w:r>
        <w:rPr>
          <w:spacing w:val="-1"/>
        </w:rPr>
        <w:t> </w:t>
      </w:r>
      <w:r>
        <w:rPr/>
        <w:t>на</w:t>
      </w:r>
      <w:r>
        <w:rPr>
          <w:spacing w:val="-1"/>
        </w:rPr>
        <w:t> </w:t>
      </w:r>
      <w:r>
        <w:rPr/>
        <w:t>Кавасаки</w:t>
      </w:r>
      <w:r>
        <w:rPr>
          <w:spacing w:val="-1"/>
        </w:rPr>
        <w:t> </w:t>
      </w:r>
      <w:r>
        <w:rPr/>
        <w:t>е</w:t>
      </w:r>
      <w:r>
        <w:rPr>
          <w:spacing w:val="-1"/>
        </w:rPr>
        <w:t> </w:t>
      </w:r>
      <w:r>
        <w:rPr/>
        <w:t>акутна</w:t>
      </w:r>
      <w:r>
        <w:rPr>
          <w:spacing w:val="-1"/>
        </w:rPr>
        <w:t> </w:t>
      </w:r>
      <w:r>
        <w:rPr/>
        <w:t>фебрилна</w:t>
      </w:r>
      <w:r>
        <w:rPr>
          <w:spacing w:val="-1"/>
        </w:rPr>
        <w:t> </w:t>
      </w:r>
      <w:r>
        <w:rPr/>
        <w:t>болест</w:t>
      </w:r>
      <w:r>
        <w:rPr>
          <w:spacing w:val="-3"/>
        </w:rPr>
        <w:t> </w:t>
      </w:r>
      <w:r>
        <w:rPr/>
        <w:t>која се јавува во раното детство и се карактеризира со артериски васкулитис. Дијагнозата на комплетната форма на болеста на Кавасаки може да се постави кај дете кое има покачена температура која трае 5 дена или повеќе, и</w:t>
      </w:r>
      <w:r>
        <w:rPr>
          <w:spacing w:val="-1"/>
        </w:rPr>
        <w:t> </w:t>
      </w:r>
      <w:r>
        <w:rPr/>
        <w:t>има најмалку</w:t>
      </w:r>
      <w:r>
        <w:rPr>
          <w:spacing w:val="-3"/>
        </w:rPr>
        <w:t> </w:t>
      </w:r>
      <w:r>
        <w:rPr/>
        <w:t>4 од 5 главни</w:t>
      </w:r>
      <w:r>
        <w:rPr>
          <w:spacing w:val="-1"/>
        </w:rPr>
        <w:t> </w:t>
      </w:r>
      <w:r>
        <w:rPr/>
        <w:t>кли- нички критериуми: осип по кожата, црвенило на</w:t>
      </w:r>
    </w:p>
    <w:p>
      <w:pPr>
        <w:pStyle w:val="BodyText"/>
        <w:rPr>
          <w:sz w:val="20"/>
        </w:rPr>
      </w:pPr>
    </w:p>
    <w:p>
      <w:pPr>
        <w:pStyle w:val="BodyText"/>
        <w:spacing w:before="9"/>
        <w:rPr>
          <w:sz w:val="14"/>
        </w:rPr>
      </w:pPr>
      <w:r>
        <w:rPr/>
        <w:pict>
          <v:shape style="position:absolute;margin-left:56.903999pt;margin-top:9.707036pt;width:96.05pt;height:.1pt;mso-position-horizontal-relative:page;mso-position-vertical-relative:paragraph;z-index:-15704064;mso-wrap-distance-left:0;mso-wrap-distance-right:0" id="docshape580" coordorigin="1138,194" coordsize="1921,0" path="m1138,194l3059,194e" filled="false" stroked="true" strokeweight=".32964pt" strokecolor="#000000">
            <v:path arrowok="t"/>
            <v:stroke dashstyle="solid"/>
            <w10:wrap type="topAndBottom"/>
          </v:shape>
        </w:pict>
      </w:r>
    </w:p>
    <w:p>
      <w:pPr>
        <w:spacing w:before="0"/>
        <w:ind w:left="238" w:right="40" w:firstLine="0"/>
        <w:jc w:val="both"/>
        <w:rPr>
          <w:sz w:val="16"/>
        </w:rPr>
      </w:pPr>
      <w:r>
        <w:rPr>
          <w:i/>
          <w:sz w:val="16"/>
        </w:rPr>
        <w:t>Correspondence</w:t>
      </w:r>
      <w:r>
        <w:rPr>
          <w:i/>
          <w:spacing w:val="-4"/>
          <w:sz w:val="16"/>
        </w:rPr>
        <w:t> </w:t>
      </w:r>
      <w:r>
        <w:rPr>
          <w:i/>
          <w:sz w:val="16"/>
        </w:rPr>
        <w:t>to:</w:t>
      </w:r>
      <w:r>
        <w:rPr>
          <w:i/>
          <w:spacing w:val="80"/>
          <w:sz w:val="16"/>
        </w:rPr>
        <w:t>  </w:t>
      </w:r>
      <w:r>
        <w:rPr>
          <w:sz w:val="16"/>
        </w:rPr>
        <w:t>Lidija</w:t>
      </w:r>
      <w:r>
        <w:rPr>
          <w:spacing w:val="40"/>
          <w:sz w:val="16"/>
        </w:rPr>
        <w:t> </w:t>
      </w:r>
      <w:r>
        <w:rPr>
          <w:sz w:val="16"/>
        </w:rPr>
        <w:t>Kareva,</w:t>
      </w:r>
      <w:r>
        <w:rPr>
          <w:spacing w:val="40"/>
          <w:sz w:val="16"/>
        </w:rPr>
        <w:t> </w:t>
      </w:r>
      <w:r>
        <w:rPr>
          <w:sz w:val="16"/>
        </w:rPr>
        <w:t>University</w:t>
      </w:r>
      <w:r>
        <w:rPr>
          <w:spacing w:val="40"/>
          <w:sz w:val="16"/>
        </w:rPr>
        <w:t> </w:t>
      </w:r>
      <w:r>
        <w:rPr>
          <w:sz w:val="16"/>
        </w:rPr>
        <w:t>Pediatric</w:t>
      </w:r>
      <w:r>
        <w:rPr>
          <w:spacing w:val="40"/>
          <w:sz w:val="16"/>
        </w:rPr>
        <w:t> </w:t>
      </w:r>
      <w:r>
        <w:rPr>
          <w:sz w:val="16"/>
        </w:rPr>
        <w:t>Clinic,</w:t>
      </w:r>
      <w:r>
        <w:rPr>
          <w:spacing w:val="40"/>
          <w:sz w:val="16"/>
        </w:rPr>
        <w:t> </w:t>
      </w:r>
      <w:r>
        <w:rPr>
          <w:sz w:val="16"/>
        </w:rPr>
        <w:t>1000 Skopje, R. N. Macedonia; E-mail: </w:t>
      </w:r>
      <w:hyperlink r:id="rId518">
        <w:r>
          <w:rPr>
            <w:sz w:val="16"/>
          </w:rPr>
          <w:t>kvlidija@yahoo.com</w:t>
        </w:r>
      </w:hyperlink>
    </w:p>
    <w:p>
      <w:pPr>
        <w:pStyle w:val="Heading4"/>
        <w:spacing w:before="5"/>
      </w:pPr>
      <w:r>
        <w:rPr>
          <w:b w:val="0"/>
        </w:rPr>
        <w:br w:type="column"/>
      </w:r>
      <w:r>
        <w:rPr>
          <w:spacing w:val="-2"/>
        </w:rPr>
        <w:t>Introduction</w:t>
      </w:r>
    </w:p>
    <w:p>
      <w:pPr>
        <w:pStyle w:val="BodyText"/>
        <w:spacing w:before="6"/>
        <w:rPr>
          <w:b/>
          <w:sz w:val="20"/>
        </w:rPr>
      </w:pPr>
    </w:p>
    <w:p>
      <w:pPr>
        <w:pStyle w:val="BodyText"/>
        <w:ind w:left="238" w:right="289"/>
        <w:jc w:val="both"/>
      </w:pPr>
      <w:r>
        <w:rPr>
          <w:spacing w:val="-2"/>
        </w:rPr>
        <w:t>Kawasaki</w:t>
      </w:r>
      <w:r>
        <w:rPr>
          <w:spacing w:val="-12"/>
        </w:rPr>
        <w:t> </w:t>
      </w:r>
      <w:r>
        <w:rPr>
          <w:spacing w:val="-2"/>
        </w:rPr>
        <w:t>disease</w:t>
      </w:r>
      <w:r>
        <w:rPr>
          <w:spacing w:val="-11"/>
        </w:rPr>
        <w:t> </w:t>
      </w:r>
      <w:r>
        <w:rPr>
          <w:spacing w:val="-2"/>
        </w:rPr>
        <w:t>(KD)</w:t>
      </w:r>
      <w:r>
        <w:rPr>
          <w:spacing w:val="-11"/>
        </w:rPr>
        <w:t> </w:t>
      </w:r>
      <w:r>
        <w:rPr>
          <w:spacing w:val="-2"/>
        </w:rPr>
        <w:t>is</w:t>
      </w:r>
      <w:r>
        <w:rPr>
          <w:spacing w:val="-11"/>
        </w:rPr>
        <w:t> </w:t>
      </w:r>
      <w:r>
        <w:rPr>
          <w:spacing w:val="-2"/>
        </w:rPr>
        <w:t>an</w:t>
      </w:r>
      <w:r>
        <w:rPr>
          <w:spacing w:val="-11"/>
        </w:rPr>
        <w:t> </w:t>
      </w:r>
      <w:r>
        <w:rPr>
          <w:spacing w:val="-2"/>
        </w:rPr>
        <w:t>acute</w:t>
      </w:r>
      <w:r>
        <w:rPr>
          <w:spacing w:val="-11"/>
        </w:rPr>
        <w:t> </w:t>
      </w:r>
      <w:r>
        <w:rPr>
          <w:spacing w:val="-2"/>
        </w:rPr>
        <w:t>febrile</w:t>
      </w:r>
      <w:r>
        <w:rPr>
          <w:spacing w:val="-11"/>
        </w:rPr>
        <w:t> </w:t>
      </w:r>
      <w:r>
        <w:rPr>
          <w:spacing w:val="-2"/>
        </w:rPr>
        <w:t>illness</w:t>
      </w:r>
      <w:r>
        <w:rPr>
          <w:spacing w:val="-11"/>
        </w:rPr>
        <w:t> </w:t>
      </w:r>
      <w:r>
        <w:rPr>
          <w:spacing w:val="-2"/>
        </w:rPr>
        <w:t>of</w:t>
      </w:r>
      <w:r>
        <w:rPr>
          <w:spacing w:val="-12"/>
        </w:rPr>
        <w:t> </w:t>
      </w:r>
      <w:r>
        <w:rPr>
          <w:spacing w:val="-2"/>
        </w:rPr>
        <w:t>early </w:t>
      </w:r>
      <w:r>
        <w:rPr/>
        <w:t>childhood characterized by vasculitis of the arteries. KD was described in Japan by Tomisaku Kawasaki in 1967 [1].</w:t>
      </w:r>
      <w:r>
        <w:rPr>
          <w:spacing w:val="-5"/>
        </w:rPr>
        <w:t> </w:t>
      </w:r>
      <w:r>
        <w:rPr/>
        <w:t>The diagnosis of complete KD should be made in a child who has a fever lasting for 5 days or more and has at least 4 of 5 the clinical criteria: rash, </w:t>
      </w:r>
      <w:r>
        <w:rPr>
          <w:spacing w:val="-4"/>
        </w:rPr>
        <w:t>conjunctival injection, oropharyngeal erythema, swelling </w:t>
      </w:r>
      <w:r>
        <w:rPr/>
        <w:t>and</w:t>
      </w:r>
      <w:r>
        <w:rPr>
          <w:spacing w:val="-4"/>
        </w:rPr>
        <w:t> </w:t>
      </w:r>
      <w:r>
        <w:rPr/>
        <w:t>erythema</w:t>
      </w:r>
      <w:r>
        <w:rPr>
          <w:spacing w:val="-4"/>
        </w:rPr>
        <w:t> </w:t>
      </w:r>
      <w:r>
        <w:rPr/>
        <w:t>of</w:t>
      </w:r>
      <w:r>
        <w:rPr>
          <w:spacing w:val="-3"/>
        </w:rPr>
        <w:t> </w:t>
      </w:r>
      <w:r>
        <w:rPr/>
        <w:t>the</w:t>
      </w:r>
      <w:r>
        <w:rPr>
          <w:spacing w:val="-4"/>
        </w:rPr>
        <w:t> </w:t>
      </w:r>
      <w:r>
        <w:rPr/>
        <w:t>extremities,</w:t>
      </w:r>
      <w:r>
        <w:rPr>
          <w:spacing w:val="-4"/>
        </w:rPr>
        <w:t> </w:t>
      </w:r>
      <w:r>
        <w:rPr/>
        <w:t>and</w:t>
      </w:r>
      <w:r>
        <w:rPr>
          <w:spacing w:val="-4"/>
        </w:rPr>
        <w:t> </w:t>
      </w:r>
      <w:r>
        <w:rPr/>
        <w:t>unilateral</w:t>
      </w:r>
      <w:r>
        <w:rPr>
          <w:spacing w:val="-5"/>
        </w:rPr>
        <w:t> </w:t>
      </w:r>
      <w:r>
        <w:rPr/>
        <w:t>cervical lymphadenopathy. Incomplete KD is diagnosed when</w:t>
      </w:r>
      <w:r>
        <w:rPr>
          <w:spacing w:val="40"/>
        </w:rPr>
        <w:t> </w:t>
      </w:r>
      <w:r>
        <w:rPr/>
        <w:t>a patient presents with fever for 5 days or longer, 2 or</w:t>
      </w:r>
      <w:r>
        <w:rPr>
          <w:spacing w:val="40"/>
        </w:rPr>
        <w:t> </w:t>
      </w:r>
      <w:r>
        <w:rPr/>
        <w:t>3 of the main clinical features, and laboratory findings suggestive of the disease or echocardiographic abnor- malities. A diagnosis of atypical Kawasaki syndrome can be made with less than four criteria if coronary ar- tery</w:t>
      </w:r>
      <w:r>
        <w:rPr>
          <w:spacing w:val="22"/>
        </w:rPr>
        <w:t> </w:t>
      </w:r>
      <w:r>
        <w:rPr/>
        <w:t>aneurysms</w:t>
      </w:r>
      <w:r>
        <w:rPr>
          <w:spacing w:val="27"/>
        </w:rPr>
        <w:t> </w:t>
      </w:r>
      <w:r>
        <w:rPr/>
        <w:t>(CAA)</w:t>
      </w:r>
      <w:r>
        <w:rPr>
          <w:spacing w:val="25"/>
        </w:rPr>
        <w:t> </w:t>
      </w:r>
      <w:r>
        <w:rPr/>
        <w:t>are</w:t>
      </w:r>
      <w:r>
        <w:rPr>
          <w:spacing w:val="25"/>
        </w:rPr>
        <w:t> </w:t>
      </w:r>
      <w:r>
        <w:rPr/>
        <w:t>present.</w:t>
      </w:r>
      <w:r>
        <w:rPr>
          <w:spacing w:val="31"/>
        </w:rPr>
        <w:t> </w:t>
      </w:r>
      <w:r>
        <w:rPr/>
        <w:t>KD</w:t>
      </w:r>
      <w:r>
        <w:rPr>
          <w:spacing w:val="28"/>
        </w:rPr>
        <w:t> </w:t>
      </w:r>
      <w:r>
        <w:rPr/>
        <w:t>has</w:t>
      </w:r>
      <w:r>
        <w:rPr>
          <w:spacing w:val="28"/>
        </w:rPr>
        <w:t> </w:t>
      </w:r>
      <w:r>
        <w:rPr>
          <w:spacing w:val="-2"/>
        </w:rPr>
        <w:t>predilec-</w:t>
      </w:r>
    </w:p>
    <w:p>
      <w:pPr>
        <w:spacing w:after="0"/>
        <w:jc w:val="both"/>
        <w:sectPr>
          <w:type w:val="continuous"/>
          <w:pgSz w:w="11910" w:h="16840"/>
          <w:pgMar w:header="0" w:footer="0" w:top="740" w:bottom="0" w:left="900" w:right="840"/>
          <w:cols w:num="2" w:equalWidth="0">
            <w:col w:w="4917" w:space="80"/>
            <w:col w:w="5173"/>
          </w:cols>
        </w:sectPr>
      </w:pPr>
    </w:p>
    <w:p>
      <w:pPr>
        <w:pStyle w:val="BodyText"/>
        <w:spacing w:before="5"/>
        <w:rPr>
          <w:sz w:val="15"/>
        </w:rPr>
      </w:pPr>
    </w:p>
    <w:p>
      <w:pPr>
        <w:spacing w:after="0"/>
        <w:rPr>
          <w:sz w:val="15"/>
        </w:rPr>
        <w:sectPr>
          <w:headerReference w:type="default" r:id="rId519"/>
          <w:pgSz w:w="11910" w:h="16840"/>
          <w:pgMar w:header="854" w:footer="0" w:top="1300" w:bottom="280" w:left="900" w:right="840"/>
          <w:pgNumType w:start="35"/>
        </w:sectPr>
      </w:pPr>
    </w:p>
    <w:p>
      <w:pPr>
        <w:pStyle w:val="BodyText"/>
        <w:spacing w:before="92"/>
        <w:ind w:left="238" w:right="40"/>
        <w:jc w:val="both"/>
      </w:pPr>
      <w:r>
        <w:rPr>
          <w:spacing w:val="-2"/>
        </w:rPr>
        <w:t>tion for</w:t>
      </w:r>
      <w:r>
        <w:rPr>
          <w:spacing w:val="-6"/>
        </w:rPr>
        <w:t> </w:t>
      </w:r>
      <w:r>
        <w:rPr>
          <w:spacing w:val="-2"/>
        </w:rPr>
        <w:t>the</w:t>
      </w:r>
      <w:r>
        <w:rPr>
          <w:spacing w:val="-8"/>
        </w:rPr>
        <w:t> </w:t>
      </w:r>
      <w:r>
        <w:rPr>
          <w:spacing w:val="-2"/>
        </w:rPr>
        <w:t>coronary</w:t>
      </w:r>
      <w:r>
        <w:rPr>
          <w:spacing w:val="-8"/>
        </w:rPr>
        <w:t> </w:t>
      </w:r>
      <w:r>
        <w:rPr>
          <w:spacing w:val="-2"/>
        </w:rPr>
        <w:t>arteries,</w:t>
      </w:r>
      <w:r>
        <w:rPr>
          <w:spacing w:val="-6"/>
        </w:rPr>
        <w:t> </w:t>
      </w:r>
      <w:r>
        <w:rPr>
          <w:spacing w:val="-2"/>
        </w:rPr>
        <w:t>coronary</w:t>
      </w:r>
      <w:r>
        <w:rPr>
          <w:spacing w:val="-10"/>
        </w:rPr>
        <w:t> </w:t>
      </w:r>
      <w:r>
        <w:rPr>
          <w:spacing w:val="-2"/>
        </w:rPr>
        <w:t>artery</w:t>
      </w:r>
      <w:r>
        <w:rPr>
          <w:spacing w:val="-10"/>
        </w:rPr>
        <w:t> </w:t>
      </w:r>
      <w:r>
        <w:rPr>
          <w:spacing w:val="-2"/>
        </w:rPr>
        <w:t>aneurysms </w:t>
      </w:r>
      <w:r>
        <w:rPr/>
        <w:t>can develop in around 25% of untreated cases while </w:t>
      </w:r>
      <w:r>
        <w:rPr>
          <w:spacing w:val="-2"/>
        </w:rPr>
        <w:t>early</w:t>
      </w:r>
      <w:r>
        <w:rPr>
          <w:spacing w:val="-12"/>
        </w:rPr>
        <w:t> </w:t>
      </w:r>
      <w:r>
        <w:rPr>
          <w:spacing w:val="-2"/>
        </w:rPr>
        <w:t>treatment</w:t>
      </w:r>
      <w:r>
        <w:rPr>
          <w:spacing w:val="-11"/>
        </w:rPr>
        <w:t> </w:t>
      </w:r>
      <w:r>
        <w:rPr>
          <w:spacing w:val="-2"/>
        </w:rPr>
        <w:t>decreases</w:t>
      </w:r>
      <w:r>
        <w:rPr>
          <w:spacing w:val="-11"/>
        </w:rPr>
        <w:t> </w:t>
      </w:r>
      <w:r>
        <w:rPr>
          <w:spacing w:val="-2"/>
        </w:rPr>
        <w:t>this</w:t>
      </w:r>
      <w:r>
        <w:rPr>
          <w:spacing w:val="-10"/>
        </w:rPr>
        <w:t> </w:t>
      </w:r>
      <w:r>
        <w:rPr>
          <w:spacing w:val="-2"/>
        </w:rPr>
        <w:t>risk</w:t>
      </w:r>
      <w:r>
        <w:rPr>
          <w:spacing w:val="-11"/>
        </w:rPr>
        <w:t> </w:t>
      </w:r>
      <w:r>
        <w:rPr>
          <w:spacing w:val="-2"/>
        </w:rPr>
        <w:t>to</w:t>
      </w:r>
      <w:r>
        <w:rPr>
          <w:spacing w:val="-11"/>
        </w:rPr>
        <w:t> </w:t>
      </w:r>
      <w:r>
        <w:rPr>
          <w:spacing w:val="-2"/>
        </w:rPr>
        <w:t>3-5%</w:t>
      </w:r>
      <w:r>
        <w:rPr>
          <w:spacing w:val="-12"/>
        </w:rPr>
        <w:t> </w:t>
      </w:r>
      <w:r>
        <w:rPr>
          <w:spacing w:val="-2"/>
        </w:rPr>
        <w:t>[2].</w:t>
      </w:r>
      <w:r>
        <w:rPr>
          <w:spacing w:val="18"/>
        </w:rPr>
        <w:t> </w:t>
      </w:r>
      <w:r>
        <w:rPr>
          <w:spacing w:val="-2"/>
        </w:rPr>
        <w:t>KD</w:t>
      </w:r>
      <w:r>
        <w:rPr>
          <w:spacing w:val="-10"/>
        </w:rPr>
        <w:t> </w:t>
      </w:r>
      <w:r>
        <w:rPr>
          <w:spacing w:val="-2"/>
        </w:rPr>
        <w:t>is</w:t>
      </w:r>
      <w:r>
        <w:rPr>
          <w:spacing w:val="-9"/>
        </w:rPr>
        <w:t> </w:t>
      </w:r>
      <w:r>
        <w:rPr>
          <w:spacing w:val="-2"/>
        </w:rPr>
        <w:t>the </w:t>
      </w:r>
      <w:r>
        <w:rPr/>
        <w:t>leading cause of acquired heart disease in developed </w:t>
      </w:r>
      <w:r>
        <w:rPr>
          <w:spacing w:val="-4"/>
        </w:rPr>
        <w:t>nations [3]. Suggestive laboratory findings include eleva- </w:t>
      </w:r>
      <w:r>
        <w:rPr/>
        <w:t>ted erythrocyte sedimentation rate (ESR), elevated C- reactive</w:t>
      </w:r>
      <w:r>
        <w:rPr>
          <w:spacing w:val="-11"/>
        </w:rPr>
        <w:t> </w:t>
      </w:r>
      <w:r>
        <w:rPr/>
        <w:t>protein</w:t>
      </w:r>
      <w:r>
        <w:rPr>
          <w:spacing w:val="-10"/>
        </w:rPr>
        <w:t> </w:t>
      </w:r>
      <w:r>
        <w:rPr/>
        <w:t>(CRP),</w:t>
      </w:r>
      <w:r>
        <w:rPr>
          <w:spacing w:val="-11"/>
        </w:rPr>
        <w:t> </w:t>
      </w:r>
      <w:r>
        <w:rPr/>
        <w:t>hypoalbuminemia,</w:t>
      </w:r>
      <w:r>
        <w:rPr>
          <w:spacing w:val="-11"/>
        </w:rPr>
        <w:t> </w:t>
      </w:r>
      <w:r>
        <w:rPr/>
        <w:t>anemia,</w:t>
      </w:r>
      <w:r>
        <w:rPr>
          <w:spacing w:val="-10"/>
        </w:rPr>
        <w:t> </w:t>
      </w:r>
      <w:r>
        <w:rPr/>
        <w:t>ele- vated</w:t>
      </w:r>
      <w:r>
        <w:rPr>
          <w:spacing w:val="-14"/>
        </w:rPr>
        <w:t> </w:t>
      </w:r>
      <w:r>
        <w:rPr/>
        <w:t>alanine</w:t>
      </w:r>
      <w:r>
        <w:rPr>
          <w:spacing w:val="-13"/>
        </w:rPr>
        <w:t> </w:t>
      </w:r>
      <w:r>
        <w:rPr/>
        <w:t>aminotransferase</w:t>
      </w:r>
      <w:r>
        <w:rPr>
          <w:spacing w:val="-13"/>
        </w:rPr>
        <w:t> </w:t>
      </w:r>
      <w:r>
        <w:rPr/>
        <w:t>(ALT),</w:t>
      </w:r>
      <w:r>
        <w:rPr>
          <w:spacing w:val="-11"/>
        </w:rPr>
        <w:t> </w:t>
      </w:r>
      <w:r>
        <w:rPr/>
        <w:t>thrombocytosis, leukocytosis, and piuria. The etiology and pathogene- sis of</w:t>
      </w:r>
      <w:r>
        <w:rPr>
          <w:spacing w:val="-3"/>
        </w:rPr>
        <w:t> </w:t>
      </w:r>
      <w:r>
        <w:rPr/>
        <w:t>KD remains unclear. There has been a sugges- tion that the etiology of KD is infectious, and that in- fection triggers hyperactivation and dysfunction of the immune</w:t>
      </w:r>
      <w:r>
        <w:rPr>
          <w:spacing w:val="-1"/>
        </w:rPr>
        <w:t> </w:t>
      </w:r>
      <w:r>
        <w:rPr/>
        <w:t>system</w:t>
      </w:r>
      <w:r>
        <w:rPr>
          <w:spacing w:val="-2"/>
        </w:rPr>
        <w:t> </w:t>
      </w:r>
      <w:r>
        <w:rPr/>
        <w:t>in</w:t>
      </w:r>
      <w:r>
        <w:rPr>
          <w:spacing w:val="-1"/>
        </w:rPr>
        <w:t> </w:t>
      </w:r>
      <w:r>
        <w:rPr/>
        <w:t>genetically</w:t>
      </w:r>
      <w:r>
        <w:rPr>
          <w:spacing w:val="-3"/>
        </w:rPr>
        <w:t> </w:t>
      </w:r>
      <w:r>
        <w:rPr/>
        <w:t>predisposed</w:t>
      </w:r>
      <w:r>
        <w:rPr>
          <w:spacing w:val="-1"/>
        </w:rPr>
        <w:t> </w:t>
      </w:r>
      <w:r>
        <w:rPr/>
        <w:t>individuals. Six</w:t>
      </w:r>
      <w:r>
        <w:rPr>
          <w:spacing w:val="-14"/>
        </w:rPr>
        <w:t> </w:t>
      </w:r>
      <w:r>
        <w:rPr/>
        <w:t>genetic</w:t>
      </w:r>
      <w:r>
        <w:rPr>
          <w:spacing w:val="-13"/>
        </w:rPr>
        <w:t> </w:t>
      </w:r>
      <w:r>
        <w:rPr/>
        <w:t>loci</w:t>
      </w:r>
      <w:r>
        <w:rPr>
          <w:spacing w:val="-13"/>
        </w:rPr>
        <w:t> </w:t>
      </w:r>
      <w:r>
        <w:rPr/>
        <w:t>were</w:t>
      </w:r>
      <w:r>
        <w:rPr>
          <w:spacing w:val="-13"/>
        </w:rPr>
        <w:t> </w:t>
      </w:r>
      <w:r>
        <w:rPr/>
        <w:t>linked</w:t>
      </w:r>
      <w:r>
        <w:rPr>
          <w:spacing w:val="-10"/>
        </w:rPr>
        <w:t> </w:t>
      </w:r>
      <w:r>
        <w:rPr/>
        <w:t>to</w:t>
      </w:r>
      <w:r>
        <w:rPr>
          <w:spacing w:val="-11"/>
        </w:rPr>
        <w:t> </w:t>
      </w:r>
      <w:r>
        <w:rPr/>
        <w:t>KD</w:t>
      </w:r>
      <w:r>
        <w:rPr>
          <w:spacing w:val="-10"/>
        </w:rPr>
        <w:t> </w:t>
      </w:r>
      <w:r>
        <w:rPr/>
        <w:t>through</w:t>
      </w:r>
      <w:r>
        <w:rPr>
          <w:spacing w:val="-11"/>
        </w:rPr>
        <w:t> </w:t>
      </w:r>
      <w:r>
        <w:rPr/>
        <w:t>genome</w:t>
      </w:r>
      <w:r>
        <w:rPr>
          <w:spacing w:val="-11"/>
        </w:rPr>
        <w:t> </w:t>
      </w:r>
      <w:r>
        <w:rPr/>
        <w:t>stu- dies [4]. The presence of KD in patients with primary </w:t>
      </w:r>
      <w:r>
        <w:rPr>
          <w:spacing w:val="-2"/>
        </w:rPr>
        <w:t>and</w:t>
      </w:r>
      <w:r>
        <w:rPr>
          <w:spacing w:val="-7"/>
        </w:rPr>
        <w:t> </w:t>
      </w:r>
      <w:r>
        <w:rPr>
          <w:spacing w:val="-2"/>
        </w:rPr>
        <w:t>secondary</w:t>
      </w:r>
      <w:r>
        <w:rPr>
          <w:spacing w:val="-7"/>
        </w:rPr>
        <w:t> </w:t>
      </w:r>
      <w:r>
        <w:rPr>
          <w:spacing w:val="-2"/>
        </w:rPr>
        <w:t>immunodeficiency</w:t>
      </w:r>
      <w:r>
        <w:rPr>
          <w:spacing w:val="-8"/>
        </w:rPr>
        <w:t> </w:t>
      </w:r>
      <w:r>
        <w:rPr>
          <w:spacing w:val="-2"/>
        </w:rPr>
        <w:t>disorders</w:t>
      </w:r>
      <w:r>
        <w:rPr>
          <w:spacing w:val="-4"/>
        </w:rPr>
        <w:t> </w:t>
      </w:r>
      <w:r>
        <w:rPr>
          <w:spacing w:val="-2"/>
        </w:rPr>
        <w:t>supports</w:t>
      </w:r>
      <w:r>
        <w:rPr>
          <w:spacing w:val="-7"/>
        </w:rPr>
        <w:t> </w:t>
      </w:r>
      <w:r>
        <w:rPr>
          <w:spacing w:val="-2"/>
        </w:rPr>
        <w:t>the </w:t>
      </w:r>
      <w:r>
        <w:rPr/>
        <w:t>infectious theory. Transient hypogammaglobulinemia of</w:t>
      </w:r>
      <w:r>
        <w:rPr>
          <w:spacing w:val="-14"/>
        </w:rPr>
        <w:t> </w:t>
      </w:r>
      <w:r>
        <w:rPr/>
        <w:t>infancy</w:t>
      </w:r>
      <w:r>
        <w:rPr>
          <w:spacing w:val="-13"/>
        </w:rPr>
        <w:t> </w:t>
      </w:r>
      <w:r>
        <w:rPr/>
        <w:t>(THI)</w:t>
      </w:r>
      <w:r>
        <w:rPr>
          <w:spacing w:val="-13"/>
        </w:rPr>
        <w:t> </w:t>
      </w:r>
      <w:r>
        <w:rPr/>
        <w:t>is</w:t>
      </w:r>
      <w:r>
        <w:rPr>
          <w:spacing w:val="-13"/>
        </w:rPr>
        <w:t> </w:t>
      </w:r>
      <w:r>
        <w:rPr/>
        <w:t>a</w:t>
      </w:r>
      <w:r>
        <w:rPr>
          <w:spacing w:val="-13"/>
        </w:rPr>
        <w:t> </w:t>
      </w:r>
      <w:r>
        <w:rPr/>
        <w:t>primary</w:t>
      </w:r>
      <w:r>
        <w:rPr>
          <w:spacing w:val="-13"/>
        </w:rPr>
        <w:t> </w:t>
      </w:r>
      <w:r>
        <w:rPr/>
        <w:t>immunodeficiency</w:t>
      </w:r>
      <w:r>
        <w:rPr>
          <w:spacing w:val="-13"/>
        </w:rPr>
        <w:t> </w:t>
      </w:r>
      <w:r>
        <w:rPr/>
        <w:t>caused by</w:t>
      </w:r>
      <w:r>
        <w:rPr>
          <w:spacing w:val="-5"/>
        </w:rPr>
        <w:t> </w:t>
      </w:r>
      <w:r>
        <w:rPr/>
        <w:t>a transitory</w:t>
      </w:r>
      <w:r>
        <w:rPr>
          <w:spacing w:val="-5"/>
        </w:rPr>
        <w:t> </w:t>
      </w:r>
      <w:r>
        <w:rPr/>
        <w:t>drop of</w:t>
      </w:r>
      <w:r>
        <w:rPr>
          <w:spacing w:val="-1"/>
        </w:rPr>
        <w:t> </w:t>
      </w:r>
      <w:r>
        <w:rPr/>
        <w:t>the levels</w:t>
      </w:r>
      <w:r>
        <w:rPr>
          <w:spacing w:val="-1"/>
        </w:rPr>
        <w:t> </w:t>
      </w:r>
      <w:r>
        <w:rPr/>
        <w:t>of</w:t>
      </w:r>
      <w:r>
        <w:rPr>
          <w:spacing w:val="-1"/>
        </w:rPr>
        <w:t> </w:t>
      </w:r>
      <w:r>
        <w:rPr/>
        <w:t>immunoglobulin G (IgG) in an infant beginning between 5 and 24 months of age, while immunoglobulin A (IgA) and immuno- globulin M (IgM) may or may not present as dec- reased.</w:t>
      </w:r>
      <w:r>
        <w:rPr>
          <w:spacing w:val="-3"/>
        </w:rPr>
        <w:t> </w:t>
      </w:r>
      <w:r>
        <w:rPr/>
        <w:t>Levels typically return to reference range at ages 2 to 6 years. THI may be characterized by recu- rrent</w:t>
      </w:r>
      <w:r>
        <w:rPr>
          <w:spacing w:val="-1"/>
        </w:rPr>
        <w:t> </w:t>
      </w:r>
      <w:r>
        <w:rPr/>
        <w:t>infections</w:t>
      </w:r>
      <w:r>
        <w:rPr>
          <w:spacing w:val="-6"/>
        </w:rPr>
        <w:t> </w:t>
      </w:r>
      <w:r>
        <w:rPr/>
        <w:t>[5].</w:t>
      </w:r>
      <w:r>
        <w:rPr>
          <w:spacing w:val="-5"/>
        </w:rPr>
        <w:t> </w:t>
      </w:r>
      <w:r>
        <w:rPr/>
        <w:t>In</w:t>
      </w:r>
      <w:r>
        <w:rPr>
          <w:spacing w:val="-5"/>
        </w:rPr>
        <w:t> </w:t>
      </w:r>
      <w:r>
        <w:rPr/>
        <w:t>THI,</w:t>
      </w:r>
      <w:r>
        <w:rPr>
          <w:spacing w:val="-5"/>
        </w:rPr>
        <w:t> </w:t>
      </w:r>
      <w:r>
        <w:rPr/>
        <w:t>IgG</w:t>
      </w:r>
      <w:r>
        <w:rPr>
          <w:spacing w:val="-7"/>
        </w:rPr>
        <w:t> </w:t>
      </w:r>
      <w:r>
        <w:rPr/>
        <w:t>is</w:t>
      </w:r>
      <w:r>
        <w:rPr>
          <w:spacing w:val="-8"/>
        </w:rPr>
        <w:t> </w:t>
      </w:r>
      <w:r>
        <w:rPr/>
        <w:t>at</w:t>
      </w:r>
      <w:r>
        <w:rPr>
          <w:spacing w:val="-6"/>
        </w:rPr>
        <w:t> </w:t>
      </w:r>
      <w:r>
        <w:rPr/>
        <w:t>least</w:t>
      </w:r>
      <w:r>
        <w:rPr>
          <w:spacing w:val="-6"/>
        </w:rPr>
        <w:t> </w:t>
      </w:r>
      <w:r>
        <w:rPr/>
        <w:t>two</w:t>
      </w:r>
      <w:r>
        <w:rPr>
          <w:spacing w:val="-5"/>
        </w:rPr>
        <w:t> </w:t>
      </w:r>
      <w:r>
        <w:rPr/>
        <w:t>standard deviations below expected controls [6,7].</w:t>
      </w:r>
      <w:r>
        <w:rPr>
          <w:spacing w:val="-3"/>
        </w:rPr>
        <w:t> </w:t>
      </w:r>
      <w:r>
        <w:rPr/>
        <w:t>We present the case of a two and a half years old girl with THI who developed complete KD without coronary artery aneurism. The aim of the presented case is to empha- size the importance of early</w:t>
      </w:r>
      <w:r>
        <w:rPr>
          <w:spacing w:val="-1"/>
        </w:rPr>
        <w:t> </w:t>
      </w:r>
      <w:r>
        <w:rPr/>
        <w:t>diagnosis of KD in immu- nodeficiency situation like THI in order to protect against coronary artery aneurysm.</w:t>
      </w:r>
    </w:p>
    <w:p>
      <w:pPr>
        <w:pStyle w:val="BodyText"/>
        <w:spacing w:before="5"/>
      </w:pPr>
    </w:p>
    <w:p>
      <w:pPr>
        <w:pStyle w:val="Heading4"/>
        <w:jc w:val="both"/>
      </w:pPr>
      <w:r>
        <w:rPr/>
        <w:t>Case</w:t>
      </w:r>
      <w:r>
        <w:rPr>
          <w:spacing w:val="-1"/>
        </w:rPr>
        <w:t> </w:t>
      </w:r>
      <w:r>
        <w:rPr>
          <w:spacing w:val="-2"/>
        </w:rPr>
        <w:t>report</w:t>
      </w:r>
    </w:p>
    <w:p>
      <w:pPr>
        <w:pStyle w:val="BodyText"/>
        <w:spacing w:before="6"/>
        <w:rPr>
          <w:b/>
          <w:sz w:val="20"/>
        </w:rPr>
      </w:pPr>
    </w:p>
    <w:p>
      <w:pPr>
        <w:pStyle w:val="BodyText"/>
        <w:ind w:left="238" w:right="38"/>
        <w:jc w:val="both"/>
      </w:pPr>
      <w:r>
        <w:rPr/>
        <w:t>We present a two and a half years old girl with a his- tory</w:t>
      </w:r>
      <w:r>
        <w:rPr>
          <w:spacing w:val="-1"/>
        </w:rPr>
        <w:t> </w:t>
      </w:r>
      <w:r>
        <w:rPr/>
        <w:t>of recurrent respiratory</w:t>
      </w:r>
      <w:r>
        <w:rPr>
          <w:spacing w:val="-1"/>
        </w:rPr>
        <w:t> </w:t>
      </w:r>
      <w:r>
        <w:rPr/>
        <w:t>infections since the age of 1 year, and 5 days of fever, with pharyngitis and rash. She had received three days course of beta lactam an- tibiotic for the pharyngitis prior to the hospitalization, </w:t>
      </w:r>
      <w:r>
        <w:rPr>
          <w:spacing w:val="-2"/>
        </w:rPr>
        <w:t>but</w:t>
      </w:r>
      <w:r>
        <w:rPr>
          <w:spacing w:val="-5"/>
        </w:rPr>
        <w:t> </w:t>
      </w:r>
      <w:r>
        <w:rPr>
          <w:spacing w:val="-2"/>
        </w:rPr>
        <w:t>despite</w:t>
      </w:r>
      <w:r>
        <w:rPr>
          <w:spacing w:val="-5"/>
        </w:rPr>
        <w:t> </w:t>
      </w:r>
      <w:r>
        <w:rPr>
          <w:spacing w:val="-2"/>
        </w:rPr>
        <w:t>antibiotic</w:t>
      </w:r>
      <w:r>
        <w:rPr>
          <w:spacing w:val="-5"/>
        </w:rPr>
        <w:t> </w:t>
      </w:r>
      <w:r>
        <w:rPr>
          <w:spacing w:val="-2"/>
        </w:rPr>
        <w:t>therapy, elevated</w:t>
      </w:r>
      <w:r>
        <w:rPr>
          <w:spacing w:val="-5"/>
        </w:rPr>
        <w:t> </w:t>
      </w:r>
      <w:r>
        <w:rPr>
          <w:spacing w:val="-2"/>
        </w:rPr>
        <w:t>temperature</w:t>
      </w:r>
      <w:r>
        <w:rPr>
          <w:spacing w:val="-5"/>
        </w:rPr>
        <w:t> </w:t>
      </w:r>
      <w:r>
        <w:rPr>
          <w:spacing w:val="-2"/>
        </w:rPr>
        <w:t>con- </w:t>
      </w:r>
      <w:r>
        <w:rPr/>
        <w:t>tinued</w:t>
      </w:r>
      <w:r>
        <w:rPr>
          <w:spacing w:val="-7"/>
        </w:rPr>
        <w:t> </w:t>
      </w:r>
      <w:r>
        <w:rPr/>
        <w:t>up</w:t>
      </w:r>
      <w:r>
        <w:rPr>
          <w:spacing w:val="-2"/>
        </w:rPr>
        <w:t> </w:t>
      </w:r>
      <w:r>
        <w:rPr/>
        <w:t>to</w:t>
      </w:r>
      <w:r>
        <w:rPr>
          <w:spacing w:val="-2"/>
        </w:rPr>
        <w:t> </w:t>
      </w:r>
      <w:r>
        <w:rPr/>
        <w:t>the</w:t>
      </w:r>
      <w:r>
        <w:rPr>
          <w:spacing w:val="-2"/>
        </w:rPr>
        <w:t> </w:t>
      </w:r>
      <w:r>
        <w:rPr/>
        <w:t>40°C,</w:t>
      </w:r>
      <w:r>
        <w:rPr>
          <w:spacing w:val="-2"/>
        </w:rPr>
        <w:t> </w:t>
      </w:r>
      <w:r>
        <w:rPr/>
        <w:t>and</w:t>
      </w:r>
      <w:r>
        <w:rPr>
          <w:spacing w:val="-2"/>
        </w:rPr>
        <w:t> </w:t>
      </w:r>
      <w:r>
        <w:rPr/>
        <w:t>she</w:t>
      </w:r>
      <w:r>
        <w:rPr>
          <w:spacing w:val="-2"/>
        </w:rPr>
        <w:t> </w:t>
      </w:r>
      <w:r>
        <w:rPr/>
        <w:t>started</w:t>
      </w:r>
      <w:r>
        <w:rPr>
          <w:spacing w:val="-2"/>
        </w:rPr>
        <w:t> </w:t>
      </w:r>
      <w:r>
        <w:rPr/>
        <w:t>to</w:t>
      </w:r>
      <w:r>
        <w:rPr>
          <w:spacing w:val="-2"/>
        </w:rPr>
        <w:t> </w:t>
      </w:r>
      <w:r>
        <w:rPr/>
        <w:t>show</w:t>
      </w:r>
      <w:r>
        <w:rPr>
          <w:spacing w:val="-4"/>
        </w:rPr>
        <w:t> </w:t>
      </w:r>
      <w:r>
        <w:rPr/>
        <w:t>swelling of the lymph node on the left side of her neck as well as erythema of the skin with swelling of the hands and feet (Figure 1).</w:t>
      </w:r>
    </w:p>
    <w:p>
      <w:pPr>
        <w:pStyle w:val="BodyText"/>
        <w:spacing w:before="3"/>
        <w:ind w:left="238" w:right="41"/>
        <w:jc w:val="both"/>
      </w:pPr>
      <w:r>
        <w:rPr/>
        <w:t>The condition was suspected of allergic reaction to antibiotic and the child was admitted to the hospital. Initial physical examination demonstrated an irritable child with a red cracked lips, strawberry tongue and pharyngeal injection with no exudate. The patient had bilateral</w:t>
      </w:r>
      <w:r>
        <w:rPr>
          <w:spacing w:val="-2"/>
        </w:rPr>
        <w:t> </w:t>
      </w:r>
      <w:r>
        <w:rPr/>
        <w:t>hyperemic conjunctivas,</w:t>
      </w:r>
      <w:r>
        <w:rPr>
          <w:spacing w:val="-1"/>
        </w:rPr>
        <w:t> </w:t>
      </w:r>
      <w:r>
        <w:rPr/>
        <w:t>and</w:t>
      </w:r>
      <w:r>
        <w:rPr>
          <w:spacing w:val="-1"/>
        </w:rPr>
        <w:t> </w:t>
      </w:r>
      <w:r>
        <w:rPr/>
        <w:t>enlarged</w:t>
      </w:r>
      <w:r>
        <w:rPr>
          <w:spacing w:val="-1"/>
        </w:rPr>
        <w:t> </w:t>
      </w:r>
      <w:r>
        <w:rPr/>
        <w:t>2x2</w:t>
      </w:r>
      <w:r>
        <w:rPr>
          <w:spacing w:val="-1"/>
        </w:rPr>
        <w:t> </w:t>
      </w:r>
      <w:r>
        <w:rPr/>
        <w:t>cm tender</w:t>
      </w:r>
      <w:r>
        <w:rPr>
          <w:spacing w:val="-4"/>
        </w:rPr>
        <w:t> </w:t>
      </w:r>
      <w:r>
        <w:rPr/>
        <w:t>cervical</w:t>
      </w:r>
      <w:r>
        <w:rPr>
          <w:spacing w:val="-5"/>
        </w:rPr>
        <w:t> </w:t>
      </w:r>
      <w:r>
        <w:rPr/>
        <w:t>lymph</w:t>
      </w:r>
      <w:r>
        <w:rPr>
          <w:spacing w:val="-3"/>
        </w:rPr>
        <w:t> </w:t>
      </w:r>
      <w:r>
        <w:rPr/>
        <w:t>node</w:t>
      </w:r>
      <w:r>
        <w:rPr>
          <w:spacing w:val="-3"/>
        </w:rPr>
        <w:t> </w:t>
      </w:r>
      <w:r>
        <w:rPr/>
        <w:t>on</w:t>
      </w:r>
      <w:r>
        <w:rPr>
          <w:spacing w:val="-3"/>
        </w:rPr>
        <w:t> </w:t>
      </w:r>
      <w:r>
        <w:rPr/>
        <w:t>the</w:t>
      </w:r>
      <w:r>
        <w:rPr>
          <w:spacing w:val="-3"/>
        </w:rPr>
        <w:t> </w:t>
      </w:r>
      <w:r>
        <w:rPr/>
        <w:t>left</w:t>
      </w:r>
      <w:r>
        <w:rPr>
          <w:spacing w:val="-4"/>
        </w:rPr>
        <w:t> </w:t>
      </w:r>
      <w:r>
        <w:rPr/>
        <w:t>side</w:t>
      </w:r>
      <w:r>
        <w:rPr>
          <w:spacing w:val="-3"/>
        </w:rPr>
        <w:t> </w:t>
      </w:r>
      <w:r>
        <w:rPr/>
        <w:t>of</w:t>
      </w:r>
      <w:r>
        <w:rPr>
          <w:spacing w:val="-4"/>
        </w:rPr>
        <w:t> </w:t>
      </w:r>
      <w:r>
        <w:rPr/>
        <w:t>her</w:t>
      </w:r>
      <w:r>
        <w:rPr>
          <w:spacing w:val="-4"/>
        </w:rPr>
        <w:t> </w:t>
      </w:r>
      <w:r>
        <w:rPr/>
        <w:t>neck. She</w:t>
      </w:r>
      <w:r>
        <w:rPr>
          <w:spacing w:val="-14"/>
        </w:rPr>
        <w:t> </w:t>
      </w:r>
      <w:r>
        <w:rPr/>
        <w:t>had</w:t>
      </w:r>
      <w:r>
        <w:rPr>
          <w:spacing w:val="-13"/>
        </w:rPr>
        <w:t> </w:t>
      </w:r>
      <w:r>
        <w:rPr/>
        <w:t>maculopapular</w:t>
      </w:r>
      <w:r>
        <w:rPr>
          <w:spacing w:val="-13"/>
        </w:rPr>
        <w:t> </w:t>
      </w:r>
      <w:r>
        <w:rPr/>
        <w:t>skin</w:t>
      </w:r>
      <w:r>
        <w:rPr>
          <w:spacing w:val="-13"/>
        </w:rPr>
        <w:t> </w:t>
      </w:r>
      <w:r>
        <w:rPr/>
        <w:t>rash</w:t>
      </w:r>
      <w:r>
        <w:rPr>
          <w:spacing w:val="-13"/>
        </w:rPr>
        <w:t> </w:t>
      </w:r>
      <w:r>
        <w:rPr/>
        <w:t>on</w:t>
      </w:r>
      <w:r>
        <w:rPr>
          <w:spacing w:val="-13"/>
        </w:rPr>
        <w:t> </w:t>
      </w:r>
      <w:r>
        <w:rPr/>
        <w:t>the</w:t>
      </w:r>
      <w:r>
        <w:rPr>
          <w:spacing w:val="-13"/>
        </w:rPr>
        <w:t> </w:t>
      </w:r>
      <w:r>
        <w:rPr/>
        <w:t>trunk</w:t>
      </w:r>
      <w:r>
        <w:rPr>
          <w:spacing w:val="-13"/>
        </w:rPr>
        <w:t> </w:t>
      </w:r>
      <w:r>
        <w:rPr/>
        <w:t>and</w:t>
      </w:r>
      <w:r>
        <w:rPr>
          <w:spacing w:val="-14"/>
        </w:rPr>
        <w:t> </w:t>
      </w:r>
      <w:r>
        <w:rPr/>
        <w:t>upper and</w:t>
      </w:r>
      <w:r>
        <w:rPr>
          <w:spacing w:val="-10"/>
        </w:rPr>
        <w:t> </w:t>
      </w:r>
      <w:r>
        <w:rPr/>
        <w:t>lower</w:t>
      </w:r>
      <w:r>
        <w:rPr>
          <w:spacing w:val="-11"/>
        </w:rPr>
        <w:t> </w:t>
      </w:r>
      <w:r>
        <w:rPr/>
        <w:t>extremities</w:t>
      </w:r>
      <w:r>
        <w:rPr>
          <w:spacing w:val="-10"/>
        </w:rPr>
        <w:t> </w:t>
      </w:r>
      <w:r>
        <w:rPr/>
        <w:t>and</w:t>
      </w:r>
      <w:r>
        <w:rPr>
          <w:spacing w:val="-10"/>
        </w:rPr>
        <w:t> </w:t>
      </w:r>
      <w:r>
        <w:rPr/>
        <w:t>edema</w:t>
      </w:r>
      <w:r>
        <w:rPr>
          <w:spacing w:val="-10"/>
        </w:rPr>
        <w:t> </w:t>
      </w:r>
      <w:r>
        <w:rPr/>
        <w:t>of</w:t>
      </w:r>
      <w:r>
        <w:rPr>
          <w:spacing w:val="-11"/>
        </w:rPr>
        <w:t> </w:t>
      </w:r>
      <w:r>
        <w:rPr/>
        <w:t>hands</w:t>
      </w:r>
      <w:r>
        <w:rPr>
          <w:spacing w:val="-10"/>
        </w:rPr>
        <w:t> </w:t>
      </w:r>
      <w:r>
        <w:rPr/>
        <w:t>and</w:t>
      </w:r>
      <w:r>
        <w:rPr>
          <w:spacing w:val="-10"/>
        </w:rPr>
        <w:t> </w:t>
      </w:r>
      <w:r>
        <w:rPr/>
        <w:t>feet.</w:t>
      </w:r>
      <w:r>
        <w:rPr>
          <w:spacing w:val="-10"/>
        </w:rPr>
        <w:t> </w:t>
      </w:r>
      <w:r>
        <w:rPr/>
        <w:t>She was tachycardic with pulse 150 /min. Her immunoglo- bulin G (IgG) level was 2 g/l which is below normal range for the age; IgA and IgM levels were normal.</w:t>
      </w:r>
    </w:p>
    <w:p>
      <w:pPr>
        <w:spacing w:line="240" w:lineRule="auto" w:before="2" w:after="25"/>
        <w:rPr>
          <w:sz w:val="6"/>
        </w:rPr>
      </w:pPr>
      <w:r>
        <w:rPr/>
        <w:br w:type="column"/>
      </w:r>
      <w:r>
        <w:rPr>
          <w:sz w:val="6"/>
        </w:rPr>
      </w:r>
    </w:p>
    <w:p>
      <w:pPr>
        <w:pStyle w:val="BodyText"/>
        <w:ind w:left="352"/>
        <w:rPr>
          <w:sz w:val="20"/>
        </w:rPr>
      </w:pPr>
      <w:r>
        <w:rPr>
          <w:sz w:val="20"/>
        </w:rPr>
        <w:drawing>
          <wp:inline distT="0" distB="0" distL="0" distR="0">
            <wp:extent cx="2765663" cy="2388870"/>
            <wp:effectExtent l="0" t="0" r="0" b="0"/>
            <wp:docPr id="19" name="image452.jpeg"/>
            <wp:cNvGraphicFramePr>
              <a:graphicFrameLocks noChangeAspect="1"/>
            </wp:cNvGraphicFramePr>
            <a:graphic>
              <a:graphicData uri="http://schemas.openxmlformats.org/drawingml/2006/picture">
                <pic:pic>
                  <pic:nvPicPr>
                    <pic:cNvPr id="20" name="image452.jpeg"/>
                    <pic:cNvPicPr/>
                  </pic:nvPicPr>
                  <pic:blipFill>
                    <a:blip r:embed="rId520" cstate="print"/>
                    <a:stretch>
                      <a:fillRect/>
                    </a:stretch>
                  </pic:blipFill>
                  <pic:spPr>
                    <a:xfrm>
                      <a:off x="0" y="0"/>
                      <a:ext cx="2765663" cy="2388870"/>
                    </a:xfrm>
                    <a:prstGeom prst="rect">
                      <a:avLst/>
                    </a:prstGeom>
                  </pic:spPr>
                </pic:pic>
              </a:graphicData>
            </a:graphic>
          </wp:inline>
        </w:drawing>
      </w:r>
      <w:r>
        <w:rPr>
          <w:sz w:val="20"/>
        </w:rPr>
      </w:r>
    </w:p>
    <w:p>
      <w:pPr>
        <w:spacing w:before="38"/>
        <w:ind w:left="329" w:right="294" w:firstLine="0"/>
        <w:jc w:val="left"/>
        <w:rPr>
          <w:sz w:val="18"/>
        </w:rPr>
      </w:pPr>
      <w:r>
        <w:rPr>
          <w:b/>
          <w:sz w:val="18"/>
        </w:rPr>
        <w:t>Fig.</w:t>
      </w:r>
      <w:r>
        <w:rPr>
          <w:b/>
          <w:spacing w:val="-4"/>
          <w:sz w:val="18"/>
        </w:rPr>
        <w:t> </w:t>
      </w:r>
      <w:r>
        <w:rPr>
          <w:b/>
          <w:sz w:val="18"/>
        </w:rPr>
        <w:t>1.</w:t>
      </w:r>
      <w:r>
        <w:rPr>
          <w:b/>
          <w:spacing w:val="-2"/>
          <w:sz w:val="18"/>
        </w:rPr>
        <w:t> </w:t>
      </w:r>
      <w:r>
        <w:rPr>
          <w:sz w:val="18"/>
        </w:rPr>
        <w:t>Kawasaki</w:t>
      </w:r>
      <w:r>
        <w:rPr>
          <w:spacing w:val="-4"/>
          <w:sz w:val="18"/>
        </w:rPr>
        <w:t> </w:t>
      </w:r>
      <w:r>
        <w:rPr>
          <w:sz w:val="18"/>
        </w:rPr>
        <w:t>disease:</w:t>
      </w:r>
      <w:r>
        <w:rPr>
          <w:spacing w:val="-4"/>
          <w:sz w:val="18"/>
        </w:rPr>
        <w:t> </w:t>
      </w:r>
      <w:r>
        <w:rPr>
          <w:sz w:val="18"/>
        </w:rPr>
        <w:t>skin</w:t>
      </w:r>
      <w:r>
        <w:rPr>
          <w:spacing w:val="-2"/>
          <w:sz w:val="18"/>
        </w:rPr>
        <w:t> </w:t>
      </w:r>
      <w:r>
        <w:rPr>
          <w:sz w:val="18"/>
        </w:rPr>
        <w:t>rash</w:t>
      </w:r>
      <w:r>
        <w:rPr>
          <w:spacing w:val="-4"/>
          <w:sz w:val="18"/>
        </w:rPr>
        <w:t> </w:t>
      </w:r>
      <w:r>
        <w:rPr>
          <w:sz w:val="18"/>
        </w:rPr>
        <w:t>and</w:t>
      </w:r>
      <w:r>
        <w:rPr>
          <w:spacing w:val="-3"/>
          <w:sz w:val="18"/>
        </w:rPr>
        <w:t> </w:t>
      </w:r>
      <w:r>
        <w:rPr>
          <w:sz w:val="18"/>
        </w:rPr>
        <w:t>swelling</w:t>
      </w:r>
      <w:r>
        <w:rPr>
          <w:spacing w:val="-5"/>
          <w:sz w:val="18"/>
        </w:rPr>
        <w:t> </w:t>
      </w:r>
      <w:r>
        <w:rPr>
          <w:sz w:val="18"/>
        </w:rPr>
        <w:t>of</w:t>
      </w:r>
      <w:r>
        <w:rPr>
          <w:spacing w:val="-6"/>
          <w:sz w:val="18"/>
        </w:rPr>
        <w:t> </w:t>
      </w:r>
      <w:r>
        <w:rPr>
          <w:sz w:val="18"/>
        </w:rPr>
        <w:t>the</w:t>
      </w:r>
      <w:r>
        <w:rPr>
          <w:spacing w:val="-5"/>
          <w:sz w:val="18"/>
        </w:rPr>
        <w:t> </w:t>
      </w:r>
      <w:r>
        <w:rPr>
          <w:sz w:val="18"/>
        </w:rPr>
        <w:t>hand and feet</w:t>
      </w:r>
    </w:p>
    <w:p>
      <w:pPr>
        <w:pStyle w:val="BodyText"/>
        <w:spacing w:before="7"/>
        <w:rPr>
          <w:sz w:val="20"/>
        </w:rPr>
      </w:pPr>
    </w:p>
    <w:p>
      <w:pPr>
        <w:pStyle w:val="BodyText"/>
        <w:ind w:left="238" w:right="290"/>
        <w:jc w:val="both"/>
      </w:pPr>
      <w:r>
        <w:rPr/>
        <w:t>The white blood</w:t>
      </w:r>
      <w:r>
        <w:rPr>
          <w:spacing w:val="-1"/>
        </w:rPr>
        <w:t> </w:t>
      </w:r>
      <w:r>
        <w:rPr/>
        <w:t>count was</w:t>
      </w:r>
      <w:r>
        <w:rPr>
          <w:spacing w:val="-2"/>
        </w:rPr>
        <w:t> </w:t>
      </w:r>
      <w:r>
        <w:rPr/>
        <w:t>14,000/mm</w:t>
      </w:r>
      <w:r>
        <w:rPr>
          <w:position w:val="7"/>
          <w:sz w:val="14"/>
        </w:rPr>
        <w:t>3</w:t>
      </w:r>
      <w:r>
        <w:rPr/>
        <w:t>, platelet count was 300,000/mm</w:t>
      </w:r>
      <w:r>
        <w:rPr>
          <w:position w:val="7"/>
          <w:sz w:val="14"/>
        </w:rPr>
        <w:t>3</w:t>
      </w:r>
      <w:r>
        <w:rPr/>
        <w:t>, and C-reactive protein (CRP) was 75 mg/L. During the next 3 days the child received fluids, antibiotics and antihistamines, but the erythema became more prominent as well as the swelling of the hands and feet. Temperature continued to be high and reached above 39.5°C. Platelet count rose and reached 550,000/mm</w:t>
      </w:r>
      <w:r>
        <w:rPr>
          <w:position w:val="7"/>
          <w:sz w:val="14"/>
        </w:rPr>
        <w:t>3</w:t>
      </w:r>
      <w:r>
        <w:rPr>
          <w:spacing w:val="40"/>
          <w:position w:val="7"/>
          <w:sz w:val="14"/>
        </w:rPr>
        <w:t> </w:t>
      </w:r>
      <w:r>
        <w:rPr/>
        <w:t>and there was elevation of CRP up to 145 mg/L. Cardiac ultrasonography did not identify aneurysm in the coronary artery. Kawasaki syndrome was diagnosed, and the patient was started on high doses of intravenous gamma globulins (IVIG), 2 g/kg divided in equal doses for 4 consecutive days, and as- pirin 80 mg/kg/day in four equal doses. Twenty-four </w:t>
      </w:r>
      <w:r>
        <w:rPr>
          <w:spacing w:val="-2"/>
        </w:rPr>
        <w:t>hours</w:t>
      </w:r>
      <w:r>
        <w:rPr>
          <w:spacing w:val="-7"/>
        </w:rPr>
        <w:t> </w:t>
      </w:r>
      <w:r>
        <w:rPr>
          <w:spacing w:val="-2"/>
        </w:rPr>
        <w:t>later,</w:t>
      </w:r>
      <w:r>
        <w:rPr>
          <w:spacing w:val="-8"/>
        </w:rPr>
        <w:t> </w:t>
      </w:r>
      <w:r>
        <w:rPr>
          <w:spacing w:val="-2"/>
        </w:rPr>
        <w:t>she</w:t>
      </w:r>
      <w:r>
        <w:rPr>
          <w:spacing w:val="-7"/>
        </w:rPr>
        <w:t> </w:t>
      </w:r>
      <w:r>
        <w:rPr>
          <w:spacing w:val="-2"/>
        </w:rPr>
        <w:t>was</w:t>
      </w:r>
      <w:r>
        <w:rPr>
          <w:spacing w:val="-7"/>
        </w:rPr>
        <w:t> </w:t>
      </w:r>
      <w:r>
        <w:rPr>
          <w:spacing w:val="-2"/>
        </w:rPr>
        <w:t>afebrile</w:t>
      </w:r>
      <w:r>
        <w:rPr>
          <w:spacing w:val="-7"/>
        </w:rPr>
        <w:t> </w:t>
      </w:r>
      <w:r>
        <w:rPr>
          <w:spacing w:val="-2"/>
        </w:rPr>
        <w:t>while</w:t>
      </w:r>
      <w:r>
        <w:rPr>
          <w:spacing w:val="-7"/>
        </w:rPr>
        <w:t> </w:t>
      </w:r>
      <w:r>
        <w:rPr>
          <w:spacing w:val="-2"/>
        </w:rPr>
        <w:t>swelling</w:t>
      </w:r>
      <w:r>
        <w:rPr>
          <w:spacing w:val="-7"/>
        </w:rPr>
        <w:t> </w:t>
      </w:r>
      <w:r>
        <w:rPr>
          <w:spacing w:val="-2"/>
        </w:rPr>
        <w:t>of</w:t>
      </w:r>
      <w:r>
        <w:rPr>
          <w:spacing w:val="-7"/>
        </w:rPr>
        <w:t> </w:t>
      </w:r>
      <w:r>
        <w:rPr>
          <w:spacing w:val="-2"/>
        </w:rPr>
        <w:t>the</w:t>
      </w:r>
      <w:r>
        <w:rPr>
          <w:spacing w:val="-7"/>
        </w:rPr>
        <w:t> </w:t>
      </w:r>
      <w:r>
        <w:rPr>
          <w:spacing w:val="-2"/>
        </w:rPr>
        <w:t>lymph </w:t>
      </w:r>
      <w:r>
        <w:rPr/>
        <w:t>node, palms and feet as well as skin rash disappeared</w:t>
      </w:r>
    </w:p>
    <w:p>
      <w:pPr>
        <w:pStyle w:val="BodyText"/>
        <w:spacing w:before="6"/>
        <w:rPr>
          <w:sz w:val="18"/>
        </w:rPr>
      </w:pPr>
      <w:r>
        <w:rPr/>
        <w:drawing>
          <wp:anchor distT="0" distB="0" distL="0" distR="0" allowOverlap="1" layoutInCell="1" locked="0" behindDoc="0" simplePos="0" relativeHeight="51">
            <wp:simplePos x="0" y="0"/>
            <wp:positionH relativeFrom="page">
              <wp:posOffset>3917950</wp:posOffset>
            </wp:positionH>
            <wp:positionV relativeFrom="paragraph">
              <wp:posOffset>150483</wp:posOffset>
            </wp:positionV>
            <wp:extent cx="2908041" cy="2208276"/>
            <wp:effectExtent l="0" t="0" r="0" b="0"/>
            <wp:wrapTopAndBottom/>
            <wp:docPr id="21" name="image453.jpeg"/>
            <wp:cNvGraphicFramePr>
              <a:graphicFrameLocks noChangeAspect="1"/>
            </wp:cNvGraphicFramePr>
            <a:graphic>
              <a:graphicData uri="http://schemas.openxmlformats.org/drawingml/2006/picture">
                <pic:pic>
                  <pic:nvPicPr>
                    <pic:cNvPr id="22" name="image453.jpeg"/>
                    <pic:cNvPicPr/>
                  </pic:nvPicPr>
                  <pic:blipFill>
                    <a:blip r:embed="rId521" cstate="print"/>
                    <a:stretch>
                      <a:fillRect/>
                    </a:stretch>
                  </pic:blipFill>
                  <pic:spPr>
                    <a:xfrm>
                      <a:off x="0" y="0"/>
                      <a:ext cx="2908041" cy="2208276"/>
                    </a:xfrm>
                    <a:prstGeom prst="rect">
                      <a:avLst/>
                    </a:prstGeom>
                  </pic:spPr>
                </pic:pic>
              </a:graphicData>
            </a:graphic>
          </wp:anchor>
        </w:drawing>
      </w:r>
    </w:p>
    <w:p>
      <w:pPr>
        <w:spacing w:before="0"/>
        <w:ind w:left="238" w:right="0" w:firstLine="0"/>
        <w:jc w:val="both"/>
        <w:rPr>
          <w:sz w:val="18"/>
        </w:rPr>
      </w:pPr>
      <w:r>
        <w:rPr>
          <w:b/>
          <w:sz w:val="18"/>
        </w:rPr>
        <w:t>Fig.</w:t>
      </w:r>
      <w:r>
        <w:rPr>
          <w:b/>
          <w:spacing w:val="-4"/>
          <w:sz w:val="18"/>
        </w:rPr>
        <w:t> </w:t>
      </w:r>
      <w:r>
        <w:rPr>
          <w:b/>
          <w:sz w:val="18"/>
        </w:rPr>
        <w:t>2.</w:t>
      </w:r>
      <w:r>
        <w:rPr>
          <w:b/>
          <w:spacing w:val="-1"/>
          <w:sz w:val="18"/>
        </w:rPr>
        <w:t> </w:t>
      </w:r>
      <w:r>
        <w:rPr>
          <w:sz w:val="18"/>
        </w:rPr>
        <w:t>Kawasaki</w:t>
      </w:r>
      <w:r>
        <w:rPr>
          <w:spacing w:val="-1"/>
          <w:sz w:val="18"/>
        </w:rPr>
        <w:t> </w:t>
      </w:r>
      <w:r>
        <w:rPr>
          <w:sz w:val="18"/>
        </w:rPr>
        <w:t>disease:</w:t>
      </w:r>
      <w:r>
        <w:rPr>
          <w:spacing w:val="-2"/>
          <w:sz w:val="18"/>
        </w:rPr>
        <w:t> </w:t>
      </w:r>
      <w:r>
        <w:rPr>
          <w:sz w:val="18"/>
        </w:rPr>
        <w:t>desquamation of</w:t>
      </w:r>
      <w:r>
        <w:rPr>
          <w:spacing w:val="-4"/>
          <w:sz w:val="18"/>
        </w:rPr>
        <w:t> </w:t>
      </w:r>
      <w:r>
        <w:rPr>
          <w:sz w:val="18"/>
        </w:rPr>
        <w:t>the</w:t>
      </w:r>
      <w:r>
        <w:rPr>
          <w:spacing w:val="-2"/>
          <w:sz w:val="18"/>
        </w:rPr>
        <w:t> fingers</w:t>
      </w:r>
    </w:p>
    <w:p>
      <w:pPr>
        <w:pStyle w:val="BodyText"/>
        <w:spacing w:before="7"/>
        <w:rPr>
          <w:sz w:val="19"/>
        </w:rPr>
      </w:pPr>
    </w:p>
    <w:p>
      <w:pPr>
        <w:pStyle w:val="BodyText"/>
        <w:ind w:left="238" w:right="290"/>
        <w:jc w:val="both"/>
      </w:pPr>
      <w:r>
        <w:rPr/>
        <w:t>in the following week. After 10 days, aspirin was re- duced to 5 mg/kg/day and was given for the next 2 months.</w:t>
      </w:r>
      <w:r>
        <w:rPr>
          <w:spacing w:val="-2"/>
        </w:rPr>
        <w:t> </w:t>
      </w:r>
      <w:r>
        <w:rPr/>
        <w:t>Two</w:t>
      </w:r>
      <w:r>
        <w:rPr>
          <w:spacing w:val="-1"/>
        </w:rPr>
        <w:t> </w:t>
      </w:r>
      <w:r>
        <w:rPr/>
        <w:t>weeks</w:t>
      </w:r>
      <w:r>
        <w:rPr>
          <w:spacing w:val="-2"/>
        </w:rPr>
        <w:t> </w:t>
      </w:r>
      <w:r>
        <w:rPr/>
        <w:t>after</w:t>
      </w:r>
      <w:r>
        <w:rPr>
          <w:spacing w:val="-2"/>
        </w:rPr>
        <w:t> </w:t>
      </w:r>
      <w:r>
        <w:rPr/>
        <w:t>beginning</w:t>
      </w:r>
      <w:r>
        <w:rPr>
          <w:spacing w:val="-1"/>
        </w:rPr>
        <w:t> </w:t>
      </w:r>
      <w:r>
        <w:rPr/>
        <w:t>of</w:t>
      </w:r>
      <w:r>
        <w:rPr>
          <w:spacing w:val="-2"/>
        </w:rPr>
        <w:t> </w:t>
      </w:r>
      <w:r>
        <w:rPr/>
        <w:t>the</w:t>
      </w:r>
      <w:r>
        <w:rPr>
          <w:spacing w:val="-1"/>
        </w:rPr>
        <w:t> </w:t>
      </w:r>
      <w:r>
        <w:rPr/>
        <w:t>disease</w:t>
      </w:r>
      <w:r>
        <w:rPr>
          <w:spacing w:val="-1"/>
        </w:rPr>
        <w:t> </w:t>
      </w:r>
      <w:r>
        <w:rPr/>
        <w:t>des- quamation of the palms and feet started (Figure 2). On the</w:t>
      </w:r>
      <w:r>
        <w:rPr>
          <w:spacing w:val="50"/>
        </w:rPr>
        <w:t> </w:t>
      </w:r>
      <w:r>
        <w:rPr/>
        <w:t>20th</w:t>
      </w:r>
      <w:r>
        <w:rPr>
          <w:spacing w:val="50"/>
        </w:rPr>
        <w:t> </w:t>
      </w:r>
      <w:r>
        <w:rPr/>
        <w:t>hospital</w:t>
      </w:r>
      <w:r>
        <w:rPr>
          <w:spacing w:val="49"/>
        </w:rPr>
        <w:t> </w:t>
      </w:r>
      <w:r>
        <w:rPr/>
        <w:t>day,</w:t>
      </w:r>
      <w:r>
        <w:rPr>
          <w:spacing w:val="51"/>
        </w:rPr>
        <w:t> </w:t>
      </w:r>
      <w:r>
        <w:rPr/>
        <w:t>she</w:t>
      </w:r>
      <w:r>
        <w:rPr>
          <w:spacing w:val="52"/>
        </w:rPr>
        <w:t> </w:t>
      </w:r>
      <w:r>
        <w:rPr/>
        <w:t>was</w:t>
      </w:r>
      <w:r>
        <w:rPr>
          <w:spacing w:val="50"/>
        </w:rPr>
        <w:t> </w:t>
      </w:r>
      <w:r>
        <w:rPr/>
        <w:t>discharged.</w:t>
      </w:r>
      <w:r>
        <w:rPr>
          <w:spacing w:val="49"/>
        </w:rPr>
        <w:t> </w:t>
      </w:r>
      <w:r>
        <w:rPr>
          <w:spacing w:val="-2"/>
        </w:rPr>
        <w:t>Regular</w:t>
      </w:r>
    </w:p>
    <w:p>
      <w:pPr>
        <w:spacing w:after="0"/>
        <w:jc w:val="both"/>
        <w:sectPr>
          <w:type w:val="continuous"/>
          <w:pgSz w:w="11910" w:h="16840"/>
          <w:pgMar w:header="0" w:footer="0" w:top="740" w:bottom="0" w:left="900" w:right="840"/>
          <w:cols w:num="2" w:equalWidth="0">
            <w:col w:w="4921" w:space="76"/>
            <w:col w:w="5173"/>
          </w:cols>
        </w:sectPr>
      </w:pPr>
    </w:p>
    <w:p>
      <w:pPr>
        <w:spacing w:line="208" w:lineRule="exact" w:before="71"/>
        <w:ind w:left="0" w:right="293" w:firstLine="0"/>
        <w:jc w:val="right"/>
        <w:rPr>
          <w:sz w:val="20"/>
        </w:rPr>
      </w:pPr>
      <w:r>
        <w:rPr>
          <w:spacing w:val="-5"/>
          <w:sz w:val="20"/>
        </w:rPr>
        <w:t>36</w:t>
      </w:r>
    </w:p>
    <w:p>
      <w:pPr>
        <w:spacing w:line="162" w:lineRule="exact" w:before="0"/>
        <w:ind w:left="238" w:right="0" w:firstLine="0"/>
        <w:jc w:val="left"/>
        <w:rPr>
          <w:rFonts w:ascii="Arial"/>
          <w:sz w:val="16"/>
        </w:rPr>
      </w:pPr>
      <w:r>
        <w:rPr>
          <w:rFonts w:ascii="Arial"/>
          <w:color w:val="808080"/>
          <w:sz w:val="16"/>
        </w:rPr>
        <w:t>Kareva</w:t>
      </w:r>
      <w:r>
        <w:rPr>
          <w:rFonts w:ascii="Arial"/>
          <w:color w:val="808080"/>
          <w:spacing w:val="-3"/>
          <w:sz w:val="16"/>
        </w:rPr>
        <w:t> </w:t>
      </w:r>
      <w:r>
        <w:rPr>
          <w:rFonts w:ascii="Arial"/>
          <w:color w:val="808080"/>
          <w:sz w:val="16"/>
        </w:rPr>
        <w:t>L.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p>
      <w:pPr>
        <w:pStyle w:val="BodyText"/>
        <w:spacing w:before="11"/>
        <w:rPr>
          <w:rFonts w:ascii="Arial"/>
          <w:sz w:val="3"/>
        </w:rPr>
      </w:pPr>
      <w:r>
        <w:rPr/>
        <w:pict>
          <v:rect style="position:absolute;margin-left:55.439999pt;margin-top:3.498748pt;width:484.68pt;height:.48pt;mso-position-horizontal-relative:page;mso-position-vertical-relative:paragraph;z-index:-15702016;mso-wrap-distance-left:0;mso-wrap-distance-right:0" id="docshape584" filled="true" fillcolor="#000000" stroked="false">
            <v:fill type="solid"/>
            <w10:wrap type="topAndBottom"/>
          </v:rect>
        </w:pict>
      </w:r>
    </w:p>
    <w:p>
      <w:pPr>
        <w:pStyle w:val="BodyText"/>
        <w:spacing w:before="5"/>
        <w:rPr>
          <w:rFonts w:ascii="Arial"/>
          <w:sz w:val="15"/>
        </w:rPr>
      </w:pPr>
    </w:p>
    <w:p>
      <w:pPr>
        <w:spacing w:after="0"/>
        <w:rPr>
          <w:rFonts w:ascii="Arial"/>
          <w:sz w:val="15"/>
        </w:rPr>
        <w:sectPr>
          <w:headerReference w:type="even" r:id="rId522"/>
          <w:pgSz w:w="11910" w:h="16840"/>
          <w:pgMar w:header="0" w:footer="0" w:top="760" w:bottom="280" w:left="900" w:right="840"/>
        </w:sectPr>
      </w:pPr>
    </w:p>
    <w:p>
      <w:pPr>
        <w:pStyle w:val="BodyText"/>
        <w:spacing w:before="92"/>
        <w:ind w:left="238" w:right="42"/>
        <w:jc w:val="both"/>
      </w:pPr>
      <w:r>
        <w:rPr/>
        <w:t>laboratory controls were performed every month for the next 6 months together with cardiac ultrasonogra- phy which showed no signs of coronary aneurysm. During the follow-up period she did not have infec- tions and at the final control after 1 year her immuno- globulin level was within normal range for the age.</w:t>
      </w:r>
    </w:p>
    <w:p>
      <w:pPr>
        <w:pStyle w:val="BodyText"/>
        <w:spacing w:before="4"/>
      </w:pPr>
    </w:p>
    <w:p>
      <w:pPr>
        <w:pStyle w:val="Heading4"/>
      </w:pPr>
      <w:r>
        <w:rPr>
          <w:spacing w:val="-2"/>
        </w:rPr>
        <w:t>Discussion</w:t>
      </w:r>
    </w:p>
    <w:p>
      <w:pPr>
        <w:pStyle w:val="BodyText"/>
        <w:spacing w:before="9"/>
        <w:rPr>
          <w:b/>
          <w:sz w:val="20"/>
        </w:rPr>
      </w:pPr>
    </w:p>
    <w:p>
      <w:pPr>
        <w:pStyle w:val="BodyText"/>
        <w:ind w:left="238" w:right="38"/>
        <w:jc w:val="both"/>
      </w:pPr>
      <w:r>
        <w:rPr/>
        <w:t>A 2.5-year-old girl with THI who had complete KD without coronary artery aneurysm development is pre- sented to emphasize the occurrence of KD in immune deficiency situations. Previously incomplete KD was reported in a 4-year-old boy with THI (8). He was diagnosed with THI at the age of 12 months and his clinical</w:t>
      </w:r>
      <w:r>
        <w:rPr>
          <w:spacing w:val="-5"/>
        </w:rPr>
        <w:t> </w:t>
      </w:r>
      <w:r>
        <w:rPr/>
        <w:t>presentation</w:t>
      </w:r>
      <w:r>
        <w:rPr>
          <w:spacing w:val="-3"/>
        </w:rPr>
        <w:t> </w:t>
      </w:r>
      <w:r>
        <w:rPr/>
        <w:t>was</w:t>
      </w:r>
      <w:r>
        <w:rPr>
          <w:spacing w:val="-4"/>
        </w:rPr>
        <w:t> </w:t>
      </w:r>
      <w:r>
        <w:rPr/>
        <w:t>for</w:t>
      </w:r>
      <w:r>
        <w:rPr>
          <w:spacing w:val="-6"/>
        </w:rPr>
        <w:t> </w:t>
      </w:r>
      <w:r>
        <w:rPr/>
        <w:t>incomplete</w:t>
      </w:r>
      <w:r>
        <w:rPr>
          <w:spacing w:val="-1"/>
        </w:rPr>
        <w:t> </w:t>
      </w:r>
      <w:r>
        <w:rPr/>
        <w:t>KD</w:t>
      </w:r>
      <w:r>
        <w:rPr>
          <w:spacing w:val="-2"/>
        </w:rPr>
        <w:t> </w:t>
      </w:r>
      <w:r>
        <w:rPr/>
        <w:t>with</w:t>
      </w:r>
      <w:r>
        <w:rPr>
          <w:spacing w:val="-3"/>
        </w:rPr>
        <w:t> </w:t>
      </w:r>
      <w:r>
        <w:rPr/>
        <w:t>fever more than 5 days and 3 of 5 criteria fulfilled, without developing CAA. Authors discuss incomplete KD in THI as a possible result of the incomplete immune response due to hypogammaglobulinemia, which may result in less antibody response involved in pathogen- nesis of KD and end up with delay in diagnosis and therefore treatment. Our patient developed complete form of KD, and we assume that more patients with</w:t>
      </w:r>
      <w:r>
        <w:rPr>
          <w:spacing w:val="40"/>
        </w:rPr>
        <w:t> </w:t>
      </w:r>
      <w:r>
        <w:rPr/>
        <w:t>the same condition of the disease should be described in order to draw conclusions about the pathophysiolo- gical</w:t>
      </w:r>
      <w:r>
        <w:rPr>
          <w:spacing w:val="-4"/>
        </w:rPr>
        <w:t> </w:t>
      </w:r>
      <w:r>
        <w:rPr/>
        <w:t>mechanisms</w:t>
      </w:r>
      <w:r>
        <w:rPr>
          <w:spacing w:val="-11"/>
        </w:rPr>
        <w:t> </w:t>
      </w:r>
      <w:r>
        <w:rPr/>
        <w:t>in</w:t>
      </w:r>
      <w:r>
        <w:rPr>
          <w:spacing w:val="-9"/>
        </w:rPr>
        <w:t> </w:t>
      </w:r>
      <w:r>
        <w:rPr/>
        <w:t>KD</w:t>
      </w:r>
      <w:r>
        <w:rPr>
          <w:spacing w:val="-8"/>
        </w:rPr>
        <w:t> </w:t>
      </w:r>
      <w:r>
        <w:rPr/>
        <w:t>and</w:t>
      </w:r>
      <w:r>
        <w:rPr>
          <w:spacing w:val="-9"/>
        </w:rPr>
        <w:t> </w:t>
      </w:r>
      <w:r>
        <w:rPr/>
        <w:t>THI.</w:t>
      </w:r>
      <w:r>
        <w:rPr>
          <w:spacing w:val="-9"/>
        </w:rPr>
        <w:t> </w:t>
      </w:r>
      <w:r>
        <w:rPr/>
        <w:t>In</w:t>
      </w:r>
      <w:r>
        <w:rPr>
          <w:spacing w:val="-11"/>
        </w:rPr>
        <w:t> </w:t>
      </w:r>
      <w:r>
        <w:rPr/>
        <w:t>our</w:t>
      </w:r>
      <w:r>
        <w:rPr>
          <w:spacing w:val="-11"/>
        </w:rPr>
        <w:t> </w:t>
      </w:r>
      <w:r>
        <w:rPr/>
        <w:t>case,</w:t>
      </w:r>
      <w:r>
        <w:rPr>
          <w:spacing w:val="-9"/>
        </w:rPr>
        <w:t> </w:t>
      </w:r>
      <w:r>
        <w:rPr/>
        <w:t>the</w:t>
      </w:r>
      <w:r>
        <w:rPr>
          <w:spacing w:val="-9"/>
        </w:rPr>
        <w:t> </w:t>
      </w:r>
      <w:r>
        <w:rPr/>
        <w:t>child ceased</w:t>
      </w:r>
      <w:r>
        <w:rPr>
          <w:spacing w:val="-4"/>
        </w:rPr>
        <w:t> </w:t>
      </w:r>
      <w:r>
        <w:rPr/>
        <w:t>to</w:t>
      </w:r>
      <w:r>
        <w:rPr>
          <w:spacing w:val="-4"/>
        </w:rPr>
        <w:t> </w:t>
      </w:r>
      <w:r>
        <w:rPr/>
        <w:t>have</w:t>
      </w:r>
      <w:r>
        <w:rPr>
          <w:spacing w:val="-4"/>
        </w:rPr>
        <w:t> </w:t>
      </w:r>
      <w:r>
        <w:rPr/>
        <w:t>recurrent</w:t>
      </w:r>
      <w:r>
        <w:rPr>
          <w:spacing w:val="-5"/>
        </w:rPr>
        <w:t> </w:t>
      </w:r>
      <w:r>
        <w:rPr/>
        <w:t>respiratory</w:t>
      </w:r>
      <w:r>
        <w:rPr>
          <w:spacing w:val="-9"/>
        </w:rPr>
        <w:t> </w:t>
      </w:r>
      <w:r>
        <w:rPr/>
        <w:t>infections</w:t>
      </w:r>
      <w:r>
        <w:rPr>
          <w:spacing w:val="-4"/>
        </w:rPr>
        <w:t> </w:t>
      </w:r>
      <w:r>
        <w:rPr/>
        <w:t>during</w:t>
      </w:r>
      <w:r>
        <w:rPr>
          <w:spacing w:val="-4"/>
        </w:rPr>
        <w:t> </w:t>
      </w:r>
      <w:r>
        <w:rPr/>
        <w:t>6 months follow-up as a result of high IVIG doses. Her illness was without cardiovascular complications due to early complete presentation of KD and early admi- nistration</w:t>
      </w:r>
      <w:r>
        <w:rPr>
          <w:spacing w:val="-14"/>
        </w:rPr>
        <w:t> </w:t>
      </w:r>
      <w:r>
        <w:rPr/>
        <w:t>of</w:t>
      </w:r>
      <w:r>
        <w:rPr>
          <w:spacing w:val="-13"/>
        </w:rPr>
        <w:t> </w:t>
      </w:r>
      <w:r>
        <w:rPr/>
        <w:t>IVIG.</w:t>
      </w:r>
      <w:r>
        <w:rPr>
          <w:spacing w:val="-13"/>
        </w:rPr>
        <w:t> </w:t>
      </w:r>
      <w:r>
        <w:rPr/>
        <w:t>The</w:t>
      </w:r>
      <w:r>
        <w:rPr>
          <w:spacing w:val="-13"/>
        </w:rPr>
        <w:t> </w:t>
      </w:r>
      <w:r>
        <w:rPr/>
        <w:t>presence</w:t>
      </w:r>
      <w:r>
        <w:rPr>
          <w:spacing w:val="-13"/>
        </w:rPr>
        <w:t> </w:t>
      </w:r>
      <w:r>
        <w:rPr/>
        <w:t>of</w:t>
      </w:r>
      <w:r>
        <w:rPr>
          <w:spacing w:val="-13"/>
        </w:rPr>
        <w:t> </w:t>
      </w:r>
      <w:r>
        <w:rPr/>
        <w:t>KD</w:t>
      </w:r>
      <w:r>
        <w:rPr>
          <w:spacing w:val="-13"/>
        </w:rPr>
        <w:t> </w:t>
      </w:r>
      <w:r>
        <w:rPr/>
        <w:t>in</w:t>
      </w:r>
      <w:r>
        <w:rPr>
          <w:spacing w:val="-13"/>
        </w:rPr>
        <w:t> </w:t>
      </w:r>
      <w:r>
        <w:rPr/>
        <w:t>other</w:t>
      </w:r>
      <w:r>
        <w:rPr>
          <w:spacing w:val="-14"/>
        </w:rPr>
        <w:t> </w:t>
      </w:r>
      <w:r>
        <w:rPr/>
        <w:t>patients with primary and secondary immunodeficiency where also described. Majority of the cases with KD and pri- mary immunodeficiency were those with chronic gra- </w:t>
      </w:r>
      <w:r>
        <w:rPr>
          <w:spacing w:val="-2"/>
        </w:rPr>
        <w:t>nulomatous</w:t>
      </w:r>
      <w:r>
        <w:rPr>
          <w:spacing w:val="-12"/>
        </w:rPr>
        <w:t> </w:t>
      </w:r>
      <w:r>
        <w:rPr>
          <w:spacing w:val="-2"/>
        </w:rPr>
        <w:t>disease</w:t>
      </w:r>
      <w:r>
        <w:rPr>
          <w:spacing w:val="-11"/>
        </w:rPr>
        <w:t> </w:t>
      </w:r>
      <w:r>
        <w:rPr>
          <w:spacing w:val="-2"/>
        </w:rPr>
        <w:t>(CGD).</w:t>
      </w:r>
      <w:r>
        <w:rPr>
          <w:spacing w:val="-11"/>
        </w:rPr>
        <w:t> </w:t>
      </w:r>
      <w:r>
        <w:rPr>
          <w:spacing w:val="-2"/>
        </w:rPr>
        <w:t>The</w:t>
      </w:r>
      <w:r>
        <w:rPr>
          <w:spacing w:val="-11"/>
        </w:rPr>
        <w:t> </w:t>
      </w:r>
      <w:r>
        <w:rPr>
          <w:spacing w:val="-2"/>
        </w:rPr>
        <w:t>case</w:t>
      </w:r>
      <w:r>
        <w:rPr>
          <w:spacing w:val="-11"/>
        </w:rPr>
        <w:t> </w:t>
      </w:r>
      <w:r>
        <w:rPr>
          <w:spacing w:val="-2"/>
        </w:rPr>
        <w:t>of</w:t>
      </w:r>
      <w:r>
        <w:rPr>
          <w:spacing w:val="-11"/>
        </w:rPr>
        <w:t> </w:t>
      </w:r>
      <w:r>
        <w:rPr>
          <w:spacing w:val="-2"/>
        </w:rPr>
        <w:t>a</w:t>
      </w:r>
      <w:r>
        <w:rPr>
          <w:spacing w:val="-11"/>
        </w:rPr>
        <w:t> </w:t>
      </w:r>
      <w:r>
        <w:rPr>
          <w:spacing w:val="-2"/>
        </w:rPr>
        <w:t>2-year-old</w:t>
      </w:r>
      <w:r>
        <w:rPr>
          <w:spacing w:val="-11"/>
        </w:rPr>
        <w:t> </w:t>
      </w:r>
      <w:r>
        <w:rPr>
          <w:spacing w:val="-2"/>
        </w:rPr>
        <w:t>boy </w:t>
      </w:r>
      <w:r>
        <w:rPr/>
        <w:t>with CGD who developed incomplete KD associated with CAA was described [9]. Further, the case of a 1- year-old boy with CGD who developed several of the characteristic clinical features of Kawasaki Disease, with</w:t>
      </w:r>
      <w:r>
        <w:rPr>
          <w:spacing w:val="-4"/>
        </w:rPr>
        <w:t> </w:t>
      </w:r>
      <w:r>
        <w:rPr/>
        <w:t>a</w:t>
      </w:r>
      <w:r>
        <w:rPr>
          <w:spacing w:val="-4"/>
        </w:rPr>
        <w:t> </w:t>
      </w:r>
      <w:r>
        <w:rPr/>
        <w:t>second</w:t>
      </w:r>
      <w:r>
        <w:rPr>
          <w:spacing w:val="-4"/>
        </w:rPr>
        <w:t> </w:t>
      </w:r>
      <w:r>
        <w:rPr/>
        <w:t>echocardiogram</w:t>
      </w:r>
      <w:r>
        <w:rPr>
          <w:spacing w:val="-8"/>
        </w:rPr>
        <w:t> </w:t>
      </w:r>
      <w:r>
        <w:rPr/>
        <w:t>showed</w:t>
      </w:r>
      <w:r>
        <w:rPr>
          <w:spacing w:val="-4"/>
        </w:rPr>
        <w:t> </w:t>
      </w:r>
      <w:r>
        <w:rPr/>
        <w:t>dilatation</w:t>
      </w:r>
      <w:r>
        <w:rPr>
          <w:spacing w:val="-4"/>
        </w:rPr>
        <w:t> </w:t>
      </w:r>
      <w:r>
        <w:rPr/>
        <w:t>of</w:t>
      </w:r>
      <w:r>
        <w:rPr>
          <w:spacing w:val="-5"/>
        </w:rPr>
        <w:t> </w:t>
      </w:r>
      <w:r>
        <w:rPr/>
        <w:t>the left main coronary artery and the right coronary artery in the coronary ostium was presented [10]. Also, a 10 month-old male patient with CGD who had presenta- tion of incomplete KD without CAA was reported</w:t>
      </w:r>
      <w:r>
        <w:rPr>
          <w:spacing w:val="40"/>
        </w:rPr>
        <w:t> </w:t>
      </w:r>
      <w:r>
        <w:rPr/>
        <w:t>[11].</w:t>
      </w:r>
      <w:r>
        <w:rPr>
          <w:spacing w:val="-6"/>
        </w:rPr>
        <w:t> </w:t>
      </w:r>
      <w:r>
        <w:rPr/>
        <w:t>A</w:t>
      </w:r>
      <w:r>
        <w:rPr>
          <w:spacing w:val="-5"/>
        </w:rPr>
        <w:t> </w:t>
      </w:r>
      <w:r>
        <w:rPr/>
        <w:t>10-year-old</w:t>
      </w:r>
      <w:r>
        <w:rPr>
          <w:spacing w:val="-5"/>
        </w:rPr>
        <w:t> </w:t>
      </w:r>
      <w:r>
        <w:rPr/>
        <w:t>male</w:t>
      </w:r>
      <w:r>
        <w:rPr>
          <w:spacing w:val="-6"/>
        </w:rPr>
        <w:t> </w:t>
      </w:r>
      <w:r>
        <w:rPr/>
        <w:t>with</w:t>
      </w:r>
      <w:r>
        <w:rPr>
          <w:spacing w:val="-6"/>
        </w:rPr>
        <w:t> </w:t>
      </w:r>
      <w:r>
        <w:rPr/>
        <w:t>CGD</w:t>
      </w:r>
      <w:r>
        <w:rPr>
          <w:spacing w:val="-7"/>
        </w:rPr>
        <w:t> </w:t>
      </w:r>
      <w:r>
        <w:rPr/>
        <w:t>and</w:t>
      </w:r>
      <w:r>
        <w:rPr>
          <w:spacing w:val="-6"/>
        </w:rPr>
        <w:t> </w:t>
      </w:r>
      <w:r>
        <w:rPr/>
        <w:t>KD</w:t>
      </w:r>
      <w:r>
        <w:rPr>
          <w:spacing w:val="-5"/>
        </w:rPr>
        <w:t> </w:t>
      </w:r>
      <w:r>
        <w:rPr/>
        <w:t>developed incomplete KD, with substantial cardiac dysfunctions but without CAA was also described [12]. Majority of patients</w:t>
      </w:r>
      <w:r>
        <w:rPr>
          <w:spacing w:val="-3"/>
        </w:rPr>
        <w:t> </w:t>
      </w:r>
      <w:r>
        <w:rPr/>
        <w:t>with</w:t>
      </w:r>
      <w:r>
        <w:rPr>
          <w:spacing w:val="-2"/>
        </w:rPr>
        <w:t> </w:t>
      </w:r>
      <w:r>
        <w:rPr/>
        <w:t>CGD</w:t>
      </w:r>
      <w:r>
        <w:rPr>
          <w:spacing w:val="-1"/>
        </w:rPr>
        <w:t> </w:t>
      </w:r>
      <w:r>
        <w:rPr/>
        <w:t>were</w:t>
      </w:r>
      <w:r>
        <w:rPr>
          <w:spacing w:val="-2"/>
        </w:rPr>
        <w:t> </w:t>
      </w:r>
      <w:r>
        <w:rPr/>
        <w:t>with</w:t>
      </w:r>
      <w:r>
        <w:rPr>
          <w:spacing w:val="-2"/>
        </w:rPr>
        <w:t> </w:t>
      </w:r>
      <w:r>
        <w:rPr/>
        <w:t>incomplete</w:t>
      </w:r>
      <w:r>
        <w:rPr>
          <w:spacing w:val="-2"/>
        </w:rPr>
        <w:t> </w:t>
      </w:r>
      <w:r>
        <w:rPr/>
        <w:t>KD</w:t>
      </w:r>
      <w:r>
        <w:rPr>
          <w:spacing w:val="-1"/>
        </w:rPr>
        <w:t> </w:t>
      </w:r>
      <w:r>
        <w:rPr/>
        <w:t>and</w:t>
      </w:r>
      <w:r>
        <w:rPr>
          <w:spacing w:val="-2"/>
        </w:rPr>
        <w:t> </w:t>
      </w:r>
      <w:r>
        <w:rPr/>
        <w:t>were also associated with the development of CAA, sugges- ting</w:t>
      </w:r>
      <w:r>
        <w:rPr>
          <w:spacing w:val="-1"/>
        </w:rPr>
        <w:t> </w:t>
      </w:r>
      <w:r>
        <w:rPr/>
        <w:t>that</w:t>
      </w:r>
      <w:r>
        <w:rPr>
          <w:spacing w:val="-7"/>
        </w:rPr>
        <w:t> </w:t>
      </w:r>
      <w:r>
        <w:rPr/>
        <w:t>the</w:t>
      </w:r>
      <w:r>
        <w:rPr>
          <w:spacing w:val="-6"/>
        </w:rPr>
        <w:t> </w:t>
      </w:r>
      <w:r>
        <w:rPr/>
        <w:t>diagnosis</w:t>
      </w:r>
      <w:r>
        <w:rPr>
          <w:spacing w:val="-6"/>
        </w:rPr>
        <w:t> </w:t>
      </w:r>
      <w:r>
        <w:rPr/>
        <w:t>of</w:t>
      </w:r>
      <w:r>
        <w:rPr>
          <w:spacing w:val="-5"/>
        </w:rPr>
        <w:t> </w:t>
      </w:r>
      <w:r>
        <w:rPr/>
        <w:t>KD</w:t>
      </w:r>
      <w:r>
        <w:rPr>
          <w:spacing w:val="-5"/>
        </w:rPr>
        <w:t> </w:t>
      </w:r>
      <w:r>
        <w:rPr/>
        <w:t>in</w:t>
      </w:r>
      <w:r>
        <w:rPr>
          <w:spacing w:val="-6"/>
        </w:rPr>
        <w:t> </w:t>
      </w:r>
      <w:r>
        <w:rPr/>
        <w:t>patients</w:t>
      </w:r>
      <w:r>
        <w:rPr>
          <w:spacing w:val="-6"/>
        </w:rPr>
        <w:t> </w:t>
      </w:r>
      <w:r>
        <w:rPr/>
        <w:t>with</w:t>
      </w:r>
      <w:r>
        <w:rPr>
          <w:spacing w:val="-6"/>
        </w:rPr>
        <w:t> </w:t>
      </w:r>
      <w:r>
        <w:rPr/>
        <w:t>CGD</w:t>
      </w:r>
      <w:r>
        <w:rPr>
          <w:spacing w:val="-5"/>
        </w:rPr>
        <w:t> </w:t>
      </w:r>
      <w:r>
        <w:rPr/>
        <w:t>was difficult to establish and vascular damage may prog- ress before onset of the treatment. The most important factor to protect from complications is early diagnosis and early initiation of IVIG treatment within 10 days</w:t>
      </w:r>
      <w:r>
        <w:rPr>
          <w:spacing w:val="40"/>
        </w:rPr>
        <w:t> </w:t>
      </w:r>
      <w:r>
        <w:rPr>
          <w:spacing w:val="-2"/>
        </w:rPr>
        <w:t>of</w:t>
      </w:r>
      <w:r>
        <w:rPr>
          <w:spacing w:val="-9"/>
        </w:rPr>
        <w:t> </w:t>
      </w:r>
      <w:r>
        <w:rPr>
          <w:spacing w:val="-2"/>
        </w:rPr>
        <w:t>symptom</w:t>
      </w:r>
      <w:r>
        <w:rPr>
          <w:spacing w:val="-9"/>
        </w:rPr>
        <w:t> </w:t>
      </w:r>
      <w:r>
        <w:rPr>
          <w:spacing w:val="-2"/>
        </w:rPr>
        <w:t>onset.</w:t>
      </w:r>
      <w:r>
        <w:rPr>
          <w:spacing w:val="-5"/>
        </w:rPr>
        <w:t> </w:t>
      </w:r>
      <w:r>
        <w:rPr>
          <w:spacing w:val="-2"/>
        </w:rPr>
        <w:t>In</w:t>
      </w:r>
      <w:r>
        <w:rPr>
          <w:spacing w:val="-6"/>
        </w:rPr>
        <w:t> </w:t>
      </w:r>
      <w:r>
        <w:rPr>
          <w:spacing w:val="-2"/>
        </w:rPr>
        <w:t>the</w:t>
      </w:r>
      <w:r>
        <w:rPr>
          <w:spacing w:val="-8"/>
        </w:rPr>
        <w:t> </w:t>
      </w:r>
      <w:r>
        <w:rPr>
          <w:spacing w:val="-2"/>
        </w:rPr>
        <w:t>patient</w:t>
      </w:r>
      <w:r>
        <w:rPr>
          <w:spacing w:val="-7"/>
        </w:rPr>
        <w:t> </w:t>
      </w:r>
      <w:r>
        <w:rPr>
          <w:spacing w:val="-2"/>
        </w:rPr>
        <w:t>with</w:t>
      </w:r>
      <w:r>
        <w:rPr>
          <w:spacing w:val="-8"/>
        </w:rPr>
        <w:t> </w:t>
      </w:r>
      <w:r>
        <w:rPr>
          <w:spacing w:val="-2"/>
        </w:rPr>
        <w:t>selective</w:t>
      </w:r>
      <w:r>
        <w:rPr>
          <w:spacing w:val="-4"/>
        </w:rPr>
        <w:t> </w:t>
      </w:r>
      <w:r>
        <w:rPr>
          <w:spacing w:val="-2"/>
        </w:rPr>
        <w:t>IgA</w:t>
      </w:r>
      <w:r>
        <w:rPr>
          <w:spacing w:val="-7"/>
        </w:rPr>
        <w:t> </w:t>
      </w:r>
      <w:r>
        <w:rPr>
          <w:spacing w:val="-2"/>
        </w:rPr>
        <w:t>defi- </w:t>
      </w:r>
      <w:r>
        <w:rPr/>
        <w:t>ciency</w:t>
      </w:r>
      <w:r>
        <w:rPr>
          <w:spacing w:val="-4"/>
        </w:rPr>
        <w:t> </w:t>
      </w:r>
      <w:r>
        <w:rPr/>
        <w:t>diagnosis</w:t>
      </w:r>
      <w:r>
        <w:rPr>
          <w:spacing w:val="3"/>
        </w:rPr>
        <w:t> </w:t>
      </w:r>
      <w:r>
        <w:rPr/>
        <w:t>of</w:t>
      </w:r>
      <w:r>
        <w:rPr>
          <w:spacing w:val="3"/>
        </w:rPr>
        <w:t> </w:t>
      </w:r>
      <w:r>
        <w:rPr/>
        <w:t>complete</w:t>
      </w:r>
      <w:r>
        <w:rPr>
          <w:spacing w:val="4"/>
        </w:rPr>
        <w:t> </w:t>
      </w:r>
      <w:r>
        <w:rPr/>
        <w:t>KD</w:t>
      </w:r>
      <w:r>
        <w:rPr>
          <w:spacing w:val="4"/>
        </w:rPr>
        <w:t> </w:t>
      </w:r>
      <w:r>
        <w:rPr/>
        <w:t>had</w:t>
      </w:r>
      <w:r>
        <w:rPr>
          <w:spacing w:val="3"/>
        </w:rPr>
        <w:t> </w:t>
      </w:r>
      <w:r>
        <w:rPr/>
        <w:t>been</w:t>
      </w:r>
      <w:r>
        <w:rPr>
          <w:spacing w:val="4"/>
        </w:rPr>
        <w:t> </w:t>
      </w:r>
      <w:r>
        <w:rPr>
          <w:spacing w:val="-2"/>
        </w:rPr>
        <w:t>established</w:t>
      </w:r>
    </w:p>
    <w:p>
      <w:pPr>
        <w:pStyle w:val="BodyText"/>
        <w:spacing w:before="92"/>
        <w:ind w:left="238" w:right="289"/>
        <w:jc w:val="both"/>
      </w:pPr>
      <w:r>
        <w:rPr/>
        <w:br w:type="column"/>
      </w:r>
      <w:r>
        <w:rPr/>
        <w:t>on the 5th</w:t>
      </w:r>
      <w:r>
        <w:rPr>
          <w:spacing w:val="-1"/>
        </w:rPr>
        <w:t> </w:t>
      </w:r>
      <w:r>
        <w:rPr/>
        <w:t>day</w:t>
      </w:r>
      <w:r>
        <w:rPr>
          <w:spacing w:val="-3"/>
        </w:rPr>
        <w:t> </w:t>
      </w:r>
      <w:r>
        <w:rPr/>
        <w:t>and was treated with aspirin, urinastatin and steroid pulse therapy instead of IVIG. No corona- ry artery aneurysm developed [13]. The second case reported</w:t>
      </w:r>
      <w:r>
        <w:rPr>
          <w:spacing w:val="-9"/>
        </w:rPr>
        <w:t> </w:t>
      </w:r>
      <w:r>
        <w:rPr/>
        <w:t>with</w:t>
      </w:r>
      <w:r>
        <w:rPr>
          <w:spacing w:val="-9"/>
        </w:rPr>
        <w:t> </w:t>
      </w:r>
      <w:r>
        <w:rPr/>
        <w:t>selective</w:t>
      </w:r>
      <w:r>
        <w:rPr>
          <w:spacing w:val="-9"/>
        </w:rPr>
        <w:t> </w:t>
      </w:r>
      <w:r>
        <w:rPr/>
        <w:t>IgA</w:t>
      </w:r>
      <w:r>
        <w:rPr>
          <w:spacing w:val="-10"/>
        </w:rPr>
        <w:t> </w:t>
      </w:r>
      <w:r>
        <w:rPr/>
        <w:t>deficiency</w:t>
      </w:r>
      <w:r>
        <w:rPr>
          <w:spacing w:val="-12"/>
        </w:rPr>
        <w:t> </w:t>
      </w:r>
      <w:r>
        <w:rPr/>
        <w:t>was</w:t>
      </w:r>
      <w:r>
        <w:rPr>
          <w:spacing w:val="-11"/>
        </w:rPr>
        <w:t> </w:t>
      </w:r>
      <w:r>
        <w:rPr/>
        <w:t>a</w:t>
      </w:r>
      <w:r>
        <w:rPr>
          <w:spacing w:val="-9"/>
        </w:rPr>
        <w:t> </w:t>
      </w:r>
      <w:r>
        <w:rPr/>
        <w:t>5-year-old with complete KD without CAA development treated with cyclosporine instead of IVIG [14]. The case of Wiscott-Aldrich syndrome was diagnosed as complete KD at 6 months of age with transient normalization of platelet count during disease course. This patient had been</w:t>
      </w:r>
      <w:r>
        <w:rPr>
          <w:spacing w:val="-2"/>
        </w:rPr>
        <w:t> </w:t>
      </w:r>
      <w:r>
        <w:rPr/>
        <w:t>treated</w:t>
      </w:r>
      <w:r>
        <w:rPr>
          <w:spacing w:val="-2"/>
        </w:rPr>
        <w:t> </w:t>
      </w:r>
      <w:r>
        <w:rPr/>
        <w:t>with IVIG,</w:t>
      </w:r>
      <w:r>
        <w:rPr>
          <w:spacing w:val="-2"/>
        </w:rPr>
        <w:t> </w:t>
      </w:r>
      <w:r>
        <w:rPr/>
        <w:t>with no</w:t>
      </w:r>
      <w:r>
        <w:rPr>
          <w:spacing w:val="-2"/>
        </w:rPr>
        <w:t> </w:t>
      </w:r>
      <w:r>
        <w:rPr/>
        <w:t>complications.</w:t>
      </w:r>
      <w:r>
        <w:rPr>
          <w:spacing w:val="-3"/>
        </w:rPr>
        <w:t> </w:t>
      </w:r>
      <w:r>
        <w:rPr/>
        <w:t>During the acute phase of KD, the patient’s platelet count increased. The investigators suggested that an increase in platelet count may be a result of an increased pro- duction</w:t>
      </w:r>
      <w:r>
        <w:rPr>
          <w:spacing w:val="-14"/>
        </w:rPr>
        <w:t> </w:t>
      </w:r>
      <w:r>
        <w:rPr/>
        <w:t>of</w:t>
      </w:r>
      <w:r>
        <w:rPr>
          <w:spacing w:val="-13"/>
        </w:rPr>
        <w:t> </w:t>
      </w:r>
      <w:r>
        <w:rPr/>
        <w:t>interleukin-6,</w:t>
      </w:r>
      <w:r>
        <w:rPr>
          <w:spacing w:val="-13"/>
        </w:rPr>
        <w:t> </w:t>
      </w:r>
      <w:r>
        <w:rPr/>
        <w:t>a</w:t>
      </w:r>
      <w:r>
        <w:rPr>
          <w:spacing w:val="-13"/>
        </w:rPr>
        <w:t> </w:t>
      </w:r>
      <w:r>
        <w:rPr/>
        <w:t>known</w:t>
      </w:r>
      <w:r>
        <w:rPr>
          <w:spacing w:val="-13"/>
        </w:rPr>
        <w:t> </w:t>
      </w:r>
      <w:r>
        <w:rPr/>
        <w:t>thrombopoietic</w:t>
      </w:r>
      <w:r>
        <w:rPr>
          <w:spacing w:val="-13"/>
        </w:rPr>
        <w:t> </w:t>
      </w:r>
      <w:r>
        <w:rPr/>
        <w:t>factor [15]. Reports of KD in X-linked agammaglobulinemia (XLA) patients argue against the presence of autoanti- bodies</w:t>
      </w:r>
      <w:r>
        <w:rPr>
          <w:spacing w:val="-4"/>
        </w:rPr>
        <w:t> </w:t>
      </w:r>
      <w:r>
        <w:rPr/>
        <w:t>in</w:t>
      </w:r>
      <w:r>
        <w:rPr>
          <w:spacing w:val="-11"/>
        </w:rPr>
        <w:t> </w:t>
      </w:r>
      <w:r>
        <w:rPr/>
        <w:t>the</w:t>
      </w:r>
      <w:r>
        <w:rPr>
          <w:spacing w:val="-11"/>
        </w:rPr>
        <w:t> </w:t>
      </w:r>
      <w:r>
        <w:rPr/>
        <w:t>pathogenesis</w:t>
      </w:r>
      <w:r>
        <w:rPr>
          <w:spacing w:val="-11"/>
        </w:rPr>
        <w:t> </w:t>
      </w:r>
      <w:r>
        <w:rPr/>
        <w:t>of</w:t>
      </w:r>
      <w:r>
        <w:rPr>
          <w:spacing w:val="-7"/>
        </w:rPr>
        <w:t> </w:t>
      </w:r>
      <w:r>
        <w:rPr/>
        <w:t>KD.</w:t>
      </w:r>
      <w:r>
        <w:rPr>
          <w:spacing w:val="-11"/>
        </w:rPr>
        <w:t> </w:t>
      </w:r>
      <w:r>
        <w:rPr/>
        <w:t>So</w:t>
      </w:r>
      <w:r>
        <w:rPr>
          <w:spacing w:val="-8"/>
        </w:rPr>
        <w:t> </w:t>
      </w:r>
      <w:r>
        <w:rPr/>
        <w:t>far</w:t>
      </w:r>
      <w:r>
        <w:rPr>
          <w:spacing w:val="-11"/>
        </w:rPr>
        <w:t> </w:t>
      </w:r>
      <w:r>
        <w:rPr/>
        <w:t>4</w:t>
      </w:r>
      <w:r>
        <w:rPr>
          <w:spacing w:val="-11"/>
        </w:rPr>
        <w:t> </w:t>
      </w:r>
      <w:r>
        <w:rPr/>
        <w:t>patients</w:t>
      </w:r>
      <w:r>
        <w:rPr>
          <w:spacing w:val="-11"/>
        </w:rPr>
        <w:t> </w:t>
      </w:r>
      <w:r>
        <w:rPr/>
        <w:t>with </w:t>
      </w:r>
      <w:r>
        <w:rPr>
          <w:spacing w:val="-6"/>
        </w:rPr>
        <w:t>XLA</w:t>
      </w:r>
      <w:r>
        <w:rPr>
          <w:spacing w:val="-8"/>
        </w:rPr>
        <w:t> </w:t>
      </w:r>
      <w:r>
        <w:rPr>
          <w:spacing w:val="-6"/>
        </w:rPr>
        <w:t>complicated</w:t>
      </w:r>
      <w:r>
        <w:rPr>
          <w:spacing w:val="-7"/>
        </w:rPr>
        <w:t> </w:t>
      </w:r>
      <w:r>
        <w:rPr>
          <w:spacing w:val="-6"/>
        </w:rPr>
        <w:t>with</w:t>
      </w:r>
      <w:r>
        <w:rPr>
          <w:spacing w:val="-7"/>
        </w:rPr>
        <w:t> </w:t>
      </w:r>
      <w:r>
        <w:rPr>
          <w:spacing w:val="-6"/>
        </w:rPr>
        <w:t>KD</w:t>
      </w:r>
      <w:r>
        <w:rPr>
          <w:spacing w:val="-7"/>
        </w:rPr>
        <w:t> </w:t>
      </w:r>
      <w:r>
        <w:rPr>
          <w:spacing w:val="-6"/>
        </w:rPr>
        <w:t>have</w:t>
      </w:r>
      <w:r>
        <w:rPr>
          <w:spacing w:val="-7"/>
        </w:rPr>
        <w:t> </w:t>
      </w:r>
      <w:r>
        <w:rPr>
          <w:spacing w:val="-6"/>
        </w:rPr>
        <w:t>been</w:t>
      </w:r>
      <w:r>
        <w:rPr>
          <w:spacing w:val="-7"/>
        </w:rPr>
        <w:t> </w:t>
      </w:r>
      <w:r>
        <w:rPr>
          <w:spacing w:val="-6"/>
        </w:rPr>
        <w:t>described.</w:t>
      </w:r>
      <w:r>
        <w:rPr>
          <w:spacing w:val="-7"/>
        </w:rPr>
        <w:t> </w:t>
      </w:r>
      <w:r>
        <w:rPr>
          <w:spacing w:val="-6"/>
        </w:rPr>
        <w:t>Although </w:t>
      </w:r>
      <w:r>
        <w:rPr/>
        <w:t>autoimmunity</w:t>
      </w:r>
      <w:r>
        <w:rPr>
          <w:spacing w:val="-14"/>
        </w:rPr>
        <w:t> </w:t>
      </w:r>
      <w:r>
        <w:rPr/>
        <w:t>phenotype</w:t>
      </w:r>
      <w:r>
        <w:rPr>
          <w:spacing w:val="-10"/>
        </w:rPr>
        <w:t> </w:t>
      </w:r>
      <w:r>
        <w:rPr/>
        <w:t>is</w:t>
      </w:r>
      <w:r>
        <w:rPr>
          <w:spacing w:val="-13"/>
        </w:rPr>
        <w:t> </w:t>
      </w:r>
      <w:r>
        <w:rPr/>
        <w:t>surprisingly</w:t>
      </w:r>
      <w:r>
        <w:rPr>
          <w:spacing w:val="-14"/>
        </w:rPr>
        <w:t> </w:t>
      </w:r>
      <w:r>
        <w:rPr/>
        <w:t>common</w:t>
      </w:r>
      <w:r>
        <w:rPr>
          <w:spacing w:val="-11"/>
        </w:rPr>
        <w:t> </w:t>
      </w:r>
      <w:r>
        <w:rPr/>
        <w:t>in</w:t>
      </w:r>
      <w:r>
        <w:rPr>
          <w:spacing w:val="-12"/>
        </w:rPr>
        <w:t> </w:t>
      </w:r>
      <w:r>
        <w:rPr/>
        <w:t>pa- tients with different types of primary antibody defi- ciency, it is much less frequent in XLA. There is a re- port on a 15-month-old boy with XLA who also suffe- red from Kawasaki disease, as the first report of an association between Kawasaki disease and XLA [16]. There is also a report of a 12-year-old boy on IVIG therapy,</w:t>
      </w:r>
      <w:r>
        <w:rPr>
          <w:spacing w:val="-14"/>
        </w:rPr>
        <w:t> </w:t>
      </w:r>
      <w:r>
        <w:rPr/>
        <w:t>who</w:t>
      </w:r>
      <w:r>
        <w:rPr>
          <w:spacing w:val="-13"/>
        </w:rPr>
        <w:t> </w:t>
      </w:r>
      <w:r>
        <w:rPr/>
        <w:t>subsequently</w:t>
      </w:r>
      <w:r>
        <w:rPr>
          <w:spacing w:val="-13"/>
        </w:rPr>
        <w:t> </w:t>
      </w:r>
      <w:r>
        <w:rPr/>
        <w:t>developed</w:t>
      </w:r>
      <w:r>
        <w:rPr>
          <w:spacing w:val="-13"/>
        </w:rPr>
        <w:t> </w:t>
      </w:r>
      <w:r>
        <w:rPr/>
        <w:t>Kawasaki</w:t>
      </w:r>
      <w:r>
        <w:rPr>
          <w:spacing w:val="-13"/>
        </w:rPr>
        <w:t> </w:t>
      </w:r>
      <w:r>
        <w:rPr/>
        <w:t>disease [17]. XLA could be considered as a special opportu- nity</w:t>
      </w:r>
      <w:r>
        <w:rPr>
          <w:spacing w:val="-6"/>
        </w:rPr>
        <w:t> </w:t>
      </w:r>
      <w:r>
        <w:rPr/>
        <w:t>to</w:t>
      </w:r>
      <w:r>
        <w:rPr>
          <w:spacing w:val="-3"/>
        </w:rPr>
        <w:t> </w:t>
      </w:r>
      <w:r>
        <w:rPr/>
        <w:t>understand</w:t>
      </w:r>
      <w:r>
        <w:rPr>
          <w:spacing w:val="-3"/>
        </w:rPr>
        <w:t> </w:t>
      </w:r>
      <w:r>
        <w:rPr/>
        <w:t>autoimmunity</w:t>
      </w:r>
      <w:r>
        <w:rPr>
          <w:spacing w:val="-6"/>
        </w:rPr>
        <w:t> </w:t>
      </w:r>
      <w:r>
        <w:rPr/>
        <w:t>in</w:t>
      </w:r>
      <w:r>
        <w:rPr>
          <w:spacing w:val="-3"/>
        </w:rPr>
        <w:t> </w:t>
      </w:r>
      <w:r>
        <w:rPr/>
        <w:t>the</w:t>
      </w:r>
      <w:r>
        <w:rPr>
          <w:spacing w:val="-3"/>
        </w:rPr>
        <w:t> </w:t>
      </w:r>
      <w:r>
        <w:rPr/>
        <w:t>near</w:t>
      </w:r>
      <w:r>
        <w:rPr>
          <w:spacing w:val="-4"/>
        </w:rPr>
        <w:t> </w:t>
      </w:r>
      <w:r>
        <w:rPr/>
        <w:t>absence</w:t>
      </w:r>
      <w:r>
        <w:rPr>
          <w:spacing w:val="-3"/>
        </w:rPr>
        <w:t> </w:t>
      </w:r>
      <w:r>
        <w:rPr/>
        <w:t>of </w:t>
      </w:r>
      <w:r>
        <w:rPr>
          <w:spacing w:val="-2"/>
        </w:rPr>
        <w:t>immunoglobulins</w:t>
      </w:r>
      <w:r>
        <w:rPr>
          <w:spacing w:val="-12"/>
        </w:rPr>
        <w:t> </w:t>
      </w:r>
      <w:r>
        <w:rPr>
          <w:spacing w:val="-2"/>
        </w:rPr>
        <w:t>[18].</w:t>
      </w:r>
      <w:r>
        <w:rPr>
          <w:spacing w:val="-11"/>
        </w:rPr>
        <w:t> </w:t>
      </w:r>
      <w:r>
        <w:rPr>
          <w:spacing w:val="-2"/>
        </w:rPr>
        <w:t>An</w:t>
      </w:r>
      <w:r>
        <w:rPr>
          <w:spacing w:val="-11"/>
        </w:rPr>
        <w:t> </w:t>
      </w:r>
      <w:r>
        <w:rPr>
          <w:spacing w:val="-2"/>
        </w:rPr>
        <w:t>8-month-old</w:t>
      </w:r>
      <w:r>
        <w:rPr>
          <w:spacing w:val="-11"/>
        </w:rPr>
        <w:t> </w:t>
      </w:r>
      <w:r>
        <w:rPr>
          <w:spacing w:val="-2"/>
        </w:rPr>
        <w:t>male</w:t>
      </w:r>
      <w:r>
        <w:rPr>
          <w:spacing w:val="-11"/>
        </w:rPr>
        <w:t> </w:t>
      </w:r>
      <w:r>
        <w:rPr>
          <w:spacing w:val="-2"/>
        </w:rPr>
        <w:t>with</w:t>
      </w:r>
      <w:r>
        <w:rPr>
          <w:spacing w:val="-11"/>
        </w:rPr>
        <w:t> </w:t>
      </w:r>
      <w:r>
        <w:rPr>
          <w:spacing w:val="-2"/>
        </w:rPr>
        <w:t>XLA, </w:t>
      </w:r>
      <w:r>
        <w:rPr/>
        <w:t>sepsis and prolonged fever with development of CAA diagnosed as incomplete KD was described [19], su- ggesting that infants with XLA and prolonged fever should be monitored for KD and early diagnosis and initiation</w:t>
      </w:r>
      <w:r>
        <w:rPr>
          <w:spacing w:val="-1"/>
        </w:rPr>
        <w:t> </w:t>
      </w:r>
      <w:r>
        <w:rPr/>
        <w:t>of</w:t>
      </w:r>
      <w:r>
        <w:rPr>
          <w:spacing w:val="-1"/>
        </w:rPr>
        <w:t> </w:t>
      </w:r>
      <w:r>
        <w:rPr/>
        <w:t>IVIG treatment.</w:t>
      </w:r>
      <w:r>
        <w:rPr>
          <w:spacing w:val="-1"/>
        </w:rPr>
        <w:t> </w:t>
      </w:r>
      <w:r>
        <w:rPr/>
        <w:t>Four</w:t>
      </w:r>
      <w:r>
        <w:rPr>
          <w:spacing w:val="-1"/>
        </w:rPr>
        <w:t> </w:t>
      </w:r>
      <w:r>
        <w:rPr/>
        <w:t>patients</w:t>
      </w:r>
      <w:r>
        <w:rPr>
          <w:spacing w:val="-1"/>
        </w:rPr>
        <w:t> </w:t>
      </w:r>
      <w:r>
        <w:rPr/>
        <w:t>with</w:t>
      </w:r>
      <w:r>
        <w:rPr>
          <w:spacing w:val="-1"/>
        </w:rPr>
        <w:t> </w:t>
      </w:r>
      <w:r>
        <w:rPr/>
        <w:t>Hyper- IgE</w:t>
      </w:r>
      <w:r>
        <w:rPr>
          <w:spacing w:val="-7"/>
        </w:rPr>
        <w:t> </w:t>
      </w:r>
      <w:r>
        <w:rPr/>
        <w:t>syndrome</w:t>
      </w:r>
      <w:r>
        <w:rPr>
          <w:spacing w:val="-8"/>
        </w:rPr>
        <w:t> </w:t>
      </w:r>
      <w:r>
        <w:rPr/>
        <w:t>(HIES)</w:t>
      </w:r>
      <w:r>
        <w:rPr>
          <w:spacing w:val="-8"/>
        </w:rPr>
        <w:t> </w:t>
      </w:r>
      <w:r>
        <w:rPr/>
        <w:t>and</w:t>
      </w:r>
      <w:r>
        <w:rPr>
          <w:spacing w:val="-6"/>
        </w:rPr>
        <w:t> </w:t>
      </w:r>
      <w:r>
        <w:rPr/>
        <w:t>KD</w:t>
      </w:r>
      <w:r>
        <w:rPr>
          <w:spacing w:val="-6"/>
        </w:rPr>
        <w:t> </w:t>
      </w:r>
      <w:r>
        <w:rPr/>
        <w:t>have</w:t>
      </w:r>
      <w:r>
        <w:rPr>
          <w:spacing w:val="-8"/>
        </w:rPr>
        <w:t> </w:t>
      </w:r>
      <w:r>
        <w:rPr/>
        <w:t>been</w:t>
      </w:r>
      <w:r>
        <w:rPr>
          <w:spacing w:val="-8"/>
        </w:rPr>
        <w:t> </w:t>
      </w:r>
      <w:r>
        <w:rPr/>
        <w:t>reported</w:t>
      </w:r>
      <w:r>
        <w:rPr>
          <w:spacing w:val="-8"/>
        </w:rPr>
        <w:t> </w:t>
      </w:r>
      <w:r>
        <w:rPr/>
        <w:t>[20]. However, a number of HIES patients with coronary artery aneurysms have not been documented. Patients with CAA and other vascular abnormalities have been reported in the literature as a feature of HIES, or pa- tients who may have also had previous KD (21). Vast majority of patients with primary immunodeficiency described KD were males (87.5%) [19] due to the fact that three primary immunodeficiency disorders asso- ciated with KD are X-linked. Incomplete KD was pre- sent in 54% of patients compared to 10% described in the literature [19].</w:t>
      </w:r>
    </w:p>
    <w:p>
      <w:pPr>
        <w:pStyle w:val="BodyText"/>
        <w:spacing w:before="1"/>
        <w:ind w:left="238" w:right="287"/>
        <w:jc w:val="both"/>
      </w:pPr>
      <w:r>
        <w:rPr/>
        <w:t>The exact classification of KD has long been debated, as</w:t>
      </w:r>
      <w:r>
        <w:rPr>
          <w:spacing w:val="-7"/>
        </w:rPr>
        <w:t> </w:t>
      </w:r>
      <w:r>
        <w:rPr/>
        <w:t>the</w:t>
      </w:r>
      <w:r>
        <w:rPr>
          <w:spacing w:val="-7"/>
        </w:rPr>
        <w:t> </w:t>
      </w:r>
      <w:r>
        <w:rPr/>
        <w:t>disease</w:t>
      </w:r>
      <w:r>
        <w:rPr>
          <w:spacing w:val="-7"/>
        </w:rPr>
        <w:t> </w:t>
      </w:r>
      <w:r>
        <w:rPr/>
        <w:t>has</w:t>
      </w:r>
      <w:r>
        <w:rPr>
          <w:spacing w:val="-7"/>
        </w:rPr>
        <w:t> </w:t>
      </w:r>
      <w:r>
        <w:rPr/>
        <w:t>been</w:t>
      </w:r>
      <w:r>
        <w:rPr>
          <w:spacing w:val="-7"/>
        </w:rPr>
        <w:t> </w:t>
      </w:r>
      <w:r>
        <w:rPr/>
        <w:t>classified</w:t>
      </w:r>
      <w:r>
        <w:rPr>
          <w:spacing w:val="-7"/>
        </w:rPr>
        <w:t> </w:t>
      </w:r>
      <w:r>
        <w:rPr/>
        <w:t>as</w:t>
      </w:r>
      <w:r>
        <w:rPr>
          <w:spacing w:val="-7"/>
        </w:rPr>
        <w:t> </w:t>
      </w:r>
      <w:r>
        <w:rPr/>
        <w:t>an</w:t>
      </w:r>
      <w:r>
        <w:rPr>
          <w:spacing w:val="-7"/>
        </w:rPr>
        <w:t> </w:t>
      </w:r>
      <w:r>
        <w:rPr/>
        <w:t>infectious,</w:t>
      </w:r>
      <w:r>
        <w:rPr>
          <w:spacing w:val="-7"/>
        </w:rPr>
        <w:t> </w:t>
      </w:r>
      <w:r>
        <w:rPr/>
        <w:t>auto- </w:t>
      </w:r>
      <w:r>
        <w:rPr>
          <w:spacing w:val="-2"/>
        </w:rPr>
        <w:t>immune, or</w:t>
      </w:r>
      <w:r>
        <w:rPr>
          <w:spacing w:val="-7"/>
        </w:rPr>
        <w:t> </w:t>
      </w:r>
      <w:r>
        <w:rPr>
          <w:spacing w:val="-2"/>
        </w:rPr>
        <w:t>autoinflammatory</w:t>
      </w:r>
      <w:r>
        <w:rPr>
          <w:spacing w:val="-8"/>
        </w:rPr>
        <w:t> </w:t>
      </w:r>
      <w:r>
        <w:rPr>
          <w:spacing w:val="-2"/>
        </w:rPr>
        <w:t>disorder.</w:t>
      </w:r>
      <w:r>
        <w:rPr>
          <w:spacing w:val="-6"/>
        </w:rPr>
        <w:t> </w:t>
      </w:r>
      <w:r>
        <w:rPr>
          <w:spacing w:val="-2"/>
        </w:rPr>
        <w:t>There</w:t>
      </w:r>
      <w:r>
        <w:rPr>
          <w:spacing w:val="-6"/>
        </w:rPr>
        <w:t> </w:t>
      </w:r>
      <w:r>
        <w:rPr>
          <w:spacing w:val="-2"/>
        </w:rPr>
        <w:t>is</w:t>
      </w:r>
      <w:r>
        <w:rPr>
          <w:spacing w:val="-6"/>
        </w:rPr>
        <w:t> </w:t>
      </w:r>
      <w:r>
        <w:rPr>
          <w:spacing w:val="-2"/>
        </w:rPr>
        <w:t>eviden- </w:t>
      </w:r>
      <w:r>
        <w:rPr/>
        <w:t>ce</w:t>
      </w:r>
      <w:r>
        <w:rPr>
          <w:spacing w:val="-9"/>
        </w:rPr>
        <w:t> </w:t>
      </w:r>
      <w:r>
        <w:rPr/>
        <w:t>supporting</w:t>
      </w:r>
      <w:r>
        <w:rPr>
          <w:spacing w:val="-11"/>
        </w:rPr>
        <w:t> </w:t>
      </w:r>
      <w:r>
        <w:rPr/>
        <w:t>all</w:t>
      </w:r>
      <w:r>
        <w:rPr>
          <w:spacing w:val="-9"/>
        </w:rPr>
        <w:t> </w:t>
      </w:r>
      <w:r>
        <w:rPr/>
        <w:t>three,</w:t>
      </w:r>
      <w:r>
        <w:rPr>
          <w:spacing w:val="-11"/>
        </w:rPr>
        <w:t> </w:t>
      </w:r>
      <w:r>
        <w:rPr/>
        <w:t>and</w:t>
      </w:r>
      <w:r>
        <w:rPr>
          <w:spacing w:val="-11"/>
        </w:rPr>
        <w:t> </w:t>
      </w:r>
      <w:r>
        <w:rPr/>
        <w:t>they</w:t>
      </w:r>
      <w:r>
        <w:rPr>
          <w:spacing w:val="-14"/>
        </w:rPr>
        <w:t> </w:t>
      </w:r>
      <w:r>
        <w:rPr/>
        <w:t>are</w:t>
      </w:r>
      <w:r>
        <w:rPr>
          <w:spacing w:val="-10"/>
        </w:rPr>
        <w:t> </w:t>
      </w:r>
      <w:r>
        <w:rPr/>
        <w:t>not</w:t>
      </w:r>
      <w:r>
        <w:rPr>
          <w:spacing w:val="-9"/>
        </w:rPr>
        <w:t> </w:t>
      </w:r>
      <w:r>
        <w:rPr/>
        <w:t>mutually</w:t>
      </w:r>
      <w:r>
        <w:rPr>
          <w:spacing w:val="-14"/>
        </w:rPr>
        <w:t> </w:t>
      </w:r>
      <w:r>
        <w:rPr/>
        <w:t>exclu- sive,</w:t>
      </w:r>
      <w:r>
        <w:rPr>
          <w:spacing w:val="-3"/>
        </w:rPr>
        <w:t> </w:t>
      </w:r>
      <w:r>
        <w:rPr/>
        <w:t>as</w:t>
      </w:r>
      <w:r>
        <w:rPr>
          <w:spacing w:val="-4"/>
        </w:rPr>
        <w:t> </w:t>
      </w:r>
      <w:r>
        <w:rPr/>
        <w:t>the</w:t>
      </w:r>
      <w:r>
        <w:rPr>
          <w:spacing w:val="-3"/>
        </w:rPr>
        <w:t> </w:t>
      </w:r>
      <w:r>
        <w:rPr/>
        <w:t>disease</w:t>
      </w:r>
      <w:r>
        <w:rPr>
          <w:spacing w:val="-3"/>
        </w:rPr>
        <w:t> </w:t>
      </w:r>
      <w:r>
        <w:rPr/>
        <w:t>can</w:t>
      </w:r>
      <w:r>
        <w:rPr>
          <w:spacing w:val="-3"/>
        </w:rPr>
        <w:t> </w:t>
      </w:r>
      <w:r>
        <w:rPr/>
        <w:t>be</w:t>
      </w:r>
      <w:r>
        <w:rPr>
          <w:spacing w:val="-3"/>
        </w:rPr>
        <w:t> </w:t>
      </w:r>
      <w:r>
        <w:rPr/>
        <w:t>considered</w:t>
      </w:r>
      <w:r>
        <w:rPr>
          <w:spacing w:val="-3"/>
        </w:rPr>
        <w:t> </w:t>
      </w:r>
      <w:r>
        <w:rPr/>
        <w:t>an</w:t>
      </w:r>
      <w:r>
        <w:rPr>
          <w:spacing w:val="-3"/>
        </w:rPr>
        <w:t> </w:t>
      </w:r>
      <w:r>
        <w:rPr/>
        <w:t>infectious</w:t>
      </w:r>
      <w:r>
        <w:rPr>
          <w:spacing w:val="-4"/>
        </w:rPr>
        <w:t> </w:t>
      </w:r>
      <w:r>
        <w:rPr/>
        <w:t>dri- ven disease with an aberrant inflammatory response against</w:t>
      </w:r>
      <w:r>
        <w:rPr>
          <w:spacing w:val="-4"/>
        </w:rPr>
        <w:t> </w:t>
      </w:r>
      <w:r>
        <w:rPr/>
        <w:t>self,</w:t>
      </w:r>
      <w:r>
        <w:rPr>
          <w:spacing w:val="-3"/>
        </w:rPr>
        <w:t> </w:t>
      </w:r>
      <w:r>
        <w:rPr/>
        <w:t>predominantly</w:t>
      </w:r>
      <w:r>
        <w:rPr>
          <w:spacing w:val="-5"/>
        </w:rPr>
        <w:t> </w:t>
      </w:r>
      <w:r>
        <w:rPr/>
        <w:t>to</w:t>
      </w:r>
      <w:r>
        <w:rPr>
          <w:spacing w:val="-3"/>
        </w:rPr>
        <w:t> </w:t>
      </w:r>
      <w:r>
        <w:rPr/>
        <w:t>the</w:t>
      </w:r>
      <w:r>
        <w:rPr>
          <w:spacing w:val="-3"/>
        </w:rPr>
        <w:t> </w:t>
      </w:r>
      <w:r>
        <w:rPr/>
        <w:t>arteries</w:t>
      </w:r>
      <w:r>
        <w:rPr>
          <w:spacing w:val="-4"/>
        </w:rPr>
        <w:t> </w:t>
      </w:r>
      <w:r>
        <w:rPr/>
        <w:t>[22].</w:t>
      </w:r>
      <w:r>
        <w:rPr>
          <w:spacing w:val="-3"/>
        </w:rPr>
        <w:t> </w:t>
      </w:r>
      <w:r>
        <w:rPr/>
        <w:t>The</w:t>
      </w:r>
      <w:r>
        <w:rPr>
          <w:spacing w:val="-3"/>
        </w:rPr>
        <w:t> </w:t>
      </w:r>
      <w:r>
        <w:rPr/>
        <w:t>ba- sis of autoimmunity and hypersensitivity in some pa- tients with primary immunodeficiency is believed to involve the inability of the host to eradicate microbial pathogens</w:t>
      </w:r>
      <w:r>
        <w:rPr>
          <w:spacing w:val="33"/>
        </w:rPr>
        <w:t> </w:t>
      </w:r>
      <w:r>
        <w:rPr/>
        <w:t>and</w:t>
      </w:r>
      <w:r>
        <w:rPr>
          <w:spacing w:val="33"/>
        </w:rPr>
        <w:t> </w:t>
      </w:r>
      <w:r>
        <w:rPr/>
        <w:t>their</w:t>
      </w:r>
      <w:r>
        <w:rPr>
          <w:spacing w:val="34"/>
        </w:rPr>
        <w:t> </w:t>
      </w:r>
      <w:r>
        <w:rPr/>
        <w:t>antigens</w:t>
      </w:r>
      <w:r>
        <w:rPr>
          <w:spacing w:val="33"/>
        </w:rPr>
        <w:t> </w:t>
      </w:r>
      <w:r>
        <w:rPr/>
        <w:t>completely</w:t>
      </w:r>
      <w:r>
        <w:rPr>
          <w:spacing w:val="32"/>
        </w:rPr>
        <w:t> </w:t>
      </w:r>
      <w:r>
        <w:rPr/>
        <w:t>through</w:t>
      </w:r>
      <w:r>
        <w:rPr>
          <w:spacing w:val="35"/>
        </w:rPr>
        <w:t> </w:t>
      </w:r>
      <w:r>
        <w:rPr>
          <w:spacing w:val="-5"/>
        </w:rPr>
        <w:t>the</w:t>
      </w:r>
    </w:p>
    <w:p>
      <w:pPr>
        <w:spacing w:after="0"/>
        <w:jc w:val="both"/>
        <w:sectPr>
          <w:type w:val="continuous"/>
          <w:pgSz w:w="11910" w:h="16840"/>
          <w:pgMar w:header="0" w:footer="0" w:top="740" w:bottom="0" w:left="900" w:right="840"/>
          <w:cols w:num="2" w:equalWidth="0">
            <w:col w:w="4921" w:space="76"/>
            <w:col w:w="5173"/>
          </w:cols>
        </w:sectPr>
      </w:pPr>
    </w:p>
    <w:p>
      <w:pPr>
        <w:pStyle w:val="BodyText"/>
        <w:spacing w:before="5"/>
        <w:rPr>
          <w:sz w:val="15"/>
        </w:rPr>
      </w:pPr>
    </w:p>
    <w:p>
      <w:pPr>
        <w:spacing w:after="0"/>
        <w:rPr>
          <w:sz w:val="15"/>
        </w:rPr>
        <w:sectPr>
          <w:headerReference w:type="default" r:id="rId523"/>
          <w:pgSz w:w="11910" w:h="16840"/>
          <w:pgMar w:header="854" w:footer="0" w:top="1300" w:bottom="280" w:left="900" w:right="840"/>
          <w:pgNumType w:start="37"/>
        </w:sectPr>
      </w:pPr>
    </w:p>
    <w:p>
      <w:pPr>
        <w:pStyle w:val="BodyText"/>
        <w:spacing w:before="92"/>
        <w:ind w:left="238" w:right="40"/>
        <w:jc w:val="both"/>
      </w:pPr>
      <w:r>
        <w:rPr/>
        <w:t>immune</w:t>
      </w:r>
      <w:r>
        <w:rPr>
          <w:spacing w:val="-8"/>
        </w:rPr>
        <w:t> </w:t>
      </w:r>
      <w:r>
        <w:rPr/>
        <w:t>pathways,</w:t>
      </w:r>
      <w:r>
        <w:rPr>
          <w:spacing w:val="-8"/>
        </w:rPr>
        <w:t> </w:t>
      </w:r>
      <w:r>
        <w:rPr/>
        <w:t>resulting</w:t>
      </w:r>
      <w:r>
        <w:rPr>
          <w:spacing w:val="-8"/>
        </w:rPr>
        <w:t> </w:t>
      </w:r>
      <w:r>
        <w:rPr/>
        <w:t>in</w:t>
      </w:r>
      <w:r>
        <w:rPr>
          <w:spacing w:val="-8"/>
        </w:rPr>
        <w:t> </w:t>
      </w:r>
      <w:r>
        <w:rPr/>
        <w:t>an</w:t>
      </w:r>
      <w:r>
        <w:rPr>
          <w:spacing w:val="-8"/>
        </w:rPr>
        <w:t> </w:t>
      </w:r>
      <w:r>
        <w:rPr/>
        <w:t>exaggerated</w:t>
      </w:r>
      <w:r>
        <w:rPr>
          <w:spacing w:val="-8"/>
        </w:rPr>
        <w:t> </w:t>
      </w:r>
      <w:r>
        <w:rPr/>
        <w:t>and</w:t>
      </w:r>
      <w:r>
        <w:rPr>
          <w:spacing w:val="-8"/>
        </w:rPr>
        <w:t> </w:t>
      </w:r>
      <w:r>
        <w:rPr/>
        <w:t>per- petuating inflammatory response.</w:t>
      </w:r>
    </w:p>
    <w:p>
      <w:pPr>
        <w:pStyle w:val="BodyText"/>
        <w:ind w:left="238" w:right="41"/>
        <w:jc w:val="both"/>
      </w:pPr>
      <w:r>
        <w:rPr/>
        <w:t>The most convincing evidence that immunodeficiency predispose to the development of KD comes from the study of adults with the disease. KD is rare in adults </w:t>
      </w:r>
      <w:r>
        <w:rPr>
          <w:spacing w:val="-2"/>
        </w:rPr>
        <w:t>and</w:t>
      </w:r>
      <w:r>
        <w:rPr>
          <w:spacing w:val="-8"/>
        </w:rPr>
        <w:t> </w:t>
      </w:r>
      <w:r>
        <w:rPr>
          <w:spacing w:val="-2"/>
        </w:rPr>
        <w:t>it</w:t>
      </w:r>
      <w:r>
        <w:rPr>
          <w:spacing w:val="-9"/>
        </w:rPr>
        <w:t> </w:t>
      </w:r>
      <w:r>
        <w:rPr>
          <w:spacing w:val="-2"/>
        </w:rPr>
        <w:t>has</w:t>
      </w:r>
      <w:r>
        <w:rPr>
          <w:spacing w:val="-9"/>
        </w:rPr>
        <w:t> </w:t>
      </w:r>
      <w:r>
        <w:rPr>
          <w:spacing w:val="-2"/>
        </w:rPr>
        <w:t>been</w:t>
      </w:r>
      <w:r>
        <w:rPr>
          <w:spacing w:val="-6"/>
        </w:rPr>
        <w:t> </w:t>
      </w:r>
      <w:r>
        <w:rPr>
          <w:spacing w:val="-2"/>
        </w:rPr>
        <w:t>reported</w:t>
      </w:r>
      <w:r>
        <w:rPr>
          <w:spacing w:val="-6"/>
        </w:rPr>
        <w:t> </w:t>
      </w:r>
      <w:r>
        <w:rPr>
          <w:spacing w:val="-2"/>
        </w:rPr>
        <w:t>that</w:t>
      </w:r>
      <w:r>
        <w:rPr>
          <w:spacing w:val="-9"/>
        </w:rPr>
        <w:t> </w:t>
      </w:r>
      <w:r>
        <w:rPr>
          <w:spacing w:val="-2"/>
        </w:rPr>
        <w:t>about</w:t>
      </w:r>
      <w:r>
        <w:rPr>
          <w:spacing w:val="-9"/>
        </w:rPr>
        <w:t> </w:t>
      </w:r>
      <w:r>
        <w:rPr>
          <w:spacing w:val="-2"/>
        </w:rPr>
        <w:t>one-third</w:t>
      </w:r>
      <w:r>
        <w:rPr>
          <w:spacing w:val="-8"/>
        </w:rPr>
        <w:t> </w:t>
      </w:r>
      <w:r>
        <w:rPr>
          <w:spacing w:val="-2"/>
        </w:rPr>
        <w:t>of</w:t>
      </w:r>
      <w:r>
        <w:rPr>
          <w:spacing w:val="-7"/>
        </w:rPr>
        <w:t> </w:t>
      </w:r>
      <w:r>
        <w:rPr>
          <w:spacing w:val="-2"/>
        </w:rPr>
        <w:t>adult</w:t>
      </w:r>
      <w:r>
        <w:rPr>
          <w:spacing w:val="-7"/>
        </w:rPr>
        <w:t> </w:t>
      </w:r>
      <w:r>
        <w:rPr>
          <w:spacing w:val="-2"/>
        </w:rPr>
        <w:t>KD </w:t>
      </w:r>
      <w:r>
        <w:rPr/>
        <w:t>are associated with HIV infection [23-24]. More than 20 cases of HIV patients with KD have been reported. The association of KD with malignancy has also been described.</w:t>
      </w:r>
      <w:r>
        <w:rPr>
          <w:spacing w:val="-13"/>
        </w:rPr>
        <w:t> </w:t>
      </w:r>
      <w:r>
        <w:rPr/>
        <w:t>An</w:t>
      </w:r>
      <w:r>
        <w:rPr>
          <w:spacing w:val="-13"/>
        </w:rPr>
        <w:t> </w:t>
      </w:r>
      <w:r>
        <w:rPr/>
        <w:t>11-year-old</w:t>
      </w:r>
      <w:r>
        <w:rPr>
          <w:spacing w:val="-13"/>
        </w:rPr>
        <w:t> </w:t>
      </w:r>
      <w:r>
        <w:rPr/>
        <w:t>boy</w:t>
      </w:r>
      <w:r>
        <w:rPr>
          <w:spacing w:val="-13"/>
        </w:rPr>
        <w:t> </w:t>
      </w:r>
      <w:r>
        <w:rPr/>
        <w:t>who</w:t>
      </w:r>
      <w:r>
        <w:rPr>
          <w:spacing w:val="-12"/>
        </w:rPr>
        <w:t> </w:t>
      </w:r>
      <w:r>
        <w:rPr/>
        <w:t>was</w:t>
      </w:r>
      <w:r>
        <w:rPr>
          <w:spacing w:val="-14"/>
        </w:rPr>
        <w:t> </w:t>
      </w:r>
      <w:r>
        <w:rPr/>
        <w:t>diagnosed</w:t>
      </w:r>
      <w:r>
        <w:rPr>
          <w:spacing w:val="-11"/>
        </w:rPr>
        <w:t> </w:t>
      </w:r>
      <w:r>
        <w:rPr/>
        <w:t>with acute monocytic leukemia who presented KD compli- cated with pericardial effusion and left coronary dila- tion</w:t>
      </w:r>
      <w:r>
        <w:rPr>
          <w:spacing w:val="-14"/>
        </w:rPr>
        <w:t> </w:t>
      </w:r>
      <w:r>
        <w:rPr/>
        <w:t>1</w:t>
      </w:r>
      <w:r>
        <w:rPr>
          <w:spacing w:val="-13"/>
        </w:rPr>
        <w:t> </w:t>
      </w:r>
      <w:r>
        <w:rPr/>
        <w:t>week</w:t>
      </w:r>
      <w:r>
        <w:rPr>
          <w:spacing w:val="-13"/>
        </w:rPr>
        <w:t> </w:t>
      </w:r>
      <w:r>
        <w:rPr/>
        <w:t>after</w:t>
      </w:r>
      <w:r>
        <w:rPr>
          <w:spacing w:val="-13"/>
        </w:rPr>
        <w:t> </w:t>
      </w:r>
      <w:r>
        <w:rPr/>
        <w:t>chemotherapy</w:t>
      </w:r>
      <w:r>
        <w:rPr>
          <w:spacing w:val="-13"/>
        </w:rPr>
        <w:t> </w:t>
      </w:r>
      <w:r>
        <w:rPr/>
        <w:t>[25].</w:t>
      </w:r>
      <w:r>
        <w:rPr>
          <w:spacing w:val="-13"/>
        </w:rPr>
        <w:t> </w:t>
      </w:r>
      <w:r>
        <w:rPr/>
        <w:t>A</w:t>
      </w:r>
      <w:r>
        <w:rPr>
          <w:spacing w:val="-13"/>
        </w:rPr>
        <w:t> </w:t>
      </w:r>
      <w:r>
        <w:rPr/>
        <w:t>3-year-old</w:t>
      </w:r>
      <w:r>
        <w:rPr>
          <w:spacing w:val="-13"/>
        </w:rPr>
        <w:t> </w:t>
      </w:r>
      <w:r>
        <w:rPr/>
        <w:t>child with acute myeloid leukemia with complete KD and development of CAA, as</w:t>
      </w:r>
      <w:r>
        <w:rPr>
          <w:spacing w:val="-2"/>
        </w:rPr>
        <w:t> </w:t>
      </w:r>
      <w:r>
        <w:rPr/>
        <w:t>well as a 2-year-old boy</w:t>
      </w:r>
      <w:r>
        <w:rPr>
          <w:spacing w:val="-3"/>
        </w:rPr>
        <w:t> </w:t>
      </w:r>
      <w:r>
        <w:rPr/>
        <w:t>with Down syndrome and acute myeloid leukemia with in- complete KD without CAA [26] were also reported.</w:t>
      </w:r>
    </w:p>
    <w:p>
      <w:pPr>
        <w:pStyle w:val="BodyText"/>
        <w:spacing w:before="5"/>
      </w:pPr>
    </w:p>
    <w:p>
      <w:pPr>
        <w:pStyle w:val="Heading4"/>
      </w:pPr>
      <w:r>
        <w:rPr>
          <w:spacing w:val="-2"/>
        </w:rPr>
        <w:t>Conclusion</w:t>
      </w:r>
    </w:p>
    <w:p>
      <w:pPr>
        <w:pStyle w:val="BodyText"/>
        <w:spacing w:before="6"/>
        <w:rPr>
          <w:b/>
          <w:sz w:val="20"/>
        </w:rPr>
      </w:pPr>
    </w:p>
    <w:p>
      <w:pPr>
        <w:pStyle w:val="BodyText"/>
        <w:ind w:left="238" w:right="40"/>
        <w:jc w:val="both"/>
      </w:pPr>
      <w:r>
        <w:rPr/>
        <w:t>In summary, several immunodeficiency disorders are associated with the development of KD, thus suppor- ting an infectious etiology of this disease which invol- ves the inability of the host to eradicate microbial pa- thogens completely through the immune pathways, re- sulting in an inflammatory response. In children with </w:t>
      </w:r>
      <w:r>
        <w:rPr>
          <w:spacing w:val="-2"/>
        </w:rPr>
        <w:t>transient</w:t>
      </w:r>
      <w:r>
        <w:rPr>
          <w:spacing w:val="-12"/>
        </w:rPr>
        <w:t> </w:t>
      </w:r>
      <w:r>
        <w:rPr>
          <w:spacing w:val="-2"/>
        </w:rPr>
        <w:t>hypogammaglobulinemia</w:t>
      </w:r>
      <w:r>
        <w:rPr>
          <w:spacing w:val="-11"/>
        </w:rPr>
        <w:t> </w:t>
      </w:r>
      <w:r>
        <w:rPr>
          <w:spacing w:val="-2"/>
        </w:rPr>
        <w:t>of</w:t>
      </w:r>
      <w:r>
        <w:rPr>
          <w:spacing w:val="-11"/>
        </w:rPr>
        <w:t> </w:t>
      </w:r>
      <w:r>
        <w:rPr>
          <w:spacing w:val="-2"/>
        </w:rPr>
        <w:t>infancy,</w:t>
      </w:r>
      <w:r>
        <w:rPr>
          <w:spacing w:val="-11"/>
        </w:rPr>
        <w:t> </w:t>
      </w:r>
      <w:r>
        <w:rPr>
          <w:spacing w:val="-2"/>
        </w:rPr>
        <w:t>Kawasaki </w:t>
      </w:r>
      <w:r>
        <w:rPr/>
        <w:t>disease should be</w:t>
      </w:r>
      <w:r>
        <w:rPr>
          <w:spacing w:val="-2"/>
        </w:rPr>
        <w:t> </w:t>
      </w:r>
      <w:r>
        <w:rPr/>
        <w:t>included in the differential</w:t>
      </w:r>
      <w:r>
        <w:rPr>
          <w:spacing w:val="-1"/>
        </w:rPr>
        <w:t> </w:t>
      </w:r>
      <w:r>
        <w:rPr/>
        <w:t>diagnosis of a high-grade prolonged fever, as diagnosis of KD prompts immediate IVIG treatment in order to prevent coronary artery disease.</w:t>
      </w:r>
    </w:p>
    <w:p>
      <w:pPr>
        <w:pStyle w:val="BodyText"/>
        <w:spacing w:before="4"/>
      </w:pPr>
    </w:p>
    <w:p>
      <w:pPr>
        <w:spacing w:before="0"/>
        <w:ind w:left="238" w:right="0" w:firstLine="0"/>
        <w:jc w:val="left"/>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1"/>
      </w:pPr>
    </w:p>
    <w:p>
      <w:pPr>
        <w:pStyle w:val="Heading4"/>
      </w:pPr>
      <w:r>
        <w:rPr>
          <w:spacing w:val="-2"/>
        </w:rPr>
        <w:t>References</w:t>
      </w:r>
    </w:p>
    <w:p>
      <w:pPr>
        <w:pStyle w:val="BodyText"/>
        <w:spacing w:before="10"/>
        <w:rPr>
          <w:b/>
          <w:sz w:val="20"/>
        </w:rPr>
      </w:pPr>
    </w:p>
    <w:p>
      <w:pPr>
        <w:pStyle w:val="ListParagraph"/>
        <w:numPr>
          <w:ilvl w:val="0"/>
          <w:numId w:val="13"/>
        </w:numPr>
        <w:tabs>
          <w:tab w:pos="627" w:val="left" w:leader="none"/>
        </w:tabs>
        <w:spacing w:line="240" w:lineRule="auto" w:before="0" w:after="0"/>
        <w:ind w:left="626" w:right="48" w:hanging="389"/>
        <w:jc w:val="both"/>
        <w:rPr>
          <w:sz w:val="18"/>
        </w:rPr>
      </w:pPr>
      <w:r>
        <w:rPr>
          <w:sz w:val="18"/>
        </w:rPr>
        <w:t>Kawasaki</w:t>
      </w:r>
      <w:r>
        <w:rPr>
          <w:spacing w:val="-4"/>
          <w:sz w:val="18"/>
        </w:rPr>
        <w:t> </w:t>
      </w:r>
      <w:r>
        <w:rPr>
          <w:sz w:val="18"/>
        </w:rPr>
        <w:t>T.</w:t>
      </w:r>
      <w:r>
        <w:rPr>
          <w:spacing w:val="-7"/>
          <w:sz w:val="18"/>
        </w:rPr>
        <w:t> </w:t>
      </w:r>
      <w:r>
        <w:rPr>
          <w:sz w:val="18"/>
        </w:rPr>
        <w:t>[Acute</w:t>
      </w:r>
      <w:r>
        <w:rPr>
          <w:spacing w:val="-7"/>
          <w:sz w:val="18"/>
        </w:rPr>
        <w:t> </w:t>
      </w:r>
      <w:r>
        <w:rPr>
          <w:sz w:val="18"/>
        </w:rPr>
        <w:t>febrile</w:t>
      </w:r>
      <w:r>
        <w:rPr>
          <w:spacing w:val="-8"/>
          <w:sz w:val="18"/>
        </w:rPr>
        <w:t> </w:t>
      </w:r>
      <w:r>
        <w:rPr>
          <w:sz w:val="18"/>
        </w:rPr>
        <w:t>mucocutaneous</w:t>
      </w:r>
      <w:r>
        <w:rPr>
          <w:spacing w:val="-8"/>
          <w:sz w:val="18"/>
        </w:rPr>
        <w:t> </w:t>
      </w:r>
      <w:r>
        <w:rPr>
          <w:sz w:val="18"/>
        </w:rPr>
        <w:t>syndrome</w:t>
      </w:r>
      <w:r>
        <w:rPr>
          <w:spacing w:val="-5"/>
          <w:sz w:val="18"/>
        </w:rPr>
        <w:t> </w:t>
      </w:r>
      <w:r>
        <w:rPr>
          <w:sz w:val="18"/>
        </w:rPr>
        <w:t>with lymphoid involvement with specific desquamation of the fingers</w:t>
      </w:r>
      <w:r>
        <w:rPr>
          <w:spacing w:val="-12"/>
          <w:sz w:val="18"/>
        </w:rPr>
        <w:t> </w:t>
      </w:r>
      <w:r>
        <w:rPr>
          <w:sz w:val="18"/>
        </w:rPr>
        <w:t>and</w:t>
      </w:r>
      <w:r>
        <w:rPr>
          <w:spacing w:val="-11"/>
          <w:sz w:val="18"/>
        </w:rPr>
        <w:t> </w:t>
      </w:r>
      <w:r>
        <w:rPr>
          <w:sz w:val="18"/>
        </w:rPr>
        <w:t>toes</w:t>
      </w:r>
      <w:r>
        <w:rPr>
          <w:spacing w:val="-11"/>
          <w:sz w:val="18"/>
        </w:rPr>
        <w:t> </w:t>
      </w:r>
      <w:r>
        <w:rPr>
          <w:sz w:val="18"/>
        </w:rPr>
        <w:t>in</w:t>
      </w:r>
      <w:r>
        <w:rPr>
          <w:spacing w:val="-11"/>
          <w:sz w:val="18"/>
        </w:rPr>
        <w:t> </w:t>
      </w:r>
      <w:r>
        <w:rPr>
          <w:sz w:val="18"/>
        </w:rPr>
        <w:t>children].</w:t>
      </w:r>
      <w:r>
        <w:rPr>
          <w:spacing w:val="-12"/>
          <w:sz w:val="18"/>
        </w:rPr>
        <w:t> </w:t>
      </w:r>
      <w:r>
        <w:rPr>
          <w:i/>
          <w:sz w:val="18"/>
        </w:rPr>
        <w:t>Arerugi</w:t>
      </w:r>
      <w:r>
        <w:rPr>
          <w:i/>
          <w:spacing w:val="-11"/>
          <w:sz w:val="18"/>
        </w:rPr>
        <w:t> </w:t>
      </w:r>
      <w:r>
        <w:rPr>
          <w:sz w:val="18"/>
        </w:rPr>
        <w:t>1967;</w:t>
      </w:r>
      <w:r>
        <w:rPr>
          <w:spacing w:val="-11"/>
          <w:sz w:val="18"/>
        </w:rPr>
        <w:t> </w:t>
      </w:r>
      <w:r>
        <w:rPr>
          <w:sz w:val="18"/>
        </w:rPr>
        <w:t>16(3):</w:t>
      </w:r>
      <w:r>
        <w:rPr>
          <w:spacing w:val="-11"/>
          <w:sz w:val="18"/>
        </w:rPr>
        <w:t> </w:t>
      </w:r>
      <w:r>
        <w:rPr>
          <w:sz w:val="18"/>
        </w:rPr>
        <w:t>178-222.</w:t>
      </w:r>
    </w:p>
    <w:p>
      <w:pPr>
        <w:pStyle w:val="ListParagraph"/>
        <w:numPr>
          <w:ilvl w:val="0"/>
          <w:numId w:val="13"/>
        </w:numPr>
        <w:tabs>
          <w:tab w:pos="627" w:val="left" w:leader="none"/>
        </w:tabs>
        <w:spacing w:line="205" w:lineRule="exact" w:before="0" w:after="0"/>
        <w:ind w:left="626" w:right="0" w:hanging="389"/>
        <w:jc w:val="both"/>
        <w:rPr>
          <w:i/>
          <w:sz w:val="18"/>
        </w:rPr>
      </w:pPr>
      <w:r>
        <w:rPr>
          <w:sz w:val="18"/>
        </w:rPr>
        <w:t>Son</w:t>
      </w:r>
      <w:r>
        <w:rPr>
          <w:spacing w:val="-2"/>
          <w:sz w:val="18"/>
        </w:rPr>
        <w:t> </w:t>
      </w:r>
      <w:r>
        <w:rPr>
          <w:sz w:val="18"/>
        </w:rPr>
        <w:t>MBF,</w:t>
      </w:r>
      <w:r>
        <w:rPr>
          <w:spacing w:val="-3"/>
          <w:sz w:val="18"/>
        </w:rPr>
        <w:t> </w:t>
      </w:r>
      <w:r>
        <w:rPr>
          <w:sz w:val="18"/>
        </w:rPr>
        <w:t>Newburger</w:t>
      </w:r>
      <w:r>
        <w:rPr>
          <w:spacing w:val="-3"/>
          <w:sz w:val="18"/>
        </w:rPr>
        <w:t> </w:t>
      </w:r>
      <w:r>
        <w:rPr>
          <w:sz w:val="18"/>
        </w:rPr>
        <w:t>JW.</w:t>
      </w:r>
      <w:r>
        <w:rPr>
          <w:spacing w:val="-3"/>
          <w:sz w:val="18"/>
        </w:rPr>
        <w:t> </w:t>
      </w:r>
      <w:r>
        <w:rPr>
          <w:sz w:val="18"/>
        </w:rPr>
        <w:t>Kawasaki</w:t>
      </w:r>
      <w:r>
        <w:rPr>
          <w:spacing w:val="-3"/>
          <w:sz w:val="18"/>
        </w:rPr>
        <w:t> </w:t>
      </w:r>
      <w:r>
        <w:rPr>
          <w:sz w:val="18"/>
        </w:rPr>
        <w:t>Disease.</w:t>
      </w:r>
      <w:r>
        <w:rPr>
          <w:spacing w:val="2"/>
          <w:sz w:val="18"/>
        </w:rPr>
        <w:t> </w:t>
      </w:r>
      <w:r>
        <w:rPr>
          <w:i/>
          <w:sz w:val="18"/>
        </w:rPr>
        <w:t>Pediatr</w:t>
      </w:r>
      <w:r>
        <w:rPr>
          <w:i/>
          <w:spacing w:val="-2"/>
          <w:sz w:val="18"/>
        </w:rPr>
        <w:t> </w:t>
      </w:r>
      <w:r>
        <w:rPr>
          <w:i/>
          <w:spacing w:val="-5"/>
          <w:sz w:val="18"/>
        </w:rPr>
        <w:t>Rev</w:t>
      </w:r>
    </w:p>
    <w:p>
      <w:pPr>
        <w:spacing w:before="2"/>
        <w:ind w:left="626" w:right="0" w:firstLine="0"/>
        <w:jc w:val="both"/>
        <w:rPr>
          <w:sz w:val="18"/>
        </w:rPr>
      </w:pPr>
      <w:r>
        <w:rPr>
          <w:sz w:val="18"/>
        </w:rPr>
        <w:t>2018;</w:t>
      </w:r>
      <w:r>
        <w:rPr>
          <w:spacing w:val="-2"/>
          <w:sz w:val="18"/>
        </w:rPr>
        <w:t> </w:t>
      </w:r>
      <w:r>
        <w:rPr>
          <w:sz w:val="18"/>
        </w:rPr>
        <w:t>39(2):</w:t>
      </w:r>
      <w:r>
        <w:rPr>
          <w:spacing w:val="-1"/>
          <w:sz w:val="18"/>
        </w:rPr>
        <w:t> </w:t>
      </w:r>
      <w:r>
        <w:rPr>
          <w:sz w:val="18"/>
        </w:rPr>
        <w:t>78-</w:t>
      </w:r>
      <w:r>
        <w:rPr>
          <w:spacing w:val="-5"/>
          <w:sz w:val="18"/>
        </w:rPr>
        <w:t>90.</w:t>
      </w:r>
    </w:p>
    <w:p>
      <w:pPr>
        <w:pStyle w:val="ListParagraph"/>
        <w:numPr>
          <w:ilvl w:val="0"/>
          <w:numId w:val="13"/>
        </w:numPr>
        <w:tabs>
          <w:tab w:pos="627" w:val="left" w:leader="none"/>
        </w:tabs>
        <w:spacing w:line="240" w:lineRule="auto" w:before="0" w:after="0"/>
        <w:ind w:left="626" w:right="41" w:hanging="389"/>
        <w:jc w:val="both"/>
        <w:rPr>
          <w:sz w:val="18"/>
        </w:rPr>
      </w:pPr>
      <w:r>
        <w:rPr>
          <w:spacing w:val="-2"/>
          <w:sz w:val="18"/>
        </w:rPr>
        <w:t>McCrindle</w:t>
      </w:r>
      <w:r>
        <w:rPr>
          <w:spacing w:val="-6"/>
          <w:sz w:val="18"/>
        </w:rPr>
        <w:t> </w:t>
      </w:r>
      <w:r>
        <w:rPr>
          <w:spacing w:val="-2"/>
          <w:sz w:val="18"/>
        </w:rPr>
        <w:t>BW,</w:t>
      </w:r>
      <w:r>
        <w:rPr>
          <w:spacing w:val="-4"/>
          <w:sz w:val="18"/>
        </w:rPr>
        <w:t> </w:t>
      </w:r>
      <w:r>
        <w:rPr>
          <w:spacing w:val="-2"/>
          <w:sz w:val="18"/>
        </w:rPr>
        <w:t>Rowley</w:t>
      </w:r>
      <w:r>
        <w:rPr>
          <w:spacing w:val="-6"/>
          <w:sz w:val="18"/>
        </w:rPr>
        <w:t> </w:t>
      </w:r>
      <w:r>
        <w:rPr>
          <w:spacing w:val="-2"/>
          <w:sz w:val="18"/>
        </w:rPr>
        <w:t>AH,</w:t>
      </w:r>
      <w:r>
        <w:rPr>
          <w:spacing w:val="-4"/>
          <w:sz w:val="18"/>
        </w:rPr>
        <w:t> </w:t>
      </w:r>
      <w:r>
        <w:rPr>
          <w:spacing w:val="-2"/>
          <w:sz w:val="18"/>
        </w:rPr>
        <w:t>Newburger</w:t>
      </w:r>
      <w:r>
        <w:rPr>
          <w:spacing w:val="-5"/>
          <w:sz w:val="18"/>
        </w:rPr>
        <w:t> </w:t>
      </w:r>
      <w:r>
        <w:rPr>
          <w:spacing w:val="-2"/>
          <w:sz w:val="18"/>
        </w:rPr>
        <w:t>JW,</w:t>
      </w:r>
      <w:r>
        <w:rPr>
          <w:spacing w:val="-3"/>
          <w:sz w:val="18"/>
        </w:rPr>
        <w:t> </w:t>
      </w:r>
      <w:r>
        <w:rPr>
          <w:i/>
          <w:spacing w:val="-2"/>
          <w:sz w:val="18"/>
        </w:rPr>
        <w:t>et</w:t>
      </w:r>
      <w:r>
        <w:rPr>
          <w:i/>
          <w:spacing w:val="-7"/>
          <w:sz w:val="18"/>
        </w:rPr>
        <w:t> </w:t>
      </w:r>
      <w:r>
        <w:rPr>
          <w:i/>
          <w:spacing w:val="-2"/>
          <w:sz w:val="18"/>
        </w:rPr>
        <w:t>al</w:t>
      </w:r>
      <w:r>
        <w:rPr>
          <w:spacing w:val="-2"/>
          <w:sz w:val="18"/>
        </w:rPr>
        <w:t>.</w:t>
      </w:r>
      <w:r>
        <w:rPr>
          <w:spacing w:val="-4"/>
          <w:sz w:val="18"/>
        </w:rPr>
        <w:t> </w:t>
      </w:r>
      <w:r>
        <w:rPr>
          <w:spacing w:val="-2"/>
          <w:sz w:val="18"/>
        </w:rPr>
        <w:t>Diagno- </w:t>
      </w:r>
      <w:r>
        <w:rPr>
          <w:sz w:val="18"/>
        </w:rPr>
        <w:t>sis, Treatment, and Long-Term Management of Kawasaki Disease: A Scientific Statement for Health Professionals From the American Heart Association.</w:t>
      </w:r>
      <w:r>
        <w:rPr>
          <w:spacing w:val="-3"/>
          <w:sz w:val="18"/>
        </w:rPr>
        <w:t> </w:t>
      </w:r>
      <w:r>
        <w:rPr>
          <w:i/>
          <w:sz w:val="18"/>
        </w:rPr>
        <w:t>Circulation </w:t>
      </w:r>
      <w:r>
        <w:rPr>
          <w:sz w:val="18"/>
        </w:rPr>
        <w:t>2017; 135(17): e927-e999.</w:t>
      </w:r>
    </w:p>
    <w:p>
      <w:pPr>
        <w:pStyle w:val="ListParagraph"/>
        <w:numPr>
          <w:ilvl w:val="0"/>
          <w:numId w:val="13"/>
        </w:numPr>
        <w:tabs>
          <w:tab w:pos="627" w:val="left" w:leader="none"/>
        </w:tabs>
        <w:spacing w:line="240" w:lineRule="auto" w:before="0" w:after="0"/>
        <w:ind w:left="626" w:right="42" w:hanging="389"/>
        <w:jc w:val="both"/>
        <w:rPr>
          <w:sz w:val="18"/>
        </w:rPr>
      </w:pPr>
      <w:r>
        <w:rPr>
          <w:spacing w:val="-4"/>
          <w:sz w:val="18"/>
        </w:rPr>
        <w:t>Onouchi Y. Susceptibility</w:t>
      </w:r>
      <w:r>
        <w:rPr>
          <w:spacing w:val="-5"/>
          <w:sz w:val="18"/>
        </w:rPr>
        <w:t> </w:t>
      </w:r>
      <w:r>
        <w:rPr>
          <w:spacing w:val="-4"/>
          <w:sz w:val="18"/>
        </w:rPr>
        <w:t>genes for Kawasaki disease.</w:t>
      </w:r>
      <w:r>
        <w:rPr>
          <w:sz w:val="18"/>
        </w:rPr>
        <w:t> </w:t>
      </w:r>
      <w:r>
        <w:rPr>
          <w:i/>
          <w:spacing w:val="-4"/>
          <w:sz w:val="18"/>
        </w:rPr>
        <w:t>Nihon</w:t>
      </w:r>
      <w:r>
        <w:rPr>
          <w:i/>
          <w:spacing w:val="-4"/>
          <w:sz w:val="18"/>
        </w:rPr>
        <w:t> </w:t>
      </w:r>
      <w:r>
        <w:rPr>
          <w:i/>
          <w:sz w:val="18"/>
        </w:rPr>
        <w:t>Rinsho </w:t>
      </w:r>
      <w:r>
        <w:rPr>
          <w:sz w:val="18"/>
        </w:rPr>
        <w:t>2014; 72(9): 1554-1560.</w:t>
      </w:r>
    </w:p>
    <w:p>
      <w:pPr>
        <w:pStyle w:val="ListParagraph"/>
        <w:numPr>
          <w:ilvl w:val="0"/>
          <w:numId w:val="13"/>
        </w:numPr>
        <w:tabs>
          <w:tab w:pos="627" w:val="left" w:leader="none"/>
        </w:tabs>
        <w:spacing w:line="240" w:lineRule="auto" w:before="1" w:after="0"/>
        <w:ind w:left="626" w:right="41" w:hanging="389"/>
        <w:jc w:val="both"/>
        <w:rPr>
          <w:sz w:val="18"/>
        </w:rPr>
      </w:pPr>
      <w:r>
        <w:rPr>
          <w:spacing w:val="-2"/>
          <w:sz w:val="18"/>
        </w:rPr>
        <w:t>Angel</w:t>
      </w:r>
      <w:r>
        <w:rPr>
          <w:spacing w:val="-10"/>
          <w:sz w:val="18"/>
        </w:rPr>
        <w:t> </w:t>
      </w:r>
      <w:r>
        <w:rPr>
          <w:spacing w:val="-2"/>
          <w:sz w:val="18"/>
        </w:rPr>
        <w:t>A</w:t>
      </w:r>
      <w:r>
        <w:rPr>
          <w:spacing w:val="-3"/>
          <w:sz w:val="18"/>
        </w:rPr>
        <w:t> </w:t>
      </w:r>
      <w:r>
        <w:rPr>
          <w:spacing w:val="-2"/>
          <w:sz w:val="18"/>
        </w:rPr>
        <w:t>Justiz</w:t>
      </w:r>
      <w:r>
        <w:rPr>
          <w:spacing w:val="-5"/>
          <w:sz w:val="18"/>
        </w:rPr>
        <w:t> </w:t>
      </w:r>
      <w:r>
        <w:rPr>
          <w:spacing w:val="-2"/>
          <w:sz w:val="18"/>
        </w:rPr>
        <w:t>Vaillant,</w:t>
      </w:r>
      <w:r>
        <w:rPr>
          <w:spacing w:val="-10"/>
          <w:sz w:val="18"/>
        </w:rPr>
        <w:t> </w:t>
      </w:r>
      <w:r>
        <w:rPr>
          <w:spacing w:val="-2"/>
          <w:sz w:val="18"/>
        </w:rPr>
        <w:t>Allecia M.</w:t>
      </w:r>
      <w:r>
        <w:rPr>
          <w:spacing w:val="-3"/>
          <w:sz w:val="18"/>
        </w:rPr>
        <w:t> </w:t>
      </w:r>
      <w:r>
        <w:rPr>
          <w:spacing w:val="-2"/>
          <w:sz w:val="18"/>
        </w:rPr>
        <w:t>Wilson.Transient Hypo- </w:t>
      </w:r>
      <w:r>
        <w:rPr>
          <w:sz w:val="18"/>
        </w:rPr>
        <w:t>gammaglobulinemia of Infancy Treasure Island (FL): Stat Pearls Publishing; 2020.</w:t>
      </w:r>
    </w:p>
    <w:p>
      <w:pPr>
        <w:pStyle w:val="ListParagraph"/>
        <w:numPr>
          <w:ilvl w:val="0"/>
          <w:numId w:val="13"/>
        </w:numPr>
        <w:tabs>
          <w:tab w:pos="627" w:val="left" w:leader="none"/>
        </w:tabs>
        <w:spacing w:line="240" w:lineRule="auto" w:before="0" w:after="0"/>
        <w:ind w:left="626" w:right="43" w:hanging="389"/>
        <w:jc w:val="both"/>
        <w:rPr>
          <w:sz w:val="18"/>
        </w:rPr>
      </w:pPr>
      <w:r>
        <w:rPr>
          <w:sz w:val="18"/>
        </w:rPr>
        <w:t>Dalal I, Reid B, Nisbet-Brown E, Roifman CM. The out- come of</w:t>
      </w:r>
      <w:r>
        <w:rPr>
          <w:spacing w:val="-1"/>
          <w:sz w:val="18"/>
        </w:rPr>
        <w:t> </w:t>
      </w:r>
      <w:r>
        <w:rPr>
          <w:sz w:val="18"/>
        </w:rPr>
        <w:t>patients with hypogammaglobulinemia</w:t>
      </w:r>
      <w:r>
        <w:rPr>
          <w:spacing w:val="-2"/>
          <w:sz w:val="18"/>
        </w:rPr>
        <w:t> </w:t>
      </w:r>
      <w:r>
        <w:rPr>
          <w:sz w:val="18"/>
        </w:rPr>
        <w:t>in infancy and early childhood. </w:t>
      </w:r>
      <w:r>
        <w:rPr>
          <w:i/>
          <w:sz w:val="18"/>
        </w:rPr>
        <w:t>J Pediatr </w:t>
      </w:r>
      <w:r>
        <w:rPr>
          <w:sz w:val="18"/>
        </w:rPr>
        <w:t>1998; 133(1): 144-146.</w:t>
      </w:r>
    </w:p>
    <w:p>
      <w:pPr>
        <w:pStyle w:val="ListParagraph"/>
        <w:numPr>
          <w:ilvl w:val="0"/>
          <w:numId w:val="13"/>
        </w:numPr>
        <w:tabs>
          <w:tab w:pos="627" w:val="left" w:leader="none"/>
        </w:tabs>
        <w:spacing w:line="240" w:lineRule="auto" w:before="0" w:after="0"/>
        <w:ind w:left="626" w:right="38" w:hanging="389"/>
        <w:jc w:val="both"/>
        <w:rPr>
          <w:sz w:val="18"/>
        </w:rPr>
      </w:pPr>
      <w:r>
        <w:rPr>
          <w:spacing w:val="-4"/>
          <w:sz w:val="18"/>
        </w:rPr>
        <w:t>Guzide</w:t>
      </w:r>
      <w:r>
        <w:rPr>
          <w:spacing w:val="-7"/>
          <w:sz w:val="18"/>
        </w:rPr>
        <w:t> </w:t>
      </w:r>
      <w:r>
        <w:rPr>
          <w:spacing w:val="-4"/>
          <w:sz w:val="18"/>
        </w:rPr>
        <w:t>Aksu,</w:t>
      </w:r>
      <w:r>
        <w:rPr>
          <w:spacing w:val="-7"/>
          <w:sz w:val="18"/>
        </w:rPr>
        <w:t> </w:t>
      </w:r>
      <w:r>
        <w:rPr>
          <w:spacing w:val="-4"/>
          <w:sz w:val="18"/>
        </w:rPr>
        <w:t>Ferah</w:t>
      </w:r>
      <w:r>
        <w:rPr>
          <w:spacing w:val="-1"/>
          <w:sz w:val="18"/>
        </w:rPr>
        <w:t> </w:t>
      </w:r>
      <w:r>
        <w:rPr>
          <w:spacing w:val="-4"/>
          <w:sz w:val="18"/>
        </w:rPr>
        <w:t>Genel,</w:t>
      </w:r>
      <w:r>
        <w:rPr>
          <w:spacing w:val="-6"/>
          <w:sz w:val="18"/>
        </w:rPr>
        <w:t> </w:t>
      </w:r>
      <w:r>
        <w:rPr>
          <w:spacing w:val="-4"/>
          <w:sz w:val="18"/>
        </w:rPr>
        <w:t>Guldane</w:t>
      </w:r>
      <w:r>
        <w:rPr>
          <w:spacing w:val="-6"/>
          <w:sz w:val="18"/>
        </w:rPr>
        <w:t> </w:t>
      </w:r>
      <w:r>
        <w:rPr>
          <w:spacing w:val="-4"/>
          <w:sz w:val="18"/>
        </w:rPr>
        <w:t>Koturogğlu,</w:t>
      </w:r>
      <w:r>
        <w:rPr>
          <w:spacing w:val="-8"/>
          <w:sz w:val="18"/>
        </w:rPr>
        <w:t> </w:t>
      </w:r>
      <w:r>
        <w:rPr>
          <w:i/>
          <w:spacing w:val="-4"/>
          <w:sz w:val="18"/>
        </w:rPr>
        <w:t>et</w:t>
      </w:r>
      <w:r>
        <w:rPr>
          <w:i/>
          <w:spacing w:val="-5"/>
          <w:sz w:val="18"/>
        </w:rPr>
        <w:t> </w:t>
      </w:r>
      <w:r>
        <w:rPr>
          <w:i/>
          <w:spacing w:val="-4"/>
          <w:sz w:val="18"/>
        </w:rPr>
        <w:t>al. </w:t>
      </w:r>
      <w:r>
        <w:rPr>
          <w:spacing w:val="-4"/>
          <w:sz w:val="18"/>
        </w:rPr>
        <w:t>Serum </w:t>
      </w:r>
      <w:r>
        <w:rPr>
          <w:sz w:val="18"/>
        </w:rPr>
        <w:t>immunoglobulin (IgG, IgM, IgA) and IgG subclass con- centrations in healthy children: a study using nephelomet- ric technique. </w:t>
      </w:r>
      <w:r>
        <w:rPr>
          <w:i/>
          <w:sz w:val="18"/>
        </w:rPr>
        <w:t>Turk J Pediatr Jan-Mar </w:t>
      </w:r>
      <w:r>
        <w:rPr>
          <w:sz w:val="18"/>
        </w:rPr>
        <w:t>2006; 48(1): 19-24.</w:t>
      </w:r>
    </w:p>
    <w:p>
      <w:pPr>
        <w:pStyle w:val="ListParagraph"/>
        <w:numPr>
          <w:ilvl w:val="0"/>
          <w:numId w:val="13"/>
        </w:numPr>
        <w:tabs>
          <w:tab w:pos="627" w:val="left" w:leader="none"/>
        </w:tabs>
        <w:spacing w:line="240" w:lineRule="auto" w:before="0" w:after="0"/>
        <w:ind w:left="626" w:right="41" w:hanging="389"/>
        <w:jc w:val="both"/>
        <w:rPr>
          <w:sz w:val="18"/>
        </w:rPr>
      </w:pPr>
      <w:r>
        <w:rPr>
          <w:sz w:val="18"/>
        </w:rPr>
        <w:t>Burcin</w:t>
      </w:r>
      <w:r>
        <w:rPr>
          <w:spacing w:val="-1"/>
          <w:sz w:val="18"/>
        </w:rPr>
        <w:t> </w:t>
      </w:r>
      <w:r>
        <w:rPr>
          <w:sz w:val="18"/>
        </w:rPr>
        <w:t>Sanlıdag,</w:t>
      </w:r>
      <w:r>
        <w:rPr>
          <w:spacing w:val="-2"/>
          <w:sz w:val="18"/>
        </w:rPr>
        <w:t> </w:t>
      </w:r>
      <w:r>
        <w:rPr>
          <w:sz w:val="18"/>
        </w:rPr>
        <w:t>Ceyhun</w:t>
      </w:r>
      <w:r>
        <w:rPr>
          <w:spacing w:val="-2"/>
          <w:sz w:val="18"/>
        </w:rPr>
        <w:t> </w:t>
      </w:r>
      <w:r>
        <w:rPr>
          <w:sz w:val="18"/>
        </w:rPr>
        <w:t>Dalkan,</w:t>
      </w:r>
      <w:r>
        <w:rPr>
          <w:spacing w:val="-2"/>
          <w:sz w:val="18"/>
        </w:rPr>
        <w:t> </w:t>
      </w:r>
      <w:r>
        <w:rPr>
          <w:sz w:val="18"/>
        </w:rPr>
        <w:t>and</w:t>
      </w:r>
      <w:r>
        <w:rPr>
          <w:spacing w:val="-2"/>
          <w:sz w:val="18"/>
        </w:rPr>
        <w:t> </w:t>
      </w:r>
      <w:r>
        <w:rPr>
          <w:sz w:val="18"/>
        </w:rPr>
        <w:t>Nerin</w:t>
      </w:r>
      <w:r>
        <w:rPr>
          <w:spacing w:val="-1"/>
          <w:sz w:val="18"/>
        </w:rPr>
        <w:t> </w:t>
      </w:r>
      <w:r>
        <w:rPr>
          <w:sz w:val="18"/>
        </w:rPr>
        <w:t>Bahçeciler. A </w:t>
      </w:r>
      <w:r>
        <w:rPr>
          <w:spacing w:val="-2"/>
          <w:sz w:val="18"/>
        </w:rPr>
        <w:t>case report: incomplete Kawasaki disease in a hypogamma-</w:t>
      </w:r>
    </w:p>
    <w:p>
      <w:pPr>
        <w:spacing w:before="94"/>
        <w:ind w:left="626" w:right="292" w:firstLine="0"/>
        <w:jc w:val="both"/>
        <w:rPr>
          <w:sz w:val="18"/>
        </w:rPr>
      </w:pPr>
      <w:r>
        <w:rPr/>
        <w:br w:type="column"/>
      </w:r>
      <w:r>
        <w:rPr>
          <w:sz w:val="18"/>
        </w:rPr>
        <w:t>globulinemic child. </w:t>
      </w:r>
      <w:r>
        <w:rPr>
          <w:i/>
          <w:sz w:val="18"/>
        </w:rPr>
        <w:t>Arch Argent Pediatr </w:t>
      </w:r>
      <w:r>
        <w:rPr>
          <w:sz w:val="18"/>
        </w:rPr>
        <w:t>2018; 116(2): </w:t>
      </w:r>
      <w:r>
        <w:rPr>
          <w:spacing w:val="-2"/>
          <w:sz w:val="18"/>
        </w:rPr>
        <w:t>e322-e324/e322.</w:t>
      </w:r>
    </w:p>
    <w:p>
      <w:pPr>
        <w:pStyle w:val="ListParagraph"/>
        <w:numPr>
          <w:ilvl w:val="0"/>
          <w:numId w:val="13"/>
        </w:numPr>
        <w:tabs>
          <w:tab w:pos="627" w:val="left" w:leader="none"/>
        </w:tabs>
        <w:spacing w:line="240" w:lineRule="auto" w:before="0" w:after="0"/>
        <w:ind w:left="626" w:right="293" w:hanging="389"/>
        <w:jc w:val="both"/>
        <w:rPr>
          <w:sz w:val="18"/>
        </w:rPr>
      </w:pPr>
      <w:r>
        <w:rPr>
          <w:sz w:val="18"/>
        </w:rPr>
        <w:t>Muneuchi J, Ishimura M, Takada H, </w:t>
      </w:r>
      <w:r>
        <w:rPr>
          <w:i/>
          <w:sz w:val="18"/>
        </w:rPr>
        <w:t>et al</w:t>
      </w:r>
      <w:r>
        <w:rPr>
          <w:sz w:val="18"/>
        </w:rPr>
        <w:t>. Incomplete Kawasaki disease in a patient with chronic granulomatous disease. </w:t>
      </w:r>
      <w:r>
        <w:rPr>
          <w:i/>
          <w:sz w:val="18"/>
        </w:rPr>
        <w:t>Pediatr Int </w:t>
      </w:r>
      <w:r>
        <w:rPr>
          <w:sz w:val="18"/>
        </w:rPr>
        <w:t>2010; 52(3): e134- e136.</w:t>
      </w:r>
    </w:p>
    <w:p>
      <w:pPr>
        <w:pStyle w:val="ListParagraph"/>
        <w:numPr>
          <w:ilvl w:val="0"/>
          <w:numId w:val="13"/>
        </w:numPr>
        <w:tabs>
          <w:tab w:pos="627" w:val="left" w:leader="none"/>
        </w:tabs>
        <w:spacing w:line="240" w:lineRule="auto" w:before="0" w:after="0"/>
        <w:ind w:left="626" w:right="291" w:hanging="389"/>
        <w:jc w:val="both"/>
        <w:rPr>
          <w:sz w:val="18"/>
        </w:rPr>
      </w:pPr>
      <w:r>
        <w:rPr>
          <w:spacing w:val="-4"/>
          <w:sz w:val="18"/>
        </w:rPr>
        <w:t>Yamazaki-Nakashimada</w:t>
      </w:r>
      <w:r>
        <w:rPr>
          <w:spacing w:val="-8"/>
          <w:sz w:val="18"/>
        </w:rPr>
        <w:t> </w:t>
      </w:r>
      <w:r>
        <w:rPr>
          <w:spacing w:val="-4"/>
          <w:sz w:val="18"/>
        </w:rPr>
        <w:t>MA, Ramírez-Vargas</w:t>
      </w:r>
      <w:r>
        <w:rPr>
          <w:spacing w:val="-5"/>
          <w:sz w:val="18"/>
        </w:rPr>
        <w:t> </w:t>
      </w:r>
      <w:r>
        <w:rPr>
          <w:spacing w:val="-4"/>
          <w:sz w:val="18"/>
        </w:rPr>
        <w:t>N,</w:t>
      </w:r>
      <w:r>
        <w:rPr>
          <w:spacing w:val="-6"/>
          <w:sz w:val="18"/>
        </w:rPr>
        <w:t> </w:t>
      </w:r>
      <w:r>
        <w:rPr>
          <w:spacing w:val="-4"/>
          <w:sz w:val="18"/>
        </w:rPr>
        <w:t>De</w:t>
      </w:r>
      <w:r>
        <w:rPr>
          <w:spacing w:val="-8"/>
          <w:sz w:val="18"/>
        </w:rPr>
        <w:t> </w:t>
      </w:r>
      <w:r>
        <w:rPr>
          <w:spacing w:val="-4"/>
          <w:sz w:val="18"/>
        </w:rPr>
        <w:t>Rubens </w:t>
      </w:r>
      <w:r>
        <w:rPr>
          <w:sz w:val="18"/>
        </w:rPr>
        <w:t>Figueroa</w:t>
      </w:r>
      <w:r>
        <w:rPr>
          <w:spacing w:val="-7"/>
          <w:sz w:val="18"/>
        </w:rPr>
        <w:t> </w:t>
      </w:r>
      <w:r>
        <w:rPr>
          <w:sz w:val="18"/>
        </w:rPr>
        <w:t>J.</w:t>
      </w:r>
      <w:r>
        <w:rPr>
          <w:spacing w:val="-6"/>
          <w:sz w:val="18"/>
        </w:rPr>
        <w:t> </w:t>
      </w:r>
      <w:r>
        <w:rPr>
          <w:sz w:val="18"/>
        </w:rPr>
        <w:t>Chronic</w:t>
      </w:r>
      <w:r>
        <w:rPr>
          <w:spacing w:val="-7"/>
          <w:sz w:val="18"/>
        </w:rPr>
        <w:t> </w:t>
      </w:r>
      <w:r>
        <w:rPr>
          <w:sz w:val="18"/>
        </w:rPr>
        <w:t>granulomatous</w:t>
      </w:r>
      <w:r>
        <w:rPr>
          <w:spacing w:val="-8"/>
          <w:sz w:val="18"/>
        </w:rPr>
        <w:t> </w:t>
      </w:r>
      <w:r>
        <w:rPr>
          <w:sz w:val="18"/>
        </w:rPr>
        <w:t>disease</w:t>
      </w:r>
      <w:r>
        <w:rPr>
          <w:spacing w:val="-7"/>
          <w:sz w:val="18"/>
        </w:rPr>
        <w:t> </w:t>
      </w:r>
      <w:r>
        <w:rPr>
          <w:sz w:val="18"/>
        </w:rPr>
        <w:t>associated</w:t>
      </w:r>
      <w:r>
        <w:rPr>
          <w:spacing w:val="-6"/>
          <w:sz w:val="18"/>
        </w:rPr>
        <w:t> </w:t>
      </w:r>
      <w:r>
        <w:rPr>
          <w:sz w:val="18"/>
        </w:rPr>
        <w:t>with </w:t>
      </w:r>
      <w:r>
        <w:rPr>
          <w:spacing w:val="-4"/>
          <w:sz w:val="18"/>
        </w:rPr>
        <w:t>atypical</w:t>
      </w:r>
      <w:r>
        <w:rPr>
          <w:spacing w:val="-11"/>
          <w:sz w:val="18"/>
        </w:rPr>
        <w:t> </w:t>
      </w:r>
      <w:r>
        <w:rPr>
          <w:spacing w:val="-4"/>
          <w:sz w:val="18"/>
        </w:rPr>
        <w:t>Kawasaki</w:t>
      </w:r>
      <w:r>
        <w:rPr>
          <w:spacing w:val="-11"/>
          <w:sz w:val="18"/>
        </w:rPr>
        <w:t> </w:t>
      </w:r>
      <w:r>
        <w:rPr>
          <w:spacing w:val="-4"/>
          <w:sz w:val="18"/>
        </w:rPr>
        <w:t>disease.</w:t>
      </w:r>
      <w:r>
        <w:rPr>
          <w:spacing w:val="-11"/>
          <w:sz w:val="18"/>
        </w:rPr>
        <w:t> </w:t>
      </w:r>
      <w:r>
        <w:rPr>
          <w:i/>
          <w:spacing w:val="-4"/>
          <w:sz w:val="18"/>
        </w:rPr>
        <w:t>Pediatr</w:t>
      </w:r>
      <w:r>
        <w:rPr>
          <w:i/>
          <w:spacing w:val="-12"/>
          <w:sz w:val="18"/>
        </w:rPr>
        <w:t> </w:t>
      </w:r>
      <w:r>
        <w:rPr>
          <w:i/>
          <w:spacing w:val="-4"/>
          <w:sz w:val="18"/>
        </w:rPr>
        <w:t>Cardiol</w:t>
      </w:r>
      <w:r>
        <w:rPr>
          <w:i/>
          <w:spacing w:val="-14"/>
          <w:sz w:val="18"/>
        </w:rPr>
        <w:t> </w:t>
      </w:r>
      <w:r>
        <w:rPr>
          <w:spacing w:val="-4"/>
          <w:sz w:val="18"/>
        </w:rPr>
        <w:t>2008;</w:t>
      </w:r>
      <w:r>
        <w:rPr>
          <w:spacing w:val="-12"/>
          <w:sz w:val="18"/>
        </w:rPr>
        <w:t> </w:t>
      </w:r>
      <w:r>
        <w:rPr>
          <w:spacing w:val="-4"/>
          <w:sz w:val="18"/>
        </w:rPr>
        <w:t>29:</w:t>
      </w:r>
      <w:r>
        <w:rPr>
          <w:spacing w:val="-14"/>
          <w:sz w:val="18"/>
        </w:rPr>
        <w:t> </w:t>
      </w:r>
      <w:r>
        <w:rPr>
          <w:spacing w:val="-4"/>
          <w:sz w:val="18"/>
        </w:rPr>
        <w:t>169-171.</w:t>
      </w:r>
    </w:p>
    <w:p>
      <w:pPr>
        <w:pStyle w:val="ListParagraph"/>
        <w:numPr>
          <w:ilvl w:val="0"/>
          <w:numId w:val="13"/>
        </w:numPr>
        <w:tabs>
          <w:tab w:pos="627" w:val="left" w:leader="none"/>
        </w:tabs>
        <w:spacing w:line="240" w:lineRule="auto" w:before="0" w:after="0"/>
        <w:ind w:left="626" w:right="292" w:hanging="389"/>
        <w:jc w:val="both"/>
        <w:rPr>
          <w:sz w:val="18"/>
        </w:rPr>
      </w:pPr>
      <w:r>
        <w:rPr>
          <w:sz w:val="18"/>
        </w:rPr>
        <w:t>Tsuge M, Shigemitsu Y, Yano Y, </w:t>
      </w:r>
      <w:r>
        <w:rPr>
          <w:i/>
          <w:sz w:val="18"/>
        </w:rPr>
        <w:t>et al</w:t>
      </w:r>
      <w:r>
        <w:rPr>
          <w:sz w:val="18"/>
        </w:rPr>
        <w:t>. Immunoglobulin resistance</w:t>
      </w:r>
      <w:r>
        <w:rPr>
          <w:spacing w:val="-12"/>
          <w:sz w:val="18"/>
        </w:rPr>
        <w:t> </w:t>
      </w:r>
      <w:r>
        <w:rPr>
          <w:sz w:val="18"/>
        </w:rPr>
        <w:t>in</w:t>
      </w:r>
      <w:r>
        <w:rPr>
          <w:spacing w:val="-11"/>
          <w:sz w:val="18"/>
        </w:rPr>
        <w:t> </w:t>
      </w:r>
      <w:r>
        <w:rPr>
          <w:sz w:val="18"/>
        </w:rPr>
        <w:t>Kawasaki</w:t>
      </w:r>
      <w:r>
        <w:rPr>
          <w:spacing w:val="-11"/>
          <w:sz w:val="18"/>
        </w:rPr>
        <w:t> </w:t>
      </w:r>
      <w:r>
        <w:rPr>
          <w:sz w:val="18"/>
        </w:rPr>
        <w:t>disease</w:t>
      </w:r>
      <w:r>
        <w:rPr>
          <w:spacing w:val="-11"/>
          <w:sz w:val="18"/>
        </w:rPr>
        <w:t> </w:t>
      </w:r>
      <w:r>
        <w:rPr>
          <w:sz w:val="18"/>
        </w:rPr>
        <w:t>with</w:t>
      </w:r>
      <w:r>
        <w:rPr>
          <w:spacing w:val="-12"/>
          <w:sz w:val="18"/>
        </w:rPr>
        <w:t> </w:t>
      </w:r>
      <w:r>
        <w:rPr>
          <w:sz w:val="18"/>
        </w:rPr>
        <w:t>chronic</w:t>
      </w:r>
      <w:r>
        <w:rPr>
          <w:spacing w:val="-7"/>
          <w:sz w:val="18"/>
        </w:rPr>
        <w:t> </w:t>
      </w:r>
      <w:r>
        <w:rPr>
          <w:sz w:val="18"/>
        </w:rPr>
        <w:t>granulomatous disease. </w:t>
      </w:r>
      <w:r>
        <w:rPr>
          <w:i/>
          <w:sz w:val="18"/>
        </w:rPr>
        <w:t>Pediatr Int </w:t>
      </w:r>
      <w:r>
        <w:rPr>
          <w:sz w:val="18"/>
        </w:rPr>
        <w:t>2012; 54: e32-e34.</w:t>
      </w:r>
    </w:p>
    <w:p>
      <w:pPr>
        <w:pStyle w:val="ListParagraph"/>
        <w:numPr>
          <w:ilvl w:val="0"/>
          <w:numId w:val="13"/>
        </w:numPr>
        <w:tabs>
          <w:tab w:pos="627" w:val="left" w:leader="none"/>
        </w:tabs>
        <w:spacing w:line="207" w:lineRule="exact" w:before="1" w:after="0"/>
        <w:ind w:left="626" w:right="0" w:hanging="389"/>
        <w:jc w:val="both"/>
        <w:rPr>
          <w:sz w:val="18"/>
        </w:rPr>
      </w:pPr>
      <w:r>
        <w:rPr>
          <w:sz w:val="18"/>
        </w:rPr>
        <w:t>Hule</w:t>
      </w:r>
      <w:r>
        <w:rPr>
          <w:spacing w:val="49"/>
          <w:sz w:val="18"/>
        </w:rPr>
        <w:t> </w:t>
      </w:r>
      <w:r>
        <w:rPr>
          <w:sz w:val="18"/>
        </w:rPr>
        <w:t>GP,</w:t>
      </w:r>
      <w:r>
        <w:rPr>
          <w:spacing w:val="48"/>
          <w:sz w:val="18"/>
        </w:rPr>
        <w:t> </w:t>
      </w:r>
      <w:r>
        <w:rPr>
          <w:sz w:val="18"/>
        </w:rPr>
        <w:t>Kanvinde</w:t>
      </w:r>
      <w:r>
        <w:rPr>
          <w:spacing w:val="48"/>
          <w:sz w:val="18"/>
        </w:rPr>
        <w:t> </w:t>
      </w:r>
      <w:r>
        <w:rPr>
          <w:sz w:val="18"/>
        </w:rPr>
        <w:t>PR,</w:t>
      </w:r>
      <w:r>
        <w:rPr>
          <w:spacing w:val="49"/>
          <w:sz w:val="18"/>
        </w:rPr>
        <w:t> </w:t>
      </w:r>
      <w:r>
        <w:rPr>
          <w:sz w:val="18"/>
        </w:rPr>
        <w:t>Kulkarni</w:t>
      </w:r>
      <w:r>
        <w:rPr>
          <w:spacing w:val="48"/>
          <w:sz w:val="18"/>
        </w:rPr>
        <w:t> </w:t>
      </w:r>
      <w:r>
        <w:rPr>
          <w:sz w:val="18"/>
        </w:rPr>
        <w:t>MA,</w:t>
      </w:r>
      <w:r>
        <w:rPr>
          <w:spacing w:val="49"/>
          <w:sz w:val="18"/>
        </w:rPr>
        <w:t> </w:t>
      </w:r>
      <w:r>
        <w:rPr>
          <w:i/>
          <w:sz w:val="18"/>
        </w:rPr>
        <w:t>et</w:t>
      </w:r>
      <w:r>
        <w:rPr>
          <w:i/>
          <w:spacing w:val="49"/>
          <w:sz w:val="18"/>
        </w:rPr>
        <w:t> </w:t>
      </w:r>
      <w:r>
        <w:rPr>
          <w:i/>
          <w:sz w:val="18"/>
        </w:rPr>
        <w:t>al</w:t>
      </w:r>
      <w:r>
        <w:rPr>
          <w:sz w:val="18"/>
        </w:rPr>
        <w:t>.</w:t>
      </w:r>
      <w:r>
        <w:rPr>
          <w:spacing w:val="49"/>
          <w:sz w:val="18"/>
        </w:rPr>
        <w:t> </w:t>
      </w:r>
      <w:r>
        <w:rPr>
          <w:spacing w:val="-2"/>
          <w:sz w:val="18"/>
        </w:rPr>
        <w:t>p47phox</w:t>
      </w:r>
    </w:p>
    <w:p>
      <w:pPr>
        <w:spacing w:before="0"/>
        <w:ind w:left="626" w:right="290" w:firstLine="0"/>
        <w:jc w:val="both"/>
        <w:rPr>
          <w:sz w:val="18"/>
        </w:rPr>
      </w:pPr>
      <w:r>
        <w:rPr>
          <w:sz w:val="18"/>
        </w:rPr>
        <w:t>−/−</w:t>
      </w:r>
      <w:r>
        <w:rPr>
          <w:spacing w:val="-12"/>
          <w:sz w:val="18"/>
        </w:rPr>
        <w:t> </w:t>
      </w:r>
      <w:r>
        <w:rPr>
          <w:sz w:val="18"/>
        </w:rPr>
        <w:t>chronic</w:t>
      </w:r>
      <w:r>
        <w:rPr>
          <w:spacing w:val="-11"/>
          <w:sz w:val="18"/>
        </w:rPr>
        <w:t> </w:t>
      </w:r>
      <w:r>
        <w:rPr>
          <w:sz w:val="18"/>
        </w:rPr>
        <w:t>granulomatous</w:t>
      </w:r>
      <w:r>
        <w:rPr>
          <w:spacing w:val="-11"/>
          <w:sz w:val="18"/>
        </w:rPr>
        <w:t> </w:t>
      </w:r>
      <w:r>
        <w:rPr>
          <w:sz w:val="18"/>
        </w:rPr>
        <w:t>disease</w:t>
      </w:r>
      <w:r>
        <w:rPr>
          <w:spacing w:val="-11"/>
          <w:sz w:val="18"/>
        </w:rPr>
        <w:t> </w:t>
      </w:r>
      <w:r>
        <w:rPr>
          <w:sz w:val="18"/>
        </w:rPr>
        <w:t>patient</w:t>
      </w:r>
      <w:r>
        <w:rPr>
          <w:spacing w:val="-6"/>
          <w:sz w:val="18"/>
        </w:rPr>
        <w:t> </w:t>
      </w:r>
      <w:r>
        <w:rPr>
          <w:sz w:val="18"/>
        </w:rPr>
        <w:t>with</w:t>
      </w:r>
      <w:r>
        <w:rPr>
          <w:spacing w:val="-5"/>
          <w:sz w:val="18"/>
        </w:rPr>
        <w:t> </w:t>
      </w:r>
      <w:r>
        <w:rPr>
          <w:sz w:val="18"/>
        </w:rPr>
        <w:t>incomeple- te Kawasaki disease. </w:t>
      </w:r>
      <w:r>
        <w:rPr>
          <w:i/>
          <w:sz w:val="18"/>
        </w:rPr>
        <w:t>J Clin Immunol </w:t>
      </w:r>
      <w:r>
        <w:rPr>
          <w:sz w:val="18"/>
        </w:rPr>
        <w:t>(2018; 38: 638-641.</w:t>
      </w:r>
    </w:p>
    <w:p>
      <w:pPr>
        <w:pStyle w:val="ListParagraph"/>
        <w:numPr>
          <w:ilvl w:val="0"/>
          <w:numId w:val="13"/>
        </w:numPr>
        <w:tabs>
          <w:tab w:pos="627" w:val="left" w:leader="none"/>
        </w:tabs>
        <w:spacing w:line="240" w:lineRule="auto" w:before="0" w:after="0"/>
        <w:ind w:left="626" w:right="293" w:hanging="389"/>
        <w:jc w:val="both"/>
        <w:rPr>
          <w:sz w:val="18"/>
        </w:rPr>
      </w:pPr>
      <w:r>
        <w:rPr>
          <w:sz w:val="18"/>
        </w:rPr>
        <w:t>Nishikawa T, Nomura Y, Kono Y, </w:t>
      </w:r>
      <w:r>
        <w:rPr>
          <w:i/>
          <w:sz w:val="18"/>
        </w:rPr>
        <w:t>et al</w:t>
      </w:r>
      <w:r>
        <w:rPr>
          <w:sz w:val="18"/>
        </w:rPr>
        <w:t>. Selective IgA deficiency complicated by Kawasaki syndrome. </w:t>
      </w:r>
      <w:r>
        <w:rPr>
          <w:i/>
          <w:sz w:val="18"/>
        </w:rPr>
        <w:t>Pediatr</w:t>
      </w:r>
      <w:r>
        <w:rPr>
          <w:i/>
          <w:spacing w:val="40"/>
          <w:sz w:val="18"/>
        </w:rPr>
        <w:t> </w:t>
      </w:r>
      <w:r>
        <w:rPr>
          <w:i/>
          <w:sz w:val="18"/>
        </w:rPr>
        <w:t>Int </w:t>
      </w:r>
      <w:r>
        <w:rPr>
          <w:sz w:val="18"/>
        </w:rPr>
        <w:t>2008; 50(6): 816-818.</w:t>
      </w:r>
    </w:p>
    <w:p>
      <w:pPr>
        <w:pStyle w:val="ListParagraph"/>
        <w:numPr>
          <w:ilvl w:val="0"/>
          <w:numId w:val="13"/>
        </w:numPr>
        <w:tabs>
          <w:tab w:pos="627" w:val="left" w:leader="none"/>
        </w:tabs>
        <w:spacing w:line="240" w:lineRule="auto" w:before="0" w:after="0"/>
        <w:ind w:left="626" w:right="292" w:hanging="389"/>
        <w:jc w:val="both"/>
        <w:rPr>
          <w:sz w:val="18"/>
        </w:rPr>
      </w:pPr>
      <w:r>
        <w:rPr>
          <w:sz w:val="18"/>
        </w:rPr>
        <w:t>Anzai T, Minami T, Sato T, </w:t>
      </w:r>
      <w:r>
        <w:rPr>
          <w:i/>
          <w:sz w:val="18"/>
        </w:rPr>
        <w:t>et al</w:t>
      </w:r>
      <w:r>
        <w:rPr>
          <w:sz w:val="18"/>
        </w:rPr>
        <w:t>. Treatment of a patient with Kawasaki disease associated with selective IgA defi- ciency by continuous infusion of cyclosporine A without intravenous immunoglobulin. </w:t>
      </w:r>
      <w:r>
        <w:rPr>
          <w:i/>
          <w:sz w:val="18"/>
        </w:rPr>
        <w:t>Turk J Pediatr </w:t>
      </w:r>
      <w:r>
        <w:rPr>
          <w:sz w:val="18"/>
        </w:rPr>
        <w:t>2016; 58(6): </w:t>
      </w:r>
      <w:r>
        <w:rPr>
          <w:spacing w:val="-2"/>
          <w:sz w:val="18"/>
        </w:rPr>
        <w:t>666-668.</w:t>
      </w:r>
    </w:p>
    <w:p>
      <w:pPr>
        <w:pStyle w:val="ListParagraph"/>
        <w:numPr>
          <w:ilvl w:val="0"/>
          <w:numId w:val="13"/>
        </w:numPr>
        <w:tabs>
          <w:tab w:pos="627" w:val="left" w:leader="none"/>
        </w:tabs>
        <w:spacing w:line="240" w:lineRule="auto" w:before="0" w:after="0"/>
        <w:ind w:left="626" w:right="292" w:hanging="389"/>
        <w:jc w:val="both"/>
        <w:rPr>
          <w:sz w:val="18"/>
        </w:rPr>
      </w:pPr>
      <w:r>
        <w:rPr>
          <w:sz w:val="18"/>
        </w:rPr>
        <w:t>Kawakami C, Miyake M, Tamai H. Kawasaki disease in a patient with Wiskott-Aldrich syndrome: an increase in the platelet count. </w:t>
      </w:r>
      <w:r>
        <w:rPr>
          <w:i/>
          <w:sz w:val="18"/>
        </w:rPr>
        <w:t>Int J Hematol </w:t>
      </w:r>
      <w:r>
        <w:rPr>
          <w:sz w:val="18"/>
        </w:rPr>
        <w:t>2003; 77(2): 199-200.</w:t>
      </w:r>
    </w:p>
    <w:p>
      <w:pPr>
        <w:pStyle w:val="ListParagraph"/>
        <w:numPr>
          <w:ilvl w:val="0"/>
          <w:numId w:val="13"/>
        </w:numPr>
        <w:tabs>
          <w:tab w:pos="627" w:val="left" w:leader="none"/>
        </w:tabs>
        <w:spacing w:line="240" w:lineRule="auto" w:before="0" w:after="0"/>
        <w:ind w:left="626" w:right="292" w:hanging="389"/>
        <w:jc w:val="both"/>
        <w:rPr>
          <w:sz w:val="18"/>
        </w:rPr>
      </w:pPr>
      <w:r>
        <w:rPr>
          <w:sz w:val="18"/>
        </w:rPr>
        <w:t>Behniafard N, Aghamohammadi A, Abolhassani H, </w:t>
      </w:r>
      <w:r>
        <w:rPr>
          <w:i/>
          <w:sz w:val="18"/>
        </w:rPr>
        <w:t>et al</w:t>
      </w:r>
      <w:r>
        <w:rPr>
          <w:sz w:val="18"/>
        </w:rPr>
        <w:t>. </w:t>
      </w:r>
      <w:r>
        <w:rPr>
          <w:spacing w:val="-2"/>
          <w:sz w:val="18"/>
        </w:rPr>
        <w:t>Autoimmunity</w:t>
      </w:r>
      <w:r>
        <w:rPr>
          <w:spacing w:val="-9"/>
          <w:sz w:val="18"/>
        </w:rPr>
        <w:t> </w:t>
      </w:r>
      <w:r>
        <w:rPr>
          <w:spacing w:val="-2"/>
          <w:sz w:val="18"/>
        </w:rPr>
        <w:t>in</w:t>
      </w:r>
      <w:r>
        <w:rPr>
          <w:spacing w:val="-8"/>
          <w:sz w:val="18"/>
        </w:rPr>
        <w:t> </w:t>
      </w:r>
      <w:r>
        <w:rPr>
          <w:spacing w:val="-2"/>
          <w:sz w:val="18"/>
        </w:rPr>
        <w:t>X-linked</w:t>
      </w:r>
      <w:r>
        <w:rPr>
          <w:spacing w:val="-8"/>
          <w:sz w:val="18"/>
        </w:rPr>
        <w:t> </w:t>
      </w:r>
      <w:r>
        <w:rPr>
          <w:spacing w:val="-2"/>
          <w:sz w:val="18"/>
        </w:rPr>
        <w:t>agammaglobulinemia:</w:t>
      </w:r>
      <w:r>
        <w:rPr>
          <w:spacing w:val="-3"/>
          <w:sz w:val="18"/>
        </w:rPr>
        <w:t> </w:t>
      </w:r>
      <w:r>
        <w:rPr>
          <w:spacing w:val="-2"/>
          <w:sz w:val="18"/>
        </w:rPr>
        <w:t>Kawasaki </w:t>
      </w:r>
      <w:r>
        <w:rPr>
          <w:spacing w:val="-4"/>
          <w:sz w:val="18"/>
        </w:rPr>
        <w:t>disease</w:t>
      </w:r>
      <w:r>
        <w:rPr>
          <w:sz w:val="18"/>
        </w:rPr>
        <w:t> </w:t>
      </w:r>
      <w:r>
        <w:rPr>
          <w:spacing w:val="-4"/>
          <w:sz w:val="18"/>
        </w:rPr>
        <w:t>and review</w:t>
      </w:r>
      <w:r>
        <w:rPr>
          <w:spacing w:val="-5"/>
          <w:sz w:val="18"/>
        </w:rPr>
        <w:t> </w:t>
      </w:r>
      <w:r>
        <w:rPr>
          <w:spacing w:val="-4"/>
          <w:sz w:val="18"/>
        </w:rPr>
        <w:t>of</w:t>
      </w:r>
      <w:r>
        <w:rPr>
          <w:spacing w:val="-6"/>
          <w:sz w:val="18"/>
        </w:rPr>
        <w:t> </w:t>
      </w:r>
      <w:r>
        <w:rPr>
          <w:spacing w:val="-4"/>
          <w:sz w:val="18"/>
        </w:rPr>
        <w:t>the</w:t>
      </w:r>
      <w:r>
        <w:rPr>
          <w:spacing w:val="-5"/>
          <w:sz w:val="18"/>
        </w:rPr>
        <w:t> </w:t>
      </w:r>
      <w:r>
        <w:rPr>
          <w:spacing w:val="-4"/>
          <w:sz w:val="18"/>
        </w:rPr>
        <w:t>literature. </w:t>
      </w:r>
      <w:r>
        <w:rPr>
          <w:i/>
          <w:spacing w:val="-4"/>
          <w:sz w:val="18"/>
        </w:rPr>
        <w:t>Expert Rev Clin Immunol</w:t>
      </w:r>
      <w:r>
        <w:rPr>
          <w:i/>
          <w:spacing w:val="-4"/>
          <w:sz w:val="18"/>
        </w:rPr>
        <w:t> </w:t>
      </w:r>
      <w:r>
        <w:rPr>
          <w:sz w:val="18"/>
        </w:rPr>
        <w:t>2012; 8(2): 155-159.</w:t>
      </w:r>
    </w:p>
    <w:p>
      <w:pPr>
        <w:pStyle w:val="ListParagraph"/>
        <w:numPr>
          <w:ilvl w:val="0"/>
          <w:numId w:val="13"/>
        </w:numPr>
        <w:tabs>
          <w:tab w:pos="627" w:val="left" w:leader="none"/>
        </w:tabs>
        <w:spacing w:line="240" w:lineRule="auto" w:before="0" w:after="0"/>
        <w:ind w:left="626" w:right="294" w:hanging="389"/>
        <w:jc w:val="both"/>
        <w:rPr>
          <w:sz w:val="18"/>
        </w:rPr>
      </w:pPr>
      <w:r>
        <w:rPr>
          <w:sz w:val="18"/>
        </w:rPr>
        <w:t>Sharma D, Guleria S, Suri D, </w:t>
      </w:r>
      <w:r>
        <w:rPr>
          <w:i/>
          <w:sz w:val="18"/>
        </w:rPr>
        <w:t>et al</w:t>
      </w:r>
      <w:r>
        <w:rPr>
          <w:sz w:val="18"/>
        </w:rPr>
        <w:t>. A child with X-linked agammaglobulinemia and</w:t>
      </w:r>
      <w:r>
        <w:rPr>
          <w:spacing w:val="-2"/>
          <w:sz w:val="18"/>
        </w:rPr>
        <w:t> </w:t>
      </w:r>
      <w:r>
        <w:rPr>
          <w:sz w:val="18"/>
        </w:rPr>
        <w:t>Kawasaki</w:t>
      </w:r>
      <w:r>
        <w:rPr>
          <w:spacing w:val="-4"/>
          <w:sz w:val="18"/>
        </w:rPr>
        <w:t> </w:t>
      </w:r>
      <w:r>
        <w:rPr>
          <w:sz w:val="18"/>
        </w:rPr>
        <w:t>disease: an unusual association. </w:t>
      </w:r>
      <w:r>
        <w:rPr>
          <w:i/>
          <w:sz w:val="18"/>
        </w:rPr>
        <w:t>Rheumatol Int </w:t>
      </w:r>
      <w:r>
        <w:rPr>
          <w:sz w:val="18"/>
        </w:rPr>
        <w:t>2017; 37: 1401-1403.</w:t>
      </w:r>
    </w:p>
    <w:p>
      <w:pPr>
        <w:pStyle w:val="ListParagraph"/>
        <w:numPr>
          <w:ilvl w:val="0"/>
          <w:numId w:val="13"/>
        </w:numPr>
        <w:tabs>
          <w:tab w:pos="627" w:val="left" w:leader="none"/>
        </w:tabs>
        <w:spacing w:line="240" w:lineRule="auto" w:before="1" w:after="0"/>
        <w:ind w:left="626" w:right="291" w:hanging="389"/>
        <w:jc w:val="both"/>
        <w:rPr>
          <w:sz w:val="18"/>
        </w:rPr>
      </w:pPr>
      <w:r>
        <w:rPr>
          <w:sz w:val="18"/>
        </w:rPr>
        <w:t>Malekzadeh I, Moradinejad MH, Ziaee V, </w:t>
      </w:r>
      <w:r>
        <w:rPr>
          <w:i/>
          <w:sz w:val="18"/>
        </w:rPr>
        <w:t>et al</w:t>
      </w:r>
      <w:r>
        <w:rPr>
          <w:sz w:val="18"/>
        </w:rPr>
        <w:t>. Auto- immunity</w:t>
      </w:r>
      <w:r>
        <w:rPr>
          <w:spacing w:val="-4"/>
          <w:sz w:val="18"/>
        </w:rPr>
        <w:t> </w:t>
      </w:r>
      <w:r>
        <w:rPr>
          <w:sz w:val="18"/>
        </w:rPr>
        <w:t>in</w:t>
      </w:r>
      <w:r>
        <w:rPr>
          <w:spacing w:val="-6"/>
          <w:sz w:val="18"/>
        </w:rPr>
        <w:t> </w:t>
      </w:r>
      <w:r>
        <w:rPr>
          <w:sz w:val="18"/>
        </w:rPr>
        <w:t>X-linked</w:t>
      </w:r>
      <w:r>
        <w:rPr>
          <w:spacing w:val="-6"/>
          <w:sz w:val="18"/>
        </w:rPr>
        <w:t> </w:t>
      </w:r>
      <w:r>
        <w:rPr>
          <w:sz w:val="18"/>
        </w:rPr>
        <w:t>agammaglobulinemia;</w:t>
      </w:r>
      <w:r>
        <w:rPr>
          <w:spacing w:val="-7"/>
          <w:sz w:val="18"/>
        </w:rPr>
        <w:t> </w:t>
      </w:r>
      <w:r>
        <w:rPr>
          <w:sz w:val="18"/>
        </w:rPr>
        <w:t>a</w:t>
      </w:r>
      <w:r>
        <w:rPr>
          <w:spacing w:val="-7"/>
          <w:sz w:val="18"/>
        </w:rPr>
        <w:t> </w:t>
      </w:r>
      <w:r>
        <w:rPr>
          <w:sz w:val="18"/>
        </w:rPr>
        <w:t>patient</w:t>
      </w:r>
      <w:r>
        <w:rPr>
          <w:spacing w:val="-6"/>
          <w:sz w:val="18"/>
        </w:rPr>
        <w:t> </w:t>
      </w:r>
      <w:r>
        <w:rPr>
          <w:sz w:val="18"/>
        </w:rPr>
        <w:t>with several episodes autoimmunity Iranian. </w:t>
      </w:r>
      <w:r>
        <w:rPr>
          <w:i/>
          <w:sz w:val="18"/>
        </w:rPr>
        <w:t>J Pediatr </w:t>
      </w:r>
      <w:r>
        <w:rPr>
          <w:sz w:val="18"/>
        </w:rPr>
        <w:t>2013; 23(1 Suppl): 75-75.</w:t>
      </w:r>
    </w:p>
    <w:p>
      <w:pPr>
        <w:pStyle w:val="ListParagraph"/>
        <w:numPr>
          <w:ilvl w:val="0"/>
          <w:numId w:val="13"/>
        </w:numPr>
        <w:tabs>
          <w:tab w:pos="627" w:val="left" w:leader="none"/>
        </w:tabs>
        <w:spacing w:line="240" w:lineRule="auto" w:before="0" w:after="0"/>
        <w:ind w:left="626" w:right="288" w:hanging="389"/>
        <w:jc w:val="both"/>
        <w:rPr>
          <w:sz w:val="18"/>
        </w:rPr>
      </w:pPr>
      <w:r>
        <w:rPr>
          <w:sz w:val="18"/>
        </w:rPr>
        <w:t>Francisco</w:t>
      </w:r>
      <w:r>
        <w:rPr>
          <w:spacing w:val="-2"/>
          <w:sz w:val="18"/>
        </w:rPr>
        <w:t> </w:t>
      </w:r>
      <w:r>
        <w:rPr>
          <w:sz w:val="18"/>
        </w:rPr>
        <w:t>Rivas-Larrauri,</w:t>
      </w:r>
      <w:r>
        <w:rPr>
          <w:spacing w:val="40"/>
          <w:sz w:val="18"/>
        </w:rPr>
        <w:t> </w:t>
      </w:r>
      <w:r>
        <w:rPr>
          <w:sz w:val="18"/>
        </w:rPr>
        <w:t>Lorena</w:t>
      </w:r>
      <w:r>
        <w:rPr>
          <w:spacing w:val="-3"/>
          <w:sz w:val="18"/>
        </w:rPr>
        <w:t> </w:t>
      </w:r>
      <w:r>
        <w:rPr>
          <w:sz w:val="18"/>
        </w:rPr>
        <w:t>Aguilar-Zanela,</w:t>
      </w:r>
      <w:r>
        <w:rPr>
          <w:spacing w:val="40"/>
          <w:sz w:val="18"/>
        </w:rPr>
        <w:t> </w:t>
      </w:r>
      <w:r>
        <w:rPr>
          <w:sz w:val="18"/>
        </w:rPr>
        <w:t>Paola Castro-Oteo, </w:t>
      </w:r>
      <w:r>
        <w:rPr>
          <w:i/>
          <w:sz w:val="18"/>
        </w:rPr>
        <w:t>at al</w:t>
      </w:r>
      <w:r>
        <w:rPr>
          <w:sz w:val="18"/>
        </w:rPr>
        <w:t>. Kawasaki disease and immunode- fciencies in children: case reports and literature review. </w:t>
      </w:r>
      <w:r>
        <w:rPr>
          <w:spacing w:val="-2"/>
          <w:sz w:val="18"/>
        </w:rPr>
        <w:t>Rheumatology</w:t>
      </w:r>
      <w:r>
        <w:rPr>
          <w:spacing w:val="-10"/>
          <w:sz w:val="18"/>
        </w:rPr>
        <w:t> </w:t>
      </w:r>
      <w:r>
        <w:rPr>
          <w:spacing w:val="-2"/>
          <w:sz w:val="18"/>
        </w:rPr>
        <w:t>International</w:t>
      </w:r>
      <w:r>
        <w:rPr>
          <w:spacing w:val="-9"/>
          <w:sz w:val="18"/>
        </w:rPr>
        <w:t> </w:t>
      </w:r>
      <w:r>
        <w:rPr>
          <w:spacing w:val="-2"/>
          <w:sz w:val="18"/>
        </w:rPr>
        <w:t>https://doi.org/10.1007/s00296- </w:t>
      </w:r>
      <w:r>
        <w:rPr>
          <w:sz w:val="18"/>
        </w:rPr>
        <w:t>019-04382-July</w:t>
      </w:r>
      <w:r>
        <w:rPr>
          <w:spacing w:val="-6"/>
          <w:sz w:val="18"/>
        </w:rPr>
        <w:t> </w:t>
      </w:r>
      <w:r>
        <w:rPr>
          <w:sz w:val="18"/>
        </w:rPr>
        <w:t>2019</w:t>
      </w:r>
      <w:r>
        <w:rPr>
          <w:spacing w:val="-4"/>
          <w:sz w:val="18"/>
        </w:rPr>
        <w:t> </w:t>
      </w:r>
      <w:r>
        <w:rPr>
          <w:sz w:val="18"/>
        </w:rPr>
        <w:t>©</w:t>
      </w:r>
      <w:r>
        <w:rPr>
          <w:spacing w:val="-3"/>
          <w:sz w:val="18"/>
        </w:rPr>
        <w:t> </w:t>
      </w:r>
      <w:r>
        <w:rPr>
          <w:sz w:val="18"/>
        </w:rPr>
        <w:t>Springer-Verlag</w:t>
      </w:r>
      <w:r>
        <w:rPr>
          <w:spacing w:val="-4"/>
          <w:sz w:val="18"/>
        </w:rPr>
        <w:t> </w:t>
      </w:r>
      <w:r>
        <w:rPr>
          <w:sz w:val="18"/>
        </w:rPr>
        <w:t>GmbH</w:t>
      </w:r>
      <w:r>
        <w:rPr>
          <w:spacing w:val="-2"/>
          <w:sz w:val="18"/>
        </w:rPr>
        <w:t> </w:t>
      </w:r>
      <w:r>
        <w:rPr>
          <w:sz w:val="18"/>
        </w:rPr>
        <w:t>Germany, part of Springer Nature.</w:t>
      </w:r>
    </w:p>
    <w:p>
      <w:pPr>
        <w:pStyle w:val="ListParagraph"/>
        <w:numPr>
          <w:ilvl w:val="0"/>
          <w:numId w:val="13"/>
        </w:numPr>
        <w:tabs>
          <w:tab w:pos="627" w:val="left" w:leader="none"/>
        </w:tabs>
        <w:spacing w:line="240" w:lineRule="auto" w:before="0" w:after="0"/>
        <w:ind w:left="626" w:right="291" w:hanging="389"/>
        <w:jc w:val="both"/>
        <w:rPr>
          <w:sz w:val="18"/>
        </w:rPr>
      </w:pPr>
      <w:r>
        <w:rPr>
          <w:spacing w:val="-2"/>
          <w:sz w:val="18"/>
        </w:rPr>
        <w:t>Kimata</w:t>
      </w:r>
      <w:r>
        <w:rPr>
          <w:spacing w:val="-10"/>
          <w:sz w:val="18"/>
        </w:rPr>
        <w:t> </w:t>
      </w:r>
      <w:r>
        <w:rPr>
          <w:spacing w:val="-2"/>
          <w:sz w:val="18"/>
        </w:rPr>
        <w:t>H.</w:t>
      </w:r>
      <w:r>
        <w:rPr>
          <w:spacing w:val="-9"/>
          <w:sz w:val="18"/>
        </w:rPr>
        <w:t> </w:t>
      </w:r>
      <w:r>
        <w:rPr>
          <w:spacing w:val="-2"/>
          <w:sz w:val="18"/>
        </w:rPr>
        <w:t>High-dose</w:t>
      </w:r>
      <w:r>
        <w:rPr>
          <w:spacing w:val="-9"/>
          <w:sz w:val="18"/>
        </w:rPr>
        <w:t> </w:t>
      </w:r>
      <w:r>
        <w:rPr>
          <w:spacing w:val="-2"/>
          <w:sz w:val="18"/>
        </w:rPr>
        <w:t>intravenous</w:t>
      </w:r>
      <w:r>
        <w:rPr>
          <w:spacing w:val="-9"/>
          <w:sz w:val="18"/>
        </w:rPr>
        <w:t> </w:t>
      </w:r>
      <w:r>
        <w:rPr>
          <w:spacing w:val="-2"/>
          <w:sz w:val="18"/>
        </w:rPr>
        <w:t>gamma-globulin</w:t>
      </w:r>
      <w:r>
        <w:rPr>
          <w:spacing w:val="-10"/>
          <w:sz w:val="18"/>
        </w:rPr>
        <w:t> </w:t>
      </w:r>
      <w:r>
        <w:rPr>
          <w:spacing w:val="-2"/>
          <w:sz w:val="18"/>
        </w:rPr>
        <w:t>treatment </w:t>
      </w:r>
      <w:r>
        <w:rPr>
          <w:sz w:val="18"/>
        </w:rPr>
        <w:t>for</w:t>
      </w:r>
      <w:r>
        <w:rPr>
          <w:spacing w:val="-3"/>
          <w:sz w:val="18"/>
        </w:rPr>
        <w:t> </w:t>
      </w:r>
      <w:r>
        <w:rPr>
          <w:sz w:val="18"/>
        </w:rPr>
        <w:t>hyperimmunoglobulinemia</w:t>
      </w:r>
      <w:r>
        <w:rPr>
          <w:spacing w:val="-3"/>
          <w:sz w:val="18"/>
        </w:rPr>
        <w:t> </w:t>
      </w:r>
      <w:r>
        <w:rPr>
          <w:sz w:val="18"/>
        </w:rPr>
        <w:t>E</w:t>
      </w:r>
      <w:r>
        <w:rPr>
          <w:spacing w:val="-1"/>
          <w:sz w:val="18"/>
        </w:rPr>
        <w:t> </w:t>
      </w:r>
      <w:r>
        <w:rPr>
          <w:sz w:val="18"/>
        </w:rPr>
        <w:t>syndrome. </w:t>
      </w:r>
      <w:r>
        <w:rPr>
          <w:i/>
          <w:sz w:val="18"/>
        </w:rPr>
        <w:t>J</w:t>
      </w:r>
      <w:r>
        <w:rPr>
          <w:i/>
          <w:spacing w:val="-1"/>
          <w:sz w:val="18"/>
        </w:rPr>
        <w:t> </w:t>
      </w:r>
      <w:r>
        <w:rPr>
          <w:i/>
          <w:sz w:val="18"/>
        </w:rPr>
        <w:t>Allergy</w:t>
      </w:r>
      <w:r>
        <w:rPr>
          <w:i/>
          <w:spacing w:val="-3"/>
          <w:sz w:val="18"/>
        </w:rPr>
        <w:t> </w:t>
      </w:r>
      <w:r>
        <w:rPr>
          <w:i/>
          <w:sz w:val="18"/>
        </w:rPr>
        <w:t>Clin</w:t>
      </w:r>
      <w:r>
        <w:rPr>
          <w:i/>
          <w:sz w:val="18"/>
        </w:rPr>
        <w:t> Immunol </w:t>
      </w:r>
      <w:r>
        <w:rPr>
          <w:sz w:val="18"/>
        </w:rPr>
        <w:t>1995; 95(3): 771-774.</w:t>
      </w:r>
    </w:p>
    <w:p>
      <w:pPr>
        <w:pStyle w:val="ListParagraph"/>
        <w:numPr>
          <w:ilvl w:val="0"/>
          <w:numId w:val="13"/>
        </w:numPr>
        <w:tabs>
          <w:tab w:pos="627" w:val="left" w:leader="none"/>
        </w:tabs>
        <w:spacing w:line="240" w:lineRule="auto" w:before="0" w:after="0"/>
        <w:ind w:left="626" w:right="294" w:hanging="389"/>
        <w:jc w:val="both"/>
        <w:rPr>
          <w:sz w:val="18"/>
        </w:rPr>
      </w:pPr>
      <w:r>
        <w:rPr>
          <w:sz w:val="18"/>
        </w:rPr>
        <w:t>Freeman AF, Avila EM, Shaw PA, </w:t>
      </w:r>
      <w:r>
        <w:rPr>
          <w:i/>
          <w:sz w:val="18"/>
        </w:rPr>
        <w:t>et al</w:t>
      </w:r>
      <w:r>
        <w:rPr>
          <w:sz w:val="18"/>
        </w:rPr>
        <w:t>. Coronary artery abnormalities in Hyper-IgE syndrome. </w:t>
      </w:r>
      <w:r>
        <w:rPr>
          <w:i/>
          <w:sz w:val="18"/>
        </w:rPr>
        <w:t>J Clin Immunol</w:t>
      </w:r>
      <w:r>
        <w:rPr>
          <w:i/>
          <w:sz w:val="18"/>
        </w:rPr>
        <w:t> </w:t>
      </w:r>
      <w:r>
        <w:rPr>
          <w:sz w:val="18"/>
        </w:rPr>
        <w:t>2011; 31: 338-345.</w:t>
      </w:r>
    </w:p>
    <w:p>
      <w:pPr>
        <w:pStyle w:val="ListParagraph"/>
        <w:numPr>
          <w:ilvl w:val="0"/>
          <w:numId w:val="13"/>
        </w:numPr>
        <w:tabs>
          <w:tab w:pos="627" w:val="left" w:leader="none"/>
        </w:tabs>
        <w:spacing w:line="240" w:lineRule="auto" w:before="1" w:after="0"/>
        <w:ind w:left="626" w:right="292" w:hanging="389"/>
        <w:jc w:val="both"/>
        <w:rPr>
          <w:sz w:val="18"/>
        </w:rPr>
      </w:pPr>
      <w:r>
        <w:rPr>
          <w:sz w:val="18"/>
        </w:rPr>
        <w:t>Marrani E, Burns JC, Cimaz R. How should we classify kawasaki disease? Front Immunol 2018; 14: 2974.</w:t>
      </w:r>
    </w:p>
    <w:p>
      <w:pPr>
        <w:pStyle w:val="ListParagraph"/>
        <w:numPr>
          <w:ilvl w:val="0"/>
          <w:numId w:val="13"/>
        </w:numPr>
        <w:tabs>
          <w:tab w:pos="627" w:val="left" w:leader="none"/>
        </w:tabs>
        <w:spacing w:line="240" w:lineRule="auto" w:before="0" w:after="0"/>
        <w:ind w:left="626" w:right="290" w:hanging="389"/>
        <w:jc w:val="both"/>
        <w:rPr>
          <w:sz w:val="18"/>
        </w:rPr>
      </w:pPr>
      <w:r>
        <w:rPr>
          <w:sz w:val="18"/>
        </w:rPr>
        <w:t>Johnson RM, Bergmann KR, Manaloor JJ, </w:t>
      </w:r>
      <w:r>
        <w:rPr>
          <w:i/>
          <w:sz w:val="18"/>
        </w:rPr>
        <w:t>et al</w:t>
      </w:r>
      <w:r>
        <w:rPr>
          <w:sz w:val="18"/>
        </w:rPr>
        <w:t>. Pediat-</w:t>
      </w:r>
      <w:r>
        <w:rPr>
          <w:spacing w:val="40"/>
          <w:sz w:val="18"/>
        </w:rPr>
        <w:t> </w:t>
      </w:r>
      <w:r>
        <w:rPr>
          <w:sz w:val="18"/>
        </w:rPr>
        <w:t>ric</w:t>
      </w:r>
      <w:r>
        <w:rPr>
          <w:spacing w:val="-9"/>
          <w:sz w:val="18"/>
        </w:rPr>
        <w:t> </w:t>
      </w:r>
      <w:r>
        <w:rPr>
          <w:sz w:val="18"/>
        </w:rPr>
        <w:t>Kawasaki</w:t>
      </w:r>
      <w:r>
        <w:rPr>
          <w:spacing w:val="-3"/>
          <w:sz w:val="18"/>
        </w:rPr>
        <w:t> </w:t>
      </w:r>
      <w:r>
        <w:rPr>
          <w:sz w:val="18"/>
        </w:rPr>
        <w:t>disease and adult human immunodefciency virus</w:t>
      </w:r>
      <w:r>
        <w:rPr>
          <w:spacing w:val="-3"/>
          <w:sz w:val="18"/>
        </w:rPr>
        <w:t> </w:t>
      </w:r>
      <w:r>
        <w:rPr>
          <w:sz w:val="18"/>
        </w:rPr>
        <w:t>kawasaki-like syndrome are likely the same malady. </w:t>
      </w:r>
      <w:r>
        <w:rPr>
          <w:i/>
          <w:spacing w:val="-6"/>
          <w:sz w:val="18"/>
        </w:rPr>
        <w:t>Open</w:t>
      </w:r>
      <w:r>
        <w:rPr>
          <w:i/>
          <w:spacing w:val="-7"/>
          <w:sz w:val="18"/>
        </w:rPr>
        <w:t> </w:t>
      </w:r>
      <w:r>
        <w:rPr>
          <w:i/>
          <w:spacing w:val="-6"/>
          <w:sz w:val="18"/>
        </w:rPr>
        <w:t>Forum</w:t>
      </w:r>
      <w:r>
        <w:rPr>
          <w:i/>
          <w:spacing w:val="-8"/>
          <w:sz w:val="18"/>
        </w:rPr>
        <w:t> </w:t>
      </w:r>
      <w:r>
        <w:rPr>
          <w:i/>
          <w:spacing w:val="-6"/>
          <w:sz w:val="18"/>
        </w:rPr>
        <w:t>Infect</w:t>
      </w:r>
      <w:r>
        <w:rPr>
          <w:i/>
          <w:spacing w:val="-8"/>
          <w:sz w:val="18"/>
        </w:rPr>
        <w:t> </w:t>
      </w:r>
      <w:r>
        <w:rPr>
          <w:i/>
          <w:spacing w:val="-6"/>
          <w:sz w:val="18"/>
        </w:rPr>
        <w:t>Dis</w:t>
      </w:r>
      <w:r>
        <w:rPr>
          <w:i/>
          <w:spacing w:val="-8"/>
          <w:sz w:val="18"/>
        </w:rPr>
        <w:t> </w:t>
      </w:r>
      <w:r>
        <w:rPr>
          <w:spacing w:val="-6"/>
          <w:sz w:val="18"/>
        </w:rPr>
        <w:t>2016;</w:t>
      </w:r>
      <w:r>
        <w:rPr>
          <w:spacing w:val="-10"/>
          <w:sz w:val="18"/>
        </w:rPr>
        <w:t> </w:t>
      </w:r>
      <w:r>
        <w:rPr>
          <w:spacing w:val="-6"/>
          <w:sz w:val="18"/>
        </w:rPr>
        <w:t>3(3):</w:t>
      </w:r>
      <w:r>
        <w:rPr>
          <w:spacing w:val="-8"/>
          <w:sz w:val="18"/>
        </w:rPr>
        <w:t> </w:t>
      </w:r>
      <w:r>
        <w:rPr>
          <w:spacing w:val="-6"/>
          <w:sz w:val="18"/>
        </w:rPr>
        <w:t>160</w:t>
      </w:r>
      <w:r>
        <w:rPr>
          <w:spacing w:val="-9"/>
          <w:sz w:val="18"/>
        </w:rPr>
        <w:t> </w:t>
      </w:r>
      <w:r>
        <w:rPr>
          <w:spacing w:val="-6"/>
          <w:sz w:val="18"/>
        </w:rPr>
        <w:t>(eCollection</w:t>
      </w:r>
      <w:r>
        <w:rPr>
          <w:spacing w:val="-9"/>
          <w:sz w:val="18"/>
        </w:rPr>
        <w:t> </w:t>
      </w:r>
      <w:r>
        <w:rPr>
          <w:spacing w:val="-6"/>
          <w:sz w:val="18"/>
        </w:rPr>
        <w:t>2016</w:t>
      </w:r>
      <w:r>
        <w:rPr>
          <w:spacing w:val="-7"/>
          <w:sz w:val="18"/>
        </w:rPr>
        <w:t> </w:t>
      </w:r>
      <w:r>
        <w:rPr>
          <w:spacing w:val="-6"/>
          <w:sz w:val="18"/>
        </w:rPr>
        <w:t>Sep).</w:t>
      </w:r>
    </w:p>
    <w:p>
      <w:pPr>
        <w:pStyle w:val="ListParagraph"/>
        <w:numPr>
          <w:ilvl w:val="0"/>
          <w:numId w:val="13"/>
        </w:numPr>
        <w:tabs>
          <w:tab w:pos="627" w:val="left" w:leader="none"/>
        </w:tabs>
        <w:spacing w:line="240" w:lineRule="auto" w:before="0" w:after="0"/>
        <w:ind w:left="626" w:right="295" w:hanging="389"/>
        <w:jc w:val="both"/>
        <w:rPr>
          <w:sz w:val="18"/>
        </w:rPr>
      </w:pPr>
      <w:r>
        <w:rPr>
          <w:sz w:val="18"/>
        </w:rPr>
        <w:t>Stankovic K, Miailhes P, Bessis D, </w:t>
      </w:r>
      <w:r>
        <w:rPr>
          <w:i/>
          <w:sz w:val="18"/>
        </w:rPr>
        <w:t>et al</w:t>
      </w:r>
      <w:r>
        <w:rPr>
          <w:sz w:val="18"/>
        </w:rPr>
        <w:t>. Kawasaki-like syndromes in</w:t>
      </w:r>
      <w:r>
        <w:rPr>
          <w:spacing w:val="-1"/>
          <w:sz w:val="18"/>
        </w:rPr>
        <w:t> </w:t>
      </w:r>
      <w:r>
        <w:rPr>
          <w:sz w:val="18"/>
        </w:rPr>
        <w:t>HIV-infected adults. </w:t>
      </w:r>
      <w:r>
        <w:rPr>
          <w:i/>
          <w:sz w:val="18"/>
        </w:rPr>
        <w:t>J Infect </w:t>
      </w:r>
      <w:r>
        <w:rPr>
          <w:sz w:val="18"/>
        </w:rPr>
        <w:t>2007; 55(6): </w:t>
      </w:r>
      <w:r>
        <w:rPr>
          <w:spacing w:val="-2"/>
          <w:sz w:val="18"/>
        </w:rPr>
        <w:t>488-494.</w:t>
      </w:r>
    </w:p>
    <w:p>
      <w:pPr>
        <w:pStyle w:val="ListParagraph"/>
        <w:numPr>
          <w:ilvl w:val="0"/>
          <w:numId w:val="13"/>
        </w:numPr>
        <w:tabs>
          <w:tab w:pos="627" w:val="left" w:leader="none"/>
        </w:tabs>
        <w:spacing w:line="240" w:lineRule="auto" w:before="0" w:after="0"/>
        <w:ind w:left="626" w:right="296" w:hanging="389"/>
        <w:jc w:val="both"/>
        <w:rPr>
          <w:sz w:val="18"/>
        </w:rPr>
      </w:pPr>
      <w:r>
        <w:rPr>
          <w:sz w:val="18"/>
        </w:rPr>
        <w:t>Velez</w:t>
      </w:r>
      <w:r>
        <w:rPr>
          <w:spacing w:val="-5"/>
          <w:sz w:val="18"/>
        </w:rPr>
        <w:t> </w:t>
      </w:r>
      <w:r>
        <w:rPr>
          <w:sz w:val="18"/>
        </w:rPr>
        <w:t>AP,</w:t>
      </w:r>
      <w:r>
        <w:rPr>
          <w:spacing w:val="-4"/>
          <w:sz w:val="18"/>
        </w:rPr>
        <w:t> </w:t>
      </w:r>
      <w:r>
        <w:rPr>
          <w:sz w:val="18"/>
        </w:rPr>
        <w:t>Menezes</w:t>
      </w:r>
      <w:r>
        <w:rPr>
          <w:spacing w:val="-3"/>
          <w:sz w:val="18"/>
        </w:rPr>
        <w:t> </w:t>
      </w:r>
      <w:r>
        <w:rPr>
          <w:sz w:val="18"/>
        </w:rPr>
        <w:t>L,</w:t>
      </w:r>
      <w:r>
        <w:rPr>
          <w:spacing w:val="-4"/>
          <w:sz w:val="18"/>
        </w:rPr>
        <w:t> </w:t>
      </w:r>
      <w:r>
        <w:rPr>
          <w:sz w:val="18"/>
        </w:rPr>
        <w:t>Crespo</w:t>
      </w:r>
      <w:r>
        <w:rPr>
          <w:spacing w:val="-2"/>
          <w:sz w:val="18"/>
        </w:rPr>
        <w:t> </w:t>
      </w:r>
      <w:r>
        <w:rPr>
          <w:sz w:val="18"/>
        </w:rPr>
        <w:t>A.</w:t>
      </w:r>
      <w:r>
        <w:rPr>
          <w:spacing w:val="-2"/>
          <w:sz w:val="18"/>
        </w:rPr>
        <w:t> </w:t>
      </w:r>
      <w:r>
        <w:rPr>
          <w:sz w:val="18"/>
        </w:rPr>
        <w:t>Kawasaki-like</w:t>
      </w:r>
      <w:r>
        <w:rPr>
          <w:spacing w:val="-3"/>
          <w:sz w:val="18"/>
        </w:rPr>
        <w:t> </w:t>
      </w:r>
      <w:r>
        <w:rPr>
          <w:sz w:val="18"/>
        </w:rPr>
        <w:t>disease</w:t>
      </w:r>
      <w:r>
        <w:rPr>
          <w:spacing w:val="-3"/>
          <w:sz w:val="18"/>
        </w:rPr>
        <w:t> </w:t>
      </w:r>
      <w:r>
        <w:rPr>
          <w:sz w:val="18"/>
        </w:rPr>
        <w:t>in an</w:t>
      </w:r>
      <w:r>
        <w:rPr>
          <w:spacing w:val="-3"/>
          <w:sz w:val="18"/>
        </w:rPr>
        <w:t> </w:t>
      </w:r>
      <w:r>
        <w:rPr>
          <w:sz w:val="18"/>
        </w:rPr>
        <w:t>HIV-infected</w:t>
      </w:r>
      <w:r>
        <w:rPr>
          <w:spacing w:val="-3"/>
          <w:sz w:val="18"/>
        </w:rPr>
        <w:t> </w:t>
      </w:r>
      <w:r>
        <w:rPr>
          <w:sz w:val="18"/>
        </w:rPr>
        <w:t>patient.</w:t>
      </w:r>
      <w:r>
        <w:rPr>
          <w:spacing w:val="-2"/>
          <w:sz w:val="18"/>
        </w:rPr>
        <w:t> </w:t>
      </w:r>
      <w:r>
        <w:rPr>
          <w:i/>
          <w:sz w:val="18"/>
        </w:rPr>
        <w:t>AIDS</w:t>
      </w:r>
      <w:r>
        <w:rPr>
          <w:i/>
          <w:spacing w:val="-3"/>
          <w:sz w:val="18"/>
        </w:rPr>
        <w:t> </w:t>
      </w:r>
      <w:r>
        <w:rPr>
          <w:i/>
          <w:sz w:val="18"/>
        </w:rPr>
        <w:t>Read</w:t>
      </w:r>
      <w:r>
        <w:rPr>
          <w:i/>
          <w:spacing w:val="-5"/>
          <w:sz w:val="18"/>
        </w:rPr>
        <w:t> </w:t>
      </w:r>
      <w:r>
        <w:rPr>
          <w:sz w:val="18"/>
        </w:rPr>
        <w:t>2006;</w:t>
      </w:r>
      <w:r>
        <w:rPr>
          <w:spacing w:val="-6"/>
          <w:sz w:val="18"/>
        </w:rPr>
        <w:t> </w:t>
      </w:r>
      <w:r>
        <w:rPr>
          <w:sz w:val="18"/>
        </w:rPr>
        <w:t>16(9):</w:t>
      </w:r>
      <w:r>
        <w:rPr>
          <w:spacing w:val="-6"/>
          <w:sz w:val="18"/>
        </w:rPr>
        <w:t> </w:t>
      </w:r>
      <w:r>
        <w:rPr>
          <w:sz w:val="18"/>
        </w:rPr>
        <w:t>464-466.</w:t>
      </w:r>
    </w:p>
    <w:p>
      <w:pPr>
        <w:pStyle w:val="ListParagraph"/>
        <w:numPr>
          <w:ilvl w:val="0"/>
          <w:numId w:val="13"/>
        </w:numPr>
        <w:tabs>
          <w:tab w:pos="627" w:val="left" w:leader="none"/>
        </w:tabs>
        <w:spacing w:line="240" w:lineRule="auto" w:before="0" w:after="0"/>
        <w:ind w:left="626" w:right="293" w:hanging="389"/>
        <w:jc w:val="both"/>
        <w:rPr>
          <w:sz w:val="18"/>
        </w:rPr>
      </w:pPr>
      <w:r>
        <w:rPr>
          <w:sz w:val="18"/>
        </w:rPr>
        <w:t>Akita H, Matsuoka S, Takahashi Y, </w:t>
      </w:r>
      <w:r>
        <w:rPr>
          <w:i/>
          <w:sz w:val="18"/>
        </w:rPr>
        <w:t>et al</w:t>
      </w:r>
      <w:r>
        <w:rPr>
          <w:sz w:val="18"/>
        </w:rPr>
        <w:t>. Kawasaki-like disease in early</w:t>
      </w:r>
      <w:r>
        <w:rPr>
          <w:spacing w:val="-1"/>
          <w:sz w:val="18"/>
        </w:rPr>
        <w:t> </w:t>
      </w:r>
      <w:r>
        <w:rPr>
          <w:sz w:val="18"/>
        </w:rPr>
        <w:t>course of acute monocytic leukaemia. </w:t>
      </w:r>
      <w:r>
        <w:rPr>
          <w:i/>
          <w:sz w:val="18"/>
        </w:rPr>
        <w:t>Eur</w:t>
      </w:r>
      <w:r>
        <w:rPr>
          <w:i/>
          <w:sz w:val="18"/>
        </w:rPr>
        <w:t> J Pediatr </w:t>
      </w:r>
      <w:r>
        <w:rPr>
          <w:sz w:val="18"/>
        </w:rPr>
        <w:t>1992; 151(3): 177-178.</w:t>
      </w:r>
    </w:p>
    <w:p>
      <w:pPr>
        <w:spacing w:after="0" w:line="240" w:lineRule="auto"/>
        <w:jc w:val="both"/>
        <w:rPr>
          <w:sz w:val="18"/>
        </w:rPr>
        <w:sectPr>
          <w:type w:val="continuous"/>
          <w:pgSz w:w="11910" w:h="16840"/>
          <w:pgMar w:header="0" w:footer="0" w:top="740" w:bottom="0" w:left="900" w:right="840"/>
          <w:cols w:num="2" w:equalWidth="0">
            <w:col w:w="4921" w:space="76"/>
            <w:col w:w="5173"/>
          </w:cols>
        </w:sectPr>
      </w:pPr>
    </w:p>
    <w:p>
      <w:pPr>
        <w:tabs>
          <w:tab w:pos="9203" w:val="left" w:leader="none"/>
        </w:tabs>
        <w:spacing w:before="75"/>
        <w:ind w:left="238" w:right="0" w:firstLine="0"/>
        <w:jc w:val="both"/>
        <w:rPr>
          <w:rFonts w:ascii="Courier New"/>
          <w:sz w:val="48"/>
        </w:rPr>
      </w:pPr>
      <w:r>
        <w:rPr/>
        <w:pict>
          <v:shape style="position:absolute;margin-left:528.580017pt;margin-top:4.037615pt;width:10.1pt;height:11.05pt;mso-position-horizontal-relative:page;mso-position-vertical-relative:paragraph;z-index:-17627136" type="#_x0000_t202" id="docshape588" filled="false" stroked="false">
            <v:textbox inset="0,0,0,0">
              <w:txbxContent>
                <w:p>
                  <w:pPr>
                    <w:spacing w:line="221" w:lineRule="exact" w:before="0"/>
                    <w:ind w:left="0" w:right="0" w:firstLine="0"/>
                    <w:jc w:val="left"/>
                    <w:rPr>
                      <w:sz w:val="20"/>
                    </w:rPr>
                  </w:pPr>
                  <w:r>
                    <w:rPr>
                      <w:spacing w:val="-5"/>
                      <w:sz w:val="20"/>
                    </w:rPr>
                    <w:t>38</w:t>
                  </w:r>
                </w:p>
              </w:txbxContent>
            </v:textbox>
            <w10:wrap type="none"/>
          </v:shape>
        </w:pict>
      </w: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38-</w:t>
      </w:r>
      <w:r>
        <w:rPr>
          <w:spacing w:val="-5"/>
          <w:w w:val="105"/>
          <w:sz w:val="24"/>
        </w:rPr>
        <w:t>40</w:t>
      </w:r>
      <w:r>
        <w:rPr>
          <w:sz w:val="24"/>
        </w:rPr>
        <w:tab/>
      </w:r>
      <w:r>
        <w:rPr>
          <w:rFonts w:ascii="Courier New"/>
          <w:color w:val="999999"/>
          <w:spacing w:val="-5"/>
          <w:w w:val="105"/>
          <w:position w:val="-23"/>
          <w:sz w:val="48"/>
        </w:rPr>
        <w:t>MMP</w:t>
      </w:r>
    </w:p>
    <w:p>
      <w:pPr>
        <w:spacing w:before="218"/>
        <w:ind w:left="238" w:right="0" w:firstLine="0"/>
        <w:jc w:val="both"/>
        <w:rPr>
          <w:i/>
          <w:sz w:val="24"/>
        </w:rPr>
      </w:pPr>
      <w:r>
        <w:rPr>
          <w:i/>
          <w:sz w:val="24"/>
        </w:rPr>
        <w:t>Case</w:t>
      </w:r>
      <w:r>
        <w:rPr>
          <w:i/>
          <w:spacing w:val="-14"/>
          <w:sz w:val="24"/>
        </w:rPr>
        <w:t> </w:t>
      </w:r>
      <w:r>
        <w:rPr>
          <w:i/>
          <w:spacing w:val="-2"/>
          <w:sz w:val="24"/>
        </w:rPr>
        <w:t>report</w:t>
      </w:r>
    </w:p>
    <w:p>
      <w:pPr>
        <w:pStyle w:val="BodyText"/>
        <w:spacing w:before="7"/>
        <w:rPr>
          <w:i/>
        </w:rPr>
      </w:pPr>
    </w:p>
    <w:p>
      <w:pPr>
        <w:pStyle w:val="Heading2"/>
      </w:pPr>
      <w:bookmarkStart w:name="_TOC_250004" w:id="18"/>
      <w:r>
        <w:rPr/>
        <w:t>UNEXPECTED</w:t>
      </w:r>
      <w:r>
        <w:rPr>
          <w:spacing w:val="-13"/>
        </w:rPr>
        <w:t> </w:t>
      </w:r>
      <w:r>
        <w:rPr/>
        <w:t>FINDING</w:t>
      </w:r>
      <w:r>
        <w:rPr>
          <w:spacing w:val="-10"/>
        </w:rPr>
        <w:t> </w:t>
      </w:r>
      <w:r>
        <w:rPr/>
        <w:t>OF</w:t>
      </w:r>
      <w:r>
        <w:rPr>
          <w:spacing w:val="-8"/>
        </w:rPr>
        <w:t> </w:t>
      </w:r>
      <w:r>
        <w:rPr/>
        <w:t>LARYNGEALHEMANGIOMA</w:t>
      </w:r>
      <w:r>
        <w:rPr>
          <w:spacing w:val="-10"/>
        </w:rPr>
        <w:t> </w:t>
      </w:r>
      <w:r>
        <w:rPr/>
        <w:t>-</w:t>
      </w:r>
      <w:r>
        <w:rPr>
          <w:spacing w:val="-7"/>
        </w:rPr>
        <w:t> </w:t>
      </w:r>
      <w:r>
        <w:rPr/>
        <w:t>DIAGNOSIS</w:t>
      </w:r>
      <w:r>
        <w:rPr>
          <w:spacing w:val="-8"/>
        </w:rPr>
        <w:t> </w:t>
      </w:r>
      <w:r>
        <w:rPr/>
        <w:t>AND</w:t>
      </w:r>
      <w:r>
        <w:rPr>
          <w:spacing w:val="-9"/>
        </w:rPr>
        <w:t> </w:t>
      </w:r>
      <w:r>
        <w:rPr/>
        <w:t>MEDICAL </w:t>
      </w:r>
      <w:bookmarkEnd w:id="18"/>
      <w:r>
        <w:rPr>
          <w:spacing w:val="-2"/>
        </w:rPr>
        <w:t>TREATMENT</w:t>
      </w:r>
    </w:p>
    <w:p>
      <w:pPr>
        <w:pStyle w:val="BodyText"/>
        <w:spacing w:before="11"/>
        <w:rPr>
          <w:b/>
          <w:sz w:val="20"/>
        </w:rPr>
      </w:pPr>
    </w:p>
    <w:p>
      <w:pPr>
        <w:pStyle w:val="Heading2"/>
        <w:ind w:right="928"/>
      </w:pPr>
      <w:bookmarkStart w:name="_TOC_250003" w:id="19"/>
      <w:r>
        <w:rPr/>
        <w:t>НЕОЧЕКУВАН</w:t>
      </w:r>
      <w:r>
        <w:rPr>
          <w:spacing w:val="-6"/>
        </w:rPr>
        <w:t> </w:t>
      </w:r>
      <w:r>
        <w:rPr/>
        <w:t>НАОД</w:t>
      </w:r>
      <w:r>
        <w:rPr>
          <w:spacing w:val="-7"/>
        </w:rPr>
        <w:t> </w:t>
      </w:r>
      <w:r>
        <w:rPr/>
        <w:t>НА</w:t>
      </w:r>
      <w:r>
        <w:rPr>
          <w:spacing w:val="-5"/>
        </w:rPr>
        <w:t> </w:t>
      </w:r>
      <w:r>
        <w:rPr/>
        <w:t>ЛАРИНГОХЕМАНГИОМ</w:t>
      </w:r>
      <w:r>
        <w:rPr>
          <w:spacing w:val="-1"/>
        </w:rPr>
        <w:t> </w:t>
      </w:r>
      <w:r>
        <w:rPr/>
        <w:t>-</w:t>
      </w:r>
      <w:r>
        <w:rPr>
          <w:spacing w:val="-3"/>
        </w:rPr>
        <w:t> </w:t>
      </w:r>
      <w:r>
        <w:rPr/>
        <w:t>ДИЈАГНОЗА</w:t>
      </w:r>
      <w:r>
        <w:rPr>
          <w:spacing w:val="-8"/>
        </w:rPr>
        <w:t> </w:t>
      </w:r>
      <w:r>
        <w:rPr/>
        <w:t>И</w:t>
      </w:r>
      <w:r>
        <w:rPr>
          <w:spacing w:val="-6"/>
        </w:rPr>
        <w:t> </w:t>
      </w:r>
      <w:r>
        <w:rPr/>
        <w:t>МЕДИЦИНСКИ </w:t>
      </w:r>
      <w:bookmarkEnd w:id="19"/>
      <w:r>
        <w:rPr>
          <w:spacing w:val="-2"/>
        </w:rPr>
        <w:t>ТРЕТМАН</w:t>
      </w:r>
    </w:p>
    <w:p>
      <w:pPr>
        <w:pStyle w:val="BodyText"/>
        <w:spacing w:before="6"/>
        <w:rPr>
          <w:b/>
          <w:sz w:val="20"/>
        </w:rPr>
      </w:pPr>
    </w:p>
    <w:p>
      <w:pPr>
        <w:pStyle w:val="Heading1"/>
        <w:ind w:right="290"/>
        <w:jc w:val="both"/>
      </w:pPr>
      <w:r>
        <w:rPr/>
        <w:t>Hristina</w:t>
      </w:r>
      <w:r>
        <w:rPr>
          <w:spacing w:val="40"/>
        </w:rPr>
        <w:t> </w:t>
      </w:r>
      <w:r>
        <w:rPr/>
        <w:t>Mandzukovska</w:t>
      </w:r>
      <w:r>
        <w:rPr>
          <w:vertAlign w:val="superscript"/>
        </w:rPr>
        <w:t>1</w:t>
      </w:r>
      <w:r>
        <w:rPr>
          <w:vertAlign w:val="baseline"/>
        </w:rPr>
        <w:t>, Aspazija</w:t>
      </w:r>
      <w:r>
        <w:rPr>
          <w:spacing w:val="40"/>
          <w:vertAlign w:val="baseline"/>
        </w:rPr>
        <w:t> </w:t>
      </w:r>
      <w:r>
        <w:rPr>
          <w:vertAlign w:val="baseline"/>
        </w:rPr>
        <w:t>Sofijanova</w:t>
      </w:r>
      <w:r>
        <w:rPr>
          <w:vertAlign w:val="superscript"/>
        </w:rPr>
        <w:t>1</w:t>
      </w:r>
      <w:r>
        <w:rPr>
          <w:vertAlign w:val="baseline"/>
        </w:rPr>
        <w:t>, Silvana Naunova-Timovska</w:t>
      </w:r>
      <w:r>
        <w:rPr>
          <w:vertAlign w:val="superscript"/>
        </w:rPr>
        <w:t>1</w:t>
      </w:r>
      <w:r>
        <w:rPr>
          <w:vertAlign w:val="baseline"/>
        </w:rPr>
        <w:t>, Nikola Nikolovski</w:t>
      </w:r>
      <w:r>
        <w:rPr>
          <w:vertAlign w:val="superscript"/>
        </w:rPr>
        <w:t>2</w:t>
      </w:r>
      <w:r>
        <w:rPr>
          <w:vertAlign w:val="baseline"/>
        </w:rPr>
        <w:t>, Goran Micevski</w:t>
      </w:r>
      <w:r>
        <w:rPr>
          <w:vertAlign w:val="superscript"/>
        </w:rPr>
        <w:t>2</w:t>
      </w:r>
      <w:r>
        <w:rPr>
          <w:vertAlign w:val="baseline"/>
        </w:rPr>
        <w:t>, Tamara Voinovska</w:t>
      </w:r>
      <w:r>
        <w:rPr>
          <w:vertAlign w:val="superscript"/>
        </w:rPr>
        <w:t>1</w:t>
      </w:r>
      <w:r>
        <w:rPr>
          <w:vertAlign w:val="baseline"/>
        </w:rPr>
        <w:t>, Mica Kimovska-Hristov</w:t>
      </w:r>
      <w:r>
        <w:rPr>
          <w:vertAlign w:val="superscript"/>
        </w:rPr>
        <w:t>1</w:t>
      </w:r>
      <w:r>
        <w:rPr>
          <w:vertAlign w:val="baseline"/>
        </w:rPr>
        <w:t>, Spasija Neskova-Jankovic</w:t>
      </w:r>
      <w:r>
        <w:rPr>
          <w:vertAlign w:val="superscript"/>
        </w:rPr>
        <w:t>1</w:t>
      </w:r>
      <w:r>
        <w:rPr>
          <w:vertAlign w:val="baseline"/>
        </w:rPr>
        <w:t> and Olivera Jordanovska</w:t>
      </w:r>
      <w:r>
        <w:rPr>
          <w:vertAlign w:val="superscript"/>
        </w:rPr>
        <w:t>1</w:t>
      </w:r>
    </w:p>
    <w:p>
      <w:pPr>
        <w:spacing w:before="242"/>
        <w:ind w:left="238" w:right="295" w:firstLine="0"/>
        <w:jc w:val="both"/>
        <w:rPr>
          <w:sz w:val="22"/>
        </w:rPr>
      </w:pPr>
      <w:r>
        <w:rPr>
          <w:sz w:val="22"/>
          <w:vertAlign w:val="superscript"/>
        </w:rPr>
        <w:t>1</w:t>
      </w:r>
      <w:r>
        <w:rPr>
          <w:sz w:val="22"/>
          <w:vertAlign w:val="baseline"/>
        </w:rPr>
        <w:t>University Clinic for Children's Diseases, </w:t>
      </w:r>
      <w:r>
        <w:rPr>
          <w:sz w:val="22"/>
          <w:vertAlign w:val="superscript"/>
        </w:rPr>
        <w:t>2</w:t>
      </w:r>
      <w:r>
        <w:rPr>
          <w:sz w:val="22"/>
          <w:vertAlign w:val="baseline"/>
        </w:rPr>
        <w:t>University Clinic for Ear,</w:t>
      </w:r>
      <w:r>
        <w:rPr>
          <w:spacing w:val="-1"/>
          <w:sz w:val="22"/>
          <w:vertAlign w:val="baseline"/>
        </w:rPr>
        <w:t> </w:t>
      </w:r>
      <w:r>
        <w:rPr>
          <w:sz w:val="22"/>
          <w:vertAlign w:val="baseline"/>
        </w:rPr>
        <w:t>Nose, Тhroat - Faculty of Medicine,</w:t>
      </w:r>
      <w:r>
        <w:rPr>
          <w:spacing w:val="40"/>
          <w:sz w:val="22"/>
          <w:vertAlign w:val="baseline"/>
        </w:rPr>
        <w:t> </w:t>
      </w:r>
      <w:r>
        <w:rPr>
          <w:sz w:val="22"/>
          <w:vertAlign w:val="baseline"/>
        </w:rPr>
        <w:t>Ss. Cyril and Methodius University, Skopje, Republic of North Macedonia</w:t>
      </w:r>
    </w:p>
    <w:p>
      <w:pPr>
        <w:pStyle w:val="BodyText"/>
        <w:spacing w:before="6"/>
        <w:rPr>
          <w:sz w:val="13"/>
        </w:rPr>
      </w:pPr>
    </w:p>
    <w:p>
      <w:pPr>
        <w:spacing w:after="0"/>
        <w:rPr>
          <w:sz w:val="13"/>
        </w:rPr>
        <w:sectPr>
          <w:headerReference w:type="even" r:id="rId524"/>
          <w:pgSz w:w="11910" w:h="16840"/>
          <w:pgMar w:header="0" w:footer="0" w:top="760" w:bottom="280" w:left="900" w:right="840"/>
        </w:sectPr>
      </w:pPr>
    </w:p>
    <w:p>
      <w:pPr>
        <w:pStyle w:val="Heading4"/>
        <w:spacing w:before="92"/>
      </w:pPr>
      <w:r>
        <w:rPr>
          <w:spacing w:val="-2"/>
        </w:rPr>
        <w:t>Abstract</w:t>
      </w:r>
    </w:p>
    <w:p>
      <w:pPr>
        <w:pStyle w:val="BodyText"/>
        <w:spacing w:before="6"/>
        <w:rPr>
          <w:b/>
          <w:sz w:val="20"/>
        </w:rPr>
      </w:pPr>
    </w:p>
    <w:p>
      <w:pPr>
        <w:pStyle w:val="BodyText"/>
        <w:ind w:left="238" w:right="38"/>
        <w:jc w:val="both"/>
      </w:pPr>
      <w:r>
        <w:rPr>
          <w:b/>
        </w:rPr>
        <w:t>Introduction. </w:t>
      </w:r>
      <w:r>
        <w:rPr/>
        <w:t>Laryngeal hemangioma is a rare and slowly progressing vascular tumor causing stridor or obstructive respiratory symptoms.</w:t>
      </w:r>
    </w:p>
    <w:p>
      <w:pPr>
        <w:pStyle w:val="BodyText"/>
        <w:spacing w:before="1"/>
        <w:ind w:left="238" w:right="38"/>
        <w:jc w:val="both"/>
      </w:pPr>
      <w:r>
        <w:rPr>
          <w:b/>
        </w:rPr>
        <w:t>Case report. </w:t>
      </w:r>
      <w:r>
        <w:rPr/>
        <w:t>We present an unexpected finding of laryngeal hemangioma in a 10-year-old boy with a se- vere general condition. Upon admission at our Depart- ment,</w:t>
      </w:r>
      <w:r>
        <w:rPr>
          <w:spacing w:val="-14"/>
        </w:rPr>
        <w:t> </w:t>
      </w:r>
      <w:r>
        <w:rPr/>
        <w:t>he</w:t>
      </w:r>
      <w:r>
        <w:rPr>
          <w:spacing w:val="-13"/>
        </w:rPr>
        <w:t> </w:t>
      </w:r>
      <w:r>
        <w:rPr/>
        <w:t>was</w:t>
      </w:r>
      <w:r>
        <w:rPr>
          <w:spacing w:val="-13"/>
        </w:rPr>
        <w:t> </w:t>
      </w:r>
      <w:r>
        <w:rPr/>
        <w:t>immediately</w:t>
      </w:r>
      <w:r>
        <w:rPr>
          <w:spacing w:val="-13"/>
        </w:rPr>
        <w:t> </w:t>
      </w:r>
      <w:r>
        <w:rPr/>
        <w:t>intubated.</w:t>
      </w:r>
      <w:r>
        <w:rPr>
          <w:spacing w:val="-13"/>
        </w:rPr>
        <w:t> </w:t>
      </w:r>
      <w:r>
        <w:rPr/>
        <w:t>The</w:t>
      </w:r>
      <w:r>
        <w:rPr>
          <w:spacing w:val="-13"/>
        </w:rPr>
        <w:t> </w:t>
      </w:r>
      <w:r>
        <w:rPr/>
        <w:t>next</w:t>
      </w:r>
      <w:r>
        <w:rPr>
          <w:spacing w:val="-13"/>
        </w:rPr>
        <w:t> </w:t>
      </w:r>
      <w:r>
        <w:rPr/>
        <w:t>day,</w:t>
      </w:r>
      <w:r>
        <w:rPr>
          <w:spacing w:val="-13"/>
        </w:rPr>
        <w:t> </w:t>
      </w:r>
      <w:r>
        <w:rPr/>
        <w:t>after extubation,</w:t>
      </w:r>
      <w:r>
        <w:rPr>
          <w:spacing w:val="37"/>
        </w:rPr>
        <w:t> </w:t>
      </w:r>
      <w:r>
        <w:rPr/>
        <w:t>his</w:t>
      </w:r>
      <w:r>
        <w:rPr>
          <w:spacing w:val="38"/>
        </w:rPr>
        <w:t> </w:t>
      </w:r>
      <w:r>
        <w:rPr/>
        <w:t>condition</w:t>
      </w:r>
      <w:r>
        <w:rPr>
          <w:spacing w:val="39"/>
        </w:rPr>
        <w:t> </w:t>
      </w:r>
      <w:r>
        <w:rPr/>
        <w:t>again</w:t>
      </w:r>
      <w:r>
        <w:rPr>
          <w:spacing w:val="50"/>
        </w:rPr>
        <w:t> </w:t>
      </w:r>
      <w:r>
        <w:rPr>
          <w:spacing w:val="9"/>
        </w:rPr>
        <w:t>deteriorated.</w:t>
      </w:r>
      <w:r>
        <w:rPr>
          <w:spacing w:val="62"/>
        </w:rPr>
        <w:t> </w:t>
      </w:r>
      <w:r>
        <w:rPr>
          <w:spacing w:val="-2"/>
        </w:rPr>
        <w:t>Fiber-</w:t>
      </w:r>
    </w:p>
    <w:p>
      <w:pPr>
        <w:spacing w:line="240" w:lineRule="auto" w:before="8"/>
        <w:rPr>
          <w:sz w:val="28"/>
        </w:rPr>
      </w:pPr>
      <w:r>
        <w:rPr/>
        <w:br w:type="column"/>
      </w:r>
      <w:r>
        <w:rPr>
          <w:sz w:val="28"/>
        </w:rPr>
      </w:r>
    </w:p>
    <w:p>
      <w:pPr>
        <w:pStyle w:val="BodyText"/>
        <w:ind w:left="238" w:right="294"/>
        <w:jc w:val="both"/>
      </w:pPr>
      <w:r>
        <w:rPr/>
        <w:t>ларингеалниот хемангиом во раното детство, може да предизвикаат состојба опасна по живот.</w:t>
      </w:r>
    </w:p>
    <w:p>
      <w:pPr>
        <w:pStyle w:val="BodyText"/>
        <w:ind w:left="238" w:right="291"/>
        <w:jc w:val="both"/>
      </w:pPr>
      <w:r>
        <w:rPr>
          <w:b/>
        </w:rPr>
        <w:t>Заклучок. </w:t>
      </w:r>
      <w:r>
        <w:rPr/>
        <w:t>Редовни и соодветни медицински прег- леди се неопходни за правилна дијагноза. Раниот медицински третман е неопходен за да се избегнат потешки состојбии компликации.</w:t>
      </w:r>
    </w:p>
    <w:p>
      <w:pPr>
        <w:pStyle w:val="BodyText"/>
        <w:spacing w:before="11"/>
        <w:rPr>
          <w:sz w:val="20"/>
        </w:rPr>
      </w:pPr>
    </w:p>
    <w:p>
      <w:pPr>
        <w:spacing w:before="0"/>
        <w:ind w:left="238" w:right="293" w:firstLine="0"/>
        <w:jc w:val="both"/>
        <w:rPr>
          <w:sz w:val="21"/>
        </w:rPr>
      </w:pPr>
      <w:r>
        <w:rPr>
          <w:b/>
          <w:sz w:val="21"/>
        </w:rPr>
        <w:t>Клучни</w:t>
      </w:r>
      <w:r>
        <w:rPr>
          <w:b/>
          <w:spacing w:val="-14"/>
          <w:sz w:val="21"/>
        </w:rPr>
        <w:t> </w:t>
      </w:r>
      <w:r>
        <w:rPr>
          <w:b/>
          <w:sz w:val="21"/>
        </w:rPr>
        <w:t>зборови:</w:t>
      </w:r>
      <w:r>
        <w:rPr>
          <w:b/>
          <w:spacing w:val="-13"/>
          <w:sz w:val="21"/>
        </w:rPr>
        <w:t> </w:t>
      </w:r>
      <w:r>
        <w:rPr>
          <w:sz w:val="21"/>
        </w:rPr>
        <w:t>ларингеален</w:t>
      </w:r>
      <w:r>
        <w:rPr>
          <w:spacing w:val="-13"/>
          <w:sz w:val="21"/>
        </w:rPr>
        <w:t> </w:t>
      </w:r>
      <w:r>
        <w:rPr>
          <w:sz w:val="21"/>
        </w:rPr>
        <w:t>хемангиом,</w:t>
      </w:r>
      <w:r>
        <w:rPr>
          <w:spacing w:val="-13"/>
          <w:sz w:val="21"/>
        </w:rPr>
        <w:t> </w:t>
      </w:r>
      <w:r>
        <w:rPr>
          <w:sz w:val="21"/>
        </w:rPr>
        <w:t>ларинкс, </w:t>
      </w:r>
      <w:r>
        <w:rPr>
          <w:spacing w:val="-2"/>
          <w:sz w:val="21"/>
        </w:rPr>
        <w:t>фибер-бронхоскопија</w:t>
      </w:r>
    </w:p>
    <w:p>
      <w:pPr>
        <w:spacing w:after="0"/>
        <w:jc w:val="both"/>
        <w:rPr>
          <w:sz w:val="21"/>
        </w:rPr>
        <w:sectPr>
          <w:type w:val="continuous"/>
          <w:pgSz w:w="11910" w:h="16840"/>
          <w:pgMar w:header="0" w:footer="0" w:top="740" w:bottom="0" w:left="900" w:right="840"/>
          <w:cols w:num="2" w:equalWidth="0">
            <w:col w:w="4919" w:space="79"/>
            <w:col w:w="5172"/>
          </w:cols>
        </w:sectPr>
      </w:pPr>
    </w:p>
    <w:p>
      <w:pPr>
        <w:pStyle w:val="BodyText"/>
        <w:tabs>
          <w:tab w:pos="5235" w:val="left" w:leader="none"/>
          <w:tab w:pos="9801" w:val="left" w:leader="none"/>
        </w:tabs>
        <w:ind w:left="238" w:right="365"/>
      </w:pPr>
      <w:r>
        <w:rPr/>
        <w:t>bronchoscopy examination was performed; we confir-</w:t>
        <w:tab/>
      </w:r>
      <w:r>
        <w:rPr>
          <w:u w:val="single"/>
        </w:rPr>
        <w:tab/>
      </w:r>
      <w:r>
        <w:rPr/>
        <w:t> med a laryngeal hemangioma. Inadequate investigations</w:t>
      </w:r>
    </w:p>
    <w:p>
      <w:pPr>
        <w:spacing w:after="0"/>
        <w:sectPr>
          <w:type w:val="continuous"/>
          <w:pgSz w:w="11910" w:h="16840"/>
          <w:pgMar w:header="0" w:footer="0" w:top="740" w:bottom="0" w:left="900" w:right="840"/>
        </w:sectPr>
      </w:pPr>
    </w:p>
    <w:p>
      <w:pPr>
        <w:pStyle w:val="BodyText"/>
        <w:ind w:left="238" w:right="40"/>
        <w:jc w:val="both"/>
      </w:pPr>
      <w:r>
        <w:rPr/>
        <w:pict>
          <v:rect style="position:absolute;margin-left:497.899994pt;margin-top:41.649994pt;width:81pt;height:31.8pt;mso-position-horizontal-relative:page;mso-position-vertical-relative:page;z-index:-17626624" id="docshape589" filled="true" fillcolor="#ffffff" stroked="false">
            <v:fill type="solid"/>
            <w10:wrap type="none"/>
          </v:rect>
        </w:pict>
      </w:r>
      <w:r>
        <w:rPr/>
        <w:t>and diagnosis of laryngeal hemangioma in early child- hood cause a life-threatening condition.</w:t>
      </w:r>
    </w:p>
    <w:p>
      <w:pPr>
        <w:pStyle w:val="BodyText"/>
        <w:spacing w:before="1"/>
        <w:ind w:left="238" w:right="40"/>
        <w:jc w:val="both"/>
      </w:pPr>
      <w:r>
        <w:rPr>
          <w:b/>
        </w:rPr>
        <w:t>Conclusion. </w:t>
      </w:r>
      <w:r>
        <w:rPr/>
        <w:t>Regular and appropriate medical exami- nations are necessary for an adequate diagnosis. Early medical treatment is necessary to avoid more severe conditions</w:t>
      </w:r>
      <w:r>
        <w:rPr>
          <w:spacing w:val="40"/>
        </w:rPr>
        <w:t> </w:t>
      </w:r>
      <w:r>
        <w:rPr/>
        <w:t>and</w:t>
      </w:r>
      <w:r>
        <w:rPr>
          <w:spacing w:val="40"/>
        </w:rPr>
        <w:t> </w:t>
      </w:r>
      <w:r>
        <w:rPr/>
        <w:t>complications.</w:t>
      </w:r>
    </w:p>
    <w:p>
      <w:pPr>
        <w:pStyle w:val="BodyText"/>
        <w:spacing w:before="11"/>
        <w:rPr>
          <w:sz w:val="20"/>
        </w:rPr>
      </w:pPr>
    </w:p>
    <w:p>
      <w:pPr>
        <w:pStyle w:val="BodyText"/>
        <w:ind w:left="238"/>
      </w:pPr>
      <w:r>
        <w:rPr>
          <w:b/>
        </w:rPr>
        <w:t>Keywords:</w:t>
      </w:r>
      <w:r>
        <w:rPr>
          <w:b/>
          <w:spacing w:val="-11"/>
        </w:rPr>
        <w:t> </w:t>
      </w:r>
      <w:r>
        <w:rPr/>
        <w:t>laryngeal</w:t>
      </w:r>
      <w:r>
        <w:rPr>
          <w:spacing w:val="-11"/>
        </w:rPr>
        <w:t> </w:t>
      </w:r>
      <w:r>
        <w:rPr/>
        <w:t>hemangioma,</w:t>
      </w:r>
      <w:r>
        <w:rPr>
          <w:spacing w:val="-9"/>
        </w:rPr>
        <w:t> </w:t>
      </w:r>
      <w:r>
        <w:rPr/>
        <w:t>larynx,</w:t>
      </w:r>
      <w:r>
        <w:rPr>
          <w:spacing w:val="-8"/>
        </w:rPr>
        <w:t> </w:t>
      </w:r>
      <w:r>
        <w:rPr/>
        <w:t>fiber- </w:t>
      </w:r>
      <w:r>
        <w:rPr>
          <w:spacing w:val="-2"/>
        </w:rPr>
        <w:t>bronchoscopy</w:t>
      </w:r>
    </w:p>
    <w:p>
      <w:pPr>
        <w:pStyle w:val="BodyText"/>
        <w:spacing w:before="6"/>
        <w:rPr>
          <w:sz w:val="18"/>
        </w:rPr>
      </w:pPr>
      <w:r>
        <w:rPr/>
        <w:pict>
          <v:shape style="position:absolute;margin-left:56.903999pt;margin-top:11.866135pt;width:225.9pt;height:.1pt;mso-position-horizontal-relative:page;mso-position-vertical-relative:paragraph;z-index:-15701504;mso-wrap-distance-left:0;mso-wrap-distance-right:0" id="docshape590" coordorigin="1138,237" coordsize="4518,0" path="m1138,237l5656,237e" filled="false" stroked="true" strokeweight=".4224pt" strokecolor="#000000">
            <v:path arrowok="t"/>
            <v:stroke dashstyle="solid"/>
            <w10:wrap type="topAndBottom"/>
          </v:shape>
        </w:pict>
      </w:r>
    </w:p>
    <w:p>
      <w:pPr>
        <w:pStyle w:val="BodyText"/>
        <w:spacing w:before="4"/>
      </w:pPr>
    </w:p>
    <w:p>
      <w:pPr>
        <w:pStyle w:val="Heading4"/>
      </w:pPr>
      <w:r>
        <w:rPr>
          <w:spacing w:val="-2"/>
        </w:rPr>
        <w:t>Апстракт</w:t>
      </w:r>
    </w:p>
    <w:p>
      <w:pPr>
        <w:pStyle w:val="BodyText"/>
        <w:spacing w:before="6"/>
        <w:rPr>
          <w:b/>
          <w:sz w:val="20"/>
        </w:rPr>
      </w:pPr>
    </w:p>
    <w:p>
      <w:pPr>
        <w:pStyle w:val="BodyText"/>
        <w:ind w:left="238" w:right="38"/>
        <w:jc w:val="both"/>
      </w:pPr>
      <w:r>
        <w:rPr>
          <w:b/>
        </w:rPr>
        <w:t>Вовед. </w:t>
      </w:r>
      <w:r>
        <w:rPr/>
        <w:t>Ларингеалниот хемангиом</w:t>
      </w:r>
      <w:r>
        <w:rPr>
          <w:spacing w:val="40"/>
        </w:rPr>
        <w:t> </w:t>
      </w:r>
      <w:r>
        <w:rPr/>
        <w:t>е редок и бавно прогресивен васкуларен тумор, кој предизвикува стридор и респираторни симптоми.</w:t>
      </w:r>
    </w:p>
    <w:p>
      <w:pPr>
        <w:pStyle w:val="BodyText"/>
        <w:spacing w:before="1"/>
        <w:ind w:left="238" w:right="38"/>
        <w:jc w:val="both"/>
      </w:pPr>
      <w:r>
        <w:rPr>
          <w:b/>
        </w:rPr>
        <w:t>Приказ на случај. </w:t>
      </w:r>
      <w:r>
        <w:rPr/>
        <w:t>Во овој приказ на случај пре- зентираме неочекуван наод на ларингеален хеман- гиом кај</w:t>
      </w:r>
      <w:r>
        <w:rPr>
          <w:spacing w:val="-6"/>
        </w:rPr>
        <w:t> </w:t>
      </w:r>
      <w:r>
        <w:rPr/>
        <w:t>10</w:t>
      </w:r>
      <w:r>
        <w:rPr>
          <w:spacing w:val="-5"/>
        </w:rPr>
        <w:t> </w:t>
      </w:r>
      <w:r>
        <w:rPr/>
        <w:t>годишно</w:t>
      </w:r>
      <w:r>
        <w:rPr>
          <w:spacing w:val="-5"/>
        </w:rPr>
        <w:t> </w:t>
      </w:r>
      <w:r>
        <w:rPr/>
        <w:t>дете</w:t>
      </w:r>
      <w:r>
        <w:rPr>
          <w:spacing w:val="-6"/>
        </w:rPr>
        <w:t> </w:t>
      </w:r>
      <w:r>
        <w:rPr/>
        <w:t>со</w:t>
      </w:r>
      <w:r>
        <w:rPr>
          <w:spacing w:val="-5"/>
        </w:rPr>
        <w:t> </w:t>
      </w:r>
      <w:r>
        <w:rPr/>
        <w:t>тешка</w:t>
      </w:r>
      <w:r>
        <w:rPr>
          <w:spacing w:val="-6"/>
        </w:rPr>
        <w:t> </w:t>
      </w:r>
      <w:r>
        <w:rPr/>
        <w:t>клиничка</w:t>
      </w:r>
      <w:r>
        <w:rPr>
          <w:spacing w:val="-6"/>
        </w:rPr>
        <w:t> </w:t>
      </w:r>
      <w:r>
        <w:rPr/>
        <w:t>слика. На нашиот оддел беше веднаш интубирано. След- </w:t>
      </w:r>
      <w:r>
        <w:rPr>
          <w:spacing w:val="-2"/>
        </w:rPr>
        <w:t>ниот ден,</w:t>
      </w:r>
      <w:r>
        <w:rPr>
          <w:spacing w:val="-9"/>
        </w:rPr>
        <w:t> </w:t>
      </w:r>
      <w:r>
        <w:rPr>
          <w:spacing w:val="-2"/>
        </w:rPr>
        <w:t>по</w:t>
      </w:r>
      <w:r>
        <w:rPr>
          <w:spacing w:val="-9"/>
        </w:rPr>
        <w:t> </w:t>
      </w:r>
      <w:r>
        <w:rPr>
          <w:spacing w:val="-2"/>
        </w:rPr>
        <w:t>екстубација</w:t>
      </w:r>
      <w:r>
        <w:rPr>
          <w:spacing w:val="-9"/>
        </w:rPr>
        <w:t> </w:t>
      </w:r>
      <w:r>
        <w:rPr>
          <w:spacing w:val="-2"/>
        </w:rPr>
        <w:t>неговата</w:t>
      </w:r>
      <w:r>
        <w:rPr>
          <w:spacing w:val="-9"/>
        </w:rPr>
        <w:t> </w:t>
      </w:r>
      <w:r>
        <w:rPr>
          <w:spacing w:val="-2"/>
        </w:rPr>
        <w:t>состојба</w:t>
      </w:r>
      <w:r>
        <w:rPr>
          <w:spacing w:val="-9"/>
        </w:rPr>
        <w:t> </w:t>
      </w:r>
      <w:r>
        <w:rPr>
          <w:spacing w:val="-2"/>
        </w:rPr>
        <w:t>повторно </w:t>
      </w:r>
      <w:r>
        <w:rPr/>
        <w:t>се</w:t>
      </w:r>
      <w:r>
        <w:rPr>
          <w:spacing w:val="-10"/>
        </w:rPr>
        <w:t> </w:t>
      </w:r>
      <w:r>
        <w:rPr/>
        <w:t>влоши.</w:t>
      </w:r>
      <w:r>
        <w:rPr>
          <w:spacing w:val="-10"/>
        </w:rPr>
        <w:t> </w:t>
      </w:r>
      <w:r>
        <w:rPr/>
        <w:t>Беше</w:t>
      </w:r>
      <w:r>
        <w:rPr>
          <w:spacing w:val="-10"/>
        </w:rPr>
        <w:t> </w:t>
      </w:r>
      <w:r>
        <w:rPr/>
        <w:t>направена</w:t>
      </w:r>
      <w:r>
        <w:rPr>
          <w:spacing w:val="-10"/>
        </w:rPr>
        <w:t> </w:t>
      </w:r>
      <w:r>
        <w:rPr/>
        <w:t>фибер-бронхоскопија;</w:t>
      </w:r>
      <w:r>
        <w:rPr>
          <w:spacing w:val="-10"/>
        </w:rPr>
        <w:t> </w:t>
      </w:r>
      <w:r>
        <w:rPr/>
        <w:t>се потврди присуство на ларингеален хемангиом. Не- навремени,</w:t>
      </w:r>
      <w:r>
        <w:rPr>
          <w:spacing w:val="-7"/>
        </w:rPr>
        <w:t> </w:t>
      </w:r>
      <w:r>
        <w:rPr/>
        <w:t>несоодветни</w:t>
      </w:r>
      <w:r>
        <w:rPr>
          <w:spacing w:val="-7"/>
        </w:rPr>
        <w:t> </w:t>
      </w:r>
      <w:r>
        <w:rPr/>
        <w:t>испитувања</w:t>
      </w:r>
      <w:r>
        <w:rPr>
          <w:spacing w:val="-7"/>
        </w:rPr>
        <w:t> </w:t>
      </w:r>
      <w:r>
        <w:rPr/>
        <w:t>и</w:t>
      </w:r>
      <w:r>
        <w:rPr>
          <w:spacing w:val="-8"/>
        </w:rPr>
        <w:t> </w:t>
      </w:r>
      <w:r>
        <w:rPr/>
        <w:t>дијагноза</w:t>
      </w:r>
      <w:r>
        <w:rPr>
          <w:spacing w:val="-6"/>
        </w:rPr>
        <w:t> </w:t>
      </w:r>
      <w:r>
        <w:rPr>
          <w:spacing w:val="-5"/>
        </w:rPr>
        <w:t>на</w:t>
      </w:r>
    </w:p>
    <w:p>
      <w:pPr>
        <w:pStyle w:val="BodyText"/>
        <w:rPr>
          <w:sz w:val="20"/>
        </w:rPr>
      </w:pPr>
    </w:p>
    <w:p>
      <w:pPr>
        <w:pStyle w:val="BodyText"/>
        <w:spacing w:before="9"/>
        <w:rPr>
          <w:sz w:val="14"/>
        </w:rPr>
      </w:pPr>
      <w:r>
        <w:rPr/>
        <w:pict>
          <v:shape style="position:absolute;margin-left:56.903999pt;margin-top:9.731133pt;width:96.05pt;height:.1pt;mso-position-horizontal-relative:page;mso-position-vertical-relative:paragraph;z-index:-15700992;mso-wrap-distance-left:0;mso-wrap-distance-right:0" id="docshape591" coordorigin="1138,195" coordsize="1921,0" path="m1138,195l3059,195e" filled="false" stroked="true" strokeweight=".32964pt" strokecolor="#000000">
            <v:path arrowok="t"/>
            <v:stroke dashstyle="solid"/>
            <w10:wrap type="topAndBottom"/>
          </v:shape>
        </w:pict>
      </w:r>
    </w:p>
    <w:p>
      <w:pPr>
        <w:spacing w:before="0"/>
        <w:ind w:left="238" w:right="41" w:firstLine="0"/>
        <w:jc w:val="both"/>
        <w:rPr>
          <w:sz w:val="16"/>
        </w:rPr>
      </w:pPr>
      <w:r>
        <w:rPr>
          <w:i/>
          <w:sz w:val="16"/>
        </w:rPr>
        <w:t>Correspondence</w:t>
      </w:r>
      <w:r>
        <w:rPr>
          <w:i/>
          <w:spacing w:val="-4"/>
          <w:sz w:val="16"/>
        </w:rPr>
        <w:t> </w:t>
      </w:r>
      <w:r>
        <w:rPr>
          <w:i/>
          <w:sz w:val="16"/>
        </w:rPr>
        <w:t>to:</w:t>
      </w:r>
      <w:r>
        <w:rPr>
          <w:i/>
          <w:spacing w:val="80"/>
          <w:sz w:val="16"/>
        </w:rPr>
        <w:t> </w:t>
      </w:r>
      <w:r>
        <w:rPr>
          <w:sz w:val="16"/>
        </w:rPr>
        <w:t>Hristina Mandzukovska,</w:t>
      </w:r>
      <w:r>
        <w:rPr>
          <w:spacing w:val="-1"/>
          <w:sz w:val="16"/>
        </w:rPr>
        <w:t> </w:t>
      </w:r>
      <w:r>
        <w:rPr>
          <w:sz w:val="16"/>
        </w:rPr>
        <w:t>University</w:t>
      </w:r>
      <w:r>
        <w:rPr>
          <w:spacing w:val="-3"/>
          <w:sz w:val="16"/>
        </w:rPr>
        <w:t> </w:t>
      </w:r>
      <w:r>
        <w:rPr>
          <w:sz w:val="16"/>
        </w:rPr>
        <w:t>Clinic</w:t>
      </w:r>
      <w:r>
        <w:rPr>
          <w:spacing w:val="-1"/>
          <w:sz w:val="16"/>
        </w:rPr>
        <w:t> </w:t>
      </w:r>
      <w:r>
        <w:rPr>
          <w:sz w:val="16"/>
        </w:rPr>
        <w:t>for</w:t>
      </w:r>
      <w:r>
        <w:rPr>
          <w:spacing w:val="40"/>
          <w:sz w:val="16"/>
        </w:rPr>
        <w:t> </w:t>
      </w:r>
      <w:r>
        <w:rPr>
          <w:sz w:val="16"/>
        </w:rPr>
        <w:t>Children's Diseases, 1000 Skopje, R. N. Macedonia; </w:t>
      </w:r>
      <w:r>
        <w:rPr>
          <w:spacing w:val="13"/>
          <w:sz w:val="16"/>
        </w:rPr>
        <w:t>E-</w:t>
      </w:r>
      <w:r>
        <w:rPr>
          <w:sz w:val="16"/>
        </w:rPr>
        <w:t>mail:</w:t>
      </w:r>
      <w:r>
        <w:rPr>
          <w:spacing w:val="40"/>
          <w:sz w:val="16"/>
        </w:rPr>
        <w:t> </w:t>
      </w:r>
      <w:hyperlink r:id="rId525">
        <w:r>
          <w:rPr>
            <w:spacing w:val="-2"/>
            <w:sz w:val="16"/>
          </w:rPr>
          <w:t>hbicevska@yahoo.com</w:t>
        </w:r>
      </w:hyperlink>
    </w:p>
    <w:p>
      <w:pPr>
        <w:pStyle w:val="Heading4"/>
        <w:spacing w:before="4"/>
      </w:pPr>
      <w:r>
        <w:rPr>
          <w:b w:val="0"/>
        </w:rPr>
        <w:br w:type="column"/>
      </w:r>
      <w:r>
        <w:rPr>
          <w:spacing w:val="-2"/>
        </w:rPr>
        <w:t>Introduction</w:t>
      </w:r>
    </w:p>
    <w:p>
      <w:pPr>
        <w:pStyle w:val="BodyText"/>
        <w:spacing w:before="8"/>
        <w:rPr>
          <w:b/>
          <w:sz w:val="20"/>
        </w:rPr>
      </w:pPr>
    </w:p>
    <w:p>
      <w:pPr>
        <w:pStyle w:val="BodyText"/>
        <w:ind w:left="238" w:right="290"/>
        <w:jc w:val="both"/>
      </w:pPr>
      <w:r>
        <w:rPr/>
        <w:t>Laryngeal</w:t>
      </w:r>
      <w:r>
        <w:rPr>
          <w:spacing w:val="-1"/>
        </w:rPr>
        <w:t> </w:t>
      </w:r>
      <w:r>
        <w:rPr/>
        <w:t>hemangiomas</w:t>
      </w:r>
      <w:r>
        <w:rPr>
          <w:spacing w:val="-1"/>
        </w:rPr>
        <w:t> </w:t>
      </w:r>
      <w:r>
        <w:rPr/>
        <w:t>are a rare</w:t>
      </w:r>
      <w:r>
        <w:rPr>
          <w:spacing w:val="-1"/>
        </w:rPr>
        <w:t> </w:t>
      </w:r>
      <w:r>
        <w:rPr/>
        <w:t>condition</w:t>
      </w:r>
      <w:r>
        <w:rPr>
          <w:spacing w:val="-1"/>
        </w:rPr>
        <w:t> </w:t>
      </w:r>
      <w:r>
        <w:rPr/>
        <w:t>in</w:t>
      </w:r>
      <w:r>
        <w:rPr>
          <w:spacing w:val="-1"/>
        </w:rPr>
        <w:t> </w:t>
      </w:r>
      <w:r>
        <w:rPr/>
        <w:t>pediat- </w:t>
      </w:r>
      <w:r>
        <w:rPr>
          <w:spacing w:val="-4"/>
        </w:rPr>
        <w:t>ric</w:t>
      </w:r>
      <w:r>
        <w:rPr/>
        <w:t> </w:t>
      </w:r>
      <w:r>
        <w:rPr>
          <w:spacing w:val="-4"/>
        </w:rPr>
        <w:t>population.</w:t>
      </w:r>
      <w:r>
        <w:rPr>
          <w:spacing w:val="-9"/>
        </w:rPr>
        <w:t> </w:t>
      </w:r>
      <w:r>
        <w:rPr>
          <w:spacing w:val="-4"/>
        </w:rPr>
        <w:t>They</w:t>
      </w:r>
      <w:r>
        <w:rPr>
          <w:spacing w:val="-9"/>
        </w:rPr>
        <w:t> </w:t>
      </w:r>
      <w:r>
        <w:rPr>
          <w:spacing w:val="-4"/>
        </w:rPr>
        <w:t>occur</w:t>
      </w:r>
      <w:r>
        <w:rPr>
          <w:spacing w:val="-10"/>
        </w:rPr>
        <w:t> </w:t>
      </w:r>
      <w:r>
        <w:rPr>
          <w:spacing w:val="-4"/>
        </w:rPr>
        <w:t>in</w:t>
      </w:r>
      <w:r>
        <w:rPr>
          <w:spacing w:val="-5"/>
        </w:rPr>
        <w:t> </w:t>
      </w:r>
      <w:r>
        <w:rPr>
          <w:spacing w:val="-4"/>
        </w:rPr>
        <w:t>different</w:t>
      </w:r>
      <w:r>
        <w:rPr>
          <w:spacing w:val="-7"/>
        </w:rPr>
        <w:t> </w:t>
      </w:r>
      <w:r>
        <w:rPr>
          <w:spacing w:val="-4"/>
        </w:rPr>
        <w:t>anatomic</w:t>
      </w:r>
      <w:r>
        <w:rPr>
          <w:spacing w:val="-7"/>
        </w:rPr>
        <w:t> </w:t>
      </w:r>
      <w:r>
        <w:rPr>
          <w:spacing w:val="-4"/>
        </w:rPr>
        <w:t>locations </w:t>
      </w:r>
      <w:r>
        <w:rPr/>
        <w:t>of the larynx and manifest with different clinical sym- ptoms</w:t>
      </w:r>
      <w:r>
        <w:rPr>
          <w:spacing w:val="-4"/>
        </w:rPr>
        <w:t> </w:t>
      </w:r>
      <w:r>
        <w:rPr/>
        <w:t>such</w:t>
      </w:r>
      <w:r>
        <w:rPr>
          <w:spacing w:val="-9"/>
        </w:rPr>
        <w:t> </w:t>
      </w:r>
      <w:r>
        <w:rPr/>
        <w:t>as</w:t>
      </w:r>
      <w:r>
        <w:rPr>
          <w:spacing w:val="-9"/>
        </w:rPr>
        <w:t> </w:t>
      </w:r>
      <w:r>
        <w:rPr/>
        <w:t>obstruction,</w:t>
      </w:r>
      <w:r>
        <w:rPr>
          <w:spacing w:val="-8"/>
        </w:rPr>
        <w:t> </w:t>
      </w:r>
      <w:r>
        <w:rPr/>
        <w:t>dyspnea,</w:t>
      </w:r>
      <w:r>
        <w:rPr>
          <w:spacing w:val="-9"/>
        </w:rPr>
        <w:t> </w:t>
      </w:r>
      <w:r>
        <w:rPr/>
        <w:t>dysphagia,</w:t>
      </w:r>
      <w:r>
        <w:rPr>
          <w:spacing w:val="-9"/>
        </w:rPr>
        <w:t> </w:t>
      </w:r>
      <w:r>
        <w:rPr/>
        <w:t>hoarse- ness, etc. [1,2]. Although in the studies of Dickison P and Hoornweg MJ</w:t>
      </w:r>
      <w:r>
        <w:rPr>
          <w:spacing w:val="40"/>
        </w:rPr>
        <w:t> </w:t>
      </w:r>
      <w:r>
        <w:rPr/>
        <w:t>the incidence of hemangiomas in children was 2.6% to 9.9%, due to the rarity of laryn- geal hemangiomas, the exact incidence of the tumor remains unreliable</w:t>
      </w:r>
      <w:r>
        <w:rPr>
          <w:spacing w:val="40"/>
        </w:rPr>
        <w:t> </w:t>
      </w:r>
      <w:r>
        <w:rPr/>
        <w:t>[ 3,4].</w:t>
      </w:r>
    </w:p>
    <w:p>
      <w:pPr>
        <w:pStyle w:val="BodyText"/>
        <w:ind w:left="238" w:right="287"/>
        <w:jc w:val="both"/>
      </w:pPr>
      <w:r>
        <w:rPr/>
        <w:t>In 2014 the American Academy of Pediatrics (AAP) </w:t>
      </w:r>
      <w:r>
        <w:rPr>
          <w:spacing w:val="-4"/>
        </w:rPr>
        <w:t>made recommendations for treatment of infantile heman- </w:t>
      </w:r>
      <w:r>
        <w:rPr/>
        <w:t>gioma</w:t>
      </w:r>
      <w:r>
        <w:rPr>
          <w:spacing w:val="-3"/>
        </w:rPr>
        <w:t> </w:t>
      </w:r>
      <w:r>
        <w:rPr/>
        <w:t>while</w:t>
      </w:r>
      <w:r>
        <w:rPr>
          <w:spacing w:val="-5"/>
        </w:rPr>
        <w:t> </w:t>
      </w:r>
      <w:r>
        <w:rPr/>
        <w:t>calling</w:t>
      </w:r>
      <w:r>
        <w:rPr>
          <w:spacing w:val="-5"/>
        </w:rPr>
        <w:t> </w:t>
      </w:r>
      <w:r>
        <w:rPr/>
        <w:t>for</w:t>
      </w:r>
      <w:r>
        <w:rPr>
          <w:spacing w:val="-5"/>
        </w:rPr>
        <w:t> </w:t>
      </w:r>
      <w:r>
        <w:rPr/>
        <w:t>additional</w:t>
      </w:r>
      <w:r>
        <w:rPr>
          <w:spacing w:val="-5"/>
        </w:rPr>
        <w:t> </w:t>
      </w:r>
      <w:r>
        <w:rPr/>
        <w:t>research</w:t>
      </w:r>
      <w:r>
        <w:rPr>
          <w:spacing w:val="-5"/>
        </w:rPr>
        <w:t> </w:t>
      </w:r>
      <w:r>
        <w:rPr/>
        <w:t>of</w:t>
      </w:r>
      <w:r>
        <w:rPr>
          <w:spacing w:val="-5"/>
        </w:rPr>
        <w:t> </w:t>
      </w:r>
      <w:r>
        <w:rPr/>
        <w:t>the</w:t>
      </w:r>
      <w:r>
        <w:rPr>
          <w:spacing w:val="-5"/>
        </w:rPr>
        <w:t> </w:t>
      </w:r>
      <w:r>
        <w:rPr/>
        <w:t>treat- </w:t>
      </w:r>
      <w:r>
        <w:rPr>
          <w:spacing w:val="-6"/>
        </w:rPr>
        <w:t>ment</w:t>
      </w:r>
      <w:r>
        <w:rPr>
          <w:spacing w:val="11"/>
        </w:rPr>
        <w:t> </w:t>
      </w:r>
      <w:r>
        <w:rPr>
          <w:spacing w:val="-6"/>
        </w:rPr>
        <w:t>of</w:t>
      </w:r>
      <w:r>
        <w:rPr>
          <w:spacing w:val="-8"/>
        </w:rPr>
        <w:t> </w:t>
      </w:r>
      <w:r>
        <w:rPr>
          <w:spacing w:val="-6"/>
        </w:rPr>
        <w:t>hemangioma in the airways of young</w:t>
      </w:r>
      <w:r>
        <w:rPr>
          <w:spacing w:val="-8"/>
        </w:rPr>
        <w:t> </w:t>
      </w:r>
      <w:r>
        <w:rPr>
          <w:spacing w:val="-6"/>
        </w:rPr>
        <w:t>children [5]. </w:t>
      </w:r>
      <w:r>
        <w:rPr/>
        <w:t>Several recommendations of medical treatment have been</w:t>
      </w:r>
      <w:r>
        <w:rPr>
          <w:spacing w:val="-14"/>
        </w:rPr>
        <w:t> </w:t>
      </w:r>
      <w:r>
        <w:rPr/>
        <w:t>proposed</w:t>
      </w:r>
      <w:r>
        <w:rPr>
          <w:spacing w:val="-13"/>
        </w:rPr>
        <w:t> </w:t>
      </w:r>
      <w:r>
        <w:rPr/>
        <w:t>in</w:t>
      </w:r>
      <w:r>
        <w:rPr>
          <w:spacing w:val="-13"/>
        </w:rPr>
        <w:t> </w:t>
      </w:r>
      <w:r>
        <w:rPr/>
        <w:t>the</w:t>
      </w:r>
      <w:r>
        <w:rPr>
          <w:spacing w:val="-13"/>
        </w:rPr>
        <w:t> </w:t>
      </w:r>
      <w:r>
        <w:rPr/>
        <w:t>management</w:t>
      </w:r>
      <w:r>
        <w:rPr>
          <w:spacing w:val="-13"/>
        </w:rPr>
        <w:t> </w:t>
      </w:r>
      <w:r>
        <w:rPr/>
        <w:t>of</w:t>
      </w:r>
      <w:r>
        <w:rPr>
          <w:spacing w:val="-13"/>
        </w:rPr>
        <w:t> </w:t>
      </w:r>
      <w:r>
        <w:rPr/>
        <w:t>hemangiomas.</w:t>
      </w:r>
      <w:r>
        <w:rPr>
          <w:spacing w:val="-13"/>
        </w:rPr>
        <w:t> </w:t>
      </w:r>
      <w:r>
        <w:rPr/>
        <w:t>La- ryngeal hemangiomas often require urgent treatment. According to the general situation, if there is a life- threatening airway obstruction, surgical resection with endoscopic</w:t>
      </w:r>
      <w:r>
        <w:rPr>
          <w:spacing w:val="-7"/>
        </w:rPr>
        <w:t> </w:t>
      </w:r>
      <w:r>
        <w:rPr/>
        <w:t>laser</w:t>
      </w:r>
      <w:r>
        <w:rPr>
          <w:spacing w:val="-7"/>
        </w:rPr>
        <w:t> </w:t>
      </w:r>
      <w:r>
        <w:rPr/>
        <w:t>excision</w:t>
      </w:r>
      <w:r>
        <w:rPr>
          <w:spacing w:val="-7"/>
        </w:rPr>
        <w:t> </w:t>
      </w:r>
      <w:r>
        <w:rPr/>
        <w:t>or</w:t>
      </w:r>
      <w:r>
        <w:rPr>
          <w:spacing w:val="-7"/>
        </w:rPr>
        <w:t> </w:t>
      </w:r>
      <w:r>
        <w:rPr/>
        <w:t>open</w:t>
      </w:r>
      <w:r>
        <w:rPr>
          <w:spacing w:val="-7"/>
        </w:rPr>
        <w:t> </w:t>
      </w:r>
      <w:r>
        <w:rPr/>
        <w:t>excision</w:t>
      </w:r>
      <w:r>
        <w:rPr>
          <w:spacing w:val="-5"/>
        </w:rPr>
        <w:t> </w:t>
      </w:r>
      <w:r>
        <w:rPr/>
        <w:t>is</w:t>
      </w:r>
      <w:r>
        <w:rPr>
          <w:spacing w:val="-7"/>
        </w:rPr>
        <w:t> </w:t>
      </w:r>
      <w:r>
        <w:rPr/>
        <w:t>necessary [6]. Tracheotomy can help bypass the presence of he- mangiomas. Interferon treatment, systemic corticoste- </w:t>
      </w:r>
      <w:r>
        <w:rPr>
          <w:spacing w:val="-4"/>
        </w:rPr>
        <w:t>roids,</w:t>
      </w:r>
      <w:r>
        <w:rPr>
          <w:spacing w:val="-8"/>
        </w:rPr>
        <w:t> </w:t>
      </w:r>
      <w:r>
        <w:rPr>
          <w:spacing w:val="-4"/>
        </w:rPr>
        <w:t>chemotherapeutic</w:t>
      </w:r>
      <w:r>
        <w:rPr>
          <w:spacing w:val="-8"/>
        </w:rPr>
        <w:t> </w:t>
      </w:r>
      <w:r>
        <w:rPr>
          <w:spacing w:val="-4"/>
        </w:rPr>
        <w:t>therapy</w:t>
      </w:r>
      <w:r>
        <w:rPr>
          <w:spacing w:val="-10"/>
        </w:rPr>
        <w:t> </w:t>
      </w:r>
      <w:r>
        <w:rPr>
          <w:spacing w:val="-4"/>
        </w:rPr>
        <w:t>and</w:t>
      </w:r>
      <w:r>
        <w:rPr>
          <w:spacing w:val="-9"/>
        </w:rPr>
        <w:t> </w:t>
      </w:r>
      <w:r>
        <w:rPr>
          <w:spacing w:val="-4"/>
        </w:rPr>
        <w:t>β-adrenergic</w:t>
      </w:r>
      <w:r>
        <w:rPr>
          <w:spacing w:val="-8"/>
        </w:rPr>
        <w:t> </w:t>
      </w:r>
      <w:r>
        <w:rPr>
          <w:spacing w:val="-4"/>
        </w:rPr>
        <w:t>blocka- </w:t>
      </w:r>
      <w:r>
        <w:rPr/>
        <w:t>de for small laryngeal hemangiomas are effective for appropriate therapy [7,8].</w:t>
      </w:r>
    </w:p>
    <w:p>
      <w:pPr>
        <w:pStyle w:val="BodyText"/>
        <w:ind w:left="238" w:right="292"/>
        <w:jc w:val="both"/>
      </w:pPr>
      <w:r>
        <w:rPr/>
        <w:t>In</w:t>
      </w:r>
      <w:r>
        <w:rPr>
          <w:spacing w:val="-4"/>
        </w:rPr>
        <w:t> </w:t>
      </w:r>
      <w:r>
        <w:rPr/>
        <w:t>the</w:t>
      </w:r>
      <w:r>
        <w:rPr>
          <w:spacing w:val="-6"/>
        </w:rPr>
        <w:t> </w:t>
      </w:r>
      <w:r>
        <w:rPr/>
        <w:t>present</w:t>
      </w:r>
      <w:r>
        <w:rPr>
          <w:spacing w:val="-7"/>
        </w:rPr>
        <w:t> </w:t>
      </w:r>
      <w:r>
        <w:rPr/>
        <w:t>study,</w:t>
      </w:r>
      <w:r>
        <w:rPr>
          <w:spacing w:val="-4"/>
        </w:rPr>
        <w:t> </w:t>
      </w:r>
      <w:r>
        <w:rPr/>
        <w:t>the</w:t>
      </w:r>
      <w:r>
        <w:rPr>
          <w:spacing w:val="-6"/>
        </w:rPr>
        <w:t> </w:t>
      </w:r>
      <w:r>
        <w:rPr/>
        <w:t>unexpected</w:t>
      </w:r>
      <w:r>
        <w:rPr>
          <w:spacing w:val="-8"/>
        </w:rPr>
        <w:t> </w:t>
      </w:r>
      <w:r>
        <w:rPr/>
        <w:t>diagnosis</w:t>
      </w:r>
      <w:r>
        <w:rPr>
          <w:spacing w:val="-6"/>
        </w:rPr>
        <w:t> </w:t>
      </w:r>
      <w:r>
        <w:rPr/>
        <w:t>of</w:t>
      </w:r>
      <w:r>
        <w:rPr>
          <w:spacing w:val="-7"/>
        </w:rPr>
        <w:t> </w:t>
      </w:r>
      <w:r>
        <w:rPr/>
        <w:t>laryn- geal hemangioma and medical treatment of a child is </w:t>
      </w:r>
      <w:r>
        <w:rPr>
          <w:spacing w:val="-2"/>
        </w:rPr>
        <w:t>described.</w:t>
      </w:r>
    </w:p>
    <w:p>
      <w:pPr>
        <w:spacing w:after="0"/>
        <w:jc w:val="both"/>
        <w:sectPr>
          <w:type w:val="continuous"/>
          <w:pgSz w:w="11910" w:h="16840"/>
          <w:pgMar w:header="0" w:footer="0" w:top="740" w:bottom="0" w:left="900" w:right="840"/>
          <w:cols w:num="2" w:equalWidth="0">
            <w:col w:w="4919" w:space="79"/>
            <w:col w:w="5172"/>
          </w:cols>
        </w:sectPr>
      </w:pPr>
    </w:p>
    <w:p>
      <w:pPr>
        <w:pStyle w:val="BodyText"/>
        <w:spacing w:before="9"/>
        <w:rPr>
          <w:sz w:val="14"/>
        </w:rPr>
      </w:pPr>
    </w:p>
    <w:p>
      <w:pPr>
        <w:spacing w:after="0"/>
        <w:rPr>
          <w:sz w:val="14"/>
        </w:rPr>
        <w:sectPr>
          <w:headerReference w:type="default" r:id="rId526"/>
          <w:headerReference w:type="even" r:id="rId527"/>
          <w:pgSz w:w="11910" w:h="16840"/>
          <w:pgMar w:header="854" w:footer="0" w:top="1300" w:bottom="280" w:left="900" w:right="840"/>
          <w:pgNumType w:start="39"/>
        </w:sectPr>
      </w:pPr>
    </w:p>
    <w:p>
      <w:pPr>
        <w:pStyle w:val="BodyText"/>
        <w:spacing w:before="4"/>
        <w:rPr>
          <w:sz w:val="29"/>
        </w:rPr>
      </w:pPr>
    </w:p>
    <w:p>
      <w:pPr>
        <w:pStyle w:val="Heading4"/>
        <w:jc w:val="both"/>
      </w:pPr>
      <w:r>
        <w:rPr/>
        <w:t>Case</w:t>
      </w:r>
      <w:r>
        <w:rPr>
          <w:spacing w:val="-1"/>
        </w:rPr>
        <w:t> </w:t>
      </w:r>
      <w:r>
        <w:rPr>
          <w:spacing w:val="-2"/>
        </w:rPr>
        <w:t>report</w:t>
      </w:r>
    </w:p>
    <w:p>
      <w:pPr>
        <w:pStyle w:val="BodyText"/>
        <w:spacing w:before="8"/>
        <w:rPr>
          <w:b/>
          <w:sz w:val="20"/>
        </w:rPr>
      </w:pPr>
    </w:p>
    <w:p>
      <w:pPr>
        <w:pStyle w:val="BodyText"/>
        <w:ind w:left="238" w:right="38"/>
        <w:jc w:val="both"/>
      </w:pPr>
      <w:r>
        <w:rPr>
          <w:spacing w:val="-2"/>
        </w:rPr>
        <w:t>On</w:t>
      </w:r>
      <w:r>
        <w:rPr>
          <w:spacing w:val="-8"/>
        </w:rPr>
        <w:t> </w:t>
      </w:r>
      <w:r>
        <w:rPr>
          <w:spacing w:val="-2"/>
        </w:rPr>
        <w:t>March</w:t>
      </w:r>
      <w:r>
        <w:rPr>
          <w:spacing w:val="-8"/>
        </w:rPr>
        <w:t> </w:t>
      </w:r>
      <w:r>
        <w:rPr>
          <w:spacing w:val="-2"/>
        </w:rPr>
        <w:t>23,</w:t>
      </w:r>
      <w:r>
        <w:rPr>
          <w:spacing w:val="-8"/>
        </w:rPr>
        <w:t> </w:t>
      </w:r>
      <w:r>
        <w:rPr>
          <w:spacing w:val="-2"/>
        </w:rPr>
        <w:t>2016,</w:t>
      </w:r>
      <w:r>
        <w:rPr>
          <w:spacing w:val="-8"/>
        </w:rPr>
        <w:t> </w:t>
      </w:r>
      <w:r>
        <w:rPr>
          <w:spacing w:val="-2"/>
        </w:rPr>
        <w:t>a</w:t>
      </w:r>
      <w:r>
        <w:rPr>
          <w:spacing w:val="-8"/>
        </w:rPr>
        <w:t> </w:t>
      </w:r>
      <w:r>
        <w:rPr>
          <w:spacing w:val="-2"/>
        </w:rPr>
        <w:t>10-year-old</w:t>
      </w:r>
      <w:r>
        <w:rPr>
          <w:spacing w:val="-8"/>
        </w:rPr>
        <w:t> </w:t>
      </w:r>
      <w:r>
        <w:rPr>
          <w:spacing w:val="-2"/>
        </w:rPr>
        <w:t>boy</w:t>
      </w:r>
      <w:r>
        <w:rPr>
          <w:spacing w:val="-10"/>
        </w:rPr>
        <w:t> </w:t>
      </w:r>
      <w:r>
        <w:rPr>
          <w:spacing w:val="-2"/>
        </w:rPr>
        <w:t>from</w:t>
      </w:r>
      <w:r>
        <w:rPr>
          <w:spacing w:val="-11"/>
        </w:rPr>
        <w:t> </w:t>
      </w:r>
      <w:r>
        <w:rPr>
          <w:spacing w:val="-2"/>
        </w:rPr>
        <w:t>Switzerland </w:t>
      </w:r>
      <w:r>
        <w:rPr/>
        <w:t>was transferred from</w:t>
      </w:r>
      <w:r>
        <w:rPr>
          <w:spacing w:val="-3"/>
        </w:rPr>
        <w:t> </w:t>
      </w:r>
      <w:r>
        <w:rPr/>
        <w:t>the Institute for Lung Diseases in Children "Kozle" to our Pediatric Intensive Care Unit (PICU) at the University Children`s Hospital. The boy 's parents reported a history of asthma (over the past two years with inspirational stridor), treated with β- adrenergic blockade and corticosteroids.</w:t>
      </w:r>
    </w:p>
    <w:p>
      <w:pPr>
        <w:pStyle w:val="BodyText"/>
        <w:spacing w:line="241" w:lineRule="exact"/>
        <w:ind w:left="238"/>
        <w:jc w:val="both"/>
      </w:pPr>
      <w:r>
        <w:rPr/>
        <w:t>On</w:t>
      </w:r>
      <w:r>
        <w:rPr>
          <w:spacing w:val="-6"/>
        </w:rPr>
        <w:t> </w:t>
      </w:r>
      <w:r>
        <w:rPr/>
        <w:t>admission</w:t>
      </w:r>
      <w:r>
        <w:rPr>
          <w:spacing w:val="-3"/>
        </w:rPr>
        <w:t> </w:t>
      </w:r>
      <w:r>
        <w:rPr/>
        <w:t>the</w:t>
      </w:r>
      <w:r>
        <w:rPr>
          <w:spacing w:val="-3"/>
        </w:rPr>
        <w:t> </w:t>
      </w:r>
      <w:r>
        <w:rPr/>
        <w:t>child</w:t>
      </w:r>
      <w:r>
        <w:rPr>
          <w:spacing w:val="-3"/>
        </w:rPr>
        <w:t> </w:t>
      </w:r>
      <w:r>
        <w:rPr/>
        <w:t>was</w:t>
      </w:r>
      <w:r>
        <w:rPr>
          <w:spacing w:val="-4"/>
        </w:rPr>
        <w:t> </w:t>
      </w:r>
      <w:r>
        <w:rPr/>
        <w:t>in</w:t>
      </w:r>
      <w:r>
        <w:rPr>
          <w:spacing w:val="-3"/>
        </w:rPr>
        <w:t> </w:t>
      </w:r>
      <w:r>
        <w:rPr/>
        <w:t>a</w:t>
      </w:r>
      <w:r>
        <w:rPr>
          <w:spacing w:val="-3"/>
        </w:rPr>
        <w:t> </w:t>
      </w:r>
      <w:r>
        <w:rPr/>
        <w:t>severe</w:t>
      </w:r>
      <w:r>
        <w:rPr>
          <w:spacing w:val="-3"/>
        </w:rPr>
        <w:t> </w:t>
      </w:r>
      <w:r>
        <w:rPr/>
        <w:t>general</w:t>
      </w:r>
      <w:r>
        <w:rPr>
          <w:spacing w:val="-4"/>
        </w:rPr>
        <w:t> </w:t>
      </w:r>
      <w:r>
        <w:rPr>
          <w:spacing w:val="-2"/>
        </w:rPr>
        <w:t>condi-</w:t>
      </w:r>
    </w:p>
    <w:p>
      <w:pPr>
        <w:pStyle w:val="BodyText"/>
        <w:spacing w:line="237" w:lineRule="auto" w:before="94"/>
        <w:ind w:left="238" w:right="287"/>
        <w:jc w:val="both"/>
      </w:pPr>
      <w:r>
        <w:rPr/>
        <w:br w:type="column"/>
      </w:r>
      <w:r>
        <w:rPr/>
        <w:t>tion, tachycardic (187/min), with biphasic stridor, irre- gular </w:t>
      </w:r>
      <w:r>
        <w:rPr>
          <w:spacing w:val="11"/>
        </w:rPr>
        <w:t>breathing</w:t>
      </w:r>
      <w:r>
        <w:rPr>
          <w:spacing w:val="11"/>
        </w:rPr>
        <w:t> </w:t>
      </w:r>
      <w:r>
        <w:rPr/>
        <w:t>and respiratory insufficiency. The initial gas blood analysis showed a severe respiratory </w:t>
      </w:r>
      <w:r>
        <w:rPr>
          <w:position w:val="2"/>
        </w:rPr>
        <w:t>acidosis</w:t>
      </w:r>
      <w:r>
        <w:rPr>
          <w:spacing w:val="-14"/>
          <w:position w:val="2"/>
        </w:rPr>
        <w:t> </w:t>
      </w:r>
      <w:r>
        <w:rPr>
          <w:position w:val="2"/>
        </w:rPr>
        <w:t>(pH-7.11</w:t>
      </w:r>
      <w:r>
        <w:rPr>
          <w:spacing w:val="-13"/>
          <w:position w:val="2"/>
        </w:rPr>
        <w:t> </w:t>
      </w:r>
      <w:r>
        <w:rPr>
          <w:position w:val="2"/>
        </w:rPr>
        <w:t>pCO</w:t>
      </w:r>
      <w:r>
        <w:rPr>
          <w:sz w:val="14"/>
        </w:rPr>
        <w:t>2</w:t>
      </w:r>
      <w:r>
        <w:rPr>
          <w:position w:val="2"/>
        </w:rPr>
        <w:t>-103mmHg,</w:t>
      </w:r>
      <w:r>
        <w:rPr>
          <w:spacing w:val="-13"/>
          <w:position w:val="2"/>
        </w:rPr>
        <w:t> </w:t>
      </w:r>
      <w:r>
        <w:rPr>
          <w:position w:val="2"/>
        </w:rPr>
        <w:t>pO</w:t>
      </w:r>
      <w:r>
        <w:rPr>
          <w:sz w:val="14"/>
        </w:rPr>
        <w:t>2</w:t>
      </w:r>
      <w:r>
        <w:rPr>
          <w:position w:val="2"/>
        </w:rPr>
        <w:t>-28mmHg,</w:t>
      </w:r>
      <w:r>
        <w:rPr>
          <w:spacing w:val="-13"/>
          <w:position w:val="2"/>
        </w:rPr>
        <w:t> </w:t>
      </w:r>
      <w:r>
        <w:rPr>
          <w:position w:val="2"/>
        </w:rPr>
        <w:t>O</w:t>
      </w:r>
      <w:r>
        <w:rPr>
          <w:sz w:val="14"/>
        </w:rPr>
        <w:t>2</w:t>
      </w:r>
      <w:r>
        <w:rPr>
          <w:position w:val="2"/>
        </w:rPr>
        <w:t>- </w:t>
      </w:r>
      <w:r>
        <w:rPr/>
        <w:t>60%). The boy was immediately intubated (module SIMV) and after one hour the parameters of gas blood </w:t>
      </w:r>
      <w:r>
        <w:rPr>
          <w:position w:val="2"/>
        </w:rPr>
        <w:t>improved</w:t>
      </w:r>
      <w:r>
        <w:rPr>
          <w:spacing w:val="-14"/>
          <w:position w:val="2"/>
        </w:rPr>
        <w:t> </w:t>
      </w:r>
      <w:r>
        <w:rPr>
          <w:position w:val="2"/>
        </w:rPr>
        <w:t>(pH-</w:t>
      </w:r>
      <w:r>
        <w:rPr>
          <w:spacing w:val="-13"/>
          <w:position w:val="2"/>
        </w:rPr>
        <w:t> </w:t>
      </w:r>
      <w:r>
        <w:rPr>
          <w:position w:val="2"/>
        </w:rPr>
        <w:t>7.35</w:t>
      </w:r>
      <w:r>
        <w:rPr>
          <w:spacing w:val="-13"/>
          <w:position w:val="2"/>
        </w:rPr>
        <w:t> </w:t>
      </w:r>
      <w:r>
        <w:rPr>
          <w:position w:val="2"/>
        </w:rPr>
        <w:t>pCO</w:t>
      </w:r>
      <w:r>
        <w:rPr>
          <w:sz w:val="14"/>
        </w:rPr>
        <w:t>2</w:t>
      </w:r>
      <w:r>
        <w:rPr>
          <w:spacing w:val="-5"/>
          <w:sz w:val="14"/>
        </w:rPr>
        <w:t> </w:t>
      </w:r>
      <w:r>
        <w:rPr>
          <w:position w:val="2"/>
        </w:rPr>
        <w:t>-53,</w:t>
      </w:r>
      <w:r>
        <w:rPr>
          <w:spacing w:val="-13"/>
          <w:position w:val="2"/>
        </w:rPr>
        <w:t> </w:t>
      </w:r>
      <w:r>
        <w:rPr>
          <w:position w:val="2"/>
        </w:rPr>
        <w:t>pO</w:t>
      </w:r>
      <w:r>
        <w:rPr>
          <w:sz w:val="14"/>
        </w:rPr>
        <w:t>2</w:t>
      </w:r>
      <w:r>
        <w:rPr>
          <w:position w:val="2"/>
        </w:rPr>
        <w:t>-62</w:t>
      </w:r>
      <w:r>
        <w:rPr>
          <w:spacing w:val="-12"/>
          <w:position w:val="2"/>
        </w:rPr>
        <w:t> </w:t>
      </w:r>
      <w:r>
        <w:rPr>
          <w:position w:val="2"/>
        </w:rPr>
        <w:t>mmHg,</w:t>
      </w:r>
      <w:r>
        <w:rPr>
          <w:spacing w:val="-13"/>
          <w:position w:val="2"/>
        </w:rPr>
        <w:t> </w:t>
      </w:r>
      <w:r>
        <w:rPr>
          <w:position w:val="2"/>
        </w:rPr>
        <w:t>O-95%), </w:t>
      </w:r>
      <w:r>
        <w:rPr/>
        <w:t>as well as the general condition. The biochemical, he- </w:t>
      </w:r>
      <w:r>
        <w:rPr>
          <w:spacing w:val="-2"/>
        </w:rPr>
        <w:t>matological</w:t>
      </w:r>
      <w:r>
        <w:rPr>
          <w:spacing w:val="-12"/>
        </w:rPr>
        <w:t> </w:t>
      </w:r>
      <w:r>
        <w:rPr>
          <w:spacing w:val="-2"/>
        </w:rPr>
        <w:t>and</w:t>
      </w:r>
      <w:r>
        <w:rPr>
          <w:spacing w:val="-11"/>
        </w:rPr>
        <w:t> </w:t>
      </w:r>
      <w:r>
        <w:rPr>
          <w:spacing w:val="-2"/>
        </w:rPr>
        <w:t>microbiological</w:t>
      </w:r>
      <w:r>
        <w:rPr>
          <w:spacing w:val="-11"/>
        </w:rPr>
        <w:t> </w:t>
      </w:r>
      <w:r>
        <w:rPr>
          <w:spacing w:val="-2"/>
        </w:rPr>
        <w:t>analyses</w:t>
      </w:r>
      <w:r>
        <w:rPr>
          <w:spacing w:val="-11"/>
        </w:rPr>
        <w:t> </w:t>
      </w:r>
      <w:r>
        <w:rPr>
          <w:spacing w:val="-2"/>
        </w:rPr>
        <w:t>(Table</w:t>
      </w:r>
      <w:r>
        <w:rPr>
          <w:spacing w:val="-11"/>
        </w:rPr>
        <w:t> </w:t>
      </w:r>
      <w:r>
        <w:rPr>
          <w:spacing w:val="-2"/>
        </w:rPr>
        <w:t>1)</w:t>
      </w:r>
      <w:r>
        <w:rPr>
          <w:spacing w:val="-11"/>
        </w:rPr>
        <w:t> </w:t>
      </w:r>
      <w:r>
        <w:rPr>
          <w:spacing w:val="-2"/>
        </w:rPr>
        <w:t>were </w:t>
      </w:r>
      <w:r>
        <w:rPr/>
        <w:t>within border references for his age.</w:t>
      </w:r>
    </w:p>
    <w:p>
      <w:pPr>
        <w:spacing w:after="0" w:line="237" w:lineRule="auto"/>
        <w:jc w:val="both"/>
        <w:sectPr>
          <w:type w:val="continuous"/>
          <w:pgSz w:w="11910" w:h="16840"/>
          <w:pgMar w:header="854" w:footer="0" w:top="740" w:bottom="0" w:left="900" w:right="840"/>
          <w:cols w:num="2" w:equalWidth="0">
            <w:col w:w="4918" w:space="79"/>
            <w:col w:w="5173"/>
          </w:cols>
        </w:sectPr>
      </w:pPr>
    </w:p>
    <w:p>
      <w:pPr>
        <w:pStyle w:val="BodyText"/>
        <w:spacing w:before="1"/>
        <w:rPr>
          <w:sz w:val="13"/>
        </w:rPr>
      </w:pPr>
    </w:p>
    <w:p>
      <w:pPr>
        <w:spacing w:before="92" w:after="10"/>
        <w:ind w:left="2318" w:right="0" w:firstLine="0"/>
        <w:jc w:val="left"/>
        <w:rPr>
          <w:sz w:val="18"/>
        </w:rPr>
      </w:pPr>
      <w:r>
        <w:rPr>
          <w:b/>
          <w:spacing w:val="-6"/>
          <w:sz w:val="18"/>
        </w:rPr>
        <w:t>Тable 1.</w:t>
      </w:r>
      <w:r>
        <w:rPr>
          <w:b/>
          <w:spacing w:val="-5"/>
          <w:sz w:val="18"/>
        </w:rPr>
        <w:t> </w:t>
      </w:r>
      <w:r>
        <w:rPr>
          <w:spacing w:val="-6"/>
          <w:sz w:val="18"/>
        </w:rPr>
        <w:t>Hematological analyses</w:t>
      </w:r>
    </w:p>
    <w:tbl>
      <w:tblPr>
        <w:tblW w:w="0" w:type="auto"/>
        <w:jc w:val="left"/>
        <w:tblInd w:w="22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56"/>
        <w:gridCol w:w="1399"/>
        <w:gridCol w:w="1324"/>
        <w:gridCol w:w="1609"/>
      </w:tblGrid>
      <w:tr>
        <w:trPr>
          <w:trHeight w:val="208" w:hRule="atLeast"/>
        </w:trPr>
        <w:tc>
          <w:tcPr>
            <w:tcW w:w="1356" w:type="dxa"/>
            <w:tcBorders>
              <w:top w:val="single" w:sz="4" w:space="0" w:color="000000"/>
              <w:bottom w:val="single" w:sz="4" w:space="0" w:color="000000"/>
            </w:tcBorders>
          </w:tcPr>
          <w:p>
            <w:pPr>
              <w:pStyle w:val="TableParagraph"/>
              <w:spacing w:line="186" w:lineRule="exact" w:before="2"/>
              <w:ind w:left="367"/>
              <w:rPr>
                <w:b/>
                <w:sz w:val="18"/>
              </w:rPr>
            </w:pPr>
            <w:r>
              <w:rPr>
                <w:b/>
                <w:spacing w:val="-2"/>
                <w:sz w:val="18"/>
              </w:rPr>
              <w:t>Analyses</w:t>
            </w:r>
          </w:p>
        </w:tc>
        <w:tc>
          <w:tcPr>
            <w:tcW w:w="1399" w:type="dxa"/>
            <w:tcBorders>
              <w:top w:val="single" w:sz="4" w:space="0" w:color="000000"/>
              <w:bottom w:val="single" w:sz="4" w:space="0" w:color="000000"/>
            </w:tcBorders>
          </w:tcPr>
          <w:p>
            <w:pPr>
              <w:pStyle w:val="TableParagraph"/>
              <w:spacing w:line="186" w:lineRule="exact" w:before="2"/>
              <w:ind w:left="277" w:right="208"/>
              <w:jc w:val="center"/>
              <w:rPr>
                <w:b/>
                <w:sz w:val="18"/>
              </w:rPr>
            </w:pPr>
            <w:r>
              <w:rPr>
                <w:b/>
                <w:spacing w:val="-6"/>
                <w:sz w:val="18"/>
              </w:rPr>
              <w:t>Initial</w:t>
            </w:r>
            <w:r>
              <w:rPr>
                <w:b/>
                <w:spacing w:val="-1"/>
                <w:sz w:val="18"/>
              </w:rPr>
              <w:t> </w:t>
            </w:r>
            <w:r>
              <w:rPr>
                <w:b/>
                <w:spacing w:val="-2"/>
                <w:sz w:val="18"/>
              </w:rPr>
              <w:t>value</w:t>
            </w:r>
          </w:p>
        </w:tc>
        <w:tc>
          <w:tcPr>
            <w:tcW w:w="1324" w:type="dxa"/>
            <w:tcBorders>
              <w:top w:val="single" w:sz="4" w:space="0" w:color="000000"/>
              <w:bottom w:val="single" w:sz="4" w:space="0" w:color="000000"/>
            </w:tcBorders>
          </w:tcPr>
          <w:p>
            <w:pPr>
              <w:pStyle w:val="TableParagraph"/>
              <w:spacing w:line="186" w:lineRule="exact" w:before="2"/>
              <w:ind w:left="205" w:right="159"/>
              <w:jc w:val="center"/>
              <w:rPr>
                <w:b/>
                <w:sz w:val="18"/>
              </w:rPr>
            </w:pPr>
            <w:r>
              <w:rPr>
                <w:b/>
                <w:spacing w:val="-5"/>
                <w:sz w:val="18"/>
              </w:rPr>
              <w:t>First</w:t>
            </w:r>
            <w:r>
              <w:rPr>
                <w:b/>
                <w:spacing w:val="-6"/>
                <w:sz w:val="18"/>
              </w:rPr>
              <w:t> </w:t>
            </w:r>
            <w:r>
              <w:rPr>
                <w:b/>
                <w:spacing w:val="-2"/>
                <w:sz w:val="18"/>
              </w:rPr>
              <w:t>control</w:t>
            </w:r>
          </w:p>
        </w:tc>
        <w:tc>
          <w:tcPr>
            <w:tcW w:w="1609" w:type="dxa"/>
            <w:tcBorders>
              <w:top w:val="single" w:sz="4" w:space="0" w:color="000000"/>
              <w:bottom w:val="single" w:sz="4" w:space="0" w:color="000000"/>
            </w:tcBorders>
          </w:tcPr>
          <w:p>
            <w:pPr>
              <w:pStyle w:val="TableParagraph"/>
              <w:spacing w:line="186" w:lineRule="exact" w:before="2"/>
              <w:ind w:right="268"/>
              <w:jc w:val="right"/>
              <w:rPr>
                <w:b/>
                <w:sz w:val="18"/>
              </w:rPr>
            </w:pPr>
            <w:r>
              <w:rPr>
                <w:b/>
                <w:spacing w:val="-6"/>
                <w:sz w:val="18"/>
              </w:rPr>
              <w:t>Second</w:t>
            </w:r>
            <w:r>
              <w:rPr>
                <w:b/>
                <w:spacing w:val="-5"/>
                <w:sz w:val="18"/>
              </w:rPr>
              <w:t> </w:t>
            </w:r>
            <w:r>
              <w:rPr>
                <w:b/>
                <w:spacing w:val="-2"/>
                <w:sz w:val="18"/>
              </w:rPr>
              <w:t>control</w:t>
            </w:r>
          </w:p>
        </w:tc>
      </w:tr>
      <w:tr>
        <w:trPr>
          <w:trHeight w:val="827" w:hRule="atLeast"/>
        </w:trPr>
        <w:tc>
          <w:tcPr>
            <w:tcW w:w="1356" w:type="dxa"/>
            <w:tcBorders>
              <w:top w:val="single" w:sz="4" w:space="0" w:color="000000"/>
            </w:tcBorders>
          </w:tcPr>
          <w:p>
            <w:pPr>
              <w:pStyle w:val="TableParagraph"/>
              <w:rPr>
                <w:sz w:val="20"/>
              </w:rPr>
            </w:pPr>
          </w:p>
          <w:p>
            <w:pPr>
              <w:pStyle w:val="TableParagraph"/>
              <w:spacing w:before="177"/>
              <w:ind w:left="108"/>
              <w:rPr>
                <w:sz w:val="18"/>
              </w:rPr>
            </w:pPr>
            <w:r>
              <w:rPr>
                <w:spacing w:val="-2"/>
                <w:sz w:val="18"/>
              </w:rPr>
              <w:t>hematological</w:t>
            </w:r>
          </w:p>
        </w:tc>
        <w:tc>
          <w:tcPr>
            <w:tcW w:w="1399" w:type="dxa"/>
            <w:tcBorders>
              <w:top w:val="single" w:sz="4" w:space="0" w:color="000000"/>
            </w:tcBorders>
          </w:tcPr>
          <w:p>
            <w:pPr>
              <w:pStyle w:val="TableParagraph"/>
              <w:ind w:left="519" w:right="399" w:hanging="48"/>
              <w:rPr>
                <w:sz w:val="18"/>
              </w:rPr>
            </w:pPr>
            <w:r>
              <w:rPr>
                <w:spacing w:val="-6"/>
                <w:sz w:val="18"/>
              </w:rPr>
              <w:t>Hb-141</w:t>
            </w:r>
            <w:r>
              <w:rPr>
                <w:spacing w:val="-2"/>
                <w:sz w:val="18"/>
              </w:rPr>
              <w:t> Er-5.9</w:t>
            </w:r>
          </w:p>
          <w:p>
            <w:pPr>
              <w:pStyle w:val="TableParagraph"/>
              <w:spacing w:line="208" w:lineRule="exact"/>
              <w:ind w:left="540" w:right="437" w:hanging="32"/>
              <w:rPr>
                <w:sz w:val="18"/>
              </w:rPr>
            </w:pPr>
            <w:r>
              <w:rPr>
                <w:spacing w:val="-6"/>
                <w:sz w:val="18"/>
              </w:rPr>
              <w:t>Le-3.7</w:t>
            </w:r>
            <w:r>
              <w:rPr>
                <w:sz w:val="18"/>
              </w:rPr>
              <w:t> </w:t>
            </w:r>
            <w:r>
              <w:rPr>
                <w:spacing w:val="-7"/>
                <w:sz w:val="18"/>
              </w:rPr>
              <w:t>Tr-</w:t>
            </w:r>
            <w:r>
              <w:rPr>
                <w:spacing w:val="-5"/>
                <w:sz w:val="18"/>
              </w:rPr>
              <w:t>75</w:t>
            </w:r>
          </w:p>
        </w:tc>
        <w:tc>
          <w:tcPr>
            <w:tcW w:w="1324" w:type="dxa"/>
            <w:tcBorders>
              <w:top w:val="single" w:sz="4" w:space="0" w:color="000000"/>
            </w:tcBorders>
          </w:tcPr>
          <w:p>
            <w:pPr>
              <w:pStyle w:val="TableParagraph"/>
              <w:ind w:left="428" w:right="371" w:hanging="5"/>
              <w:jc w:val="both"/>
              <w:rPr>
                <w:sz w:val="18"/>
              </w:rPr>
            </w:pPr>
            <w:r>
              <w:rPr>
                <w:spacing w:val="-6"/>
                <w:sz w:val="18"/>
              </w:rPr>
              <w:t>Hb-133</w:t>
            </w:r>
            <w:r>
              <w:rPr>
                <w:sz w:val="18"/>
              </w:rPr>
              <w:t> </w:t>
            </w:r>
            <w:r>
              <w:rPr>
                <w:spacing w:val="-6"/>
                <w:sz w:val="18"/>
              </w:rPr>
              <w:t>Er-5.59</w:t>
            </w:r>
            <w:r>
              <w:rPr>
                <w:spacing w:val="-2"/>
                <w:sz w:val="18"/>
              </w:rPr>
              <w:t> Le-4.5</w:t>
            </w:r>
          </w:p>
          <w:p>
            <w:pPr>
              <w:pStyle w:val="TableParagraph"/>
              <w:spacing w:line="191" w:lineRule="exact"/>
              <w:ind w:left="203" w:right="159"/>
              <w:jc w:val="center"/>
              <w:rPr>
                <w:sz w:val="18"/>
              </w:rPr>
            </w:pPr>
            <w:r>
              <w:rPr>
                <w:spacing w:val="-7"/>
                <w:sz w:val="18"/>
              </w:rPr>
              <w:t>Tr-82</w:t>
            </w:r>
          </w:p>
        </w:tc>
        <w:tc>
          <w:tcPr>
            <w:tcW w:w="1609" w:type="dxa"/>
            <w:tcBorders>
              <w:top w:val="single" w:sz="4" w:space="0" w:color="000000"/>
            </w:tcBorders>
          </w:tcPr>
          <w:p>
            <w:pPr>
              <w:pStyle w:val="TableParagraph"/>
              <w:ind w:left="297" w:right="301" w:firstLine="134"/>
              <w:rPr>
                <w:sz w:val="18"/>
              </w:rPr>
            </w:pPr>
            <w:r>
              <w:rPr>
                <w:sz w:val="18"/>
              </w:rPr>
              <w:t>Hb-130</w:t>
            </w:r>
            <w:r>
              <w:rPr>
                <w:spacing w:val="-12"/>
                <w:sz w:val="18"/>
              </w:rPr>
              <w:t> </w:t>
            </w:r>
            <w:r>
              <w:rPr>
                <w:sz w:val="18"/>
              </w:rPr>
              <w:t>g/l </w:t>
            </w:r>
            <w:r>
              <w:rPr>
                <w:spacing w:val="-6"/>
                <w:sz w:val="18"/>
              </w:rPr>
              <w:t>Er-4.87</w:t>
            </w:r>
            <w:r>
              <w:rPr>
                <w:sz w:val="18"/>
              </w:rPr>
              <w:t> </w:t>
            </w:r>
            <w:r>
              <w:rPr>
                <w:spacing w:val="-7"/>
                <w:sz w:val="18"/>
              </w:rPr>
              <w:t>x10</w:t>
            </w:r>
            <w:r>
              <w:rPr>
                <w:spacing w:val="-7"/>
                <w:sz w:val="18"/>
                <w:vertAlign w:val="superscript"/>
              </w:rPr>
              <w:t>12</w:t>
            </w:r>
            <w:r>
              <w:rPr>
                <w:spacing w:val="-7"/>
                <w:sz w:val="18"/>
                <w:vertAlign w:val="baseline"/>
              </w:rPr>
              <w:t>/l</w:t>
            </w:r>
          </w:p>
          <w:p>
            <w:pPr>
              <w:pStyle w:val="TableParagraph"/>
              <w:spacing w:line="208" w:lineRule="exact"/>
              <w:ind w:left="386" w:right="361" w:hanging="29"/>
              <w:rPr>
                <w:sz w:val="18"/>
              </w:rPr>
            </w:pPr>
            <w:r>
              <w:rPr>
                <w:spacing w:val="-6"/>
                <w:sz w:val="18"/>
              </w:rPr>
              <w:t>Le-6.3</w:t>
            </w:r>
            <w:r>
              <w:rPr>
                <w:spacing w:val="-8"/>
                <w:sz w:val="18"/>
              </w:rPr>
              <w:t> </w:t>
            </w:r>
            <w:r>
              <w:rPr>
                <w:spacing w:val="-6"/>
                <w:sz w:val="18"/>
              </w:rPr>
              <w:t>x10</w:t>
            </w:r>
            <w:r>
              <w:rPr>
                <w:spacing w:val="-6"/>
                <w:sz w:val="18"/>
                <w:vertAlign w:val="superscript"/>
              </w:rPr>
              <w:t>9</w:t>
            </w:r>
            <w:r>
              <w:rPr>
                <w:spacing w:val="-6"/>
                <w:sz w:val="18"/>
                <w:vertAlign w:val="baseline"/>
              </w:rPr>
              <w:t>/l</w:t>
            </w:r>
            <w:r>
              <w:rPr>
                <w:sz w:val="18"/>
                <w:vertAlign w:val="baseline"/>
              </w:rPr>
              <w:t> </w:t>
            </w:r>
            <w:r>
              <w:rPr>
                <w:spacing w:val="-6"/>
                <w:sz w:val="18"/>
                <w:vertAlign w:val="baseline"/>
              </w:rPr>
              <w:t>Tr-88</w:t>
            </w:r>
            <w:r>
              <w:rPr>
                <w:spacing w:val="1"/>
                <w:sz w:val="18"/>
                <w:vertAlign w:val="baseline"/>
              </w:rPr>
              <w:t> </w:t>
            </w:r>
            <w:r>
              <w:rPr>
                <w:spacing w:val="-6"/>
                <w:sz w:val="18"/>
                <w:vertAlign w:val="baseline"/>
              </w:rPr>
              <w:t>x10</w:t>
            </w:r>
            <w:r>
              <w:rPr>
                <w:spacing w:val="-6"/>
                <w:sz w:val="18"/>
                <w:vertAlign w:val="superscript"/>
              </w:rPr>
              <w:t>9</w:t>
            </w:r>
            <w:r>
              <w:rPr>
                <w:spacing w:val="-6"/>
                <w:sz w:val="18"/>
                <w:vertAlign w:val="baseline"/>
              </w:rPr>
              <w:t>/l</w:t>
            </w:r>
          </w:p>
        </w:tc>
      </w:tr>
      <w:tr>
        <w:trPr>
          <w:trHeight w:val="203" w:hRule="atLeast"/>
        </w:trPr>
        <w:tc>
          <w:tcPr>
            <w:tcW w:w="1356" w:type="dxa"/>
          </w:tcPr>
          <w:p>
            <w:pPr>
              <w:pStyle w:val="TableParagraph"/>
              <w:rPr>
                <w:sz w:val="14"/>
              </w:rPr>
            </w:pPr>
          </w:p>
        </w:tc>
        <w:tc>
          <w:tcPr>
            <w:tcW w:w="1399" w:type="dxa"/>
          </w:tcPr>
          <w:p>
            <w:pPr>
              <w:pStyle w:val="TableParagraph"/>
              <w:spacing w:line="184" w:lineRule="exact"/>
              <w:ind w:left="277" w:right="205"/>
              <w:jc w:val="center"/>
              <w:rPr>
                <w:sz w:val="18"/>
              </w:rPr>
            </w:pPr>
            <w:r>
              <w:rPr>
                <w:spacing w:val="-7"/>
                <w:sz w:val="18"/>
              </w:rPr>
              <w:t>Hct-</w:t>
            </w:r>
            <w:r>
              <w:rPr>
                <w:spacing w:val="-4"/>
                <w:sz w:val="18"/>
              </w:rPr>
              <w:t>43.2</w:t>
            </w:r>
          </w:p>
        </w:tc>
        <w:tc>
          <w:tcPr>
            <w:tcW w:w="1324" w:type="dxa"/>
          </w:tcPr>
          <w:p>
            <w:pPr>
              <w:pStyle w:val="TableParagraph"/>
              <w:spacing w:line="184" w:lineRule="exact"/>
              <w:ind w:left="205" w:right="158"/>
              <w:jc w:val="center"/>
              <w:rPr>
                <w:sz w:val="18"/>
              </w:rPr>
            </w:pPr>
            <w:r>
              <w:rPr>
                <w:spacing w:val="-7"/>
                <w:sz w:val="18"/>
              </w:rPr>
              <w:t>Hct-</w:t>
            </w:r>
            <w:r>
              <w:rPr>
                <w:spacing w:val="-4"/>
                <w:sz w:val="18"/>
              </w:rPr>
              <w:t>40.1</w:t>
            </w:r>
          </w:p>
        </w:tc>
        <w:tc>
          <w:tcPr>
            <w:tcW w:w="1609" w:type="dxa"/>
          </w:tcPr>
          <w:p>
            <w:pPr>
              <w:pStyle w:val="TableParagraph"/>
              <w:spacing w:line="184" w:lineRule="exact"/>
              <w:ind w:left="410"/>
              <w:rPr>
                <w:sz w:val="18"/>
              </w:rPr>
            </w:pPr>
            <w:r>
              <w:rPr>
                <w:spacing w:val="-6"/>
                <w:sz w:val="18"/>
              </w:rPr>
              <w:t>Hct-38.4</w:t>
            </w:r>
            <w:r>
              <w:rPr>
                <w:spacing w:val="3"/>
                <w:sz w:val="18"/>
              </w:rPr>
              <w:t> </w:t>
            </w:r>
            <w:r>
              <w:rPr>
                <w:spacing w:val="-10"/>
                <w:sz w:val="18"/>
              </w:rPr>
              <w:t>%</w:t>
            </w:r>
          </w:p>
        </w:tc>
      </w:tr>
      <w:tr>
        <w:trPr>
          <w:trHeight w:val="212" w:hRule="atLeast"/>
        </w:trPr>
        <w:tc>
          <w:tcPr>
            <w:tcW w:w="1356" w:type="dxa"/>
          </w:tcPr>
          <w:p>
            <w:pPr>
              <w:pStyle w:val="TableParagraph"/>
              <w:rPr>
                <w:sz w:val="14"/>
              </w:rPr>
            </w:pPr>
          </w:p>
        </w:tc>
        <w:tc>
          <w:tcPr>
            <w:tcW w:w="1399" w:type="dxa"/>
          </w:tcPr>
          <w:p>
            <w:pPr>
              <w:pStyle w:val="TableParagraph"/>
              <w:spacing w:line="192" w:lineRule="exact"/>
              <w:ind w:left="272" w:right="208"/>
              <w:jc w:val="center"/>
              <w:rPr>
                <w:sz w:val="18"/>
              </w:rPr>
            </w:pPr>
            <w:r>
              <w:rPr>
                <w:spacing w:val="-2"/>
                <w:sz w:val="18"/>
              </w:rPr>
              <w:t>pH</w:t>
            </w:r>
            <w:r>
              <w:rPr>
                <w:spacing w:val="-10"/>
                <w:sz w:val="18"/>
              </w:rPr>
              <w:t> </w:t>
            </w:r>
            <w:r>
              <w:rPr>
                <w:spacing w:val="-4"/>
                <w:sz w:val="18"/>
              </w:rPr>
              <w:t>7.11</w:t>
            </w:r>
          </w:p>
        </w:tc>
        <w:tc>
          <w:tcPr>
            <w:tcW w:w="1324" w:type="dxa"/>
          </w:tcPr>
          <w:p>
            <w:pPr>
              <w:pStyle w:val="TableParagraph"/>
              <w:spacing w:line="192" w:lineRule="exact"/>
              <w:ind w:left="198" w:right="159"/>
              <w:jc w:val="center"/>
              <w:rPr>
                <w:sz w:val="18"/>
              </w:rPr>
            </w:pPr>
            <w:r>
              <w:rPr>
                <w:sz w:val="18"/>
              </w:rPr>
              <w:t>pH-</w:t>
            </w:r>
            <w:r>
              <w:rPr>
                <w:spacing w:val="-4"/>
                <w:sz w:val="18"/>
              </w:rPr>
              <w:t>7.35</w:t>
            </w:r>
          </w:p>
        </w:tc>
        <w:tc>
          <w:tcPr>
            <w:tcW w:w="1609" w:type="dxa"/>
          </w:tcPr>
          <w:p>
            <w:pPr>
              <w:pStyle w:val="TableParagraph"/>
              <w:spacing w:line="192" w:lineRule="exact"/>
              <w:ind w:left="545" w:right="548"/>
              <w:jc w:val="center"/>
              <w:rPr>
                <w:sz w:val="18"/>
              </w:rPr>
            </w:pPr>
            <w:r>
              <w:rPr>
                <w:spacing w:val="-5"/>
                <w:sz w:val="18"/>
              </w:rPr>
              <w:t>pH-7.5</w:t>
            </w:r>
          </w:p>
        </w:tc>
      </w:tr>
      <w:tr>
        <w:trPr>
          <w:trHeight w:val="217" w:hRule="atLeast"/>
        </w:trPr>
        <w:tc>
          <w:tcPr>
            <w:tcW w:w="1356" w:type="dxa"/>
          </w:tcPr>
          <w:p>
            <w:pPr>
              <w:pStyle w:val="TableParagraph"/>
              <w:rPr>
                <w:sz w:val="14"/>
              </w:rPr>
            </w:pPr>
          </w:p>
        </w:tc>
        <w:tc>
          <w:tcPr>
            <w:tcW w:w="1399" w:type="dxa"/>
          </w:tcPr>
          <w:p>
            <w:pPr>
              <w:pStyle w:val="TableParagraph"/>
              <w:spacing w:line="196" w:lineRule="exact" w:before="1"/>
              <w:ind w:left="274" w:right="208"/>
              <w:jc w:val="center"/>
              <w:rPr>
                <w:sz w:val="18"/>
              </w:rPr>
            </w:pPr>
            <w:r>
              <w:rPr>
                <w:position w:val="1"/>
                <w:sz w:val="18"/>
              </w:rPr>
              <w:t>pCO</w:t>
            </w:r>
            <w:r>
              <w:rPr>
                <w:sz w:val="12"/>
              </w:rPr>
              <w:t>2</w:t>
            </w:r>
            <w:r>
              <w:rPr>
                <w:position w:val="1"/>
                <w:sz w:val="18"/>
              </w:rPr>
              <w:t>-</w:t>
            </w:r>
            <w:r>
              <w:rPr>
                <w:spacing w:val="-5"/>
                <w:position w:val="1"/>
                <w:sz w:val="18"/>
              </w:rPr>
              <w:t>103</w:t>
            </w:r>
          </w:p>
        </w:tc>
        <w:tc>
          <w:tcPr>
            <w:tcW w:w="1324" w:type="dxa"/>
          </w:tcPr>
          <w:p>
            <w:pPr>
              <w:pStyle w:val="TableParagraph"/>
              <w:spacing w:line="196" w:lineRule="exact" w:before="1"/>
              <w:ind w:left="203" w:right="159"/>
              <w:jc w:val="center"/>
              <w:rPr>
                <w:sz w:val="18"/>
              </w:rPr>
            </w:pPr>
            <w:r>
              <w:rPr>
                <w:position w:val="1"/>
                <w:sz w:val="18"/>
              </w:rPr>
              <w:t>pCO</w:t>
            </w:r>
            <w:r>
              <w:rPr>
                <w:sz w:val="12"/>
              </w:rPr>
              <w:t>2</w:t>
            </w:r>
            <w:r>
              <w:rPr>
                <w:position w:val="1"/>
                <w:sz w:val="18"/>
              </w:rPr>
              <w:t>-</w:t>
            </w:r>
            <w:r>
              <w:rPr>
                <w:spacing w:val="-5"/>
                <w:position w:val="1"/>
                <w:sz w:val="18"/>
              </w:rPr>
              <w:t>53</w:t>
            </w:r>
          </w:p>
        </w:tc>
        <w:tc>
          <w:tcPr>
            <w:tcW w:w="1609" w:type="dxa"/>
          </w:tcPr>
          <w:p>
            <w:pPr>
              <w:pStyle w:val="TableParagraph"/>
              <w:spacing w:line="196" w:lineRule="exact" w:before="1"/>
              <w:ind w:right="200"/>
              <w:jc w:val="right"/>
              <w:rPr>
                <w:sz w:val="18"/>
              </w:rPr>
            </w:pPr>
            <w:r>
              <w:rPr>
                <w:position w:val="1"/>
                <w:sz w:val="18"/>
              </w:rPr>
              <w:t>pCO</w:t>
            </w:r>
            <w:r>
              <w:rPr>
                <w:sz w:val="12"/>
              </w:rPr>
              <w:t>2</w:t>
            </w:r>
            <w:r>
              <w:rPr>
                <w:position w:val="1"/>
                <w:sz w:val="18"/>
              </w:rPr>
              <w:t>-41</w:t>
            </w:r>
            <w:r>
              <w:rPr>
                <w:spacing w:val="22"/>
                <w:position w:val="1"/>
                <w:sz w:val="18"/>
              </w:rPr>
              <w:t> </w:t>
            </w:r>
            <w:r>
              <w:rPr>
                <w:spacing w:val="-4"/>
                <w:position w:val="1"/>
                <w:sz w:val="18"/>
              </w:rPr>
              <w:t>mmHg</w:t>
            </w:r>
          </w:p>
        </w:tc>
      </w:tr>
      <w:tr>
        <w:trPr>
          <w:trHeight w:val="215" w:hRule="atLeast"/>
        </w:trPr>
        <w:tc>
          <w:tcPr>
            <w:tcW w:w="1356" w:type="dxa"/>
          </w:tcPr>
          <w:p>
            <w:pPr>
              <w:pStyle w:val="TableParagraph"/>
              <w:spacing w:line="195" w:lineRule="exact"/>
              <w:ind w:left="108"/>
              <w:rPr>
                <w:sz w:val="18"/>
              </w:rPr>
            </w:pPr>
            <w:r>
              <w:rPr>
                <w:spacing w:val="-5"/>
                <w:sz w:val="18"/>
              </w:rPr>
              <w:t>gas</w:t>
            </w:r>
            <w:r>
              <w:rPr>
                <w:spacing w:val="-9"/>
                <w:sz w:val="18"/>
              </w:rPr>
              <w:t> </w:t>
            </w:r>
            <w:r>
              <w:rPr>
                <w:spacing w:val="-2"/>
                <w:sz w:val="18"/>
              </w:rPr>
              <w:t>blood</w:t>
            </w:r>
          </w:p>
        </w:tc>
        <w:tc>
          <w:tcPr>
            <w:tcW w:w="1399" w:type="dxa"/>
          </w:tcPr>
          <w:p>
            <w:pPr>
              <w:pStyle w:val="TableParagraph"/>
              <w:spacing w:line="196" w:lineRule="exact"/>
              <w:ind w:left="274" w:right="208"/>
              <w:jc w:val="center"/>
              <w:rPr>
                <w:sz w:val="18"/>
              </w:rPr>
            </w:pPr>
            <w:r>
              <w:rPr>
                <w:position w:val="1"/>
                <w:sz w:val="18"/>
              </w:rPr>
              <w:t>pO</w:t>
            </w:r>
            <w:r>
              <w:rPr>
                <w:sz w:val="12"/>
              </w:rPr>
              <w:t>2</w:t>
            </w:r>
            <w:r>
              <w:rPr>
                <w:position w:val="1"/>
                <w:sz w:val="18"/>
              </w:rPr>
              <w:t>-</w:t>
            </w:r>
            <w:r>
              <w:rPr>
                <w:spacing w:val="-5"/>
                <w:position w:val="1"/>
                <w:sz w:val="18"/>
              </w:rPr>
              <w:t>28</w:t>
            </w:r>
          </w:p>
        </w:tc>
        <w:tc>
          <w:tcPr>
            <w:tcW w:w="1324" w:type="dxa"/>
          </w:tcPr>
          <w:p>
            <w:pPr>
              <w:pStyle w:val="TableParagraph"/>
              <w:spacing w:line="196" w:lineRule="exact"/>
              <w:ind w:left="200" w:right="159"/>
              <w:jc w:val="center"/>
              <w:rPr>
                <w:sz w:val="18"/>
              </w:rPr>
            </w:pPr>
            <w:r>
              <w:rPr>
                <w:position w:val="1"/>
                <w:sz w:val="18"/>
              </w:rPr>
              <w:t>pO</w:t>
            </w:r>
            <w:r>
              <w:rPr>
                <w:sz w:val="12"/>
              </w:rPr>
              <w:t>2</w:t>
            </w:r>
            <w:r>
              <w:rPr>
                <w:position w:val="1"/>
                <w:sz w:val="18"/>
              </w:rPr>
              <w:t>-</w:t>
            </w:r>
            <w:r>
              <w:rPr>
                <w:spacing w:val="-5"/>
                <w:position w:val="1"/>
                <w:sz w:val="18"/>
              </w:rPr>
              <w:t>62</w:t>
            </w:r>
          </w:p>
        </w:tc>
        <w:tc>
          <w:tcPr>
            <w:tcW w:w="1609" w:type="dxa"/>
          </w:tcPr>
          <w:p>
            <w:pPr>
              <w:pStyle w:val="TableParagraph"/>
              <w:spacing w:line="196" w:lineRule="exact"/>
              <w:ind w:right="263"/>
              <w:jc w:val="right"/>
              <w:rPr>
                <w:sz w:val="18"/>
              </w:rPr>
            </w:pPr>
            <w:r>
              <w:rPr>
                <w:position w:val="1"/>
                <w:sz w:val="18"/>
              </w:rPr>
              <w:t>pO</w:t>
            </w:r>
            <w:r>
              <w:rPr>
                <w:sz w:val="12"/>
              </w:rPr>
              <w:t>2</w:t>
            </w:r>
            <w:r>
              <w:rPr>
                <w:position w:val="1"/>
                <w:sz w:val="18"/>
              </w:rPr>
              <w:t>-68</w:t>
            </w:r>
            <w:r>
              <w:rPr>
                <w:spacing w:val="18"/>
                <w:position w:val="1"/>
                <w:sz w:val="18"/>
              </w:rPr>
              <w:t> </w:t>
            </w:r>
            <w:r>
              <w:rPr>
                <w:spacing w:val="-4"/>
                <w:position w:val="1"/>
                <w:sz w:val="18"/>
              </w:rPr>
              <w:t>mmHg</w:t>
            </w:r>
          </w:p>
        </w:tc>
      </w:tr>
      <w:tr>
        <w:trPr>
          <w:trHeight w:val="207" w:hRule="atLeast"/>
        </w:trPr>
        <w:tc>
          <w:tcPr>
            <w:tcW w:w="1356" w:type="dxa"/>
          </w:tcPr>
          <w:p>
            <w:pPr>
              <w:pStyle w:val="TableParagraph"/>
              <w:rPr>
                <w:sz w:val="14"/>
              </w:rPr>
            </w:pPr>
          </w:p>
        </w:tc>
        <w:tc>
          <w:tcPr>
            <w:tcW w:w="1399" w:type="dxa"/>
          </w:tcPr>
          <w:p>
            <w:pPr>
              <w:pStyle w:val="TableParagraph"/>
              <w:spacing w:line="187" w:lineRule="exact"/>
              <w:ind w:left="271" w:right="208"/>
              <w:jc w:val="center"/>
              <w:rPr>
                <w:sz w:val="18"/>
              </w:rPr>
            </w:pPr>
            <w:r>
              <w:rPr>
                <w:position w:val="1"/>
                <w:sz w:val="18"/>
              </w:rPr>
              <w:t>sO</w:t>
            </w:r>
            <w:r>
              <w:rPr>
                <w:sz w:val="12"/>
              </w:rPr>
              <w:t>2-</w:t>
            </w:r>
            <w:r>
              <w:rPr>
                <w:spacing w:val="-5"/>
                <w:position w:val="1"/>
                <w:sz w:val="18"/>
              </w:rPr>
              <w:t>60</w:t>
            </w:r>
          </w:p>
        </w:tc>
        <w:tc>
          <w:tcPr>
            <w:tcW w:w="1324" w:type="dxa"/>
          </w:tcPr>
          <w:p>
            <w:pPr>
              <w:pStyle w:val="TableParagraph"/>
              <w:spacing w:line="187" w:lineRule="exact"/>
              <w:ind w:left="198" w:right="159"/>
              <w:jc w:val="center"/>
              <w:rPr>
                <w:sz w:val="18"/>
              </w:rPr>
            </w:pPr>
            <w:r>
              <w:rPr>
                <w:position w:val="1"/>
                <w:sz w:val="18"/>
              </w:rPr>
              <w:t>sO</w:t>
            </w:r>
            <w:r>
              <w:rPr>
                <w:sz w:val="12"/>
              </w:rPr>
              <w:t>2</w:t>
            </w:r>
            <w:r>
              <w:rPr>
                <w:position w:val="1"/>
                <w:sz w:val="18"/>
              </w:rPr>
              <w:t>-</w:t>
            </w:r>
            <w:r>
              <w:rPr>
                <w:spacing w:val="-5"/>
                <w:position w:val="1"/>
                <w:sz w:val="18"/>
              </w:rPr>
              <w:t>95</w:t>
            </w:r>
          </w:p>
        </w:tc>
        <w:tc>
          <w:tcPr>
            <w:tcW w:w="1609" w:type="dxa"/>
          </w:tcPr>
          <w:p>
            <w:pPr>
              <w:pStyle w:val="TableParagraph"/>
              <w:spacing w:line="187" w:lineRule="exact"/>
              <w:ind w:left="438"/>
              <w:rPr>
                <w:sz w:val="18"/>
              </w:rPr>
            </w:pPr>
            <w:r>
              <w:rPr>
                <w:position w:val="1"/>
                <w:sz w:val="18"/>
              </w:rPr>
              <w:t>sO</w:t>
            </w:r>
            <w:r>
              <w:rPr>
                <w:sz w:val="12"/>
              </w:rPr>
              <w:t>2</w:t>
            </w:r>
            <w:r>
              <w:rPr>
                <w:position w:val="1"/>
                <w:sz w:val="18"/>
              </w:rPr>
              <w:t>-94</w:t>
            </w:r>
            <w:r>
              <w:rPr>
                <w:spacing w:val="16"/>
                <w:position w:val="1"/>
                <w:sz w:val="18"/>
              </w:rPr>
              <w:t> </w:t>
            </w:r>
            <w:r>
              <w:rPr>
                <w:spacing w:val="-10"/>
                <w:position w:val="1"/>
                <w:sz w:val="18"/>
              </w:rPr>
              <w:t>%</w:t>
            </w:r>
          </w:p>
        </w:tc>
      </w:tr>
    </w:tbl>
    <w:p>
      <w:pPr>
        <w:tabs>
          <w:tab w:pos="1822" w:val="left" w:leader="none"/>
          <w:tab w:pos="3195" w:val="left" w:leader="none"/>
          <w:tab w:pos="4318" w:val="left" w:leader="none"/>
          <w:tab w:pos="5689" w:val="left" w:leader="none"/>
        </w:tabs>
        <w:spacing w:before="10"/>
        <w:ind w:left="0" w:right="55" w:firstLine="0"/>
        <w:jc w:val="center"/>
        <w:rPr>
          <w:sz w:val="18"/>
        </w:rPr>
      </w:pPr>
      <w:r>
        <w:rPr>
          <w:sz w:val="18"/>
          <w:u w:val="single"/>
        </w:rPr>
        <w:tab/>
        <w:t>BE-</w:t>
      </w:r>
      <w:r>
        <w:rPr>
          <w:spacing w:val="-5"/>
          <w:sz w:val="18"/>
          <w:u w:val="single"/>
        </w:rPr>
        <w:t>1.7</w:t>
      </w:r>
      <w:r>
        <w:rPr>
          <w:sz w:val="18"/>
          <w:u w:val="single"/>
        </w:rPr>
        <w:tab/>
      </w:r>
      <w:r>
        <w:rPr>
          <w:spacing w:val="-5"/>
          <w:sz w:val="18"/>
          <w:u w:val="single"/>
        </w:rPr>
        <w:t>BE-0.6</w:t>
      </w:r>
      <w:r>
        <w:rPr>
          <w:sz w:val="18"/>
          <w:u w:val="single"/>
        </w:rPr>
        <w:tab/>
        <w:t>BE-1.7</w:t>
      </w:r>
      <w:r>
        <w:rPr>
          <w:spacing w:val="17"/>
          <w:sz w:val="18"/>
          <w:u w:val="single"/>
        </w:rPr>
        <w:t> </w:t>
      </w:r>
      <w:r>
        <w:rPr>
          <w:spacing w:val="-2"/>
          <w:sz w:val="18"/>
          <w:u w:val="single"/>
        </w:rPr>
        <w:t>mmol/l</w:t>
      </w:r>
      <w:r>
        <w:rPr>
          <w:sz w:val="18"/>
          <w:u w:val="single"/>
        </w:rPr>
        <w:tab/>
      </w:r>
    </w:p>
    <w:p>
      <w:pPr>
        <w:pStyle w:val="BodyText"/>
        <w:spacing w:before="8"/>
        <w:rPr>
          <w:sz w:val="13"/>
        </w:rPr>
      </w:pPr>
    </w:p>
    <w:p>
      <w:pPr>
        <w:spacing w:after="0"/>
        <w:rPr>
          <w:sz w:val="13"/>
        </w:rPr>
        <w:sectPr>
          <w:type w:val="continuous"/>
          <w:pgSz w:w="11910" w:h="16840"/>
          <w:pgMar w:header="854" w:footer="0" w:top="740" w:bottom="0" w:left="900" w:right="840"/>
        </w:sectPr>
      </w:pPr>
    </w:p>
    <w:p>
      <w:pPr>
        <w:tabs>
          <w:tab w:pos="4680" w:val="left" w:leader="none"/>
        </w:tabs>
        <w:spacing w:before="94"/>
        <w:ind w:left="432" w:right="0" w:firstLine="0"/>
        <w:jc w:val="left"/>
        <w:rPr>
          <w:sz w:val="18"/>
        </w:rPr>
      </w:pPr>
      <w:r>
        <w:rPr>
          <w:spacing w:val="65"/>
          <w:sz w:val="18"/>
          <w:u w:val="single"/>
        </w:rPr>
        <w:t> </w:t>
      </w:r>
      <w:r>
        <w:rPr>
          <w:b/>
          <w:spacing w:val="-4"/>
          <w:sz w:val="18"/>
          <w:u w:val="single"/>
        </w:rPr>
        <w:t>Тable</w:t>
      </w:r>
      <w:r>
        <w:rPr>
          <w:b/>
          <w:spacing w:val="-9"/>
          <w:sz w:val="18"/>
          <w:u w:val="single"/>
        </w:rPr>
        <w:t> </w:t>
      </w:r>
      <w:r>
        <w:rPr>
          <w:b/>
          <w:spacing w:val="-4"/>
          <w:sz w:val="18"/>
          <w:u w:val="single"/>
        </w:rPr>
        <w:t>2.</w:t>
      </w:r>
      <w:r>
        <w:rPr>
          <w:b/>
          <w:spacing w:val="34"/>
          <w:sz w:val="18"/>
          <w:u w:val="single"/>
        </w:rPr>
        <w:t> </w:t>
      </w:r>
      <w:r>
        <w:rPr>
          <w:spacing w:val="-4"/>
          <w:sz w:val="18"/>
          <w:u w:val="single"/>
        </w:rPr>
        <w:t>Biochemical</w:t>
      </w:r>
      <w:r>
        <w:rPr>
          <w:spacing w:val="-11"/>
          <w:sz w:val="18"/>
          <w:u w:val="single"/>
        </w:rPr>
        <w:t> </w:t>
      </w:r>
      <w:r>
        <w:rPr>
          <w:spacing w:val="-4"/>
          <w:sz w:val="18"/>
          <w:u w:val="single"/>
        </w:rPr>
        <w:t>and</w:t>
      </w:r>
      <w:r>
        <w:rPr>
          <w:spacing w:val="-7"/>
          <w:sz w:val="18"/>
          <w:u w:val="single"/>
        </w:rPr>
        <w:t> </w:t>
      </w:r>
      <w:r>
        <w:rPr>
          <w:spacing w:val="-4"/>
          <w:sz w:val="18"/>
          <w:u w:val="single"/>
        </w:rPr>
        <w:t>microbiological</w:t>
      </w:r>
      <w:r>
        <w:rPr>
          <w:spacing w:val="-10"/>
          <w:sz w:val="18"/>
          <w:u w:val="single"/>
        </w:rPr>
        <w:t> </w:t>
      </w:r>
      <w:r>
        <w:rPr>
          <w:spacing w:val="-4"/>
          <w:sz w:val="18"/>
          <w:u w:val="single"/>
        </w:rPr>
        <w:t>analyses</w:t>
      </w:r>
      <w:r>
        <w:rPr>
          <w:sz w:val="18"/>
          <w:u w:val="single"/>
        </w:rPr>
        <w:tab/>
      </w:r>
    </w:p>
    <w:p>
      <w:pPr>
        <w:spacing w:before="14"/>
        <w:ind w:left="787" w:right="0" w:firstLine="0"/>
        <w:jc w:val="left"/>
        <w:rPr>
          <w:b/>
          <w:sz w:val="18"/>
        </w:rPr>
      </w:pPr>
      <w:r>
        <w:rPr>
          <w:b/>
          <w:spacing w:val="-6"/>
          <w:sz w:val="18"/>
        </w:rPr>
        <w:t>Biochemical</w:t>
      </w:r>
      <w:r>
        <w:rPr>
          <w:b/>
          <w:spacing w:val="-1"/>
          <w:sz w:val="18"/>
        </w:rPr>
        <w:t> </w:t>
      </w:r>
      <w:r>
        <w:rPr>
          <w:b/>
          <w:spacing w:val="-5"/>
          <w:sz w:val="18"/>
        </w:rPr>
        <w:t>and</w:t>
      </w:r>
    </w:p>
    <w:p>
      <w:pPr>
        <w:pStyle w:val="BodyText"/>
        <w:spacing w:before="72"/>
        <w:ind w:left="432"/>
      </w:pPr>
      <w:r>
        <w:rPr/>
        <w:br w:type="column"/>
      </w:r>
      <w:r>
        <w:rPr/>
        <w:t>and conscious. Our decision was to extubate him, but </w:t>
      </w:r>
      <w:r>
        <w:rPr>
          <w:spacing w:val="-2"/>
        </w:rPr>
        <w:t>unfortunately</w:t>
      </w:r>
      <w:r>
        <w:rPr>
          <w:spacing w:val="2"/>
        </w:rPr>
        <w:t> </w:t>
      </w:r>
      <w:r>
        <w:rPr>
          <w:spacing w:val="-2"/>
        </w:rPr>
        <w:t>after</w:t>
      </w:r>
      <w:r>
        <w:rPr>
          <w:spacing w:val="6"/>
        </w:rPr>
        <w:t> </w:t>
      </w:r>
      <w:r>
        <w:rPr>
          <w:spacing w:val="-2"/>
        </w:rPr>
        <w:t>extubationhis</w:t>
      </w:r>
      <w:r>
        <w:rPr>
          <w:spacing w:val="6"/>
        </w:rPr>
        <w:t> </w:t>
      </w:r>
      <w:r>
        <w:rPr>
          <w:spacing w:val="-2"/>
        </w:rPr>
        <w:t>condition</w:t>
      </w:r>
      <w:r>
        <w:rPr>
          <w:spacing w:val="7"/>
        </w:rPr>
        <w:t> </w:t>
      </w:r>
      <w:r>
        <w:rPr>
          <w:spacing w:val="-2"/>
        </w:rPr>
        <w:t>immediately</w:t>
      </w:r>
    </w:p>
    <w:p>
      <w:pPr>
        <w:spacing w:after="0"/>
        <w:sectPr>
          <w:type w:val="continuous"/>
          <w:pgSz w:w="11910" w:h="16840"/>
          <w:pgMar w:header="854" w:footer="0" w:top="740" w:bottom="0" w:left="900" w:right="840"/>
          <w:cols w:num="2" w:equalWidth="0">
            <w:col w:w="4721" w:space="82"/>
            <w:col w:w="5367"/>
          </w:cols>
        </w:sectPr>
      </w:pPr>
    </w:p>
    <w:p>
      <w:pPr>
        <w:spacing w:line="176" w:lineRule="exact" w:before="0"/>
        <w:ind w:left="835" w:right="0" w:firstLine="0"/>
        <w:jc w:val="left"/>
        <w:rPr>
          <w:b/>
          <w:sz w:val="18"/>
        </w:rPr>
      </w:pPr>
      <w:r>
        <w:rPr>
          <w:b/>
          <w:spacing w:val="-5"/>
          <w:sz w:val="18"/>
        </w:rPr>
        <w:t>microbiological</w:t>
      </w:r>
    </w:p>
    <w:p>
      <w:pPr>
        <w:spacing w:line="176" w:lineRule="exact" w:before="0"/>
        <w:ind w:left="835" w:right="0" w:firstLine="0"/>
        <w:jc w:val="left"/>
        <w:rPr>
          <w:b/>
          <w:sz w:val="18"/>
        </w:rPr>
      </w:pPr>
      <w:r>
        <w:rPr/>
        <w:br w:type="column"/>
      </w:r>
      <w:r>
        <w:rPr>
          <w:b/>
          <w:spacing w:val="-2"/>
          <w:sz w:val="18"/>
        </w:rPr>
        <w:t>Values</w:t>
      </w:r>
    </w:p>
    <w:p>
      <w:pPr>
        <w:pStyle w:val="BodyText"/>
        <w:spacing w:line="163" w:lineRule="exact" w:before="20"/>
        <w:ind w:left="835"/>
      </w:pPr>
      <w:r>
        <w:rPr/>
        <w:br w:type="column"/>
      </w:r>
      <w:r>
        <w:rPr/>
        <w:t>deteriorated</w:t>
      </w:r>
      <w:r>
        <w:rPr>
          <w:spacing w:val="37"/>
        </w:rPr>
        <w:t> </w:t>
      </w:r>
      <w:r>
        <w:rPr/>
        <w:t>(hard</w:t>
      </w:r>
      <w:r>
        <w:rPr>
          <w:spacing w:val="37"/>
        </w:rPr>
        <w:t> </w:t>
      </w:r>
      <w:r>
        <w:rPr/>
        <w:t>wheezing,</w:t>
      </w:r>
      <w:r>
        <w:rPr>
          <w:spacing w:val="37"/>
        </w:rPr>
        <w:t> </w:t>
      </w:r>
      <w:r>
        <w:rPr/>
        <w:t>irregular</w:t>
      </w:r>
      <w:r>
        <w:rPr>
          <w:spacing w:val="37"/>
        </w:rPr>
        <w:t> </w:t>
      </w:r>
      <w:r>
        <w:rPr/>
        <w:t>breathing,</w:t>
      </w:r>
      <w:r>
        <w:rPr>
          <w:spacing w:val="38"/>
        </w:rPr>
        <w:t> </w:t>
      </w:r>
      <w:r>
        <w:rPr>
          <w:spacing w:val="-5"/>
        </w:rPr>
        <w:t>un-</w:t>
      </w:r>
    </w:p>
    <w:p>
      <w:pPr>
        <w:spacing w:after="0" w:line="163" w:lineRule="exact"/>
        <w:sectPr>
          <w:type w:val="continuous"/>
          <w:pgSz w:w="11910" w:h="16840"/>
          <w:pgMar w:header="854" w:footer="0" w:top="740" w:bottom="0" w:left="900" w:right="840"/>
          <w:cols w:num="3" w:equalWidth="0">
            <w:col w:w="1979" w:space="450"/>
            <w:col w:w="1369" w:space="603"/>
            <w:col w:w="5769"/>
          </w:cols>
        </w:sectPr>
      </w:pPr>
    </w:p>
    <w:p>
      <w:pPr>
        <w:tabs>
          <w:tab w:pos="1089" w:val="left" w:leader="none"/>
          <w:tab w:pos="4680" w:val="left" w:leader="none"/>
        </w:tabs>
        <w:spacing w:line="199" w:lineRule="exact" w:before="0"/>
        <w:ind w:left="432" w:right="0" w:firstLine="0"/>
        <w:jc w:val="left"/>
        <w:rPr>
          <w:b/>
          <w:sz w:val="18"/>
        </w:rPr>
      </w:pPr>
      <w:r>
        <w:rPr>
          <w:b/>
          <w:sz w:val="18"/>
          <w:u w:val="single"/>
        </w:rPr>
        <w:tab/>
      </w:r>
      <w:r>
        <w:rPr>
          <w:b/>
          <w:spacing w:val="-2"/>
          <w:sz w:val="18"/>
          <w:u w:val="single"/>
        </w:rPr>
        <w:t>analyses</w:t>
      </w:r>
      <w:r>
        <w:rPr>
          <w:b/>
          <w:sz w:val="18"/>
          <w:u w:val="single"/>
        </w:rPr>
        <w:tab/>
      </w:r>
    </w:p>
    <w:p>
      <w:pPr>
        <w:spacing w:before="4"/>
        <w:ind w:left="3010" w:right="0" w:firstLine="0"/>
        <w:jc w:val="left"/>
        <w:rPr>
          <w:sz w:val="18"/>
        </w:rPr>
      </w:pPr>
      <w:r>
        <w:rPr>
          <w:spacing w:val="-7"/>
          <w:sz w:val="18"/>
        </w:rPr>
        <w:t>Na-</w:t>
      </w:r>
      <w:r>
        <w:rPr>
          <w:spacing w:val="-2"/>
          <w:sz w:val="18"/>
        </w:rPr>
        <w:t>131mmol/l</w:t>
      </w:r>
    </w:p>
    <w:p>
      <w:pPr>
        <w:pStyle w:val="BodyText"/>
        <w:spacing w:line="240" w:lineRule="exact" w:before="44"/>
        <w:ind w:left="432"/>
      </w:pPr>
      <w:r>
        <w:rPr/>
        <w:br w:type="column"/>
      </w:r>
      <w:r>
        <w:rPr/>
        <w:t>conscious,</w:t>
      </w:r>
      <w:r>
        <w:rPr>
          <w:spacing w:val="40"/>
        </w:rPr>
        <w:t> </w:t>
      </w:r>
      <w:r>
        <w:rPr/>
        <w:t>bradycardic</w:t>
      </w:r>
      <w:r>
        <w:rPr>
          <w:spacing w:val="40"/>
        </w:rPr>
        <w:t> </w:t>
      </w:r>
      <w:r>
        <w:rPr/>
        <w:t>30/min).</w:t>
      </w:r>
      <w:r>
        <w:rPr>
          <w:spacing w:val="40"/>
        </w:rPr>
        <w:t> </w:t>
      </w:r>
      <w:r>
        <w:rPr/>
        <w:t>During</w:t>
      </w:r>
      <w:r>
        <w:rPr>
          <w:spacing w:val="40"/>
        </w:rPr>
        <w:t> </w:t>
      </w:r>
      <w:r>
        <w:rPr/>
        <w:t>the</w:t>
      </w:r>
      <w:r>
        <w:rPr>
          <w:spacing w:val="40"/>
        </w:rPr>
        <w:t> </w:t>
      </w:r>
      <w:r>
        <w:rPr/>
        <w:t>second intubation,</w:t>
      </w:r>
      <w:r>
        <w:rPr>
          <w:spacing w:val="-3"/>
        </w:rPr>
        <w:t> </w:t>
      </w:r>
      <w:r>
        <w:rPr/>
        <w:t>a</w:t>
      </w:r>
      <w:r>
        <w:rPr>
          <w:spacing w:val="-3"/>
        </w:rPr>
        <w:t> </w:t>
      </w:r>
      <w:r>
        <w:rPr/>
        <w:t>massive</w:t>
      </w:r>
      <w:r>
        <w:rPr>
          <w:spacing w:val="-2"/>
        </w:rPr>
        <w:t> </w:t>
      </w:r>
      <w:r>
        <w:rPr/>
        <w:t>bleeding</w:t>
      </w:r>
      <w:r>
        <w:rPr>
          <w:spacing w:val="-3"/>
        </w:rPr>
        <w:t> </w:t>
      </w:r>
      <w:r>
        <w:rPr/>
        <w:t>in</w:t>
      </w:r>
      <w:r>
        <w:rPr>
          <w:spacing w:val="-2"/>
        </w:rPr>
        <w:t> </w:t>
      </w:r>
      <w:r>
        <w:rPr/>
        <w:t>the</w:t>
      </w:r>
      <w:r>
        <w:rPr>
          <w:spacing w:val="-3"/>
        </w:rPr>
        <w:t> </w:t>
      </w:r>
      <w:r>
        <w:rPr/>
        <w:t>endotracheal</w:t>
      </w:r>
      <w:r>
        <w:rPr>
          <w:spacing w:val="-3"/>
        </w:rPr>
        <w:t> </w:t>
      </w:r>
      <w:r>
        <w:rPr>
          <w:spacing w:val="-4"/>
        </w:rPr>
        <w:t>tube</w:t>
      </w:r>
    </w:p>
    <w:p>
      <w:pPr>
        <w:spacing w:after="0" w:line="240" w:lineRule="exact"/>
        <w:sectPr>
          <w:type w:val="continuous"/>
          <w:pgSz w:w="11910" w:h="16840"/>
          <w:pgMar w:header="854" w:footer="0" w:top="740" w:bottom="0" w:left="900" w:right="840"/>
          <w:cols w:num="2" w:equalWidth="0">
            <w:col w:w="4721" w:space="82"/>
            <w:col w:w="5367"/>
          </w:cols>
        </w:sectPr>
      </w:pPr>
    </w:p>
    <w:p>
      <w:pPr>
        <w:spacing w:line="199" w:lineRule="exact" w:before="0"/>
        <w:ind w:left="540" w:right="0" w:firstLine="0"/>
        <w:jc w:val="left"/>
        <w:rPr>
          <w:sz w:val="18"/>
        </w:rPr>
      </w:pPr>
      <w:r>
        <w:rPr>
          <w:spacing w:val="-2"/>
          <w:sz w:val="18"/>
        </w:rPr>
        <w:t>electrolytes</w:t>
      </w:r>
    </w:p>
    <w:p>
      <w:pPr>
        <w:pStyle w:val="BodyText"/>
        <w:rPr>
          <w:sz w:val="20"/>
        </w:rPr>
      </w:pPr>
    </w:p>
    <w:p>
      <w:pPr>
        <w:pStyle w:val="BodyText"/>
        <w:spacing w:before="9"/>
        <w:rPr>
          <w:sz w:val="24"/>
        </w:rPr>
      </w:pPr>
    </w:p>
    <w:p>
      <w:pPr>
        <w:spacing w:before="0"/>
        <w:ind w:left="540" w:right="0" w:firstLine="0"/>
        <w:jc w:val="left"/>
        <w:rPr>
          <w:sz w:val="18"/>
        </w:rPr>
      </w:pPr>
      <w:r>
        <w:rPr>
          <w:spacing w:val="-2"/>
          <w:sz w:val="18"/>
        </w:rPr>
        <w:t>hepatogram</w:t>
      </w:r>
    </w:p>
    <w:p>
      <w:pPr>
        <w:spacing w:line="93" w:lineRule="exact" w:before="0"/>
        <w:ind w:left="540" w:right="35" w:firstLine="0"/>
        <w:jc w:val="center"/>
        <w:rPr>
          <w:sz w:val="18"/>
        </w:rPr>
      </w:pPr>
      <w:r>
        <w:rPr/>
        <w:br w:type="column"/>
      </w:r>
      <w:r>
        <w:rPr>
          <w:spacing w:val="-6"/>
          <w:sz w:val="18"/>
        </w:rPr>
        <w:t>K-4.2</w:t>
      </w:r>
      <w:r>
        <w:rPr>
          <w:sz w:val="18"/>
        </w:rPr>
        <w:t> </w:t>
      </w:r>
      <w:r>
        <w:rPr>
          <w:spacing w:val="-6"/>
          <w:sz w:val="18"/>
        </w:rPr>
        <w:t>mmol/l</w:t>
      </w:r>
    </w:p>
    <w:p>
      <w:pPr>
        <w:spacing w:before="2"/>
        <w:ind w:left="540" w:right="38" w:firstLine="0"/>
        <w:jc w:val="center"/>
        <w:rPr>
          <w:sz w:val="18"/>
        </w:rPr>
      </w:pPr>
      <w:r>
        <w:rPr>
          <w:spacing w:val="-6"/>
          <w:sz w:val="18"/>
        </w:rPr>
        <w:t>Ca-1.95</w:t>
      </w:r>
      <w:r>
        <w:rPr>
          <w:spacing w:val="-8"/>
          <w:sz w:val="18"/>
        </w:rPr>
        <w:t> </w:t>
      </w:r>
      <w:r>
        <w:rPr>
          <w:spacing w:val="-6"/>
          <w:sz w:val="18"/>
        </w:rPr>
        <w:t>mmol/l</w:t>
      </w:r>
      <w:r>
        <w:rPr>
          <w:spacing w:val="-2"/>
          <w:sz w:val="18"/>
        </w:rPr>
        <w:t> P-1.78mmol/l </w:t>
      </w:r>
      <w:r>
        <w:rPr>
          <w:sz w:val="18"/>
        </w:rPr>
        <w:t>AST-97</w:t>
      </w:r>
      <w:r>
        <w:rPr>
          <w:spacing w:val="-12"/>
          <w:sz w:val="18"/>
        </w:rPr>
        <w:t> </w:t>
      </w:r>
      <w:r>
        <w:rPr>
          <w:sz w:val="18"/>
        </w:rPr>
        <w:t>U/L ALT-27</w:t>
      </w:r>
      <w:r>
        <w:rPr>
          <w:spacing w:val="-12"/>
          <w:sz w:val="18"/>
        </w:rPr>
        <w:t> </w:t>
      </w:r>
      <w:r>
        <w:rPr>
          <w:sz w:val="18"/>
        </w:rPr>
        <w:t>U/L LDH-423</w:t>
      </w:r>
      <w:r>
        <w:rPr>
          <w:spacing w:val="-12"/>
          <w:sz w:val="18"/>
        </w:rPr>
        <w:t> </w:t>
      </w:r>
      <w:r>
        <w:rPr>
          <w:sz w:val="18"/>
        </w:rPr>
        <w:t>U/L</w:t>
      </w:r>
    </w:p>
    <w:p>
      <w:pPr>
        <w:pStyle w:val="BodyText"/>
        <w:spacing w:before="38"/>
        <w:ind w:left="540"/>
      </w:pPr>
      <w:r>
        <w:rPr/>
        <w:br w:type="column"/>
      </w:r>
      <w:r>
        <w:rPr/>
        <w:t>caused</w:t>
      </w:r>
      <w:r>
        <w:rPr>
          <w:spacing w:val="39"/>
        </w:rPr>
        <w:t> </w:t>
      </w:r>
      <w:r>
        <w:rPr/>
        <w:t>an</w:t>
      </w:r>
      <w:r>
        <w:rPr>
          <w:spacing w:val="36"/>
        </w:rPr>
        <w:t> </w:t>
      </w:r>
      <w:r>
        <w:rPr/>
        <w:t>additional</w:t>
      </w:r>
      <w:r>
        <w:rPr>
          <w:spacing w:val="37"/>
        </w:rPr>
        <w:t> </w:t>
      </w:r>
      <w:r>
        <w:rPr/>
        <w:t>complication,</w:t>
      </w:r>
      <w:r>
        <w:rPr>
          <w:spacing w:val="39"/>
        </w:rPr>
        <w:t> </w:t>
      </w:r>
      <w:r>
        <w:rPr/>
        <w:t>a</w:t>
      </w:r>
      <w:r>
        <w:rPr>
          <w:spacing w:val="39"/>
        </w:rPr>
        <w:t> </w:t>
      </w:r>
      <w:r>
        <w:rPr/>
        <w:t>life-threatening airway obstruction.</w:t>
      </w:r>
    </w:p>
    <w:p>
      <w:pPr>
        <w:pStyle w:val="BodyText"/>
        <w:spacing w:line="241" w:lineRule="exact"/>
        <w:ind w:left="540"/>
      </w:pPr>
      <w:r>
        <w:rPr/>
        <w:t>The</w:t>
      </w:r>
      <w:r>
        <w:rPr>
          <w:spacing w:val="24"/>
        </w:rPr>
        <w:t> </w:t>
      </w:r>
      <w:r>
        <w:rPr/>
        <w:t>intubated</w:t>
      </w:r>
      <w:r>
        <w:rPr>
          <w:spacing w:val="24"/>
        </w:rPr>
        <w:t> </w:t>
      </w:r>
      <w:r>
        <w:rPr/>
        <w:t>child</w:t>
      </w:r>
      <w:r>
        <w:rPr>
          <w:spacing w:val="24"/>
        </w:rPr>
        <w:t> </w:t>
      </w:r>
      <w:r>
        <w:rPr/>
        <w:t>was</w:t>
      </w:r>
      <w:r>
        <w:rPr>
          <w:spacing w:val="23"/>
        </w:rPr>
        <w:t> </w:t>
      </w:r>
      <w:r>
        <w:rPr/>
        <w:t>transferred</w:t>
      </w:r>
      <w:r>
        <w:rPr>
          <w:spacing w:val="23"/>
        </w:rPr>
        <w:t> </w:t>
      </w:r>
      <w:r>
        <w:rPr/>
        <w:t>to</w:t>
      </w:r>
      <w:r>
        <w:rPr>
          <w:spacing w:val="24"/>
        </w:rPr>
        <w:t> </w:t>
      </w:r>
      <w:r>
        <w:rPr/>
        <w:t>the</w:t>
      </w:r>
      <w:r>
        <w:rPr>
          <w:spacing w:val="23"/>
        </w:rPr>
        <w:t> </w:t>
      </w:r>
      <w:r>
        <w:rPr>
          <w:spacing w:val="-2"/>
        </w:rPr>
        <w:t>University</w:t>
      </w:r>
    </w:p>
    <w:p>
      <w:pPr>
        <w:pStyle w:val="BodyText"/>
        <w:spacing w:line="240" w:lineRule="exact"/>
        <w:ind w:left="540" w:right="26"/>
      </w:pPr>
      <w:r>
        <w:rPr/>
        <w:t>Clinic</w:t>
      </w:r>
      <w:r>
        <w:rPr>
          <w:spacing w:val="-4"/>
        </w:rPr>
        <w:t> </w:t>
      </w:r>
      <w:r>
        <w:rPr/>
        <w:t>for</w:t>
      </w:r>
      <w:r>
        <w:rPr>
          <w:spacing w:val="-5"/>
        </w:rPr>
        <w:t> </w:t>
      </w:r>
      <w:r>
        <w:rPr/>
        <w:t>ENT</w:t>
      </w:r>
      <w:r>
        <w:rPr>
          <w:spacing w:val="-3"/>
        </w:rPr>
        <w:t> </w:t>
      </w:r>
      <w:r>
        <w:rPr/>
        <w:t>where</w:t>
      </w:r>
      <w:r>
        <w:rPr>
          <w:spacing w:val="-3"/>
        </w:rPr>
        <w:t> </w:t>
      </w:r>
      <w:r>
        <w:rPr/>
        <w:t>fiber-bronchoscopy</w:t>
      </w:r>
      <w:r>
        <w:rPr>
          <w:spacing w:val="-8"/>
        </w:rPr>
        <w:t> </w:t>
      </w:r>
      <w:r>
        <w:rPr/>
        <w:t>examination was</w:t>
      </w:r>
      <w:r>
        <w:rPr>
          <w:spacing w:val="11"/>
        </w:rPr>
        <w:t> </w:t>
      </w:r>
      <w:r>
        <w:rPr/>
        <w:t>performed.</w:t>
      </w:r>
      <w:r>
        <w:rPr>
          <w:spacing w:val="15"/>
        </w:rPr>
        <w:t> </w:t>
      </w:r>
      <w:r>
        <w:rPr/>
        <w:t>The</w:t>
      </w:r>
      <w:r>
        <w:rPr>
          <w:spacing w:val="15"/>
        </w:rPr>
        <w:t> </w:t>
      </w:r>
      <w:r>
        <w:rPr/>
        <w:t>results</w:t>
      </w:r>
      <w:r>
        <w:rPr>
          <w:spacing w:val="14"/>
        </w:rPr>
        <w:t> </w:t>
      </w:r>
      <w:r>
        <w:rPr/>
        <w:t>of</w:t>
      </w:r>
      <w:r>
        <w:rPr>
          <w:spacing w:val="14"/>
        </w:rPr>
        <w:t> </w:t>
      </w:r>
      <w:r>
        <w:rPr/>
        <w:t>the</w:t>
      </w:r>
      <w:r>
        <w:rPr>
          <w:spacing w:val="15"/>
        </w:rPr>
        <w:t> </w:t>
      </w:r>
      <w:r>
        <w:rPr/>
        <w:t>fiber-</w:t>
      </w:r>
      <w:r>
        <w:rPr>
          <w:spacing w:val="-2"/>
        </w:rPr>
        <w:t>bronchoscopy</w:t>
      </w:r>
    </w:p>
    <w:p>
      <w:pPr>
        <w:spacing w:after="0" w:line="240" w:lineRule="exact"/>
        <w:sectPr>
          <w:type w:val="continuous"/>
          <w:pgSz w:w="11910" w:h="16840"/>
          <w:pgMar w:header="854" w:footer="0" w:top="740" w:bottom="0" w:left="900" w:right="840"/>
          <w:cols w:num="3" w:equalWidth="0">
            <w:col w:w="1386" w:space="1048"/>
            <w:col w:w="1656" w:space="606"/>
            <w:col w:w="5474"/>
          </w:cols>
        </w:sectPr>
      </w:pPr>
    </w:p>
    <w:p>
      <w:pPr>
        <w:tabs>
          <w:tab w:pos="3154" w:val="left" w:leader="none"/>
        </w:tabs>
        <w:spacing w:line="94" w:lineRule="exact" w:before="0"/>
        <w:ind w:left="540" w:right="0" w:firstLine="0"/>
        <w:jc w:val="left"/>
        <w:rPr>
          <w:sz w:val="18"/>
        </w:rPr>
      </w:pPr>
      <w:r>
        <w:rPr>
          <w:spacing w:val="-2"/>
          <w:sz w:val="18"/>
        </w:rPr>
        <w:t>creatinine</w:t>
      </w:r>
      <w:r>
        <w:rPr>
          <w:sz w:val="18"/>
        </w:rPr>
        <w:tab/>
      </w:r>
      <w:r>
        <w:rPr>
          <w:spacing w:val="-2"/>
          <w:sz w:val="18"/>
        </w:rPr>
        <w:t>60</w:t>
      </w:r>
      <w:r>
        <w:rPr>
          <w:spacing w:val="-11"/>
          <w:sz w:val="18"/>
        </w:rPr>
        <w:t> </w:t>
      </w:r>
      <w:r>
        <w:rPr>
          <w:spacing w:val="-2"/>
          <w:sz w:val="18"/>
        </w:rPr>
        <w:t>umol/L</w:t>
      </w:r>
    </w:p>
    <w:p>
      <w:pPr>
        <w:tabs>
          <w:tab w:pos="3140" w:val="left" w:leader="none"/>
        </w:tabs>
        <w:spacing w:line="206" w:lineRule="exact" w:before="0"/>
        <w:ind w:left="540" w:right="0" w:firstLine="0"/>
        <w:jc w:val="left"/>
        <w:rPr>
          <w:sz w:val="18"/>
        </w:rPr>
      </w:pPr>
      <w:r>
        <w:rPr>
          <w:spacing w:val="-6"/>
          <w:sz w:val="18"/>
        </w:rPr>
        <w:t>blood</w:t>
      </w:r>
      <w:r>
        <w:rPr>
          <w:sz w:val="18"/>
        </w:rPr>
        <w:t> </w:t>
      </w:r>
      <w:r>
        <w:rPr>
          <w:spacing w:val="-6"/>
          <w:sz w:val="18"/>
        </w:rPr>
        <w:t>urea</w:t>
      </w:r>
      <w:r>
        <w:rPr>
          <w:spacing w:val="-2"/>
          <w:sz w:val="18"/>
        </w:rPr>
        <w:t> </w:t>
      </w:r>
      <w:r>
        <w:rPr>
          <w:spacing w:val="-6"/>
          <w:sz w:val="18"/>
        </w:rPr>
        <w:t>BUN</w:t>
      </w:r>
      <w:r>
        <w:rPr>
          <w:sz w:val="18"/>
        </w:rPr>
        <w:tab/>
      </w:r>
      <w:r>
        <w:rPr>
          <w:spacing w:val="-4"/>
          <w:sz w:val="18"/>
        </w:rPr>
        <w:t>4.0</w:t>
      </w:r>
      <w:r>
        <w:rPr>
          <w:spacing w:val="-8"/>
          <w:sz w:val="18"/>
        </w:rPr>
        <w:t> </w:t>
      </w:r>
      <w:r>
        <w:rPr>
          <w:spacing w:val="-2"/>
          <w:sz w:val="18"/>
        </w:rPr>
        <w:t>mmol/l</w:t>
      </w:r>
    </w:p>
    <w:p>
      <w:pPr>
        <w:tabs>
          <w:tab w:pos="3288" w:val="left" w:leader="none"/>
        </w:tabs>
        <w:spacing w:line="207" w:lineRule="exact" w:before="0"/>
        <w:ind w:left="540" w:right="0" w:firstLine="0"/>
        <w:jc w:val="left"/>
        <w:rPr>
          <w:sz w:val="18"/>
        </w:rPr>
      </w:pPr>
      <w:r>
        <w:rPr>
          <w:spacing w:val="-4"/>
          <w:sz w:val="18"/>
        </w:rPr>
        <w:t>total</w:t>
      </w:r>
      <w:r>
        <w:rPr>
          <w:spacing w:val="-14"/>
          <w:sz w:val="18"/>
        </w:rPr>
        <w:t> </w:t>
      </w:r>
      <w:r>
        <w:rPr>
          <w:spacing w:val="-2"/>
          <w:sz w:val="18"/>
        </w:rPr>
        <w:t>protein</w:t>
      </w:r>
      <w:r>
        <w:rPr>
          <w:sz w:val="18"/>
        </w:rPr>
        <w:tab/>
      </w:r>
      <w:r>
        <w:rPr>
          <w:spacing w:val="-2"/>
          <w:sz w:val="18"/>
        </w:rPr>
        <w:t>65</w:t>
      </w:r>
      <w:r>
        <w:rPr>
          <w:spacing w:val="-8"/>
          <w:sz w:val="18"/>
        </w:rPr>
        <w:t> </w:t>
      </w:r>
      <w:r>
        <w:rPr>
          <w:spacing w:val="-5"/>
          <w:sz w:val="18"/>
        </w:rPr>
        <w:t>g/L</w:t>
      </w:r>
    </w:p>
    <w:p>
      <w:pPr>
        <w:tabs>
          <w:tab w:pos="3288" w:val="left" w:leader="none"/>
        </w:tabs>
        <w:spacing w:line="207" w:lineRule="exact" w:before="2"/>
        <w:ind w:left="540" w:right="0" w:firstLine="0"/>
        <w:jc w:val="left"/>
        <w:rPr>
          <w:sz w:val="18"/>
        </w:rPr>
      </w:pPr>
      <w:r>
        <w:rPr>
          <w:spacing w:val="-2"/>
          <w:sz w:val="18"/>
        </w:rPr>
        <w:t>albumin</w:t>
      </w:r>
      <w:r>
        <w:rPr>
          <w:sz w:val="18"/>
        </w:rPr>
        <w:tab/>
      </w:r>
      <w:r>
        <w:rPr>
          <w:spacing w:val="-2"/>
          <w:sz w:val="18"/>
        </w:rPr>
        <w:t>41</w:t>
      </w:r>
      <w:r>
        <w:rPr>
          <w:spacing w:val="-8"/>
          <w:sz w:val="18"/>
        </w:rPr>
        <w:t> </w:t>
      </w:r>
      <w:r>
        <w:rPr>
          <w:spacing w:val="-5"/>
          <w:sz w:val="18"/>
        </w:rPr>
        <w:t>g/L</w:t>
      </w:r>
    </w:p>
    <w:p>
      <w:pPr>
        <w:tabs>
          <w:tab w:pos="2842" w:val="left" w:leader="none"/>
        </w:tabs>
        <w:spacing w:line="206" w:lineRule="exact" w:before="0"/>
        <w:ind w:left="540" w:right="0" w:firstLine="0"/>
        <w:jc w:val="left"/>
        <w:rPr>
          <w:sz w:val="18"/>
        </w:rPr>
      </w:pPr>
      <w:r>
        <w:rPr>
          <w:spacing w:val="-2"/>
          <w:sz w:val="18"/>
        </w:rPr>
        <w:t>glycemia</w:t>
      </w:r>
      <w:r>
        <w:rPr>
          <w:sz w:val="18"/>
        </w:rPr>
        <w:tab/>
      </w:r>
      <w:r>
        <w:rPr>
          <w:spacing w:val="-6"/>
          <w:sz w:val="18"/>
        </w:rPr>
        <w:t>15.64….5.4</w:t>
      </w:r>
      <w:r>
        <w:rPr>
          <w:spacing w:val="4"/>
          <w:sz w:val="18"/>
        </w:rPr>
        <w:t> </w:t>
      </w:r>
      <w:r>
        <w:rPr>
          <w:spacing w:val="-2"/>
          <w:sz w:val="18"/>
        </w:rPr>
        <w:t>mmol/l</w:t>
      </w:r>
    </w:p>
    <w:p>
      <w:pPr>
        <w:tabs>
          <w:tab w:pos="2976" w:val="left" w:leader="none"/>
          <w:tab w:pos="3483" w:val="left" w:leader="dot"/>
        </w:tabs>
        <w:spacing w:line="206" w:lineRule="exact" w:before="0"/>
        <w:ind w:left="540" w:right="0" w:firstLine="0"/>
        <w:jc w:val="left"/>
        <w:rPr>
          <w:sz w:val="18"/>
        </w:rPr>
      </w:pPr>
      <w:r>
        <w:rPr>
          <w:spacing w:val="-5"/>
          <w:sz w:val="18"/>
        </w:rPr>
        <w:t>CRP</w:t>
      </w:r>
      <w:r>
        <w:rPr>
          <w:sz w:val="18"/>
        </w:rPr>
        <w:tab/>
      </w:r>
      <w:r>
        <w:rPr>
          <w:spacing w:val="-5"/>
          <w:sz w:val="18"/>
        </w:rPr>
        <w:t>0.2</w:t>
      </w:r>
      <w:r>
        <w:rPr>
          <w:sz w:val="18"/>
        </w:rPr>
        <w:tab/>
      </w:r>
      <w:r>
        <w:rPr>
          <w:spacing w:val="-4"/>
          <w:sz w:val="18"/>
        </w:rPr>
        <w:t>2.0</w:t>
      </w:r>
      <w:r>
        <w:rPr>
          <w:spacing w:val="-7"/>
          <w:sz w:val="18"/>
        </w:rPr>
        <w:t> </w:t>
      </w:r>
      <w:r>
        <w:rPr>
          <w:spacing w:val="-4"/>
          <w:sz w:val="18"/>
        </w:rPr>
        <w:t>mg/l</w:t>
      </w:r>
    </w:p>
    <w:p>
      <w:pPr>
        <w:spacing w:line="207" w:lineRule="exact" w:before="0"/>
        <w:ind w:left="0" w:right="437" w:firstLine="0"/>
        <w:jc w:val="right"/>
        <w:rPr>
          <w:sz w:val="18"/>
        </w:rPr>
      </w:pPr>
      <w:r>
        <w:rPr>
          <w:spacing w:val="-4"/>
          <w:sz w:val="18"/>
        </w:rPr>
        <w:t>PT-13</w:t>
      </w:r>
      <w:r>
        <w:rPr>
          <w:spacing w:val="-8"/>
          <w:sz w:val="18"/>
        </w:rPr>
        <w:t> </w:t>
      </w:r>
      <w:r>
        <w:rPr>
          <w:spacing w:val="-10"/>
          <w:sz w:val="18"/>
        </w:rPr>
        <w:t>s</w:t>
      </w:r>
    </w:p>
    <w:p>
      <w:pPr>
        <w:pStyle w:val="BodyText"/>
        <w:spacing w:before="3"/>
        <w:ind w:left="540" w:right="287"/>
        <w:jc w:val="both"/>
      </w:pPr>
      <w:r>
        <w:rPr/>
        <w:br w:type="column"/>
      </w:r>
      <w:r>
        <w:rPr/>
        <w:t>was</w:t>
      </w:r>
      <w:r>
        <w:rPr>
          <w:spacing w:val="-13"/>
        </w:rPr>
        <w:t> </w:t>
      </w:r>
      <w:r>
        <w:rPr/>
        <w:t>an</w:t>
      </w:r>
      <w:r>
        <w:rPr>
          <w:spacing w:val="-13"/>
        </w:rPr>
        <w:t> </w:t>
      </w:r>
      <w:r>
        <w:rPr/>
        <w:t>unexpected</w:t>
      </w:r>
      <w:r>
        <w:rPr>
          <w:spacing w:val="-13"/>
        </w:rPr>
        <w:t> </w:t>
      </w:r>
      <w:r>
        <w:rPr/>
        <w:t>lesion</w:t>
      </w:r>
      <w:r>
        <w:rPr>
          <w:spacing w:val="-13"/>
        </w:rPr>
        <w:t> </w:t>
      </w:r>
      <w:r>
        <w:rPr/>
        <w:t>that</w:t>
      </w:r>
      <w:r>
        <w:rPr>
          <w:spacing w:val="-12"/>
        </w:rPr>
        <w:t> </w:t>
      </w:r>
      <w:r>
        <w:rPr/>
        <w:t>looked</w:t>
      </w:r>
      <w:r>
        <w:rPr>
          <w:spacing w:val="-13"/>
        </w:rPr>
        <w:t> </w:t>
      </w:r>
      <w:r>
        <w:rPr/>
        <w:t>like</w:t>
      </w:r>
      <w:r>
        <w:rPr>
          <w:spacing w:val="-13"/>
        </w:rPr>
        <w:t> </w:t>
      </w:r>
      <w:r>
        <w:rPr/>
        <w:t>a</w:t>
      </w:r>
      <w:r>
        <w:rPr>
          <w:spacing w:val="-12"/>
        </w:rPr>
        <w:t> </w:t>
      </w:r>
      <w:r>
        <w:rPr/>
        <w:t>large</w:t>
      </w:r>
      <w:r>
        <w:rPr>
          <w:spacing w:val="-12"/>
        </w:rPr>
        <w:t> </w:t>
      </w:r>
      <w:r>
        <w:rPr/>
        <w:t>vascu- lar</w:t>
      </w:r>
      <w:r>
        <w:rPr>
          <w:spacing w:val="-4"/>
        </w:rPr>
        <w:t> </w:t>
      </w:r>
      <w:r>
        <w:rPr/>
        <w:t>tumor-hemangioma</w:t>
      </w:r>
      <w:r>
        <w:rPr>
          <w:spacing w:val="-2"/>
        </w:rPr>
        <w:t> </w:t>
      </w:r>
      <w:r>
        <w:rPr/>
        <w:t>located</w:t>
      </w:r>
      <w:r>
        <w:rPr>
          <w:spacing w:val="-2"/>
        </w:rPr>
        <w:t> </w:t>
      </w:r>
      <w:r>
        <w:rPr/>
        <w:t>on</w:t>
      </w:r>
      <w:r>
        <w:rPr>
          <w:spacing w:val="-2"/>
        </w:rPr>
        <w:t> </w:t>
      </w:r>
      <w:r>
        <w:rPr/>
        <w:t>plica venticularis</w:t>
      </w:r>
      <w:r>
        <w:rPr>
          <w:spacing w:val="-2"/>
        </w:rPr>
        <w:t> </w:t>
      </w:r>
      <w:r>
        <w:rPr/>
        <w:t>la- teris dextri, which obstructed</w:t>
      </w:r>
      <w:r>
        <w:rPr>
          <w:spacing w:val="40"/>
        </w:rPr>
        <w:t> </w:t>
      </w:r>
      <w:r>
        <w:rPr/>
        <w:t>the lumen of the border </w:t>
      </w:r>
      <w:r>
        <w:rPr>
          <w:spacing w:val="-2"/>
        </w:rPr>
        <w:t>between</w:t>
      </w:r>
      <w:r>
        <w:rPr>
          <w:spacing w:val="-12"/>
        </w:rPr>
        <w:t> </w:t>
      </w:r>
      <w:r>
        <w:rPr>
          <w:spacing w:val="-2"/>
        </w:rPr>
        <w:t>the</w:t>
      </w:r>
      <w:r>
        <w:rPr>
          <w:spacing w:val="-11"/>
        </w:rPr>
        <w:t> </w:t>
      </w:r>
      <w:r>
        <w:rPr>
          <w:spacing w:val="-2"/>
        </w:rPr>
        <w:t>larynx</w:t>
      </w:r>
      <w:r>
        <w:rPr>
          <w:spacing w:val="-11"/>
        </w:rPr>
        <w:t> </w:t>
      </w:r>
      <w:r>
        <w:rPr>
          <w:spacing w:val="-2"/>
        </w:rPr>
        <w:t>and</w:t>
      </w:r>
      <w:r>
        <w:rPr>
          <w:spacing w:val="-11"/>
        </w:rPr>
        <w:t> </w:t>
      </w:r>
      <w:r>
        <w:rPr>
          <w:spacing w:val="-2"/>
        </w:rPr>
        <w:t>the</w:t>
      </w:r>
      <w:r>
        <w:rPr>
          <w:spacing w:val="-11"/>
        </w:rPr>
        <w:t> </w:t>
      </w:r>
      <w:r>
        <w:rPr>
          <w:spacing w:val="-2"/>
        </w:rPr>
        <w:t>trachea</w:t>
      </w:r>
      <w:r>
        <w:rPr>
          <w:spacing w:val="-11"/>
        </w:rPr>
        <w:t> </w:t>
      </w:r>
      <w:r>
        <w:rPr>
          <w:spacing w:val="-2"/>
        </w:rPr>
        <w:t>to</w:t>
      </w:r>
      <w:r>
        <w:rPr>
          <w:spacing w:val="-11"/>
        </w:rPr>
        <w:t> </w:t>
      </w:r>
      <w:r>
        <w:rPr>
          <w:spacing w:val="-2"/>
        </w:rPr>
        <w:t>a</w:t>
      </w:r>
      <w:r>
        <w:rPr>
          <w:spacing w:val="-11"/>
        </w:rPr>
        <w:t> </w:t>
      </w:r>
      <w:r>
        <w:rPr>
          <w:spacing w:val="-2"/>
        </w:rPr>
        <w:t>maximum</w:t>
      </w:r>
      <w:r>
        <w:rPr>
          <w:spacing w:val="-12"/>
        </w:rPr>
        <w:t> </w:t>
      </w:r>
      <w:r>
        <w:rPr>
          <w:spacing w:val="-2"/>
        </w:rPr>
        <w:t>diame- </w:t>
      </w:r>
      <w:r>
        <w:rPr/>
        <w:t>ter</w:t>
      </w:r>
      <w:r>
        <w:rPr>
          <w:spacing w:val="-1"/>
        </w:rPr>
        <w:t> </w:t>
      </w:r>
      <w:r>
        <w:rPr/>
        <w:t>of</w:t>
      </w:r>
      <w:r>
        <w:rPr>
          <w:spacing w:val="2"/>
        </w:rPr>
        <w:t> </w:t>
      </w:r>
      <w:r>
        <w:rPr/>
        <w:t>under</w:t>
      </w:r>
      <w:r>
        <w:rPr>
          <w:spacing w:val="1"/>
        </w:rPr>
        <w:t> </w:t>
      </w:r>
      <w:r>
        <w:rPr/>
        <w:t>2</w:t>
      </w:r>
      <w:r>
        <w:rPr>
          <w:spacing w:val="2"/>
        </w:rPr>
        <w:t> </w:t>
      </w:r>
      <w:r>
        <w:rPr/>
        <w:t>cm.</w:t>
      </w:r>
      <w:r>
        <w:rPr>
          <w:spacing w:val="4"/>
        </w:rPr>
        <w:t> </w:t>
      </w:r>
      <w:r>
        <w:rPr/>
        <w:t>The</w:t>
      </w:r>
      <w:r>
        <w:rPr>
          <w:spacing w:val="2"/>
        </w:rPr>
        <w:t> </w:t>
      </w:r>
      <w:r>
        <w:rPr/>
        <w:t>child</w:t>
      </w:r>
      <w:r>
        <w:rPr>
          <w:spacing w:val="2"/>
        </w:rPr>
        <w:t> </w:t>
      </w:r>
      <w:r>
        <w:rPr/>
        <w:t>was</w:t>
      </w:r>
      <w:r>
        <w:rPr>
          <w:spacing w:val="1"/>
        </w:rPr>
        <w:t> </w:t>
      </w:r>
      <w:r>
        <w:rPr/>
        <w:t>posted</w:t>
      </w:r>
      <w:r>
        <w:rPr>
          <w:spacing w:val="2"/>
        </w:rPr>
        <w:t> </w:t>
      </w:r>
      <w:r>
        <w:rPr/>
        <w:t>for</w:t>
      </w:r>
      <w:r>
        <w:rPr>
          <w:spacing w:val="2"/>
        </w:rPr>
        <w:t> </w:t>
      </w:r>
      <w:r>
        <w:rPr>
          <w:spacing w:val="-2"/>
        </w:rPr>
        <w:t>extirpation</w:t>
      </w:r>
    </w:p>
    <w:p>
      <w:pPr>
        <w:pStyle w:val="BodyText"/>
        <w:spacing w:line="134" w:lineRule="exact"/>
        <w:ind w:left="540"/>
        <w:jc w:val="both"/>
      </w:pPr>
      <w:r>
        <w:rPr/>
        <w:t>under</w:t>
      </w:r>
      <w:r>
        <w:rPr>
          <w:spacing w:val="34"/>
        </w:rPr>
        <w:t> </w:t>
      </w:r>
      <w:r>
        <w:rPr/>
        <w:t>general</w:t>
      </w:r>
      <w:r>
        <w:rPr>
          <w:spacing w:val="35"/>
        </w:rPr>
        <w:t> </w:t>
      </w:r>
      <w:r>
        <w:rPr/>
        <w:t>anesthesia.</w:t>
      </w:r>
      <w:r>
        <w:rPr>
          <w:spacing w:val="33"/>
        </w:rPr>
        <w:t> </w:t>
      </w:r>
      <w:r>
        <w:rPr/>
        <w:t>The</w:t>
      </w:r>
      <w:r>
        <w:rPr>
          <w:spacing w:val="36"/>
        </w:rPr>
        <w:t> </w:t>
      </w:r>
      <w:r>
        <w:rPr/>
        <w:t>minimal</w:t>
      </w:r>
      <w:r>
        <w:rPr>
          <w:spacing w:val="35"/>
        </w:rPr>
        <w:t> </w:t>
      </w:r>
      <w:r>
        <w:rPr/>
        <w:t>bleeding</w:t>
      </w:r>
      <w:r>
        <w:rPr>
          <w:spacing w:val="36"/>
        </w:rPr>
        <w:t> </w:t>
      </w:r>
      <w:r>
        <w:rPr>
          <w:spacing w:val="-4"/>
        </w:rPr>
        <w:t>that</w:t>
      </w:r>
    </w:p>
    <w:p>
      <w:pPr>
        <w:spacing w:after="0" w:line="134" w:lineRule="exact"/>
        <w:jc w:val="both"/>
        <w:sectPr>
          <w:type w:val="continuous"/>
          <w:pgSz w:w="11910" w:h="16840"/>
          <w:pgMar w:header="854" w:footer="0" w:top="740" w:bottom="0" w:left="900" w:right="840"/>
          <w:cols w:num="2" w:equalWidth="0">
            <w:col w:w="4224" w:space="471"/>
            <w:col w:w="5475"/>
          </w:cols>
        </w:sectPr>
      </w:pPr>
    </w:p>
    <w:p>
      <w:pPr>
        <w:spacing w:before="96"/>
        <w:ind w:left="540" w:right="0" w:firstLine="0"/>
        <w:jc w:val="left"/>
        <w:rPr>
          <w:sz w:val="18"/>
        </w:rPr>
      </w:pPr>
      <w:r>
        <w:rPr>
          <w:spacing w:val="-2"/>
          <w:sz w:val="18"/>
        </w:rPr>
        <w:t>hemostasis</w:t>
      </w:r>
    </w:p>
    <w:p>
      <w:pPr>
        <w:spacing w:line="240" w:lineRule="auto" w:before="0"/>
        <w:ind w:left="859" w:right="357" w:firstLine="0"/>
        <w:jc w:val="center"/>
        <w:rPr>
          <w:sz w:val="18"/>
        </w:rPr>
      </w:pPr>
      <w:r>
        <w:rPr/>
        <w:br w:type="column"/>
      </w:r>
      <w:r>
        <w:rPr>
          <w:spacing w:val="-6"/>
          <w:sz w:val="18"/>
        </w:rPr>
        <w:t>aPTT-29</w:t>
      </w:r>
      <w:r>
        <w:rPr>
          <w:spacing w:val="-8"/>
          <w:sz w:val="18"/>
        </w:rPr>
        <w:t> </w:t>
      </w:r>
      <w:r>
        <w:rPr>
          <w:spacing w:val="-6"/>
          <w:sz w:val="18"/>
        </w:rPr>
        <w:t>s.</w:t>
      </w:r>
      <w:r>
        <w:rPr>
          <w:sz w:val="18"/>
        </w:rPr>
        <w:t> TT-25</w:t>
      </w:r>
      <w:r>
        <w:rPr>
          <w:spacing w:val="-12"/>
          <w:sz w:val="18"/>
        </w:rPr>
        <w:t> </w:t>
      </w:r>
      <w:r>
        <w:rPr>
          <w:sz w:val="18"/>
        </w:rPr>
        <w:t>s</w:t>
      </w:r>
    </w:p>
    <w:p>
      <w:pPr>
        <w:spacing w:line="193" w:lineRule="exact" w:before="0"/>
        <w:ind w:left="527" w:right="27" w:firstLine="0"/>
        <w:jc w:val="center"/>
        <w:rPr>
          <w:sz w:val="18"/>
        </w:rPr>
      </w:pPr>
      <w:r>
        <w:rPr>
          <w:spacing w:val="-6"/>
          <w:sz w:val="18"/>
        </w:rPr>
        <w:t>D-dimer</w:t>
      </w:r>
      <w:r>
        <w:rPr>
          <w:spacing w:val="-1"/>
          <w:sz w:val="18"/>
        </w:rPr>
        <w:t> </w:t>
      </w:r>
      <w:r>
        <w:rPr>
          <w:spacing w:val="-6"/>
          <w:sz w:val="18"/>
        </w:rPr>
        <w:t>1014</w:t>
      </w:r>
      <w:r>
        <w:rPr>
          <w:spacing w:val="-2"/>
          <w:sz w:val="18"/>
        </w:rPr>
        <w:t> </w:t>
      </w:r>
      <w:r>
        <w:rPr>
          <w:spacing w:val="-6"/>
          <w:sz w:val="18"/>
        </w:rPr>
        <w:t>ng/ml</w:t>
      </w:r>
    </w:p>
    <w:p>
      <w:pPr>
        <w:pStyle w:val="BodyText"/>
        <w:spacing w:before="109"/>
        <w:ind w:left="540"/>
      </w:pPr>
      <w:r>
        <w:rPr/>
        <w:br w:type="column"/>
      </w:r>
      <w:r>
        <w:rPr/>
        <w:t>occurred was treated with medications. The laryngeal hemangioma</w:t>
      </w:r>
      <w:r>
        <w:rPr>
          <w:spacing w:val="8"/>
        </w:rPr>
        <w:t> </w:t>
      </w:r>
      <w:r>
        <w:rPr/>
        <w:t>was</w:t>
      </w:r>
      <w:r>
        <w:rPr>
          <w:spacing w:val="8"/>
        </w:rPr>
        <w:t> </w:t>
      </w:r>
      <w:r>
        <w:rPr/>
        <w:t>extirpated</w:t>
      </w:r>
      <w:r>
        <w:rPr>
          <w:spacing w:val="7"/>
        </w:rPr>
        <w:t> </w:t>
      </w:r>
      <w:r>
        <w:rPr/>
        <w:t>and</w:t>
      </w:r>
      <w:r>
        <w:rPr>
          <w:spacing w:val="8"/>
        </w:rPr>
        <w:t> </w:t>
      </w:r>
      <w:r>
        <w:rPr/>
        <w:t>sent</w:t>
      </w:r>
      <w:r>
        <w:rPr>
          <w:spacing w:val="8"/>
        </w:rPr>
        <w:t> </w:t>
      </w:r>
      <w:r>
        <w:rPr/>
        <w:t>for</w:t>
      </w:r>
      <w:r>
        <w:rPr>
          <w:spacing w:val="8"/>
        </w:rPr>
        <w:t> </w:t>
      </w:r>
      <w:r>
        <w:rPr>
          <w:spacing w:val="-2"/>
        </w:rPr>
        <w:t>histopatholo-</w:t>
      </w:r>
    </w:p>
    <w:p>
      <w:pPr>
        <w:spacing w:after="0"/>
        <w:sectPr>
          <w:type w:val="continuous"/>
          <w:pgSz w:w="11910" w:h="16840"/>
          <w:pgMar w:header="854" w:footer="0" w:top="740" w:bottom="0" w:left="900" w:right="840"/>
          <w:cols w:num="3" w:equalWidth="0">
            <w:col w:w="1325" w:space="950"/>
            <w:col w:w="1975" w:space="445"/>
            <w:col w:w="5475"/>
          </w:cols>
        </w:sectPr>
      </w:pPr>
    </w:p>
    <w:p>
      <w:pPr>
        <w:tabs>
          <w:tab w:pos="3226" w:val="left" w:leader="none"/>
          <w:tab w:pos="4680" w:val="left" w:leader="none"/>
        </w:tabs>
        <w:spacing w:before="6"/>
        <w:ind w:left="418" w:right="0" w:firstLine="0"/>
        <w:jc w:val="left"/>
        <w:rPr>
          <w:sz w:val="18"/>
        </w:rPr>
      </w:pPr>
      <w:r>
        <w:rPr>
          <w:spacing w:val="77"/>
          <w:sz w:val="18"/>
          <w:u w:val="single"/>
        </w:rPr>
        <w:t> </w:t>
      </w:r>
      <w:r>
        <w:rPr>
          <w:spacing w:val="-2"/>
          <w:sz w:val="18"/>
          <w:u w:val="single"/>
        </w:rPr>
        <w:t>microbiological</w:t>
      </w:r>
      <w:r>
        <w:rPr>
          <w:sz w:val="18"/>
          <w:u w:val="single"/>
        </w:rPr>
        <w:tab/>
      </w:r>
      <w:r>
        <w:rPr>
          <w:spacing w:val="-2"/>
          <w:sz w:val="18"/>
          <w:u w:val="single"/>
        </w:rPr>
        <w:t>negative</w:t>
      </w:r>
      <w:r>
        <w:rPr>
          <w:sz w:val="18"/>
          <w:u w:val="single"/>
        </w:rPr>
        <w:tab/>
      </w:r>
    </w:p>
    <w:p>
      <w:pPr>
        <w:pStyle w:val="BodyText"/>
        <w:spacing w:before="8"/>
      </w:pPr>
    </w:p>
    <w:p>
      <w:pPr>
        <w:pStyle w:val="BodyText"/>
        <w:ind w:left="238" w:right="40"/>
        <w:jc w:val="both"/>
      </w:pPr>
      <w:r>
        <w:rPr/>
        <w:t>The chest X-ray in the projection of lungs demonstra- ted stripblotchy shadows in the lung parenchyma on both sides.</w:t>
      </w:r>
    </w:p>
    <w:p>
      <w:pPr>
        <w:pStyle w:val="BodyText"/>
        <w:ind w:left="238" w:right="38"/>
        <w:jc w:val="both"/>
      </w:pPr>
      <w:r>
        <w:rPr/>
        <w:t>The</w:t>
      </w:r>
      <w:r>
        <w:rPr>
          <w:spacing w:val="-4"/>
        </w:rPr>
        <w:t> </w:t>
      </w:r>
      <w:r>
        <w:rPr/>
        <w:t>initial</w:t>
      </w:r>
      <w:r>
        <w:rPr>
          <w:spacing w:val="-5"/>
        </w:rPr>
        <w:t> </w:t>
      </w:r>
      <w:r>
        <w:rPr/>
        <w:t>therapy</w:t>
      </w:r>
      <w:r>
        <w:rPr>
          <w:spacing w:val="-9"/>
        </w:rPr>
        <w:t> </w:t>
      </w:r>
      <w:r>
        <w:rPr/>
        <w:t>started</w:t>
      </w:r>
      <w:r>
        <w:rPr>
          <w:spacing w:val="-4"/>
        </w:rPr>
        <w:t> </w:t>
      </w:r>
      <w:r>
        <w:rPr/>
        <w:t>with</w:t>
      </w:r>
      <w:r>
        <w:rPr>
          <w:spacing w:val="-4"/>
        </w:rPr>
        <w:t> </w:t>
      </w:r>
      <w:r>
        <w:rPr/>
        <w:t>intravenous</w:t>
      </w:r>
      <w:r>
        <w:rPr>
          <w:spacing w:val="-5"/>
        </w:rPr>
        <w:t> </w:t>
      </w:r>
      <w:r>
        <w:rPr/>
        <w:t>administra- </w:t>
      </w:r>
      <w:r>
        <w:rPr>
          <w:spacing w:val="-2"/>
        </w:rPr>
        <w:t>tion of</w:t>
      </w:r>
      <w:r>
        <w:rPr>
          <w:spacing w:val="-5"/>
        </w:rPr>
        <w:t> </w:t>
      </w:r>
      <w:r>
        <w:rPr>
          <w:spacing w:val="-2"/>
        </w:rPr>
        <w:t>cefotaxime,</w:t>
      </w:r>
      <w:r>
        <w:rPr>
          <w:spacing w:val="-5"/>
        </w:rPr>
        <w:t> </w:t>
      </w:r>
      <w:r>
        <w:rPr>
          <w:spacing w:val="-2"/>
        </w:rPr>
        <w:t>aminoglycoside,</w:t>
      </w:r>
      <w:r>
        <w:rPr>
          <w:spacing w:val="-5"/>
        </w:rPr>
        <w:t> </w:t>
      </w:r>
      <w:r>
        <w:rPr>
          <w:spacing w:val="-2"/>
        </w:rPr>
        <w:t>and</w:t>
      </w:r>
      <w:r>
        <w:rPr>
          <w:spacing w:val="-5"/>
        </w:rPr>
        <w:t> </w:t>
      </w:r>
      <w:r>
        <w:rPr>
          <w:spacing w:val="-2"/>
        </w:rPr>
        <w:t>corticosteroids. </w:t>
      </w:r>
      <w:r>
        <w:rPr/>
        <w:t>After</w:t>
      </w:r>
      <w:r>
        <w:rPr>
          <w:spacing w:val="-9"/>
        </w:rPr>
        <w:t> </w:t>
      </w:r>
      <w:r>
        <w:rPr/>
        <w:t>application</w:t>
      </w:r>
      <w:r>
        <w:rPr>
          <w:spacing w:val="-9"/>
        </w:rPr>
        <w:t> </w:t>
      </w:r>
      <w:r>
        <w:rPr/>
        <w:t>of</w:t>
      </w:r>
      <w:r>
        <w:rPr>
          <w:spacing w:val="-9"/>
        </w:rPr>
        <w:t> </w:t>
      </w:r>
      <w:r>
        <w:rPr/>
        <w:t>nasogastric</w:t>
      </w:r>
      <w:r>
        <w:rPr>
          <w:spacing w:val="-7"/>
        </w:rPr>
        <w:t> </w:t>
      </w:r>
      <w:r>
        <w:rPr/>
        <w:t>tube</w:t>
      </w:r>
      <w:r>
        <w:rPr>
          <w:spacing w:val="-7"/>
        </w:rPr>
        <w:t> </w:t>
      </w:r>
      <w:r>
        <w:rPr/>
        <w:t>(NG),</w:t>
      </w:r>
      <w:r>
        <w:rPr>
          <w:spacing w:val="-7"/>
        </w:rPr>
        <w:t> </w:t>
      </w:r>
      <w:r>
        <w:rPr/>
        <w:t>gastrointes- tinal</w:t>
      </w:r>
      <w:r>
        <w:rPr>
          <w:spacing w:val="-1"/>
        </w:rPr>
        <w:t> </w:t>
      </w:r>
      <w:r>
        <w:rPr/>
        <w:t>bleeding in the NG tube was manifested. In addi- tion, he was</w:t>
      </w:r>
      <w:r>
        <w:rPr>
          <w:spacing w:val="-1"/>
        </w:rPr>
        <w:t> </w:t>
      </w:r>
      <w:r>
        <w:rPr/>
        <w:t>given</w:t>
      </w:r>
      <w:r>
        <w:rPr>
          <w:spacing w:val="-1"/>
        </w:rPr>
        <w:t> </w:t>
      </w:r>
      <w:r>
        <w:rPr/>
        <w:t>intravenous</w:t>
      </w:r>
      <w:r>
        <w:rPr>
          <w:spacing w:val="-1"/>
        </w:rPr>
        <w:t> </w:t>
      </w:r>
      <w:r>
        <w:rPr/>
        <w:t>proton pump inhibitors. During the night shift, the child's condition improved (conscious with stable vital signs, afebrile).</w:t>
      </w:r>
    </w:p>
    <w:p>
      <w:pPr>
        <w:pStyle w:val="BodyText"/>
        <w:ind w:left="238" w:right="40"/>
        <w:jc w:val="both"/>
      </w:pPr>
      <w:r>
        <w:rPr/>
        <w:t>On</w:t>
      </w:r>
      <w:r>
        <w:rPr>
          <w:spacing w:val="-1"/>
        </w:rPr>
        <w:t> </w:t>
      </w:r>
      <w:r>
        <w:rPr/>
        <w:t>his second</w:t>
      </w:r>
      <w:r>
        <w:rPr>
          <w:spacing w:val="-1"/>
        </w:rPr>
        <w:t> </w:t>
      </w:r>
      <w:r>
        <w:rPr/>
        <w:t>day</w:t>
      </w:r>
      <w:r>
        <w:rPr>
          <w:spacing w:val="-4"/>
        </w:rPr>
        <w:t> </w:t>
      </w:r>
      <w:r>
        <w:rPr/>
        <w:t>at ICU, after the routine assessment (clinical</w:t>
      </w:r>
      <w:r>
        <w:rPr>
          <w:spacing w:val="-8"/>
        </w:rPr>
        <w:t> </w:t>
      </w:r>
      <w:r>
        <w:rPr/>
        <w:t>evaluation,</w:t>
      </w:r>
      <w:r>
        <w:rPr>
          <w:spacing w:val="-8"/>
        </w:rPr>
        <w:t> </w:t>
      </w:r>
      <w:r>
        <w:rPr/>
        <w:t>gas</w:t>
      </w:r>
      <w:r>
        <w:rPr>
          <w:spacing w:val="-8"/>
        </w:rPr>
        <w:t> </w:t>
      </w:r>
      <w:r>
        <w:rPr/>
        <w:t>blood)</w:t>
      </w:r>
      <w:r>
        <w:rPr>
          <w:spacing w:val="-8"/>
        </w:rPr>
        <w:t> </w:t>
      </w:r>
      <w:r>
        <w:rPr/>
        <w:t>the</w:t>
      </w:r>
      <w:r>
        <w:rPr>
          <w:spacing w:val="-8"/>
        </w:rPr>
        <w:t> </w:t>
      </w:r>
      <w:r>
        <w:rPr/>
        <w:t>general</w:t>
      </w:r>
      <w:r>
        <w:rPr>
          <w:spacing w:val="-8"/>
        </w:rPr>
        <w:t> </w:t>
      </w:r>
      <w:r>
        <w:rPr/>
        <w:t>condition</w:t>
      </w:r>
      <w:r>
        <w:rPr>
          <w:spacing w:val="-8"/>
        </w:rPr>
        <w:t> </w:t>
      </w:r>
      <w:r>
        <w:rPr/>
        <w:t>of the</w:t>
      </w:r>
      <w:r>
        <w:rPr>
          <w:spacing w:val="7"/>
        </w:rPr>
        <w:t> </w:t>
      </w:r>
      <w:r>
        <w:rPr/>
        <w:t>child</w:t>
      </w:r>
      <w:r>
        <w:rPr>
          <w:spacing w:val="8"/>
        </w:rPr>
        <w:t> </w:t>
      </w:r>
      <w:r>
        <w:rPr/>
        <w:t>was</w:t>
      </w:r>
      <w:r>
        <w:rPr>
          <w:spacing w:val="7"/>
        </w:rPr>
        <w:t> </w:t>
      </w:r>
      <w:r>
        <w:rPr/>
        <w:t>still</w:t>
      </w:r>
      <w:r>
        <w:rPr>
          <w:spacing w:val="9"/>
        </w:rPr>
        <w:t> </w:t>
      </w:r>
      <w:r>
        <w:rPr/>
        <w:t>normal;</w:t>
      </w:r>
      <w:r>
        <w:rPr>
          <w:spacing w:val="8"/>
        </w:rPr>
        <w:t> </w:t>
      </w:r>
      <w:r>
        <w:rPr/>
        <w:t>with</w:t>
      </w:r>
      <w:r>
        <w:rPr>
          <w:spacing w:val="8"/>
        </w:rPr>
        <w:t> </w:t>
      </w:r>
      <w:r>
        <w:rPr/>
        <w:t>spontaneous</w:t>
      </w:r>
      <w:r>
        <w:rPr>
          <w:spacing w:val="8"/>
        </w:rPr>
        <w:t> </w:t>
      </w:r>
      <w:r>
        <w:rPr>
          <w:spacing w:val="-2"/>
        </w:rPr>
        <w:t>breathing</w:t>
      </w:r>
    </w:p>
    <w:p>
      <w:pPr>
        <w:pStyle w:val="BodyText"/>
        <w:spacing w:line="227" w:lineRule="exact"/>
        <w:ind w:left="238"/>
        <w:jc w:val="both"/>
      </w:pPr>
      <w:r>
        <w:rPr/>
        <w:br w:type="column"/>
      </w:r>
      <w:r>
        <w:rPr>
          <w:spacing w:val="-2"/>
        </w:rPr>
        <w:t>gical examination</w:t>
      </w:r>
      <w:r>
        <w:rPr>
          <w:spacing w:val="-4"/>
        </w:rPr>
        <w:t> </w:t>
      </w:r>
      <w:r>
        <w:rPr>
          <w:spacing w:val="-2"/>
        </w:rPr>
        <w:t>(blood vessel</w:t>
      </w:r>
      <w:r>
        <w:rPr>
          <w:spacing w:val="-5"/>
        </w:rPr>
        <w:t> </w:t>
      </w:r>
      <w:r>
        <w:rPr>
          <w:spacing w:val="-2"/>
        </w:rPr>
        <w:t>hyperplasia</w:t>
      </w:r>
      <w:r>
        <w:rPr>
          <w:spacing w:val="-6"/>
        </w:rPr>
        <w:t> </w:t>
      </w:r>
      <w:r>
        <w:rPr>
          <w:spacing w:val="-2"/>
        </w:rPr>
        <w:t>and</w:t>
      </w:r>
      <w:r>
        <w:rPr>
          <w:spacing w:val="-5"/>
        </w:rPr>
        <w:t> </w:t>
      </w:r>
      <w:r>
        <w:rPr>
          <w:spacing w:val="-2"/>
        </w:rPr>
        <w:t>heman-</w:t>
      </w:r>
    </w:p>
    <w:p>
      <w:pPr>
        <w:pStyle w:val="BodyText"/>
        <w:spacing w:before="1"/>
        <w:ind w:left="238" w:right="290"/>
        <w:jc w:val="both"/>
      </w:pPr>
      <w:r>
        <w:rPr/>
        <w:t>giectasis</w:t>
      </w:r>
      <w:r>
        <w:rPr>
          <w:spacing w:val="-1"/>
        </w:rPr>
        <w:t> </w:t>
      </w:r>
      <w:r>
        <w:rPr/>
        <w:t>squamous mucosa were observed beneath the squamous mucosa; in the cavernous vessels erythrocy- tes were found and lymphocyte infiltration was obser- ved around the vessels). The histopathology findings verified the lesionas cavernous hemangioma. The first </w:t>
      </w:r>
      <w:r>
        <w:rPr>
          <w:spacing w:val="-2"/>
        </w:rPr>
        <w:t>control</w:t>
      </w:r>
      <w:r>
        <w:rPr>
          <w:spacing w:val="-12"/>
        </w:rPr>
        <w:t> </w:t>
      </w:r>
      <w:r>
        <w:rPr>
          <w:spacing w:val="-2"/>
        </w:rPr>
        <w:t>fiber-bronchoscopy</w:t>
      </w:r>
      <w:r>
        <w:rPr>
          <w:spacing w:val="-11"/>
        </w:rPr>
        <w:t> </w:t>
      </w:r>
      <w:r>
        <w:rPr>
          <w:spacing w:val="-2"/>
        </w:rPr>
        <w:t>examination</w:t>
      </w:r>
      <w:r>
        <w:rPr>
          <w:spacing w:val="-11"/>
        </w:rPr>
        <w:t> </w:t>
      </w:r>
      <w:r>
        <w:rPr>
          <w:spacing w:val="-2"/>
        </w:rPr>
        <w:t>after</w:t>
      </w:r>
      <w:r>
        <w:rPr>
          <w:spacing w:val="-11"/>
        </w:rPr>
        <w:t> </w:t>
      </w:r>
      <w:r>
        <w:rPr>
          <w:spacing w:val="-2"/>
        </w:rPr>
        <w:t>two</w:t>
      </w:r>
      <w:r>
        <w:rPr>
          <w:spacing w:val="-11"/>
        </w:rPr>
        <w:t> </w:t>
      </w:r>
      <w:r>
        <w:rPr>
          <w:spacing w:val="-2"/>
        </w:rPr>
        <w:t>weeks </w:t>
      </w:r>
      <w:r>
        <w:rPr/>
        <w:t>showed</w:t>
      </w:r>
      <w:r>
        <w:rPr>
          <w:spacing w:val="-5"/>
        </w:rPr>
        <w:t> </w:t>
      </w:r>
      <w:r>
        <w:rPr/>
        <w:t>no</w:t>
      </w:r>
      <w:r>
        <w:rPr>
          <w:spacing w:val="-6"/>
        </w:rPr>
        <w:t> </w:t>
      </w:r>
      <w:r>
        <w:rPr/>
        <w:t>complications.The</w:t>
      </w:r>
      <w:r>
        <w:rPr>
          <w:spacing w:val="-6"/>
        </w:rPr>
        <w:t> </w:t>
      </w:r>
      <w:r>
        <w:rPr/>
        <w:t>child</w:t>
      </w:r>
      <w:r>
        <w:rPr>
          <w:spacing w:val="-6"/>
        </w:rPr>
        <w:t> </w:t>
      </w:r>
      <w:r>
        <w:rPr/>
        <w:t>had</w:t>
      </w:r>
      <w:r>
        <w:rPr>
          <w:spacing w:val="-6"/>
        </w:rPr>
        <w:t> </w:t>
      </w:r>
      <w:r>
        <w:rPr/>
        <w:t>a</w:t>
      </w:r>
      <w:r>
        <w:rPr>
          <w:spacing w:val="-6"/>
        </w:rPr>
        <w:t> </w:t>
      </w:r>
      <w:r>
        <w:rPr/>
        <w:t>normal</w:t>
      </w:r>
      <w:r>
        <w:rPr>
          <w:spacing w:val="-6"/>
        </w:rPr>
        <w:t> </w:t>
      </w:r>
      <w:r>
        <w:rPr/>
        <w:t>voice after</w:t>
      </w:r>
      <w:r>
        <w:rPr>
          <w:spacing w:val="-10"/>
        </w:rPr>
        <w:t> </w:t>
      </w:r>
      <w:r>
        <w:rPr/>
        <w:t>6</w:t>
      </w:r>
      <w:r>
        <w:rPr>
          <w:spacing w:val="-8"/>
        </w:rPr>
        <w:t> </w:t>
      </w:r>
      <w:r>
        <w:rPr/>
        <w:t>weeks.</w:t>
      </w:r>
      <w:r>
        <w:rPr>
          <w:spacing w:val="-9"/>
        </w:rPr>
        <w:t> </w:t>
      </w:r>
      <w:r>
        <w:rPr/>
        <w:t>At</w:t>
      </w:r>
      <w:r>
        <w:rPr>
          <w:spacing w:val="-9"/>
        </w:rPr>
        <w:t> </w:t>
      </w:r>
      <w:r>
        <w:rPr/>
        <w:t>6</w:t>
      </w:r>
      <w:r>
        <w:rPr>
          <w:spacing w:val="-8"/>
        </w:rPr>
        <w:t> </w:t>
      </w:r>
      <w:r>
        <w:rPr/>
        <w:t>months</w:t>
      </w:r>
      <w:r>
        <w:rPr>
          <w:spacing w:val="-8"/>
        </w:rPr>
        <w:t> </w:t>
      </w:r>
      <w:r>
        <w:rPr/>
        <w:t>follow-up,</w:t>
      </w:r>
      <w:r>
        <w:rPr>
          <w:spacing w:val="-8"/>
        </w:rPr>
        <w:t> </w:t>
      </w:r>
      <w:r>
        <w:rPr/>
        <w:t>there</w:t>
      </w:r>
      <w:r>
        <w:rPr>
          <w:spacing w:val="-10"/>
        </w:rPr>
        <w:t> </w:t>
      </w:r>
      <w:r>
        <w:rPr/>
        <w:t>was</w:t>
      </w:r>
      <w:r>
        <w:rPr>
          <w:spacing w:val="-10"/>
        </w:rPr>
        <w:t> </w:t>
      </w:r>
      <w:r>
        <w:rPr/>
        <w:t>no</w:t>
      </w:r>
      <w:r>
        <w:rPr>
          <w:spacing w:val="-8"/>
        </w:rPr>
        <w:t> </w:t>
      </w:r>
      <w:r>
        <w:rPr/>
        <w:t>evi- dence or clinical signs of laryngeal hemangioma.The contol fiber-bronchoscopy and child`s follow-up were realized in the abroad (we got the informations from the parents).</w:t>
      </w:r>
    </w:p>
    <w:p>
      <w:pPr>
        <w:pStyle w:val="BodyText"/>
        <w:ind w:left="238" w:right="292"/>
        <w:jc w:val="both"/>
      </w:pPr>
      <w:r>
        <w:rPr/>
        <w:t>An informed consent was obtained from the parents. The</w:t>
      </w:r>
      <w:r>
        <w:rPr>
          <w:spacing w:val="37"/>
        </w:rPr>
        <w:t> </w:t>
      </w:r>
      <w:r>
        <w:rPr/>
        <w:t>study</w:t>
      </w:r>
      <w:r>
        <w:rPr>
          <w:spacing w:val="32"/>
        </w:rPr>
        <w:t> </w:t>
      </w:r>
      <w:r>
        <w:rPr/>
        <w:t>protocol</w:t>
      </w:r>
      <w:r>
        <w:rPr>
          <w:spacing w:val="36"/>
        </w:rPr>
        <w:t> </w:t>
      </w:r>
      <w:r>
        <w:rPr/>
        <w:t>was</w:t>
      </w:r>
      <w:r>
        <w:rPr>
          <w:spacing w:val="37"/>
        </w:rPr>
        <w:t> </w:t>
      </w:r>
      <w:r>
        <w:rPr/>
        <w:t>approved</w:t>
      </w:r>
      <w:r>
        <w:rPr>
          <w:spacing w:val="37"/>
        </w:rPr>
        <w:t> </w:t>
      </w:r>
      <w:r>
        <w:rPr/>
        <w:t>by</w:t>
      </w:r>
      <w:r>
        <w:rPr>
          <w:spacing w:val="32"/>
        </w:rPr>
        <w:t> </w:t>
      </w:r>
      <w:r>
        <w:rPr/>
        <w:t>the</w:t>
      </w:r>
      <w:r>
        <w:rPr>
          <w:spacing w:val="37"/>
        </w:rPr>
        <w:t> </w:t>
      </w:r>
      <w:r>
        <w:rPr/>
        <w:t>Ethics</w:t>
      </w:r>
      <w:r>
        <w:rPr>
          <w:spacing w:val="37"/>
        </w:rPr>
        <w:t> </w:t>
      </w:r>
      <w:r>
        <w:rPr>
          <w:spacing w:val="-5"/>
        </w:rPr>
        <w:t>Co-</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5"/>
        <w:rPr>
          <w:sz w:val="15"/>
        </w:rPr>
      </w:pPr>
    </w:p>
    <w:p>
      <w:pPr>
        <w:spacing w:after="0"/>
        <w:rPr>
          <w:sz w:val="15"/>
        </w:rPr>
        <w:sectPr>
          <w:pgSz w:w="11910" w:h="16840"/>
          <w:pgMar w:header="854" w:footer="0" w:top="1280" w:bottom="280" w:left="900" w:right="840"/>
        </w:sectPr>
      </w:pPr>
    </w:p>
    <w:p>
      <w:pPr>
        <w:pStyle w:val="BodyText"/>
        <w:spacing w:before="92"/>
        <w:ind w:left="238"/>
      </w:pPr>
      <w:r>
        <w:rPr/>
        <w:t>mmittee of</w:t>
      </w:r>
      <w:r>
        <w:rPr>
          <w:spacing w:val="40"/>
        </w:rPr>
        <w:t> </w:t>
      </w:r>
      <w:r>
        <w:rPr/>
        <w:t>the University</w:t>
      </w:r>
      <w:r>
        <w:rPr>
          <w:spacing w:val="-1"/>
        </w:rPr>
        <w:t> </w:t>
      </w:r>
      <w:r>
        <w:rPr/>
        <w:t>Children`s Hospital and the University Clinic of</w:t>
      </w:r>
      <w:r>
        <w:rPr>
          <w:spacing w:val="40"/>
        </w:rPr>
        <w:t> </w:t>
      </w:r>
      <w:r>
        <w:rPr/>
        <w:t>Otorhinolaryngology.</w:t>
      </w:r>
    </w:p>
    <w:p>
      <w:pPr>
        <w:pStyle w:val="Heading4"/>
        <w:spacing w:before="4"/>
      </w:pPr>
      <w:r>
        <w:rPr>
          <w:spacing w:val="-2"/>
        </w:rPr>
        <w:t>Discussion</w:t>
      </w:r>
    </w:p>
    <w:p>
      <w:pPr>
        <w:pStyle w:val="BodyText"/>
        <w:spacing w:before="9"/>
        <w:rPr>
          <w:b/>
          <w:sz w:val="20"/>
        </w:rPr>
      </w:pPr>
    </w:p>
    <w:p>
      <w:pPr>
        <w:pStyle w:val="BodyText"/>
        <w:ind w:left="238" w:right="42"/>
        <w:jc w:val="both"/>
      </w:pPr>
      <w:r>
        <w:rPr/>
        <w:t>Laryngeal hemangiomas are a very rare condition and have been reported in different locations (vocal cham- ber, arytenoid cartilage and aryepiglottic fold), and ra- rely</w:t>
      </w:r>
      <w:r>
        <w:rPr>
          <w:spacing w:val="-5"/>
        </w:rPr>
        <w:t> </w:t>
      </w:r>
      <w:r>
        <w:rPr/>
        <w:t>occur</w:t>
      </w:r>
      <w:r>
        <w:rPr>
          <w:spacing w:val="-9"/>
        </w:rPr>
        <w:t> </w:t>
      </w:r>
      <w:r>
        <w:rPr/>
        <w:t>in</w:t>
      </w:r>
      <w:r>
        <w:rPr>
          <w:spacing w:val="-7"/>
        </w:rPr>
        <w:t> </w:t>
      </w:r>
      <w:r>
        <w:rPr/>
        <w:t>the</w:t>
      </w:r>
      <w:r>
        <w:rPr>
          <w:spacing w:val="-7"/>
        </w:rPr>
        <w:t> </w:t>
      </w:r>
      <w:r>
        <w:rPr/>
        <w:t>larynx.</w:t>
      </w:r>
      <w:r>
        <w:rPr>
          <w:spacing w:val="-7"/>
        </w:rPr>
        <w:t> </w:t>
      </w:r>
      <w:r>
        <w:rPr/>
        <w:t>Symptoms</w:t>
      </w:r>
      <w:r>
        <w:rPr>
          <w:spacing w:val="-7"/>
        </w:rPr>
        <w:t> </w:t>
      </w:r>
      <w:r>
        <w:rPr/>
        <w:t>include</w:t>
      </w:r>
      <w:r>
        <w:rPr>
          <w:spacing w:val="-9"/>
        </w:rPr>
        <w:t> </w:t>
      </w:r>
      <w:r>
        <w:rPr/>
        <w:t>hoarseness, dyspnea, dysphagia or a pharyngeal foreign body sen- sation. Without proper diagnosis and treatment, a high mortality rate must be expected [9,10].</w:t>
      </w:r>
    </w:p>
    <w:p>
      <w:pPr>
        <w:pStyle w:val="BodyText"/>
        <w:ind w:left="238" w:right="41"/>
        <w:jc w:val="both"/>
      </w:pPr>
      <w:r>
        <w:rPr/>
        <w:t>In</w:t>
      </w:r>
      <w:r>
        <w:rPr>
          <w:spacing w:val="-8"/>
        </w:rPr>
        <w:t> </w:t>
      </w:r>
      <w:r>
        <w:rPr/>
        <w:t>the</w:t>
      </w:r>
      <w:r>
        <w:rPr>
          <w:spacing w:val="-8"/>
        </w:rPr>
        <w:t> </w:t>
      </w:r>
      <w:r>
        <w:rPr/>
        <w:t>present</w:t>
      </w:r>
      <w:r>
        <w:rPr>
          <w:spacing w:val="-8"/>
        </w:rPr>
        <w:t> </w:t>
      </w:r>
      <w:r>
        <w:rPr/>
        <w:t>study</w:t>
      </w:r>
      <w:r>
        <w:rPr>
          <w:spacing w:val="-10"/>
        </w:rPr>
        <w:t> </w:t>
      </w:r>
      <w:r>
        <w:rPr/>
        <w:t>we</w:t>
      </w:r>
      <w:r>
        <w:rPr>
          <w:spacing w:val="-8"/>
        </w:rPr>
        <w:t> </w:t>
      </w:r>
      <w:r>
        <w:rPr/>
        <w:t>diagnosed</w:t>
      </w:r>
      <w:r>
        <w:rPr>
          <w:spacing w:val="-8"/>
        </w:rPr>
        <w:t> </w:t>
      </w:r>
      <w:r>
        <w:rPr/>
        <w:t>an</w:t>
      </w:r>
      <w:r>
        <w:rPr>
          <w:spacing w:val="-8"/>
        </w:rPr>
        <w:t> </w:t>
      </w:r>
      <w:r>
        <w:rPr/>
        <w:t>unexpected</w:t>
      </w:r>
      <w:r>
        <w:rPr>
          <w:spacing w:val="-8"/>
        </w:rPr>
        <w:t> </w:t>
      </w:r>
      <w:r>
        <w:rPr/>
        <w:t>lesion of</w:t>
      </w:r>
      <w:r>
        <w:rPr>
          <w:spacing w:val="-12"/>
        </w:rPr>
        <w:t> </w:t>
      </w:r>
      <w:r>
        <w:rPr/>
        <w:t>large</w:t>
      </w:r>
      <w:r>
        <w:rPr>
          <w:spacing w:val="-10"/>
        </w:rPr>
        <w:t> </w:t>
      </w:r>
      <w:r>
        <w:rPr/>
        <w:t>vascular</w:t>
      </w:r>
      <w:r>
        <w:rPr>
          <w:spacing w:val="-10"/>
        </w:rPr>
        <w:t> </w:t>
      </w:r>
      <w:r>
        <w:rPr/>
        <w:t>tumor-hemangioma,</w:t>
      </w:r>
      <w:r>
        <w:rPr>
          <w:spacing w:val="-11"/>
        </w:rPr>
        <w:t> </w:t>
      </w:r>
      <w:r>
        <w:rPr/>
        <w:t>which</w:t>
      </w:r>
      <w:r>
        <w:rPr>
          <w:spacing w:val="-10"/>
        </w:rPr>
        <w:t> </w:t>
      </w:r>
      <w:r>
        <w:rPr/>
        <w:t>obstructed the lumen of the border between the larynx and the trachea. The child was 10 years old, with reported his- tory of treated asthma. On admission his general con- dition was severe; he was immediately intubated, and after few hours the general condition was improved. The fpllowing day he was extubated and after few se- conds the condition deteriorated; he was reintubated and transferred for fiber-bronchoscopy examination (unexpected large lesion, laryngeal hemangioma), and was immediately extirpated.</w:t>
      </w:r>
    </w:p>
    <w:p>
      <w:pPr>
        <w:pStyle w:val="BodyText"/>
        <w:ind w:left="238" w:right="38"/>
        <w:jc w:val="both"/>
      </w:pPr>
      <w:r>
        <w:rPr>
          <w:spacing w:val="-4"/>
        </w:rPr>
        <w:t>In</w:t>
      </w:r>
      <w:r>
        <w:rPr>
          <w:spacing w:val="-6"/>
        </w:rPr>
        <w:t> </w:t>
      </w:r>
      <w:r>
        <w:rPr>
          <w:spacing w:val="-4"/>
        </w:rPr>
        <w:t>this</w:t>
      </w:r>
      <w:r>
        <w:rPr>
          <w:spacing w:val="-7"/>
        </w:rPr>
        <w:t> </w:t>
      </w:r>
      <w:r>
        <w:rPr>
          <w:spacing w:val="-4"/>
        </w:rPr>
        <w:t>case,</w:t>
      </w:r>
      <w:r>
        <w:rPr>
          <w:spacing w:val="-6"/>
        </w:rPr>
        <w:t> </w:t>
      </w:r>
      <w:r>
        <w:rPr>
          <w:spacing w:val="-4"/>
        </w:rPr>
        <w:t>probably</w:t>
      </w:r>
      <w:r>
        <w:rPr>
          <w:spacing w:val="-9"/>
        </w:rPr>
        <w:t> </w:t>
      </w:r>
      <w:r>
        <w:rPr>
          <w:spacing w:val="-4"/>
        </w:rPr>
        <w:t>the</w:t>
      </w:r>
      <w:r>
        <w:rPr>
          <w:spacing w:val="-7"/>
        </w:rPr>
        <w:t> </w:t>
      </w:r>
      <w:r>
        <w:rPr>
          <w:spacing w:val="-4"/>
        </w:rPr>
        <w:t>general</w:t>
      </w:r>
      <w:r>
        <w:rPr>
          <w:spacing w:val="-7"/>
        </w:rPr>
        <w:t> </w:t>
      </w:r>
      <w:r>
        <w:rPr>
          <w:spacing w:val="-4"/>
        </w:rPr>
        <w:t>practitioner</w:t>
      </w:r>
      <w:r>
        <w:rPr>
          <w:spacing w:val="-7"/>
        </w:rPr>
        <w:t> </w:t>
      </w:r>
      <w:r>
        <w:rPr>
          <w:spacing w:val="-4"/>
        </w:rPr>
        <w:t>did</w:t>
      </w:r>
      <w:r>
        <w:rPr>
          <w:spacing w:val="-6"/>
        </w:rPr>
        <w:t> </w:t>
      </w:r>
      <w:r>
        <w:rPr>
          <w:spacing w:val="-4"/>
        </w:rPr>
        <w:t>not</w:t>
      </w:r>
      <w:r>
        <w:rPr>
          <w:spacing w:val="-7"/>
        </w:rPr>
        <w:t> </w:t>
      </w:r>
      <w:r>
        <w:rPr>
          <w:spacing w:val="-4"/>
        </w:rPr>
        <w:t>con- </w:t>
      </w:r>
      <w:r>
        <w:rPr/>
        <w:t>duct the appropriate investigations that should have to be</w:t>
      </w:r>
      <w:r>
        <w:rPr>
          <w:spacing w:val="-14"/>
        </w:rPr>
        <w:t> </w:t>
      </w:r>
      <w:r>
        <w:rPr/>
        <w:t>realized</w:t>
      </w:r>
      <w:r>
        <w:rPr>
          <w:spacing w:val="-13"/>
        </w:rPr>
        <w:t> </w:t>
      </w:r>
      <w:r>
        <w:rPr/>
        <w:t>earlier</w:t>
      </w:r>
      <w:r>
        <w:rPr>
          <w:spacing w:val="-11"/>
        </w:rPr>
        <w:t> </w:t>
      </w:r>
      <w:r>
        <w:rPr/>
        <w:t>when</w:t>
      </w:r>
      <w:r>
        <w:rPr>
          <w:spacing w:val="-11"/>
        </w:rPr>
        <w:t> </w:t>
      </w:r>
      <w:r>
        <w:rPr/>
        <w:t>the</w:t>
      </w:r>
      <w:r>
        <w:rPr>
          <w:spacing w:val="-12"/>
        </w:rPr>
        <w:t> </w:t>
      </w:r>
      <w:r>
        <w:rPr/>
        <w:t>first</w:t>
      </w:r>
      <w:r>
        <w:rPr>
          <w:spacing w:val="-12"/>
        </w:rPr>
        <w:t> </w:t>
      </w:r>
      <w:r>
        <w:rPr/>
        <w:t>symptoms</w:t>
      </w:r>
      <w:r>
        <w:rPr>
          <w:spacing w:val="-12"/>
        </w:rPr>
        <w:t> </w:t>
      </w:r>
      <w:r>
        <w:rPr/>
        <w:t>manifested.</w:t>
      </w:r>
    </w:p>
    <w:p>
      <w:pPr>
        <w:pStyle w:val="BodyText"/>
        <w:ind w:left="238" w:right="40"/>
        <w:jc w:val="both"/>
      </w:pPr>
      <w:r>
        <w:rPr>
          <w:spacing w:val="-2"/>
        </w:rPr>
        <w:t>Sometimes</w:t>
      </w:r>
      <w:r>
        <w:rPr>
          <w:spacing w:val="-12"/>
        </w:rPr>
        <w:t> </w:t>
      </w:r>
      <w:r>
        <w:rPr>
          <w:spacing w:val="-2"/>
        </w:rPr>
        <w:t>fiber-bronchoscopy</w:t>
      </w:r>
      <w:r>
        <w:rPr>
          <w:spacing w:val="-11"/>
        </w:rPr>
        <w:t> </w:t>
      </w:r>
      <w:r>
        <w:rPr>
          <w:spacing w:val="-2"/>
        </w:rPr>
        <w:t>examination</w:t>
      </w:r>
      <w:r>
        <w:rPr>
          <w:spacing w:val="-11"/>
        </w:rPr>
        <w:t> </w:t>
      </w:r>
      <w:r>
        <w:rPr>
          <w:spacing w:val="-2"/>
        </w:rPr>
        <w:t>cannot</w:t>
      </w:r>
      <w:r>
        <w:rPr>
          <w:spacing w:val="-11"/>
        </w:rPr>
        <w:t> </w:t>
      </w:r>
      <w:r>
        <w:rPr>
          <w:spacing w:val="-2"/>
        </w:rPr>
        <w:t>con- </w:t>
      </w:r>
      <w:r>
        <w:rPr/>
        <w:t>firm a diagnosis at first, but the diagnosis should be kept in mind in the first year of life. Sometimes the correct diagnosis might be missed if laryngoscopy is performed when the child is on steroid therapy or is intubated. To confirm a definitive diagnosis of laryn- geal hemangioma an imaging technique, such as ultra- sound, CT, or MRI is required [11].</w:t>
      </w:r>
    </w:p>
    <w:p>
      <w:pPr>
        <w:pStyle w:val="BodyText"/>
        <w:ind w:left="238" w:right="42"/>
        <w:jc w:val="both"/>
      </w:pPr>
      <w:r>
        <w:rPr/>
        <w:t>What should we do if we establish a diagnosis of la- ryngeal hemangioma?</w:t>
      </w:r>
    </w:p>
    <w:p>
      <w:pPr>
        <w:pStyle w:val="BodyText"/>
        <w:ind w:left="238"/>
      </w:pPr>
      <w:r>
        <w:rPr/>
        <w:t>Therapy</w:t>
      </w:r>
      <w:r>
        <w:rPr>
          <w:spacing w:val="27"/>
        </w:rPr>
        <w:t> </w:t>
      </w:r>
      <w:r>
        <w:rPr/>
        <w:t>has</w:t>
      </w:r>
      <w:r>
        <w:rPr>
          <w:spacing w:val="30"/>
        </w:rPr>
        <w:t> </w:t>
      </w:r>
      <w:r>
        <w:rPr/>
        <w:t>been</w:t>
      </w:r>
      <w:r>
        <w:rPr>
          <w:spacing w:val="31"/>
        </w:rPr>
        <w:t> </w:t>
      </w:r>
      <w:r>
        <w:rPr/>
        <w:t>modified</w:t>
      </w:r>
      <w:r>
        <w:rPr>
          <w:spacing w:val="31"/>
        </w:rPr>
        <w:t> </w:t>
      </w:r>
      <w:r>
        <w:rPr/>
        <w:t>during</w:t>
      </w:r>
      <w:r>
        <w:rPr>
          <w:spacing w:val="31"/>
        </w:rPr>
        <w:t> </w:t>
      </w:r>
      <w:r>
        <w:rPr/>
        <w:t>the</w:t>
      </w:r>
      <w:r>
        <w:rPr>
          <w:spacing w:val="31"/>
        </w:rPr>
        <w:t> </w:t>
      </w:r>
      <w:r>
        <w:rPr/>
        <w:t>years.</w:t>
      </w:r>
      <w:r>
        <w:rPr>
          <w:spacing w:val="32"/>
        </w:rPr>
        <w:t> </w:t>
      </w:r>
      <w:r>
        <w:rPr/>
        <w:t>Accor- </w:t>
      </w:r>
      <w:r>
        <w:rPr>
          <w:spacing w:val="-4"/>
        </w:rPr>
        <w:t>ding</w:t>
      </w:r>
      <w:r>
        <w:rPr/>
        <w:t> </w:t>
      </w:r>
      <w:r>
        <w:rPr>
          <w:spacing w:val="-4"/>
        </w:rPr>
        <w:t>to</w:t>
      </w:r>
      <w:r>
        <w:rPr>
          <w:spacing w:val="-5"/>
        </w:rPr>
        <w:t> </w:t>
      </w:r>
      <w:r>
        <w:rPr>
          <w:spacing w:val="-4"/>
        </w:rPr>
        <w:t>the</w:t>
      </w:r>
      <w:r>
        <w:rPr>
          <w:spacing w:val="-6"/>
        </w:rPr>
        <w:t> </w:t>
      </w:r>
      <w:r>
        <w:rPr>
          <w:spacing w:val="-4"/>
        </w:rPr>
        <w:t>current pediatric</w:t>
      </w:r>
      <w:r>
        <w:rPr>
          <w:spacing w:val="-6"/>
        </w:rPr>
        <w:t> </w:t>
      </w:r>
      <w:r>
        <w:rPr>
          <w:spacing w:val="-4"/>
        </w:rPr>
        <w:t>recommendations,</w:t>
      </w:r>
      <w:r>
        <w:rPr>
          <w:spacing w:val="-5"/>
        </w:rPr>
        <w:t> </w:t>
      </w:r>
      <w:r>
        <w:rPr>
          <w:spacing w:val="-4"/>
        </w:rPr>
        <w:t>the</w:t>
      </w:r>
      <w:r>
        <w:rPr>
          <w:spacing w:val="-6"/>
        </w:rPr>
        <w:t> </w:t>
      </w:r>
      <w:r>
        <w:rPr>
          <w:spacing w:val="-4"/>
        </w:rPr>
        <w:t>larynx </w:t>
      </w:r>
      <w:r>
        <w:rPr/>
        <w:t>hemangioma treatment of choice is propranolol [12]. </w:t>
      </w:r>
      <w:r>
        <w:rPr>
          <w:spacing w:val="-2"/>
        </w:rPr>
        <w:t>For small laryngeal hemangiomas, observation and oral application</w:t>
      </w:r>
      <w:r>
        <w:rPr>
          <w:spacing w:val="-4"/>
        </w:rPr>
        <w:t> </w:t>
      </w:r>
      <w:r>
        <w:rPr>
          <w:spacing w:val="-2"/>
        </w:rPr>
        <w:t>of</w:t>
      </w:r>
      <w:r>
        <w:rPr>
          <w:spacing w:val="-4"/>
        </w:rPr>
        <w:t> </w:t>
      </w:r>
      <w:r>
        <w:rPr>
          <w:spacing w:val="-2"/>
        </w:rPr>
        <w:t>systemic</w:t>
      </w:r>
      <w:r>
        <w:rPr>
          <w:spacing w:val="-4"/>
        </w:rPr>
        <w:t> </w:t>
      </w:r>
      <w:r>
        <w:rPr>
          <w:spacing w:val="-2"/>
        </w:rPr>
        <w:t>β-adrenergic</w:t>
      </w:r>
      <w:r>
        <w:rPr>
          <w:spacing w:val="-4"/>
        </w:rPr>
        <w:t> </w:t>
      </w:r>
      <w:r>
        <w:rPr>
          <w:spacing w:val="-2"/>
        </w:rPr>
        <w:t>blockade</w:t>
      </w:r>
      <w:r>
        <w:rPr>
          <w:spacing w:val="-3"/>
        </w:rPr>
        <w:t> </w:t>
      </w:r>
      <w:r>
        <w:rPr>
          <w:spacing w:val="-2"/>
        </w:rPr>
        <w:t>is</w:t>
      </w:r>
      <w:r>
        <w:rPr>
          <w:spacing w:val="-4"/>
        </w:rPr>
        <w:t> </w:t>
      </w:r>
      <w:r>
        <w:rPr>
          <w:spacing w:val="-2"/>
        </w:rPr>
        <w:t>usually </w:t>
      </w:r>
      <w:r>
        <w:rPr/>
        <w:t>sufficient.</w:t>
      </w:r>
      <w:r>
        <w:rPr>
          <w:spacing w:val="28"/>
        </w:rPr>
        <w:t> </w:t>
      </w:r>
      <w:r>
        <w:rPr/>
        <w:t>The</w:t>
      </w:r>
      <w:r>
        <w:rPr>
          <w:spacing w:val="28"/>
        </w:rPr>
        <w:t> </w:t>
      </w:r>
      <w:r>
        <w:rPr/>
        <w:t>first-line</w:t>
      </w:r>
      <w:r>
        <w:rPr>
          <w:spacing w:val="27"/>
        </w:rPr>
        <w:t> </w:t>
      </w:r>
      <w:r>
        <w:rPr/>
        <w:t>therapy</w:t>
      </w:r>
      <w:r>
        <w:rPr>
          <w:spacing w:val="26"/>
        </w:rPr>
        <w:t> </w:t>
      </w:r>
      <w:r>
        <w:rPr/>
        <w:t>includes</w:t>
      </w:r>
      <w:r>
        <w:rPr>
          <w:spacing w:val="27"/>
        </w:rPr>
        <w:t> </w:t>
      </w:r>
      <w:r>
        <w:rPr/>
        <w:t>propranolol which</w:t>
      </w:r>
      <w:r>
        <w:rPr>
          <w:spacing w:val="40"/>
        </w:rPr>
        <w:t> </w:t>
      </w:r>
      <w:r>
        <w:rPr/>
        <w:t>is</w:t>
      </w:r>
      <w:r>
        <w:rPr>
          <w:spacing w:val="40"/>
        </w:rPr>
        <w:t> </w:t>
      </w:r>
      <w:r>
        <w:rPr/>
        <w:t>novel</w:t>
      </w:r>
      <w:r>
        <w:rPr>
          <w:spacing w:val="40"/>
        </w:rPr>
        <w:t> </w:t>
      </w:r>
      <w:r>
        <w:rPr/>
        <w:t>in</w:t>
      </w:r>
      <w:r>
        <w:rPr>
          <w:spacing w:val="40"/>
        </w:rPr>
        <w:t> </w:t>
      </w:r>
      <w:r>
        <w:rPr/>
        <w:t>the</w:t>
      </w:r>
      <w:r>
        <w:rPr>
          <w:spacing w:val="40"/>
        </w:rPr>
        <w:t> </w:t>
      </w:r>
      <w:r>
        <w:rPr/>
        <w:t>pediatric</w:t>
      </w:r>
      <w:r>
        <w:rPr>
          <w:spacing w:val="40"/>
        </w:rPr>
        <w:t> </w:t>
      </w:r>
      <w:r>
        <w:rPr/>
        <w:t>population.Within</w:t>
      </w:r>
      <w:r>
        <w:rPr>
          <w:spacing w:val="40"/>
        </w:rPr>
        <w:t> </w:t>
      </w:r>
      <w:r>
        <w:rPr/>
        <w:t>6 weeks complete elimination of laryngeal hemangioma was confirmed (endoscopically visible disease) [13].</w:t>
      </w:r>
    </w:p>
    <w:p>
      <w:pPr>
        <w:pStyle w:val="BodyText"/>
        <w:spacing w:before="1"/>
        <w:ind w:left="238" w:right="40"/>
        <w:jc w:val="both"/>
      </w:pPr>
      <w:r>
        <w:rPr/>
        <w:t>Larger</w:t>
      </w:r>
      <w:r>
        <w:rPr>
          <w:spacing w:val="-9"/>
        </w:rPr>
        <w:t> </w:t>
      </w:r>
      <w:r>
        <w:rPr/>
        <w:t>hemangiomas</w:t>
      </w:r>
      <w:r>
        <w:rPr>
          <w:spacing w:val="-9"/>
        </w:rPr>
        <w:t> </w:t>
      </w:r>
      <w:r>
        <w:rPr/>
        <w:t>require</w:t>
      </w:r>
      <w:r>
        <w:rPr>
          <w:spacing w:val="-9"/>
        </w:rPr>
        <w:t> </w:t>
      </w:r>
      <w:r>
        <w:rPr/>
        <w:t>treatment,</w:t>
      </w:r>
      <w:r>
        <w:rPr>
          <w:spacing w:val="-11"/>
        </w:rPr>
        <w:t> </w:t>
      </w:r>
      <w:r>
        <w:rPr/>
        <w:t>and</w:t>
      </w:r>
      <w:r>
        <w:rPr>
          <w:spacing w:val="-9"/>
        </w:rPr>
        <w:t> </w:t>
      </w:r>
      <w:r>
        <w:rPr/>
        <w:t>this</w:t>
      </w:r>
      <w:r>
        <w:rPr>
          <w:spacing w:val="-9"/>
        </w:rPr>
        <w:t> </w:t>
      </w:r>
      <w:r>
        <w:rPr/>
        <w:t>can</w:t>
      </w:r>
      <w:r>
        <w:rPr>
          <w:spacing w:val="-9"/>
        </w:rPr>
        <w:t> </w:t>
      </w:r>
      <w:r>
        <w:rPr/>
        <w:t>in- </w:t>
      </w:r>
      <w:r>
        <w:rPr>
          <w:spacing w:val="-6"/>
        </w:rPr>
        <w:t>clude</w:t>
      </w:r>
      <w:r>
        <w:rPr/>
        <w:t> </w:t>
      </w:r>
      <w:r>
        <w:rPr>
          <w:spacing w:val="-6"/>
        </w:rPr>
        <w:t>surgical resection, corticosteroid injections, steroids, </w:t>
      </w:r>
      <w:r>
        <w:rPr>
          <w:spacing w:val="-2"/>
        </w:rPr>
        <w:t>ethanol</w:t>
      </w:r>
      <w:r>
        <w:rPr>
          <w:spacing w:val="-12"/>
        </w:rPr>
        <w:t> </w:t>
      </w:r>
      <w:r>
        <w:rPr>
          <w:spacing w:val="-2"/>
        </w:rPr>
        <w:t>injections,</w:t>
      </w:r>
      <w:r>
        <w:rPr>
          <w:spacing w:val="-11"/>
        </w:rPr>
        <w:t> </w:t>
      </w:r>
      <w:r>
        <w:rPr>
          <w:spacing w:val="-2"/>
        </w:rPr>
        <w:t>cryosurgery,</w:t>
      </w:r>
      <w:r>
        <w:rPr>
          <w:spacing w:val="-11"/>
        </w:rPr>
        <w:t> </w:t>
      </w:r>
      <w:r>
        <w:rPr>
          <w:spacing w:val="-2"/>
        </w:rPr>
        <w:t>radium</w:t>
      </w:r>
      <w:r>
        <w:rPr>
          <w:spacing w:val="-11"/>
        </w:rPr>
        <w:t> </w:t>
      </w:r>
      <w:r>
        <w:rPr>
          <w:spacing w:val="-2"/>
        </w:rPr>
        <w:t>or</w:t>
      </w:r>
      <w:r>
        <w:rPr>
          <w:spacing w:val="-11"/>
        </w:rPr>
        <w:t> </w:t>
      </w:r>
      <w:r>
        <w:rPr>
          <w:spacing w:val="-2"/>
        </w:rPr>
        <w:t>gold</w:t>
      </w:r>
      <w:r>
        <w:rPr>
          <w:spacing w:val="-11"/>
        </w:rPr>
        <w:t> </w:t>
      </w:r>
      <w:r>
        <w:rPr>
          <w:spacing w:val="-2"/>
        </w:rPr>
        <w:t>implants, </w:t>
      </w:r>
      <w:r>
        <w:rPr/>
        <w:t>interferon treatment, laser surgery and surgical exit- rpation [10,14].</w:t>
      </w:r>
    </w:p>
    <w:p>
      <w:pPr>
        <w:pStyle w:val="BodyText"/>
        <w:ind w:left="238" w:right="42"/>
        <w:jc w:val="both"/>
      </w:pPr>
      <w:r>
        <w:rPr/>
        <w:t>Laryngeal</w:t>
      </w:r>
      <w:r>
        <w:rPr>
          <w:spacing w:val="-9"/>
        </w:rPr>
        <w:t> </w:t>
      </w:r>
      <w:r>
        <w:rPr/>
        <w:t>hemangiomas</w:t>
      </w:r>
      <w:r>
        <w:rPr>
          <w:spacing w:val="-8"/>
        </w:rPr>
        <w:t> </w:t>
      </w:r>
      <w:r>
        <w:rPr/>
        <w:t>often</w:t>
      </w:r>
      <w:r>
        <w:rPr>
          <w:spacing w:val="-7"/>
        </w:rPr>
        <w:t> </w:t>
      </w:r>
      <w:r>
        <w:rPr/>
        <w:t>require</w:t>
      </w:r>
      <w:r>
        <w:rPr>
          <w:spacing w:val="-7"/>
        </w:rPr>
        <w:t> </w:t>
      </w:r>
      <w:r>
        <w:rPr/>
        <w:t>urgent</w:t>
      </w:r>
      <w:r>
        <w:rPr>
          <w:spacing w:val="-8"/>
        </w:rPr>
        <w:t> </w:t>
      </w:r>
      <w:r>
        <w:rPr/>
        <w:t>treatment for</w:t>
      </w:r>
      <w:r>
        <w:rPr>
          <w:spacing w:val="-9"/>
        </w:rPr>
        <w:t> </w:t>
      </w:r>
      <w:r>
        <w:rPr/>
        <w:t>life-threatening</w:t>
      </w:r>
      <w:r>
        <w:rPr>
          <w:spacing w:val="-7"/>
        </w:rPr>
        <w:t> </w:t>
      </w:r>
      <w:r>
        <w:rPr/>
        <w:t>airway</w:t>
      </w:r>
      <w:r>
        <w:rPr>
          <w:spacing w:val="-10"/>
        </w:rPr>
        <w:t> </w:t>
      </w:r>
      <w:r>
        <w:rPr/>
        <w:t>compromise.</w:t>
      </w:r>
      <w:r>
        <w:rPr>
          <w:spacing w:val="-7"/>
        </w:rPr>
        <w:t> </w:t>
      </w:r>
      <w:r>
        <w:rPr/>
        <w:t>Multiple</w:t>
      </w:r>
      <w:r>
        <w:rPr>
          <w:spacing w:val="-7"/>
        </w:rPr>
        <w:t> </w:t>
      </w:r>
      <w:r>
        <w:rPr>
          <w:spacing w:val="-2"/>
        </w:rPr>
        <w:t>treat-</w:t>
      </w:r>
    </w:p>
    <w:p>
      <w:pPr>
        <w:pStyle w:val="BodyText"/>
        <w:spacing w:before="92"/>
        <w:ind w:left="238" w:right="292"/>
        <w:jc w:val="both"/>
      </w:pPr>
      <w:r>
        <w:rPr/>
        <w:br w:type="column"/>
      </w:r>
      <w:r>
        <w:rPr/>
        <w:t>ment modalities have been proposed in the manage- ment of airway hemangiomas. Until nowadays, debate still</w:t>
      </w:r>
      <w:r>
        <w:rPr>
          <w:spacing w:val="-10"/>
        </w:rPr>
        <w:t> </w:t>
      </w:r>
      <w:r>
        <w:rPr/>
        <w:t>exists</w:t>
      </w:r>
      <w:r>
        <w:rPr>
          <w:spacing w:val="-9"/>
        </w:rPr>
        <w:t> </w:t>
      </w:r>
      <w:r>
        <w:rPr/>
        <w:t>on</w:t>
      </w:r>
      <w:r>
        <w:rPr>
          <w:spacing w:val="-8"/>
        </w:rPr>
        <w:t> </w:t>
      </w:r>
      <w:r>
        <w:rPr/>
        <w:t>the</w:t>
      </w:r>
      <w:r>
        <w:rPr>
          <w:spacing w:val="-9"/>
        </w:rPr>
        <w:t> </w:t>
      </w:r>
      <w:r>
        <w:rPr/>
        <w:t>best</w:t>
      </w:r>
      <w:r>
        <w:rPr>
          <w:spacing w:val="-10"/>
        </w:rPr>
        <w:t> </w:t>
      </w:r>
      <w:r>
        <w:rPr/>
        <w:t>approach.</w:t>
      </w:r>
      <w:r>
        <w:rPr>
          <w:spacing w:val="-9"/>
        </w:rPr>
        <w:t> </w:t>
      </w:r>
      <w:r>
        <w:rPr/>
        <w:t>Successful</w:t>
      </w:r>
      <w:r>
        <w:rPr>
          <w:spacing w:val="-8"/>
        </w:rPr>
        <w:t> </w:t>
      </w:r>
      <w:r>
        <w:rPr/>
        <w:t>therapy</w:t>
      </w:r>
      <w:r>
        <w:rPr>
          <w:spacing w:val="-9"/>
        </w:rPr>
        <w:t> </w:t>
      </w:r>
      <w:r>
        <w:rPr/>
        <w:t>and treatment include intralesional steroids, laser interven- tion endoscopic laser excision and life-saving surgical </w:t>
      </w:r>
      <w:r>
        <w:rPr>
          <w:spacing w:val="-2"/>
        </w:rPr>
        <w:t>resection.</w:t>
      </w:r>
    </w:p>
    <w:p>
      <w:pPr>
        <w:pStyle w:val="BodyText"/>
        <w:spacing w:before="1"/>
      </w:pPr>
    </w:p>
    <w:p>
      <w:pPr>
        <w:spacing w:before="0"/>
        <w:ind w:left="238" w:right="0" w:firstLine="0"/>
        <w:jc w:val="both"/>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3"/>
      </w:pPr>
    </w:p>
    <w:p>
      <w:pPr>
        <w:pStyle w:val="Heading4"/>
        <w:spacing w:before="1"/>
      </w:pPr>
      <w:r>
        <w:rPr>
          <w:spacing w:val="-2"/>
        </w:rPr>
        <w:t>Reference</w:t>
      </w:r>
    </w:p>
    <w:p>
      <w:pPr>
        <w:pStyle w:val="BodyText"/>
        <w:spacing w:before="9"/>
        <w:rPr>
          <w:b/>
          <w:sz w:val="20"/>
        </w:rPr>
      </w:pPr>
    </w:p>
    <w:p>
      <w:pPr>
        <w:pStyle w:val="ListParagraph"/>
        <w:numPr>
          <w:ilvl w:val="0"/>
          <w:numId w:val="14"/>
        </w:numPr>
        <w:tabs>
          <w:tab w:pos="627" w:val="left" w:leader="none"/>
        </w:tabs>
        <w:spacing w:line="240" w:lineRule="auto" w:before="1" w:after="0"/>
        <w:ind w:left="626" w:right="292" w:hanging="389"/>
        <w:jc w:val="both"/>
        <w:rPr>
          <w:sz w:val="18"/>
        </w:rPr>
      </w:pPr>
      <w:r>
        <w:rPr>
          <w:sz w:val="18"/>
        </w:rPr>
        <w:t>Zheng</w:t>
      </w:r>
      <w:r>
        <w:rPr>
          <w:spacing w:val="-12"/>
          <w:sz w:val="18"/>
        </w:rPr>
        <w:t> </w:t>
      </w:r>
      <w:r>
        <w:rPr>
          <w:sz w:val="18"/>
        </w:rPr>
        <w:t>JW,</w:t>
      </w:r>
      <w:r>
        <w:rPr>
          <w:spacing w:val="-10"/>
          <w:sz w:val="18"/>
        </w:rPr>
        <w:t> </w:t>
      </w:r>
      <w:r>
        <w:rPr>
          <w:sz w:val="18"/>
        </w:rPr>
        <w:t>Zhou</w:t>
      </w:r>
      <w:r>
        <w:rPr>
          <w:spacing w:val="-11"/>
          <w:sz w:val="18"/>
        </w:rPr>
        <w:t> </w:t>
      </w:r>
      <w:r>
        <w:rPr>
          <w:sz w:val="18"/>
        </w:rPr>
        <w:t>Q,</w:t>
      </w:r>
      <w:r>
        <w:rPr>
          <w:spacing w:val="-11"/>
          <w:sz w:val="18"/>
        </w:rPr>
        <w:t> </w:t>
      </w:r>
      <w:r>
        <w:rPr>
          <w:sz w:val="18"/>
        </w:rPr>
        <w:t>Yang</w:t>
      </w:r>
      <w:r>
        <w:rPr>
          <w:spacing w:val="-12"/>
          <w:sz w:val="18"/>
        </w:rPr>
        <w:t> </w:t>
      </w:r>
      <w:r>
        <w:rPr>
          <w:sz w:val="18"/>
        </w:rPr>
        <w:t>XJ,</w:t>
      </w:r>
      <w:r>
        <w:rPr>
          <w:spacing w:val="-9"/>
          <w:sz w:val="18"/>
        </w:rPr>
        <w:t> </w:t>
      </w:r>
      <w:r>
        <w:rPr>
          <w:i/>
          <w:sz w:val="18"/>
        </w:rPr>
        <w:t>et</w:t>
      </w:r>
      <w:r>
        <w:rPr>
          <w:i/>
          <w:spacing w:val="-11"/>
          <w:sz w:val="18"/>
        </w:rPr>
        <w:t> </w:t>
      </w:r>
      <w:r>
        <w:rPr>
          <w:i/>
          <w:sz w:val="18"/>
        </w:rPr>
        <w:t>al</w:t>
      </w:r>
      <w:r>
        <w:rPr>
          <w:sz w:val="18"/>
        </w:rPr>
        <w:t>.</w:t>
      </w:r>
      <w:r>
        <w:rPr>
          <w:spacing w:val="-11"/>
          <w:sz w:val="18"/>
        </w:rPr>
        <w:t> </w:t>
      </w:r>
      <w:r>
        <w:rPr>
          <w:sz w:val="18"/>
        </w:rPr>
        <w:t>Treatment</w:t>
      </w:r>
      <w:r>
        <w:rPr>
          <w:spacing w:val="-11"/>
          <w:sz w:val="18"/>
        </w:rPr>
        <w:t> </w:t>
      </w:r>
      <w:r>
        <w:rPr>
          <w:sz w:val="18"/>
        </w:rPr>
        <w:t>guideline</w:t>
      </w:r>
      <w:r>
        <w:rPr>
          <w:spacing w:val="-10"/>
          <w:sz w:val="18"/>
        </w:rPr>
        <w:t> </w:t>
      </w:r>
      <w:r>
        <w:rPr>
          <w:sz w:val="18"/>
        </w:rPr>
        <w:t>for hemangiomas and vascular malformations of the head and </w:t>
      </w:r>
      <w:r>
        <w:rPr>
          <w:spacing w:val="-6"/>
          <w:sz w:val="18"/>
        </w:rPr>
        <w:t>neck.</w:t>
      </w:r>
      <w:r>
        <w:rPr>
          <w:spacing w:val="-13"/>
          <w:sz w:val="18"/>
        </w:rPr>
        <w:t> </w:t>
      </w:r>
      <w:r>
        <w:rPr>
          <w:i/>
          <w:spacing w:val="-6"/>
          <w:sz w:val="18"/>
        </w:rPr>
        <w:t>Head</w:t>
      </w:r>
      <w:r>
        <w:rPr>
          <w:i/>
          <w:spacing w:val="-12"/>
          <w:sz w:val="18"/>
        </w:rPr>
        <w:t> </w:t>
      </w:r>
      <w:r>
        <w:rPr>
          <w:i/>
          <w:spacing w:val="-6"/>
          <w:sz w:val="18"/>
        </w:rPr>
        <w:t>Neck</w:t>
      </w:r>
      <w:r>
        <w:rPr>
          <w:i/>
          <w:spacing w:val="-16"/>
          <w:sz w:val="18"/>
        </w:rPr>
        <w:t> </w:t>
      </w:r>
      <w:r>
        <w:rPr>
          <w:spacing w:val="-6"/>
          <w:sz w:val="18"/>
        </w:rPr>
        <w:t>2010;</w:t>
      </w:r>
      <w:r>
        <w:rPr>
          <w:spacing w:val="-17"/>
          <w:sz w:val="18"/>
        </w:rPr>
        <w:t> </w:t>
      </w:r>
      <w:r>
        <w:rPr>
          <w:spacing w:val="-6"/>
          <w:sz w:val="18"/>
        </w:rPr>
        <w:t>32:</w:t>
      </w:r>
      <w:r>
        <w:rPr>
          <w:spacing w:val="-13"/>
          <w:sz w:val="18"/>
        </w:rPr>
        <w:t> </w:t>
      </w:r>
      <w:r>
        <w:rPr>
          <w:spacing w:val="-6"/>
          <w:sz w:val="18"/>
        </w:rPr>
        <w:t>1088-1098.</w:t>
      </w:r>
      <w:r>
        <w:rPr>
          <w:spacing w:val="-16"/>
          <w:sz w:val="18"/>
        </w:rPr>
        <w:t> </w:t>
      </w:r>
      <w:r>
        <w:rPr>
          <w:spacing w:val="-6"/>
          <w:sz w:val="18"/>
        </w:rPr>
        <w:t>doi:</w:t>
      </w:r>
      <w:r>
        <w:rPr>
          <w:spacing w:val="-13"/>
          <w:sz w:val="18"/>
        </w:rPr>
        <w:t> </w:t>
      </w:r>
      <w:r>
        <w:rPr>
          <w:spacing w:val="-6"/>
          <w:sz w:val="18"/>
        </w:rPr>
        <w:t>10.1002/hed.21274.</w:t>
      </w:r>
    </w:p>
    <w:p>
      <w:pPr>
        <w:pStyle w:val="ListParagraph"/>
        <w:numPr>
          <w:ilvl w:val="0"/>
          <w:numId w:val="14"/>
        </w:numPr>
        <w:tabs>
          <w:tab w:pos="627" w:val="left" w:leader="none"/>
        </w:tabs>
        <w:spacing w:line="240" w:lineRule="auto" w:before="0" w:after="0"/>
        <w:ind w:left="626" w:right="291" w:hanging="389"/>
        <w:jc w:val="both"/>
        <w:rPr>
          <w:sz w:val="18"/>
        </w:rPr>
      </w:pPr>
      <w:r>
        <w:rPr>
          <w:sz w:val="18"/>
        </w:rPr>
        <w:t>Martins RH, Lima Neto AC, Semenzate G, Lapate R. Laryngeal hemangioma. </w:t>
      </w:r>
      <w:r>
        <w:rPr>
          <w:i/>
          <w:sz w:val="18"/>
        </w:rPr>
        <w:t>Braz J Otorhinolaryngol </w:t>
      </w:r>
      <w:r>
        <w:rPr>
          <w:sz w:val="18"/>
        </w:rPr>
        <w:t>2006; 72: 574.</w:t>
      </w:r>
    </w:p>
    <w:p>
      <w:pPr>
        <w:pStyle w:val="ListParagraph"/>
        <w:numPr>
          <w:ilvl w:val="0"/>
          <w:numId w:val="14"/>
        </w:numPr>
        <w:tabs>
          <w:tab w:pos="627" w:val="left" w:leader="none"/>
        </w:tabs>
        <w:spacing w:line="240" w:lineRule="auto" w:before="0" w:after="0"/>
        <w:ind w:left="626" w:right="295" w:hanging="389"/>
        <w:jc w:val="both"/>
        <w:rPr>
          <w:sz w:val="18"/>
        </w:rPr>
      </w:pPr>
      <w:r>
        <w:rPr>
          <w:sz w:val="18"/>
        </w:rPr>
        <w:t>Dickison P, Christou E, Wargon OA. Prospective study</w:t>
      </w:r>
      <w:r>
        <w:rPr>
          <w:spacing w:val="-2"/>
          <w:sz w:val="18"/>
        </w:rPr>
        <w:t> </w:t>
      </w:r>
      <w:r>
        <w:rPr>
          <w:sz w:val="18"/>
        </w:rPr>
        <w:t>of infantile hemangiomas with a focus on incidence and risk factors. </w:t>
      </w:r>
      <w:r>
        <w:rPr>
          <w:i/>
          <w:sz w:val="18"/>
        </w:rPr>
        <w:t>Pediatr Dermatol </w:t>
      </w:r>
      <w:r>
        <w:rPr>
          <w:sz w:val="18"/>
        </w:rPr>
        <w:t>2011; 28(</w:t>
      </w:r>
      <w:r>
        <w:rPr>
          <w:i/>
          <w:sz w:val="18"/>
        </w:rPr>
        <w:t>6</w:t>
      </w:r>
      <w:r>
        <w:rPr>
          <w:sz w:val="18"/>
        </w:rPr>
        <w:t>): 663</w:t>
      </w:r>
      <w:r>
        <w:rPr>
          <w:i/>
          <w:sz w:val="18"/>
        </w:rPr>
        <w:t>-</w:t>
      </w:r>
      <w:r>
        <w:rPr>
          <w:sz w:val="18"/>
        </w:rPr>
        <w:t>669.</w:t>
      </w:r>
    </w:p>
    <w:p>
      <w:pPr>
        <w:pStyle w:val="ListParagraph"/>
        <w:numPr>
          <w:ilvl w:val="0"/>
          <w:numId w:val="14"/>
        </w:numPr>
        <w:tabs>
          <w:tab w:pos="627" w:val="left" w:leader="none"/>
        </w:tabs>
        <w:spacing w:line="240" w:lineRule="auto" w:before="0" w:after="0"/>
        <w:ind w:left="626" w:right="291" w:hanging="389"/>
        <w:jc w:val="both"/>
        <w:rPr>
          <w:sz w:val="18"/>
        </w:rPr>
      </w:pPr>
      <w:r>
        <w:rPr>
          <w:sz w:val="18"/>
        </w:rPr>
        <w:t>Hoornweg MJ, Smeulders MJ, Ubbink DT, Van der Horst CM. The prevalence and risk factors of infantile haeman- giomas: a case-control study in the Dutch population. </w:t>
      </w:r>
      <w:r>
        <w:rPr>
          <w:i/>
          <w:sz w:val="18"/>
        </w:rPr>
        <w:t>Paediat Perinat Epidemiol </w:t>
      </w:r>
      <w:r>
        <w:rPr>
          <w:sz w:val="18"/>
        </w:rPr>
        <w:t>2012; 26(</w:t>
      </w:r>
      <w:r>
        <w:rPr>
          <w:i/>
          <w:sz w:val="18"/>
        </w:rPr>
        <w:t>2</w:t>
      </w:r>
      <w:r>
        <w:rPr>
          <w:sz w:val="18"/>
        </w:rPr>
        <w:t>): 156</w:t>
      </w:r>
      <w:r>
        <w:rPr>
          <w:i/>
          <w:sz w:val="18"/>
        </w:rPr>
        <w:t>-</w:t>
      </w:r>
      <w:r>
        <w:rPr>
          <w:sz w:val="18"/>
        </w:rPr>
        <w:t>162.</w:t>
      </w:r>
    </w:p>
    <w:p>
      <w:pPr>
        <w:pStyle w:val="ListParagraph"/>
        <w:numPr>
          <w:ilvl w:val="0"/>
          <w:numId w:val="14"/>
        </w:numPr>
        <w:tabs>
          <w:tab w:pos="627" w:val="left" w:leader="none"/>
        </w:tabs>
        <w:spacing w:line="240" w:lineRule="auto" w:before="0" w:after="0"/>
        <w:ind w:left="626" w:right="290" w:hanging="389"/>
        <w:jc w:val="both"/>
        <w:rPr>
          <w:sz w:val="18"/>
        </w:rPr>
      </w:pPr>
      <w:r>
        <w:rPr>
          <w:sz w:val="18"/>
        </w:rPr>
        <w:t>Darrow DH, Greene AK, Mancini AJ, Nopper AJ. Diag- </w:t>
      </w:r>
      <w:r>
        <w:rPr>
          <w:spacing w:val="-2"/>
          <w:sz w:val="18"/>
        </w:rPr>
        <w:t>nosis</w:t>
      </w:r>
      <w:r>
        <w:rPr>
          <w:spacing w:val="-3"/>
          <w:sz w:val="18"/>
        </w:rPr>
        <w:t> </w:t>
      </w:r>
      <w:r>
        <w:rPr>
          <w:spacing w:val="-2"/>
          <w:sz w:val="18"/>
        </w:rPr>
        <w:t>and</w:t>
      </w:r>
      <w:r>
        <w:rPr>
          <w:spacing w:val="-7"/>
          <w:sz w:val="18"/>
        </w:rPr>
        <w:t> </w:t>
      </w:r>
      <w:r>
        <w:rPr>
          <w:spacing w:val="-2"/>
          <w:sz w:val="18"/>
        </w:rPr>
        <w:t>Management</w:t>
      </w:r>
      <w:r>
        <w:rPr>
          <w:spacing w:val="-8"/>
          <w:sz w:val="18"/>
        </w:rPr>
        <w:t> </w:t>
      </w:r>
      <w:r>
        <w:rPr>
          <w:spacing w:val="-2"/>
          <w:sz w:val="18"/>
        </w:rPr>
        <w:t>of</w:t>
      </w:r>
      <w:r>
        <w:rPr>
          <w:spacing w:val="-9"/>
          <w:sz w:val="18"/>
        </w:rPr>
        <w:t> </w:t>
      </w:r>
      <w:r>
        <w:rPr>
          <w:spacing w:val="-2"/>
          <w:sz w:val="18"/>
        </w:rPr>
        <w:t>Infantile</w:t>
      </w:r>
      <w:r>
        <w:rPr>
          <w:spacing w:val="-8"/>
          <w:sz w:val="18"/>
        </w:rPr>
        <w:t> </w:t>
      </w:r>
      <w:r>
        <w:rPr>
          <w:spacing w:val="-2"/>
          <w:sz w:val="18"/>
        </w:rPr>
        <w:t>Hemangioma.</w:t>
      </w:r>
      <w:r>
        <w:rPr>
          <w:spacing w:val="-5"/>
          <w:sz w:val="18"/>
        </w:rPr>
        <w:t> </w:t>
      </w:r>
      <w:r>
        <w:rPr>
          <w:i/>
          <w:spacing w:val="-2"/>
          <w:sz w:val="18"/>
        </w:rPr>
        <w:t>Pediatrics</w:t>
      </w:r>
      <w:r>
        <w:rPr>
          <w:i/>
          <w:spacing w:val="-2"/>
          <w:sz w:val="18"/>
        </w:rPr>
        <w:t> </w:t>
      </w:r>
      <w:r>
        <w:rPr>
          <w:sz w:val="18"/>
        </w:rPr>
        <w:t>2015; 136(4): e1060-e1104.</w:t>
      </w:r>
    </w:p>
    <w:p>
      <w:pPr>
        <w:pStyle w:val="ListParagraph"/>
        <w:numPr>
          <w:ilvl w:val="0"/>
          <w:numId w:val="14"/>
        </w:numPr>
        <w:tabs>
          <w:tab w:pos="627" w:val="left" w:leader="none"/>
        </w:tabs>
        <w:spacing w:line="240" w:lineRule="auto" w:before="0" w:after="0"/>
        <w:ind w:left="626" w:right="293" w:hanging="389"/>
        <w:jc w:val="both"/>
        <w:rPr>
          <w:sz w:val="18"/>
        </w:rPr>
      </w:pPr>
      <w:r>
        <w:rPr>
          <w:spacing w:val="-2"/>
          <w:sz w:val="18"/>
        </w:rPr>
        <w:t>Lyons</w:t>
      </w:r>
      <w:r>
        <w:rPr>
          <w:spacing w:val="-10"/>
          <w:sz w:val="18"/>
        </w:rPr>
        <w:t> </w:t>
      </w:r>
      <w:r>
        <w:rPr>
          <w:spacing w:val="-2"/>
          <w:sz w:val="18"/>
        </w:rPr>
        <w:t>M,</w:t>
      </w:r>
      <w:r>
        <w:rPr>
          <w:spacing w:val="-9"/>
          <w:sz w:val="18"/>
        </w:rPr>
        <w:t> </w:t>
      </w:r>
      <w:r>
        <w:rPr>
          <w:spacing w:val="-2"/>
          <w:sz w:val="18"/>
        </w:rPr>
        <w:t>Vlastarakos</w:t>
      </w:r>
      <w:r>
        <w:rPr>
          <w:spacing w:val="-9"/>
          <w:sz w:val="18"/>
        </w:rPr>
        <w:t> </w:t>
      </w:r>
      <w:r>
        <w:rPr>
          <w:spacing w:val="-2"/>
          <w:sz w:val="18"/>
        </w:rPr>
        <w:t>PV,</w:t>
      </w:r>
      <w:r>
        <w:rPr>
          <w:spacing w:val="-9"/>
          <w:sz w:val="18"/>
        </w:rPr>
        <w:t> </w:t>
      </w:r>
      <w:r>
        <w:rPr>
          <w:spacing w:val="-2"/>
          <w:sz w:val="18"/>
        </w:rPr>
        <w:t>Nikolopoulos</w:t>
      </w:r>
      <w:r>
        <w:rPr>
          <w:spacing w:val="-10"/>
          <w:sz w:val="18"/>
        </w:rPr>
        <w:t> </w:t>
      </w:r>
      <w:r>
        <w:rPr>
          <w:spacing w:val="-2"/>
          <w:sz w:val="18"/>
        </w:rPr>
        <w:t>TP.</w:t>
      </w:r>
      <w:r>
        <w:rPr>
          <w:spacing w:val="-9"/>
          <w:sz w:val="18"/>
        </w:rPr>
        <w:t> </w:t>
      </w:r>
      <w:r>
        <w:rPr>
          <w:spacing w:val="-2"/>
          <w:sz w:val="18"/>
        </w:rPr>
        <w:t>Congenital</w:t>
      </w:r>
      <w:r>
        <w:rPr>
          <w:spacing w:val="-9"/>
          <w:sz w:val="18"/>
        </w:rPr>
        <w:t> </w:t>
      </w:r>
      <w:r>
        <w:rPr>
          <w:spacing w:val="-2"/>
          <w:sz w:val="18"/>
        </w:rPr>
        <w:t>and </w:t>
      </w:r>
      <w:r>
        <w:rPr>
          <w:spacing w:val="-4"/>
          <w:sz w:val="18"/>
        </w:rPr>
        <w:t>acquired</w:t>
      </w:r>
      <w:r>
        <w:rPr>
          <w:spacing w:val="-8"/>
          <w:sz w:val="18"/>
        </w:rPr>
        <w:t> </w:t>
      </w:r>
      <w:r>
        <w:rPr>
          <w:spacing w:val="-4"/>
          <w:sz w:val="18"/>
        </w:rPr>
        <w:t>developmental</w:t>
      </w:r>
      <w:r>
        <w:rPr>
          <w:spacing w:val="-7"/>
          <w:sz w:val="18"/>
        </w:rPr>
        <w:t> </w:t>
      </w:r>
      <w:r>
        <w:rPr>
          <w:spacing w:val="-4"/>
          <w:sz w:val="18"/>
        </w:rPr>
        <w:t>problems</w:t>
      </w:r>
      <w:r>
        <w:rPr>
          <w:spacing w:val="-7"/>
          <w:sz w:val="18"/>
        </w:rPr>
        <w:t> </w:t>
      </w:r>
      <w:r>
        <w:rPr>
          <w:spacing w:val="-4"/>
          <w:sz w:val="18"/>
        </w:rPr>
        <w:t>of</w:t>
      </w:r>
      <w:r>
        <w:rPr>
          <w:spacing w:val="-7"/>
          <w:sz w:val="18"/>
        </w:rPr>
        <w:t> </w:t>
      </w:r>
      <w:r>
        <w:rPr>
          <w:spacing w:val="-4"/>
          <w:sz w:val="18"/>
        </w:rPr>
        <w:t>the</w:t>
      </w:r>
      <w:r>
        <w:rPr>
          <w:spacing w:val="-8"/>
          <w:sz w:val="18"/>
        </w:rPr>
        <w:t> </w:t>
      </w:r>
      <w:r>
        <w:rPr>
          <w:spacing w:val="-4"/>
          <w:sz w:val="18"/>
        </w:rPr>
        <w:t>upper</w:t>
      </w:r>
      <w:r>
        <w:rPr>
          <w:spacing w:val="-7"/>
          <w:sz w:val="18"/>
        </w:rPr>
        <w:t> </w:t>
      </w:r>
      <w:r>
        <w:rPr>
          <w:spacing w:val="-4"/>
          <w:sz w:val="18"/>
        </w:rPr>
        <w:t>airway</w:t>
      </w:r>
      <w:r>
        <w:rPr>
          <w:spacing w:val="-7"/>
          <w:sz w:val="18"/>
        </w:rPr>
        <w:t> </w:t>
      </w:r>
      <w:r>
        <w:rPr>
          <w:spacing w:val="-4"/>
          <w:sz w:val="18"/>
        </w:rPr>
        <w:t>in</w:t>
      </w:r>
      <w:r>
        <w:rPr>
          <w:spacing w:val="-7"/>
          <w:sz w:val="18"/>
        </w:rPr>
        <w:t> </w:t>
      </w:r>
      <w:r>
        <w:rPr>
          <w:spacing w:val="-4"/>
          <w:sz w:val="18"/>
        </w:rPr>
        <w:t>new- </w:t>
      </w:r>
      <w:r>
        <w:rPr>
          <w:sz w:val="18"/>
        </w:rPr>
        <w:t>borns</w:t>
      </w:r>
      <w:r>
        <w:rPr>
          <w:spacing w:val="-1"/>
          <w:sz w:val="18"/>
        </w:rPr>
        <w:t> </w:t>
      </w:r>
      <w:r>
        <w:rPr>
          <w:sz w:val="18"/>
        </w:rPr>
        <w:t>and infants. </w:t>
      </w:r>
      <w:r>
        <w:rPr>
          <w:i/>
          <w:sz w:val="18"/>
        </w:rPr>
        <w:t>Early Hum Dev </w:t>
      </w:r>
      <w:r>
        <w:rPr>
          <w:sz w:val="18"/>
        </w:rPr>
        <w:t>2012; 88(12): 951-955.</w:t>
      </w:r>
    </w:p>
    <w:p>
      <w:pPr>
        <w:pStyle w:val="ListParagraph"/>
        <w:numPr>
          <w:ilvl w:val="0"/>
          <w:numId w:val="14"/>
        </w:numPr>
        <w:tabs>
          <w:tab w:pos="627" w:val="left" w:leader="none"/>
        </w:tabs>
        <w:spacing w:line="240" w:lineRule="auto" w:before="0" w:after="0"/>
        <w:ind w:left="626" w:right="293" w:hanging="389"/>
        <w:jc w:val="both"/>
        <w:rPr>
          <w:sz w:val="18"/>
        </w:rPr>
      </w:pPr>
      <w:r>
        <w:rPr>
          <w:sz w:val="18"/>
        </w:rPr>
        <w:t>Yang GZ, Li J, Jin H. Giant mesenteric hemangioma of cavernous</w:t>
      </w:r>
      <w:r>
        <w:rPr>
          <w:spacing w:val="-4"/>
          <w:sz w:val="18"/>
        </w:rPr>
        <w:t> </w:t>
      </w:r>
      <w:r>
        <w:rPr>
          <w:sz w:val="18"/>
        </w:rPr>
        <w:t>and</w:t>
      </w:r>
      <w:r>
        <w:rPr>
          <w:spacing w:val="-2"/>
          <w:sz w:val="18"/>
        </w:rPr>
        <w:t> </w:t>
      </w:r>
      <w:r>
        <w:rPr>
          <w:sz w:val="18"/>
        </w:rPr>
        <w:t>venous</w:t>
      </w:r>
      <w:r>
        <w:rPr>
          <w:spacing w:val="-4"/>
          <w:sz w:val="18"/>
        </w:rPr>
        <w:t> </w:t>
      </w:r>
      <w:r>
        <w:rPr>
          <w:sz w:val="18"/>
        </w:rPr>
        <w:t>mixed</w:t>
      </w:r>
      <w:r>
        <w:rPr>
          <w:spacing w:val="-1"/>
          <w:sz w:val="18"/>
        </w:rPr>
        <w:t> </w:t>
      </w:r>
      <w:r>
        <w:rPr>
          <w:sz w:val="18"/>
        </w:rPr>
        <w:t>type:</w:t>
      </w:r>
      <w:r>
        <w:rPr>
          <w:spacing w:val="-3"/>
          <w:sz w:val="18"/>
        </w:rPr>
        <w:t> </w:t>
      </w:r>
      <w:r>
        <w:rPr>
          <w:sz w:val="18"/>
        </w:rPr>
        <w:t>a</w:t>
      </w:r>
      <w:r>
        <w:rPr>
          <w:spacing w:val="-4"/>
          <w:sz w:val="18"/>
        </w:rPr>
        <w:t> </w:t>
      </w:r>
      <w:r>
        <w:rPr>
          <w:sz w:val="18"/>
        </w:rPr>
        <w:t>rare</w:t>
      </w:r>
      <w:r>
        <w:rPr>
          <w:spacing w:val="-4"/>
          <w:sz w:val="18"/>
        </w:rPr>
        <w:t> </w:t>
      </w:r>
      <w:r>
        <w:rPr>
          <w:sz w:val="18"/>
        </w:rPr>
        <w:t>case</w:t>
      </w:r>
      <w:r>
        <w:rPr>
          <w:spacing w:val="-4"/>
          <w:sz w:val="18"/>
        </w:rPr>
        <w:t> </w:t>
      </w:r>
      <w:r>
        <w:rPr>
          <w:sz w:val="18"/>
        </w:rPr>
        <w:t>report.</w:t>
      </w:r>
      <w:r>
        <w:rPr>
          <w:spacing w:val="-1"/>
          <w:sz w:val="18"/>
        </w:rPr>
        <w:t> </w:t>
      </w:r>
      <w:r>
        <w:rPr>
          <w:i/>
          <w:sz w:val="18"/>
        </w:rPr>
        <w:t>BMC</w:t>
      </w:r>
      <w:r>
        <w:rPr>
          <w:i/>
          <w:sz w:val="18"/>
        </w:rPr>
        <w:t> Surg </w:t>
      </w:r>
      <w:r>
        <w:rPr>
          <w:sz w:val="18"/>
        </w:rPr>
        <w:t>2013; 13: 50. doi: 10.1186/1471-2482-13-50.</w:t>
      </w:r>
    </w:p>
    <w:p>
      <w:pPr>
        <w:pStyle w:val="ListParagraph"/>
        <w:numPr>
          <w:ilvl w:val="0"/>
          <w:numId w:val="14"/>
        </w:numPr>
        <w:tabs>
          <w:tab w:pos="627" w:val="left" w:leader="none"/>
        </w:tabs>
        <w:spacing w:line="240" w:lineRule="auto" w:before="0" w:after="0"/>
        <w:ind w:left="626" w:right="292" w:hanging="389"/>
        <w:jc w:val="both"/>
        <w:rPr>
          <w:sz w:val="18"/>
        </w:rPr>
      </w:pPr>
      <w:r>
        <w:rPr/>
        <w:pict>
          <v:rect style="position:absolute;margin-left:373.630005pt;margin-top:9.362377pt;width:2.64pt;height:.47998pt;mso-position-horizontal-relative:page;mso-position-vertical-relative:paragraph;z-index:-17626112" id="docshape598" filled="true" fillcolor="#0000ff" stroked="false">
            <v:fill type="solid"/>
            <w10:wrap type="none"/>
          </v:rect>
        </w:pict>
      </w:r>
      <w:r>
        <w:rPr>
          <w:sz w:val="18"/>
        </w:rPr>
        <w:t>Xurui Wang, Xia Odong Zhao and Wei Zhu. Resection of a laryngeal hemangioma in an adult using an ultrasonic scalpel:</w:t>
      </w:r>
      <w:r>
        <w:rPr>
          <w:spacing w:val="6"/>
          <w:sz w:val="18"/>
        </w:rPr>
        <w:t> </w:t>
      </w:r>
      <w:r>
        <w:rPr>
          <w:sz w:val="18"/>
        </w:rPr>
        <w:t>A</w:t>
      </w:r>
      <w:r>
        <w:rPr>
          <w:spacing w:val="-11"/>
          <w:sz w:val="18"/>
        </w:rPr>
        <w:t> </w:t>
      </w:r>
      <w:r>
        <w:rPr>
          <w:sz w:val="18"/>
        </w:rPr>
        <w:t>case</w:t>
      </w:r>
      <w:r>
        <w:rPr>
          <w:spacing w:val="-12"/>
          <w:sz w:val="18"/>
        </w:rPr>
        <w:t> </w:t>
      </w:r>
      <w:r>
        <w:rPr>
          <w:sz w:val="18"/>
        </w:rPr>
        <w:t>report</w:t>
      </w:r>
      <w:r>
        <w:rPr>
          <w:spacing w:val="47"/>
          <w:sz w:val="18"/>
        </w:rPr>
        <w:t> </w:t>
      </w:r>
      <w:r>
        <w:rPr>
          <w:sz w:val="18"/>
        </w:rPr>
        <w:t>Onco.</w:t>
      </w:r>
      <w:r>
        <w:rPr>
          <w:spacing w:val="-11"/>
          <w:sz w:val="18"/>
        </w:rPr>
        <w:t> </w:t>
      </w:r>
      <w:r>
        <w:rPr>
          <w:i/>
          <w:sz w:val="18"/>
        </w:rPr>
        <w:t>Letter</w:t>
      </w:r>
      <w:r>
        <w:rPr>
          <w:i/>
          <w:spacing w:val="-11"/>
          <w:sz w:val="18"/>
        </w:rPr>
        <w:t> </w:t>
      </w:r>
      <w:r>
        <w:rPr>
          <w:sz w:val="18"/>
        </w:rPr>
        <w:t>2015;</w:t>
      </w:r>
      <w:r>
        <w:rPr>
          <w:spacing w:val="-11"/>
          <w:sz w:val="18"/>
        </w:rPr>
        <w:t> </w:t>
      </w:r>
      <w:r>
        <w:rPr>
          <w:sz w:val="18"/>
        </w:rPr>
        <w:t>9(6):</w:t>
      </w:r>
      <w:r>
        <w:rPr>
          <w:spacing w:val="-12"/>
          <w:sz w:val="18"/>
        </w:rPr>
        <w:t> </w:t>
      </w:r>
      <w:r>
        <w:rPr>
          <w:sz w:val="18"/>
        </w:rPr>
        <w:t>2477-2480.</w:t>
      </w:r>
    </w:p>
    <w:p>
      <w:pPr>
        <w:pStyle w:val="ListParagraph"/>
        <w:numPr>
          <w:ilvl w:val="0"/>
          <w:numId w:val="14"/>
        </w:numPr>
        <w:tabs>
          <w:tab w:pos="627" w:val="left" w:leader="none"/>
        </w:tabs>
        <w:spacing w:line="240" w:lineRule="auto" w:before="1" w:after="0"/>
        <w:ind w:left="626" w:right="294" w:hanging="389"/>
        <w:jc w:val="both"/>
        <w:rPr>
          <w:sz w:val="18"/>
        </w:rPr>
      </w:pPr>
      <w:r>
        <w:rPr>
          <w:sz w:val="18"/>
        </w:rPr>
        <w:t>Yoshpe N,</w:t>
      </w:r>
      <w:r>
        <w:rPr>
          <w:spacing w:val="-2"/>
          <w:sz w:val="18"/>
        </w:rPr>
        <w:t> </w:t>
      </w:r>
      <w:r>
        <w:rPr>
          <w:sz w:val="18"/>
        </w:rPr>
        <w:t>Brodsky L,</w:t>
      </w:r>
      <w:r>
        <w:rPr>
          <w:spacing w:val="-1"/>
          <w:sz w:val="18"/>
        </w:rPr>
        <w:t> </w:t>
      </w:r>
      <w:r>
        <w:rPr>
          <w:sz w:val="18"/>
        </w:rPr>
        <w:t>Ruben R. Clinical-pathological correlates of congenital subglottic hemangiomas. </w:t>
      </w:r>
      <w:r>
        <w:rPr>
          <w:i/>
          <w:sz w:val="18"/>
        </w:rPr>
        <w:t>Ann</w:t>
      </w:r>
      <w:r>
        <w:rPr>
          <w:i/>
          <w:sz w:val="18"/>
        </w:rPr>
        <w:t> OtolRhinoLaryngol </w:t>
      </w:r>
      <w:r>
        <w:rPr>
          <w:sz w:val="18"/>
        </w:rPr>
        <w:t>1983; 92: 4-7.</w:t>
      </w:r>
    </w:p>
    <w:p>
      <w:pPr>
        <w:pStyle w:val="ListParagraph"/>
        <w:numPr>
          <w:ilvl w:val="0"/>
          <w:numId w:val="14"/>
        </w:numPr>
        <w:tabs>
          <w:tab w:pos="627" w:val="left" w:leader="none"/>
        </w:tabs>
        <w:spacing w:line="240" w:lineRule="auto" w:before="0" w:after="0"/>
        <w:ind w:left="626" w:right="297" w:hanging="389"/>
        <w:jc w:val="both"/>
        <w:rPr>
          <w:sz w:val="18"/>
        </w:rPr>
      </w:pPr>
      <w:r>
        <w:rPr/>
        <w:pict>
          <v:rect style="position:absolute;margin-left:485.5pt;margin-top:30.122368pt;width:2.16pt;height:.47998pt;mso-position-horizontal-relative:page;mso-position-vertical-relative:paragraph;z-index:15758336" id="docshape599" filled="true" fillcolor="#0000ff" stroked="false">
            <v:fill type="solid"/>
            <w10:wrap type="none"/>
          </v:rect>
        </w:pict>
      </w:r>
      <w:hyperlink r:id="rId528">
        <w:r>
          <w:rPr>
            <w:sz w:val="18"/>
          </w:rPr>
          <w:t>Shahd M Alsaqoub Sara,</w:t>
        </w:r>
      </w:hyperlink>
      <w:r>
        <w:rPr>
          <w:sz w:val="18"/>
        </w:rPr>
        <w:t> </w:t>
      </w:r>
      <w:hyperlink r:id="rId528">
        <w:r>
          <w:rPr>
            <w:sz w:val="18"/>
          </w:rPr>
          <w:t>G Almutairi Sami,</w:t>
        </w:r>
      </w:hyperlink>
      <w:r>
        <w:rPr>
          <w:sz w:val="18"/>
        </w:rPr>
        <w:t> </w:t>
      </w:r>
      <w:hyperlink r:id="rId528">
        <w:r>
          <w:rPr>
            <w:sz w:val="18"/>
          </w:rPr>
          <w:t>M Bawazir</w:t>
        </w:r>
      </w:hyperlink>
      <w:r>
        <w:rPr>
          <w:sz w:val="18"/>
        </w:rPr>
        <w:t> </w:t>
      </w:r>
      <w:hyperlink r:id="rId528">
        <w:r>
          <w:rPr>
            <w:sz w:val="18"/>
          </w:rPr>
          <w:t>Wala, </w:t>
        </w:r>
        <w:r>
          <w:rPr>
            <w:i/>
            <w:sz w:val="18"/>
          </w:rPr>
          <w:t>et</w:t>
        </w:r>
      </w:hyperlink>
      <w:r>
        <w:rPr>
          <w:i/>
          <w:sz w:val="18"/>
        </w:rPr>
        <w:t> al</w:t>
      </w:r>
      <w:r>
        <w:rPr>
          <w:sz w:val="18"/>
        </w:rPr>
        <w:t>. Subglottic hemangioma can be missed. J of pediatric Surgery case reports 2019; 101308</w:t>
      </w:r>
      <w:r>
        <w:rPr>
          <w:color w:val="0000FF"/>
          <w:sz w:val="18"/>
        </w:rPr>
        <w:t>.</w:t>
      </w:r>
    </w:p>
    <w:p>
      <w:pPr>
        <w:pStyle w:val="ListParagraph"/>
        <w:numPr>
          <w:ilvl w:val="0"/>
          <w:numId w:val="14"/>
        </w:numPr>
        <w:tabs>
          <w:tab w:pos="627" w:val="left" w:leader="none"/>
        </w:tabs>
        <w:spacing w:line="240" w:lineRule="auto" w:before="0" w:after="0"/>
        <w:ind w:left="626" w:right="290" w:hanging="389"/>
        <w:jc w:val="both"/>
        <w:rPr>
          <w:sz w:val="18"/>
        </w:rPr>
      </w:pPr>
      <w:r>
        <w:rPr>
          <w:sz w:val="18"/>
        </w:rPr>
        <w:t>Schroeder JW, Holinger LD. Congenital Anomalies of the Larynx, Trachea, and Bronchi. In: Kliegman MR, Stanton FB,</w:t>
      </w:r>
      <w:r>
        <w:rPr>
          <w:spacing w:val="-11"/>
          <w:sz w:val="18"/>
        </w:rPr>
        <w:t> </w:t>
      </w:r>
      <w:r>
        <w:rPr>
          <w:sz w:val="18"/>
        </w:rPr>
        <w:t>St</w:t>
      </w:r>
      <w:r>
        <w:rPr>
          <w:spacing w:val="-10"/>
          <w:sz w:val="18"/>
        </w:rPr>
        <w:t> </w:t>
      </w:r>
      <w:r>
        <w:rPr>
          <w:sz w:val="18"/>
        </w:rPr>
        <w:t>Geme</w:t>
      </w:r>
      <w:r>
        <w:rPr>
          <w:spacing w:val="-9"/>
          <w:sz w:val="18"/>
        </w:rPr>
        <w:t> </w:t>
      </w:r>
      <w:r>
        <w:rPr>
          <w:sz w:val="18"/>
        </w:rPr>
        <w:t>WJ,</w:t>
      </w:r>
      <w:r>
        <w:rPr>
          <w:spacing w:val="-11"/>
          <w:sz w:val="18"/>
        </w:rPr>
        <w:t> </w:t>
      </w:r>
      <w:r>
        <w:rPr>
          <w:sz w:val="18"/>
        </w:rPr>
        <w:t>Schor</w:t>
      </w:r>
      <w:r>
        <w:rPr>
          <w:spacing w:val="-10"/>
          <w:sz w:val="18"/>
        </w:rPr>
        <w:t> </w:t>
      </w:r>
      <w:r>
        <w:rPr>
          <w:sz w:val="18"/>
        </w:rPr>
        <w:t>FN,</w:t>
      </w:r>
      <w:r>
        <w:rPr>
          <w:spacing w:val="-10"/>
          <w:sz w:val="18"/>
        </w:rPr>
        <w:t> </w:t>
      </w:r>
      <w:r>
        <w:rPr>
          <w:sz w:val="18"/>
        </w:rPr>
        <w:t>Behrman</w:t>
      </w:r>
      <w:r>
        <w:rPr>
          <w:spacing w:val="-9"/>
          <w:sz w:val="18"/>
        </w:rPr>
        <w:t> </w:t>
      </w:r>
      <w:r>
        <w:rPr>
          <w:sz w:val="18"/>
        </w:rPr>
        <w:t>ER.</w:t>
      </w:r>
      <w:r>
        <w:rPr>
          <w:spacing w:val="-9"/>
          <w:sz w:val="18"/>
        </w:rPr>
        <w:t> </w:t>
      </w:r>
      <w:r>
        <w:rPr>
          <w:sz w:val="18"/>
        </w:rPr>
        <w:t>Nelson</w:t>
      </w:r>
      <w:r>
        <w:rPr>
          <w:spacing w:val="-11"/>
          <w:sz w:val="18"/>
        </w:rPr>
        <w:t> </w:t>
      </w:r>
      <w:r>
        <w:rPr>
          <w:sz w:val="18"/>
        </w:rPr>
        <w:t>textbook of pediatrics. 20th ed. </w:t>
      </w:r>
      <w:r>
        <w:rPr>
          <w:i/>
          <w:sz w:val="18"/>
        </w:rPr>
        <w:t>Elsevier </w:t>
      </w:r>
      <w:r>
        <w:rPr>
          <w:sz w:val="18"/>
        </w:rPr>
        <w:t>2016; 2036-2039.e3.</w:t>
      </w:r>
    </w:p>
    <w:p>
      <w:pPr>
        <w:pStyle w:val="ListParagraph"/>
        <w:numPr>
          <w:ilvl w:val="0"/>
          <w:numId w:val="14"/>
        </w:numPr>
        <w:tabs>
          <w:tab w:pos="627" w:val="left" w:leader="none"/>
        </w:tabs>
        <w:spacing w:line="240" w:lineRule="auto" w:before="0" w:after="0"/>
        <w:ind w:left="626" w:right="291" w:hanging="389"/>
        <w:jc w:val="both"/>
        <w:rPr>
          <w:sz w:val="18"/>
        </w:rPr>
      </w:pPr>
      <w:r>
        <w:rPr>
          <w:sz w:val="18"/>
        </w:rPr>
        <w:t>Denoyelle F, Leboulanger N, Enjolras O, </w:t>
      </w:r>
      <w:r>
        <w:rPr>
          <w:i/>
          <w:sz w:val="18"/>
        </w:rPr>
        <w:t>et al</w:t>
      </w:r>
      <w:r>
        <w:rPr>
          <w:sz w:val="18"/>
        </w:rPr>
        <w:t>. Role of Propranolol in the therapeutic strategy of infantile laryn- gotracheal hemangioma. </w:t>
      </w:r>
      <w:r>
        <w:rPr>
          <w:i/>
          <w:sz w:val="18"/>
        </w:rPr>
        <w:t>Int J Pediatr Otorhinolaryngol</w:t>
      </w:r>
      <w:r>
        <w:rPr>
          <w:i/>
          <w:sz w:val="18"/>
        </w:rPr>
        <w:t> </w:t>
      </w:r>
      <w:r>
        <w:rPr>
          <w:sz w:val="18"/>
        </w:rPr>
        <w:t>2009; 73(8): 1168-1170.</w:t>
      </w:r>
    </w:p>
    <w:p>
      <w:pPr>
        <w:pStyle w:val="ListParagraph"/>
        <w:numPr>
          <w:ilvl w:val="0"/>
          <w:numId w:val="14"/>
        </w:numPr>
        <w:tabs>
          <w:tab w:pos="627" w:val="left" w:leader="none"/>
        </w:tabs>
        <w:spacing w:line="240" w:lineRule="auto" w:before="0" w:after="0"/>
        <w:ind w:left="626" w:right="293" w:hanging="389"/>
        <w:jc w:val="both"/>
        <w:rPr>
          <w:sz w:val="18"/>
        </w:rPr>
      </w:pPr>
      <w:r>
        <w:rPr>
          <w:spacing w:val="-2"/>
          <w:sz w:val="18"/>
        </w:rPr>
        <w:t>Lisa</w:t>
      </w:r>
      <w:r>
        <w:rPr>
          <w:spacing w:val="-4"/>
          <w:sz w:val="18"/>
        </w:rPr>
        <w:t> </w:t>
      </w:r>
      <w:r>
        <w:rPr>
          <w:spacing w:val="-2"/>
          <w:sz w:val="18"/>
        </w:rPr>
        <w:t>Buckmiller,</w:t>
      </w:r>
      <w:r>
        <w:rPr>
          <w:spacing w:val="-3"/>
          <w:sz w:val="18"/>
        </w:rPr>
        <w:t> </w:t>
      </w:r>
      <w:r>
        <w:rPr>
          <w:spacing w:val="-2"/>
          <w:sz w:val="18"/>
        </w:rPr>
        <w:t>Umesh</w:t>
      </w:r>
      <w:r>
        <w:rPr>
          <w:spacing w:val="-4"/>
          <w:sz w:val="18"/>
        </w:rPr>
        <w:t> </w:t>
      </w:r>
      <w:r>
        <w:rPr>
          <w:spacing w:val="-2"/>
          <w:sz w:val="18"/>
        </w:rPr>
        <w:t>Dyamenahalli,</w:t>
      </w:r>
      <w:r>
        <w:rPr>
          <w:spacing w:val="-3"/>
          <w:sz w:val="18"/>
        </w:rPr>
        <w:t> </w:t>
      </w:r>
      <w:r>
        <w:rPr>
          <w:spacing w:val="-2"/>
          <w:sz w:val="18"/>
        </w:rPr>
        <w:t>Gresham</w:t>
      </w:r>
      <w:r>
        <w:rPr>
          <w:spacing w:val="-6"/>
          <w:sz w:val="18"/>
        </w:rPr>
        <w:t> </w:t>
      </w:r>
      <w:r>
        <w:rPr>
          <w:spacing w:val="-2"/>
          <w:sz w:val="18"/>
        </w:rPr>
        <w:t>T</w:t>
      </w:r>
      <w:r>
        <w:rPr>
          <w:spacing w:val="-5"/>
          <w:sz w:val="18"/>
        </w:rPr>
        <w:t> </w:t>
      </w:r>
      <w:r>
        <w:rPr>
          <w:spacing w:val="-2"/>
          <w:sz w:val="18"/>
        </w:rPr>
        <w:t>Richter. </w:t>
      </w:r>
      <w:r>
        <w:rPr>
          <w:spacing w:val="-4"/>
          <w:sz w:val="18"/>
        </w:rPr>
        <w:t>Propranolol for Airway</w:t>
      </w:r>
      <w:r>
        <w:rPr>
          <w:spacing w:val="-5"/>
          <w:sz w:val="18"/>
        </w:rPr>
        <w:t> </w:t>
      </w:r>
      <w:r>
        <w:rPr>
          <w:spacing w:val="-4"/>
          <w:sz w:val="18"/>
        </w:rPr>
        <w:t>Hemangiomas, Case Report of</w:t>
      </w:r>
      <w:r>
        <w:rPr>
          <w:spacing w:val="-6"/>
          <w:sz w:val="18"/>
        </w:rPr>
        <w:t> </w:t>
      </w:r>
      <w:r>
        <w:rPr>
          <w:spacing w:val="-4"/>
          <w:sz w:val="18"/>
        </w:rPr>
        <w:t>Novel Treatment The Laryngoscope. </w:t>
      </w:r>
      <w:r>
        <w:rPr>
          <w:i/>
          <w:spacing w:val="-4"/>
          <w:sz w:val="18"/>
        </w:rPr>
        <w:t>The American Laryngological,</w:t>
      </w:r>
      <w:r>
        <w:rPr>
          <w:i/>
          <w:spacing w:val="-4"/>
          <w:sz w:val="18"/>
        </w:rPr>
        <w:t> </w:t>
      </w:r>
      <w:r>
        <w:rPr>
          <w:i/>
          <w:spacing w:val="-2"/>
          <w:sz w:val="18"/>
        </w:rPr>
        <w:t>Rhinological and Otological Society </w:t>
      </w:r>
      <w:r>
        <w:rPr>
          <w:spacing w:val="-2"/>
          <w:sz w:val="18"/>
        </w:rPr>
        <w:t>2009; 119: 2051-2054.</w:t>
      </w:r>
    </w:p>
    <w:p>
      <w:pPr>
        <w:pStyle w:val="ListParagraph"/>
        <w:numPr>
          <w:ilvl w:val="0"/>
          <w:numId w:val="14"/>
        </w:numPr>
        <w:tabs>
          <w:tab w:pos="627" w:val="left" w:leader="none"/>
        </w:tabs>
        <w:spacing w:line="240" w:lineRule="auto" w:before="0" w:after="0"/>
        <w:ind w:left="626" w:right="292" w:hanging="389"/>
        <w:jc w:val="both"/>
        <w:rPr>
          <w:sz w:val="18"/>
        </w:rPr>
      </w:pPr>
      <w:r>
        <w:rPr>
          <w:spacing w:val="-2"/>
          <w:sz w:val="18"/>
        </w:rPr>
        <w:t>Choi</w:t>
      </w:r>
      <w:r>
        <w:rPr>
          <w:spacing w:val="-10"/>
          <w:sz w:val="18"/>
        </w:rPr>
        <w:t> </w:t>
      </w:r>
      <w:r>
        <w:rPr>
          <w:spacing w:val="-2"/>
          <w:sz w:val="18"/>
        </w:rPr>
        <w:t>J,</w:t>
      </w:r>
      <w:r>
        <w:rPr>
          <w:spacing w:val="-9"/>
          <w:sz w:val="18"/>
        </w:rPr>
        <w:t> </w:t>
      </w:r>
      <w:r>
        <w:rPr>
          <w:spacing w:val="-2"/>
          <w:sz w:val="18"/>
        </w:rPr>
        <w:t>Im</w:t>
      </w:r>
      <w:r>
        <w:rPr>
          <w:spacing w:val="-5"/>
          <w:sz w:val="18"/>
        </w:rPr>
        <w:t> </w:t>
      </w:r>
      <w:r>
        <w:rPr>
          <w:spacing w:val="-2"/>
          <w:sz w:val="18"/>
        </w:rPr>
        <w:t>S,</w:t>
      </w:r>
      <w:r>
        <w:rPr>
          <w:spacing w:val="-10"/>
          <w:sz w:val="18"/>
        </w:rPr>
        <w:t> </w:t>
      </w:r>
      <w:r>
        <w:rPr>
          <w:spacing w:val="-2"/>
          <w:sz w:val="18"/>
        </w:rPr>
        <w:t>Kim J. Submucosalhemangioma</w:t>
      </w:r>
      <w:r>
        <w:rPr>
          <w:spacing w:val="-3"/>
          <w:sz w:val="18"/>
        </w:rPr>
        <w:t> </w:t>
      </w:r>
      <w:r>
        <w:rPr>
          <w:spacing w:val="-2"/>
          <w:sz w:val="18"/>
        </w:rPr>
        <w:t>of</w:t>
      </w:r>
      <w:r>
        <w:rPr>
          <w:spacing w:val="-3"/>
          <w:sz w:val="18"/>
        </w:rPr>
        <w:t> </w:t>
      </w:r>
      <w:r>
        <w:rPr>
          <w:spacing w:val="-2"/>
          <w:sz w:val="18"/>
        </w:rPr>
        <w:t>the trachea </w:t>
      </w:r>
      <w:r>
        <w:rPr>
          <w:spacing w:val="-4"/>
          <w:w w:val="95"/>
          <w:sz w:val="18"/>
        </w:rPr>
        <w:t>in</w:t>
      </w:r>
      <w:r>
        <w:rPr>
          <w:spacing w:val="-7"/>
          <w:w w:val="95"/>
          <w:sz w:val="18"/>
        </w:rPr>
        <w:t> </w:t>
      </w:r>
      <w:r>
        <w:rPr>
          <w:spacing w:val="-4"/>
          <w:w w:val="95"/>
          <w:sz w:val="18"/>
        </w:rPr>
        <w:t>an</w:t>
      </w:r>
      <w:r>
        <w:rPr>
          <w:spacing w:val="-5"/>
          <w:w w:val="95"/>
          <w:sz w:val="18"/>
        </w:rPr>
        <w:t> </w:t>
      </w:r>
      <w:r>
        <w:rPr>
          <w:spacing w:val="-4"/>
          <w:w w:val="95"/>
          <w:sz w:val="18"/>
        </w:rPr>
        <w:t>infant:</w:t>
      </w:r>
      <w:r>
        <w:rPr>
          <w:spacing w:val="-5"/>
          <w:w w:val="95"/>
          <w:sz w:val="18"/>
        </w:rPr>
        <w:t> </w:t>
      </w:r>
      <w:r>
        <w:rPr>
          <w:spacing w:val="-4"/>
          <w:w w:val="95"/>
          <w:sz w:val="18"/>
        </w:rPr>
        <w:t>diagnosis</w:t>
      </w:r>
      <w:r>
        <w:rPr>
          <w:spacing w:val="-5"/>
          <w:w w:val="95"/>
          <w:sz w:val="18"/>
        </w:rPr>
        <w:t> </w:t>
      </w:r>
      <w:r>
        <w:rPr>
          <w:spacing w:val="-4"/>
          <w:w w:val="95"/>
          <w:sz w:val="18"/>
        </w:rPr>
        <w:t>and</w:t>
      </w:r>
      <w:r>
        <w:rPr>
          <w:spacing w:val="-5"/>
          <w:w w:val="95"/>
          <w:sz w:val="18"/>
        </w:rPr>
        <w:t> </w:t>
      </w:r>
      <w:r>
        <w:rPr>
          <w:spacing w:val="-4"/>
          <w:w w:val="95"/>
          <w:sz w:val="18"/>
        </w:rPr>
        <w:t>follow-up</w:t>
      </w:r>
      <w:r>
        <w:rPr>
          <w:spacing w:val="-5"/>
          <w:w w:val="95"/>
          <w:sz w:val="18"/>
        </w:rPr>
        <w:t> </w:t>
      </w:r>
      <w:r>
        <w:rPr>
          <w:spacing w:val="-4"/>
          <w:w w:val="95"/>
          <w:sz w:val="18"/>
        </w:rPr>
        <w:t>with</w:t>
      </w:r>
      <w:r>
        <w:rPr>
          <w:spacing w:val="-5"/>
          <w:w w:val="95"/>
          <w:sz w:val="18"/>
        </w:rPr>
        <w:t> </w:t>
      </w:r>
      <w:r>
        <w:rPr>
          <w:spacing w:val="-4"/>
          <w:w w:val="95"/>
          <w:sz w:val="18"/>
        </w:rPr>
        <w:t>3D-CT/Bronchoscopy.</w:t>
      </w:r>
      <w:r>
        <w:rPr>
          <w:w w:val="95"/>
          <w:sz w:val="18"/>
        </w:rPr>
        <w:t> </w:t>
      </w:r>
      <w:r>
        <w:rPr>
          <w:i/>
          <w:sz w:val="18"/>
        </w:rPr>
        <w:t>Iran J Pediatr </w:t>
      </w:r>
      <w:r>
        <w:rPr>
          <w:sz w:val="18"/>
        </w:rPr>
        <w:t>2016; 26: 1.</w:t>
      </w:r>
    </w:p>
    <w:p>
      <w:pPr>
        <w:spacing w:after="0" w:line="240" w:lineRule="auto"/>
        <w:jc w:val="both"/>
        <w:rPr>
          <w:sz w:val="18"/>
        </w:rPr>
        <w:sectPr>
          <w:type w:val="continuous"/>
          <w:pgSz w:w="11910" w:h="16840"/>
          <w:pgMar w:header="854" w:footer="0" w:top="740" w:bottom="0" w:left="900" w:right="840"/>
          <w:cols w:num="2" w:equalWidth="0">
            <w:col w:w="4921" w:space="76"/>
            <w:col w:w="5173"/>
          </w:cols>
        </w:sectPr>
      </w:pPr>
    </w:p>
    <w:p>
      <w:pPr>
        <w:pStyle w:val="BodyText"/>
        <w:spacing w:before="10"/>
        <w:rPr>
          <w:sz w:val="10"/>
        </w:rPr>
      </w:pPr>
    </w:p>
    <w:p>
      <w:pPr>
        <w:spacing w:before="90"/>
        <w:ind w:left="238" w:right="0" w:firstLine="0"/>
        <w:jc w:val="left"/>
        <w:rPr>
          <w:i/>
          <w:sz w:val="24"/>
        </w:rPr>
      </w:pPr>
      <w:r>
        <w:rPr>
          <w:i/>
          <w:sz w:val="24"/>
        </w:rPr>
        <w:t>Case</w:t>
      </w:r>
      <w:r>
        <w:rPr>
          <w:i/>
          <w:spacing w:val="-3"/>
          <w:sz w:val="24"/>
        </w:rPr>
        <w:t> </w:t>
      </w:r>
      <w:r>
        <w:rPr>
          <w:i/>
          <w:spacing w:val="-2"/>
          <w:sz w:val="24"/>
        </w:rPr>
        <w:t>report</w:t>
      </w:r>
    </w:p>
    <w:p>
      <w:pPr>
        <w:pStyle w:val="BodyText"/>
        <w:spacing w:before="8"/>
        <w:rPr>
          <w:i/>
        </w:rPr>
      </w:pPr>
    </w:p>
    <w:p>
      <w:pPr>
        <w:pStyle w:val="Heading2"/>
      </w:pPr>
      <w:bookmarkStart w:name="_TOC_250002" w:id="20"/>
      <w:r>
        <w:rPr/>
        <w:t>BILATERAL</w:t>
      </w:r>
      <w:r>
        <w:rPr>
          <w:spacing w:val="80"/>
        </w:rPr>
        <w:t> </w:t>
      </w:r>
      <w:r>
        <w:rPr/>
        <w:t>X-LINKED</w:t>
      </w:r>
      <w:r>
        <w:rPr>
          <w:spacing w:val="80"/>
        </w:rPr>
        <w:t> </w:t>
      </w:r>
      <w:r>
        <w:rPr/>
        <w:t>JUVENILE</w:t>
      </w:r>
      <w:r>
        <w:rPr>
          <w:spacing w:val="80"/>
        </w:rPr>
        <w:t> </w:t>
      </w:r>
      <w:r>
        <w:rPr/>
        <w:t>MACULAR</w:t>
      </w:r>
      <w:r>
        <w:rPr>
          <w:spacing w:val="80"/>
        </w:rPr>
        <w:t> </w:t>
      </w:r>
      <w:r>
        <w:rPr/>
        <w:t>RETINOSCHISIS</w:t>
      </w:r>
      <w:r>
        <w:rPr>
          <w:spacing w:val="80"/>
        </w:rPr>
        <w:t> </w:t>
      </w:r>
      <w:r>
        <w:rPr/>
        <w:t>-</w:t>
      </w:r>
      <w:r>
        <w:rPr>
          <w:spacing w:val="80"/>
        </w:rPr>
        <w:t> </w:t>
      </w:r>
      <w:r>
        <w:rPr/>
        <w:t>OBSERVATION</w:t>
      </w:r>
      <w:r>
        <w:rPr>
          <w:spacing w:val="80"/>
        </w:rPr>
        <w:t> </w:t>
      </w:r>
      <w:r>
        <w:rPr/>
        <w:t>AND </w:t>
      </w:r>
      <w:bookmarkEnd w:id="20"/>
      <w:r>
        <w:rPr>
          <w:spacing w:val="-2"/>
        </w:rPr>
        <w:t>TREATMENT</w:t>
      </w:r>
    </w:p>
    <w:p>
      <w:pPr>
        <w:pStyle w:val="BodyText"/>
        <w:spacing w:before="10"/>
        <w:rPr>
          <w:b/>
          <w:sz w:val="20"/>
        </w:rPr>
      </w:pPr>
    </w:p>
    <w:p>
      <w:pPr>
        <w:pStyle w:val="Heading2"/>
      </w:pPr>
      <w:bookmarkStart w:name="_TOC_250001" w:id="21"/>
      <w:r>
        <w:rPr/>
        <w:t>БИЛАТЕРАЛНА</w:t>
      </w:r>
      <w:r>
        <w:rPr>
          <w:spacing w:val="-13"/>
        </w:rPr>
        <w:t> </w:t>
      </w:r>
      <w:r>
        <w:rPr/>
        <w:t>ЈУВЕНИЛНА</w:t>
      </w:r>
      <w:r>
        <w:rPr>
          <w:spacing w:val="-8"/>
        </w:rPr>
        <w:t> </w:t>
      </w:r>
      <w:r>
        <w:rPr/>
        <w:t>МАКУЛАРНА</w:t>
      </w:r>
      <w:r>
        <w:rPr>
          <w:spacing w:val="-11"/>
        </w:rPr>
        <w:t> </w:t>
      </w:r>
      <w:r>
        <w:rPr/>
        <w:t>РЕТИНОШИЗА:</w:t>
      </w:r>
      <w:r>
        <w:rPr>
          <w:spacing w:val="-8"/>
        </w:rPr>
        <w:t> </w:t>
      </w:r>
      <w:r>
        <w:rPr/>
        <w:t>ОБСЕРВАЦИЈА</w:t>
      </w:r>
      <w:r>
        <w:rPr>
          <w:spacing w:val="-12"/>
        </w:rPr>
        <w:t> </w:t>
      </w:r>
      <w:r>
        <w:rPr/>
        <w:t>И</w:t>
      </w:r>
      <w:r>
        <w:rPr>
          <w:spacing w:val="-8"/>
        </w:rPr>
        <w:t> </w:t>
      </w:r>
      <w:bookmarkEnd w:id="21"/>
      <w:r>
        <w:rPr>
          <w:spacing w:val="-2"/>
        </w:rPr>
        <w:t>ТРЕТМАН</w:t>
      </w:r>
    </w:p>
    <w:p>
      <w:pPr>
        <w:pStyle w:val="BodyText"/>
        <w:spacing w:before="5"/>
        <w:rPr>
          <w:b/>
          <w:sz w:val="20"/>
        </w:rPr>
      </w:pPr>
    </w:p>
    <w:p>
      <w:pPr>
        <w:pStyle w:val="Heading1"/>
      </w:pPr>
      <w:bookmarkStart w:name="_TOC_250000" w:id="22"/>
      <w:r>
        <w:rPr/>
        <w:t>Natasha</w:t>
      </w:r>
      <w:r>
        <w:rPr>
          <w:spacing w:val="-5"/>
        </w:rPr>
        <w:t> </w:t>
      </w:r>
      <w:r>
        <w:rPr/>
        <w:t>Trpevska</w:t>
      </w:r>
      <w:r>
        <w:rPr>
          <w:spacing w:val="-3"/>
        </w:rPr>
        <w:t> </w:t>
      </w:r>
      <w:r>
        <w:rPr/>
        <w:t>Shekerinov,</w:t>
      </w:r>
      <w:r>
        <w:rPr>
          <w:spacing w:val="-1"/>
        </w:rPr>
        <w:t> </w:t>
      </w:r>
      <w:r>
        <w:rPr/>
        <w:t>Milena</w:t>
      </w:r>
      <w:r>
        <w:rPr>
          <w:spacing w:val="-3"/>
        </w:rPr>
        <w:t> </w:t>
      </w:r>
      <w:r>
        <w:rPr/>
        <w:t>Golubovic</w:t>
      </w:r>
      <w:r>
        <w:rPr>
          <w:spacing w:val="-3"/>
        </w:rPr>
        <w:t> </w:t>
      </w:r>
      <w:r>
        <w:rPr/>
        <w:t>and</w:t>
      </w:r>
      <w:r>
        <w:rPr>
          <w:spacing w:val="-1"/>
        </w:rPr>
        <w:t> </w:t>
      </w:r>
      <w:r>
        <w:rPr/>
        <w:t>Emilija</w:t>
      </w:r>
      <w:r>
        <w:rPr>
          <w:spacing w:val="-2"/>
        </w:rPr>
        <w:t> </w:t>
      </w:r>
      <w:r>
        <w:rPr/>
        <w:t>Gjosevska</w:t>
      </w:r>
      <w:r>
        <w:rPr>
          <w:spacing w:val="-3"/>
        </w:rPr>
        <w:t> </w:t>
      </w:r>
      <w:bookmarkEnd w:id="22"/>
      <w:r>
        <w:rPr>
          <w:spacing w:val="-2"/>
        </w:rPr>
        <w:t>Dashtevska</w:t>
      </w:r>
    </w:p>
    <w:p>
      <w:pPr>
        <w:pStyle w:val="BodyText"/>
        <w:spacing w:before="3"/>
      </w:pPr>
    </w:p>
    <w:p>
      <w:pPr>
        <w:spacing w:line="252" w:lineRule="exact" w:before="0"/>
        <w:ind w:left="238" w:right="0" w:firstLine="0"/>
        <w:jc w:val="left"/>
        <w:rPr>
          <w:sz w:val="22"/>
        </w:rPr>
      </w:pPr>
      <w:r>
        <w:rPr>
          <w:sz w:val="22"/>
          <w:vertAlign w:val="superscript"/>
        </w:rPr>
        <w:t>1</w:t>
      </w:r>
      <w:r>
        <w:rPr>
          <w:sz w:val="22"/>
          <w:vertAlign w:val="baseline"/>
        </w:rPr>
        <w:t>University</w:t>
      </w:r>
      <w:r>
        <w:rPr>
          <w:spacing w:val="33"/>
          <w:sz w:val="22"/>
          <w:vertAlign w:val="baseline"/>
        </w:rPr>
        <w:t> </w:t>
      </w:r>
      <w:r>
        <w:rPr>
          <w:sz w:val="22"/>
          <w:vertAlign w:val="baseline"/>
        </w:rPr>
        <w:t>Clinic</w:t>
      </w:r>
      <w:r>
        <w:rPr>
          <w:spacing w:val="38"/>
          <w:sz w:val="22"/>
          <w:vertAlign w:val="baseline"/>
        </w:rPr>
        <w:t> </w:t>
      </w:r>
      <w:r>
        <w:rPr>
          <w:sz w:val="22"/>
          <w:vertAlign w:val="baseline"/>
        </w:rPr>
        <w:t>for</w:t>
      </w:r>
      <w:r>
        <w:rPr>
          <w:spacing w:val="37"/>
          <w:sz w:val="22"/>
          <w:vertAlign w:val="baseline"/>
        </w:rPr>
        <w:t> </w:t>
      </w:r>
      <w:r>
        <w:rPr>
          <w:sz w:val="22"/>
          <w:vertAlign w:val="baseline"/>
        </w:rPr>
        <w:t>Eye</w:t>
      </w:r>
      <w:r>
        <w:rPr>
          <w:spacing w:val="37"/>
          <w:sz w:val="22"/>
          <w:vertAlign w:val="baseline"/>
        </w:rPr>
        <w:t> </w:t>
      </w:r>
      <w:r>
        <w:rPr>
          <w:sz w:val="22"/>
          <w:vertAlign w:val="baseline"/>
        </w:rPr>
        <w:t>Diseases,</w:t>
      </w:r>
      <w:r>
        <w:rPr>
          <w:spacing w:val="36"/>
          <w:sz w:val="22"/>
          <w:vertAlign w:val="baseline"/>
        </w:rPr>
        <w:t> </w:t>
      </w:r>
      <w:r>
        <w:rPr>
          <w:sz w:val="22"/>
          <w:vertAlign w:val="baseline"/>
        </w:rPr>
        <w:t>Faculty</w:t>
      </w:r>
      <w:r>
        <w:rPr>
          <w:spacing w:val="34"/>
          <w:sz w:val="22"/>
          <w:vertAlign w:val="baseline"/>
        </w:rPr>
        <w:t> </w:t>
      </w:r>
      <w:r>
        <w:rPr>
          <w:sz w:val="22"/>
          <w:vertAlign w:val="baseline"/>
        </w:rPr>
        <w:t>of</w:t>
      </w:r>
      <w:r>
        <w:rPr>
          <w:spacing w:val="37"/>
          <w:sz w:val="22"/>
          <w:vertAlign w:val="baseline"/>
        </w:rPr>
        <w:t> </w:t>
      </w:r>
      <w:r>
        <w:rPr>
          <w:sz w:val="22"/>
          <w:vertAlign w:val="baseline"/>
        </w:rPr>
        <w:t>Medicine,</w:t>
      </w:r>
      <w:r>
        <w:rPr>
          <w:spacing w:val="36"/>
          <w:sz w:val="22"/>
          <w:vertAlign w:val="baseline"/>
        </w:rPr>
        <w:t> </w:t>
      </w:r>
      <w:r>
        <w:rPr>
          <w:sz w:val="22"/>
          <w:vertAlign w:val="baseline"/>
        </w:rPr>
        <w:t>University</w:t>
      </w:r>
      <w:r>
        <w:rPr>
          <w:spacing w:val="34"/>
          <w:sz w:val="22"/>
          <w:vertAlign w:val="baseline"/>
        </w:rPr>
        <w:t> </w:t>
      </w:r>
      <w:r>
        <w:rPr>
          <w:sz w:val="22"/>
          <w:vertAlign w:val="baseline"/>
        </w:rPr>
        <w:t>"Ss</w:t>
      </w:r>
      <w:r>
        <w:rPr>
          <w:spacing w:val="36"/>
          <w:sz w:val="22"/>
          <w:vertAlign w:val="baseline"/>
        </w:rPr>
        <w:t> </w:t>
      </w:r>
      <w:r>
        <w:rPr>
          <w:sz w:val="22"/>
          <w:vertAlign w:val="baseline"/>
        </w:rPr>
        <w:t>Cyril</w:t>
      </w:r>
      <w:r>
        <w:rPr>
          <w:spacing w:val="34"/>
          <w:sz w:val="22"/>
          <w:vertAlign w:val="baseline"/>
        </w:rPr>
        <w:t> </w:t>
      </w:r>
      <w:r>
        <w:rPr>
          <w:sz w:val="22"/>
          <w:vertAlign w:val="baseline"/>
        </w:rPr>
        <w:t>and</w:t>
      </w:r>
      <w:r>
        <w:rPr>
          <w:spacing w:val="37"/>
          <w:sz w:val="22"/>
          <w:vertAlign w:val="baseline"/>
        </w:rPr>
        <w:t> </w:t>
      </w:r>
      <w:r>
        <w:rPr>
          <w:sz w:val="22"/>
          <w:vertAlign w:val="baseline"/>
        </w:rPr>
        <w:t>Methodius"</w:t>
      </w:r>
      <w:r>
        <w:rPr>
          <w:spacing w:val="41"/>
          <w:sz w:val="22"/>
          <w:vertAlign w:val="baseline"/>
        </w:rPr>
        <w:t> </w:t>
      </w:r>
      <w:r>
        <w:rPr>
          <w:spacing w:val="-2"/>
          <w:sz w:val="22"/>
          <w:vertAlign w:val="baseline"/>
        </w:rPr>
        <w:t>Skopje,</w:t>
      </w:r>
    </w:p>
    <w:p>
      <w:pPr>
        <w:spacing w:line="252" w:lineRule="exact" w:before="0"/>
        <w:ind w:left="238" w:right="0" w:firstLine="0"/>
        <w:jc w:val="left"/>
        <w:rPr>
          <w:sz w:val="22"/>
        </w:rPr>
      </w:pPr>
      <w:r>
        <w:rPr>
          <w:sz w:val="22"/>
          <w:vertAlign w:val="superscript"/>
        </w:rPr>
        <w:t>2</w:t>
      </w:r>
      <w:r>
        <w:rPr>
          <w:sz w:val="22"/>
          <w:vertAlign w:val="baseline"/>
        </w:rPr>
        <w:t>PZU</w:t>
      </w:r>
      <w:r>
        <w:rPr>
          <w:spacing w:val="-5"/>
          <w:sz w:val="22"/>
          <w:vertAlign w:val="baseline"/>
        </w:rPr>
        <w:t> </w:t>
      </w:r>
      <w:r>
        <w:rPr>
          <w:sz w:val="22"/>
          <w:vertAlign w:val="baseline"/>
        </w:rPr>
        <w:t>D-r</w:t>
      </w:r>
      <w:r>
        <w:rPr>
          <w:spacing w:val="-3"/>
          <w:sz w:val="22"/>
          <w:vertAlign w:val="baseline"/>
        </w:rPr>
        <w:t> </w:t>
      </w:r>
      <w:r>
        <w:rPr>
          <w:sz w:val="22"/>
          <w:vertAlign w:val="baseline"/>
        </w:rPr>
        <w:t>Bogoev,</w:t>
      </w:r>
      <w:r>
        <w:rPr>
          <w:spacing w:val="-3"/>
          <w:sz w:val="22"/>
          <w:vertAlign w:val="baseline"/>
        </w:rPr>
        <w:t> </w:t>
      </w:r>
      <w:r>
        <w:rPr>
          <w:sz w:val="22"/>
          <w:vertAlign w:val="baseline"/>
        </w:rPr>
        <w:t>Skopje,</w:t>
      </w:r>
      <w:r>
        <w:rPr>
          <w:spacing w:val="-5"/>
          <w:sz w:val="22"/>
          <w:vertAlign w:val="baseline"/>
        </w:rPr>
        <w:t> </w:t>
      </w:r>
      <w:r>
        <w:rPr>
          <w:sz w:val="22"/>
          <w:vertAlign w:val="baseline"/>
        </w:rPr>
        <w:t>Republic</w:t>
      </w:r>
      <w:r>
        <w:rPr>
          <w:spacing w:val="-4"/>
          <w:sz w:val="22"/>
          <w:vertAlign w:val="baseline"/>
        </w:rPr>
        <w:t> </w:t>
      </w:r>
      <w:r>
        <w:rPr>
          <w:sz w:val="22"/>
          <w:vertAlign w:val="baseline"/>
        </w:rPr>
        <w:t>of</w:t>
      </w:r>
      <w:r>
        <w:rPr>
          <w:spacing w:val="-3"/>
          <w:sz w:val="22"/>
          <w:vertAlign w:val="baseline"/>
        </w:rPr>
        <w:t> </w:t>
      </w:r>
      <w:r>
        <w:rPr>
          <w:sz w:val="22"/>
          <w:vertAlign w:val="baseline"/>
        </w:rPr>
        <w:t>North</w:t>
      </w:r>
      <w:r>
        <w:rPr>
          <w:spacing w:val="-6"/>
          <w:sz w:val="22"/>
          <w:vertAlign w:val="baseline"/>
        </w:rPr>
        <w:t> </w:t>
      </w:r>
      <w:r>
        <w:rPr>
          <w:spacing w:val="-2"/>
          <w:sz w:val="22"/>
          <w:vertAlign w:val="baseline"/>
        </w:rPr>
        <w:t>Macedonia</w:t>
      </w:r>
    </w:p>
    <w:p>
      <w:pPr>
        <w:pStyle w:val="BodyText"/>
        <w:spacing w:before="2"/>
        <w:rPr>
          <w:sz w:val="13"/>
        </w:rPr>
      </w:pPr>
    </w:p>
    <w:p>
      <w:pPr>
        <w:spacing w:after="0"/>
        <w:rPr>
          <w:sz w:val="13"/>
        </w:rPr>
        <w:sectPr>
          <w:headerReference w:type="default" r:id="rId529"/>
          <w:headerReference w:type="even" r:id="rId530"/>
          <w:pgSz w:w="11910" w:h="16840"/>
          <w:pgMar w:header="859" w:footer="0" w:top="1440" w:bottom="280" w:left="900" w:right="840"/>
        </w:sectPr>
      </w:pPr>
    </w:p>
    <w:p>
      <w:pPr>
        <w:pStyle w:val="Heading4"/>
        <w:spacing w:before="97"/>
      </w:pPr>
      <w:r>
        <w:rPr>
          <w:spacing w:val="-2"/>
        </w:rPr>
        <w:t>Abstract</w:t>
      </w:r>
    </w:p>
    <w:p>
      <w:pPr>
        <w:pStyle w:val="BodyText"/>
        <w:spacing w:before="6"/>
        <w:rPr>
          <w:b/>
          <w:sz w:val="20"/>
        </w:rPr>
      </w:pPr>
    </w:p>
    <w:p>
      <w:pPr>
        <w:pStyle w:val="BodyText"/>
        <w:ind w:left="238" w:right="38"/>
      </w:pPr>
      <w:r>
        <w:rPr/>
        <w:pict>
          <v:rect style="position:absolute;margin-left:145.820007pt;margin-top:155.862778pt;width:3.24pt;height:.47998pt;mso-position-horizontal-relative:page;mso-position-vertical-relative:paragraph;z-index:-17624064" id="docshape605" filled="true" fillcolor="#000000" stroked="false">
            <v:fill type="solid"/>
            <w10:wrap type="none"/>
          </v:rect>
        </w:pict>
      </w:r>
      <w:r>
        <w:rPr/>
        <w:t>We present a case report of</w:t>
      </w:r>
      <w:r>
        <w:rPr>
          <w:spacing w:val="-2"/>
        </w:rPr>
        <w:t> </w:t>
      </w:r>
      <w:r>
        <w:rPr/>
        <w:t>a 33-year-old man with bi- lateral</w:t>
      </w:r>
      <w:r>
        <w:rPr>
          <w:spacing w:val="-4"/>
        </w:rPr>
        <w:t> </w:t>
      </w:r>
      <w:r>
        <w:rPr/>
        <w:t>juvenile</w:t>
      </w:r>
      <w:r>
        <w:rPr>
          <w:spacing w:val="-3"/>
        </w:rPr>
        <w:t> </w:t>
      </w:r>
      <w:r>
        <w:rPr/>
        <w:t>foveomacular</w:t>
      </w:r>
      <w:r>
        <w:rPr>
          <w:spacing w:val="-4"/>
        </w:rPr>
        <w:t> </w:t>
      </w:r>
      <w:r>
        <w:rPr/>
        <w:t>retinoschisis.</w:t>
      </w:r>
      <w:r>
        <w:rPr>
          <w:spacing w:val="-3"/>
        </w:rPr>
        <w:t> </w:t>
      </w:r>
      <w:r>
        <w:rPr/>
        <w:t>The</w:t>
      </w:r>
      <w:r>
        <w:rPr>
          <w:spacing w:val="-3"/>
        </w:rPr>
        <w:t> </w:t>
      </w:r>
      <w:r>
        <w:rPr/>
        <w:t>patient </w:t>
      </w:r>
      <w:r>
        <w:rPr>
          <w:spacing w:val="-4"/>
        </w:rPr>
        <w:t>came to the</w:t>
      </w:r>
      <w:r>
        <w:rPr>
          <w:spacing w:val="-7"/>
        </w:rPr>
        <w:t> </w:t>
      </w:r>
      <w:r>
        <w:rPr>
          <w:spacing w:val="-4"/>
        </w:rPr>
        <w:t>University</w:t>
      </w:r>
      <w:r>
        <w:rPr>
          <w:spacing w:val="-9"/>
        </w:rPr>
        <w:t> </w:t>
      </w:r>
      <w:r>
        <w:rPr>
          <w:spacing w:val="-4"/>
        </w:rPr>
        <w:t>Clinic for</w:t>
      </w:r>
      <w:r>
        <w:rPr>
          <w:spacing w:val="-7"/>
        </w:rPr>
        <w:t> </w:t>
      </w:r>
      <w:r>
        <w:rPr>
          <w:spacing w:val="-4"/>
        </w:rPr>
        <w:t>Eye</w:t>
      </w:r>
      <w:r>
        <w:rPr>
          <w:spacing w:val="-7"/>
        </w:rPr>
        <w:t> </w:t>
      </w:r>
      <w:r>
        <w:rPr>
          <w:spacing w:val="-4"/>
        </w:rPr>
        <w:t>Diseases</w:t>
      </w:r>
      <w:r>
        <w:rPr>
          <w:spacing w:val="-5"/>
        </w:rPr>
        <w:t> </w:t>
      </w:r>
      <w:r>
        <w:rPr>
          <w:spacing w:val="-4"/>
        </w:rPr>
        <w:t>in</w:t>
      </w:r>
      <w:r>
        <w:rPr>
          <w:spacing w:val="-6"/>
        </w:rPr>
        <w:t> </w:t>
      </w:r>
      <w:r>
        <w:rPr>
          <w:spacing w:val="-4"/>
        </w:rPr>
        <w:t>Skopje, </w:t>
      </w:r>
      <w:r>
        <w:rPr/>
        <w:t>Department of Retinal Diseases and Vitreous Surgery and complained of progressive vision loss</w:t>
      </w:r>
      <w:r>
        <w:rPr>
          <w:spacing w:val="-1"/>
        </w:rPr>
        <w:t> </w:t>
      </w:r>
      <w:r>
        <w:rPr/>
        <w:t>in both eyes over the last few years, but with a significant decline</w:t>
      </w:r>
      <w:r>
        <w:rPr>
          <w:spacing w:val="40"/>
        </w:rPr>
        <w:t> </w:t>
      </w:r>
      <w:r>
        <w:rPr/>
        <w:t>in</w:t>
      </w:r>
      <w:r>
        <w:rPr>
          <w:spacing w:val="-6"/>
        </w:rPr>
        <w:t> </w:t>
      </w:r>
      <w:r>
        <w:rPr/>
        <w:t>visual</w:t>
      </w:r>
      <w:r>
        <w:rPr>
          <w:spacing w:val="-7"/>
        </w:rPr>
        <w:t> </w:t>
      </w:r>
      <w:r>
        <w:rPr/>
        <w:t>acuity</w:t>
      </w:r>
      <w:r>
        <w:rPr>
          <w:spacing w:val="-7"/>
        </w:rPr>
        <w:t> </w:t>
      </w:r>
      <w:r>
        <w:rPr/>
        <w:t>on</w:t>
      </w:r>
      <w:r>
        <w:rPr>
          <w:spacing w:val="-6"/>
        </w:rPr>
        <w:t> </w:t>
      </w:r>
      <w:r>
        <w:rPr/>
        <w:t>the</w:t>
      </w:r>
      <w:r>
        <w:rPr>
          <w:spacing w:val="-6"/>
        </w:rPr>
        <w:t> </w:t>
      </w:r>
      <w:r>
        <w:rPr/>
        <w:t>left</w:t>
      </w:r>
      <w:r>
        <w:rPr>
          <w:spacing w:val="-7"/>
        </w:rPr>
        <w:t> </w:t>
      </w:r>
      <w:r>
        <w:rPr/>
        <w:t>eye</w:t>
      </w:r>
      <w:r>
        <w:rPr>
          <w:spacing w:val="-7"/>
        </w:rPr>
        <w:t> </w:t>
      </w:r>
      <w:r>
        <w:rPr/>
        <w:t>in</w:t>
      </w:r>
      <w:r>
        <w:rPr>
          <w:spacing w:val="-3"/>
        </w:rPr>
        <w:t> </w:t>
      </w:r>
      <w:r>
        <w:rPr/>
        <w:t>the</w:t>
      </w:r>
      <w:r>
        <w:rPr>
          <w:spacing w:val="-6"/>
        </w:rPr>
        <w:t> </w:t>
      </w:r>
      <w:r>
        <w:rPr/>
        <w:t>last</w:t>
      </w:r>
      <w:r>
        <w:rPr>
          <w:spacing w:val="-7"/>
        </w:rPr>
        <w:t> </w:t>
      </w:r>
      <w:r>
        <w:rPr/>
        <w:t>year.</w:t>
      </w:r>
      <w:r>
        <w:rPr>
          <w:spacing w:val="-7"/>
        </w:rPr>
        <w:t> </w:t>
      </w:r>
      <w:r>
        <w:rPr/>
        <w:t>After</w:t>
      </w:r>
      <w:r>
        <w:rPr>
          <w:spacing w:val="-7"/>
        </w:rPr>
        <w:t> </w:t>
      </w:r>
      <w:r>
        <w:rPr/>
        <w:t>the examinations, he was diagnosed with X-linked juveni- le</w:t>
      </w:r>
      <w:r>
        <w:rPr>
          <w:spacing w:val="-3"/>
        </w:rPr>
        <w:t> </w:t>
      </w:r>
      <w:r>
        <w:rPr/>
        <w:t>retinoschisis</w:t>
      </w:r>
      <w:r>
        <w:rPr>
          <w:spacing w:val="-3"/>
        </w:rPr>
        <w:t> </w:t>
      </w:r>
      <w:r>
        <w:rPr/>
        <w:t>(XLJR).</w:t>
      </w:r>
      <w:r>
        <w:rPr>
          <w:spacing w:val="-3"/>
        </w:rPr>
        <w:t> </w:t>
      </w:r>
      <w:r>
        <w:rPr/>
        <w:t>The</w:t>
      </w:r>
      <w:r>
        <w:rPr>
          <w:spacing w:val="-6"/>
        </w:rPr>
        <w:t> </w:t>
      </w:r>
      <w:r>
        <w:rPr/>
        <w:t>finding</w:t>
      </w:r>
      <w:r>
        <w:rPr>
          <w:spacing w:val="-3"/>
        </w:rPr>
        <w:t> </w:t>
      </w:r>
      <w:r>
        <w:rPr/>
        <w:t>of</w:t>
      </w:r>
      <w:r>
        <w:rPr>
          <w:spacing w:val="-4"/>
        </w:rPr>
        <w:t> </w:t>
      </w:r>
      <w:r>
        <w:rPr/>
        <w:t>the</w:t>
      </w:r>
      <w:r>
        <w:rPr>
          <w:spacing w:val="-3"/>
        </w:rPr>
        <w:t> </w:t>
      </w:r>
      <w:r>
        <w:rPr/>
        <w:t>left</w:t>
      </w:r>
      <w:r>
        <w:rPr>
          <w:spacing w:val="-4"/>
        </w:rPr>
        <w:t> </w:t>
      </w:r>
      <w:r>
        <w:rPr/>
        <w:t>eye</w:t>
      </w:r>
      <w:r>
        <w:rPr>
          <w:spacing w:val="-3"/>
        </w:rPr>
        <w:t> </w:t>
      </w:r>
      <w:r>
        <w:rPr/>
        <w:t>was </w:t>
      </w:r>
      <w:r>
        <w:rPr>
          <w:spacing w:val="-2"/>
        </w:rPr>
        <w:t>more</w:t>
      </w:r>
      <w:r>
        <w:rPr>
          <w:spacing w:val="-12"/>
        </w:rPr>
        <w:t> </w:t>
      </w:r>
      <w:r>
        <w:rPr>
          <w:spacing w:val="-2"/>
        </w:rPr>
        <w:t>pronounced,</w:t>
      </w:r>
      <w:r>
        <w:rPr>
          <w:spacing w:val="-11"/>
        </w:rPr>
        <w:t> </w:t>
      </w:r>
      <w:r>
        <w:rPr>
          <w:spacing w:val="-2"/>
        </w:rPr>
        <w:t>with</w:t>
      </w:r>
      <w:r>
        <w:rPr>
          <w:spacing w:val="-11"/>
        </w:rPr>
        <w:t> </w:t>
      </w:r>
      <w:r>
        <w:rPr>
          <w:spacing w:val="-2"/>
        </w:rPr>
        <w:t>established</w:t>
      </w:r>
      <w:r>
        <w:rPr>
          <w:spacing w:val="-11"/>
        </w:rPr>
        <w:t> </w:t>
      </w:r>
      <w:r>
        <w:rPr>
          <w:spacing w:val="-2"/>
        </w:rPr>
        <w:t>macular</w:t>
      </w:r>
      <w:r>
        <w:rPr>
          <w:spacing w:val="-11"/>
        </w:rPr>
        <w:t> </w:t>
      </w:r>
      <w:r>
        <w:rPr>
          <w:spacing w:val="-2"/>
        </w:rPr>
        <w:t>hole,</w:t>
      </w:r>
      <w:r>
        <w:rPr>
          <w:spacing w:val="-11"/>
        </w:rPr>
        <w:t> </w:t>
      </w:r>
      <w:r>
        <w:rPr>
          <w:spacing w:val="-2"/>
        </w:rPr>
        <w:t>and</w:t>
      </w:r>
      <w:r>
        <w:rPr>
          <w:spacing w:val="-11"/>
        </w:rPr>
        <w:t> </w:t>
      </w:r>
      <w:r>
        <w:rPr>
          <w:spacing w:val="-2"/>
        </w:rPr>
        <w:t>the patient</w:t>
      </w:r>
      <w:r>
        <w:rPr>
          <w:spacing w:val="-12"/>
        </w:rPr>
        <w:t> </w:t>
      </w:r>
      <w:r>
        <w:rPr>
          <w:spacing w:val="-2"/>
        </w:rPr>
        <w:t>was</w:t>
      </w:r>
      <w:r>
        <w:rPr>
          <w:spacing w:val="-11"/>
        </w:rPr>
        <w:t> </w:t>
      </w:r>
      <w:r>
        <w:rPr>
          <w:spacing w:val="-2"/>
        </w:rPr>
        <w:t>surgically</w:t>
      </w:r>
      <w:r>
        <w:rPr>
          <w:spacing w:val="-11"/>
        </w:rPr>
        <w:t> </w:t>
      </w:r>
      <w:r>
        <w:rPr>
          <w:spacing w:val="-2"/>
        </w:rPr>
        <w:t>treated</w:t>
      </w:r>
      <w:r>
        <w:rPr>
          <w:spacing w:val="-11"/>
        </w:rPr>
        <w:t> </w:t>
      </w:r>
      <w:r>
        <w:rPr>
          <w:spacing w:val="-2"/>
        </w:rPr>
        <w:t>with</w:t>
      </w:r>
      <w:r>
        <w:rPr>
          <w:spacing w:val="-11"/>
        </w:rPr>
        <w:t> </w:t>
      </w:r>
      <w:r>
        <w:rPr>
          <w:spacing w:val="-2"/>
        </w:rPr>
        <w:t>pars</w:t>
      </w:r>
      <w:r>
        <w:rPr>
          <w:spacing w:val="-11"/>
        </w:rPr>
        <w:t> </w:t>
      </w:r>
      <w:r>
        <w:rPr>
          <w:spacing w:val="-2"/>
        </w:rPr>
        <w:t>plana</w:t>
      </w:r>
      <w:r>
        <w:rPr>
          <w:spacing w:val="-11"/>
        </w:rPr>
        <w:t> </w:t>
      </w:r>
      <w:r>
        <w:rPr>
          <w:spacing w:val="-2"/>
        </w:rPr>
        <w:t>vitrectomy. </w:t>
      </w:r>
      <w:r>
        <w:rPr/>
        <w:t>The condition of the right eye is still being monitored. The</w:t>
      </w:r>
      <w:r>
        <w:rPr>
          <w:spacing w:val="-9"/>
        </w:rPr>
        <w:t> </w:t>
      </w:r>
      <w:r>
        <w:rPr/>
        <w:t>aim</w:t>
      </w:r>
      <w:r>
        <w:rPr>
          <w:spacing w:val="-10"/>
        </w:rPr>
        <w:t> </w:t>
      </w:r>
      <w:r>
        <w:rPr/>
        <w:t>of</w:t>
      </w:r>
      <w:r>
        <w:rPr>
          <w:spacing w:val="-9"/>
        </w:rPr>
        <w:t> </w:t>
      </w:r>
      <w:r>
        <w:rPr/>
        <w:t>this</w:t>
      </w:r>
      <w:r>
        <w:rPr>
          <w:spacing w:val="-10"/>
        </w:rPr>
        <w:t> </w:t>
      </w:r>
      <w:r>
        <w:rPr/>
        <w:t>paper</w:t>
      </w:r>
      <w:r>
        <w:rPr>
          <w:spacing w:val="-7"/>
        </w:rPr>
        <w:t> </w:t>
      </w:r>
      <w:r>
        <w:rPr/>
        <w:t>was</w:t>
      </w:r>
      <w:r>
        <w:rPr>
          <w:spacing w:val="-10"/>
        </w:rPr>
        <w:t> </w:t>
      </w:r>
      <w:r>
        <w:rPr/>
        <w:t>to</w:t>
      </w:r>
      <w:r>
        <w:rPr>
          <w:spacing w:val="-8"/>
        </w:rPr>
        <w:t> </w:t>
      </w:r>
      <w:r>
        <w:rPr/>
        <w:t>present</w:t>
      </w:r>
      <w:r>
        <w:rPr>
          <w:spacing w:val="-9"/>
        </w:rPr>
        <w:t> </w:t>
      </w:r>
      <w:r>
        <w:rPr/>
        <w:t>the</w:t>
      </w:r>
      <w:r>
        <w:rPr>
          <w:spacing w:val="-9"/>
        </w:rPr>
        <w:t> </w:t>
      </w:r>
      <w:r>
        <w:rPr/>
        <w:t>anatomical</w:t>
      </w:r>
      <w:r>
        <w:rPr>
          <w:spacing w:val="-10"/>
        </w:rPr>
        <w:t> </w:t>
      </w:r>
      <w:r>
        <w:rPr/>
        <w:t>and </w:t>
      </w:r>
      <w:r>
        <w:rPr>
          <w:spacing w:val="-2"/>
        </w:rPr>
        <w:t>functional</w:t>
      </w:r>
      <w:r>
        <w:rPr>
          <w:spacing w:val="11"/>
        </w:rPr>
        <w:t> </w:t>
      </w:r>
      <w:r>
        <w:rPr>
          <w:spacing w:val="-2"/>
        </w:rPr>
        <w:t>results</w:t>
      </w:r>
      <w:r>
        <w:rPr>
          <w:spacing w:val="11"/>
        </w:rPr>
        <w:t> </w:t>
      </w:r>
      <w:r>
        <w:rPr>
          <w:spacing w:val="-2"/>
        </w:rPr>
        <w:t>of</w:t>
      </w:r>
      <w:r>
        <w:rPr>
          <w:spacing w:val="11"/>
        </w:rPr>
        <w:t> </w:t>
      </w:r>
      <w:r>
        <w:rPr>
          <w:spacing w:val="-2"/>
        </w:rPr>
        <w:t>surgical</w:t>
      </w:r>
      <w:r>
        <w:rPr>
          <w:spacing w:val="12"/>
        </w:rPr>
        <w:t> </w:t>
      </w:r>
      <w:r>
        <w:rPr>
          <w:spacing w:val="-2"/>
        </w:rPr>
        <w:t>treatment-vitrectomy</w:t>
      </w:r>
      <w:r>
        <w:rPr>
          <w:spacing w:val="9"/>
        </w:rPr>
        <w:t> </w:t>
      </w:r>
      <w:r>
        <w:rPr>
          <w:spacing w:val="-2"/>
        </w:rPr>
        <w:t>with </w:t>
      </w:r>
      <w:r>
        <w:rPr>
          <w:spacing w:val="-4"/>
        </w:rPr>
        <w:t>peeling</w:t>
      </w:r>
      <w:r>
        <w:rPr>
          <w:spacing w:val="-8"/>
        </w:rPr>
        <w:t> </w:t>
      </w:r>
      <w:r>
        <w:rPr>
          <w:spacing w:val="-4"/>
        </w:rPr>
        <w:t>of</w:t>
      </w:r>
      <w:r>
        <w:rPr>
          <w:spacing w:val="-7"/>
        </w:rPr>
        <w:t> </w:t>
      </w:r>
      <w:r>
        <w:rPr>
          <w:spacing w:val="-4"/>
        </w:rPr>
        <w:t>the</w:t>
      </w:r>
      <w:r>
        <w:rPr>
          <w:spacing w:val="-6"/>
        </w:rPr>
        <w:t> </w:t>
      </w:r>
      <w:r>
        <w:rPr>
          <w:spacing w:val="-4"/>
        </w:rPr>
        <w:t>inner</w:t>
      </w:r>
      <w:r>
        <w:rPr>
          <w:spacing w:val="-9"/>
        </w:rPr>
        <w:t> </w:t>
      </w:r>
      <w:r>
        <w:rPr>
          <w:spacing w:val="-4"/>
        </w:rPr>
        <w:t>border</w:t>
      </w:r>
      <w:r>
        <w:rPr>
          <w:spacing w:val="-7"/>
        </w:rPr>
        <w:t> </w:t>
      </w:r>
      <w:r>
        <w:rPr>
          <w:spacing w:val="-4"/>
        </w:rPr>
        <w:t>membrane</w:t>
      </w:r>
      <w:r>
        <w:rPr>
          <w:spacing w:val="-9"/>
        </w:rPr>
        <w:t> </w:t>
      </w:r>
      <w:r>
        <w:rPr>
          <w:spacing w:val="-4"/>
        </w:rPr>
        <w:t>and</w:t>
      </w:r>
      <w:r>
        <w:rPr>
          <w:spacing w:val="-8"/>
        </w:rPr>
        <w:t> </w:t>
      </w:r>
      <w:r>
        <w:rPr>
          <w:spacing w:val="-4"/>
        </w:rPr>
        <w:t>gas</w:t>
      </w:r>
      <w:r>
        <w:rPr>
          <w:spacing w:val="-7"/>
        </w:rPr>
        <w:t> </w:t>
      </w:r>
      <w:r>
        <w:rPr>
          <w:spacing w:val="-4"/>
        </w:rPr>
        <w:t>tamponade </w:t>
      </w:r>
      <w:r>
        <w:rPr/>
        <w:t>in</w:t>
      </w:r>
      <w:r>
        <w:rPr>
          <w:spacing w:val="21"/>
        </w:rPr>
        <w:t> </w:t>
      </w:r>
      <w:r>
        <w:rPr/>
        <w:t>foveal</w:t>
      </w:r>
      <w:r>
        <w:rPr>
          <w:spacing w:val="22"/>
        </w:rPr>
        <w:t> </w:t>
      </w:r>
      <w:r>
        <w:rPr/>
        <w:t>macular</w:t>
      </w:r>
      <w:r>
        <w:rPr>
          <w:spacing w:val="21"/>
        </w:rPr>
        <w:t> </w:t>
      </w:r>
      <w:r>
        <w:rPr/>
        <w:t>retinoschisis,</w:t>
      </w:r>
      <w:r>
        <w:rPr>
          <w:spacing w:val="22"/>
        </w:rPr>
        <w:t> </w:t>
      </w:r>
      <w:r>
        <w:rPr/>
        <w:t>as</w:t>
      </w:r>
      <w:r>
        <w:rPr>
          <w:spacing w:val="21"/>
        </w:rPr>
        <w:t> </w:t>
      </w:r>
      <w:r>
        <w:rPr/>
        <w:t>well</w:t>
      </w:r>
      <w:r>
        <w:rPr>
          <w:spacing w:val="22"/>
        </w:rPr>
        <w:t> </w:t>
      </w:r>
      <w:r>
        <w:rPr/>
        <w:t>as</w:t>
      </w:r>
      <w:r>
        <w:rPr>
          <w:spacing w:val="21"/>
        </w:rPr>
        <w:t> </w:t>
      </w:r>
      <w:r>
        <w:rPr/>
        <w:t>the</w:t>
      </w:r>
      <w:r>
        <w:rPr>
          <w:spacing w:val="22"/>
        </w:rPr>
        <w:t> </w:t>
      </w:r>
      <w:r>
        <w:rPr>
          <w:spacing w:val="-2"/>
        </w:rPr>
        <w:t>impor-</w:t>
      </w:r>
    </w:p>
    <w:p>
      <w:pPr>
        <w:pStyle w:val="BodyText"/>
        <w:spacing w:before="92"/>
        <w:ind w:left="238" w:right="291"/>
        <w:jc w:val="both"/>
      </w:pPr>
      <w:r>
        <w:rPr/>
        <w:br w:type="column"/>
      </w:r>
      <w:r>
        <w:rPr/>
        <w:t>на левото око беше повеќе изразен, со формирање на макуларна дупка, поради што пациентот беше хируршки третиран, бепе направена парс плана витректомија. Десното око се обсервира.</w:t>
      </w:r>
    </w:p>
    <w:p>
      <w:pPr>
        <w:pStyle w:val="BodyText"/>
        <w:ind w:left="238" w:right="290"/>
        <w:jc w:val="both"/>
      </w:pPr>
      <w:r>
        <w:rPr>
          <w:b/>
        </w:rPr>
        <w:t>Цел. </w:t>
      </w:r>
      <w:r>
        <w:rPr/>
        <w:t>Да се прикажат анатомските и функционал- ните резултати од хируршкиот третман витректо- мија со пилинг</w:t>
      </w:r>
      <w:r>
        <w:rPr>
          <w:spacing w:val="-1"/>
        </w:rPr>
        <w:t> </w:t>
      </w:r>
      <w:r>
        <w:rPr/>
        <w:t>на</w:t>
      </w:r>
      <w:r>
        <w:rPr>
          <w:spacing w:val="-1"/>
        </w:rPr>
        <w:t> </w:t>
      </w:r>
      <w:r>
        <w:rPr/>
        <w:t>внатрешната гранична мембрана и тампонада со гас кај фовеална макуларна рети- ношиза, како и значењето на долгорочната обсер- вацијата кај индивидуите со</w:t>
      </w:r>
      <w:r>
        <w:rPr>
          <w:spacing w:val="40"/>
        </w:rPr>
        <w:t> </w:t>
      </w:r>
      <w:r>
        <w:rPr/>
        <w:t>XLJR.</w:t>
      </w:r>
    </w:p>
    <w:p>
      <w:pPr>
        <w:pStyle w:val="BodyText"/>
        <w:ind w:left="238" w:right="290"/>
        <w:jc w:val="both"/>
      </w:pPr>
      <w:r>
        <w:rPr/>
        <w:t>Преку презентација на случајот сакаме и да го на- сочиме вниманието кон ова ретко генетско забо- лување,</w:t>
      </w:r>
      <w:r>
        <w:rPr>
          <w:spacing w:val="-2"/>
        </w:rPr>
        <w:t> </w:t>
      </w:r>
      <w:r>
        <w:rPr/>
        <w:t>кое</w:t>
      </w:r>
      <w:r>
        <w:rPr>
          <w:spacing w:val="-2"/>
        </w:rPr>
        <w:t> </w:t>
      </w:r>
      <w:r>
        <w:rPr/>
        <w:t>доведува</w:t>
      </w:r>
      <w:r>
        <w:rPr>
          <w:spacing w:val="-2"/>
        </w:rPr>
        <w:t> </w:t>
      </w:r>
      <w:r>
        <w:rPr/>
        <w:t>до</w:t>
      </w:r>
      <w:r>
        <w:rPr>
          <w:spacing w:val="-2"/>
        </w:rPr>
        <w:t> </w:t>
      </w:r>
      <w:r>
        <w:rPr/>
        <w:t>сериозни,</w:t>
      </w:r>
      <w:r>
        <w:rPr>
          <w:spacing w:val="-2"/>
        </w:rPr>
        <w:t> </w:t>
      </w:r>
      <w:r>
        <w:rPr/>
        <w:t>значителни</w:t>
      </w:r>
      <w:r>
        <w:rPr>
          <w:spacing w:val="-2"/>
        </w:rPr>
        <w:t> </w:t>
      </w:r>
      <w:r>
        <w:rPr/>
        <w:t>кон- секвенци по видната функција.</w:t>
      </w:r>
    </w:p>
    <w:p>
      <w:pPr>
        <w:pStyle w:val="BodyText"/>
      </w:pPr>
    </w:p>
    <w:p>
      <w:pPr>
        <w:pStyle w:val="BodyText"/>
        <w:ind w:left="238" w:right="290"/>
        <w:jc w:val="both"/>
      </w:pPr>
      <w:r>
        <w:rPr>
          <w:b/>
        </w:rPr>
        <w:t>Клучни зборови: </w:t>
      </w:r>
      <w:r>
        <w:rPr/>
        <w:t>билатерална макуларна X-</w:t>
      </w:r>
      <w:r>
        <w:rPr>
          <w:spacing w:val="40"/>
        </w:rPr>
        <w:t> </w:t>
      </w:r>
      <w:r>
        <w:rPr/>
        <w:t>врзана јувенилна ретиношиза (XLJR), генетски заболувања, витректомија.</w:t>
      </w:r>
    </w:p>
    <w:p>
      <w:pPr>
        <w:spacing w:after="0"/>
        <w:jc w:val="both"/>
        <w:sectPr>
          <w:type w:val="continuous"/>
          <w:pgSz w:w="11910" w:h="16840"/>
          <w:pgMar w:header="854" w:footer="0" w:top="740" w:bottom="0" w:left="900" w:right="840"/>
          <w:cols w:num="2" w:equalWidth="0">
            <w:col w:w="4918" w:space="80"/>
            <w:col w:w="5172"/>
          </w:cols>
        </w:sectPr>
      </w:pPr>
    </w:p>
    <w:p>
      <w:pPr>
        <w:pStyle w:val="BodyText"/>
        <w:tabs>
          <w:tab w:pos="5235" w:val="left" w:leader="none"/>
          <w:tab w:pos="9801" w:val="left" w:leader="none"/>
        </w:tabs>
        <w:spacing w:before="1"/>
        <w:ind w:left="238" w:right="365"/>
      </w:pPr>
      <w:r>
        <w:rPr/>
        <w:t>tance of long-term observation in individuals with XLJR.</w:t>
        <w:tab/>
      </w:r>
      <w:r>
        <w:rPr>
          <w:u w:val="single"/>
        </w:rPr>
        <w:tab/>
      </w:r>
      <w:r>
        <w:rPr/>
        <w:t> By presenting this case, we want to draw attention to</w:t>
      </w:r>
    </w:p>
    <w:p>
      <w:pPr>
        <w:spacing w:after="0"/>
        <w:sectPr>
          <w:type w:val="continuous"/>
          <w:pgSz w:w="11910" w:h="16840"/>
          <w:pgMar w:header="854" w:footer="0" w:top="740" w:bottom="0" w:left="900" w:right="840"/>
        </w:sectPr>
      </w:pPr>
    </w:p>
    <w:p>
      <w:pPr>
        <w:pStyle w:val="BodyText"/>
        <w:ind w:left="238"/>
      </w:pPr>
      <w:r>
        <w:rPr/>
        <w:t>this rare genetic disease, which leads to serious, signi- ficant consequences for visual function.</w:t>
      </w:r>
    </w:p>
    <w:p>
      <w:pPr>
        <w:pStyle w:val="BodyText"/>
        <w:spacing w:before="11"/>
        <w:rPr>
          <w:sz w:val="20"/>
        </w:rPr>
      </w:pPr>
    </w:p>
    <w:p>
      <w:pPr>
        <w:pStyle w:val="BodyText"/>
        <w:ind w:left="238"/>
      </w:pPr>
      <w:r>
        <w:rPr>
          <w:b/>
        </w:rPr>
        <w:t>Keywords: </w:t>
      </w:r>
      <w:r>
        <w:rPr/>
        <w:t>bilateral macular X-linked juvenile retinoschisis</w:t>
      </w:r>
      <w:r>
        <w:rPr>
          <w:spacing w:val="-9"/>
        </w:rPr>
        <w:t> </w:t>
      </w:r>
      <w:r>
        <w:rPr/>
        <w:t>(XLJR),</w:t>
      </w:r>
      <w:r>
        <w:rPr>
          <w:spacing w:val="-9"/>
        </w:rPr>
        <w:t> </w:t>
      </w:r>
      <w:r>
        <w:rPr/>
        <w:t>genetic</w:t>
      </w:r>
      <w:r>
        <w:rPr>
          <w:spacing w:val="-12"/>
        </w:rPr>
        <w:t> </w:t>
      </w:r>
      <w:r>
        <w:rPr/>
        <w:t>disorders,</w:t>
      </w:r>
      <w:r>
        <w:rPr>
          <w:spacing w:val="-9"/>
        </w:rPr>
        <w:t> </w:t>
      </w:r>
      <w:r>
        <w:rPr/>
        <w:t>vitrectomy</w:t>
      </w:r>
    </w:p>
    <w:p>
      <w:pPr>
        <w:pStyle w:val="BodyText"/>
        <w:spacing w:before="6"/>
        <w:rPr>
          <w:sz w:val="18"/>
        </w:rPr>
      </w:pPr>
      <w:r>
        <w:rPr/>
        <w:pict>
          <v:shape style="position:absolute;margin-left:56.903999pt;margin-top:11.855031pt;width:225.9pt;height:.1pt;mso-position-horizontal-relative:page;mso-position-vertical-relative:paragraph;z-index:-15698432;mso-wrap-distance-left:0;mso-wrap-distance-right:0" id="docshape606" coordorigin="1138,237" coordsize="4518,0" path="m1138,237l5655,237e" filled="false" stroked="true" strokeweight=".4224pt" strokecolor="#000000">
            <v:path arrowok="t"/>
            <v:stroke dashstyle="solid"/>
            <w10:wrap type="topAndBottom"/>
          </v:shape>
        </w:pict>
      </w:r>
    </w:p>
    <w:p>
      <w:pPr>
        <w:pStyle w:val="BodyText"/>
        <w:spacing w:before="4"/>
      </w:pPr>
    </w:p>
    <w:p>
      <w:pPr>
        <w:pStyle w:val="Heading4"/>
      </w:pPr>
      <w:r>
        <w:rPr>
          <w:spacing w:val="-2"/>
        </w:rPr>
        <w:t>Абстракт</w:t>
      </w:r>
    </w:p>
    <w:p>
      <w:pPr>
        <w:pStyle w:val="BodyText"/>
        <w:spacing w:before="6"/>
        <w:rPr>
          <w:b/>
          <w:sz w:val="20"/>
        </w:rPr>
      </w:pPr>
    </w:p>
    <w:p>
      <w:pPr>
        <w:pStyle w:val="BodyText"/>
        <w:ind w:left="238" w:right="38"/>
        <w:jc w:val="both"/>
      </w:pPr>
      <w:r>
        <w:rPr/>
        <w:t>Приказ</w:t>
      </w:r>
      <w:r>
        <w:rPr>
          <w:spacing w:val="-2"/>
        </w:rPr>
        <w:t> </w:t>
      </w:r>
      <w:r>
        <w:rPr/>
        <w:t>на</w:t>
      </w:r>
      <w:r>
        <w:rPr>
          <w:spacing w:val="-1"/>
        </w:rPr>
        <w:t> </w:t>
      </w:r>
      <w:r>
        <w:rPr/>
        <w:t>случај,</w:t>
      </w:r>
      <w:r>
        <w:rPr>
          <w:spacing w:val="-1"/>
        </w:rPr>
        <w:t> </w:t>
      </w:r>
      <w:r>
        <w:rPr/>
        <w:t>маж</w:t>
      </w:r>
      <w:r>
        <w:rPr>
          <w:spacing w:val="-1"/>
        </w:rPr>
        <w:t> </w:t>
      </w:r>
      <w:r>
        <w:rPr/>
        <w:t>на</w:t>
      </w:r>
      <w:r>
        <w:rPr>
          <w:spacing w:val="-1"/>
        </w:rPr>
        <w:t> </w:t>
      </w:r>
      <w:r>
        <w:rPr/>
        <w:t>33</w:t>
      </w:r>
      <w:r>
        <w:rPr>
          <w:spacing w:val="-1"/>
        </w:rPr>
        <w:t> </w:t>
      </w:r>
      <w:r>
        <w:rPr/>
        <w:t>год.</w:t>
      </w:r>
      <w:r>
        <w:rPr>
          <w:spacing w:val="-3"/>
        </w:rPr>
        <w:t> </w:t>
      </w:r>
      <w:r>
        <w:rPr/>
        <w:t>возраст</w:t>
      </w:r>
      <w:r>
        <w:rPr>
          <w:spacing w:val="-2"/>
        </w:rPr>
        <w:t> </w:t>
      </w:r>
      <w:r>
        <w:rPr/>
        <w:t>со</w:t>
      </w:r>
      <w:r>
        <w:rPr>
          <w:spacing w:val="-3"/>
        </w:rPr>
        <w:t> </w:t>
      </w:r>
      <w:r>
        <w:rPr/>
        <w:t>билате- рална јувенилна фовеомакуларна ретиношиза. Па- циентот се јави на Универзитетската Клиниката за очни болести во Скопје, на одделот за ретина и витреална хирургија и даде податок за прогресив- но намалување на видот, обострано, во период од последните неколку години, но со значителен пад во последната година, на левото око.</w:t>
      </w:r>
    </w:p>
    <w:p>
      <w:pPr>
        <w:pStyle w:val="BodyText"/>
        <w:spacing w:before="1"/>
        <w:ind w:left="238" w:right="38"/>
        <w:jc w:val="both"/>
      </w:pPr>
      <w:r>
        <w:rPr/>
        <w:t>По направените иследувања беше поставена дијаг- </w:t>
      </w:r>
      <w:r>
        <w:rPr>
          <w:spacing w:val="-2"/>
        </w:rPr>
        <w:t>ноза</w:t>
      </w:r>
      <w:r>
        <w:rPr>
          <w:spacing w:val="-12"/>
        </w:rPr>
        <w:t> </w:t>
      </w:r>
      <w:r>
        <w:rPr>
          <w:spacing w:val="-2"/>
        </w:rPr>
        <w:t>X-врзана</w:t>
      </w:r>
      <w:r>
        <w:rPr>
          <w:spacing w:val="-11"/>
        </w:rPr>
        <w:t> </w:t>
      </w:r>
      <w:r>
        <w:rPr>
          <w:spacing w:val="-2"/>
        </w:rPr>
        <w:t>јувенилна</w:t>
      </w:r>
      <w:r>
        <w:rPr>
          <w:spacing w:val="-11"/>
        </w:rPr>
        <w:t> </w:t>
      </w:r>
      <w:r>
        <w:rPr>
          <w:spacing w:val="-2"/>
        </w:rPr>
        <w:t>ретиношиза</w:t>
      </w:r>
      <w:r>
        <w:rPr>
          <w:spacing w:val="-11"/>
        </w:rPr>
        <w:t> </w:t>
      </w:r>
      <w:r>
        <w:rPr>
          <w:spacing w:val="-2"/>
        </w:rPr>
        <w:t>(XLJR).</w:t>
      </w:r>
      <w:r>
        <w:rPr>
          <w:spacing w:val="-11"/>
        </w:rPr>
        <w:t> </w:t>
      </w:r>
      <w:r>
        <w:rPr>
          <w:spacing w:val="-2"/>
        </w:rPr>
        <w:t>Наодот</w:t>
      </w:r>
    </w:p>
    <w:p>
      <w:pPr>
        <w:pStyle w:val="BodyText"/>
        <w:rPr>
          <w:sz w:val="20"/>
        </w:rPr>
      </w:pPr>
    </w:p>
    <w:p>
      <w:pPr>
        <w:pStyle w:val="BodyText"/>
        <w:spacing w:before="8"/>
        <w:rPr>
          <w:sz w:val="14"/>
        </w:rPr>
      </w:pPr>
      <w:r>
        <w:rPr/>
        <w:pict>
          <v:shape style="position:absolute;margin-left:56.903999pt;margin-top:9.685135pt;width:96.05pt;height:.1pt;mso-position-horizontal-relative:page;mso-position-vertical-relative:paragraph;z-index:-15697920;mso-wrap-distance-left:0;mso-wrap-distance-right:0" id="docshape607" coordorigin="1138,194" coordsize="1921,0" path="m1138,194l3059,194e" filled="false" stroked="true" strokeweight=".32964pt" strokecolor="#000000">
            <v:path arrowok="t"/>
            <v:stroke dashstyle="solid"/>
            <w10:wrap type="topAndBottom"/>
          </v:shape>
        </w:pict>
      </w:r>
    </w:p>
    <w:p>
      <w:pPr>
        <w:spacing w:before="0"/>
        <w:ind w:left="238" w:right="40" w:firstLine="0"/>
        <w:jc w:val="both"/>
        <w:rPr>
          <w:sz w:val="16"/>
        </w:rPr>
      </w:pPr>
      <w:r>
        <w:rPr>
          <w:i/>
          <w:sz w:val="16"/>
        </w:rPr>
        <w:t>Correspondence</w:t>
      </w:r>
      <w:r>
        <w:rPr>
          <w:i/>
          <w:spacing w:val="-4"/>
          <w:sz w:val="16"/>
        </w:rPr>
        <w:t> </w:t>
      </w:r>
      <w:r>
        <w:rPr>
          <w:i/>
          <w:sz w:val="16"/>
        </w:rPr>
        <w:t>to:</w:t>
      </w:r>
      <w:r>
        <w:rPr>
          <w:i/>
          <w:spacing w:val="80"/>
          <w:sz w:val="16"/>
        </w:rPr>
        <w:t> </w:t>
      </w:r>
      <w:r>
        <w:rPr>
          <w:sz w:val="16"/>
        </w:rPr>
        <w:t>Natasha T Shekerinov, University Eye Clinic-</w:t>
      </w:r>
      <w:r>
        <w:rPr>
          <w:spacing w:val="40"/>
          <w:sz w:val="16"/>
        </w:rPr>
        <w:t> </w:t>
      </w:r>
      <w:r>
        <w:rPr>
          <w:sz w:val="16"/>
        </w:rPr>
        <w:t>Skopje, R. N. Macedonia; E-mail: </w:t>
      </w:r>
      <w:hyperlink r:id="rId531">
        <w:r>
          <w:rPr>
            <w:sz w:val="16"/>
          </w:rPr>
          <w:t>n_trpevska@yahoo.com</w:t>
        </w:r>
      </w:hyperlink>
    </w:p>
    <w:p>
      <w:pPr>
        <w:pStyle w:val="Heading4"/>
        <w:spacing w:before="4"/>
      </w:pPr>
      <w:r>
        <w:rPr>
          <w:b w:val="0"/>
        </w:rPr>
        <w:br w:type="column"/>
      </w:r>
      <w:r>
        <w:rPr>
          <w:spacing w:val="-2"/>
        </w:rPr>
        <w:t>Introduction</w:t>
      </w:r>
    </w:p>
    <w:p>
      <w:pPr>
        <w:pStyle w:val="BodyText"/>
        <w:spacing w:before="6"/>
        <w:rPr>
          <w:b/>
          <w:sz w:val="20"/>
        </w:rPr>
      </w:pPr>
    </w:p>
    <w:p>
      <w:pPr>
        <w:pStyle w:val="BodyText"/>
        <w:ind w:left="238" w:right="293"/>
        <w:jc w:val="both"/>
      </w:pPr>
      <w:r>
        <w:rPr/>
        <w:t>X-linked juvenile retinoschisis (XLJR) is an inherited vitreoretinal</w:t>
      </w:r>
      <w:r>
        <w:rPr>
          <w:spacing w:val="-5"/>
        </w:rPr>
        <w:t> </w:t>
      </w:r>
      <w:r>
        <w:rPr/>
        <w:t>dystrophy</w:t>
      </w:r>
      <w:r>
        <w:rPr>
          <w:spacing w:val="-9"/>
        </w:rPr>
        <w:t> </w:t>
      </w:r>
      <w:r>
        <w:rPr/>
        <w:t>characterized</w:t>
      </w:r>
      <w:r>
        <w:rPr>
          <w:spacing w:val="-4"/>
        </w:rPr>
        <w:t> </w:t>
      </w:r>
      <w:r>
        <w:rPr/>
        <w:t>by</w:t>
      </w:r>
      <w:r>
        <w:rPr>
          <w:spacing w:val="-9"/>
        </w:rPr>
        <w:t> </w:t>
      </w:r>
      <w:r>
        <w:rPr/>
        <w:t>splitting</w:t>
      </w:r>
      <w:r>
        <w:rPr>
          <w:spacing w:val="-4"/>
        </w:rPr>
        <w:t> </w:t>
      </w:r>
      <w:r>
        <w:rPr/>
        <w:t>of</w:t>
      </w:r>
      <w:r>
        <w:rPr>
          <w:spacing w:val="-3"/>
        </w:rPr>
        <w:t> </w:t>
      </w:r>
      <w:r>
        <w:rPr/>
        <w:t>the neurosensory retina in the area of the macula and on the periphery of the retina.</w:t>
      </w:r>
    </w:p>
    <w:p>
      <w:pPr>
        <w:pStyle w:val="BodyText"/>
        <w:spacing w:before="1"/>
        <w:ind w:left="238" w:right="290"/>
        <w:jc w:val="both"/>
      </w:pPr>
      <w:r>
        <w:rPr/>
        <w:t>The splitting may be in a different layer of the neuro- sensory</w:t>
      </w:r>
      <w:r>
        <w:rPr>
          <w:spacing w:val="-2"/>
        </w:rPr>
        <w:t> </w:t>
      </w:r>
      <w:r>
        <w:rPr/>
        <w:t>retina, in the nerve fiber layer or the inner ple- xiform layer, the outer plexiform layer, or the outer nuclear layer [1]. XJR is a rare genetic disease with an incidence of 1/5000 to 1/25 000 [2].</w:t>
      </w:r>
    </w:p>
    <w:p>
      <w:pPr>
        <w:pStyle w:val="BodyText"/>
        <w:spacing w:before="1"/>
        <w:ind w:left="238" w:right="289"/>
        <w:jc w:val="both"/>
      </w:pPr>
      <w:r>
        <w:rPr/>
        <w:t>It</w:t>
      </w:r>
      <w:r>
        <w:rPr>
          <w:spacing w:val="-4"/>
        </w:rPr>
        <w:t> </w:t>
      </w:r>
      <w:r>
        <w:rPr/>
        <w:t>is</w:t>
      </w:r>
      <w:r>
        <w:rPr>
          <w:spacing w:val="-4"/>
        </w:rPr>
        <w:t> </w:t>
      </w:r>
      <w:r>
        <w:rPr/>
        <w:t>a</w:t>
      </w:r>
      <w:r>
        <w:rPr>
          <w:spacing w:val="-4"/>
        </w:rPr>
        <w:t> </w:t>
      </w:r>
      <w:r>
        <w:rPr/>
        <w:t>mutation</w:t>
      </w:r>
      <w:r>
        <w:rPr>
          <w:spacing w:val="-3"/>
        </w:rPr>
        <w:t> </w:t>
      </w:r>
      <w:r>
        <w:rPr/>
        <w:t>in</w:t>
      </w:r>
      <w:r>
        <w:rPr>
          <w:spacing w:val="-3"/>
        </w:rPr>
        <w:t> </w:t>
      </w:r>
      <w:r>
        <w:rPr/>
        <w:t>the</w:t>
      </w:r>
      <w:r>
        <w:rPr>
          <w:spacing w:val="-4"/>
        </w:rPr>
        <w:t> </w:t>
      </w:r>
      <w:r>
        <w:rPr/>
        <w:t>XLRS1</w:t>
      </w:r>
      <w:r>
        <w:rPr>
          <w:spacing w:val="-3"/>
        </w:rPr>
        <w:t> </w:t>
      </w:r>
      <w:r>
        <w:rPr/>
        <w:t>gene</w:t>
      </w:r>
      <w:r>
        <w:rPr>
          <w:spacing w:val="-4"/>
        </w:rPr>
        <w:t> </w:t>
      </w:r>
      <w:r>
        <w:rPr/>
        <w:t>located</w:t>
      </w:r>
      <w:r>
        <w:rPr>
          <w:spacing w:val="-3"/>
        </w:rPr>
        <w:t> </w:t>
      </w:r>
      <w:r>
        <w:rPr/>
        <w:t>on</w:t>
      </w:r>
      <w:r>
        <w:rPr>
          <w:spacing w:val="-3"/>
        </w:rPr>
        <w:t> </w:t>
      </w:r>
      <w:r>
        <w:rPr/>
        <w:t>the</w:t>
      </w:r>
      <w:r>
        <w:rPr>
          <w:spacing w:val="-4"/>
        </w:rPr>
        <w:t> </w:t>
      </w:r>
      <w:r>
        <w:rPr/>
        <w:t>short </w:t>
      </w:r>
      <w:r>
        <w:rPr>
          <w:spacing w:val="-6"/>
        </w:rPr>
        <w:t>arm of the X</w:t>
      </w:r>
      <w:r>
        <w:rPr>
          <w:spacing w:val="-1"/>
        </w:rPr>
        <w:t> </w:t>
      </w:r>
      <w:r>
        <w:rPr>
          <w:spacing w:val="-6"/>
        </w:rPr>
        <w:t>chromosome (Xp22.2-p22.1) [2,3]. The gene </w:t>
      </w:r>
      <w:r>
        <w:rPr/>
        <w:t>responsible for encoding the protein-retinoschisin is crucial for the formation of a junction between cells in the inner plexiform layer and synaptic connections between bipolar cells and photoreceptors [2]. In fact, the</w:t>
      </w:r>
      <w:r>
        <w:rPr>
          <w:spacing w:val="-2"/>
        </w:rPr>
        <w:t> </w:t>
      </w:r>
      <w:r>
        <w:rPr/>
        <w:t>dysfunction</w:t>
      </w:r>
      <w:r>
        <w:rPr>
          <w:spacing w:val="-2"/>
        </w:rPr>
        <w:t> </w:t>
      </w:r>
      <w:r>
        <w:rPr/>
        <w:t>of</w:t>
      </w:r>
      <w:r>
        <w:rPr>
          <w:spacing w:val="-3"/>
        </w:rPr>
        <w:t> </w:t>
      </w:r>
      <w:r>
        <w:rPr/>
        <w:t>this</w:t>
      </w:r>
      <w:r>
        <w:rPr>
          <w:spacing w:val="-3"/>
        </w:rPr>
        <w:t> </w:t>
      </w:r>
      <w:r>
        <w:rPr/>
        <w:t>protein</w:t>
      </w:r>
      <w:r>
        <w:rPr>
          <w:spacing w:val="-2"/>
        </w:rPr>
        <w:t> </w:t>
      </w:r>
      <w:r>
        <w:rPr/>
        <w:t>due</w:t>
      </w:r>
      <w:r>
        <w:rPr>
          <w:spacing w:val="-2"/>
        </w:rPr>
        <w:t> </w:t>
      </w:r>
      <w:r>
        <w:rPr/>
        <w:t>to</w:t>
      </w:r>
      <w:r>
        <w:rPr>
          <w:spacing w:val="-4"/>
        </w:rPr>
        <w:t> </w:t>
      </w:r>
      <w:r>
        <w:rPr/>
        <w:t>mutation</w:t>
      </w:r>
      <w:r>
        <w:rPr>
          <w:spacing w:val="-2"/>
        </w:rPr>
        <w:t> </w:t>
      </w:r>
      <w:r>
        <w:rPr/>
        <w:t>disrupts the structural integrity of the retina, leading to the formation of cysts and cystic cavities, which can deve- lop</w:t>
      </w:r>
      <w:r>
        <w:rPr>
          <w:spacing w:val="-1"/>
        </w:rPr>
        <w:t> </w:t>
      </w:r>
      <w:r>
        <w:rPr/>
        <w:t>in</w:t>
      </w:r>
      <w:r>
        <w:rPr>
          <w:spacing w:val="-1"/>
        </w:rPr>
        <w:t> </w:t>
      </w:r>
      <w:r>
        <w:rPr/>
        <w:t>all</w:t>
      </w:r>
      <w:r>
        <w:rPr>
          <w:spacing w:val="-2"/>
        </w:rPr>
        <w:t> </w:t>
      </w:r>
      <w:r>
        <w:rPr/>
        <w:t>layers</w:t>
      </w:r>
      <w:r>
        <w:rPr>
          <w:spacing w:val="-2"/>
        </w:rPr>
        <w:t> </w:t>
      </w:r>
      <w:r>
        <w:rPr/>
        <w:t>of</w:t>
      </w:r>
      <w:r>
        <w:rPr>
          <w:spacing w:val="-2"/>
        </w:rPr>
        <w:t> </w:t>
      </w:r>
      <w:r>
        <w:rPr/>
        <w:t>the</w:t>
      </w:r>
      <w:r>
        <w:rPr>
          <w:spacing w:val="-1"/>
        </w:rPr>
        <w:t> </w:t>
      </w:r>
      <w:r>
        <w:rPr/>
        <w:t>retina</w:t>
      </w:r>
      <w:r>
        <w:rPr>
          <w:spacing w:val="-2"/>
        </w:rPr>
        <w:t> </w:t>
      </w:r>
      <w:r>
        <w:rPr/>
        <w:t>[4].</w:t>
      </w:r>
      <w:r>
        <w:rPr>
          <w:spacing w:val="-1"/>
        </w:rPr>
        <w:t> </w:t>
      </w:r>
      <w:r>
        <w:rPr/>
        <w:t>Given</w:t>
      </w:r>
      <w:r>
        <w:rPr>
          <w:spacing w:val="-1"/>
        </w:rPr>
        <w:t> </w:t>
      </w:r>
      <w:r>
        <w:rPr/>
        <w:t>that</w:t>
      </w:r>
      <w:r>
        <w:rPr>
          <w:spacing w:val="-2"/>
        </w:rPr>
        <w:t> </w:t>
      </w:r>
      <w:r>
        <w:rPr/>
        <w:t>the</w:t>
      </w:r>
      <w:r>
        <w:rPr>
          <w:spacing w:val="-4"/>
        </w:rPr>
        <w:t> </w:t>
      </w:r>
      <w:r>
        <w:rPr/>
        <w:t>disease is X-linked, men are affected and women are carriers [3].</w:t>
      </w:r>
      <w:r>
        <w:rPr>
          <w:spacing w:val="-5"/>
        </w:rPr>
        <w:t> </w:t>
      </w:r>
      <w:r>
        <w:rPr/>
        <w:t>After</w:t>
      </w:r>
      <w:r>
        <w:rPr>
          <w:spacing w:val="-2"/>
        </w:rPr>
        <w:t> </w:t>
      </w:r>
      <w:r>
        <w:rPr/>
        <w:t>all,</w:t>
      </w:r>
      <w:r>
        <w:rPr>
          <w:spacing w:val="-2"/>
        </w:rPr>
        <w:t> </w:t>
      </w:r>
      <w:r>
        <w:rPr/>
        <w:t>in</w:t>
      </w:r>
      <w:r>
        <w:rPr>
          <w:spacing w:val="-1"/>
        </w:rPr>
        <w:t> </w:t>
      </w:r>
      <w:r>
        <w:rPr/>
        <w:t>mothers</w:t>
      </w:r>
      <w:r>
        <w:rPr>
          <w:spacing w:val="-2"/>
        </w:rPr>
        <w:t> </w:t>
      </w:r>
      <w:r>
        <w:rPr/>
        <w:t>who</w:t>
      </w:r>
      <w:r>
        <w:rPr>
          <w:spacing w:val="-2"/>
        </w:rPr>
        <w:t> </w:t>
      </w:r>
      <w:r>
        <w:rPr/>
        <w:t>carry</w:t>
      </w:r>
      <w:r>
        <w:rPr>
          <w:spacing w:val="-4"/>
        </w:rPr>
        <w:t> </w:t>
      </w:r>
      <w:r>
        <w:rPr/>
        <w:t>the</w:t>
      </w:r>
      <w:r>
        <w:rPr>
          <w:spacing w:val="-3"/>
        </w:rPr>
        <w:t> </w:t>
      </w:r>
      <w:r>
        <w:rPr/>
        <w:t>gene,</w:t>
      </w:r>
      <w:r>
        <w:rPr>
          <w:spacing w:val="-2"/>
        </w:rPr>
        <w:t> </w:t>
      </w:r>
      <w:r>
        <w:rPr/>
        <w:t>her</w:t>
      </w:r>
      <w:r>
        <w:rPr>
          <w:spacing w:val="-2"/>
        </w:rPr>
        <w:t> fema-</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5"/>
        <w:rPr>
          <w:sz w:val="15"/>
        </w:rPr>
      </w:pPr>
    </w:p>
    <w:p>
      <w:pPr>
        <w:spacing w:after="0"/>
        <w:rPr>
          <w:sz w:val="15"/>
        </w:rPr>
        <w:sectPr>
          <w:pgSz w:w="11910" w:h="16840"/>
          <w:pgMar w:header="854" w:footer="0" w:top="1280" w:bottom="280" w:left="900" w:right="840"/>
        </w:sectPr>
      </w:pPr>
    </w:p>
    <w:p>
      <w:pPr>
        <w:pStyle w:val="BodyText"/>
        <w:spacing w:before="92"/>
        <w:ind w:left="238" w:right="41"/>
        <w:jc w:val="both"/>
      </w:pPr>
      <w:r>
        <w:rPr/>
        <w:t>le children can be 50% carriers, and her male children have a 50% incidence of developing the disease.</w:t>
      </w:r>
    </w:p>
    <w:p>
      <w:pPr>
        <w:pStyle w:val="BodyText"/>
        <w:ind w:left="238" w:right="39"/>
        <w:jc w:val="both"/>
      </w:pPr>
      <w:r>
        <w:rPr/>
        <w:t>Men with a gene mutation can not pass it on to their sons, but their daughters will be carriers [4]. Although rare, however, if both parents are affected, XLJR may also occur in girls [4].</w:t>
      </w:r>
    </w:p>
    <w:p>
      <w:pPr>
        <w:pStyle w:val="BodyText"/>
        <w:spacing w:before="1"/>
        <w:ind w:left="238" w:right="9"/>
      </w:pPr>
      <w:r>
        <w:rPr/>
        <w:t>The disease is characterized by</w:t>
      </w:r>
      <w:r>
        <w:rPr>
          <w:spacing w:val="-1"/>
        </w:rPr>
        <w:t> </w:t>
      </w:r>
      <w:r>
        <w:rPr/>
        <w:t>a slow course, reduced </w:t>
      </w:r>
      <w:r>
        <w:rPr>
          <w:spacing w:val="-4"/>
        </w:rPr>
        <w:t>visual</w:t>
      </w:r>
      <w:r>
        <w:rPr>
          <w:spacing w:val="-10"/>
        </w:rPr>
        <w:t> </w:t>
      </w:r>
      <w:r>
        <w:rPr>
          <w:spacing w:val="-4"/>
        </w:rPr>
        <w:t>acuity,</w:t>
      </w:r>
      <w:r>
        <w:rPr>
          <w:spacing w:val="-9"/>
        </w:rPr>
        <w:t> </w:t>
      </w:r>
      <w:r>
        <w:rPr>
          <w:spacing w:val="-4"/>
        </w:rPr>
        <w:t>and</w:t>
      </w:r>
      <w:r>
        <w:rPr>
          <w:spacing w:val="-9"/>
        </w:rPr>
        <w:t> </w:t>
      </w:r>
      <w:r>
        <w:rPr>
          <w:spacing w:val="-4"/>
        </w:rPr>
        <w:t>progressive</w:t>
      </w:r>
      <w:r>
        <w:rPr>
          <w:spacing w:val="-9"/>
        </w:rPr>
        <w:t> </w:t>
      </w:r>
      <w:r>
        <w:rPr>
          <w:spacing w:val="-4"/>
        </w:rPr>
        <w:t>scotomas</w:t>
      </w:r>
      <w:r>
        <w:rPr>
          <w:spacing w:val="-9"/>
        </w:rPr>
        <w:t> </w:t>
      </w:r>
      <w:r>
        <w:rPr>
          <w:spacing w:val="-4"/>
        </w:rPr>
        <w:t>in</w:t>
      </w:r>
      <w:r>
        <w:rPr>
          <w:spacing w:val="-9"/>
        </w:rPr>
        <w:t> </w:t>
      </w:r>
      <w:r>
        <w:rPr>
          <w:spacing w:val="-4"/>
        </w:rPr>
        <w:t>the</w:t>
      </w:r>
      <w:r>
        <w:rPr>
          <w:spacing w:val="-9"/>
        </w:rPr>
        <w:t> </w:t>
      </w:r>
      <w:r>
        <w:rPr>
          <w:spacing w:val="-4"/>
        </w:rPr>
        <w:t>visual</w:t>
      </w:r>
      <w:r>
        <w:rPr>
          <w:spacing w:val="-9"/>
        </w:rPr>
        <w:t> </w:t>
      </w:r>
      <w:r>
        <w:rPr>
          <w:spacing w:val="-4"/>
        </w:rPr>
        <w:t>field, </w:t>
      </w:r>
      <w:r>
        <w:rPr/>
        <w:t>corresponding to areas of the affected retina. XLJR is present at birth and the symptoms progress over time. The onset of the disease is early, between 5-6</w:t>
      </w:r>
      <w:r>
        <w:rPr>
          <w:spacing w:val="28"/>
        </w:rPr>
        <w:t> </w:t>
      </w:r>
      <w:r>
        <w:rPr/>
        <w:t>years,</w:t>
      </w:r>
      <w:r>
        <w:rPr>
          <w:spacing w:val="40"/>
        </w:rPr>
        <w:t> </w:t>
      </w:r>
      <w:r>
        <w:rPr>
          <w:spacing w:val="-2"/>
        </w:rPr>
        <w:t>and</w:t>
      </w:r>
      <w:r>
        <w:rPr>
          <w:spacing w:val="-12"/>
        </w:rPr>
        <w:t> </w:t>
      </w:r>
      <w:r>
        <w:rPr>
          <w:spacing w:val="-2"/>
        </w:rPr>
        <w:t>children</w:t>
      </w:r>
      <w:r>
        <w:rPr>
          <w:spacing w:val="-11"/>
        </w:rPr>
        <w:t> </w:t>
      </w:r>
      <w:r>
        <w:rPr>
          <w:spacing w:val="-2"/>
        </w:rPr>
        <w:t>have</w:t>
      </w:r>
      <w:r>
        <w:rPr>
          <w:spacing w:val="-11"/>
        </w:rPr>
        <w:t> </w:t>
      </w:r>
      <w:r>
        <w:rPr>
          <w:spacing w:val="-2"/>
        </w:rPr>
        <w:t>difficulty</w:t>
      </w:r>
      <w:r>
        <w:rPr>
          <w:spacing w:val="-11"/>
        </w:rPr>
        <w:t> </w:t>
      </w:r>
      <w:r>
        <w:rPr>
          <w:spacing w:val="-2"/>
        </w:rPr>
        <w:t>reading</w:t>
      </w:r>
      <w:r>
        <w:rPr>
          <w:spacing w:val="-11"/>
        </w:rPr>
        <w:t> </w:t>
      </w:r>
      <w:r>
        <w:rPr>
          <w:spacing w:val="-2"/>
        </w:rPr>
        <w:t>due</w:t>
      </w:r>
      <w:r>
        <w:rPr>
          <w:spacing w:val="-11"/>
        </w:rPr>
        <w:t> </w:t>
      </w:r>
      <w:r>
        <w:rPr>
          <w:spacing w:val="-2"/>
        </w:rPr>
        <w:t>to</w:t>
      </w:r>
      <w:r>
        <w:rPr>
          <w:spacing w:val="-11"/>
        </w:rPr>
        <w:t> </w:t>
      </w:r>
      <w:r>
        <w:rPr>
          <w:spacing w:val="-2"/>
        </w:rPr>
        <w:t>blurred</w:t>
      </w:r>
      <w:r>
        <w:rPr>
          <w:spacing w:val="-11"/>
        </w:rPr>
        <w:t> </w:t>
      </w:r>
      <w:r>
        <w:rPr>
          <w:spacing w:val="-2"/>
        </w:rPr>
        <w:t>vision </w:t>
      </w:r>
      <w:r>
        <w:rPr>
          <w:spacing w:val="-4"/>
        </w:rPr>
        <w:t>and</w:t>
      </w:r>
      <w:r>
        <w:rPr>
          <w:spacing w:val="-9"/>
        </w:rPr>
        <w:t> </w:t>
      </w:r>
      <w:r>
        <w:rPr>
          <w:spacing w:val="-4"/>
        </w:rPr>
        <w:t>are</w:t>
      </w:r>
      <w:r>
        <w:rPr>
          <w:spacing w:val="-9"/>
        </w:rPr>
        <w:t> </w:t>
      </w:r>
      <w:r>
        <w:rPr>
          <w:spacing w:val="-4"/>
        </w:rPr>
        <w:t>usually</w:t>
      </w:r>
      <w:r>
        <w:rPr>
          <w:spacing w:val="-11"/>
        </w:rPr>
        <w:t> </w:t>
      </w:r>
      <w:r>
        <w:rPr>
          <w:spacing w:val="-4"/>
        </w:rPr>
        <w:t>diagnosed</w:t>
      </w:r>
      <w:r>
        <w:rPr>
          <w:spacing w:val="-6"/>
        </w:rPr>
        <w:t> </w:t>
      </w:r>
      <w:r>
        <w:rPr>
          <w:spacing w:val="-4"/>
        </w:rPr>
        <w:t>on</w:t>
      </w:r>
      <w:r>
        <w:rPr>
          <w:spacing w:val="-9"/>
        </w:rPr>
        <w:t> </w:t>
      </w:r>
      <w:r>
        <w:rPr>
          <w:spacing w:val="-4"/>
        </w:rPr>
        <w:t>routine</w:t>
      </w:r>
      <w:r>
        <w:rPr>
          <w:spacing w:val="-9"/>
        </w:rPr>
        <w:t> </w:t>
      </w:r>
      <w:r>
        <w:rPr>
          <w:spacing w:val="-4"/>
        </w:rPr>
        <w:t>systematic</w:t>
      </w:r>
      <w:r>
        <w:rPr>
          <w:spacing w:val="-9"/>
        </w:rPr>
        <w:t> </w:t>
      </w:r>
      <w:r>
        <w:rPr>
          <w:spacing w:val="-4"/>
        </w:rPr>
        <w:t>examina- </w:t>
      </w:r>
      <w:r>
        <w:rPr/>
        <w:t>tions, with a visual acuity between 20/200 and 20/50 [1,2]. Hyperopia and nystagmus are also common [3]. The</w:t>
      </w:r>
      <w:r>
        <w:rPr>
          <w:spacing w:val="-3"/>
        </w:rPr>
        <w:t> </w:t>
      </w:r>
      <w:r>
        <w:rPr/>
        <w:t>diagnosis</w:t>
      </w:r>
      <w:r>
        <w:rPr>
          <w:spacing w:val="-3"/>
        </w:rPr>
        <w:t> </w:t>
      </w:r>
      <w:r>
        <w:rPr/>
        <w:t>of</w:t>
      </w:r>
      <w:r>
        <w:rPr>
          <w:spacing w:val="-4"/>
        </w:rPr>
        <w:t> </w:t>
      </w:r>
      <w:r>
        <w:rPr/>
        <w:t>XLJR</w:t>
      </w:r>
      <w:r>
        <w:rPr>
          <w:spacing w:val="-3"/>
        </w:rPr>
        <w:t> </w:t>
      </w:r>
      <w:r>
        <w:rPr/>
        <w:t>is</w:t>
      </w:r>
      <w:r>
        <w:rPr>
          <w:spacing w:val="-3"/>
        </w:rPr>
        <w:t> </w:t>
      </w:r>
      <w:r>
        <w:rPr/>
        <w:t>made</w:t>
      </w:r>
      <w:r>
        <w:rPr>
          <w:spacing w:val="-3"/>
        </w:rPr>
        <w:t> </w:t>
      </w:r>
      <w:r>
        <w:rPr/>
        <w:t>by</w:t>
      </w:r>
      <w:r>
        <w:rPr>
          <w:spacing w:val="-8"/>
        </w:rPr>
        <w:t> </w:t>
      </w:r>
      <w:r>
        <w:rPr/>
        <w:t>fundus</w:t>
      </w:r>
      <w:r>
        <w:rPr>
          <w:spacing w:val="-4"/>
        </w:rPr>
        <w:t> </w:t>
      </w:r>
      <w:r>
        <w:rPr/>
        <w:t>examination where</w:t>
      </w:r>
      <w:r>
        <w:rPr>
          <w:spacing w:val="-3"/>
        </w:rPr>
        <w:t> </w:t>
      </w:r>
      <w:r>
        <w:rPr/>
        <w:t>splitting</w:t>
      </w:r>
      <w:r>
        <w:rPr>
          <w:spacing w:val="-3"/>
        </w:rPr>
        <w:t> </w:t>
      </w:r>
      <w:r>
        <w:rPr/>
        <w:t>of</w:t>
      </w:r>
      <w:r>
        <w:rPr>
          <w:spacing w:val="-3"/>
        </w:rPr>
        <w:t> </w:t>
      </w:r>
      <w:r>
        <w:rPr/>
        <w:t>the</w:t>
      </w:r>
      <w:r>
        <w:rPr>
          <w:spacing w:val="-3"/>
        </w:rPr>
        <w:t> </w:t>
      </w:r>
      <w:r>
        <w:rPr/>
        <w:t>retinal</w:t>
      </w:r>
      <w:r>
        <w:rPr>
          <w:spacing w:val="-2"/>
        </w:rPr>
        <w:t> </w:t>
      </w:r>
      <w:r>
        <w:rPr/>
        <w:t>layers</w:t>
      </w:r>
      <w:r>
        <w:rPr>
          <w:spacing w:val="-3"/>
        </w:rPr>
        <w:t> </w:t>
      </w:r>
      <w:r>
        <w:rPr/>
        <w:t>can</w:t>
      </w:r>
      <w:r>
        <w:rPr>
          <w:spacing w:val="-3"/>
        </w:rPr>
        <w:t> </w:t>
      </w:r>
      <w:r>
        <w:rPr/>
        <w:t>be</w:t>
      </w:r>
      <w:r>
        <w:rPr>
          <w:spacing w:val="-3"/>
        </w:rPr>
        <w:t> </w:t>
      </w:r>
      <w:r>
        <w:rPr/>
        <w:t>seen,</w:t>
      </w:r>
      <w:r>
        <w:rPr>
          <w:spacing w:val="-3"/>
        </w:rPr>
        <w:t> </w:t>
      </w:r>
      <w:r>
        <w:rPr/>
        <w:t>and</w:t>
      </w:r>
      <w:r>
        <w:rPr>
          <w:spacing w:val="-3"/>
        </w:rPr>
        <w:t> </w:t>
      </w:r>
      <w:r>
        <w:rPr/>
        <w:t>by additional examinations such as optical coherence to- mography of the posterior segment of the eye (OCT), </w:t>
      </w:r>
      <w:r>
        <w:rPr>
          <w:spacing w:val="-6"/>
        </w:rPr>
        <w:t>ultrasound, computed perimeter, electroretinogram (ERG) </w:t>
      </w:r>
      <w:r>
        <w:rPr/>
        <w:t>and visual evoked potentials (VEP).</w:t>
      </w:r>
    </w:p>
    <w:p>
      <w:pPr>
        <w:pStyle w:val="BodyText"/>
        <w:ind w:left="238" w:right="43"/>
        <w:jc w:val="both"/>
      </w:pPr>
      <w:r>
        <w:rPr>
          <w:spacing w:val="-2"/>
        </w:rPr>
        <w:t>The</w:t>
      </w:r>
      <w:r>
        <w:rPr>
          <w:spacing w:val="-10"/>
        </w:rPr>
        <w:t> </w:t>
      </w:r>
      <w:r>
        <w:rPr>
          <w:spacing w:val="-2"/>
        </w:rPr>
        <w:t>juvenile</w:t>
      </w:r>
      <w:r>
        <w:rPr>
          <w:spacing w:val="-8"/>
        </w:rPr>
        <w:t> </w:t>
      </w:r>
      <w:r>
        <w:rPr>
          <w:spacing w:val="-2"/>
        </w:rPr>
        <w:t>form</w:t>
      </w:r>
      <w:r>
        <w:rPr>
          <w:spacing w:val="-10"/>
        </w:rPr>
        <w:t> </w:t>
      </w:r>
      <w:r>
        <w:rPr>
          <w:spacing w:val="-2"/>
        </w:rPr>
        <w:t>of</w:t>
      </w:r>
      <w:r>
        <w:rPr>
          <w:spacing w:val="-8"/>
        </w:rPr>
        <w:t> </w:t>
      </w:r>
      <w:r>
        <w:rPr>
          <w:spacing w:val="-2"/>
        </w:rPr>
        <w:t>retinoschisis</w:t>
      </w:r>
      <w:r>
        <w:rPr>
          <w:spacing w:val="-8"/>
        </w:rPr>
        <w:t> </w:t>
      </w:r>
      <w:r>
        <w:rPr>
          <w:spacing w:val="-2"/>
        </w:rPr>
        <w:t>is</w:t>
      </w:r>
      <w:r>
        <w:rPr>
          <w:spacing w:val="-10"/>
        </w:rPr>
        <w:t> </w:t>
      </w:r>
      <w:r>
        <w:rPr>
          <w:spacing w:val="-2"/>
        </w:rPr>
        <w:t>a</w:t>
      </w:r>
      <w:r>
        <w:rPr>
          <w:spacing w:val="-8"/>
        </w:rPr>
        <w:t> </w:t>
      </w:r>
      <w:r>
        <w:rPr>
          <w:spacing w:val="-2"/>
        </w:rPr>
        <w:t>more</w:t>
      </w:r>
      <w:r>
        <w:rPr>
          <w:spacing w:val="-10"/>
        </w:rPr>
        <w:t> </w:t>
      </w:r>
      <w:r>
        <w:rPr>
          <w:spacing w:val="-2"/>
        </w:rPr>
        <w:t>severe</w:t>
      </w:r>
      <w:r>
        <w:rPr>
          <w:spacing w:val="-8"/>
        </w:rPr>
        <w:t> </w:t>
      </w:r>
      <w:r>
        <w:rPr>
          <w:spacing w:val="-2"/>
        </w:rPr>
        <w:t>form, </w:t>
      </w:r>
      <w:r>
        <w:rPr/>
        <w:t>while the acquired form may remain asymptomatic. Acquired form usually occurs between 50-70 years,</w:t>
      </w:r>
      <w:r>
        <w:rPr>
          <w:spacing w:val="40"/>
        </w:rPr>
        <w:t> </w:t>
      </w:r>
      <w:r>
        <w:rPr/>
        <w:t>but can occur among younger people. It is equally present in both males and females [3].</w:t>
      </w:r>
    </w:p>
    <w:p>
      <w:pPr>
        <w:pStyle w:val="Heading4"/>
        <w:spacing w:before="97"/>
        <w:jc w:val="both"/>
      </w:pPr>
      <w:r>
        <w:rPr>
          <w:b w:val="0"/>
        </w:rPr>
        <w:br w:type="column"/>
      </w:r>
      <w:r>
        <w:rPr/>
        <w:t>Case</w:t>
      </w:r>
      <w:r>
        <w:rPr>
          <w:spacing w:val="-1"/>
        </w:rPr>
        <w:t> </w:t>
      </w:r>
      <w:r>
        <w:rPr>
          <w:spacing w:val="-2"/>
        </w:rPr>
        <w:t>report</w:t>
      </w:r>
    </w:p>
    <w:p>
      <w:pPr>
        <w:pStyle w:val="BodyText"/>
        <w:spacing w:before="6"/>
        <w:rPr>
          <w:b/>
          <w:sz w:val="20"/>
        </w:rPr>
      </w:pPr>
    </w:p>
    <w:p>
      <w:pPr>
        <w:pStyle w:val="BodyText"/>
        <w:ind w:left="238" w:right="287"/>
        <w:jc w:val="both"/>
      </w:pPr>
      <w:r>
        <w:rPr/>
        <w:t>A 33-year-old man came to the University Clinic for Eye Diseases, Skopje, in September 2019, to the De- partment</w:t>
      </w:r>
      <w:r>
        <w:rPr>
          <w:spacing w:val="-2"/>
        </w:rPr>
        <w:t> </w:t>
      </w:r>
      <w:r>
        <w:rPr/>
        <w:t>of</w:t>
      </w:r>
      <w:r>
        <w:rPr>
          <w:spacing w:val="-2"/>
        </w:rPr>
        <w:t> </w:t>
      </w:r>
      <w:r>
        <w:rPr/>
        <w:t>Retinal</w:t>
      </w:r>
      <w:r>
        <w:rPr>
          <w:spacing w:val="-2"/>
        </w:rPr>
        <w:t> </w:t>
      </w:r>
      <w:r>
        <w:rPr/>
        <w:t>Diseases</w:t>
      </w:r>
      <w:r>
        <w:rPr>
          <w:spacing w:val="-2"/>
        </w:rPr>
        <w:t> </w:t>
      </w:r>
      <w:r>
        <w:rPr/>
        <w:t>and</w:t>
      </w:r>
      <w:r>
        <w:rPr>
          <w:spacing w:val="-3"/>
        </w:rPr>
        <w:t> </w:t>
      </w:r>
      <w:r>
        <w:rPr/>
        <w:t>Vitreous</w:t>
      </w:r>
      <w:r>
        <w:rPr>
          <w:spacing w:val="-2"/>
        </w:rPr>
        <w:t> </w:t>
      </w:r>
      <w:r>
        <w:rPr/>
        <w:t>Surgery.</w:t>
      </w:r>
      <w:r>
        <w:rPr>
          <w:spacing w:val="-1"/>
        </w:rPr>
        <w:t> </w:t>
      </w:r>
      <w:r>
        <w:rPr/>
        <w:t>He complained of a progressive decrease in vision in both eyes over a period of several years, but with a signi- ficant decline in visual acuity in the left eye in the last year.</w:t>
      </w:r>
      <w:r>
        <w:rPr>
          <w:spacing w:val="-14"/>
        </w:rPr>
        <w:t> </w:t>
      </w:r>
      <w:r>
        <w:rPr/>
        <w:t>XLJR</w:t>
      </w:r>
      <w:r>
        <w:rPr>
          <w:spacing w:val="-12"/>
        </w:rPr>
        <w:t> </w:t>
      </w:r>
      <w:r>
        <w:rPr/>
        <w:t>was</w:t>
      </w:r>
      <w:r>
        <w:rPr>
          <w:spacing w:val="-12"/>
        </w:rPr>
        <w:t> </w:t>
      </w:r>
      <w:r>
        <w:rPr/>
        <w:t>initially</w:t>
      </w:r>
      <w:r>
        <w:rPr>
          <w:spacing w:val="-14"/>
        </w:rPr>
        <w:t> </w:t>
      </w:r>
      <w:r>
        <w:rPr/>
        <w:t>diagnosed</w:t>
      </w:r>
      <w:r>
        <w:rPr>
          <w:spacing w:val="-11"/>
        </w:rPr>
        <w:t> </w:t>
      </w:r>
      <w:r>
        <w:rPr/>
        <w:t>in</w:t>
      </w:r>
      <w:r>
        <w:rPr>
          <w:spacing w:val="-14"/>
        </w:rPr>
        <w:t> </w:t>
      </w:r>
      <w:r>
        <w:rPr/>
        <w:t>a</w:t>
      </w:r>
      <w:r>
        <w:rPr>
          <w:spacing w:val="-13"/>
        </w:rPr>
        <w:t> </w:t>
      </w:r>
      <w:r>
        <w:rPr/>
        <w:t>private</w:t>
      </w:r>
      <w:r>
        <w:rPr>
          <w:spacing w:val="-11"/>
        </w:rPr>
        <w:t> </w:t>
      </w:r>
      <w:r>
        <w:rPr/>
        <w:t>ophthal- mology practice, where he had been monitored until then. The best-corrected visual acuity (BCVA), accor- ding</w:t>
      </w:r>
      <w:r>
        <w:rPr>
          <w:spacing w:val="-1"/>
        </w:rPr>
        <w:t> </w:t>
      </w:r>
      <w:r>
        <w:rPr/>
        <w:t>to</w:t>
      </w:r>
      <w:r>
        <w:rPr>
          <w:spacing w:val="-1"/>
        </w:rPr>
        <w:t> </w:t>
      </w:r>
      <w:r>
        <w:rPr/>
        <w:t>Snellen's</w:t>
      </w:r>
      <w:r>
        <w:rPr>
          <w:spacing w:val="-2"/>
        </w:rPr>
        <w:t> </w:t>
      </w:r>
      <w:r>
        <w:rPr/>
        <w:t>optotype,</w:t>
      </w:r>
      <w:r>
        <w:rPr>
          <w:spacing w:val="-1"/>
        </w:rPr>
        <w:t> </w:t>
      </w:r>
      <w:r>
        <w:rPr/>
        <w:t>was</w:t>
      </w:r>
      <w:r>
        <w:rPr>
          <w:spacing w:val="-1"/>
        </w:rPr>
        <w:t> </w:t>
      </w:r>
      <w:r>
        <w:rPr/>
        <w:t>0.1</w:t>
      </w:r>
      <w:r>
        <w:rPr>
          <w:spacing w:val="-1"/>
        </w:rPr>
        <w:t> </w:t>
      </w:r>
      <w:r>
        <w:rPr/>
        <w:t>in</w:t>
      </w:r>
      <w:r>
        <w:rPr>
          <w:spacing w:val="-1"/>
        </w:rPr>
        <w:t> </w:t>
      </w:r>
      <w:r>
        <w:rPr/>
        <w:t>the</w:t>
      </w:r>
      <w:r>
        <w:rPr>
          <w:spacing w:val="-1"/>
        </w:rPr>
        <w:t> </w:t>
      </w:r>
      <w:r>
        <w:rPr/>
        <w:t>right eye</w:t>
      </w:r>
      <w:r>
        <w:rPr>
          <w:spacing w:val="2"/>
        </w:rPr>
        <w:t> </w:t>
      </w:r>
      <w:r>
        <w:rPr>
          <w:spacing w:val="-5"/>
        </w:rPr>
        <w:t>and</w:t>
      </w:r>
    </w:p>
    <w:p>
      <w:pPr>
        <w:pStyle w:val="BodyText"/>
        <w:spacing w:before="2"/>
        <w:ind w:left="238" w:right="287"/>
      </w:pPr>
      <w:r>
        <w:rPr/>
        <w:t>0.05 in the left eye. Intraocular pressure was normal. The</w:t>
      </w:r>
      <w:r>
        <w:rPr>
          <w:spacing w:val="40"/>
        </w:rPr>
        <w:t> </w:t>
      </w:r>
      <w:r>
        <w:rPr/>
        <w:t>patient</w:t>
      </w:r>
      <w:r>
        <w:rPr>
          <w:spacing w:val="40"/>
        </w:rPr>
        <w:t> </w:t>
      </w:r>
      <w:r>
        <w:rPr/>
        <w:t>denied</w:t>
      </w:r>
      <w:r>
        <w:rPr>
          <w:spacing w:val="40"/>
        </w:rPr>
        <w:t> </w:t>
      </w:r>
      <w:r>
        <w:rPr/>
        <w:t>other</w:t>
      </w:r>
      <w:r>
        <w:rPr>
          <w:spacing w:val="40"/>
        </w:rPr>
        <w:t> </w:t>
      </w:r>
      <w:r>
        <w:rPr/>
        <w:t>illnesses,</w:t>
      </w:r>
      <w:r>
        <w:rPr>
          <w:spacing w:val="40"/>
        </w:rPr>
        <w:t> </w:t>
      </w:r>
      <w:r>
        <w:rPr/>
        <w:t>did</w:t>
      </w:r>
      <w:r>
        <w:rPr>
          <w:spacing w:val="40"/>
        </w:rPr>
        <w:t> </w:t>
      </w:r>
      <w:r>
        <w:rPr/>
        <w:t>not</w:t>
      </w:r>
      <w:r>
        <w:rPr>
          <w:spacing w:val="40"/>
        </w:rPr>
        <w:t> </w:t>
      </w:r>
      <w:r>
        <w:rPr/>
        <w:t>use</w:t>
      </w:r>
      <w:r>
        <w:rPr>
          <w:spacing w:val="40"/>
        </w:rPr>
        <w:t> </w:t>
      </w:r>
      <w:r>
        <w:rPr/>
        <w:t>any substances, or took long-term medication. The family history for related eye diseases was negative. Biomicroscopy of the anterior segment showed a nor- mal</w:t>
      </w:r>
      <w:r>
        <w:rPr>
          <w:spacing w:val="59"/>
        </w:rPr>
        <w:t> </w:t>
      </w:r>
      <w:r>
        <w:rPr/>
        <w:t>finding,</w:t>
      </w:r>
      <w:r>
        <w:rPr>
          <w:spacing w:val="40"/>
        </w:rPr>
        <w:t> </w:t>
      </w:r>
      <w:r>
        <w:rPr/>
        <w:t>while</w:t>
      </w:r>
      <w:r>
        <w:rPr>
          <w:spacing w:val="40"/>
        </w:rPr>
        <w:t> </w:t>
      </w:r>
      <w:r>
        <w:rPr/>
        <w:t>on</w:t>
      </w:r>
      <w:r>
        <w:rPr>
          <w:spacing w:val="40"/>
        </w:rPr>
        <w:t> </w:t>
      </w:r>
      <w:r>
        <w:rPr/>
        <w:t>fundus</w:t>
      </w:r>
      <w:r>
        <w:rPr>
          <w:spacing w:val="40"/>
        </w:rPr>
        <w:t> </w:t>
      </w:r>
      <w:r>
        <w:rPr/>
        <w:t>examination</w:t>
      </w:r>
      <w:r>
        <w:rPr>
          <w:spacing w:val="40"/>
        </w:rPr>
        <w:t> </w:t>
      </w:r>
      <w:r>
        <w:rPr/>
        <w:t>(indirect </w:t>
      </w:r>
      <w:r>
        <w:rPr>
          <w:spacing w:val="-2"/>
        </w:rPr>
        <w:t>ophthalmoscopy)</w:t>
      </w:r>
      <w:r>
        <w:rPr>
          <w:spacing w:val="-6"/>
        </w:rPr>
        <w:t> </w:t>
      </w:r>
      <w:r>
        <w:rPr>
          <w:spacing w:val="-2"/>
        </w:rPr>
        <w:t>macular</w:t>
      </w:r>
      <w:r>
        <w:rPr>
          <w:spacing w:val="-8"/>
        </w:rPr>
        <w:t> </w:t>
      </w:r>
      <w:r>
        <w:rPr>
          <w:spacing w:val="-2"/>
        </w:rPr>
        <w:t>retinoschisis</w:t>
      </w:r>
      <w:r>
        <w:rPr>
          <w:spacing w:val="-10"/>
        </w:rPr>
        <w:t> </w:t>
      </w:r>
      <w:r>
        <w:rPr>
          <w:spacing w:val="-2"/>
        </w:rPr>
        <w:t>of</w:t>
      </w:r>
      <w:r>
        <w:rPr>
          <w:spacing w:val="-8"/>
        </w:rPr>
        <w:t> </w:t>
      </w:r>
      <w:r>
        <w:rPr>
          <w:spacing w:val="-2"/>
        </w:rPr>
        <w:t>both</w:t>
      </w:r>
      <w:r>
        <w:rPr>
          <w:spacing w:val="-8"/>
        </w:rPr>
        <w:t> </w:t>
      </w:r>
      <w:r>
        <w:rPr>
          <w:spacing w:val="-2"/>
        </w:rPr>
        <w:t>eyes</w:t>
      </w:r>
      <w:r>
        <w:rPr>
          <w:spacing w:val="-8"/>
        </w:rPr>
        <w:t> </w:t>
      </w:r>
      <w:r>
        <w:rPr>
          <w:spacing w:val="-2"/>
        </w:rPr>
        <w:t>was </w:t>
      </w:r>
      <w:r>
        <w:rPr/>
        <w:t>seen,</w:t>
      </w:r>
      <w:r>
        <w:rPr>
          <w:spacing w:val="-4"/>
        </w:rPr>
        <w:t> </w:t>
      </w:r>
      <w:r>
        <w:rPr/>
        <w:t>on</w:t>
      </w:r>
      <w:r>
        <w:rPr>
          <w:spacing w:val="-4"/>
        </w:rPr>
        <w:t> </w:t>
      </w:r>
      <w:r>
        <w:rPr/>
        <w:t>the</w:t>
      </w:r>
      <w:r>
        <w:rPr>
          <w:spacing w:val="-2"/>
        </w:rPr>
        <w:t> </w:t>
      </w:r>
      <w:r>
        <w:rPr/>
        <w:t>left</w:t>
      </w:r>
      <w:r>
        <w:rPr>
          <w:spacing w:val="-5"/>
        </w:rPr>
        <w:t> </w:t>
      </w:r>
      <w:r>
        <w:rPr/>
        <w:t>with</w:t>
      </w:r>
      <w:r>
        <w:rPr>
          <w:spacing w:val="-4"/>
        </w:rPr>
        <w:t> </w:t>
      </w:r>
      <w:r>
        <w:rPr/>
        <w:t>an</w:t>
      </w:r>
      <w:r>
        <w:rPr>
          <w:spacing w:val="-4"/>
        </w:rPr>
        <w:t> </w:t>
      </w:r>
      <w:r>
        <w:rPr/>
        <w:t>incomplete</w:t>
      </w:r>
      <w:r>
        <w:rPr>
          <w:spacing w:val="-2"/>
        </w:rPr>
        <w:t> </w:t>
      </w:r>
      <w:r>
        <w:rPr/>
        <w:t>macular</w:t>
      </w:r>
      <w:r>
        <w:rPr>
          <w:spacing w:val="-4"/>
        </w:rPr>
        <w:t> </w:t>
      </w:r>
      <w:r>
        <w:rPr/>
        <w:t>hole,</w:t>
      </w:r>
      <w:r>
        <w:rPr>
          <w:spacing w:val="-4"/>
        </w:rPr>
        <w:t> </w:t>
      </w:r>
      <w:r>
        <w:rPr/>
        <w:t>atro- phy of the retinal pigment epithelium, and thickening of the inner limiting membrane (Figure 1a and 1b). OCT of the posterior segment showed cystic spaces in the</w:t>
      </w:r>
      <w:r>
        <w:rPr>
          <w:spacing w:val="-1"/>
        </w:rPr>
        <w:t> </w:t>
      </w:r>
      <w:r>
        <w:rPr/>
        <w:t>fovea,</w:t>
      </w:r>
      <w:r>
        <w:rPr>
          <w:spacing w:val="-1"/>
        </w:rPr>
        <w:t> </w:t>
      </w:r>
      <w:r>
        <w:rPr/>
        <w:t>with</w:t>
      </w:r>
      <w:r>
        <w:rPr>
          <w:spacing w:val="-1"/>
        </w:rPr>
        <w:t> </w:t>
      </w:r>
      <w:r>
        <w:rPr/>
        <w:t>a</w:t>
      </w:r>
      <w:r>
        <w:rPr>
          <w:spacing w:val="-1"/>
        </w:rPr>
        <w:t> </w:t>
      </w:r>
      <w:r>
        <w:rPr/>
        <w:t>central</w:t>
      </w:r>
      <w:r>
        <w:rPr>
          <w:spacing w:val="-2"/>
        </w:rPr>
        <w:t> </w:t>
      </w:r>
      <w:r>
        <w:rPr/>
        <w:t>macular</w:t>
      </w:r>
      <w:r>
        <w:rPr>
          <w:spacing w:val="-2"/>
        </w:rPr>
        <w:t> </w:t>
      </w:r>
      <w:r>
        <w:rPr/>
        <w:t>thickness</w:t>
      </w:r>
      <w:r>
        <w:rPr>
          <w:spacing w:val="-2"/>
        </w:rPr>
        <w:t> </w:t>
      </w:r>
      <w:r>
        <w:rPr/>
        <w:t>of</w:t>
      </w:r>
      <w:r>
        <w:rPr>
          <w:spacing w:val="-3"/>
        </w:rPr>
        <w:t> </w:t>
      </w:r>
      <w:r>
        <w:rPr/>
        <w:t>220</w:t>
      </w:r>
      <w:r>
        <w:rPr>
          <w:spacing w:val="-2"/>
        </w:rPr>
        <w:t> </w:t>
      </w:r>
      <w:r>
        <w:rPr/>
        <w:t>µ</w:t>
      </w:r>
      <w:r>
        <w:rPr>
          <w:spacing w:val="-2"/>
        </w:rPr>
        <w:t> </w:t>
      </w:r>
      <w:r>
        <w:rPr/>
        <w:t>on the</w:t>
      </w:r>
      <w:r>
        <w:rPr>
          <w:spacing w:val="-11"/>
        </w:rPr>
        <w:t> </w:t>
      </w:r>
      <w:r>
        <w:rPr/>
        <w:t>right</w:t>
      </w:r>
      <w:r>
        <w:rPr>
          <w:spacing w:val="-14"/>
        </w:rPr>
        <w:t> </w:t>
      </w:r>
      <w:r>
        <w:rPr/>
        <w:t>eye</w:t>
      </w:r>
      <w:r>
        <w:rPr>
          <w:spacing w:val="-12"/>
        </w:rPr>
        <w:t> </w:t>
      </w:r>
      <w:r>
        <w:rPr/>
        <w:t>and</w:t>
      </w:r>
      <w:r>
        <w:rPr>
          <w:spacing w:val="-10"/>
        </w:rPr>
        <w:t> </w:t>
      </w:r>
      <w:r>
        <w:rPr/>
        <w:t>674</w:t>
      </w:r>
      <w:r>
        <w:rPr>
          <w:spacing w:val="-13"/>
        </w:rPr>
        <w:t> </w:t>
      </w:r>
      <w:r>
        <w:rPr/>
        <w:t>on</w:t>
      </w:r>
      <w:r>
        <w:rPr>
          <w:spacing w:val="-10"/>
        </w:rPr>
        <w:t> </w:t>
      </w:r>
      <w:r>
        <w:rPr/>
        <w:t>the</w:t>
      </w:r>
      <w:r>
        <w:rPr>
          <w:spacing w:val="-11"/>
        </w:rPr>
        <w:t> </w:t>
      </w:r>
      <w:r>
        <w:rPr/>
        <w:t>left</w:t>
      </w:r>
      <w:r>
        <w:rPr>
          <w:spacing w:val="-11"/>
        </w:rPr>
        <w:t> </w:t>
      </w:r>
      <w:r>
        <w:rPr/>
        <w:t>(Figure</w:t>
      </w:r>
      <w:r>
        <w:rPr>
          <w:spacing w:val="-11"/>
        </w:rPr>
        <w:t> </w:t>
      </w:r>
      <w:r>
        <w:rPr/>
        <w:t>2</w:t>
      </w:r>
      <w:r>
        <w:rPr>
          <w:spacing w:val="-13"/>
        </w:rPr>
        <w:t> </w:t>
      </w:r>
      <w:r>
        <w:rPr/>
        <w:t>and</w:t>
      </w:r>
      <w:r>
        <w:rPr>
          <w:spacing w:val="-10"/>
        </w:rPr>
        <w:t> </w:t>
      </w:r>
      <w:r>
        <w:rPr/>
        <w:t>Figure</w:t>
      </w:r>
      <w:r>
        <w:rPr>
          <w:spacing w:val="-13"/>
        </w:rPr>
        <w:t> </w:t>
      </w:r>
      <w:r>
        <w:rPr/>
        <w:t>3).</w:t>
      </w:r>
    </w:p>
    <w:p>
      <w:pPr>
        <w:spacing w:after="0"/>
        <w:sectPr>
          <w:type w:val="continuous"/>
          <w:pgSz w:w="11910" w:h="16840"/>
          <w:pgMar w:header="859" w:footer="0" w:top="740" w:bottom="0" w:left="900" w:right="840"/>
          <w:cols w:num="2" w:equalWidth="0">
            <w:col w:w="4920" w:space="78"/>
            <w:col w:w="5172"/>
          </w:cols>
        </w:sectPr>
      </w:pPr>
    </w:p>
    <w:p>
      <w:pPr>
        <w:pStyle w:val="BodyText"/>
        <w:spacing w:before="5" w:after="1"/>
      </w:pPr>
    </w:p>
    <w:p>
      <w:pPr>
        <w:pStyle w:val="BodyText"/>
        <w:ind w:left="1392"/>
        <w:rPr>
          <w:sz w:val="20"/>
        </w:rPr>
      </w:pPr>
      <w:r>
        <w:rPr>
          <w:sz w:val="20"/>
        </w:rPr>
        <w:drawing>
          <wp:inline distT="0" distB="0" distL="0" distR="0">
            <wp:extent cx="4617892" cy="1944242"/>
            <wp:effectExtent l="0" t="0" r="0" b="0"/>
            <wp:docPr id="23" name="image454.jpeg"/>
            <wp:cNvGraphicFramePr>
              <a:graphicFrameLocks noChangeAspect="1"/>
            </wp:cNvGraphicFramePr>
            <a:graphic>
              <a:graphicData uri="http://schemas.openxmlformats.org/drawingml/2006/picture">
                <pic:pic>
                  <pic:nvPicPr>
                    <pic:cNvPr id="24" name="image454.jpeg"/>
                    <pic:cNvPicPr/>
                  </pic:nvPicPr>
                  <pic:blipFill>
                    <a:blip r:embed="rId532" cstate="print"/>
                    <a:stretch>
                      <a:fillRect/>
                    </a:stretch>
                  </pic:blipFill>
                  <pic:spPr>
                    <a:xfrm>
                      <a:off x="0" y="0"/>
                      <a:ext cx="4617892" cy="1944242"/>
                    </a:xfrm>
                    <a:prstGeom prst="rect">
                      <a:avLst/>
                    </a:prstGeom>
                  </pic:spPr>
                </pic:pic>
              </a:graphicData>
            </a:graphic>
          </wp:inline>
        </w:drawing>
      </w:r>
      <w:r>
        <w:rPr>
          <w:sz w:val="20"/>
        </w:rPr>
      </w:r>
    </w:p>
    <w:p>
      <w:pPr>
        <w:spacing w:before="19"/>
        <w:ind w:left="1543" w:right="0" w:firstLine="0"/>
        <w:jc w:val="left"/>
        <w:rPr>
          <w:sz w:val="18"/>
        </w:rPr>
      </w:pPr>
      <w:r>
        <w:rPr>
          <w:sz w:val="18"/>
        </w:rPr>
        <w:t>Fig.1a,</w:t>
      </w:r>
      <w:r>
        <w:rPr>
          <w:spacing w:val="-5"/>
          <w:sz w:val="18"/>
        </w:rPr>
        <w:t> 1b</w:t>
      </w:r>
    </w:p>
    <w:p>
      <w:pPr>
        <w:spacing w:line="207" w:lineRule="exact" w:before="0"/>
        <w:ind w:left="1543" w:right="0" w:firstLine="0"/>
        <w:jc w:val="left"/>
        <w:rPr>
          <w:sz w:val="18"/>
        </w:rPr>
      </w:pPr>
      <w:r>
        <w:rPr>
          <w:sz w:val="18"/>
        </w:rPr>
        <w:t>Photo</w:t>
      </w:r>
      <w:r>
        <w:rPr>
          <w:spacing w:val="-2"/>
          <w:sz w:val="18"/>
        </w:rPr>
        <w:t> </w:t>
      </w:r>
      <w:r>
        <w:rPr>
          <w:sz w:val="18"/>
        </w:rPr>
        <w:t>fundus</w:t>
      </w:r>
      <w:r>
        <w:rPr>
          <w:spacing w:val="-2"/>
          <w:sz w:val="18"/>
        </w:rPr>
        <w:t> </w:t>
      </w:r>
      <w:r>
        <w:rPr>
          <w:sz w:val="18"/>
        </w:rPr>
        <w:t>view</w:t>
      </w:r>
      <w:r>
        <w:rPr>
          <w:spacing w:val="-4"/>
          <w:sz w:val="18"/>
        </w:rPr>
        <w:t> </w:t>
      </w:r>
      <w:r>
        <w:rPr>
          <w:sz w:val="18"/>
        </w:rPr>
        <w:t>of</w:t>
      </w:r>
      <w:r>
        <w:rPr>
          <w:spacing w:val="-2"/>
          <w:sz w:val="18"/>
        </w:rPr>
        <w:t> </w:t>
      </w:r>
      <w:r>
        <w:rPr>
          <w:sz w:val="18"/>
        </w:rPr>
        <w:t>the</w:t>
      </w:r>
      <w:r>
        <w:rPr>
          <w:spacing w:val="-2"/>
          <w:sz w:val="18"/>
        </w:rPr>
        <w:t> </w:t>
      </w:r>
      <w:r>
        <w:rPr>
          <w:sz w:val="18"/>
        </w:rPr>
        <w:t>right</w:t>
      </w:r>
      <w:r>
        <w:rPr>
          <w:spacing w:val="-1"/>
          <w:sz w:val="18"/>
        </w:rPr>
        <w:t> </w:t>
      </w:r>
      <w:r>
        <w:rPr>
          <w:sz w:val="18"/>
        </w:rPr>
        <w:t>and</w:t>
      </w:r>
      <w:r>
        <w:rPr>
          <w:spacing w:val="-2"/>
          <w:sz w:val="18"/>
        </w:rPr>
        <w:t> </w:t>
      </w:r>
      <w:r>
        <w:rPr>
          <w:sz w:val="18"/>
        </w:rPr>
        <w:t>left </w:t>
      </w:r>
      <w:r>
        <w:rPr>
          <w:spacing w:val="-5"/>
          <w:sz w:val="18"/>
        </w:rPr>
        <w:t>eye</w:t>
      </w:r>
    </w:p>
    <w:p>
      <w:pPr>
        <w:spacing w:line="207" w:lineRule="exact" w:before="0"/>
        <w:ind w:left="1543" w:right="0" w:firstLine="0"/>
        <w:jc w:val="left"/>
        <w:rPr>
          <w:sz w:val="18"/>
        </w:rPr>
      </w:pPr>
      <w:r>
        <w:rPr>
          <w:sz w:val="18"/>
        </w:rPr>
        <w:t>Foveolar</w:t>
      </w:r>
      <w:r>
        <w:rPr>
          <w:spacing w:val="-3"/>
          <w:sz w:val="18"/>
        </w:rPr>
        <w:t> </w:t>
      </w:r>
      <w:r>
        <w:rPr>
          <w:sz w:val="18"/>
        </w:rPr>
        <w:t>retinoschisis</w:t>
      </w:r>
      <w:r>
        <w:rPr>
          <w:spacing w:val="-1"/>
          <w:sz w:val="18"/>
        </w:rPr>
        <w:t> </w:t>
      </w:r>
      <w:r>
        <w:rPr>
          <w:sz w:val="18"/>
        </w:rPr>
        <w:t>-</w:t>
      </w:r>
      <w:r>
        <w:rPr>
          <w:spacing w:val="-2"/>
          <w:sz w:val="18"/>
        </w:rPr>
        <w:t> </w:t>
      </w:r>
      <w:r>
        <w:rPr>
          <w:sz w:val="18"/>
        </w:rPr>
        <w:t>radial</w:t>
      </w:r>
      <w:r>
        <w:rPr>
          <w:spacing w:val="-3"/>
          <w:sz w:val="18"/>
        </w:rPr>
        <w:t> </w:t>
      </w:r>
      <w:r>
        <w:rPr>
          <w:sz w:val="18"/>
        </w:rPr>
        <w:t>cystic</w:t>
      </w:r>
      <w:r>
        <w:rPr>
          <w:spacing w:val="-3"/>
          <w:sz w:val="18"/>
        </w:rPr>
        <w:t> </w:t>
      </w:r>
      <w:r>
        <w:rPr>
          <w:sz w:val="18"/>
        </w:rPr>
        <w:t>spaces</w:t>
      </w:r>
      <w:r>
        <w:rPr>
          <w:spacing w:val="-3"/>
          <w:sz w:val="18"/>
        </w:rPr>
        <w:t> </w:t>
      </w:r>
      <w:r>
        <w:rPr>
          <w:sz w:val="18"/>
        </w:rPr>
        <w:t>on</w:t>
      </w:r>
      <w:r>
        <w:rPr>
          <w:spacing w:val="-2"/>
          <w:sz w:val="18"/>
        </w:rPr>
        <w:t> </w:t>
      </w:r>
      <w:r>
        <w:rPr>
          <w:sz w:val="18"/>
        </w:rPr>
        <w:t>both</w:t>
      </w:r>
      <w:r>
        <w:rPr>
          <w:spacing w:val="-1"/>
          <w:sz w:val="18"/>
        </w:rPr>
        <w:t> </w:t>
      </w:r>
      <w:r>
        <w:rPr>
          <w:sz w:val="18"/>
        </w:rPr>
        <w:t>sides,</w:t>
      </w:r>
      <w:r>
        <w:rPr>
          <w:spacing w:val="-4"/>
          <w:sz w:val="18"/>
        </w:rPr>
        <w:t> </w:t>
      </w:r>
      <w:r>
        <w:rPr>
          <w:sz w:val="18"/>
        </w:rPr>
        <w:t>with</w:t>
      </w:r>
      <w:r>
        <w:rPr>
          <w:spacing w:val="-2"/>
          <w:sz w:val="18"/>
        </w:rPr>
        <w:t> </w:t>
      </w:r>
      <w:r>
        <w:rPr>
          <w:sz w:val="18"/>
        </w:rPr>
        <w:t>macular</w:t>
      </w:r>
      <w:r>
        <w:rPr>
          <w:spacing w:val="-2"/>
          <w:sz w:val="18"/>
        </w:rPr>
        <w:t> </w:t>
      </w:r>
      <w:r>
        <w:rPr>
          <w:sz w:val="18"/>
        </w:rPr>
        <w:t>hole</w:t>
      </w:r>
      <w:r>
        <w:rPr>
          <w:spacing w:val="-2"/>
          <w:sz w:val="18"/>
        </w:rPr>
        <w:t> </w:t>
      </w:r>
      <w:r>
        <w:rPr>
          <w:sz w:val="18"/>
        </w:rPr>
        <w:t>formation</w:t>
      </w:r>
      <w:r>
        <w:rPr>
          <w:spacing w:val="-2"/>
          <w:sz w:val="18"/>
        </w:rPr>
        <w:t> </w:t>
      </w:r>
      <w:r>
        <w:rPr>
          <w:sz w:val="18"/>
        </w:rPr>
        <w:t>in</w:t>
      </w:r>
      <w:r>
        <w:rPr>
          <w:spacing w:val="-1"/>
          <w:sz w:val="18"/>
        </w:rPr>
        <w:t> </w:t>
      </w:r>
      <w:r>
        <w:rPr>
          <w:sz w:val="18"/>
        </w:rPr>
        <w:t>the</w:t>
      </w:r>
      <w:r>
        <w:rPr>
          <w:spacing w:val="-3"/>
          <w:sz w:val="18"/>
        </w:rPr>
        <w:t> </w:t>
      </w:r>
      <w:r>
        <w:rPr>
          <w:sz w:val="18"/>
        </w:rPr>
        <w:t>left</w:t>
      </w:r>
      <w:r>
        <w:rPr>
          <w:spacing w:val="-2"/>
          <w:sz w:val="18"/>
        </w:rPr>
        <w:t> </w:t>
      </w:r>
      <w:r>
        <w:rPr>
          <w:spacing w:val="-5"/>
          <w:sz w:val="18"/>
        </w:rPr>
        <w:t>eye</w:t>
      </w:r>
    </w:p>
    <w:p>
      <w:pPr>
        <w:pStyle w:val="BodyText"/>
        <w:spacing w:before="2"/>
        <w:rPr>
          <w:sz w:val="19"/>
        </w:rPr>
      </w:pPr>
      <w:r>
        <w:rPr/>
        <w:drawing>
          <wp:anchor distT="0" distB="0" distL="0" distR="0" allowOverlap="1" layoutInCell="1" locked="0" behindDoc="0" simplePos="0" relativeHeight="62">
            <wp:simplePos x="0" y="0"/>
            <wp:positionH relativeFrom="page">
              <wp:posOffset>2054225</wp:posOffset>
            </wp:positionH>
            <wp:positionV relativeFrom="paragraph">
              <wp:posOffset>155343</wp:posOffset>
            </wp:positionV>
            <wp:extent cx="3450826" cy="1864042"/>
            <wp:effectExtent l="0" t="0" r="0" b="0"/>
            <wp:wrapTopAndBottom/>
            <wp:docPr id="25" name="image455.jpeg"/>
            <wp:cNvGraphicFramePr>
              <a:graphicFrameLocks noChangeAspect="1"/>
            </wp:cNvGraphicFramePr>
            <a:graphic>
              <a:graphicData uri="http://schemas.openxmlformats.org/drawingml/2006/picture">
                <pic:pic>
                  <pic:nvPicPr>
                    <pic:cNvPr id="26" name="image455.jpeg"/>
                    <pic:cNvPicPr/>
                  </pic:nvPicPr>
                  <pic:blipFill>
                    <a:blip r:embed="rId533" cstate="print"/>
                    <a:stretch>
                      <a:fillRect/>
                    </a:stretch>
                  </pic:blipFill>
                  <pic:spPr>
                    <a:xfrm>
                      <a:off x="0" y="0"/>
                      <a:ext cx="3450826" cy="1864042"/>
                    </a:xfrm>
                    <a:prstGeom prst="rect">
                      <a:avLst/>
                    </a:prstGeom>
                  </pic:spPr>
                </pic:pic>
              </a:graphicData>
            </a:graphic>
          </wp:anchor>
        </w:drawing>
      </w:r>
    </w:p>
    <w:p>
      <w:pPr>
        <w:spacing w:before="0"/>
        <w:ind w:left="2398" w:right="0" w:firstLine="0"/>
        <w:jc w:val="left"/>
        <w:rPr>
          <w:sz w:val="18"/>
        </w:rPr>
      </w:pPr>
      <w:r>
        <w:rPr>
          <w:b/>
          <w:sz w:val="18"/>
        </w:rPr>
        <w:t>Fig.</w:t>
      </w:r>
      <w:r>
        <w:rPr>
          <w:b/>
          <w:spacing w:val="-4"/>
          <w:sz w:val="18"/>
        </w:rPr>
        <w:t> </w:t>
      </w:r>
      <w:r>
        <w:rPr>
          <w:b/>
          <w:sz w:val="18"/>
        </w:rPr>
        <w:t>2.</w:t>
      </w:r>
      <w:r>
        <w:rPr>
          <w:b/>
          <w:spacing w:val="-1"/>
          <w:sz w:val="18"/>
        </w:rPr>
        <w:t> </w:t>
      </w:r>
      <w:r>
        <w:rPr>
          <w:sz w:val="18"/>
        </w:rPr>
        <w:t>OCT</w:t>
      </w:r>
      <w:r>
        <w:rPr>
          <w:spacing w:val="-4"/>
          <w:sz w:val="18"/>
        </w:rPr>
        <w:t> </w:t>
      </w:r>
      <w:r>
        <w:rPr>
          <w:sz w:val="18"/>
        </w:rPr>
        <w:t>on</w:t>
      </w:r>
      <w:r>
        <w:rPr>
          <w:spacing w:val="-1"/>
          <w:sz w:val="18"/>
        </w:rPr>
        <w:t> </w:t>
      </w:r>
      <w:r>
        <w:rPr>
          <w:sz w:val="18"/>
        </w:rPr>
        <w:t>the</w:t>
      </w:r>
      <w:r>
        <w:rPr>
          <w:spacing w:val="-3"/>
          <w:sz w:val="18"/>
        </w:rPr>
        <w:t> </w:t>
      </w:r>
      <w:r>
        <w:rPr>
          <w:sz w:val="18"/>
        </w:rPr>
        <w:t>right</w:t>
      </w:r>
      <w:r>
        <w:rPr>
          <w:spacing w:val="-1"/>
          <w:sz w:val="18"/>
        </w:rPr>
        <w:t> </w:t>
      </w:r>
      <w:r>
        <w:rPr>
          <w:sz w:val="18"/>
        </w:rPr>
        <w:t>eye:</w:t>
      </w:r>
      <w:r>
        <w:rPr>
          <w:spacing w:val="-2"/>
          <w:sz w:val="18"/>
        </w:rPr>
        <w:t> </w:t>
      </w:r>
      <w:r>
        <w:rPr>
          <w:sz w:val="18"/>
        </w:rPr>
        <w:t>central</w:t>
      </w:r>
      <w:r>
        <w:rPr>
          <w:spacing w:val="-2"/>
          <w:sz w:val="18"/>
        </w:rPr>
        <w:t> </w:t>
      </w:r>
      <w:r>
        <w:rPr>
          <w:sz w:val="18"/>
        </w:rPr>
        <w:t>thickness</w:t>
      </w:r>
      <w:r>
        <w:rPr>
          <w:spacing w:val="-2"/>
          <w:sz w:val="18"/>
        </w:rPr>
        <w:t> </w:t>
      </w:r>
      <w:r>
        <w:rPr>
          <w:sz w:val="18"/>
        </w:rPr>
        <w:t>(foveal</w:t>
      </w:r>
      <w:r>
        <w:rPr>
          <w:spacing w:val="-2"/>
          <w:sz w:val="18"/>
        </w:rPr>
        <w:t> </w:t>
      </w:r>
      <w:r>
        <w:rPr>
          <w:sz w:val="18"/>
        </w:rPr>
        <w:t>thickness):</w:t>
      </w:r>
      <w:r>
        <w:rPr>
          <w:spacing w:val="-2"/>
          <w:sz w:val="18"/>
        </w:rPr>
        <w:t> </w:t>
      </w:r>
      <w:r>
        <w:rPr>
          <w:sz w:val="18"/>
        </w:rPr>
        <w:t>220</w:t>
      </w:r>
      <w:r>
        <w:rPr>
          <w:spacing w:val="-1"/>
          <w:sz w:val="18"/>
        </w:rPr>
        <w:t> </w:t>
      </w:r>
      <w:r>
        <w:rPr>
          <w:sz w:val="18"/>
        </w:rPr>
        <w:t>µm,</w:t>
      </w:r>
      <w:r>
        <w:rPr>
          <w:spacing w:val="-1"/>
          <w:sz w:val="18"/>
        </w:rPr>
        <w:t> </w:t>
      </w:r>
      <w:r>
        <w:rPr>
          <w:sz w:val="18"/>
        </w:rPr>
        <w:t>September</w:t>
      </w:r>
      <w:r>
        <w:rPr>
          <w:spacing w:val="-2"/>
          <w:sz w:val="18"/>
        </w:rPr>
        <w:t> </w:t>
      </w:r>
      <w:r>
        <w:rPr>
          <w:sz w:val="18"/>
        </w:rPr>
        <w:t>16,</w:t>
      </w:r>
      <w:r>
        <w:rPr>
          <w:spacing w:val="-3"/>
          <w:sz w:val="18"/>
        </w:rPr>
        <w:t> </w:t>
      </w:r>
      <w:r>
        <w:rPr>
          <w:spacing w:val="-4"/>
          <w:sz w:val="18"/>
        </w:rPr>
        <w:t>2019</w:t>
      </w:r>
    </w:p>
    <w:p>
      <w:pPr>
        <w:spacing w:after="0"/>
        <w:jc w:val="left"/>
        <w:rPr>
          <w:sz w:val="18"/>
        </w:rPr>
        <w:sectPr>
          <w:type w:val="continuous"/>
          <w:pgSz w:w="11910" w:h="16840"/>
          <w:pgMar w:header="859" w:footer="0" w:top="740" w:bottom="0" w:left="900" w:right="840"/>
        </w:sectPr>
      </w:pPr>
    </w:p>
    <w:p>
      <w:pPr>
        <w:pStyle w:val="BodyText"/>
        <w:rPr>
          <w:sz w:val="20"/>
        </w:rPr>
      </w:pPr>
    </w:p>
    <w:p>
      <w:pPr>
        <w:pStyle w:val="BodyText"/>
        <w:spacing w:before="10"/>
        <w:rPr>
          <w:sz w:val="24"/>
        </w:rPr>
      </w:pPr>
    </w:p>
    <w:p>
      <w:pPr>
        <w:pStyle w:val="BodyText"/>
        <w:ind w:left="1598"/>
        <w:rPr>
          <w:sz w:val="20"/>
        </w:rPr>
      </w:pPr>
      <w:r>
        <w:rPr>
          <w:sz w:val="20"/>
        </w:rPr>
        <w:drawing>
          <wp:inline distT="0" distB="0" distL="0" distR="0">
            <wp:extent cx="4372581" cy="2291333"/>
            <wp:effectExtent l="0" t="0" r="0" b="0"/>
            <wp:docPr id="27" name="image456.jpeg"/>
            <wp:cNvGraphicFramePr>
              <a:graphicFrameLocks noChangeAspect="1"/>
            </wp:cNvGraphicFramePr>
            <a:graphic>
              <a:graphicData uri="http://schemas.openxmlformats.org/drawingml/2006/picture">
                <pic:pic>
                  <pic:nvPicPr>
                    <pic:cNvPr id="28" name="image456.jpeg"/>
                    <pic:cNvPicPr/>
                  </pic:nvPicPr>
                  <pic:blipFill>
                    <a:blip r:embed="rId536" cstate="print"/>
                    <a:stretch>
                      <a:fillRect/>
                    </a:stretch>
                  </pic:blipFill>
                  <pic:spPr>
                    <a:xfrm>
                      <a:off x="0" y="0"/>
                      <a:ext cx="4372581" cy="2291333"/>
                    </a:xfrm>
                    <a:prstGeom prst="rect">
                      <a:avLst/>
                    </a:prstGeom>
                  </pic:spPr>
                </pic:pic>
              </a:graphicData>
            </a:graphic>
          </wp:inline>
        </w:drawing>
      </w:r>
      <w:r>
        <w:rPr>
          <w:sz w:val="20"/>
        </w:rPr>
      </w:r>
    </w:p>
    <w:p>
      <w:pPr>
        <w:spacing w:before="10"/>
        <w:ind w:left="1546" w:right="0" w:firstLine="0"/>
        <w:jc w:val="left"/>
        <w:rPr>
          <w:sz w:val="18"/>
        </w:rPr>
      </w:pPr>
      <w:r>
        <w:rPr>
          <w:b/>
          <w:sz w:val="18"/>
        </w:rPr>
        <w:t>Fig.</w:t>
      </w:r>
      <w:r>
        <w:rPr>
          <w:b/>
          <w:spacing w:val="-4"/>
          <w:sz w:val="18"/>
        </w:rPr>
        <w:t> </w:t>
      </w:r>
      <w:r>
        <w:rPr>
          <w:b/>
          <w:sz w:val="18"/>
        </w:rPr>
        <w:t>3.</w:t>
      </w:r>
      <w:r>
        <w:rPr>
          <w:b/>
          <w:spacing w:val="-3"/>
          <w:sz w:val="18"/>
        </w:rPr>
        <w:t> </w:t>
      </w:r>
      <w:r>
        <w:rPr>
          <w:sz w:val="18"/>
        </w:rPr>
        <w:t>OCT</w:t>
      </w:r>
      <w:r>
        <w:rPr>
          <w:spacing w:val="-5"/>
          <w:sz w:val="18"/>
        </w:rPr>
        <w:t> </w:t>
      </w:r>
      <w:r>
        <w:rPr>
          <w:sz w:val="18"/>
        </w:rPr>
        <w:t>on the</w:t>
      </w:r>
      <w:r>
        <w:rPr>
          <w:spacing w:val="-2"/>
          <w:sz w:val="18"/>
        </w:rPr>
        <w:t> </w:t>
      </w:r>
      <w:r>
        <w:rPr>
          <w:sz w:val="18"/>
        </w:rPr>
        <w:t>left</w:t>
      </w:r>
      <w:r>
        <w:rPr>
          <w:spacing w:val="-2"/>
          <w:sz w:val="18"/>
        </w:rPr>
        <w:t> </w:t>
      </w:r>
      <w:r>
        <w:rPr>
          <w:sz w:val="18"/>
        </w:rPr>
        <w:t>eye: central</w:t>
      </w:r>
      <w:r>
        <w:rPr>
          <w:spacing w:val="-2"/>
          <w:sz w:val="18"/>
        </w:rPr>
        <w:t> </w:t>
      </w:r>
      <w:r>
        <w:rPr>
          <w:sz w:val="18"/>
        </w:rPr>
        <w:t>thickness</w:t>
      </w:r>
      <w:r>
        <w:rPr>
          <w:spacing w:val="-2"/>
          <w:sz w:val="18"/>
        </w:rPr>
        <w:t> </w:t>
      </w:r>
      <w:r>
        <w:rPr>
          <w:sz w:val="18"/>
        </w:rPr>
        <w:t>(foveal</w:t>
      </w:r>
      <w:r>
        <w:rPr>
          <w:spacing w:val="-1"/>
          <w:sz w:val="18"/>
        </w:rPr>
        <w:t> </w:t>
      </w:r>
      <w:r>
        <w:rPr>
          <w:sz w:val="18"/>
        </w:rPr>
        <w:t>thickness):</w:t>
      </w:r>
      <w:r>
        <w:rPr>
          <w:spacing w:val="-2"/>
          <w:sz w:val="18"/>
        </w:rPr>
        <w:t> </w:t>
      </w:r>
      <w:r>
        <w:rPr>
          <w:sz w:val="18"/>
        </w:rPr>
        <w:t>674</w:t>
      </w:r>
      <w:r>
        <w:rPr>
          <w:spacing w:val="-2"/>
          <w:sz w:val="18"/>
        </w:rPr>
        <w:t> </w:t>
      </w:r>
      <w:r>
        <w:rPr>
          <w:sz w:val="18"/>
        </w:rPr>
        <w:t>µ,</w:t>
      </w:r>
      <w:r>
        <w:rPr>
          <w:spacing w:val="1"/>
          <w:sz w:val="18"/>
        </w:rPr>
        <w:t> </w:t>
      </w:r>
      <w:r>
        <w:rPr>
          <w:sz w:val="18"/>
        </w:rPr>
        <w:t>September</w:t>
      </w:r>
      <w:r>
        <w:rPr>
          <w:spacing w:val="-1"/>
          <w:sz w:val="18"/>
        </w:rPr>
        <w:t> </w:t>
      </w:r>
      <w:r>
        <w:rPr>
          <w:sz w:val="18"/>
        </w:rPr>
        <w:t>16,</w:t>
      </w:r>
      <w:r>
        <w:rPr>
          <w:spacing w:val="-1"/>
          <w:sz w:val="18"/>
        </w:rPr>
        <w:t> </w:t>
      </w:r>
      <w:r>
        <w:rPr>
          <w:spacing w:val="-4"/>
          <w:sz w:val="18"/>
        </w:rPr>
        <w:t>2019</w:t>
      </w:r>
    </w:p>
    <w:p>
      <w:pPr>
        <w:pStyle w:val="BodyText"/>
        <w:rPr>
          <w:sz w:val="20"/>
        </w:rPr>
      </w:pPr>
    </w:p>
    <w:p>
      <w:pPr>
        <w:spacing w:after="0"/>
        <w:rPr>
          <w:sz w:val="20"/>
        </w:rPr>
        <w:sectPr>
          <w:headerReference w:type="default" r:id="rId534"/>
          <w:headerReference w:type="even" r:id="rId535"/>
          <w:pgSz w:w="11910" w:h="16840"/>
          <w:pgMar w:header="854" w:footer="0" w:top="1300" w:bottom="280" w:left="900" w:right="840"/>
          <w:pgNumType w:start="43"/>
        </w:sectPr>
      </w:pPr>
    </w:p>
    <w:p>
      <w:pPr>
        <w:pStyle w:val="BodyText"/>
        <w:spacing w:before="3"/>
        <w:rPr>
          <w:sz w:val="22"/>
        </w:rPr>
      </w:pPr>
    </w:p>
    <w:p>
      <w:pPr>
        <w:pStyle w:val="BodyText"/>
        <w:ind w:left="238" w:right="-15"/>
        <w:rPr>
          <w:sz w:val="20"/>
        </w:rPr>
      </w:pPr>
      <w:r>
        <w:rPr>
          <w:sz w:val="20"/>
        </w:rPr>
        <w:pict>
          <v:group style="width:233.6pt;height:160.450pt;mso-position-horizontal-relative:char;mso-position-vertical-relative:line" id="docshapegroup614" coordorigin="0,0" coordsize="4672,3209">
            <v:shape style="position:absolute;left:0;top:0;width:4672;height:3209" type="#_x0000_t75" id="docshape615" stroked="false">
              <v:imagedata r:id="rId537" o:title=""/>
            </v:shape>
            <v:rect style="position:absolute;left:165;top:733;width:720;height:120" id="docshape616" filled="true" fillcolor="#000000" stroked="false">
              <v:fill type="solid"/>
            </v:rect>
            <v:rect style="position:absolute;left:165;top:733;width:720;height:120" id="docshape617" filled="false" stroked="true" strokeweight="1pt" strokecolor="#000000">
              <v:stroke dashstyle="solid"/>
            </v:rect>
          </v:group>
        </w:pict>
      </w:r>
      <w:r>
        <w:rPr>
          <w:sz w:val="20"/>
        </w:rPr>
      </w:r>
    </w:p>
    <w:p>
      <w:pPr>
        <w:spacing w:before="0"/>
        <w:ind w:left="238" w:right="0" w:firstLine="0"/>
        <w:jc w:val="left"/>
        <w:rPr>
          <w:sz w:val="18"/>
        </w:rPr>
      </w:pPr>
      <w:r>
        <w:rPr>
          <w:b/>
          <w:sz w:val="18"/>
        </w:rPr>
        <w:t>Fig.</w:t>
      </w:r>
      <w:r>
        <w:rPr>
          <w:b/>
          <w:spacing w:val="-4"/>
          <w:sz w:val="18"/>
        </w:rPr>
        <w:t> </w:t>
      </w:r>
      <w:r>
        <w:rPr>
          <w:b/>
          <w:sz w:val="18"/>
        </w:rPr>
        <w:t>4a. </w:t>
      </w:r>
      <w:r>
        <w:rPr>
          <w:sz w:val="18"/>
        </w:rPr>
        <w:t>Ultrasound</w:t>
      </w:r>
      <w:r>
        <w:rPr>
          <w:spacing w:val="-1"/>
          <w:sz w:val="18"/>
        </w:rPr>
        <w:t> </w:t>
      </w:r>
      <w:r>
        <w:rPr>
          <w:sz w:val="18"/>
        </w:rPr>
        <w:t>finding</w:t>
      </w:r>
      <w:r>
        <w:rPr>
          <w:spacing w:val="-2"/>
          <w:sz w:val="18"/>
        </w:rPr>
        <w:t> </w:t>
      </w:r>
      <w:r>
        <w:rPr>
          <w:sz w:val="18"/>
        </w:rPr>
        <w:t>on</w:t>
      </w:r>
      <w:r>
        <w:rPr>
          <w:spacing w:val="-3"/>
          <w:sz w:val="18"/>
        </w:rPr>
        <w:t> </w:t>
      </w:r>
      <w:r>
        <w:rPr>
          <w:sz w:val="18"/>
        </w:rPr>
        <w:t>the</w:t>
      </w:r>
      <w:r>
        <w:rPr>
          <w:spacing w:val="-2"/>
          <w:sz w:val="18"/>
        </w:rPr>
        <w:t> </w:t>
      </w:r>
      <w:r>
        <w:rPr>
          <w:sz w:val="18"/>
        </w:rPr>
        <w:t>left</w:t>
      </w:r>
      <w:r>
        <w:rPr>
          <w:spacing w:val="-2"/>
          <w:sz w:val="18"/>
        </w:rPr>
        <w:t> </w:t>
      </w:r>
      <w:r>
        <w:rPr>
          <w:sz w:val="18"/>
        </w:rPr>
        <w:t>eye,</w:t>
      </w:r>
      <w:r>
        <w:rPr>
          <w:spacing w:val="-1"/>
          <w:sz w:val="18"/>
        </w:rPr>
        <w:t> </w:t>
      </w:r>
      <w:r>
        <w:rPr>
          <w:sz w:val="18"/>
        </w:rPr>
        <w:t>July</w:t>
      </w:r>
      <w:r>
        <w:rPr>
          <w:spacing w:val="-4"/>
          <w:sz w:val="18"/>
        </w:rPr>
        <w:t> 2019</w:t>
      </w:r>
    </w:p>
    <w:p>
      <w:pPr>
        <w:pStyle w:val="BodyText"/>
        <w:spacing w:before="4"/>
        <w:rPr>
          <w:sz w:val="17"/>
        </w:rPr>
      </w:pPr>
      <w:r>
        <w:rPr/>
        <w:drawing>
          <wp:anchor distT="0" distB="0" distL="0" distR="0" allowOverlap="1" layoutInCell="1" locked="0" behindDoc="0" simplePos="0" relativeHeight="64">
            <wp:simplePos x="0" y="0"/>
            <wp:positionH relativeFrom="page">
              <wp:posOffset>722630</wp:posOffset>
            </wp:positionH>
            <wp:positionV relativeFrom="paragraph">
              <wp:posOffset>142251</wp:posOffset>
            </wp:positionV>
            <wp:extent cx="2918524" cy="2076450"/>
            <wp:effectExtent l="0" t="0" r="0" b="0"/>
            <wp:wrapTopAndBottom/>
            <wp:docPr id="29" name="image458.jpeg"/>
            <wp:cNvGraphicFramePr>
              <a:graphicFrameLocks noChangeAspect="1"/>
            </wp:cNvGraphicFramePr>
            <a:graphic>
              <a:graphicData uri="http://schemas.openxmlformats.org/drawingml/2006/picture">
                <pic:pic>
                  <pic:nvPicPr>
                    <pic:cNvPr id="30" name="image458.jpeg"/>
                    <pic:cNvPicPr/>
                  </pic:nvPicPr>
                  <pic:blipFill>
                    <a:blip r:embed="rId538" cstate="print"/>
                    <a:stretch>
                      <a:fillRect/>
                    </a:stretch>
                  </pic:blipFill>
                  <pic:spPr>
                    <a:xfrm>
                      <a:off x="0" y="0"/>
                      <a:ext cx="2918524" cy="2076450"/>
                    </a:xfrm>
                    <a:prstGeom prst="rect">
                      <a:avLst/>
                    </a:prstGeom>
                  </pic:spPr>
                </pic:pic>
              </a:graphicData>
            </a:graphic>
          </wp:anchor>
        </w:drawing>
      </w:r>
    </w:p>
    <w:p>
      <w:pPr>
        <w:spacing w:before="50"/>
        <w:ind w:left="238" w:right="0" w:firstLine="0"/>
        <w:jc w:val="left"/>
        <w:rPr>
          <w:sz w:val="18"/>
        </w:rPr>
      </w:pPr>
      <w:r>
        <w:rPr>
          <w:b/>
          <w:sz w:val="18"/>
        </w:rPr>
        <w:t>Fig.</w:t>
      </w:r>
      <w:r>
        <w:rPr>
          <w:b/>
          <w:spacing w:val="38"/>
          <w:sz w:val="18"/>
        </w:rPr>
        <w:t> </w:t>
      </w:r>
      <w:r>
        <w:rPr>
          <w:b/>
          <w:sz w:val="18"/>
        </w:rPr>
        <w:t>4b.</w:t>
      </w:r>
      <w:r>
        <w:rPr>
          <w:b/>
          <w:spacing w:val="40"/>
          <w:sz w:val="18"/>
        </w:rPr>
        <w:t> </w:t>
      </w:r>
      <w:r>
        <w:rPr>
          <w:sz w:val="18"/>
        </w:rPr>
        <w:t>Ultrasound</w:t>
      </w:r>
      <w:r>
        <w:rPr>
          <w:spacing w:val="40"/>
          <w:sz w:val="18"/>
        </w:rPr>
        <w:t> </w:t>
      </w:r>
      <w:r>
        <w:rPr>
          <w:sz w:val="18"/>
        </w:rPr>
        <w:t>finding</w:t>
      </w:r>
      <w:r>
        <w:rPr>
          <w:spacing w:val="39"/>
          <w:sz w:val="18"/>
        </w:rPr>
        <w:t> </w:t>
      </w:r>
      <w:r>
        <w:rPr>
          <w:sz w:val="18"/>
        </w:rPr>
        <w:t>of</w:t>
      </w:r>
      <w:r>
        <w:rPr>
          <w:spacing w:val="38"/>
          <w:sz w:val="18"/>
        </w:rPr>
        <w:t> </w:t>
      </w:r>
      <w:r>
        <w:rPr>
          <w:sz w:val="18"/>
        </w:rPr>
        <w:t>the</w:t>
      </w:r>
      <w:r>
        <w:rPr>
          <w:spacing w:val="40"/>
          <w:sz w:val="18"/>
        </w:rPr>
        <w:t> </w:t>
      </w:r>
      <w:r>
        <w:rPr>
          <w:sz w:val="18"/>
        </w:rPr>
        <w:t>left</w:t>
      </w:r>
      <w:r>
        <w:rPr>
          <w:spacing w:val="40"/>
          <w:sz w:val="18"/>
        </w:rPr>
        <w:t> </w:t>
      </w:r>
      <w:r>
        <w:rPr>
          <w:sz w:val="18"/>
        </w:rPr>
        <w:t>eye,</w:t>
      </w:r>
      <w:r>
        <w:rPr>
          <w:spacing w:val="40"/>
          <w:sz w:val="18"/>
        </w:rPr>
        <w:t> </w:t>
      </w:r>
      <w:r>
        <w:rPr>
          <w:sz w:val="18"/>
        </w:rPr>
        <w:t>postoperatively, December 2019</w:t>
      </w:r>
    </w:p>
    <w:p>
      <w:pPr>
        <w:spacing w:line="240" w:lineRule="auto" w:before="9"/>
        <w:rPr>
          <w:sz w:val="21"/>
        </w:rPr>
      </w:pPr>
      <w:r>
        <w:rPr/>
        <w:br w:type="column"/>
      </w:r>
      <w:r>
        <w:rPr>
          <w:sz w:val="21"/>
        </w:rPr>
      </w:r>
    </w:p>
    <w:p>
      <w:pPr>
        <w:pStyle w:val="BodyText"/>
        <w:ind w:left="237" w:right="290"/>
        <w:jc w:val="both"/>
      </w:pPr>
      <w:r>
        <w:rPr>
          <w:spacing w:val="-4"/>
        </w:rPr>
        <w:t>The</w:t>
      </w:r>
      <w:r>
        <w:rPr>
          <w:spacing w:val="-9"/>
        </w:rPr>
        <w:t> </w:t>
      </w:r>
      <w:r>
        <w:rPr>
          <w:spacing w:val="-4"/>
        </w:rPr>
        <w:t>electroretinogram</w:t>
      </w:r>
      <w:r>
        <w:rPr>
          <w:spacing w:val="-9"/>
        </w:rPr>
        <w:t> </w:t>
      </w:r>
      <w:r>
        <w:rPr>
          <w:spacing w:val="-4"/>
        </w:rPr>
        <w:t>(ERG)</w:t>
      </w:r>
      <w:r>
        <w:rPr>
          <w:spacing w:val="-7"/>
        </w:rPr>
        <w:t> </w:t>
      </w:r>
      <w:r>
        <w:rPr>
          <w:spacing w:val="-4"/>
        </w:rPr>
        <w:t>showed</w:t>
      </w:r>
      <w:r>
        <w:rPr>
          <w:spacing w:val="-6"/>
        </w:rPr>
        <w:t> </w:t>
      </w:r>
      <w:r>
        <w:rPr>
          <w:spacing w:val="-4"/>
        </w:rPr>
        <w:t>abnormal</w:t>
      </w:r>
      <w:r>
        <w:rPr>
          <w:spacing w:val="-7"/>
        </w:rPr>
        <w:t> </w:t>
      </w:r>
      <w:r>
        <w:rPr>
          <w:spacing w:val="-4"/>
        </w:rPr>
        <w:t>scotoptic </w:t>
      </w:r>
      <w:r>
        <w:rPr/>
        <w:t>and photoptic responses on both sides. In fact, a typi- cal finding</w:t>
      </w:r>
      <w:r>
        <w:rPr>
          <w:spacing w:val="-3"/>
        </w:rPr>
        <w:t> </w:t>
      </w:r>
      <w:r>
        <w:rPr/>
        <w:t>for</w:t>
      </w:r>
      <w:r>
        <w:rPr>
          <w:spacing w:val="-4"/>
        </w:rPr>
        <w:t> </w:t>
      </w:r>
      <w:r>
        <w:rPr/>
        <w:t>XLJR</w:t>
      </w:r>
      <w:r>
        <w:rPr>
          <w:spacing w:val="-5"/>
        </w:rPr>
        <w:t> </w:t>
      </w:r>
      <w:r>
        <w:rPr/>
        <w:t>is</w:t>
      </w:r>
      <w:r>
        <w:rPr>
          <w:spacing w:val="-4"/>
        </w:rPr>
        <w:t> </w:t>
      </w:r>
      <w:r>
        <w:rPr/>
        <w:t>the</w:t>
      </w:r>
      <w:r>
        <w:rPr>
          <w:spacing w:val="-6"/>
        </w:rPr>
        <w:t> </w:t>
      </w:r>
      <w:r>
        <w:rPr/>
        <w:t>absence</w:t>
      </w:r>
      <w:r>
        <w:rPr>
          <w:spacing w:val="-6"/>
        </w:rPr>
        <w:t> </w:t>
      </w:r>
      <w:r>
        <w:rPr/>
        <w:t>of</w:t>
      </w:r>
      <w:r>
        <w:rPr>
          <w:spacing w:val="-6"/>
        </w:rPr>
        <w:t> </w:t>
      </w:r>
      <w:r>
        <w:rPr/>
        <w:t>b-wave</w:t>
      </w:r>
      <w:r>
        <w:rPr>
          <w:spacing w:val="-6"/>
        </w:rPr>
        <w:t> </w:t>
      </w:r>
      <w:r>
        <w:rPr/>
        <w:t>and</w:t>
      </w:r>
      <w:r>
        <w:rPr>
          <w:spacing w:val="-3"/>
        </w:rPr>
        <w:t> </w:t>
      </w:r>
      <w:r>
        <w:rPr/>
        <w:t>sub- normal a-wave, i.e. negative ERG.</w:t>
      </w:r>
    </w:p>
    <w:p>
      <w:pPr>
        <w:pStyle w:val="BodyText"/>
        <w:spacing w:before="1"/>
        <w:ind w:left="237" w:right="293"/>
        <w:jc w:val="both"/>
      </w:pPr>
      <w:r>
        <w:rPr/>
        <w:t>Taking into account all these diagnostic methods, including ultrasound, the diagnosis of bilateral</w:t>
      </w:r>
      <w:r>
        <w:rPr>
          <w:spacing w:val="80"/>
        </w:rPr>
        <w:t> </w:t>
      </w:r>
      <w:r>
        <w:rPr/>
        <w:t>juvenile foveal retinoschisis with incomplete macular hole of the left eye was made (Figure 4a and 4b).</w:t>
      </w:r>
    </w:p>
    <w:p>
      <w:pPr>
        <w:pStyle w:val="BodyText"/>
        <w:ind w:left="237" w:right="293"/>
        <w:jc w:val="both"/>
      </w:pPr>
      <w:r>
        <w:rPr/>
        <w:t>During the period of the conservative treatment and monitoring, the visual acuity of the left eye progressively decreased to 0.01 with clinical findings of foveal cysts, thickening of the inner limiting membrane, and formation of an incomplete macular hole (Figure 3).</w:t>
      </w:r>
    </w:p>
    <w:p>
      <w:pPr>
        <w:pStyle w:val="BodyText"/>
        <w:spacing w:line="241" w:lineRule="exact"/>
        <w:ind w:left="237"/>
        <w:jc w:val="both"/>
      </w:pPr>
      <w:r>
        <w:rPr/>
        <w:t>Oral</w:t>
      </w:r>
      <w:r>
        <w:rPr>
          <w:spacing w:val="-9"/>
        </w:rPr>
        <w:t> </w:t>
      </w:r>
      <w:r>
        <w:rPr/>
        <w:t>acetazolamide</w:t>
      </w:r>
      <w:r>
        <w:rPr>
          <w:spacing w:val="-6"/>
        </w:rPr>
        <w:t> </w:t>
      </w:r>
      <w:r>
        <w:rPr/>
        <w:t>did</w:t>
      </w:r>
      <w:r>
        <w:rPr>
          <w:spacing w:val="-5"/>
        </w:rPr>
        <w:t> </w:t>
      </w:r>
      <w:r>
        <w:rPr/>
        <w:t>not</w:t>
      </w:r>
      <w:r>
        <w:rPr>
          <w:spacing w:val="-7"/>
        </w:rPr>
        <w:t> </w:t>
      </w:r>
      <w:r>
        <w:rPr/>
        <w:t>improve</w:t>
      </w:r>
      <w:r>
        <w:rPr>
          <w:spacing w:val="-4"/>
        </w:rPr>
        <w:t> </w:t>
      </w:r>
      <w:r>
        <w:rPr/>
        <w:t>visual</w:t>
      </w:r>
      <w:r>
        <w:rPr>
          <w:spacing w:val="-6"/>
        </w:rPr>
        <w:t> </w:t>
      </w:r>
      <w:r>
        <w:rPr>
          <w:spacing w:val="-2"/>
        </w:rPr>
        <w:t>acuity.</w:t>
      </w:r>
    </w:p>
    <w:p>
      <w:pPr>
        <w:pStyle w:val="BodyText"/>
        <w:ind w:left="237" w:right="293"/>
        <w:jc w:val="both"/>
      </w:pPr>
      <w:r>
        <w:rPr/>
        <w:t>As indicated, surgical treatment was performed on the left eye - pars planа vitrectomy (PPV) with peeling of the inner limiting</w:t>
      </w:r>
      <w:r>
        <w:rPr>
          <w:spacing w:val="40"/>
        </w:rPr>
        <w:t> </w:t>
      </w:r>
      <w:r>
        <w:rPr/>
        <w:t>membrane (ILM peeling), and gas </w:t>
      </w:r>
      <w:r>
        <w:rPr>
          <w:spacing w:val="-2"/>
        </w:rPr>
        <w:t>tamponade.</w:t>
      </w:r>
    </w:p>
    <w:p>
      <w:pPr>
        <w:pStyle w:val="BodyText"/>
        <w:spacing w:before="1"/>
        <w:ind w:left="237" w:right="290"/>
        <w:jc w:val="both"/>
      </w:pPr>
      <w:r>
        <w:rPr/>
        <w:t>We continued to monitor the right eye, where there</w:t>
      </w:r>
      <w:r>
        <w:rPr>
          <w:spacing w:val="40"/>
        </w:rPr>
        <w:t> </w:t>
      </w:r>
      <w:r>
        <w:rPr/>
        <w:t>was a slight progression of the findings - enlargement of the intraretinal cystic spaces and increased macular thickness on OCT (Figure 5).</w:t>
      </w:r>
    </w:p>
    <w:p>
      <w:pPr>
        <w:pStyle w:val="BodyText"/>
        <w:ind w:left="237" w:right="292"/>
        <w:jc w:val="both"/>
      </w:pPr>
      <w:r>
        <w:rPr/>
        <w:t>Postoperative results showed significant regression of the left eye finding, with clinical and anatomical improvement, reduction of foveal thickness, and reduced retinal cysts, as seen on the control OCT (Figure .5).</w:t>
      </w:r>
    </w:p>
    <w:p>
      <w:pPr>
        <w:pStyle w:val="BodyText"/>
        <w:ind w:left="237" w:right="291"/>
        <w:jc w:val="both"/>
      </w:pPr>
      <w:r>
        <w:rPr/>
        <w:t>After surgery, visual acuity in the left eye was slightly improved, to 0.05 without correction. At the last</w:t>
      </w:r>
      <w:r>
        <w:rPr>
          <w:spacing w:val="40"/>
        </w:rPr>
        <w:t> </w:t>
      </w:r>
      <w:r>
        <w:rPr/>
        <w:t>check-up, 10 months postoperatively, visual acuity</w:t>
      </w:r>
      <w:r>
        <w:rPr>
          <w:spacing w:val="40"/>
        </w:rPr>
        <w:t> </w:t>
      </w:r>
      <w:r>
        <w:rPr/>
        <w:t>was stable and was again 0.05 without correction.</w:t>
      </w:r>
    </w:p>
    <w:p>
      <w:pPr>
        <w:spacing w:after="0"/>
        <w:jc w:val="both"/>
        <w:sectPr>
          <w:type w:val="continuous"/>
          <w:pgSz w:w="11910" w:h="16840"/>
          <w:pgMar w:header="854" w:footer="0" w:top="740" w:bottom="0" w:left="900" w:right="840"/>
          <w:cols w:num="2" w:equalWidth="0">
            <w:col w:w="4950" w:space="47"/>
            <w:col w:w="5173"/>
          </w:cols>
        </w:sectPr>
      </w:pPr>
    </w:p>
    <w:p>
      <w:pPr>
        <w:pStyle w:val="BodyText"/>
        <w:rPr>
          <w:sz w:val="24"/>
        </w:rPr>
      </w:pPr>
    </w:p>
    <w:p>
      <w:pPr>
        <w:pStyle w:val="BodyText"/>
        <w:ind w:left="1910"/>
        <w:rPr>
          <w:sz w:val="20"/>
        </w:rPr>
      </w:pPr>
      <w:r>
        <w:rPr>
          <w:sz w:val="20"/>
        </w:rPr>
        <w:drawing>
          <wp:inline distT="0" distB="0" distL="0" distR="0">
            <wp:extent cx="3969906" cy="4036218"/>
            <wp:effectExtent l="0" t="0" r="0" b="0"/>
            <wp:docPr id="31" name="image459.jpeg"/>
            <wp:cNvGraphicFramePr>
              <a:graphicFrameLocks noChangeAspect="1"/>
            </wp:cNvGraphicFramePr>
            <a:graphic>
              <a:graphicData uri="http://schemas.openxmlformats.org/drawingml/2006/picture">
                <pic:pic>
                  <pic:nvPicPr>
                    <pic:cNvPr id="32" name="image459.jpeg"/>
                    <pic:cNvPicPr/>
                  </pic:nvPicPr>
                  <pic:blipFill>
                    <a:blip r:embed="rId539" cstate="print"/>
                    <a:stretch>
                      <a:fillRect/>
                    </a:stretch>
                  </pic:blipFill>
                  <pic:spPr>
                    <a:xfrm>
                      <a:off x="0" y="0"/>
                      <a:ext cx="3969906" cy="4036218"/>
                    </a:xfrm>
                    <a:prstGeom prst="rect">
                      <a:avLst/>
                    </a:prstGeom>
                  </pic:spPr>
                </pic:pic>
              </a:graphicData>
            </a:graphic>
          </wp:inline>
        </w:drawing>
      </w:r>
      <w:r>
        <w:rPr>
          <w:sz w:val="20"/>
        </w:rPr>
      </w:r>
    </w:p>
    <w:p>
      <w:pPr>
        <w:spacing w:before="30"/>
        <w:ind w:left="1906" w:right="0" w:firstLine="0"/>
        <w:jc w:val="left"/>
        <w:rPr>
          <w:sz w:val="18"/>
        </w:rPr>
      </w:pPr>
      <w:r>
        <w:rPr>
          <w:b/>
          <w:sz w:val="18"/>
        </w:rPr>
        <w:t>Fig.</w:t>
      </w:r>
      <w:r>
        <w:rPr>
          <w:b/>
          <w:spacing w:val="-4"/>
          <w:sz w:val="18"/>
        </w:rPr>
        <w:t> </w:t>
      </w:r>
      <w:r>
        <w:rPr>
          <w:b/>
          <w:sz w:val="18"/>
        </w:rPr>
        <w:t>5.</w:t>
      </w:r>
      <w:r>
        <w:rPr>
          <w:b/>
          <w:spacing w:val="-2"/>
          <w:sz w:val="18"/>
        </w:rPr>
        <w:t> </w:t>
      </w:r>
      <w:r>
        <w:rPr>
          <w:sz w:val="18"/>
        </w:rPr>
        <w:t>Comparative</w:t>
      </w:r>
      <w:r>
        <w:rPr>
          <w:spacing w:val="-3"/>
          <w:sz w:val="18"/>
        </w:rPr>
        <w:t> </w:t>
      </w:r>
      <w:r>
        <w:rPr>
          <w:sz w:val="18"/>
        </w:rPr>
        <w:t>OCT</w:t>
      </w:r>
      <w:r>
        <w:rPr>
          <w:spacing w:val="-3"/>
          <w:sz w:val="18"/>
        </w:rPr>
        <w:t> </w:t>
      </w:r>
      <w:r>
        <w:rPr>
          <w:sz w:val="18"/>
        </w:rPr>
        <w:t>finding</w:t>
      </w:r>
      <w:r>
        <w:rPr>
          <w:spacing w:val="-3"/>
          <w:sz w:val="18"/>
        </w:rPr>
        <w:t> </w:t>
      </w:r>
      <w:r>
        <w:rPr>
          <w:sz w:val="18"/>
        </w:rPr>
        <w:t>on</w:t>
      </w:r>
      <w:r>
        <w:rPr>
          <w:spacing w:val="-2"/>
          <w:sz w:val="18"/>
        </w:rPr>
        <w:t> </w:t>
      </w:r>
      <w:r>
        <w:rPr>
          <w:sz w:val="18"/>
        </w:rPr>
        <w:t>the</w:t>
      </w:r>
      <w:r>
        <w:rPr>
          <w:spacing w:val="-3"/>
          <w:sz w:val="18"/>
        </w:rPr>
        <w:t> </w:t>
      </w:r>
      <w:r>
        <w:rPr>
          <w:sz w:val="18"/>
        </w:rPr>
        <w:t>left</w:t>
      </w:r>
      <w:r>
        <w:rPr>
          <w:spacing w:val="-1"/>
          <w:sz w:val="18"/>
        </w:rPr>
        <w:t> </w:t>
      </w:r>
      <w:r>
        <w:rPr>
          <w:sz w:val="18"/>
        </w:rPr>
        <w:t>eye,</w:t>
      </w:r>
      <w:r>
        <w:rPr>
          <w:spacing w:val="-2"/>
          <w:sz w:val="18"/>
        </w:rPr>
        <w:t> </w:t>
      </w:r>
      <w:r>
        <w:rPr>
          <w:sz w:val="18"/>
        </w:rPr>
        <w:t>before</w:t>
      </w:r>
      <w:r>
        <w:rPr>
          <w:spacing w:val="-2"/>
          <w:sz w:val="18"/>
        </w:rPr>
        <w:t> </w:t>
      </w:r>
      <w:r>
        <w:rPr>
          <w:sz w:val="18"/>
        </w:rPr>
        <w:t>and</w:t>
      </w:r>
      <w:r>
        <w:rPr>
          <w:spacing w:val="-1"/>
          <w:sz w:val="18"/>
        </w:rPr>
        <w:t> </w:t>
      </w:r>
      <w:r>
        <w:rPr>
          <w:sz w:val="18"/>
        </w:rPr>
        <w:t>after</w:t>
      </w:r>
      <w:r>
        <w:rPr>
          <w:spacing w:val="-1"/>
          <w:sz w:val="18"/>
        </w:rPr>
        <w:t> </w:t>
      </w:r>
      <w:r>
        <w:rPr>
          <w:sz w:val="18"/>
        </w:rPr>
        <w:t>surgery.</w:t>
      </w:r>
      <w:r>
        <w:rPr>
          <w:spacing w:val="1"/>
          <w:sz w:val="18"/>
        </w:rPr>
        <w:t> </w:t>
      </w:r>
      <w:r>
        <w:rPr>
          <w:sz w:val="18"/>
        </w:rPr>
        <w:t>AT</w:t>
      </w:r>
      <w:r>
        <w:rPr>
          <w:spacing w:val="-3"/>
          <w:sz w:val="18"/>
        </w:rPr>
        <w:t> </w:t>
      </w:r>
      <w:r>
        <w:rPr>
          <w:sz w:val="18"/>
        </w:rPr>
        <w:t>626</w:t>
      </w:r>
      <w:r>
        <w:rPr>
          <w:spacing w:val="-1"/>
          <w:sz w:val="18"/>
        </w:rPr>
        <w:t> </w:t>
      </w:r>
      <w:r>
        <w:rPr>
          <w:sz w:val="18"/>
        </w:rPr>
        <w:t>µm</w:t>
      </w:r>
      <w:r>
        <w:rPr>
          <w:spacing w:val="-5"/>
          <w:sz w:val="18"/>
        </w:rPr>
        <w:t> </w:t>
      </w:r>
      <w:r>
        <w:rPr>
          <w:sz w:val="18"/>
        </w:rPr>
        <w:t>→ AT</w:t>
      </w:r>
      <w:r>
        <w:rPr>
          <w:spacing w:val="-4"/>
          <w:sz w:val="18"/>
        </w:rPr>
        <w:t> </w:t>
      </w:r>
      <w:r>
        <w:rPr>
          <w:sz w:val="18"/>
        </w:rPr>
        <w:t>282 </w:t>
      </w:r>
      <w:r>
        <w:rPr>
          <w:spacing w:val="-5"/>
          <w:sz w:val="18"/>
        </w:rPr>
        <w:t>µm</w:t>
      </w:r>
    </w:p>
    <w:p>
      <w:pPr>
        <w:pStyle w:val="BodyText"/>
        <w:rPr>
          <w:sz w:val="19"/>
        </w:rPr>
      </w:pPr>
      <w:r>
        <w:rPr/>
        <w:drawing>
          <wp:anchor distT="0" distB="0" distL="0" distR="0" allowOverlap="1" layoutInCell="1" locked="0" behindDoc="0" simplePos="0" relativeHeight="65">
            <wp:simplePos x="0" y="0"/>
            <wp:positionH relativeFrom="page">
              <wp:posOffset>1767839</wp:posOffset>
            </wp:positionH>
            <wp:positionV relativeFrom="paragraph">
              <wp:posOffset>154316</wp:posOffset>
            </wp:positionV>
            <wp:extent cx="3998300" cy="3917823"/>
            <wp:effectExtent l="0" t="0" r="0" b="0"/>
            <wp:wrapTopAndBottom/>
            <wp:docPr id="33" name="image460.jpeg"/>
            <wp:cNvGraphicFramePr>
              <a:graphicFrameLocks noChangeAspect="1"/>
            </wp:cNvGraphicFramePr>
            <a:graphic>
              <a:graphicData uri="http://schemas.openxmlformats.org/drawingml/2006/picture">
                <pic:pic>
                  <pic:nvPicPr>
                    <pic:cNvPr id="34" name="image460.jpeg"/>
                    <pic:cNvPicPr/>
                  </pic:nvPicPr>
                  <pic:blipFill>
                    <a:blip r:embed="rId540" cstate="print"/>
                    <a:stretch>
                      <a:fillRect/>
                    </a:stretch>
                  </pic:blipFill>
                  <pic:spPr>
                    <a:xfrm>
                      <a:off x="0" y="0"/>
                      <a:ext cx="3998300" cy="3917823"/>
                    </a:xfrm>
                    <a:prstGeom prst="rect">
                      <a:avLst/>
                    </a:prstGeom>
                  </pic:spPr>
                </pic:pic>
              </a:graphicData>
            </a:graphic>
          </wp:anchor>
        </w:drawing>
      </w:r>
    </w:p>
    <w:p>
      <w:pPr>
        <w:spacing w:before="20"/>
        <w:ind w:left="1814" w:right="2197" w:firstLine="0"/>
        <w:jc w:val="left"/>
        <w:rPr>
          <w:sz w:val="18"/>
        </w:rPr>
      </w:pPr>
      <w:r>
        <w:rPr>
          <w:b/>
          <w:sz w:val="18"/>
        </w:rPr>
        <w:t>Fig.</w:t>
      </w:r>
      <w:r>
        <w:rPr>
          <w:b/>
          <w:spacing w:val="-4"/>
          <w:sz w:val="18"/>
        </w:rPr>
        <w:t> </w:t>
      </w:r>
      <w:r>
        <w:rPr>
          <w:b/>
          <w:sz w:val="18"/>
        </w:rPr>
        <w:t>6.</w:t>
      </w:r>
      <w:r>
        <w:rPr>
          <w:b/>
          <w:spacing w:val="-1"/>
          <w:sz w:val="18"/>
        </w:rPr>
        <w:t> </w:t>
      </w:r>
      <w:r>
        <w:rPr>
          <w:sz w:val="18"/>
        </w:rPr>
        <w:t>Comparative</w:t>
      </w:r>
      <w:r>
        <w:rPr>
          <w:spacing w:val="-3"/>
          <w:sz w:val="18"/>
        </w:rPr>
        <w:t> </w:t>
      </w:r>
      <w:r>
        <w:rPr>
          <w:sz w:val="18"/>
        </w:rPr>
        <w:t>OCT</w:t>
      </w:r>
      <w:r>
        <w:rPr>
          <w:spacing w:val="-2"/>
          <w:sz w:val="18"/>
        </w:rPr>
        <w:t> </w:t>
      </w:r>
      <w:r>
        <w:rPr>
          <w:sz w:val="18"/>
        </w:rPr>
        <w:t>finding</w:t>
      </w:r>
      <w:r>
        <w:rPr>
          <w:spacing w:val="-3"/>
          <w:sz w:val="18"/>
        </w:rPr>
        <w:t> </w:t>
      </w:r>
      <w:r>
        <w:rPr>
          <w:sz w:val="18"/>
        </w:rPr>
        <w:t>on</w:t>
      </w:r>
      <w:r>
        <w:rPr>
          <w:spacing w:val="-3"/>
          <w:sz w:val="18"/>
        </w:rPr>
        <w:t> </w:t>
      </w:r>
      <w:r>
        <w:rPr>
          <w:sz w:val="18"/>
        </w:rPr>
        <w:t>the</w:t>
      </w:r>
      <w:r>
        <w:rPr>
          <w:spacing w:val="-3"/>
          <w:sz w:val="18"/>
        </w:rPr>
        <w:t> </w:t>
      </w:r>
      <w:r>
        <w:rPr>
          <w:sz w:val="18"/>
        </w:rPr>
        <w:t>right</w:t>
      </w:r>
      <w:r>
        <w:rPr>
          <w:spacing w:val="-4"/>
          <w:sz w:val="18"/>
        </w:rPr>
        <w:t> </w:t>
      </w:r>
      <w:r>
        <w:rPr>
          <w:sz w:val="18"/>
        </w:rPr>
        <w:t>eye,</w:t>
      </w:r>
      <w:r>
        <w:rPr>
          <w:spacing w:val="-2"/>
          <w:sz w:val="18"/>
        </w:rPr>
        <w:t> </w:t>
      </w:r>
      <w:r>
        <w:rPr>
          <w:sz w:val="18"/>
        </w:rPr>
        <w:t>6-months</w:t>
      </w:r>
      <w:r>
        <w:rPr>
          <w:spacing w:val="-3"/>
          <w:sz w:val="18"/>
        </w:rPr>
        <w:t> </w:t>
      </w:r>
      <w:r>
        <w:rPr>
          <w:sz w:val="18"/>
        </w:rPr>
        <w:t>follow-up,</w:t>
      </w:r>
      <w:r>
        <w:rPr>
          <w:spacing w:val="-2"/>
          <w:sz w:val="18"/>
        </w:rPr>
        <w:t> </w:t>
      </w:r>
      <w:r>
        <w:rPr>
          <w:sz w:val="18"/>
        </w:rPr>
        <w:t>from</w:t>
      </w:r>
      <w:r>
        <w:rPr>
          <w:spacing w:val="-5"/>
          <w:sz w:val="18"/>
        </w:rPr>
        <w:t> </w:t>
      </w:r>
      <w:r>
        <w:rPr>
          <w:sz w:val="18"/>
        </w:rPr>
        <w:t>July</w:t>
      </w:r>
      <w:r>
        <w:rPr>
          <w:spacing w:val="-6"/>
          <w:sz w:val="18"/>
        </w:rPr>
        <w:t> </w:t>
      </w:r>
      <w:r>
        <w:rPr>
          <w:sz w:val="18"/>
        </w:rPr>
        <w:t>to December 2019 (AT 358µ µ AT 411µ)</w:t>
      </w:r>
    </w:p>
    <w:p>
      <w:pPr>
        <w:spacing w:after="0"/>
        <w:jc w:val="left"/>
        <w:rPr>
          <w:sz w:val="18"/>
        </w:rPr>
        <w:sectPr>
          <w:pgSz w:w="11910" w:h="16840"/>
          <w:pgMar w:header="854" w:footer="0" w:top="1280" w:bottom="280" w:left="900" w:right="840"/>
        </w:sectPr>
      </w:pPr>
    </w:p>
    <w:p>
      <w:pPr>
        <w:pStyle w:val="BodyText"/>
        <w:spacing w:before="5"/>
        <w:rPr>
          <w:sz w:val="15"/>
        </w:rPr>
      </w:pPr>
    </w:p>
    <w:p>
      <w:pPr>
        <w:spacing w:after="0"/>
        <w:rPr>
          <w:sz w:val="15"/>
        </w:rPr>
        <w:sectPr>
          <w:pgSz w:w="11910" w:h="16840"/>
          <w:pgMar w:header="854" w:footer="0" w:top="1300" w:bottom="280" w:left="900" w:right="840"/>
        </w:sectPr>
      </w:pPr>
    </w:p>
    <w:p>
      <w:pPr>
        <w:pStyle w:val="Heading4"/>
        <w:spacing w:before="97"/>
      </w:pPr>
      <w:r>
        <w:rPr>
          <w:spacing w:val="-2"/>
        </w:rPr>
        <w:t>Discussion</w:t>
      </w:r>
    </w:p>
    <w:p>
      <w:pPr>
        <w:pStyle w:val="BodyText"/>
        <w:spacing w:before="6"/>
        <w:rPr>
          <w:b/>
          <w:sz w:val="20"/>
        </w:rPr>
      </w:pPr>
    </w:p>
    <w:p>
      <w:pPr>
        <w:pStyle w:val="BodyText"/>
        <w:ind w:left="238" w:right="38"/>
        <w:jc w:val="both"/>
      </w:pPr>
      <w:r>
        <w:rPr/>
        <w:t>X-linked retinoschisis (XLRS) is a disease with hete- rogeneous clinical expression, with broad phenotypic inter- and intrafamilial variability [4].</w:t>
      </w:r>
    </w:p>
    <w:p>
      <w:pPr>
        <w:pStyle w:val="BodyText"/>
        <w:ind w:left="238" w:right="38"/>
        <w:jc w:val="both"/>
      </w:pPr>
      <w:r>
        <w:rPr/>
        <w:t>X-linked retinoschisis (XLRS, OMIM 312700) is one of the causes of juvenile macular degeneration, which occurs</w:t>
      </w:r>
      <w:r>
        <w:rPr>
          <w:spacing w:val="-1"/>
        </w:rPr>
        <w:t> </w:t>
      </w:r>
      <w:r>
        <w:rPr/>
        <w:t>in men at</w:t>
      </w:r>
      <w:r>
        <w:rPr>
          <w:spacing w:val="-3"/>
        </w:rPr>
        <w:t> </w:t>
      </w:r>
      <w:r>
        <w:rPr/>
        <w:t>an early</w:t>
      </w:r>
      <w:r>
        <w:rPr>
          <w:spacing w:val="-5"/>
        </w:rPr>
        <w:t> </w:t>
      </w:r>
      <w:r>
        <w:rPr/>
        <w:t>age. It</w:t>
      </w:r>
      <w:r>
        <w:rPr>
          <w:spacing w:val="-1"/>
        </w:rPr>
        <w:t> </w:t>
      </w:r>
      <w:r>
        <w:rPr/>
        <w:t>is</w:t>
      </w:r>
      <w:r>
        <w:rPr>
          <w:spacing w:val="-1"/>
        </w:rPr>
        <w:t> </w:t>
      </w:r>
      <w:r>
        <w:rPr/>
        <w:t>characterized by</w:t>
      </w:r>
      <w:r>
        <w:rPr>
          <w:spacing w:val="-5"/>
        </w:rPr>
        <w:t> </w:t>
      </w:r>
      <w:r>
        <w:rPr/>
        <w:t>sy- mmetrical, bilateral macular involvement and usually starts to occur in the first decade of life, with cases occurring as early as three months [3,4]. The main subjective symptom is vision loss with a significant decrease in visual acuity from 20/60 to 20/120. Visual acuity often worsens during the first and second de- cade, but afterwards remains relatively stable until the fifth or the sixth decade [5].</w:t>
      </w:r>
    </w:p>
    <w:p>
      <w:pPr>
        <w:pStyle w:val="BodyText"/>
        <w:spacing w:before="2"/>
        <w:ind w:left="238" w:right="40"/>
        <w:jc w:val="both"/>
      </w:pPr>
      <w:r>
        <w:rPr/>
        <w:t>The typical clinical presentation of XLRS is splitting</w:t>
      </w:r>
      <w:r>
        <w:rPr>
          <w:spacing w:val="40"/>
        </w:rPr>
        <w:t> </w:t>
      </w:r>
      <w:r>
        <w:rPr/>
        <w:t>of retinal layers, i.e. cystic spaces ordered in a stellar pattern in the area of the macula, with involvement of the</w:t>
      </w:r>
      <w:r>
        <w:rPr>
          <w:spacing w:val="-14"/>
        </w:rPr>
        <w:t> </w:t>
      </w:r>
      <w:r>
        <w:rPr/>
        <w:t>peripheral</w:t>
      </w:r>
      <w:r>
        <w:rPr>
          <w:spacing w:val="-13"/>
        </w:rPr>
        <w:t> </w:t>
      </w:r>
      <w:r>
        <w:rPr/>
        <w:t>retina.</w:t>
      </w:r>
      <w:r>
        <w:rPr>
          <w:spacing w:val="-11"/>
        </w:rPr>
        <w:t> </w:t>
      </w:r>
      <w:r>
        <w:rPr/>
        <w:t>Isolated</w:t>
      </w:r>
      <w:r>
        <w:rPr>
          <w:spacing w:val="-12"/>
        </w:rPr>
        <w:t> </w:t>
      </w:r>
      <w:r>
        <w:rPr/>
        <w:t>macular</w:t>
      </w:r>
      <w:r>
        <w:rPr>
          <w:spacing w:val="-13"/>
        </w:rPr>
        <w:t> </w:t>
      </w:r>
      <w:r>
        <w:rPr/>
        <w:t>forms</w:t>
      </w:r>
      <w:r>
        <w:rPr>
          <w:spacing w:val="-13"/>
        </w:rPr>
        <w:t> </w:t>
      </w:r>
      <w:r>
        <w:rPr/>
        <w:t>of</w:t>
      </w:r>
      <w:r>
        <w:rPr>
          <w:spacing w:val="-13"/>
        </w:rPr>
        <w:t> </w:t>
      </w:r>
      <w:r>
        <w:rPr/>
        <w:t>juvenile retinoschisis as our presented case are quite rare. App- roximately half of cases have bilateral peripheral reti- noschisis, most commonly in the infotemporal region (Figure 3) [5].</w:t>
      </w:r>
    </w:p>
    <w:p>
      <w:pPr>
        <w:pStyle w:val="BodyText"/>
        <w:ind w:left="238" w:right="38"/>
        <w:jc w:val="both"/>
      </w:pPr>
      <w:r>
        <w:rPr/>
        <w:t>As a result of these changes, strabismus, nystagmus, </w:t>
      </w:r>
      <w:r>
        <w:rPr>
          <w:spacing w:val="-2"/>
        </w:rPr>
        <w:t>axial</w:t>
      </w:r>
      <w:r>
        <w:rPr>
          <w:spacing w:val="-12"/>
        </w:rPr>
        <w:t> </w:t>
      </w:r>
      <w:r>
        <w:rPr>
          <w:spacing w:val="-2"/>
        </w:rPr>
        <w:t>hyperopia,</w:t>
      </w:r>
      <w:r>
        <w:rPr>
          <w:spacing w:val="-10"/>
        </w:rPr>
        <w:t> </w:t>
      </w:r>
      <w:r>
        <w:rPr>
          <w:spacing w:val="-2"/>
        </w:rPr>
        <w:t>color</w:t>
      </w:r>
      <w:r>
        <w:rPr>
          <w:spacing w:val="-10"/>
        </w:rPr>
        <w:t> </w:t>
      </w:r>
      <w:r>
        <w:rPr>
          <w:spacing w:val="-2"/>
        </w:rPr>
        <w:t>vision</w:t>
      </w:r>
      <w:r>
        <w:rPr>
          <w:spacing w:val="-9"/>
        </w:rPr>
        <w:t> </w:t>
      </w:r>
      <w:r>
        <w:rPr>
          <w:spacing w:val="-2"/>
        </w:rPr>
        <w:t>defects</w:t>
      </w:r>
      <w:r>
        <w:rPr>
          <w:spacing w:val="-9"/>
        </w:rPr>
        <w:t> </w:t>
      </w:r>
      <w:r>
        <w:rPr>
          <w:spacing w:val="-2"/>
        </w:rPr>
        <w:t>(red-green</w:t>
      </w:r>
      <w:r>
        <w:rPr>
          <w:spacing w:val="-11"/>
        </w:rPr>
        <w:t> </w:t>
      </w:r>
      <w:r>
        <w:rPr>
          <w:spacing w:val="-2"/>
        </w:rPr>
        <w:t>dyschro- </w:t>
      </w:r>
      <w:r>
        <w:rPr>
          <w:spacing w:val="-4"/>
        </w:rPr>
        <w:t>matopsia),</w:t>
      </w:r>
      <w:r>
        <w:rPr/>
        <w:t> </w:t>
      </w:r>
      <w:r>
        <w:rPr>
          <w:spacing w:val="-4"/>
        </w:rPr>
        <w:t>and</w:t>
      </w:r>
      <w:r>
        <w:rPr>
          <w:spacing w:val="-6"/>
        </w:rPr>
        <w:t> </w:t>
      </w:r>
      <w:r>
        <w:rPr>
          <w:spacing w:val="-4"/>
        </w:rPr>
        <w:t>foveal</w:t>
      </w:r>
      <w:r>
        <w:rPr>
          <w:spacing w:val="-10"/>
        </w:rPr>
        <w:t> </w:t>
      </w:r>
      <w:r>
        <w:rPr>
          <w:spacing w:val="-4"/>
        </w:rPr>
        <w:t>ectopy</w:t>
      </w:r>
      <w:r>
        <w:rPr>
          <w:spacing w:val="-8"/>
        </w:rPr>
        <w:t> </w:t>
      </w:r>
      <w:r>
        <w:rPr>
          <w:spacing w:val="-4"/>
        </w:rPr>
        <w:t>may</w:t>
      </w:r>
      <w:r>
        <w:rPr>
          <w:spacing w:val="-10"/>
        </w:rPr>
        <w:t> </w:t>
      </w:r>
      <w:r>
        <w:rPr>
          <w:spacing w:val="-4"/>
        </w:rPr>
        <w:t>be</w:t>
      </w:r>
      <w:r>
        <w:rPr>
          <w:spacing w:val="-8"/>
        </w:rPr>
        <w:t> </w:t>
      </w:r>
      <w:r>
        <w:rPr>
          <w:spacing w:val="-4"/>
        </w:rPr>
        <w:t>present</w:t>
      </w:r>
      <w:r>
        <w:rPr>
          <w:spacing w:val="-6"/>
        </w:rPr>
        <w:t> </w:t>
      </w:r>
      <w:r>
        <w:rPr>
          <w:spacing w:val="-4"/>
        </w:rPr>
        <w:t>[5].</w:t>
      </w:r>
      <w:r>
        <w:rPr>
          <w:spacing w:val="-9"/>
        </w:rPr>
        <w:t> </w:t>
      </w:r>
      <w:r>
        <w:rPr>
          <w:spacing w:val="-4"/>
        </w:rPr>
        <w:t>Possible </w:t>
      </w:r>
      <w:r>
        <w:rPr/>
        <w:t>complications include vitreous hemorrhage, retinal de- tachment, which is actually an indication for surgical treatment-pars plana vitrectomy, or occurrence of neo- vascular glaucoma [6].</w:t>
      </w:r>
    </w:p>
    <w:p>
      <w:pPr>
        <w:pStyle w:val="BodyText"/>
        <w:ind w:left="238" w:right="38"/>
        <w:jc w:val="both"/>
      </w:pPr>
      <w:r>
        <w:rPr/>
        <w:t>Hass,</w:t>
      </w:r>
      <w:r>
        <w:rPr>
          <w:spacing w:val="-2"/>
        </w:rPr>
        <w:t> </w:t>
      </w:r>
      <w:r>
        <w:rPr/>
        <w:t>in</w:t>
      </w:r>
      <w:r>
        <w:rPr>
          <w:spacing w:val="-1"/>
        </w:rPr>
        <w:t> </w:t>
      </w:r>
      <w:r>
        <w:rPr/>
        <w:t>1898,</w:t>
      </w:r>
      <w:r>
        <w:rPr>
          <w:spacing w:val="-1"/>
        </w:rPr>
        <w:t> </w:t>
      </w:r>
      <w:r>
        <w:rPr/>
        <w:t>first</w:t>
      </w:r>
      <w:r>
        <w:rPr>
          <w:spacing w:val="-3"/>
        </w:rPr>
        <w:t> </w:t>
      </w:r>
      <w:r>
        <w:rPr/>
        <w:t>described</w:t>
      </w:r>
      <w:r>
        <w:rPr>
          <w:spacing w:val="-1"/>
        </w:rPr>
        <w:t> </w:t>
      </w:r>
      <w:r>
        <w:rPr/>
        <w:t>two</w:t>
      </w:r>
      <w:r>
        <w:rPr>
          <w:spacing w:val="-1"/>
        </w:rPr>
        <w:t> </w:t>
      </w:r>
      <w:r>
        <w:rPr/>
        <w:t>brothers</w:t>
      </w:r>
      <w:r>
        <w:rPr>
          <w:spacing w:val="-2"/>
        </w:rPr>
        <w:t> </w:t>
      </w:r>
      <w:r>
        <w:rPr/>
        <w:t>with</w:t>
      </w:r>
      <w:r>
        <w:rPr>
          <w:spacing w:val="-1"/>
        </w:rPr>
        <w:t> </w:t>
      </w:r>
      <w:r>
        <w:rPr/>
        <w:t>typical cystic maculopathy and peripheral choroidal atrophy</w:t>
      </w:r>
      <w:r>
        <w:rPr>
          <w:spacing w:val="40"/>
        </w:rPr>
        <w:t> </w:t>
      </w:r>
      <w:r>
        <w:rPr/>
        <w:t>as</w:t>
      </w:r>
      <w:r>
        <w:rPr>
          <w:spacing w:val="-4"/>
        </w:rPr>
        <w:t> </w:t>
      </w:r>
      <w:r>
        <w:rPr/>
        <w:t>"retinal</w:t>
      </w:r>
      <w:r>
        <w:rPr>
          <w:spacing w:val="-4"/>
        </w:rPr>
        <w:t> </w:t>
      </w:r>
      <w:r>
        <w:rPr/>
        <w:t>and</w:t>
      </w:r>
      <w:r>
        <w:rPr>
          <w:spacing w:val="-3"/>
        </w:rPr>
        <w:t> </w:t>
      </w:r>
      <w:r>
        <w:rPr/>
        <w:t>choroidal</w:t>
      </w:r>
      <w:r>
        <w:rPr>
          <w:spacing w:val="-4"/>
        </w:rPr>
        <w:t> </w:t>
      </w:r>
      <w:r>
        <w:rPr/>
        <w:t>changes"</w:t>
      </w:r>
      <w:r>
        <w:rPr>
          <w:spacing w:val="-6"/>
        </w:rPr>
        <w:t> </w:t>
      </w:r>
      <w:r>
        <w:rPr/>
        <w:t>[7].</w:t>
      </w:r>
      <w:r>
        <w:rPr>
          <w:spacing w:val="-3"/>
        </w:rPr>
        <w:t> </w:t>
      </w:r>
      <w:r>
        <w:rPr/>
        <w:t>At</w:t>
      </w:r>
      <w:r>
        <w:rPr>
          <w:spacing w:val="-4"/>
        </w:rPr>
        <w:t> </w:t>
      </w:r>
      <w:r>
        <w:rPr/>
        <w:t>that</w:t>
      </w:r>
      <w:r>
        <w:rPr>
          <w:spacing w:val="-4"/>
        </w:rPr>
        <w:t> </w:t>
      </w:r>
      <w:r>
        <w:rPr/>
        <w:t>time,</w:t>
      </w:r>
      <w:r>
        <w:rPr>
          <w:spacing w:val="-3"/>
        </w:rPr>
        <w:t> </w:t>
      </w:r>
      <w:r>
        <w:rPr/>
        <w:t>the diagnosis was based only on ophthalmoscopic exami- nation, so the changes were described in the literature under a wide range of names, according to different clinical manifestations and etiologies.</w:t>
      </w:r>
    </w:p>
    <w:p>
      <w:pPr>
        <w:pStyle w:val="BodyText"/>
        <w:ind w:left="238" w:right="39"/>
        <w:jc w:val="both"/>
      </w:pPr>
      <w:r>
        <w:rPr/>
        <w:t>Then in the 1960s, abnormal ERG findings were re- ported in individuals with XLRS, where the b/a ratio was abnormal in almost all cases (ERG b/a&lt;1) [8]. Since then, ERG has become an important test in this disease, with a typical finding in patients with XLRS, which has been confirmed in our case.</w:t>
      </w:r>
    </w:p>
    <w:p>
      <w:pPr>
        <w:pStyle w:val="BodyText"/>
        <w:ind w:left="238" w:right="38"/>
        <w:jc w:val="both"/>
      </w:pPr>
      <w:r>
        <w:rPr/>
        <w:t>ERG usually shows a selective decrease in dark am- plitude adapted b with relative preservation of α-am- plitude in affected men [9]. However, recent studies have shown that the ERG response is much more va- riable than previously thought [9]. Some individuals </w:t>
      </w:r>
      <w:r>
        <w:rPr>
          <w:spacing w:val="-4"/>
        </w:rPr>
        <w:t>with</w:t>
      </w:r>
      <w:r>
        <w:rPr>
          <w:spacing w:val="-10"/>
        </w:rPr>
        <w:t> </w:t>
      </w:r>
      <w:r>
        <w:rPr>
          <w:spacing w:val="-4"/>
        </w:rPr>
        <w:t>X-linked</w:t>
      </w:r>
      <w:r>
        <w:rPr>
          <w:spacing w:val="-9"/>
        </w:rPr>
        <w:t> </w:t>
      </w:r>
      <w:r>
        <w:rPr>
          <w:spacing w:val="-4"/>
        </w:rPr>
        <w:t>juvenile</w:t>
      </w:r>
      <w:r>
        <w:rPr>
          <w:spacing w:val="-9"/>
        </w:rPr>
        <w:t> </w:t>
      </w:r>
      <w:r>
        <w:rPr>
          <w:spacing w:val="-4"/>
        </w:rPr>
        <w:t>retinoschisis</w:t>
      </w:r>
      <w:r>
        <w:rPr>
          <w:spacing w:val="-9"/>
        </w:rPr>
        <w:t> </w:t>
      </w:r>
      <w:r>
        <w:rPr>
          <w:spacing w:val="-4"/>
        </w:rPr>
        <w:t>and</w:t>
      </w:r>
      <w:r>
        <w:rPr>
          <w:spacing w:val="-9"/>
        </w:rPr>
        <w:t> </w:t>
      </w:r>
      <w:r>
        <w:rPr>
          <w:spacing w:val="-4"/>
        </w:rPr>
        <w:t>confirmed</w:t>
      </w:r>
      <w:r>
        <w:rPr>
          <w:spacing w:val="-9"/>
        </w:rPr>
        <w:t> </w:t>
      </w:r>
      <w:r>
        <w:rPr>
          <w:spacing w:val="-4"/>
        </w:rPr>
        <w:t>patho- </w:t>
      </w:r>
      <w:r>
        <w:rPr/>
        <w:t>genic</w:t>
      </w:r>
      <w:r>
        <w:rPr>
          <w:spacing w:val="-4"/>
        </w:rPr>
        <w:t> </w:t>
      </w:r>
      <w:r>
        <w:rPr/>
        <w:t>variant</w:t>
      </w:r>
      <w:r>
        <w:rPr>
          <w:spacing w:val="-9"/>
        </w:rPr>
        <w:t> </w:t>
      </w:r>
      <w:r>
        <w:rPr/>
        <w:t>of</w:t>
      </w:r>
      <w:r>
        <w:rPr>
          <w:spacing w:val="-9"/>
        </w:rPr>
        <w:t> </w:t>
      </w:r>
      <w:r>
        <w:rPr/>
        <w:t>RS1</w:t>
      </w:r>
      <w:r>
        <w:rPr>
          <w:spacing w:val="-8"/>
        </w:rPr>
        <w:t> </w:t>
      </w:r>
      <w:r>
        <w:rPr/>
        <w:t>may</w:t>
      </w:r>
      <w:r>
        <w:rPr>
          <w:spacing w:val="-10"/>
        </w:rPr>
        <w:t> </w:t>
      </w:r>
      <w:r>
        <w:rPr/>
        <w:t>show</w:t>
      </w:r>
      <w:r>
        <w:rPr>
          <w:spacing w:val="-11"/>
        </w:rPr>
        <w:t> </w:t>
      </w:r>
      <w:r>
        <w:rPr/>
        <w:t>a</w:t>
      </w:r>
      <w:r>
        <w:rPr>
          <w:spacing w:val="-10"/>
        </w:rPr>
        <w:t> </w:t>
      </w:r>
      <w:r>
        <w:rPr/>
        <w:t>normal</w:t>
      </w:r>
      <w:r>
        <w:rPr>
          <w:spacing w:val="-9"/>
        </w:rPr>
        <w:t> </w:t>
      </w:r>
      <w:r>
        <w:rPr/>
        <w:t>ERG</w:t>
      </w:r>
      <w:r>
        <w:rPr>
          <w:spacing w:val="-10"/>
        </w:rPr>
        <w:t> </w:t>
      </w:r>
      <w:r>
        <w:rPr/>
        <w:t>in</w:t>
      </w:r>
      <w:r>
        <w:rPr>
          <w:spacing w:val="-10"/>
        </w:rPr>
        <w:t> </w:t>
      </w:r>
      <w:r>
        <w:rPr/>
        <w:t>which the b-wave is still present [9].</w:t>
      </w:r>
    </w:p>
    <w:p>
      <w:pPr>
        <w:pStyle w:val="BodyText"/>
        <w:ind w:left="238" w:right="41"/>
        <w:jc w:val="both"/>
      </w:pPr>
      <w:r>
        <w:rPr/>
        <w:t>Today, optical coherence tomography of the posterior segment (OCT) and fundus autofluorescence (FAF)</w:t>
      </w:r>
      <w:r>
        <w:rPr>
          <w:spacing w:val="40"/>
        </w:rPr>
        <w:t> </w:t>
      </w:r>
      <w:r>
        <w:rPr/>
        <w:t>are very important diagnostic methods for the XLJR, with a pathognomonic finding (Figures 3 and 4) [9].</w:t>
      </w:r>
    </w:p>
    <w:p>
      <w:pPr>
        <w:pStyle w:val="BodyText"/>
        <w:spacing w:before="92"/>
        <w:ind w:left="238" w:right="287"/>
        <w:jc w:val="both"/>
      </w:pPr>
      <w:r>
        <w:rPr/>
        <w:br w:type="column"/>
      </w:r>
      <w:r>
        <w:rPr/>
        <w:t>SD OCT as a non-invasive rapid method is an indica- tion</w:t>
      </w:r>
      <w:r>
        <w:rPr>
          <w:spacing w:val="-3"/>
        </w:rPr>
        <w:t> </w:t>
      </w:r>
      <w:r>
        <w:rPr/>
        <w:t>for</w:t>
      </w:r>
      <w:r>
        <w:rPr>
          <w:spacing w:val="-4"/>
        </w:rPr>
        <w:t> </w:t>
      </w:r>
      <w:r>
        <w:rPr/>
        <w:t>screening</w:t>
      </w:r>
      <w:r>
        <w:rPr>
          <w:spacing w:val="-3"/>
        </w:rPr>
        <w:t> </w:t>
      </w:r>
      <w:r>
        <w:rPr/>
        <w:t>and</w:t>
      </w:r>
      <w:r>
        <w:rPr>
          <w:spacing w:val="-3"/>
        </w:rPr>
        <w:t> </w:t>
      </w:r>
      <w:r>
        <w:rPr/>
        <w:t>is</w:t>
      </w:r>
      <w:r>
        <w:rPr>
          <w:spacing w:val="-3"/>
        </w:rPr>
        <w:t> </w:t>
      </w:r>
      <w:r>
        <w:rPr/>
        <w:t>an</w:t>
      </w:r>
      <w:r>
        <w:rPr>
          <w:spacing w:val="-1"/>
        </w:rPr>
        <w:t> </w:t>
      </w:r>
      <w:r>
        <w:rPr/>
        <w:t>important</w:t>
      </w:r>
      <w:r>
        <w:rPr>
          <w:spacing w:val="-2"/>
        </w:rPr>
        <w:t> </w:t>
      </w:r>
      <w:r>
        <w:rPr/>
        <w:t>imaging</w:t>
      </w:r>
      <w:r>
        <w:rPr>
          <w:spacing w:val="-1"/>
        </w:rPr>
        <w:t> </w:t>
      </w:r>
      <w:r>
        <w:rPr/>
        <w:t>method, which plays a key role in showing the degree of spli- tting</w:t>
      </w:r>
      <w:r>
        <w:rPr>
          <w:spacing w:val="-6"/>
        </w:rPr>
        <w:t> </w:t>
      </w:r>
      <w:r>
        <w:rPr/>
        <w:t>of</w:t>
      </w:r>
      <w:r>
        <w:rPr>
          <w:spacing w:val="-12"/>
        </w:rPr>
        <w:t> </w:t>
      </w:r>
      <w:r>
        <w:rPr/>
        <w:t>the</w:t>
      </w:r>
      <w:r>
        <w:rPr>
          <w:spacing w:val="-13"/>
        </w:rPr>
        <w:t> </w:t>
      </w:r>
      <w:r>
        <w:rPr/>
        <w:t>neurosensory</w:t>
      </w:r>
      <w:r>
        <w:rPr>
          <w:spacing w:val="-13"/>
        </w:rPr>
        <w:t> </w:t>
      </w:r>
      <w:r>
        <w:rPr/>
        <w:t>retina</w:t>
      </w:r>
      <w:r>
        <w:rPr>
          <w:spacing w:val="-13"/>
        </w:rPr>
        <w:t> </w:t>
      </w:r>
      <w:r>
        <w:rPr/>
        <w:t>and</w:t>
      </w:r>
      <w:r>
        <w:rPr>
          <w:spacing w:val="-11"/>
        </w:rPr>
        <w:t> </w:t>
      </w:r>
      <w:r>
        <w:rPr/>
        <w:t>the</w:t>
      </w:r>
      <w:r>
        <w:rPr>
          <w:spacing w:val="-11"/>
        </w:rPr>
        <w:t> </w:t>
      </w:r>
      <w:r>
        <w:rPr/>
        <w:t>size</w:t>
      </w:r>
      <w:r>
        <w:rPr>
          <w:spacing w:val="-13"/>
        </w:rPr>
        <w:t> </w:t>
      </w:r>
      <w:r>
        <w:rPr/>
        <w:t>and</w:t>
      </w:r>
      <w:r>
        <w:rPr>
          <w:spacing w:val="-11"/>
        </w:rPr>
        <w:t> </w:t>
      </w:r>
      <w:r>
        <w:rPr/>
        <w:t>volume of cystic cavities, especially in the early stages. OCT allows monitoring of macular retinoschisis, even when </w:t>
      </w:r>
      <w:r>
        <w:rPr>
          <w:spacing w:val="-6"/>
        </w:rPr>
        <w:t>fundoscopy in children or ERG can</w:t>
      </w:r>
      <w:r>
        <w:rPr>
          <w:spacing w:val="-3"/>
        </w:rPr>
        <w:t> </w:t>
      </w:r>
      <w:r>
        <w:rPr>
          <w:spacing w:val="-6"/>
        </w:rPr>
        <w:t>not</w:t>
      </w:r>
      <w:r>
        <w:rPr>
          <w:spacing w:val="-8"/>
        </w:rPr>
        <w:t> </w:t>
      </w:r>
      <w:r>
        <w:rPr>
          <w:spacing w:val="-6"/>
        </w:rPr>
        <w:t>be performed</w:t>
      </w:r>
      <w:r>
        <w:rPr>
          <w:spacing w:val="-1"/>
        </w:rPr>
        <w:t> </w:t>
      </w:r>
      <w:r>
        <w:rPr>
          <w:spacing w:val="-6"/>
        </w:rPr>
        <w:t>[10]. </w:t>
      </w:r>
      <w:r>
        <w:rPr/>
        <w:t>The authors in a study</w:t>
      </w:r>
      <w:r>
        <w:rPr>
          <w:spacing w:val="-2"/>
        </w:rPr>
        <w:t> </w:t>
      </w:r>
      <w:r>
        <w:rPr/>
        <w:t>point</w:t>
      </w:r>
      <w:r>
        <w:rPr>
          <w:spacing w:val="-1"/>
        </w:rPr>
        <w:t> </w:t>
      </w:r>
      <w:r>
        <w:rPr/>
        <w:t>out that</w:t>
      </w:r>
      <w:r>
        <w:rPr>
          <w:spacing w:val="-1"/>
        </w:rPr>
        <w:t> </w:t>
      </w:r>
      <w:r>
        <w:rPr/>
        <w:t>OCT shows small cysts</w:t>
      </w:r>
      <w:r>
        <w:rPr>
          <w:spacing w:val="-10"/>
        </w:rPr>
        <w:t> </w:t>
      </w:r>
      <w:r>
        <w:rPr/>
        <w:t>in</w:t>
      </w:r>
      <w:r>
        <w:rPr>
          <w:spacing w:val="-10"/>
        </w:rPr>
        <w:t> </w:t>
      </w:r>
      <w:r>
        <w:rPr/>
        <w:t>the</w:t>
      </w:r>
      <w:r>
        <w:rPr>
          <w:spacing w:val="-12"/>
        </w:rPr>
        <w:t> </w:t>
      </w:r>
      <w:r>
        <w:rPr/>
        <w:t>peripoveolar</w:t>
      </w:r>
      <w:r>
        <w:rPr>
          <w:spacing w:val="-12"/>
        </w:rPr>
        <w:t> </w:t>
      </w:r>
      <w:r>
        <w:rPr/>
        <w:t>region</w:t>
      </w:r>
      <w:r>
        <w:rPr>
          <w:spacing w:val="-11"/>
        </w:rPr>
        <w:t> </w:t>
      </w:r>
      <w:r>
        <w:rPr/>
        <w:t>and</w:t>
      </w:r>
      <w:r>
        <w:rPr>
          <w:spacing w:val="-10"/>
        </w:rPr>
        <w:t> </w:t>
      </w:r>
      <w:r>
        <w:rPr/>
        <w:t>larger</w:t>
      </w:r>
      <w:r>
        <w:rPr>
          <w:spacing w:val="-10"/>
        </w:rPr>
        <w:t> </w:t>
      </w:r>
      <w:r>
        <w:rPr/>
        <w:t>cystic</w:t>
      </w:r>
      <w:r>
        <w:rPr>
          <w:spacing w:val="-12"/>
        </w:rPr>
        <w:t> </w:t>
      </w:r>
      <w:r>
        <w:rPr/>
        <w:t>spaces in</w:t>
      </w:r>
      <w:r>
        <w:rPr>
          <w:spacing w:val="-3"/>
        </w:rPr>
        <w:t> </w:t>
      </w:r>
      <w:r>
        <w:rPr/>
        <w:t>the</w:t>
      </w:r>
      <w:r>
        <w:rPr>
          <w:spacing w:val="-3"/>
        </w:rPr>
        <w:t> </w:t>
      </w:r>
      <w:r>
        <w:rPr/>
        <w:t>fovea</w:t>
      </w:r>
      <w:r>
        <w:rPr>
          <w:spacing w:val="-3"/>
        </w:rPr>
        <w:t> </w:t>
      </w:r>
      <w:r>
        <w:rPr/>
        <w:t>in</w:t>
      </w:r>
      <w:r>
        <w:rPr>
          <w:spacing w:val="-2"/>
        </w:rPr>
        <w:t> </w:t>
      </w:r>
      <w:r>
        <w:rPr/>
        <w:t>most</w:t>
      </w:r>
      <w:r>
        <w:rPr>
          <w:spacing w:val="-5"/>
        </w:rPr>
        <w:t> </w:t>
      </w:r>
      <w:r>
        <w:rPr/>
        <w:t>school-age</w:t>
      </w:r>
      <w:r>
        <w:rPr>
          <w:spacing w:val="-3"/>
        </w:rPr>
        <w:t> </w:t>
      </w:r>
      <w:r>
        <w:rPr/>
        <w:t>individuals</w:t>
      </w:r>
      <w:r>
        <w:rPr>
          <w:spacing w:val="-4"/>
        </w:rPr>
        <w:t> </w:t>
      </w:r>
      <w:r>
        <w:rPr/>
        <w:t>with</w:t>
      </w:r>
      <w:r>
        <w:rPr>
          <w:spacing w:val="-3"/>
        </w:rPr>
        <w:t> </w:t>
      </w:r>
      <w:r>
        <w:rPr/>
        <w:t>XLRS [11]. Cystic spaces are less obvious after adolescence. On the other hand, OCT findings in elderly patients may be normal, due to the flattening of the cysts with age, [11] or may be in different layers of the retina, in </w:t>
      </w:r>
      <w:r>
        <w:rPr>
          <w:spacing w:val="-2"/>
        </w:rPr>
        <w:t>the</w:t>
      </w:r>
      <w:r>
        <w:rPr>
          <w:spacing w:val="29"/>
        </w:rPr>
        <w:t> </w:t>
      </w:r>
      <w:r>
        <w:rPr>
          <w:spacing w:val="-2"/>
        </w:rPr>
        <w:t>nerve</w:t>
      </w:r>
      <w:r>
        <w:rPr>
          <w:spacing w:val="-10"/>
        </w:rPr>
        <w:t> </w:t>
      </w:r>
      <w:r>
        <w:rPr>
          <w:spacing w:val="-2"/>
        </w:rPr>
        <w:t>fibers</w:t>
      </w:r>
      <w:r>
        <w:rPr>
          <w:spacing w:val="-12"/>
        </w:rPr>
        <w:t> </w:t>
      </w:r>
      <w:r>
        <w:rPr>
          <w:spacing w:val="-2"/>
        </w:rPr>
        <w:t>(NFL),</w:t>
      </w:r>
      <w:r>
        <w:rPr>
          <w:spacing w:val="-9"/>
        </w:rPr>
        <w:t> </w:t>
      </w:r>
      <w:r>
        <w:rPr>
          <w:spacing w:val="-2"/>
        </w:rPr>
        <w:t>ganglion</w:t>
      </w:r>
      <w:r>
        <w:rPr>
          <w:spacing w:val="-12"/>
        </w:rPr>
        <w:t> </w:t>
      </w:r>
      <w:r>
        <w:rPr>
          <w:spacing w:val="-2"/>
        </w:rPr>
        <w:t>cells</w:t>
      </w:r>
      <w:r>
        <w:rPr>
          <w:spacing w:val="-10"/>
        </w:rPr>
        <w:t> </w:t>
      </w:r>
      <w:r>
        <w:rPr>
          <w:spacing w:val="-2"/>
        </w:rPr>
        <w:t>(GCL),</w:t>
      </w:r>
      <w:r>
        <w:rPr>
          <w:spacing w:val="-10"/>
        </w:rPr>
        <w:t> </w:t>
      </w:r>
      <w:r>
        <w:rPr>
          <w:spacing w:val="-2"/>
        </w:rPr>
        <w:t>inner</w:t>
      </w:r>
      <w:r>
        <w:rPr>
          <w:spacing w:val="-12"/>
        </w:rPr>
        <w:t> </w:t>
      </w:r>
      <w:r>
        <w:rPr>
          <w:spacing w:val="-2"/>
        </w:rPr>
        <w:t>nuc- </w:t>
      </w:r>
      <w:r>
        <w:rPr/>
        <w:t>lear</w:t>
      </w:r>
      <w:r>
        <w:rPr>
          <w:spacing w:val="-11"/>
        </w:rPr>
        <w:t> </w:t>
      </w:r>
      <w:r>
        <w:rPr/>
        <w:t>(INL),</w:t>
      </w:r>
      <w:r>
        <w:rPr>
          <w:spacing w:val="-12"/>
        </w:rPr>
        <w:t> </w:t>
      </w:r>
      <w:r>
        <w:rPr/>
        <w:t>outer</w:t>
      </w:r>
      <w:r>
        <w:rPr>
          <w:spacing w:val="-13"/>
        </w:rPr>
        <w:t> </w:t>
      </w:r>
      <w:r>
        <w:rPr/>
        <w:t>plexiform</w:t>
      </w:r>
      <w:r>
        <w:rPr>
          <w:spacing w:val="-13"/>
        </w:rPr>
        <w:t> </w:t>
      </w:r>
      <w:r>
        <w:rPr/>
        <w:t>(OPL),</w:t>
      </w:r>
      <w:r>
        <w:rPr>
          <w:spacing w:val="-14"/>
        </w:rPr>
        <w:t> </w:t>
      </w:r>
      <w:r>
        <w:rPr/>
        <w:t>outer</w:t>
      </w:r>
      <w:r>
        <w:rPr>
          <w:spacing w:val="-13"/>
        </w:rPr>
        <w:t> </w:t>
      </w:r>
      <w:r>
        <w:rPr/>
        <w:t>nuclear</w:t>
      </w:r>
      <w:r>
        <w:rPr>
          <w:spacing w:val="-12"/>
        </w:rPr>
        <w:t> </w:t>
      </w:r>
      <w:r>
        <w:rPr/>
        <w:t>(ONL) or</w:t>
      </w:r>
      <w:r>
        <w:rPr>
          <w:spacing w:val="-14"/>
        </w:rPr>
        <w:t> </w:t>
      </w:r>
      <w:r>
        <w:rPr/>
        <w:t>the</w:t>
      </w:r>
      <w:r>
        <w:rPr>
          <w:spacing w:val="-13"/>
        </w:rPr>
        <w:t> </w:t>
      </w:r>
      <w:r>
        <w:rPr/>
        <w:t>photoreceptor</w:t>
      </w:r>
      <w:r>
        <w:rPr>
          <w:spacing w:val="-13"/>
        </w:rPr>
        <w:t> </w:t>
      </w:r>
      <w:r>
        <w:rPr/>
        <w:t>(PL)</w:t>
      </w:r>
      <w:r>
        <w:rPr>
          <w:spacing w:val="-13"/>
        </w:rPr>
        <w:t> </w:t>
      </w:r>
      <w:r>
        <w:rPr/>
        <w:t>layer,</w:t>
      </w:r>
      <w:r>
        <w:rPr>
          <w:spacing w:val="-13"/>
        </w:rPr>
        <w:t> </w:t>
      </w:r>
      <w:r>
        <w:rPr/>
        <w:t>and</w:t>
      </w:r>
      <w:r>
        <w:rPr>
          <w:spacing w:val="-13"/>
        </w:rPr>
        <w:t> </w:t>
      </w:r>
      <w:r>
        <w:rPr/>
        <w:t>over</w:t>
      </w:r>
      <w:r>
        <w:rPr>
          <w:spacing w:val="-13"/>
        </w:rPr>
        <w:t> </w:t>
      </w:r>
      <w:r>
        <w:rPr/>
        <w:t>time</w:t>
      </w:r>
      <w:r>
        <w:rPr>
          <w:spacing w:val="-13"/>
        </w:rPr>
        <w:t> </w:t>
      </w:r>
      <w:r>
        <w:rPr/>
        <w:t>may</w:t>
      </w:r>
      <w:r>
        <w:rPr>
          <w:spacing w:val="-14"/>
        </w:rPr>
        <w:t> </w:t>
      </w:r>
      <w:r>
        <w:rPr/>
        <w:t>form a large central cavity that can progress to nonspecific macular atrophy [11].</w:t>
      </w:r>
    </w:p>
    <w:p>
      <w:pPr>
        <w:pStyle w:val="BodyText"/>
        <w:spacing w:before="1"/>
        <w:ind w:left="238" w:right="293"/>
        <w:jc w:val="both"/>
      </w:pPr>
      <w:r>
        <w:rPr/>
        <w:t>Variations</w:t>
      </w:r>
      <w:r>
        <w:rPr>
          <w:spacing w:val="-6"/>
        </w:rPr>
        <w:t> </w:t>
      </w:r>
      <w:r>
        <w:rPr/>
        <w:t>in</w:t>
      </w:r>
      <w:r>
        <w:rPr>
          <w:spacing w:val="-6"/>
        </w:rPr>
        <w:t> </w:t>
      </w:r>
      <w:r>
        <w:rPr/>
        <w:t>presentation,</w:t>
      </w:r>
      <w:r>
        <w:rPr>
          <w:spacing w:val="-6"/>
        </w:rPr>
        <w:t> </w:t>
      </w:r>
      <w:r>
        <w:rPr/>
        <w:t>progression,</w:t>
      </w:r>
      <w:r>
        <w:rPr>
          <w:spacing w:val="-6"/>
        </w:rPr>
        <w:t> </w:t>
      </w:r>
      <w:r>
        <w:rPr/>
        <w:t>clinical</w:t>
      </w:r>
      <w:r>
        <w:rPr>
          <w:spacing w:val="-8"/>
        </w:rPr>
        <w:t> </w:t>
      </w:r>
      <w:r>
        <w:rPr/>
        <w:t>course, stages,</w:t>
      </w:r>
      <w:r>
        <w:rPr>
          <w:spacing w:val="-1"/>
        </w:rPr>
        <w:t> </w:t>
      </w:r>
      <w:r>
        <w:rPr/>
        <w:t>and</w:t>
      </w:r>
      <w:r>
        <w:rPr>
          <w:spacing w:val="-1"/>
        </w:rPr>
        <w:t> </w:t>
      </w:r>
      <w:r>
        <w:rPr/>
        <w:t>different</w:t>
      </w:r>
      <w:r>
        <w:rPr>
          <w:spacing w:val="-2"/>
        </w:rPr>
        <w:t> </w:t>
      </w:r>
      <w:r>
        <w:rPr/>
        <w:t>findings</w:t>
      </w:r>
      <w:r>
        <w:rPr>
          <w:spacing w:val="-4"/>
        </w:rPr>
        <w:t> </w:t>
      </w:r>
      <w:r>
        <w:rPr/>
        <w:t>on</w:t>
      </w:r>
      <w:r>
        <w:rPr>
          <w:spacing w:val="-1"/>
        </w:rPr>
        <w:t> </w:t>
      </w:r>
      <w:r>
        <w:rPr/>
        <w:t>SD OCT</w:t>
      </w:r>
      <w:r>
        <w:rPr>
          <w:spacing w:val="-3"/>
        </w:rPr>
        <w:t> </w:t>
      </w:r>
      <w:r>
        <w:rPr/>
        <w:t>highlight</w:t>
      </w:r>
      <w:r>
        <w:rPr>
          <w:spacing w:val="-2"/>
        </w:rPr>
        <w:t> </w:t>
      </w:r>
      <w:r>
        <w:rPr/>
        <w:t>the variability of this genetic disease among members of the same family, as well as between both eyes of the same patient, as is shown in our presented case (Fi- gures 3 and 4) [12].</w:t>
      </w:r>
    </w:p>
    <w:p>
      <w:pPr>
        <w:pStyle w:val="BodyText"/>
        <w:ind w:left="238" w:right="290"/>
        <w:jc w:val="both"/>
      </w:pPr>
      <w:r>
        <w:rPr>
          <w:spacing w:val="-4"/>
        </w:rPr>
        <w:t>The clinical manifestations of foveal lesions vary widely, </w:t>
      </w:r>
      <w:r>
        <w:rPr/>
        <w:t>from</w:t>
      </w:r>
      <w:r>
        <w:rPr>
          <w:spacing w:val="-7"/>
        </w:rPr>
        <w:t> </w:t>
      </w:r>
      <w:r>
        <w:rPr/>
        <w:t>radially</w:t>
      </w:r>
      <w:r>
        <w:rPr>
          <w:spacing w:val="-7"/>
        </w:rPr>
        <w:t> </w:t>
      </w:r>
      <w:r>
        <w:rPr/>
        <w:t>furrowed</w:t>
      </w:r>
      <w:r>
        <w:rPr>
          <w:spacing w:val="-5"/>
        </w:rPr>
        <w:t> </w:t>
      </w:r>
      <w:r>
        <w:rPr/>
        <w:t>(about</w:t>
      </w:r>
      <w:r>
        <w:rPr>
          <w:spacing w:val="-7"/>
        </w:rPr>
        <w:t> </w:t>
      </w:r>
      <w:r>
        <w:rPr/>
        <w:t>3%),</w:t>
      </w:r>
      <w:r>
        <w:rPr>
          <w:spacing w:val="-5"/>
        </w:rPr>
        <w:t> </w:t>
      </w:r>
      <w:r>
        <w:rPr/>
        <w:t>microcystic</w:t>
      </w:r>
      <w:r>
        <w:rPr>
          <w:spacing w:val="-5"/>
        </w:rPr>
        <w:t> </w:t>
      </w:r>
      <w:r>
        <w:rPr/>
        <w:t>lesions (34%), honeycomb-like cysts (8%), or combinations </w:t>
      </w:r>
      <w:r>
        <w:rPr>
          <w:spacing w:val="-2"/>
        </w:rPr>
        <w:t>thereof</w:t>
      </w:r>
      <w:r>
        <w:rPr>
          <w:spacing w:val="-9"/>
        </w:rPr>
        <w:t> </w:t>
      </w:r>
      <w:r>
        <w:rPr>
          <w:spacing w:val="-2"/>
        </w:rPr>
        <w:t>(31%),</w:t>
      </w:r>
      <w:r>
        <w:rPr>
          <w:spacing w:val="-6"/>
        </w:rPr>
        <w:t> </w:t>
      </w:r>
      <w:r>
        <w:rPr>
          <w:spacing w:val="-2"/>
        </w:rPr>
        <w:t>to</w:t>
      </w:r>
      <w:r>
        <w:rPr>
          <w:spacing w:val="-9"/>
        </w:rPr>
        <w:t> </w:t>
      </w:r>
      <w:r>
        <w:rPr>
          <w:spacing w:val="-2"/>
        </w:rPr>
        <w:t>non-cystic</w:t>
      </w:r>
      <w:r>
        <w:rPr>
          <w:spacing w:val="-9"/>
        </w:rPr>
        <w:t> </w:t>
      </w:r>
      <w:r>
        <w:rPr>
          <w:spacing w:val="-2"/>
        </w:rPr>
        <w:t>changes,</w:t>
      </w:r>
      <w:r>
        <w:rPr>
          <w:spacing w:val="-6"/>
        </w:rPr>
        <w:t> </w:t>
      </w:r>
      <w:r>
        <w:rPr>
          <w:spacing w:val="-2"/>
        </w:rPr>
        <w:t>including</w:t>
      </w:r>
      <w:r>
        <w:rPr>
          <w:spacing w:val="-9"/>
        </w:rPr>
        <w:t> </w:t>
      </w:r>
      <w:r>
        <w:rPr>
          <w:spacing w:val="-2"/>
        </w:rPr>
        <w:t>pigmen- </w:t>
      </w:r>
      <w:r>
        <w:rPr/>
        <w:t>tation, loss of the foveolar reflex (8%), or appearance of</w:t>
      </w:r>
      <w:r>
        <w:rPr>
          <w:spacing w:val="40"/>
        </w:rPr>
        <w:t> </w:t>
      </w:r>
      <w:r>
        <w:rPr/>
        <w:t>atrophic lesions (8%) [13].</w:t>
      </w:r>
    </w:p>
    <w:p>
      <w:pPr>
        <w:pStyle w:val="BodyText"/>
        <w:ind w:left="238" w:right="290"/>
        <w:jc w:val="both"/>
      </w:pPr>
      <w:r>
        <w:rPr/>
        <w:t>Recent studies have shown that the degree of retino- schisis is greater in the inner nuclear and outer nuc- lear-plexiform</w:t>
      </w:r>
      <w:r>
        <w:rPr>
          <w:spacing w:val="-3"/>
        </w:rPr>
        <w:t> </w:t>
      </w:r>
      <w:r>
        <w:rPr/>
        <w:t>layers, in contrast</w:t>
      </w:r>
      <w:r>
        <w:rPr>
          <w:spacing w:val="-1"/>
        </w:rPr>
        <w:t> </w:t>
      </w:r>
      <w:r>
        <w:rPr/>
        <w:t>to some previous his- topathological studies which claimed that retinoschisis occurs more in superficial retinal layers, such as the inner limiting membrane and nerve fibers layer [13]. Some</w:t>
      </w:r>
      <w:r>
        <w:rPr>
          <w:spacing w:val="-11"/>
        </w:rPr>
        <w:t> </w:t>
      </w:r>
      <w:r>
        <w:rPr/>
        <w:t>authors</w:t>
      </w:r>
      <w:r>
        <w:rPr>
          <w:spacing w:val="-11"/>
        </w:rPr>
        <w:t> </w:t>
      </w:r>
      <w:r>
        <w:rPr/>
        <w:t>have</w:t>
      </w:r>
      <w:r>
        <w:rPr>
          <w:spacing w:val="-11"/>
        </w:rPr>
        <w:t> </w:t>
      </w:r>
      <w:r>
        <w:rPr/>
        <w:t>suggested</w:t>
      </w:r>
      <w:r>
        <w:rPr>
          <w:spacing w:val="-9"/>
        </w:rPr>
        <w:t> </w:t>
      </w:r>
      <w:r>
        <w:rPr/>
        <w:t>that</w:t>
      </w:r>
      <w:r>
        <w:rPr>
          <w:spacing w:val="-9"/>
        </w:rPr>
        <w:t> </w:t>
      </w:r>
      <w:r>
        <w:rPr/>
        <w:t>this</w:t>
      </w:r>
      <w:r>
        <w:rPr>
          <w:spacing w:val="-11"/>
        </w:rPr>
        <w:t> </w:t>
      </w:r>
      <w:r>
        <w:rPr/>
        <w:t>discrepancy</w:t>
      </w:r>
      <w:r>
        <w:rPr>
          <w:spacing w:val="-11"/>
        </w:rPr>
        <w:t> </w:t>
      </w:r>
      <w:r>
        <w:rPr/>
        <w:t>may be due to technical limitations of histopathological studies [13].</w:t>
      </w:r>
    </w:p>
    <w:p>
      <w:pPr>
        <w:pStyle w:val="BodyText"/>
        <w:spacing w:before="2"/>
        <w:ind w:left="238" w:right="292"/>
        <w:jc w:val="both"/>
      </w:pPr>
      <w:r>
        <w:rPr/>
        <w:t>XLJR can progress to retinal detachment in approxi- mately 5%-22% of affected individuals. Meanwhile, about 4% to 40% of people with X-linked juvenile retinoschisis may have vitreous hemorrhage [13].</w:t>
      </w:r>
    </w:p>
    <w:p>
      <w:pPr>
        <w:pStyle w:val="BodyText"/>
        <w:ind w:left="238" w:right="292"/>
        <w:jc w:val="both"/>
      </w:pPr>
      <w:r>
        <w:rPr/>
        <w:t>Studies</w:t>
      </w:r>
      <w:r>
        <w:rPr>
          <w:spacing w:val="-2"/>
        </w:rPr>
        <w:t> </w:t>
      </w:r>
      <w:r>
        <w:rPr/>
        <w:t>show</w:t>
      </w:r>
      <w:r>
        <w:rPr>
          <w:spacing w:val="-3"/>
        </w:rPr>
        <w:t> </w:t>
      </w:r>
      <w:r>
        <w:rPr/>
        <w:t>that</w:t>
      </w:r>
      <w:r>
        <w:rPr>
          <w:spacing w:val="-1"/>
        </w:rPr>
        <w:t> </w:t>
      </w:r>
      <w:r>
        <w:rPr/>
        <w:t>young</w:t>
      </w:r>
      <w:r>
        <w:rPr>
          <w:spacing w:val="-1"/>
        </w:rPr>
        <w:t> </w:t>
      </w:r>
      <w:r>
        <w:rPr/>
        <w:t>boys</w:t>
      </w:r>
      <w:r>
        <w:rPr>
          <w:spacing w:val="-2"/>
        </w:rPr>
        <w:t> </w:t>
      </w:r>
      <w:r>
        <w:rPr/>
        <w:t>may</w:t>
      </w:r>
      <w:r>
        <w:rPr>
          <w:spacing w:val="-3"/>
        </w:rPr>
        <w:t> </w:t>
      </w:r>
      <w:r>
        <w:rPr/>
        <w:t>experience</w:t>
      </w:r>
      <w:r>
        <w:rPr>
          <w:spacing w:val="-1"/>
        </w:rPr>
        <w:t> </w:t>
      </w:r>
      <w:r>
        <w:rPr/>
        <w:t>vitreous hemorrhage and/or retinal detachment (RD), with or without neovascular glaucoma, which in differential diagnosis may suggest Coats disease, while in school- age boys may be manifested with poor vision, am- blyopia or strabismus.</w:t>
      </w:r>
    </w:p>
    <w:p>
      <w:pPr>
        <w:pStyle w:val="BodyText"/>
        <w:ind w:left="238" w:right="292"/>
        <w:jc w:val="both"/>
      </w:pPr>
      <w:r>
        <w:rPr/>
        <w:t>In elderly patients the disease may be present with re- tinal</w:t>
      </w:r>
      <w:r>
        <w:rPr>
          <w:spacing w:val="-1"/>
        </w:rPr>
        <w:t> </w:t>
      </w:r>
      <w:r>
        <w:rPr/>
        <w:t>pigmentation or maculopathy, and not</w:t>
      </w:r>
      <w:r>
        <w:rPr>
          <w:spacing w:val="-1"/>
        </w:rPr>
        <w:t> </w:t>
      </w:r>
      <w:r>
        <w:rPr/>
        <w:t>all</w:t>
      </w:r>
      <w:r>
        <w:rPr>
          <w:spacing w:val="-1"/>
        </w:rPr>
        <w:t> </w:t>
      </w:r>
      <w:r>
        <w:rPr/>
        <w:t>patients show an electronegative ERG finding (b/a&lt;1) [14].</w:t>
      </w:r>
    </w:p>
    <w:p>
      <w:pPr>
        <w:pStyle w:val="BodyText"/>
        <w:ind w:left="238" w:right="290"/>
        <w:jc w:val="both"/>
      </w:pPr>
      <w:r>
        <w:rPr/>
        <w:t>The delayed onset of the b wave seen in a study by Bowles </w:t>
      </w:r>
      <w:r>
        <w:rPr>
          <w:i/>
        </w:rPr>
        <w:t>et</w:t>
      </w:r>
      <w:r>
        <w:rPr>
          <w:i/>
          <w:spacing w:val="-1"/>
        </w:rPr>
        <w:t> </w:t>
      </w:r>
      <w:r>
        <w:rPr>
          <w:i/>
        </w:rPr>
        <w:t>al</w:t>
      </w:r>
      <w:r>
        <w:rPr/>
        <w:t>. performed in 68 men with XLJR sugges- ted</w:t>
      </w:r>
      <w:r>
        <w:rPr>
          <w:spacing w:val="-5"/>
        </w:rPr>
        <w:t> </w:t>
      </w:r>
      <w:r>
        <w:rPr/>
        <w:t>that</w:t>
      </w:r>
      <w:r>
        <w:rPr>
          <w:spacing w:val="-9"/>
        </w:rPr>
        <w:t> </w:t>
      </w:r>
      <w:r>
        <w:rPr/>
        <w:t>photoreceptor</w:t>
      </w:r>
      <w:r>
        <w:rPr>
          <w:spacing w:val="-9"/>
        </w:rPr>
        <w:t> </w:t>
      </w:r>
      <w:r>
        <w:rPr/>
        <w:t>synapses</w:t>
      </w:r>
      <w:r>
        <w:rPr>
          <w:spacing w:val="-9"/>
        </w:rPr>
        <w:t> </w:t>
      </w:r>
      <w:r>
        <w:rPr/>
        <w:t>or</w:t>
      </w:r>
      <w:r>
        <w:rPr>
          <w:spacing w:val="-9"/>
        </w:rPr>
        <w:t> </w:t>
      </w:r>
      <w:r>
        <w:rPr/>
        <w:t>bipolar</w:t>
      </w:r>
      <w:r>
        <w:rPr>
          <w:spacing w:val="-9"/>
        </w:rPr>
        <w:t> </w:t>
      </w:r>
      <w:r>
        <w:rPr/>
        <w:t>cell</w:t>
      </w:r>
      <w:r>
        <w:rPr>
          <w:spacing w:val="-9"/>
        </w:rPr>
        <w:t> </w:t>
      </w:r>
      <w:r>
        <w:rPr/>
        <w:t>dysfunc- tion increased with age [14].</w:t>
      </w:r>
    </w:p>
    <w:p>
      <w:pPr>
        <w:spacing w:after="0"/>
        <w:jc w:val="both"/>
        <w:sectPr>
          <w:type w:val="continuous"/>
          <w:pgSz w:w="11910" w:h="16840"/>
          <w:pgMar w:header="854" w:footer="0" w:top="740" w:bottom="0" w:left="900" w:right="840"/>
          <w:cols w:num="2" w:equalWidth="0">
            <w:col w:w="4919" w:space="79"/>
            <w:col w:w="5172"/>
          </w:cols>
        </w:sectPr>
      </w:pPr>
    </w:p>
    <w:p>
      <w:pPr>
        <w:pStyle w:val="BodyText"/>
        <w:spacing w:before="5"/>
        <w:rPr>
          <w:sz w:val="15"/>
        </w:rPr>
      </w:pPr>
    </w:p>
    <w:p>
      <w:pPr>
        <w:spacing w:after="0"/>
        <w:rPr>
          <w:sz w:val="15"/>
        </w:rPr>
        <w:sectPr>
          <w:pgSz w:w="11910" w:h="16840"/>
          <w:pgMar w:header="854" w:footer="0" w:top="1280" w:bottom="280" w:left="900" w:right="840"/>
        </w:sectPr>
      </w:pPr>
    </w:p>
    <w:p>
      <w:pPr>
        <w:pStyle w:val="BodyText"/>
        <w:spacing w:before="92"/>
        <w:ind w:left="238" w:right="39"/>
        <w:jc w:val="both"/>
      </w:pPr>
      <w:r>
        <w:rPr/>
        <w:t>Fluorescein</w:t>
      </w:r>
      <w:r>
        <w:rPr>
          <w:spacing w:val="-2"/>
        </w:rPr>
        <w:t> </w:t>
      </w:r>
      <w:r>
        <w:rPr/>
        <w:t>angiography,</w:t>
      </w:r>
      <w:r>
        <w:rPr>
          <w:spacing w:val="-2"/>
        </w:rPr>
        <w:t> </w:t>
      </w:r>
      <w:r>
        <w:rPr/>
        <w:t>as</w:t>
      </w:r>
      <w:r>
        <w:rPr>
          <w:spacing w:val="-2"/>
        </w:rPr>
        <w:t> </w:t>
      </w:r>
      <w:r>
        <w:rPr/>
        <w:t>a</w:t>
      </w:r>
      <w:r>
        <w:rPr>
          <w:spacing w:val="-2"/>
        </w:rPr>
        <w:t> </w:t>
      </w:r>
      <w:r>
        <w:rPr/>
        <w:t>diagnostic</w:t>
      </w:r>
      <w:r>
        <w:rPr>
          <w:spacing w:val="-4"/>
        </w:rPr>
        <w:t> </w:t>
      </w:r>
      <w:r>
        <w:rPr/>
        <w:t>procedure</w:t>
      </w:r>
      <w:r>
        <w:rPr>
          <w:spacing w:val="-2"/>
        </w:rPr>
        <w:t> </w:t>
      </w:r>
      <w:r>
        <w:rPr/>
        <w:t>for diseases of the posterior segment of the eye, has no significant features in XLJR. The finding appears nor- mal,</w:t>
      </w:r>
      <w:r>
        <w:rPr>
          <w:spacing w:val="-7"/>
        </w:rPr>
        <w:t> </w:t>
      </w:r>
      <w:r>
        <w:rPr/>
        <w:t>especially</w:t>
      </w:r>
      <w:r>
        <w:rPr>
          <w:spacing w:val="-14"/>
        </w:rPr>
        <w:t> </w:t>
      </w:r>
      <w:r>
        <w:rPr/>
        <w:t>in</w:t>
      </w:r>
      <w:r>
        <w:rPr>
          <w:spacing w:val="-11"/>
        </w:rPr>
        <w:t> </w:t>
      </w:r>
      <w:r>
        <w:rPr/>
        <w:t>younger</w:t>
      </w:r>
      <w:r>
        <w:rPr>
          <w:spacing w:val="-12"/>
        </w:rPr>
        <w:t> </w:t>
      </w:r>
      <w:r>
        <w:rPr/>
        <w:t>people,</w:t>
      </w:r>
      <w:r>
        <w:rPr>
          <w:spacing w:val="-12"/>
        </w:rPr>
        <w:t> </w:t>
      </w:r>
      <w:r>
        <w:rPr/>
        <w:t>as</w:t>
      </w:r>
      <w:r>
        <w:rPr>
          <w:spacing w:val="-12"/>
        </w:rPr>
        <w:t> </w:t>
      </w:r>
      <w:r>
        <w:rPr/>
        <w:t>in</w:t>
      </w:r>
      <w:r>
        <w:rPr>
          <w:spacing w:val="-10"/>
        </w:rPr>
        <w:t> </w:t>
      </w:r>
      <w:r>
        <w:rPr/>
        <w:t>the</w:t>
      </w:r>
      <w:r>
        <w:rPr>
          <w:spacing w:val="-12"/>
        </w:rPr>
        <w:t> </w:t>
      </w:r>
      <w:r>
        <w:rPr/>
        <w:t>case</w:t>
      </w:r>
      <w:r>
        <w:rPr>
          <w:spacing w:val="-12"/>
        </w:rPr>
        <w:t> </w:t>
      </w:r>
      <w:r>
        <w:rPr/>
        <w:t>shown, and in elderly patients atrophic changes in the retinal pigment epithelium may occur. In contrast, fundus autofluorescence is very important, and in XLJR is manifested by</w:t>
      </w:r>
      <w:r>
        <w:rPr>
          <w:spacing w:val="-2"/>
        </w:rPr>
        <w:t> </w:t>
      </w:r>
      <w:r>
        <w:rPr/>
        <w:t>increased autofluorescence in the fovea, which is a</w:t>
      </w:r>
      <w:r>
        <w:rPr>
          <w:spacing w:val="40"/>
        </w:rPr>
        <w:t> </w:t>
      </w:r>
      <w:r>
        <w:rPr/>
        <w:t>characteristic sign [9,10].</w:t>
      </w:r>
    </w:p>
    <w:p>
      <w:pPr>
        <w:pStyle w:val="BodyText"/>
        <w:spacing w:before="1"/>
        <w:ind w:left="238" w:right="40"/>
        <w:jc w:val="both"/>
      </w:pPr>
      <w:r>
        <w:rPr/>
        <w:t>In 1997, identification of the RS1 gene (gene ID:</w:t>
      </w:r>
      <w:r>
        <w:rPr>
          <w:spacing w:val="40"/>
        </w:rPr>
        <w:t> </w:t>
      </w:r>
      <w:r>
        <w:rPr/>
        <w:t>6247;</w:t>
      </w:r>
      <w:r>
        <w:rPr>
          <w:spacing w:val="-1"/>
        </w:rPr>
        <w:t> </w:t>
      </w:r>
      <w:r>
        <w:rPr/>
        <w:t>OMIM: 312700) showed that</w:t>
      </w:r>
      <w:r>
        <w:rPr>
          <w:spacing w:val="-1"/>
        </w:rPr>
        <w:t> </w:t>
      </w:r>
      <w:r>
        <w:rPr/>
        <w:t>XLRS was caused by a mutation located in the p22 region of the short arm</w:t>
      </w:r>
      <w:r>
        <w:rPr>
          <w:spacing w:val="-8"/>
        </w:rPr>
        <w:t> </w:t>
      </w:r>
      <w:r>
        <w:rPr/>
        <w:t>of</w:t>
      </w:r>
      <w:r>
        <w:rPr>
          <w:spacing w:val="-5"/>
        </w:rPr>
        <w:t> </w:t>
      </w:r>
      <w:r>
        <w:rPr/>
        <w:t>the</w:t>
      </w:r>
      <w:r>
        <w:rPr>
          <w:spacing w:val="-6"/>
        </w:rPr>
        <w:t> </w:t>
      </w:r>
      <w:r>
        <w:rPr/>
        <w:t>X</w:t>
      </w:r>
      <w:r>
        <w:rPr>
          <w:spacing w:val="-5"/>
        </w:rPr>
        <w:t> </w:t>
      </w:r>
      <w:r>
        <w:rPr/>
        <w:t>chromosome</w:t>
      </w:r>
      <w:r>
        <w:rPr>
          <w:spacing w:val="-6"/>
        </w:rPr>
        <w:t> </w:t>
      </w:r>
      <w:r>
        <w:rPr/>
        <w:t>(localization:</w:t>
      </w:r>
      <w:r>
        <w:rPr>
          <w:spacing w:val="-6"/>
        </w:rPr>
        <w:t> </w:t>
      </w:r>
      <w:r>
        <w:rPr/>
        <w:t>Xp22.2-p22.1, GenBank AF014459) [9].</w:t>
      </w:r>
    </w:p>
    <w:p>
      <w:pPr>
        <w:pStyle w:val="BodyText"/>
        <w:spacing w:before="1"/>
        <w:ind w:left="238" w:right="40"/>
        <w:jc w:val="both"/>
      </w:pPr>
      <w:r>
        <w:rPr>
          <w:spacing w:val="-4"/>
        </w:rPr>
        <w:t>To</w:t>
      </w:r>
      <w:r>
        <w:rPr>
          <w:spacing w:val="-6"/>
        </w:rPr>
        <w:t> </w:t>
      </w:r>
      <w:r>
        <w:rPr>
          <w:spacing w:val="-4"/>
        </w:rPr>
        <w:t>date,</w:t>
      </w:r>
      <w:r>
        <w:rPr>
          <w:spacing w:val="-6"/>
        </w:rPr>
        <w:t> </w:t>
      </w:r>
      <w:r>
        <w:rPr>
          <w:spacing w:val="-4"/>
        </w:rPr>
        <w:t>it</w:t>
      </w:r>
      <w:r>
        <w:rPr>
          <w:spacing w:val="-5"/>
        </w:rPr>
        <w:t> </w:t>
      </w:r>
      <w:r>
        <w:rPr>
          <w:spacing w:val="-4"/>
        </w:rPr>
        <w:t>is</w:t>
      </w:r>
      <w:r>
        <w:rPr>
          <w:spacing w:val="-7"/>
        </w:rPr>
        <w:t> </w:t>
      </w:r>
      <w:r>
        <w:rPr>
          <w:spacing w:val="-4"/>
        </w:rPr>
        <w:t>the</w:t>
      </w:r>
      <w:r>
        <w:rPr>
          <w:spacing w:val="-7"/>
        </w:rPr>
        <w:t> </w:t>
      </w:r>
      <w:r>
        <w:rPr>
          <w:spacing w:val="-4"/>
        </w:rPr>
        <w:t>only</w:t>
      </w:r>
      <w:r>
        <w:rPr>
          <w:spacing w:val="-9"/>
        </w:rPr>
        <w:t> </w:t>
      </w:r>
      <w:r>
        <w:rPr>
          <w:spacing w:val="-4"/>
        </w:rPr>
        <w:t>known</w:t>
      </w:r>
      <w:r>
        <w:rPr>
          <w:spacing w:val="-6"/>
        </w:rPr>
        <w:t> </w:t>
      </w:r>
      <w:r>
        <w:rPr>
          <w:spacing w:val="-4"/>
        </w:rPr>
        <w:t>gene</w:t>
      </w:r>
      <w:r>
        <w:rPr>
          <w:spacing w:val="-7"/>
        </w:rPr>
        <w:t> </w:t>
      </w:r>
      <w:r>
        <w:rPr>
          <w:spacing w:val="-4"/>
        </w:rPr>
        <w:t>associated with</w:t>
      </w:r>
      <w:r>
        <w:rPr>
          <w:spacing w:val="-6"/>
        </w:rPr>
        <w:t> </w:t>
      </w:r>
      <w:r>
        <w:rPr>
          <w:spacing w:val="-4"/>
        </w:rPr>
        <w:t>XLRS, </w:t>
      </w:r>
      <w:r>
        <w:rPr>
          <w:spacing w:val="-2"/>
        </w:rPr>
        <w:t>encoding</w:t>
      </w:r>
      <w:r>
        <w:rPr>
          <w:spacing w:val="-7"/>
        </w:rPr>
        <w:t> </w:t>
      </w:r>
      <w:r>
        <w:rPr>
          <w:spacing w:val="-2"/>
        </w:rPr>
        <w:t>retinoschisin</w:t>
      </w:r>
      <w:r>
        <w:rPr>
          <w:spacing w:val="-10"/>
        </w:rPr>
        <w:t> </w:t>
      </w:r>
      <w:r>
        <w:rPr>
          <w:spacing w:val="-2"/>
        </w:rPr>
        <w:t>(RS1),</w:t>
      </w:r>
      <w:r>
        <w:rPr>
          <w:spacing w:val="-7"/>
        </w:rPr>
        <w:t> </w:t>
      </w:r>
      <w:r>
        <w:rPr>
          <w:spacing w:val="-2"/>
        </w:rPr>
        <w:t>which</w:t>
      </w:r>
      <w:r>
        <w:rPr>
          <w:spacing w:val="-10"/>
        </w:rPr>
        <w:t> </w:t>
      </w:r>
      <w:r>
        <w:rPr>
          <w:spacing w:val="-2"/>
        </w:rPr>
        <w:t>is</w:t>
      </w:r>
      <w:r>
        <w:rPr>
          <w:spacing w:val="-10"/>
        </w:rPr>
        <w:t> </w:t>
      </w:r>
      <w:r>
        <w:rPr>
          <w:spacing w:val="-2"/>
        </w:rPr>
        <w:t>primarily</w:t>
      </w:r>
      <w:r>
        <w:rPr>
          <w:spacing w:val="-11"/>
        </w:rPr>
        <w:t> </w:t>
      </w:r>
      <w:r>
        <w:rPr>
          <w:spacing w:val="-2"/>
        </w:rPr>
        <w:t>present in</w:t>
      </w:r>
      <w:r>
        <w:rPr>
          <w:spacing w:val="-12"/>
        </w:rPr>
        <w:t> </w:t>
      </w:r>
      <w:r>
        <w:rPr>
          <w:spacing w:val="-2"/>
        </w:rPr>
        <w:t>photoreceptors</w:t>
      </w:r>
      <w:r>
        <w:rPr>
          <w:spacing w:val="-11"/>
        </w:rPr>
        <w:t> </w:t>
      </w:r>
      <w:r>
        <w:rPr>
          <w:spacing w:val="-2"/>
        </w:rPr>
        <w:t>and</w:t>
      </w:r>
      <w:r>
        <w:rPr>
          <w:spacing w:val="-11"/>
        </w:rPr>
        <w:t> </w:t>
      </w:r>
      <w:r>
        <w:rPr>
          <w:spacing w:val="-2"/>
        </w:rPr>
        <w:t>bipolar</w:t>
      </w:r>
      <w:r>
        <w:rPr>
          <w:spacing w:val="-11"/>
        </w:rPr>
        <w:t> </w:t>
      </w:r>
      <w:r>
        <w:rPr>
          <w:spacing w:val="-2"/>
        </w:rPr>
        <w:t>cells</w:t>
      </w:r>
      <w:r>
        <w:rPr>
          <w:spacing w:val="-11"/>
        </w:rPr>
        <w:t> </w:t>
      </w:r>
      <w:r>
        <w:rPr>
          <w:spacing w:val="-2"/>
        </w:rPr>
        <w:t>[5].</w:t>
      </w:r>
      <w:r>
        <w:rPr>
          <w:spacing w:val="-11"/>
        </w:rPr>
        <w:t> </w:t>
      </w:r>
      <w:r>
        <w:rPr>
          <w:spacing w:val="-2"/>
        </w:rPr>
        <w:t>It</w:t>
      </w:r>
      <w:r>
        <w:rPr>
          <w:spacing w:val="-11"/>
        </w:rPr>
        <w:t> </w:t>
      </w:r>
      <w:r>
        <w:rPr>
          <w:spacing w:val="-2"/>
        </w:rPr>
        <w:t>is</w:t>
      </w:r>
      <w:r>
        <w:rPr>
          <w:spacing w:val="-11"/>
        </w:rPr>
        <w:t> </w:t>
      </w:r>
      <w:r>
        <w:rPr>
          <w:spacing w:val="-2"/>
        </w:rPr>
        <w:t>also</w:t>
      </w:r>
      <w:r>
        <w:rPr>
          <w:spacing w:val="-12"/>
        </w:rPr>
        <w:t> </w:t>
      </w:r>
      <w:r>
        <w:rPr>
          <w:spacing w:val="-2"/>
        </w:rPr>
        <w:t>involved </w:t>
      </w:r>
      <w:r>
        <w:rPr/>
        <w:t>in cell adhesion and cell interactions on membrane surfaces [15].</w:t>
      </w:r>
    </w:p>
    <w:p>
      <w:pPr>
        <w:pStyle w:val="BodyText"/>
        <w:ind w:left="238" w:right="38"/>
        <w:jc w:val="both"/>
      </w:pPr>
      <w:r>
        <w:rPr/>
        <w:t>Retinoschisin has been shown to have: hidden leading sequence (LS; 23 AA), domain RS1 (Rs1D; 39 AA), highly conserved discoidin domain (major structural feature</w:t>
      </w:r>
      <w:r>
        <w:rPr>
          <w:spacing w:val="-14"/>
        </w:rPr>
        <w:t> </w:t>
      </w:r>
      <w:r>
        <w:rPr/>
        <w:t>of</w:t>
      </w:r>
      <w:r>
        <w:rPr>
          <w:spacing w:val="-13"/>
        </w:rPr>
        <w:t> </w:t>
      </w:r>
      <w:r>
        <w:rPr/>
        <w:t>RS;</w:t>
      </w:r>
      <w:r>
        <w:rPr>
          <w:spacing w:val="-13"/>
        </w:rPr>
        <w:t> </w:t>
      </w:r>
      <w:r>
        <w:rPr/>
        <w:t>157</w:t>
      </w:r>
      <w:r>
        <w:rPr>
          <w:spacing w:val="-13"/>
        </w:rPr>
        <w:t> </w:t>
      </w:r>
      <w:r>
        <w:rPr/>
        <w:t>AA),</w:t>
      </w:r>
      <w:r>
        <w:rPr>
          <w:spacing w:val="-13"/>
        </w:rPr>
        <w:t> </w:t>
      </w:r>
      <w:r>
        <w:rPr/>
        <w:t>and</w:t>
      </w:r>
      <w:r>
        <w:rPr>
          <w:spacing w:val="-13"/>
        </w:rPr>
        <w:t> </w:t>
      </w:r>
      <w:r>
        <w:rPr/>
        <w:t>C-terminal</w:t>
      </w:r>
      <w:r>
        <w:rPr>
          <w:spacing w:val="-13"/>
        </w:rPr>
        <w:t> </w:t>
      </w:r>
      <w:r>
        <w:rPr/>
        <w:t>segment</w:t>
      </w:r>
      <w:r>
        <w:rPr>
          <w:spacing w:val="-13"/>
        </w:rPr>
        <w:t> </w:t>
      </w:r>
      <w:r>
        <w:rPr/>
        <w:t>(5</w:t>
      </w:r>
      <w:r>
        <w:rPr>
          <w:spacing w:val="-14"/>
        </w:rPr>
        <w:t> </w:t>
      </w:r>
      <w:r>
        <w:rPr/>
        <w:t>AA) [5]. The domain of discoidin is essential for normal anatomical and functional integrity of the retina, but</w:t>
      </w:r>
      <w:r>
        <w:rPr>
          <w:spacing w:val="80"/>
        </w:rPr>
        <w:t> </w:t>
      </w:r>
      <w:r>
        <w:rPr/>
        <w:t>its</w:t>
      </w:r>
      <w:r>
        <w:rPr>
          <w:spacing w:val="-1"/>
        </w:rPr>
        <w:t> </w:t>
      </w:r>
      <w:r>
        <w:rPr/>
        <w:t>deficiency</w:t>
      </w:r>
      <w:r>
        <w:rPr>
          <w:spacing w:val="-4"/>
        </w:rPr>
        <w:t> </w:t>
      </w:r>
      <w:r>
        <w:rPr/>
        <w:t>causes splitting</w:t>
      </w:r>
      <w:r>
        <w:rPr>
          <w:spacing w:val="-1"/>
        </w:rPr>
        <w:t> </w:t>
      </w:r>
      <w:r>
        <w:rPr/>
        <w:t>in different</w:t>
      </w:r>
      <w:r>
        <w:rPr>
          <w:spacing w:val="-1"/>
        </w:rPr>
        <w:t> </w:t>
      </w:r>
      <w:r>
        <w:rPr/>
        <w:t>retinal</w:t>
      </w:r>
      <w:r>
        <w:rPr>
          <w:spacing w:val="-1"/>
        </w:rPr>
        <w:t> </w:t>
      </w:r>
      <w:r>
        <w:rPr>
          <w:spacing w:val="-2"/>
        </w:rPr>
        <w:t>layers</w:t>
      </w:r>
    </w:p>
    <w:p>
      <w:pPr>
        <w:pStyle w:val="BodyText"/>
        <w:spacing w:line="241" w:lineRule="exact"/>
        <w:ind w:left="238"/>
        <w:jc w:val="both"/>
      </w:pPr>
      <w:r>
        <w:rPr/>
        <w:t>i.e.</w:t>
      </w:r>
      <w:r>
        <w:rPr>
          <w:spacing w:val="-9"/>
        </w:rPr>
        <w:t> </w:t>
      </w:r>
      <w:r>
        <w:rPr/>
        <w:t>retinoschisis</w:t>
      </w:r>
      <w:r>
        <w:rPr>
          <w:spacing w:val="-6"/>
        </w:rPr>
        <w:t> </w:t>
      </w:r>
      <w:r>
        <w:rPr>
          <w:spacing w:val="-4"/>
        </w:rPr>
        <w:t>[5].</w:t>
      </w:r>
    </w:p>
    <w:p>
      <w:pPr>
        <w:pStyle w:val="BodyText"/>
        <w:spacing w:before="1"/>
        <w:ind w:left="238" w:right="39"/>
        <w:jc w:val="both"/>
      </w:pPr>
      <w:r>
        <w:rPr/>
        <w:t>Previous research has shown that RS1 is synthesized and secreted mainly by the inner segment of the photoreceptors, which is identified in a healthy retina, but it has later been shown to be present in other cells in the outer retinal layers. This molecular mechanism explains</w:t>
      </w:r>
      <w:r>
        <w:rPr>
          <w:spacing w:val="-3"/>
        </w:rPr>
        <w:t> </w:t>
      </w:r>
      <w:r>
        <w:rPr/>
        <w:t>why</w:t>
      </w:r>
      <w:r>
        <w:rPr>
          <w:spacing w:val="-7"/>
        </w:rPr>
        <w:t> </w:t>
      </w:r>
      <w:r>
        <w:rPr/>
        <w:t>retinoschisis</w:t>
      </w:r>
      <w:r>
        <w:rPr>
          <w:spacing w:val="-3"/>
        </w:rPr>
        <w:t> </w:t>
      </w:r>
      <w:r>
        <w:rPr/>
        <w:t>can</w:t>
      </w:r>
      <w:r>
        <w:rPr>
          <w:spacing w:val="-2"/>
        </w:rPr>
        <w:t> </w:t>
      </w:r>
      <w:r>
        <w:rPr/>
        <w:t>occur</w:t>
      </w:r>
      <w:r>
        <w:rPr>
          <w:spacing w:val="-3"/>
        </w:rPr>
        <w:t> </w:t>
      </w:r>
      <w:r>
        <w:rPr/>
        <w:t>in</w:t>
      </w:r>
      <w:r>
        <w:rPr>
          <w:spacing w:val="-4"/>
        </w:rPr>
        <w:t> </w:t>
      </w:r>
      <w:r>
        <w:rPr/>
        <w:t>different</w:t>
      </w:r>
      <w:r>
        <w:rPr>
          <w:spacing w:val="-3"/>
        </w:rPr>
        <w:t> </w:t>
      </w:r>
      <w:r>
        <w:rPr/>
        <w:t>layers of the retina [5,16].</w:t>
      </w:r>
    </w:p>
    <w:p>
      <w:pPr>
        <w:pStyle w:val="BodyText"/>
        <w:ind w:left="238" w:right="41"/>
        <w:jc w:val="both"/>
      </w:pPr>
      <w:r>
        <w:rPr/>
        <w:t>According to the latest publications, using the OCT method, retinoschisis is mainly detected in the INL (inner nuclear layer, composed of Müller and bipolar cells) and in the PRL (plexiform retinal layer) [16].</w:t>
      </w:r>
    </w:p>
    <w:p>
      <w:pPr>
        <w:pStyle w:val="BodyText"/>
        <w:ind w:left="238" w:right="41"/>
        <w:jc w:val="both"/>
      </w:pPr>
      <w:r>
        <w:rPr/>
        <w:t>The dysfunctional,</w:t>
      </w:r>
      <w:r>
        <w:rPr>
          <w:spacing w:val="-1"/>
        </w:rPr>
        <w:t> </w:t>
      </w:r>
      <w:r>
        <w:rPr/>
        <w:t>defective</w:t>
      </w:r>
      <w:r>
        <w:rPr>
          <w:spacing w:val="-1"/>
        </w:rPr>
        <w:t> </w:t>
      </w:r>
      <w:r>
        <w:rPr/>
        <w:t>RS1 accumulates</w:t>
      </w:r>
      <w:r>
        <w:rPr>
          <w:spacing w:val="-1"/>
        </w:rPr>
        <w:t> </w:t>
      </w:r>
      <w:r>
        <w:rPr/>
        <w:t>in</w:t>
      </w:r>
      <w:r>
        <w:rPr>
          <w:spacing w:val="-1"/>
        </w:rPr>
        <w:t> </w:t>
      </w:r>
      <w:r>
        <w:rPr/>
        <w:t>these layers leading to cyst formation and splitting in retinal layers [16]. In cases of nonspecific foveal atrophy, electrophysiological and molecular genetic tests are necessary to confirm the diagnosis [16].</w:t>
      </w:r>
    </w:p>
    <w:p>
      <w:pPr>
        <w:pStyle w:val="BodyText"/>
        <w:spacing w:before="1"/>
        <w:ind w:left="238" w:right="44"/>
        <w:jc w:val="both"/>
      </w:pPr>
      <w:r>
        <w:rPr/>
        <w:t>To date, no satisfactory treatment is available to stop the formation and progression of retinoschisis in patients with confirmed XLRS [17].</w:t>
      </w:r>
    </w:p>
    <w:p>
      <w:pPr>
        <w:pStyle w:val="BodyText"/>
        <w:ind w:left="238" w:right="44"/>
        <w:jc w:val="both"/>
      </w:pPr>
      <w:r>
        <w:rPr/>
        <w:t>Studies highlighting the importance of vitrectomy in XLRS</w:t>
      </w:r>
      <w:r>
        <w:rPr>
          <w:spacing w:val="20"/>
        </w:rPr>
        <w:t> </w:t>
      </w:r>
      <w:r>
        <w:rPr/>
        <w:t>present</w:t>
      </w:r>
      <w:r>
        <w:rPr>
          <w:spacing w:val="19"/>
        </w:rPr>
        <w:t> </w:t>
      </w:r>
      <w:r>
        <w:rPr/>
        <w:t>patients</w:t>
      </w:r>
      <w:r>
        <w:rPr>
          <w:spacing w:val="20"/>
        </w:rPr>
        <w:t> </w:t>
      </w:r>
      <w:r>
        <w:rPr/>
        <w:t>with</w:t>
      </w:r>
      <w:r>
        <w:rPr>
          <w:spacing w:val="19"/>
        </w:rPr>
        <w:t> </w:t>
      </w:r>
      <w:r>
        <w:rPr/>
        <w:t>progressive</w:t>
      </w:r>
      <w:r>
        <w:rPr>
          <w:spacing w:val="20"/>
        </w:rPr>
        <w:t> </w:t>
      </w:r>
      <w:r>
        <w:rPr>
          <w:spacing w:val="-2"/>
        </w:rPr>
        <w:t>retinoschisis,</w:t>
      </w:r>
    </w:p>
    <w:p>
      <w:pPr>
        <w:pStyle w:val="BodyText"/>
        <w:ind w:left="238" w:right="42"/>
        <w:jc w:val="both"/>
      </w:pPr>
      <w:r>
        <w:rPr/>
        <w:t>i.e.</w:t>
      </w:r>
      <w:r>
        <w:rPr>
          <w:spacing w:val="-4"/>
        </w:rPr>
        <w:t> </w:t>
      </w:r>
      <w:r>
        <w:rPr/>
        <w:t>with</w:t>
      </w:r>
      <w:r>
        <w:rPr>
          <w:spacing w:val="-4"/>
        </w:rPr>
        <w:t> </w:t>
      </w:r>
      <w:r>
        <w:rPr/>
        <w:t>progressive</w:t>
      </w:r>
      <w:r>
        <w:rPr>
          <w:spacing w:val="-4"/>
        </w:rPr>
        <w:t> </w:t>
      </w:r>
      <w:r>
        <w:rPr/>
        <w:t>decline</w:t>
      </w:r>
      <w:r>
        <w:rPr>
          <w:spacing w:val="-2"/>
        </w:rPr>
        <w:t> </w:t>
      </w:r>
      <w:r>
        <w:rPr/>
        <w:t>in</w:t>
      </w:r>
      <w:r>
        <w:rPr>
          <w:spacing w:val="-4"/>
        </w:rPr>
        <w:t> </w:t>
      </w:r>
      <w:r>
        <w:rPr/>
        <w:t>visual</w:t>
      </w:r>
      <w:r>
        <w:rPr>
          <w:spacing w:val="-5"/>
        </w:rPr>
        <w:t> </w:t>
      </w:r>
      <w:r>
        <w:rPr/>
        <w:t>acuity,</w:t>
      </w:r>
      <w:r>
        <w:rPr>
          <w:spacing w:val="-4"/>
        </w:rPr>
        <w:t> </w:t>
      </w:r>
      <w:r>
        <w:rPr/>
        <w:t>and</w:t>
      </w:r>
      <w:r>
        <w:rPr>
          <w:spacing w:val="-4"/>
        </w:rPr>
        <w:t> </w:t>
      </w:r>
      <w:r>
        <w:rPr/>
        <w:t>fovea involvement,</w:t>
      </w:r>
      <w:r>
        <w:rPr>
          <w:spacing w:val="-1"/>
        </w:rPr>
        <w:t> </w:t>
      </w:r>
      <w:r>
        <w:rPr/>
        <w:t>or</w:t>
      </w:r>
      <w:r>
        <w:rPr>
          <w:spacing w:val="-1"/>
        </w:rPr>
        <w:t> </w:t>
      </w:r>
      <w:r>
        <w:rPr/>
        <w:t>complications,</w:t>
      </w:r>
      <w:r>
        <w:rPr>
          <w:spacing w:val="-1"/>
        </w:rPr>
        <w:t> </w:t>
      </w:r>
      <w:r>
        <w:rPr/>
        <w:t>and</w:t>
      </w:r>
      <w:r>
        <w:rPr>
          <w:spacing w:val="-1"/>
        </w:rPr>
        <w:t> </w:t>
      </w:r>
      <w:r>
        <w:rPr/>
        <w:t>also</w:t>
      </w:r>
      <w:r>
        <w:rPr>
          <w:spacing w:val="-4"/>
        </w:rPr>
        <w:t> </w:t>
      </w:r>
      <w:r>
        <w:rPr/>
        <w:t>emphasize</w:t>
      </w:r>
      <w:r>
        <w:rPr>
          <w:spacing w:val="-1"/>
        </w:rPr>
        <w:t> </w:t>
      </w:r>
      <w:r>
        <w:rPr/>
        <w:t>the effect of treatment, excellent anatomical outcomes,</w:t>
      </w:r>
      <w:r>
        <w:rPr>
          <w:spacing w:val="40"/>
        </w:rPr>
        <w:t> </w:t>
      </w:r>
      <w:r>
        <w:rPr/>
        <w:t>and stabilization of visual acuity [17].</w:t>
      </w:r>
    </w:p>
    <w:p>
      <w:pPr>
        <w:pStyle w:val="BodyText"/>
        <w:ind w:left="238" w:right="39"/>
        <w:jc w:val="both"/>
      </w:pPr>
      <w:r>
        <w:rPr/>
        <w:t>In our presented case it was confirmed that after the performed surgical operation, PPV, the visual acuity was</w:t>
      </w:r>
      <w:r>
        <w:rPr>
          <w:spacing w:val="-3"/>
        </w:rPr>
        <w:t> </w:t>
      </w:r>
      <w:r>
        <w:rPr/>
        <w:t>stabilized</w:t>
      </w:r>
      <w:r>
        <w:rPr>
          <w:spacing w:val="-2"/>
        </w:rPr>
        <w:t> </w:t>
      </w:r>
      <w:r>
        <w:rPr/>
        <w:t>and</w:t>
      </w:r>
      <w:r>
        <w:rPr>
          <w:spacing w:val="-2"/>
        </w:rPr>
        <w:t> </w:t>
      </w:r>
      <w:r>
        <w:rPr/>
        <w:t>there</w:t>
      </w:r>
      <w:r>
        <w:rPr>
          <w:spacing w:val="-2"/>
        </w:rPr>
        <w:t> </w:t>
      </w:r>
      <w:r>
        <w:rPr/>
        <w:t>was</w:t>
      </w:r>
      <w:r>
        <w:rPr>
          <w:spacing w:val="-5"/>
        </w:rPr>
        <w:t> </w:t>
      </w:r>
      <w:r>
        <w:rPr/>
        <w:t>a</w:t>
      </w:r>
      <w:r>
        <w:rPr>
          <w:spacing w:val="-2"/>
        </w:rPr>
        <w:t> </w:t>
      </w:r>
      <w:r>
        <w:rPr/>
        <w:t>significant</w:t>
      </w:r>
      <w:r>
        <w:rPr>
          <w:spacing w:val="-4"/>
        </w:rPr>
        <w:t> </w:t>
      </w:r>
      <w:r>
        <w:rPr/>
        <w:t>regression</w:t>
      </w:r>
      <w:r>
        <w:rPr>
          <w:spacing w:val="-2"/>
        </w:rPr>
        <w:t> </w:t>
      </w:r>
      <w:r>
        <w:rPr/>
        <w:t>of the central thickness of the fovea.</w:t>
      </w:r>
    </w:p>
    <w:p>
      <w:pPr>
        <w:pStyle w:val="BodyText"/>
        <w:spacing w:before="92"/>
        <w:ind w:left="238" w:right="290"/>
        <w:jc w:val="both"/>
      </w:pPr>
      <w:r>
        <w:rPr/>
        <w:br w:type="column"/>
      </w:r>
      <w:r>
        <w:rPr/>
        <w:t>The</w:t>
      </w:r>
      <w:r>
        <w:rPr>
          <w:spacing w:val="-1"/>
        </w:rPr>
        <w:t> </w:t>
      </w:r>
      <w:r>
        <w:rPr/>
        <w:t>vitrectomy</w:t>
      </w:r>
      <w:r>
        <w:rPr>
          <w:spacing w:val="-1"/>
        </w:rPr>
        <w:t> </w:t>
      </w:r>
      <w:r>
        <w:rPr/>
        <w:t>may</w:t>
      </w:r>
      <w:r>
        <w:rPr>
          <w:spacing w:val="-6"/>
        </w:rPr>
        <w:t> </w:t>
      </w:r>
      <w:r>
        <w:rPr/>
        <w:t>be</w:t>
      </w:r>
      <w:r>
        <w:rPr>
          <w:spacing w:val="-1"/>
        </w:rPr>
        <w:t> </w:t>
      </w:r>
      <w:r>
        <w:rPr/>
        <w:t>an</w:t>
      </w:r>
      <w:r>
        <w:rPr>
          <w:spacing w:val="-1"/>
        </w:rPr>
        <w:t> </w:t>
      </w:r>
      <w:r>
        <w:rPr/>
        <w:t>effective</w:t>
      </w:r>
      <w:r>
        <w:rPr>
          <w:spacing w:val="-1"/>
        </w:rPr>
        <w:t> </w:t>
      </w:r>
      <w:r>
        <w:rPr/>
        <w:t>and</w:t>
      </w:r>
      <w:r>
        <w:rPr>
          <w:spacing w:val="-1"/>
        </w:rPr>
        <w:t> </w:t>
      </w:r>
      <w:r>
        <w:rPr/>
        <w:t>essential</w:t>
      </w:r>
      <w:r>
        <w:rPr>
          <w:spacing w:val="-2"/>
        </w:rPr>
        <w:t> </w:t>
      </w:r>
      <w:r>
        <w:rPr/>
        <w:t>treat- ment in patients with progressive XLJR retinoschisis</w:t>
      </w:r>
      <w:r>
        <w:rPr>
          <w:spacing w:val="40"/>
        </w:rPr>
        <w:t> </w:t>
      </w:r>
      <w:r>
        <w:rPr/>
        <w:t>in</w:t>
      </w:r>
      <w:r>
        <w:rPr>
          <w:spacing w:val="-1"/>
        </w:rPr>
        <w:t> </w:t>
      </w:r>
      <w:r>
        <w:rPr/>
        <w:t>order</w:t>
      </w:r>
      <w:r>
        <w:rPr>
          <w:spacing w:val="-2"/>
        </w:rPr>
        <w:t> </w:t>
      </w:r>
      <w:r>
        <w:rPr/>
        <w:t>to</w:t>
      </w:r>
      <w:r>
        <w:rPr>
          <w:spacing w:val="-1"/>
        </w:rPr>
        <w:t> </w:t>
      </w:r>
      <w:r>
        <w:rPr/>
        <w:t>prevent</w:t>
      </w:r>
      <w:r>
        <w:rPr>
          <w:spacing w:val="-2"/>
        </w:rPr>
        <w:t> </w:t>
      </w:r>
      <w:r>
        <w:rPr/>
        <w:t>further</w:t>
      </w:r>
      <w:r>
        <w:rPr>
          <w:spacing w:val="-2"/>
        </w:rPr>
        <w:t> </w:t>
      </w:r>
      <w:r>
        <w:rPr/>
        <w:t>vision</w:t>
      </w:r>
      <w:r>
        <w:rPr>
          <w:spacing w:val="-1"/>
        </w:rPr>
        <w:t> </w:t>
      </w:r>
      <w:r>
        <w:rPr/>
        <w:t>loss</w:t>
      </w:r>
      <w:r>
        <w:rPr>
          <w:spacing w:val="-2"/>
        </w:rPr>
        <w:t> </w:t>
      </w:r>
      <w:r>
        <w:rPr/>
        <w:t>and</w:t>
      </w:r>
      <w:r>
        <w:rPr>
          <w:spacing w:val="-1"/>
        </w:rPr>
        <w:t> </w:t>
      </w:r>
      <w:r>
        <w:rPr/>
        <w:t>other</w:t>
      </w:r>
      <w:r>
        <w:rPr>
          <w:spacing w:val="-2"/>
        </w:rPr>
        <w:t> </w:t>
      </w:r>
      <w:r>
        <w:rPr/>
        <w:t>serious complications [18]. Some studies have shown that gi- ven the benefits of the operative outcome, there is an indication for treatment of the contralateral eye in or- der to stabilize the condition</w:t>
      </w:r>
      <w:r>
        <w:rPr>
          <w:spacing w:val="40"/>
        </w:rPr>
        <w:t> </w:t>
      </w:r>
      <w:r>
        <w:rPr/>
        <w:t>[16,18].</w:t>
      </w:r>
    </w:p>
    <w:p>
      <w:pPr>
        <w:pStyle w:val="BodyText"/>
        <w:ind w:left="238" w:right="290"/>
        <w:jc w:val="both"/>
      </w:pPr>
      <w:r>
        <w:rPr/>
        <w:t>Recently, a comparative study was presented compa- </w:t>
      </w:r>
      <w:r>
        <w:rPr>
          <w:spacing w:val="-2"/>
        </w:rPr>
        <w:t>ring vitrectomy</w:t>
      </w:r>
      <w:r>
        <w:rPr>
          <w:spacing w:val="-11"/>
        </w:rPr>
        <w:t> </w:t>
      </w:r>
      <w:r>
        <w:rPr>
          <w:spacing w:val="-2"/>
        </w:rPr>
        <w:t>as</w:t>
      </w:r>
      <w:r>
        <w:rPr>
          <w:spacing w:val="-8"/>
        </w:rPr>
        <w:t> </w:t>
      </w:r>
      <w:r>
        <w:rPr>
          <w:spacing w:val="-2"/>
        </w:rPr>
        <w:t>surgery</w:t>
      </w:r>
      <w:r>
        <w:rPr>
          <w:spacing w:val="-8"/>
        </w:rPr>
        <w:t> </w:t>
      </w:r>
      <w:r>
        <w:rPr>
          <w:spacing w:val="-2"/>
        </w:rPr>
        <w:t>versus</w:t>
      </w:r>
      <w:r>
        <w:rPr>
          <w:spacing w:val="-7"/>
        </w:rPr>
        <w:t> </w:t>
      </w:r>
      <w:r>
        <w:rPr>
          <w:spacing w:val="-2"/>
        </w:rPr>
        <w:t>observation</w:t>
      </w:r>
      <w:r>
        <w:rPr>
          <w:spacing w:val="-8"/>
        </w:rPr>
        <w:t> </w:t>
      </w:r>
      <w:r>
        <w:rPr>
          <w:spacing w:val="-2"/>
        </w:rPr>
        <w:t>in</w:t>
      </w:r>
      <w:r>
        <w:rPr>
          <w:spacing w:val="-8"/>
        </w:rPr>
        <w:t> </w:t>
      </w:r>
      <w:r>
        <w:rPr>
          <w:spacing w:val="-2"/>
        </w:rPr>
        <w:t>patients </w:t>
      </w:r>
      <w:r>
        <w:rPr/>
        <w:t>with a progressive form of XLRS. Patients included in the</w:t>
      </w:r>
      <w:r>
        <w:rPr>
          <w:spacing w:val="-3"/>
        </w:rPr>
        <w:t> </w:t>
      </w:r>
      <w:r>
        <w:rPr/>
        <w:t>study</w:t>
      </w:r>
      <w:r>
        <w:rPr>
          <w:spacing w:val="-8"/>
        </w:rPr>
        <w:t> </w:t>
      </w:r>
      <w:r>
        <w:rPr/>
        <w:t>had</w:t>
      </w:r>
      <w:r>
        <w:rPr>
          <w:spacing w:val="-3"/>
        </w:rPr>
        <w:t> </w:t>
      </w:r>
      <w:r>
        <w:rPr/>
        <w:t>no</w:t>
      </w:r>
      <w:r>
        <w:rPr>
          <w:spacing w:val="-3"/>
        </w:rPr>
        <w:t> </w:t>
      </w:r>
      <w:r>
        <w:rPr/>
        <w:t>retinal</w:t>
      </w:r>
      <w:r>
        <w:rPr>
          <w:spacing w:val="-4"/>
        </w:rPr>
        <w:t> </w:t>
      </w:r>
      <w:r>
        <w:rPr/>
        <w:t>detachment</w:t>
      </w:r>
      <w:r>
        <w:rPr>
          <w:spacing w:val="-4"/>
        </w:rPr>
        <w:t> </w:t>
      </w:r>
      <w:r>
        <w:rPr/>
        <w:t>or</w:t>
      </w:r>
      <w:r>
        <w:rPr>
          <w:spacing w:val="-2"/>
        </w:rPr>
        <w:t> </w:t>
      </w:r>
      <w:r>
        <w:rPr/>
        <w:t>vitreous</w:t>
      </w:r>
      <w:r>
        <w:rPr>
          <w:spacing w:val="-4"/>
        </w:rPr>
        <w:t> </w:t>
      </w:r>
      <w:r>
        <w:rPr/>
        <w:t>haemo- rrhage, but had significantly reduced visual acuity</w:t>
      </w:r>
      <w:r>
        <w:rPr>
          <w:spacing w:val="40"/>
        </w:rPr>
        <w:t> </w:t>
      </w:r>
      <w:r>
        <w:rPr>
          <w:spacing w:val="-2"/>
        </w:rPr>
        <w:t>from</w:t>
      </w:r>
      <w:r>
        <w:rPr>
          <w:spacing w:val="-12"/>
        </w:rPr>
        <w:t> </w:t>
      </w:r>
      <w:r>
        <w:rPr>
          <w:spacing w:val="-2"/>
        </w:rPr>
        <w:t>progressive</w:t>
      </w:r>
      <w:r>
        <w:rPr>
          <w:spacing w:val="-11"/>
        </w:rPr>
        <w:t> </w:t>
      </w:r>
      <w:r>
        <w:rPr>
          <w:spacing w:val="-2"/>
        </w:rPr>
        <w:t>macular</w:t>
      </w:r>
      <w:r>
        <w:rPr>
          <w:spacing w:val="-11"/>
        </w:rPr>
        <w:t> </w:t>
      </w:r>
      <w:r>
        <w:rPr>
          <w:spacing w:val="-2"/>
        </w:rPr>
        <w:t>retinoschisis,</w:t>
      </w:r>
      <w:r>
        <w:rPr>
          <w:spacing w:val="-11"/>
        </w:rPr>
        <w:t> </w:t>
      </w:r>
      <w:r>
        <w:rPr>
          <w:spacing w:val="-2"/>
        </w:rPr>
        <w:t>or</w:t>
      </w:r>
      <w:r>
        <w:rPr>
          <w:spacing w:val="-11"/>
        </w:rPr>
        <w:t> </w:t>
      </w:r>
      <w:r>
        <w:rPr>
          <w:spacing w:val="-2"/>
        </w:rPr>
        <w:t>had</w:t>
      </w:r>
      <w:r>
        <w:rPr>
          <w:spacing w:val="-11"/>
        </w:rPr>
        <w:t> </w:t>
      </w:r>
      <w:r>
        <w:rPr>
          <w:spacing w:val="-2"/>
        </w:rPr>
        <w:t>peripheral </w:t>
      </w:r>
      <w:r>
        <w:rPr/>
        <w:t>retinoschisis with a high risk of macular involvement. The authors noted that vitrectomy may improve visual acuity</w:t>
      </w:r>
      <w:r>
        <w:rPr>
          <w:spacing w:val="-8"/>
        </w:rPr>
        <w:t> </w:t>
      </w:r>
      <w:r>
        <w:rPr/>
        <w:t>and</w:t>
      </w:r>
      <w:r>
        <w:rPr>
          <w:spacing w:val="-3"/>
        </w:rPr>
        <w:t> </w:t>
      </w:r>
      <w:r>
        <w:rPr/>
        <w:t>reduce</w:t>
      </w:r>
      <w:r>
        <w:rPr>
          <w:spacing w:val="-3"/>
        </w:rPr>
        <w:t> </w:t>
      </w:r>
      <w:r>
        <w:rPr/>
        <w:t>the</w:t>
      </w:r>
      <w:r>
        <w:rPr>
          <w:spacing w:val="-3"/>
        </w:rPr>
        <w:t> </w:t>
      </w:r>
      <w:r>
        <w:rPr/>
        <w:t>risk</w:t>
      </w:r>
      <w:r>
        <w:rPr>
          <w:spacing w:val="-3"/>
        </w:rPr>
        <w:t> </w:t>
      </w:r>
      <w:r>
        <w:rPr/>
        <w:t>of</w:t>
      </w:r>
      <w:r>
        <w:rPr>
          <w:spacing w:val="-2"/>
        </w:rPr>
        <w:t> </w:t>
      </w:r>
      <w:r>
        <w:rPr/>
        <w:t>complications</w:t>
      </w:r>
      <w:r>
        <w:rPr>
          <w:spacing w:val="-3"/>
        </w:rPr>
        <w:t> </w:t>
      </w:r>
      <w:r>
        <w:rPr/>
        <w:t>expected</w:t>
      </w:r>
      <w:r>
        <w:rPr>
          <w:spacing w:val="-3"/>
        </w:rPr>
        <w:t> </w:t>
      </w:r>
      <w:r>
        <w:rPr/>
        <w:t>in patients with progressive XLRS [18].</w:t>
      </w:r>
    </w:p>
    <w:p>
      <w:pPr>
        <w:pStyle w:val="BodyText"/>
        <w:spacing w:before="2"/>
        <w:ind w:left="238" w:right="292"/>
        <w:jc w:val="both"/>
      </w:pPr>
      <w:r>
        <w:rPr/>
        <w:t>Ikeda </w:t>
      </w:r>
      <w:r>
        <w:rPr>
          <w:i/>
        </w:rPr>
        <w:t>et al. </w:t>
      </w:r>
      <w:r>
        <w:rPr/>
        <w:t>suggested that surgical treatment can im- prove visual acuity only in the non-progressive form</w:t>
      </w:r>
      <w:r>
        <w:rPr>
          <w:spacing w:val="80"/>
        </w:rPr>
        <w:t> </w:t>
      </w:r>
      <w:r>
        <w:rPr/>
        <w:t>of XLRS [19]. It means that early surgery, before complications occur and before vision is compro- mised, can result in a successful anatomical and func- tional outcome [19].</w:t>
      </w:r>
    </w:p>
    <w:p>
      <w:pPr>
        <w:pStyle w:val="BodyText"/>
        <w:ind w:left="238" w:right="292"/>
        <w:jc w:val="both"/>
      </w:pPr>
      <w:r>
        <w:rPr/>
        <w:t>Gene therapy</w:t>
      </w:r>
      <w:r>
        <w:rPr>
          <w:spacing w:val="-1"/>
        </w:rPr>
        <w:t> </w:t>
      </w:r>
      <w:r>
        <w:rPr/>
        <w:t>is considered a potential treatment in the near future. In people with confirmed mutations in XLRS, genetic diagnosis may help ensure safe repro- duction in </w:t>
      </w:r>
      <w:r>
        <w:rPr>
          <w:i/>
        </w:rPr>
        <w:t>in vitro </w:t>
      </w:r>
      <w:r>
        <w:rPr/>
        <w:t>fertilization.</w:t>
      </w:r>
    </w:p>
    <w:p>
      <w:pPr>
        <w:pStyle w:val="BodyText"/>
        <w:ind w:left="238" w:right="292"/>
        <w:jc w:val="both"/>
      </w:pPr>
      <w:r>
        <w:rPr/>
        <w:t>While retinoschisis is expected to be found in an indi- vidual with a positive family history of XLJR, making a diagnosis in individuals without a known familial genesis may be more difficult.</w:t>
      </w:r>
    </w:p>
    <w:p>
      <w:pPr>
        <w:pStyle w:val="BodyText"/>
        <w:ind w:left="238" w:right="283"/>
      </w:pPr>
      <w:r>
        <w:rPr>
          <w:spacing w:val="-4"/>
        </w:rPr>
        <w:t>Differential</w:t>
      </w:r>
      <w:r>
        <w:rPr>
          <w:spacing w:val="-10"/>
        </w:rPr>
        <w:t> </w:t>
      </w:r>
      <w:r>
        <w:rPr>
          <w:spacing w:val="-4"/>
        </w:rPr>
        <w:t>diagnoses</w:t>
      </w:r>
      <w:r>
        <w:rPr>
          <w:spacing w:val="-9"/>
        </w:rPr>
        <w:t> </w:t>
      </w:r>
      <w:r>
        <w:rPr>
          <w:spacing w:val="-4"/>
        </w:rPr>
        <w:t>include</w:t>
      </w:r>
      <w:r>
        <w:rPr>
          <w:spacing w:val="-9"/>
        </w:rPr>
        <w:t> </w:t>
      </w:r>
      <w:r>
        <w:rPr>
          <w:spacing w:val="-4"/>
        </w:rPr>
        <w:t>Goldman-Favre</w:t>
      </w:r>
      <w:r>
        <w:rPr>
          <w:spacing w:val="-9"/>
        </w:rPr>
        <w:t> </w:t>
      </w:r>
      <w:r>
        <w:rPr>
          <w:spacing w:val="-4"/>
        </w:rPr>
        <w:t>syndrome, acquired</w:t>
      </w:r>
      <w:r>
        <w:rPr>
          <w:spacing w:val="-10"/>
        </w:rPr>
        <w:t> </w:t>
      </w:r>
      <w:r>
        <w:rPr>
          <w:spacing w:val="-4"/>
        </w:rPr>
        <w:t>retinosis,</w:t>
      </w:r>
      <w:r>
        <w:rPr>
          <w:spacing w:val="-9"/>
        </w:rPr>
        <w:t> </w:t>
      </w:r>
      <w:r>
        <w:rPr>
          <w:spacing w:val="-4"/>
        </w:rPr>
        <w:t>retinitis</w:t>
      </w:r>
      <w:r>
        <w:rPr>
          <w:spacing w:val="-9"/>
        </w:rPr>
        <w:t> </w:t>
      </w:r>
      <w:r>
        <w:rPr>
          <w:spacing w:val="-4"/>
        </w:rPr>
        <w:t>pigmentosa,</w:t>
      </w:r>
      <w:r>
        <w:rPr>
          <w:spacing w:val="-9"/>
        </w:rPr>
        <w:t> </w:t>
      </w:r>
      <w:r>
        <w:rPr>
          <w:spacing w:val="-4"/>
        </w:rPr>
        <w:t>Morbus</w:t>
      </w:r>
      <w:r>
        <w:rPr>
          <w:spacing w:val="-9"/>
        </w:rPr>
        <w:t> </w:t>
      </w:r>
      <w:r>
        <w:rPr>
          <w:spacing w:val="-4"/>
        </w:rPr>
        <w:t>Stargardt, </w:t>
      </w:r>
      <w:r>
        <w:rPr>
          <w:spacing w:val="-8"/>
        </w:rPr>
        <w:t>Stickler syndrome, Wagner disease, cystoid macular edema, </w:t>
      </w:r>
      <w:r>
        <w:rPr>
          <w:spacing w:val="-6"/>
        </w:rPr>
        <w:t>macular</w:t>
      </w:r>
      <w:r>
        <w:rPr>
          <w:spacing w:val="-20"/>
        </w:rPr>
        <w:t> </w:t>
      </w:r>
      <w:r>
        <w:rPr>
          <w:spacing w:val="-6"/>
        </w:rPr>
        <w:t>dystrophies,</w:t>
      </w:r>
      <w:r>
        <w:rPr>
          <w:spacing w:val="-17"/>
        </w:rPr>
        <w:t> </w:t>
      </w:r>
      <w:r>
        <w:rPr>
          <w:spacing w:val="-6"/>
        </w:rPr>
        <w:t>and</w:t>
      </w:r>
      <w:r>
        <w:rPr>
          <w:spacing w:val="-17"/>
        </w:rPr>
        <w:t> </w:t>
      </w:r>
      <w:r>
        <w:rPr>
          <w:spacing w:val="-6"/>
        </w:rPr>
        <w:t>exudative</w:t>
      </w:r>
      <w:r>
        <w:rPr>
          <w:spacing w:val="-15"/>
        </w:rPr>
        <w:t> </w:t>
      </w:r>
      <w:r>
        <w:rPr>
          <w:spacing w:val="-6"/>
        </w:rPr>
        <w:t>retinal</w:t>
      </w:r>
      <w:r>
        <w:rPr>
          <w:spacing w:val="-18"/>
        </w:rPr>
        <w:t> </w:t>
      </w:r>
      <w:r>
        <w:rPr>
          <w:spacing w:val="-6"/>
        </w:rPr>
        <w:t>detachment</w:t>
      </w:r>
      <w:r>
        <w:rPr>
          <w:spacing w:val="-18"/>
        </w:rPr>
        <w:t> </w:t>
      </w:r>
      <w:r>
        <w:rPr>
          <w:spacing w:val="-6"/>
        </w:rPr>
        <w:t>[20]. </w:t>
      </w:r>
      <w:r>
        <w:rPr/>
        <w:t>When</w:t>
      </w:r>
      <w:r>
        <w:rPr>
          <w:spacing w:val="40"/>
        </w:rPr>
        <w:t> </w:t>
      </w:r>
      <w:r>
        <w:rPr/>
        <w:t>retinal</w:t>
      </w:r>
      <w:r>
        <w:rPr>
          <w:spacing w:val="36"/>
        </w:rPr>
        <w:t> </w:t>
      </w:r>
      <w:r>
        <w:rPr/>
        <w:t>changes</w:t>
      </w:r>
      <w:r>
        <w:rPr>
          <w:spacing w:val="39"/>
        </w:rPr>
        <w:t> </w:t>
      </w:r>
      <w:r>
        <w:rPr/>
        <w:t>are</w:t>
      </w:r>
      <w:r>
        <w:rPr>
          <w:spacing w:val="37"/>
        </w:rPr>
        <w:t> </w:t>
      </w:r>
      <w:r>
        <w:rPr/>
        <w:t>subtle,</w:t>
      </w:r>
      <w:r>
        <w:rPr>
          <w:spacing w:val="39"/>
        </w:rPr>
        <w:t> </w:t>
      </w:r>
      <w:r>
        <w:rPr/>
        <w:t>amblyopia</w:t>
      </w:r>
      <w:r>
        <w:rPr>
          <w:spacing w:val="39"/>
        </w:rPr>
        <w:t> </w:t>
      </w:r>
      <w:r>
        <w:rPr/>
        <w:t>may</w:t>
      </w:r>
      <w:r>
        <w:rPr>
          <w:spacing w:val="37"/>
        </w:rPr>
        <w:t> </w:t>
      </w:r>
      <w:r>
        <w:rPr/>
        <w:t>be the</w:t>
      </w:r>
      <w:r>
        <w:rPr>
          <w:spacing w:val="40"/>
        </w:rPr>
        <w:t> </w:t>
      </w:r>
      <w:r>
        <w:rPr/>
        <w:t>primary</w:t>
      </w:r>
      <w:r>
        <w:rPr>
          <w:spacing w:val="39"/>
        </w:rPr>
        <w:t> </w:t>
      </w:r>
      <w:r>
        <w:rPr/>
        <w:t>diagnosis.</w:t>
      </w:r>
      <w:r>
        <w:rPr>
          <w:spacing w:val="40"/>
        </w:rPr>
        <w:t> </w:t>
      </w:r>
      <w:r>
        <w:rPr/>
        <w:t>Prevention</w:t>
      </w:r>
      <w:r>
        <w:rPr>
          <w:spacing w:val="40"/>
        </w:rPr>
        <w:t> </w:t>
      </w:r>
      <w:r>
        <w:rPr/>
        <w:t>of</w:t>
      </w:r>
      <w:r>
        <w:rPr>
          <w:spacing w:val="40"/>
        </w:rPr>
        <w:t> </w:t>
      </w:r>
      <w:r>
        <w:rPr/>
        <w:t>amblyopia</w:t>
      </w:r>
      <w:r>
        <w:rPr>
          <w:spacing w:val="40"/>
        </w:rPr>
        <w:t> </w:t>
      </w:r>
      <w:r>
        <w:rPr/>
        <w:t>and observation</w:t>
      </w:r>
      <w:r>
        <w:rPr>
          <w:spacing w:val="30"/>
        </w:rPr>
        <w:t> </w:t>
      </w:r>
      <w:r>
        <w:rPr/>
        <w:t>to</w:t>
      </w:r>
      <w:r>
        <w:rPr>
          <w:spacing w:val="30"/>
        </w:rPr>
        <w:t> </w:t>
      </w:r>
      <w:r>
        <w:rPr/>
        <w:t>prevent</w:t>
      </w:r>
      <w:r>
        <w:rPr>
          <w:spacing w:val="28"/>
        </w:rPr>
        <w:t> </w:t>
      </w:r>
      <w:r>
        <w:rPr/>
        <w:t>secondary complications</w:t>
      </w:r>
      <w:r>
        <w:rPr>
          <w:spacing w:val="29"/>
        </w:rPr>
        <w:t> </w:t>
      </w:r>
      <w:r>
        <w:rPr/>
        <w:t>is</w:t>
      </w:r>
      <w:r>
        <w:rPr>
          <w:spacing w:val="29"/>
        </w:rPr>
        <w:t> </w:t>
      </w:r>
      <w:r>
        <w:rPr/>
        <w:t>of particular</w:t>
      </w:r>
      <w:r>
        <w:rPr>
          <w:spacing w:val="32"/>
        </w:rPr>
        <w:t> </w:t>
      </w:r>
      <w:r>
        <w:rPr/>
        <w:t>importance</w:t>
      </w:r>
      <w:r>
        <w:rPr>
          <w:spacing w:val="33"/>
        </w:rPr>
        <w:t> </w:t>
      </w:r>
      <w:r>
        <w:rPr/>
        <w:t>in</w:t>
      </w:r>
      <w:r>
        <w:rPr>
          <w:spacing w:val="33"/>
        </w:rPr>
        <w:t> </w:t>
      </w:r>
      <w:r>
        <w:rPr/>
        <w:t>order</w:t>
      </w:r>
      <w:r>
        <w:rPr>
          <w:spacing w:val="32"/>
        </w:rPr>
        <w:t> </w:t>
      </w:r>
      <w:r>
        <w:rPr/>
        <w:t>to</w:t>
      </w:r>
      <w:r>
        <w:rPr>
          <w:spacing w:val="33"/>
        </w:rPr>
        <w:t> </w:t>
      </w:r>
      <w:r>
        <w:rPr/>
        <w:t>maintain</w:t>
      </w:r>
      <w:r>
        <w:rPr>
          <w:spacing w:val="33"/>
        </w:rPr>
        <w:t> </w:t>
      </w:r>
      <w:r>
        <w:rPr/>
        <w:t>the</w:t>
      </w:r>
      <w:r>
        <w:rPr>
          <w:spacing w:val="33"/>
        </w:rPr>
        <w:t> </w:t>
      </w:r>
      <w:r>
        <w:rPr/>
        <w:t>visual acuity necessary for social functioning.</w:t>
      </w:r>
    </w:p>
    <w:p>
      <w:pPr>
        <w:pStyle w:val="BodyText"/>
        <w:spacing w:before="1"/>
        <w:ind w:left="238" w:right="283"/>
      </w:pPr>
      <w:r>
        <w:rPr/>
        <w:t>It</w:t>
      </w:r>
      <w:r>
        <w:rPr>
          <w:spacing w:val="40"/>
        </w:rPr>
        <w:t> </w:t>
      </w:r>
      <w:r>
        <w:rPr/>
        <w:t>is</w:t>
      </w:r>
      <w:r>
        <w:rPr>
          <w:spacing w:val="40"/>
        </w:rPr>
        <w:t> </w:t>
      </w:r>
      <w:r>
        <w:rPr/>
        <w:t>necessary</w:t>
      </w:r>
      <w:r>
        <w:rPr>
          <w:spacing w:val="40"/>
        </w:rPr>
        <w:t> </w:t>
      </w:r>
      <w:r>
        <w:rPr/>
        <w:t>to</w:t>
      </w:r>
      <w:r>
        <w:rPr>
          <w:spacing w:val="40"/>
        </w:rPr>
        <w:t> </w:t>
      </w:r>
      <w:r>
        <w:rPr/>
        <w:t>evaluate</w:t>
      </w:r>
      <w:r>
        <w:rPr>
          <w:spacing w:val="40"/>
        </w:rPr>
        <w:t> </w:t>
      </w:r>
      <w:r>
        <w:rPr/>
        <w:t>the</w:t>
      </w:r>
      <w:r>
        <w:rPr>
          <w:spacing w:val="40"/>
        </w:rPr>
        <w:t> </w:t>
      </w:r>
      <w:r>
        <w:rPr/>
        <w:t>male</w:t>
      </w:r>
      <w:r>
        <w:rPr>
          <w:spacing w:val="40"/>
        </w:rPr>
        <w:t> </w:t>
      </w:r>
      <w:r>
        <w:rPr/>
        <w:t>relatives</w:t>
      </w:r>
      <w:r>
        <w:rPr>
          <w:spacing w:val="40"/>
        </w:rPr>
        <w:t> </w:t>
      </w:r>
      <w:r>
        <w:rPr/>
        <w:t>and</w:t>
      </w:r>
      <w:r>
        <w:rPr>
          <w:spacing w:val="40"/>
        </w:rPr>
        <w:t> </w:t>
      </w:r>
      <w:r>
        <w:rPr/>
        <w:t>children of the affected individuals in order to identify </w:t>
      </w:r>
      <w:r>
        <w:rPr>
          <w:spacing w:val="-2"/>
        </w:rPr>
        <w:t>them</w:t>
      </w:r>
      <w:r>
        <w:rPr>
          <w:spacing w:val="-12"/>
        </w:rPr>
        <w:t> </w:t>
      </w:r>
      <w:r>
        <w:rPr>
          <w:spacing w:val="-2"/>
        </w:rPr>
        <w:t>as</w:t>
      </w:r>
      <w:r>
        <w:rPr>
          <w:spacing w:val="-11"/>
        </w:rPr>
        <w:t> </w:t>
      </w:r>
      <w:r>
        <w:rPr>
          <w:spacing w:val="-2"/>
        </w:rPr>
        <w:t>early</w:t>
      </w:r>
      <w:r>
        <w:rPr>
          <w:spacing w:val="-12"/>
        </w:rPr>
        <w:t> </w:t>
      </w:r>
      <w:r>
        <w:rPr>
          <w:spacing w:val="-2"/>
        </w:rPr>
        <w:t>as</w:t>
      </w:r>
      <w:r>
        <w:rPr>
          <w:spacing w:val="-11"/>
        </w:rPr>
        <w:t> </w:t>
      </w:r>
      <w:r>
        <w:rPr>
          <w:spacing w:val="-2"/>
        </w:rPr>
        <w:t>possible</w:t>
      </w:r>
      <w:r>
        <w:rPr>
          <w:spacing w:val="-10"/>
        </w:rPr>
        <w:t> </w:t>
      </w:r>
      <w:r>
        <w:rPr>
          <w:spacing w:val="-2"/>
        </w:rPr>
        <w:t>for</w:t>
      </w:r>
      <w:r>
        <w:rPr>
          <w:spacing w:val="-11"/>
        </w:rPr>
        <w:t> </w:t>
      </w:r>
      <w:r>
        <w:rPr>
          <w:spacing w:val="-2"/>
        </w:rPr>
        <w:t>taking</w:t>
      </w:r>
      <w:r>
        <w:rPr>
          <w:spacing w:val="-11"/>
        </w:rPr>
        <w:t> </w:t>
      </w:r>
      <w:r>
        <w:rPr>
          <w:spacing w:val="-2"/>
        </w:rPr>
        <w:t>preventive</w:t>
      </w:r>
      <w:r>
        <w:rPr>
          <w:spacing w:val="-9"/>
        </w:rPr>
        <w:t> </w:t>
      </w:r>
      <w:r>
        <w:rPr>
          <w:spacing w:val="-2"/>
        </w:rPr>
        <w:t>measures. </w:t>
      </w:r>
      <w:r>
        <w:rPr/>
        <w:t>If the pathogenic variant RS1 is known in the family, molecular</w:t>
      </w:r>
      <w:r>
        <w:rPr>
          <w:spacing w:val="29"/>
        </w:rPr>
        <w:t> </w:t>
      </w:r>
      <w:r>
        <w:rPr/>
        <w:t>genetic</w:t>
      </w:r>
      <w:r>
        <w:rPr>
          <w:spacing w:val="32"/>
        </w:rPr>
        <w:t> </w:t>
      </w:r>
      <w:r>
        <w:rPr/>
        <w:t>testing</w:t>
      </w:r>
      <w:r>
        <w:rPr>
          <w:spacing w:val="30"/>
        </w:rPr>
        <w:t> </w:t>
      </w:r>
      <w:r>
        <w:rPr/>
        <w:t>can</w:t>
      </w:r>
      <w:r>
        <w:rPr>
          <w:spacing w:val="30"/>
        </w:rPr>
        <w:t> </w:t>
      </w:r>
      <w:r>
        <w:rPr/>
        <w:t>be</w:t>
      </w:r>
      <w:r>
        <w:rPr>
          <w:spacing w:val="29"/>
        </w:rPr>
        <w:t> </w:t>
      </w:r>
      <w:r>
        <w:rPr/>
        <w:t>performed</w:t>
      </w:r>
      <w:r>
        <w:rPr>
          <w:spacing w:val="32"/>
        </w:rPr>
        <w:t> </w:t>
      </w:r>
      <w:r>
        <w:rPr/>
        <w:t>to</w:t>
      </w:r>
      <w:r>
        <w:rPr>
          <w:spacing w:val="30"/>
        </w:rPr>
        <w:t> </w:t>
      </w:r>
      <w:r>
        <w:rPr/>
        <w:t>deter- mine the nature of the inheritance and implications of </w:t>
      </w:r>
      <w:r>
        <w:rPr>
          <w:spacing w:val="-6"/>
        </w:rPr>
        <w:t>the genetic disorder for appropriate genetic counseling and </w:t>
      </w:r>
      <w:r>
        <w:rPr/>
        <w:t>to</w:t>
      </w:r>
      <w:r>
        <w:rPr>
          <w:spacing w:val="-10"/>
        </w:rPr>
        <w:t> </w:t>
      </w:r>
      <w:r>
        <w:rPr/>
        <w:t>assess</w:t>
      </w:r>
      <w:r>
        <w:rPr>
          <w:spacing w:val="-8"/>
        </w:rPr>
        <w:t> </w:t>
      </w:r>
      <w:r>
        <w:rPr/>
        <w:t>the</w:t>
      </w:r>
      <w:r>
        <w:rPr>
          <w:spacing w:val="-10"/>
        </w:rPr>
        <w:t> </w:t>
      </w:r>
      <w:r>
        <w:rPr/>
        <w:t>genetic</w:t>
      </w:r>
      <w:r>
        <w:rPr>
          <w:spacing w:val="-8"/>
        </w:rPr>
        <w:t> </w:t>
      </w:r>
      <w:r>
        <w:rPr/>
        <w:t>risk</w:t>
      </w:r>
      <w:r>
        <w:rPr>
          <w:spacing w:val="-10"/>
        </w:rPr>
        <w:t> </w:t>
      </w:r>
      <w:r>
        <w:rPr/>
        <w:t>and</w:t>
      </w:r>
      <w:r>
        <w:rPr>
          <w:spacing w:val="-10"/>
        </w:rPr>
        <w:t> </w:t>
      </w:r>
      <w:r>
        <w:rPr/>
        <w:t>status</w:t>
      </w:r>
      <w:r>
        <w:rPr>
          <w:spacing w:val="-10"/>
        </w:rPr>
        <w:t> </w:t>
      </w:r>
      <w:r>
        <w:rPr/>
        <w:t>of</w:t>
      </w:r>
      <w:r>
        <w:rPr>
          <w:spacing w:val="-11"/>
        </w:rPr>
        <w:t> </w:t>
      </w:r>
      <w:r>
        <w:rPr/>
        <w:t>family</w:t>
      </w:r>
      <w:r>
        <w:rPr>
          <w:spacing w:val="-10"/>
        </w:rPr>
        <w:t> </w:t>
      </w:r>
      <w:r>
        <w:rPr/>
        <w:t>members.</w:t>
      </w:r>
    </w:p>
    <w:p>
      <w:pPr>
        <w:pStyle w:val="BodyText"/>
        <w:spacing w:before="3"/>
      </w:pPr>
    </w:p>
    <w:p>
      <w:pPr>
        <w:pStyle w:val="Heading4"/>
      </w:pPr>
      <w:r>
        <w:rPr>
          <w:spacing w:val="-2"/>
        </w:rPr>
        <w:t>Conclusion</w:t>
      </w:r>
    </w:p>
    <w:p>
      <w:pPr>
        <w:pStyle w:val="BodyText"/>
        <w:spacing w:before="8"/>
        <w:rPr>
          <w:b/>
          <w:sz w:val="20"/>
        </w:rPr>
      </w:pPr>
    </w:p>
    <w:p>
      <w:pPr>
        <w:pStyle w:val="BodyText"/>
        <w:spacing w:before="1"/>
        <w:ind w:left="238" w:right="291"/>
      </w:pPr>
      <w:r>
        <w:rPr/>
        <w:t>It is of particular importance to increase the awareness of ophthalmologists for early detection of XLJR.</w:t>
      </w:r>
      <w:r>
        <w:rPr>
          <w:spacing w:val="80"/>
        </w:rPr>
        <w:t> </w:t>
      </w:r>
      <w:r>
        <w:rPr/>
        <w:t>There is a need for regular screening examinations of children under 10 years of age by a pediatric ophthal- mologist or retinal specialist, patient</w:t>
      </w:r>
      <w:r>
        <w:rPr>
          <w:spacing w:val="-1"/>
        </w:rPr>
        <w:t> </w:t>
      </w:r>
      <w:r>
        <w:rPr/>
        <w:t>education and ca- reful</w:t>
      </w:r>
      <w:r>
        <w:rPr>
          <w:spacing w:val="1"/>
        </w:rPr>
        <w:t> </w:t>
      </w:r>
      <w:r>
        <w:rPr/>
        <w:t>monitoring,</w:t>
      </w:r>
      <w:r>
        <w:rPr>
          <w:spacing w:val="-1"/>
        </w:rPr>
        <w:t> </w:t>
      </w:r>
      <w:r>
        <w:rPr/>
        <w:t>which should</w:t>
      </w:r>
      <w:r>
        <w:rPr>
          <w:spacing w:val="-1"/>
        </w:rPr>
        <w:t> </w:t>
      </w:r>
      <w:r>
        <w:rPr/>
        <w:t>enable early</w:t>
      </w:r>
      <w:r>
        <w:rPr>
          <w:spacing w:val="-4"/>
        </w:rPr>
        <w:t> </w:t>
      </w:r>
      <w:r>
        <w:rPr>
          <w:spacing w:val="-2"/>
        </w:rPr>
        <w:t>identifica-</w:t>
      </w:r>
    </w:p>
    <w:p>
      <w:pPr>
        <w:spacing w:after="0"/>
        <w:sectPr>
          <w:type w:val="continuous"/>
          <w:pgSz w:w="11910" w:h="16840"/>
          <w:pgMar w:header="854" w:footer="0" w:top="740" w:bottom="0" w:left="900" w:right="840"/>
          <w:cols w:num="2" w:equalWidth="0">
            <w:col w:w="4920" w:space="77"/>
            <w:col w:w="5173"/>
          </w:cols>
        </w:sectPr>
      </w:pPr>
    </w:p>
    <w:p>
      <w:pPr>
        <w:pStyle w:val="BodyText"/>
        <w:spacing w:before="5"/>
        <w:rPr>
          <w:sz w:val="15"/>
        </w:rPr>
      </w:pPr>
    </w:p>
    <w:p>
      <w:pPr>
        <w:spacing w:after="0"/>
        <w:rPr>
          <w:sz w:val="15"/>
        </w:rPr>
        <w:sectPr>
          <w:pgSz w:w="11910" w:h="16840"/>
          <w:pgMar w:header="854" w:footer="0" w:top="1300" w:bottom="280" w:left="900" w:right="840"/>
        </w:sectPr>
      </w:pPr>
    </w:p>
    <w:p>
      <w:pPr>
        <w:pStyle w:val="BodyText"/>
        <w:spacing w:before="92"/>
        <w:ind w:left="238" w:right="42"/>
        <w:jc w:val="both"/>
      </w:pPr>
      <w:r>
        <w:rPr/>
        <w:t>tion and treatment of any complications that may re- sult in a significant vision loss.</w:t>
      </w:r>
    </w:p>
    <w:p>
      <w:pPr>
        <w:pStyle w:val="BodyText"/>
        <w:ind w:left="238" w:right="40"/>
        <w:jc w:val="both"/>
      </w:pPr>
      <w:r>
        <w:rPr/>
        <w:t>Those affected by XLJR need support, observation, genetic</w:t>
      </w:r>
      <w:r>
        <w:rPr>
          <w:spacing w:val="-3"/>
        </w:rPr>
        <w:t> </w:t>
      </w:r>
      <w:r>
        <w:rPr/>
        <w:t>counseling,</w:t>
      </w:r>
      <w:r>
        <w:rPr>
          <w:spacing w:val="-3"/>
        </w:rPr>
        <w:t> </w:t>
      </w:r>
      <w:r>
        <w:rPr/>
        <w:t>vocational</w:t>
      </w:r>
      <w:r>
        <w:rPr>
          <w:spacing w:val="-4"/>
        </w:rPr>
        <w:t> </w:t>
      </w:r>
      <w:r>
        <w:rPr/>
        <w:t>rehabilitation</w:t>
      </w:r>
      <w:r>
        <w:rPr>
          <w:spacing w:val="-3"/>
        </w:rPr>
        <w:t> </w:t>
      </w:r>
      <w:r>
        <w:rPr/>
        <w:t>assistance and relevant social services assistance, i.e. to enable these patients to function as optimally as possible in the environment.</w:t>
      </w:r>
    </w:p>
    <w:p>
      <w:pPr>
        <w:pStyle w:val="BodyText"/>
        <w:spacing w:before="2"/>
      </w:pPr>
    </w:p>
    <w:p>
      <w:pPr>
        <w:spacing w:before="0"/>
        <w:ind w:left="238" w:right="0" w:firstLine="0"/>
        <w:jc w:val="both"/>
        <w:rPr>
          <w:sz w:val="18"/>
        </w:rPr>
      </w:pPr>
      <w:r>
        <w:rPr>
          <w:i/>
          <w:sz w:val="18"/>
        </w:rPr>
        <w:t>Conflict</w:t>
      </w:r>
      <w:r>
        <w:rPr>
          <w:i/>
          <w:spacing w:val="-3"/>
          <w:sz w:val="18"/>
        </w:rPr>
        <w:t> </w:t>
      </w:r>
      <w:r>
        <w:rPr>
          <w:i/>
          <w:sz w:val="18"/>
        </w:rPr>
        <w:t>of</w:t>
      </w:r>
      <w:r>
        <w:rPr>
          <w:i/>
          <w:spacing w:val="-3"/>
          <w:sz w:val="18"/>
        </w:rPr>
        <w:t> </w:t>
      </w:r>
      <w:r>
        <w:rPr>
          <w:i/>
          <w:sz w:val="18"/>
        </w:rPr>
        <w:t>interest</w:t>
      </w:r>
      <w:r>
        <w:rPr>
          <w:i/>
          <w:spacing w:val="-2"/>
          <w:sz w:val="18"/>
        </w:rPr>
        <w:t> </w:t>
      </w:r>
      <w:r>
        <w:rPr>
          <w:i/>
          <w:sz w:val="18"/>
        </w:rPr>
        <w:t>statement</w:t>
      </w:r>
      <w:r>
        <w:rPr>
          <w:sz w:val="18"/>
        </w:rPr>
        <w:t>.</w:t>
      </w:r>
      <w:r>
        <w:rPr>
          <w:spacing w:val="-1"/>
          <w:sz w:val="18"/>
        </w:rPr>
        <w:t> </w:t>
      </w:r>
      <w:r>
        <w:rPr>
          <w:sz w:val="18"/>
        </w:rPr>
        <w:t>None</w:t>
      </w:r>
      <w:r>
        <w:rPr>
          <w:spacing w:val="-2"/>
          <w:sz w:val="18"/>
        </w:rPr>
        <w:t> declared.</w:t>
      </w:r>
    </w:p>
    <w:p>
      <w:pPr>
        <w:pStyle w:val="BodyText"/>
        <w:spacing w:before="3"/>
      </w:pPr>
    </w:p>
    <w:p>
      <w:pPr>
        <w:pStyle w:val="Heading4"/>
      </w:pPr>
      <w:r>
        <w:rPr>
          <w:spacing w:val="-2"/>
        </w:rPr>
        <w:t>References:</w:t>
      </w:r>
    </w:p>
    <w:p>
      <w:pPr>
        <w:pStyle w:val="BodyText"/>
        <w:spacing w:before="8"/>
        <w:rPr>
          <w:b/>
          <w:sz w:val="20"/>
        </w:rPr>
      </w:pPr>
    </w:p>
    <w:p>
      <w:pPr>
        <w:pStyle w:val="ListParagraph"/>
        <w:numPr>
          <w:ilvl w:val="0"/>
          <w:numId w:val="15"/>
        </w:numPr>
        <w:tabs>
          <w:tab w:pos="627" w:val="left" w:leader="none"/>
        </w:tabs>
        <w:spacing w:line="240" w:lineRule="auto" w:before="0" w:after="0"/>
        <w:ind w:left="626" w:right="43" w:hanging="389"/>
        <w:jc w:val="both"/>
        <w:rPr>
          <w:sz w:val="18"/>
        </w:rPr>
      </w:pPr>
      <w:hyperlink r:id="rId541">
        <w:r>
          <w:rPr>
            <w:sz w:val="18"/>
          </w:rPr>
          <w:t>Wang</w:t>
        </w:r>
      </w:hyperlink>
      <w:r>
        <w:rPr>
          <w:sz w:val="18"/>
        </w:rPr>
        <w:t> NK,</w:t>
      </w:r>
      <w:r>
        <w:rPr>
          <w:spacing w:val="40"/>
          <w:sz w:val="18"/>
        </w:rPr>
        <w:t> </w:t>
      </w:r>
      <w:hyperlink r:id="rId542">
        <w:r>
          <w:rPr>
            <w:sz w:val="18"/>
          </w:rPr>
          <w:t>Liu</w:t>
        </w:r>
      </w:hyperlink>
      <w:r>
        <w:rPr>
          <w:sz w:val="18"/>
        </w:rPr>
        <w:t> L,</w:t>
      </w:r>
      <w:r>
        <w:rPr>
          <w:spacing w:val="40"/>
          <w:sz w:val="18"/>
        </w:rPr>
        <w:t> </w:t>
      </w:r>
      <w:hyperlink r:id="rId543">
        <w:r>
          <w:rPr>
            <w:sz w:val="18"/>
          </w:rPr>
          <w:t>Chen</w:t>
        </w:r>
      </w:hyperlink>
      <w:r>
        <w:rPr>
          <w:sz w:val="18"/>
        </w:rPr>
        <w:t> HM, </w:t>
      </w:r>
      <w:r>
        <w:rPr>
          <w:i/>
          <w:sz w:val="18"/>
        </w:rPr>
        <w:t>et al</w:t>
      </w:r>
      <w:r>
        <w:rPr>
          <w:sz w:val="18"/>
        </w:rPr>
        <w:t>. Clinical presentations of X-linked retinoschisis in Taiwanese patients confirmed with genetic sequencing. </w:t>
      </w:r>
      <w:hyperlink r:id="rId544">
        <w:r>
          <w:rPr>
            <w:i/>
            <w:sz w:val="18"/>
          </w:rPr>
          <w:t>Mol Vis</w:t>
        </w:r>
      </w:hyperlink>
      <w:r>
        <w:rPr>
          <w:i/>
          <w:sz w:val="18"/>
        </w:rPr>
        <w:t> </w:t>
      </w:r>
      <w:r>
        <w:rPr>
          <w:sz w:val="18"/>
        </w:rPr>
        <w:t>2015; 21: 487-501.</w:t>
      </w:r>
    </w:p>
    <w:p>
      <w:pPr>
        <w:pStyle w:val="ListParagraph"/>
        <w:numPr>
          <w:ilvl w:val="0"/>
          <w:numId w:val="15"/>
        </w:numPr>
        <w:tabs>
          <w:tab w:pos="627" w:val="left" w:leader="none"/>
        </w:tabs>
        <w:spacing w:line="240" w:lineRule="auto" w:before="1" w:after="0"/>
        <w:ind w:left="626" w:right="38" w:hanging="389"/>
        <w:jc w:val="both"/>
        <w:rPr>
          <w:sz w:val="18"/>
        </w:rPr>
      </w:pPr>
      <w:hyperlink r:id="rId545">
        <w:r>
          <w:rPr>
            <w:spacing w:val="-4"/>
            <w:sz w:val="18"/>
          </w:rPr>
          <w:t>Sieving</w:t>
        </w:r>
        <w:r>
          <w:rPr>
            <w:spacing w:val="-8"/>
            <w:sz w:val="18"/>
          </w:rPr>
          <w:t> </w:t>
        </w:r>
      </w:hyperlink>
      <w:r>
        <w:rPr>
          <w:spacing w:val="-4"/>
          <w:sz w:val="18"/>
        </w:rPr>
        <w:t>PA,</w:t>
      </w:r>
      <w:r>
        <w:rPr>
          <w:spacing w:val="-7"/>
          <w:sz w:val="18"/>
        </w:rPr>
        <w:t> </w:t>
      </w:r>
      <w:hyperlink r:id="rId546">
        <w:r>
          <w:rPr>
            <w:spacing w:val="-4"/>
            <w:sz w:val="18"/>
          </w:rPr>
          <w:t>MacDonald</w:t>
        </w:r>
        <w:r>
          <w:rPr>
            <w:spacing w:val="-7"/>
            <w:sz w:val="18"/>
          </w:rPr>
          <w:t> </w:t>
        </w:r>
      </w:hyperlink>
      <w:r>
        <w:rPr>
          <w:spacing w:val="-4"/>
          <w:sz w:val="18"/>
        </w:rPr>
        <w:t>IM,</w:t>
      </w:r>
      <w:r>
        <w:rPr>
          <w:spacing w:val="-7"/>
          <w:sz w:val="18"/>
        </w:rPr>
        <w:t> </w:t>
      </w:r>
      <w:hyperlink r:id="rId547">
        <w:r>
          <w:rPr>
            <w:spacing w:val="-4"/>
            <w:sz w:val="18"/>
          </w:rPr>
          <w:t>Chan</w:t>
        </w:r>
        <w:r>
          <w:rPr>
            <w:spacing w:val="-8"/>
            <w:sz w:val="18"/>
          </w:rPr>
          <w:t> </w:t>
        </w:r>
      </w:hyperlink>
      <w:r>
        <w:rPr>
          <w:spacing w:val="-4"/>
          <w:sz w:val="18"/>
        </w:rPr>
        <w:t>S,</w:t>
      </w:r>
      <w:r>
        <w:rPr>
          <w:spacing w:val="-7"/>
          <w:sz w:val="18"/>
        </w:rPr>
        <w:t> </w:t>
      </w:r>
      <w:r>
        <w:rPr>
          <w:i/>
          <w:spacing w:val="-4"/>
          <w:sz w:val="18"/>
        </w:rPr>
        <w:t>et</w:t>
      </w:r>
      <w:r>
        <w:rPr>
          <w:i/>
          <w:spacing w:val="-7"/>
          <w:sz w:val="18"/>
        </w:rPr>
        <w:t> </w:t>
      </w:r>
      <w:r>
        <w:rPr>
          <w:i/>
          <w:spacing w:val="-4"/>
          <w:sz w:val="18"/>
        </w:rPr>
        <w:t>al</w:t>
      </w:r>
      <w:r>
        <w:rPr>
          <w:spacing w:val="-4"/>
          <w:sz w:val="18"/>
        </w:rPr>
        <w:t>.</w:t>
      </w:r>
      <w:r>
        <w:rPr>
          <w:spacing w:val="-7"/>
          <w:sz w:val="18"/>
        </w:rPr>
        <w:t> </w:t>
      </w:r>
      <w:r>
        <w:rPr>
          <w:spacing w:val="-4"/>
          <w:sz w:val="18"/>
        </w:rPr>
        <w:t>X-Linked</w:t>
      </w:r>
      <w:r>
        <w:rPr>
          <w:spacing w:val="-8"/>
          <w:sz w:val="18"/>
        </w:rPr>
        <w:t> </w:t>
      </w:r>
      <w:r>
        <w:rPr>
          <w:spacing w:val="-4"/>
          <w:sz w:val="18"/>
        </w:rPr>
        <w:t>Juvenile </w:t>
      </w:r>
      <w:r>
        <w:rPr>
          <w:sz w:val="18"/>
        </w:rPr>
        <w:t>Retinoschisis. In: GeneReviews</w:t>
      </w:r>
      <w:r>
        <w:rPr>
          <w:sz w:val="18"/>
          <w:vertAlign w:val="superscript"/>
        </w:rPr>
        <w:t>®</w:t>
      </w:r>
      <w:r>
        <w:rPr>
          <w:spacing w:val="-3"/>
          <w:sz w:val="18"/>
          <w:vertAlign w:val="baseline"/>
        </w:rPr>
        <w:t> </w:t>
      </w:r>
      <w:r>
        <w:rPr>
          <w:sz w:val="18"/>
          <w:vertAlign w:val="baseline"/>
        </w:rPr>
        <w:t>[Internet]. Seattle (WA): University of Washington, Seattle; 1993-2020. 2003 Oct 24 [updated 2014 Aug 28].</w:t>
      </w:r>
    </w:p>
    <w:p>
      <w:pPr>
        <w:pStyle w:val="ListParagraph"/>
        <w:numPr>
          <w:ilvl w:val="0"/>
          <w:numId w:val="15"/>
        </w:numPr>
        <w:tabs>
          <w:tab w:pos="627" w:val="left" w:leader="none"/>
        </w:tabs>
        <w:spacing w:line="240" w:lineRule="auto" w:before="1" w:after="0"/>
        <w:ind w:left="626" w:right="42" w:hanging="389"/>
        <w:jc w:val="both"/>
        <w:rPr>
          <w:sz w:val="18"/>
        </w:rPr>
      </w:pPr>
      <w:r>
        <w:rPr>
          <w:sz w:val="18"/>
        </w:rPr>
        <w:t>Eksandh LC, Ponjavic V, Ayyagari R, </w:t>
      </w:r>
      <w:r>
        <w:rPr>
          <w:i/>
          <w:sz w:val="18"/>
        </w:rPr>
        <w:t>et al</w:t>
      </w:r>
      <w:r>
        <w:rPr>
          <w:sz w:val="18"/>
        </w:rPr>
        <w:t>. Phenotypic expression of juvenile X-linked retinoschisis in Swedish families</w:t>
      </w:r>
      <w:r>
        <w:rPr>
          <w:spacing w:val="-3"/>
          <w:sz w:val="18"/>
        </w:rPr>
        <w:t> </w:t>
      </w:r>
      <w:r>
        <w:rPr>
          <w:sz w:val="18"/>
        </w:rPr>
        <w:t>with</w:t>
      </w:r>
      <w:r>
        <w:rPr>
          <w:spacing w:val="-2"/>
          <w:sz w:val="18"/>
        </w:rPr>
        <w:t> </w:t>
      </w:r>
      <w:r>
        <w:rPr>
          <w:sz w:val="18"/>
        </w:rPr>
        <w:t>different</w:t>
      </w:r>
      <w:r>
        <w:rPr>
          <w:spacing w:val="-2"/>
          <w:sz w:val="18"/>
        </w:rPr>
        <w:t> </w:t>
      </w:r>
      <w:r>
        <w:rPr>
          <w:sz w:val="18"/>
        </w:rPr>
        <w:t>mutations</w:t>
      </w:r>
      <w:r>
        <w:rPr>
          <w:spacing w:val="-6"/>
          <w:sz w:val="18"/>
        </w:rPr>
        <w:t> </w:t>
      </w:r>
      <w:r>
        <w:rPr>
          <w:sz w:val="18"/>
        </w:rPr>
        <w:t>in</w:t>
      </w:r>
      <w:r>
        <w:rPr>
          <w:spacing w:val="-2"/>
          <w:sz w:val="18"/>
        </w:rPr>
        <w:t> </w:t>
      </w:r>
      <w:r>
        <w:rPr>
          <w:sz w:val="18"/>
        </w:rPr>
        <w:t>the</w:t>
      </w:r>
      <w:r>
        <w:rPr>
          <w:spacing w:val="-6"/>
          <w:sz w:val="18"/>
        </w:rPr>
        <w:t> </w:t>
      </w:r>
      <w:r>
        <w:rPr>
          <w:sz w:val="18"/>
        </w:rPr>
        <w:t>XLRS1</w:t>
      </w:r>
      <w:r>
        <w:rPr>
          <w:spacing w:val="-2"/>
          <w:sz w:val="18"/>
        </w:rPr>
        <w:t> </w:t>
      </w:r>
      <w:r>
        <w:rPr>
          <w:sz w:val="18"/>
        </w:rPr>
        <w:t>gene.</w:t>
      </w:r>
      <w:r>
        <w:rPr>
          <w:spacing w:val="-1"/>
          <w:sz w:val="18"/>
        </w:rPr>
        <w:t> </w:t>
      </w:r>
      <w:r>
        <w:rPr>
          <w:i/>
          <w:sz w:val="18"/>
        </w:rPr>
        <w:t>Arch</w:t>
      </w:r>
      <w:r>
        <w:rPr>
          <w:i/>
          <w:sz w:val="18"/>
        </w:rPr>
        <w:t> Ophthalmol </w:t>
      </w:r>
      <w:r>
        <w:rPr>
          <w:sz w:val="18"/>
        </w:rPr>
        <w:t>2000; 118: 1098-104.</w:t>
      </w:r>
    </w:p>
    <w:p>
      <w:pPr>
        <w:pStyle w:val="ListParagraph"/>
        <w:numPr>
          <w:ilvl w:val="0"/>
          <w:numId w:val="15"/>
        </w:numPr>
        <w:tabs>
          <w:tab w:pos="627" w:val="left" w:leader="none"/>
        </w:tabs>
        <w:spacing w:line="240" w:lineRule="auto" w:before="0" w:after="0"/>
        <w:ind w:left="626" w:right="42" w:hanging="389"/>
        <w:jc w:val="both"/>
        <w:rPr>
          <w:sz w:val="18"/>
        </w:rPr>
      </w:pPr>
      <w:r>
        <w:rPr>
          <w:sz w:val="18"/>
        </w:rPr>
        <w:t>Kim</w:t>
      </w:r>
      <w:r>
        <w:rPr>
          <w:spacing w:val="-12"/>
          <w:sz w:val="18"/>
        </w:rPr>
        <w:t> </w:t>
      </w:r>
      <w:r>
        <w:rPr>
          <w:sz w:val="18"/>
        </w:rPr>
        <w:t>DY,</w:t>
      </w:r>
      <w:r>
        <w:rPr>
          <w:spacing w:val="-11"/>
          <w:sz w:val="18"/>
        </w:rPr>
        <w:t> </w:t>
      </w:r>
      <w:r>
        <w:rPr>
          <w:sz w:val="18"/>
        </w:rPr>
        <w:t>Mukai</w:t>
      </w:r>
      <w:r>
        <w:rPr>
          <w:spacing w:val="-11"/>
          <w:sz w:val="18"/>
        </w:rPr>
        <w:t> </w:t>
      </w:r>
      <w:r>
        <w:rPr>
          <w:sz w:val="18"/>
        </w:rPr>
        <w:t>S.</w:t>
      </w:r>
      <w:r>
        <w:rPr>
          <w:spacing w:val="-11"/>
          <w:sz w:val="18"/>
        </w:rPr>
        <w:t> </w:t>
      </w:r>
      <w:r>
        <w:rPr>
          <w:sz w:val="18"/>
        </w:rPr>
        <w:t>X-linked</w:t>
      </w:r>
      <w:r>
        <w:rPr>
          <w:spacing w:val="-12"/>
          <w:sz w:val="18"/>
        </w:rPr>
        <w:t> </w:t>
      </w:r>
      <w:r>
        <w:rPr>
          <w:sz w:val="18"/>
        </w:rPr>
        <w:t>juvenile</w:t>
      </w:r>
      <w:r>
        <w:rPr>
          <w:spacing w:val="-11"/>
          <w:sz w:val="18"/>
        </w:rPr>
        <w:t> </w:t>
      </w:r>
      <w:r>
        <w:rPr>
          <w:sz w:val="18"/>
        </w:rPr>
        <w:t>retinoschisis</w:t>
      </w:r>
      <w:r>
        <w:rPr>
          <w:spacing w:val="-11"/>
          <w:sz w:val="18"/>
        </w:rPr>
        <w:t> </w:t>
      </w:r>
      <w:r>
        <w:rPr>
          <w:sz w:val="18"/>
        </w:rPr>
        <w:t>(XLRS): a review of genotype-phenotype relationships. </w:t>
      </w:r>
      <w:r>
        <w:rPr>
          <w:i/>
          <w:sz w:val="18"/>
        </w:rPr>
        <w:t>Semin</w:t>
      </w:r>
      <w:r>
        <w:rPr>
          <w:i/>
          <w:sz w:val="18"/>
        </w:rPr>
        <w:t> Ophthalmol </w:t>
      </w:r>
      <w:r>
        <w:rPr>
          <w:sz w:val="18"/>
        </w:rPr>
        <w:t>2013; 28: 392-396.</w:t>
      </w:r>
    </w:p>
    <w:p>
      <w:pPr>
        <w:pStyle w:val="ListParagraph"/>
        <w:numPr>
          <w:ilvl w:val="0"/>
          <w:numId w:val="15"/>
        </w:numPr>
        <w:tabs>
          <w:tab w:pos="627" w:val="left" w:leader="none"/>
        </w:tabs>
        <w:spacing w:line="240" w:lineRule="auto" w:before="0" w:after="0"/>
        <w:ind w:left="626" w:right="41" w:hanging="389"/>
        <w:jc w:val="both"/>
        <w:rPr>
          <w:sz w:val="18"/>
        </w:rPr>
      </w:pPr>
      <w:r>
        <w:rPr>
          <w:sz w:val="18"/>
        </w:rPr>
        <w:t>Duncan JL,</w:t>
      </w:r>
      <w:r>
        <w:rPr>
          <w:spacing w:val="-2"/>
          <w:sz w:val="18"/>
        </w:rPr>
        <w:t> </w:t>
      </w:r>
      <w:r>
        <w:rPr>
          <w:sz w:val="18"/>
        </w:rPr>
        <w:t>Ratnam K,</w:t>
      </w:r>
      <w:r>
        <w:rPr>
          <w:spacing w:val="40"/>
          <w:sz w:val="18"/>
        </w:rPr>
        <w:t> </w:t>
      </w:r>
      <w:r>
        <w:rPr>
          <w:sz w:val="18"/>
        </w:rPr>
        <w:t>Birch DG,</w:t>
      </w:r>
      <w:r>
        <w:rPr>
          <w:spacing w:val="-2"/>
          <w:sz w:val="18"/>
        </w:rPr>
        <w:t> </w:t>
      </w:r>
      <w:r>
        <w:rPr>
          <w:i/>
          <w:sz w:val="18"/>
        </w:rPr>
        <w:t>et al</w:t>
      </w:r>
      <w:r>
        <w:rPr>
          <w:sz w:val="18"/>
        </w:rPr>
        <w:t>. Abnormal Cone </w:t>
      </w:r>
      <w:r>
        <w:rPr>
          <w:spacing w:val="-4"/>
          <w:sz w:val="18"/>
        </w:rPr>
        <w:t>Structure in Foveal Schisis Cavities in X-linked Retinoschisis </w:t>
      </w:r>
      <w:r>
        <w:rPr>
          <w:sz w:val="18"/>
        </w:rPr>
        <w:t>From Mutations in Exon 6 of the RS1 Gene. </w:t>
      </w:r>
      <w:r>
        <w:rPr>
          <w:i/>
          <w:sz w:val="18"/>
        </w:rPr>
        <w:t>Invest</w:t>
      </w:r>
      <w:r>
        <w:rPr>
          <w:i/>
          <w:sz w:val="18"/>
        </w:rPr>
        <w:t> Ophthalmol Vis Sci </w:t>
      </w:r>
      <w:r>
        <w:rPr>
          <w:sz w:val="18"/>
        </w:rPr>
        <w:t>2011; 52(13): 9614-9623. doi: </w:t>
      </w:r>
      <w:r>
        <w:rPr>
          <w:spacing w:val="-2"/>
          <w:sz w:val="18"/>
        </w:rPr>
        <w:t>10.1167/iovs.11-8600.</w:t>
      </w:r>
    </w:p>
    <w:p>
      <w:pPr>
        <w:pStyle w:val="ListParagraph"/>
        <w:numPr>
          <w:ilvl w:val="0"/>
          <w:numId w:val="15"/>
        </w:numPr>
        <w:tabs>
          <w:tab w:pos="627" w:val="left" w:leader="none"/>
        </w:tabs>
        <w:spacing w:line="240" w:lineRule="auto" w:before="0" w:after="0"/>
        <w:ind w:left="626" w:right="42" w:hanging="389"/>
        <w:jc w:val="both"/>
        <w:rPr>
          <w:sz w:val="18"/>
        </w:rPr>
      </w:pPr>
      <w:r>
        <w:rPr>
          <w:sz w:val="18"/>
        </w:rPr>
        <w:t>Yu H, Li T, Luo Y, </w:t>
      </w:r>
      <w:r>
        <w:rPr>
          <w:i/>
          <w:sz w:val="18"/>
        </w:rPr>
        <w:t>et al</w:t>
      </w:r>
      <w:r>
        <w:rPr>
          <w:sz w:val="18"/>
        </w:rPr>
        <w:t>. Long-term outcomes of vitrectomy for progressive X-linked retinoschisis.</w:t>
      </w:r>
      <w:r>
        <w:rPr>
          <w:spacing w:val="-2"/>
          <w:sz w:val="18"/>
        </w:rPr>
        <w:t> </w:t>
      </w:r>
      <w:r>
        <w:rPr>
          <w:i/>
          <w:sz w:val="18"/>
        </w:rPr>
        <w:t>Am J</w:t>
      </w:r>
      <w:r>
        <w:rPr>
          <w:i/>
          <w:sz w:val="18"/>
        </w:rPr>
        <w:t> Ophthalmol </w:t>
      </w:r>
      <w:r>
        <w:rPr>
          <w:sz w:val="18"/>
        </w:rPr>
        <w:t>2012; 154(2): 394-402.</w:t>
      </w:r>
    </w:p>
    <w:p>
      <w:pPr>
        <w:pStyle w:val="ListParagraph"/>
        <w:numPr>
          <w:ilvl w:val="0"/>
          <w:numId w:val="15"/>
        </w:numPr>
        <w:tabs>
          <w:tab w:pos="627" w:val="left" w:leader="none"/>
        </w:tabs>
        <w:spacing w:line="240" w:lineRule="auto" w:before="0" w:after="0"/>
        <w:ind w:left="626" w:right="42" w:hanging="389"/>
        <w:jc w:val="both"/>
        <w:rPr>
          <w:sz w:val="18"/>
        </w:rPr>
      </w:pPr>
      <w:r>
        <w:rPr>
          <w:sz w:val="18"/>
        </w:rPr>
        <w:t>Nakamura M, Ito S, Terasaki H, Miyake Y. Japanese X- linked juvenile retinoschisis: conflict of phenotype and genotype with novel mutations in the XLRS1 gene. </w:t>
      </w:r>
      <w:r>
        <w:rPr>
          <w:i/>
          <w:sz w:val="18"/>
        </w:rPr>
        <w:t>Arch</w:t>
      </w:r>
      <w:r>
        <w:rPr>
          <w:i/>
          <w:sz w:val="18"/>
        </w:rPr>
        <w:t> Ophthalmol </w:t>
      </w:r>
      <w:r>
        <w:rPr>
          <w:sz w:val="18"/>
        </w:rPr>
        <w:t>2001; 119: 1553-1554.</w:t>
      </w:r>
    </w:p>
    <w:p>
      <w:pPr>
        <w:pStyle w:val="ListParagraph"/>
        <w:numPr>
          <w:ilvl w:val="0"/>
          <w:numId w:val="15"/>
        </w:numPr>
        <w:tabs>
          <w:tab w:pos="627" w:val="left" w:leader="none"/>
        </w:tabs>
        <w:spacing w:line="240" w:lineRule="auto" w:before="0" w:after="0"/>
        <w:ind w:left="626" w:right="43" w:hanging="389"/>
        <w:jc w:val="both"/>
        <w:rPr>
          <w:sz w:val="18"/>
        </w:rPr>
      </w:pPr>
      <w:r>
        <w:rPr>
          <w:sz w:val="18"/>
        </w:rPr>
        <w:t>Yu J, Ni Y,</w:t>
      </w:r>
      <w:r>
        <w:rPr>
          <w:spacing w:val="40"/>
          <w:sz w:val="18"/>
        </w:rPr>
        <w:t> </w:t>
      </w:r>
      <w:r>
        <w:rPr>
          <w:sz w:val="18"/>
        </w:rPr>
        <w:t>Keane PA,</w:t>
      </w:r>
      <w:r>
        <w:rPr>
          <w:spacing w:val="-1"/>
          <w:sz w:val="18"/>
        </w:rPr>
        <w:t> </w:t>
      </w:r>
      <w:r>
        <w:rPr>
          <w:i/>
          <w:sz w:val="18"/>
        </w:rPr>
        <w:t>et al</w:t>
      </w:r>
      <w:r>
        <w:rPr>
          <w:sz w:val="18"/>
        </w:rPr>
        <w:t>. Foveomacular Schisis in Juvenile X-linked Retinoschisis: An Optical Coherence Tomography</w:t>
      </w:r>
      <w:r>
        <w:rPr>
          <w:spacing w:val="-3"/>
          <w:sz w:val="18"/>
        </w:rPr>
        <w:t> </w:t>
      </w:r>
      <w:r>
        <w:rPr>
          <w:sz w:val="18"/>
        </w:rPr>
        <w:t>Study. </w:t>
      </w:r>
      <w:r>
        <w:rPr>
          <w:i/>
          <w:sz w:val="18"/>
        </w:rPr>
        <w:t>Am J Ophthalmol </w:t>
      </w:r>
      <w:r>
        <w:rPr>
          <w:sz w:val="18"/>
        </w:rPr>
        <w:t>2010; 149 (6):</w:t>
      </w:r>
      <w:r>
        <w:rPr>
          <w:spacing w:val="-1"/>
          <w:sz w:val="18"/>
        </w:rPr>
        <w:t> </w:t>
      </w:r>
      <w:r>
        <w:rPr>
          <w:sz w:val="18"/>
        </w:rPr>
        <w:t>973- 978.e2. doi: 10.1016/j.ajo.2010.01.031.</w:t>
      </w:r>
    </w:p>
    <w:p>
      <w:pPr>
        <w:pStyle w:val="ListParagraph"/>
        <w:numPr>
          <w:ilvl w:val="0"/>
          <w:numId w:val="15"/>
        </w:numPr>
        <w:tabs>
          <w:tab w:pos="627" w:val="left" w:leader="none"/>
        </w:tabs>
        <w:spacing w:line="240" w:lineRule="auto" w:before="94" w:after="0"/>
        <w:ind w:left="626" w:right="292" w:hanging="389"/>
        <w:jc w:val="both"/>
        <w:rPr>
          <w:sz w:val="18"/>
        </w:rPr>
      </w:pPr>
      <w:r>
        <w:rPr/>
        <w:br w:type="column"/>
      </w:r>
      <w:r>
        <w:rPr>
          <w:sz w:val="18"/>
        </w:rPr>
        <w:t>Molday RS, Kellner U, Weber BH. X-linked juvenile retinoschisis: clinical diagnosis, genetic analysis, and molecular mechanisms.</w:t>
      </w:r>
      <w:r>
        <w:rPr>
          <w:spacing w:val="-2"/>
          <w:sz w:val="18"/>
        </w:rPr>
        <w:t> </w:t>
      </w:r>
      <w:r>
        <w:rPr>
          <w:i/>
          <w:sz w:val="18"/>
        </w:rPr>
        <w:t>Prog Retin Eye Res</w:t>
      </w:r>
      <w:r>
        <w:rPr>
          <w:i/>
          <w:spacing w:val="-4"/>
          <w:sz w:val="18"/>
        </w:rPr>
        <w:t> </w:t>
      </w:r>
      <w:r>
        <w:rPr>
          <w:sz w:val="18"/>
        </w:rPr>
        <w:t>2012; 31(3): </w:t>
      </w:r>
      <w:r>
        <w:rPr>
          <w:spacing w:val="-2"/>
          <w:sz w:val="18"/>
        </w:rPr>
        <w:t>195-212.</w:t>
      </w:r>
    </w:p>
    <w:p>
      <w:pPr>
        <w:pStyle w:val="ListParagraph"/>
        <w:numPr>
          <w:ilvl w:val="0"/>
          <w:numId w:val="15"/>
        </w:numPr>
        <w:tabs>
          <w:tab w:pos="627" w:val="left" w:leader="none"/>
        </w:tabs>
        <w:spacing w:line="240" w:lineRule="auto" w:before="0" w:after="0"/>
        <w:ind w:left="626" w:right="292" w:hanging="389"/>
        <w:jc w:val="both"/>
        <w:rPr>
          <w:sz w:val="18"/>
        </w:rPr>
      </w:pPr>
      <w:r>
        <w:rPr>
          <w:sz w:val="18"/>
        </w:rPr>
        <w:t>Doğuizi S,</w:t>
      </w:r>
      <w:r>
        <w:rPr>
          <w:spacing w:val="40"/>
          <w:sz w:val="18"/>
        </w:rPr>
        <w:t> </w:t>
      </w:r>
      <w:r>
        <w:rPr>
          <w:sz w:val="18"/>
        </w:rPr>
        <w:t>Şekeroğlu MA,</w:t>
      </w:r>
      <w:r>
        <w:rPr>
          <w:spacing w:val="-2"/>
          <w:sz w:val="18"/>
        </w:rPr>
        <w:t> </w:t>
      </w:r>
      <w:r>
        <w:rPr>
          <w:sz w:val="18"/>
        </w:rPr>
        <w:t>Çolak S,</w:t>
      </w:r>
      <w:r>
        <w:rPr>
          <w:spacing w:val="-2"/>
          <w:sz w:val="18"/>
        </w:rPr>
        <w:t> </w:t>
      </w:r>
      <w:r>
        <w:rPr>
          <w:i/>
          <w:sz w:val="18"/>
        </w:rPr>
        <w:t>et al</w:t>
      </w:r>
      <w:r>
        <w:rPr>
          <w:sz w:val="18"/>
        </w:rPr>
        <w:t>. Assessment of </w:t>
      </w:r>
      <w:r>
        <w:rPr>
          <w:spacing w:val="-4"/>
          <w:sz w:val="18"/>
        </w:rPr>
        <w:t>Spectral-Domain</w:t>
      </w:r>
      <w:r>
        <w:rPr>
          <w:spacing w:val="-8"/>
          <w:sz w:val="18"/>
        </w:rPr>
        <w:t> </w:t>
      </w:r>
      <w:r>
        <w:rPr>
          <w:spacing w:val="-4"/>
          <w:sz w:val="18"/>
        </w:rPr>
        <w:t>Optical</w:t>
      </w:r>
      <w:r>
        <w:rPr>
          <w:spacing w:val="-7"/>
          <w:sz w:val="18"/>
        </w:rPr>
        <w:t> </w:t>
      </w:r>
      <w:r>
        <w:rPr>
          <w:spacing w:val="-4"/>
          <w:sz w:val="18"/>
        </w:rPr>
        <w:t>Coherence</w:t>
      </w:r>
      <w:r>
        <w:rPr>
          <w:spacing w:val="-7"/>
          <w:sz w:val="18"/>
        </w:rPr>
        <w:t> </w:t>
      </w:r>
      <w:r>
        <w:rPr>
          <w:spacing w:val="-4"/>
          <w:sz w:val="18"/>
        </w:rPr>
        <w:t>Tomography</w:t>
      </w:r>
      <w:r>
        <w:rPr>
          <w:spacing w:val="-7"/>
          <w:sz w:val="18"/>
        </w:rPr>
        <w:t> </w:t>
      </w:r>
      <w:r>
        <w:rPr>
          <w:spacing w:val="-4"/>
          <w:sz w:val="18"/>
        </w:rPr>
        <w:t>Findings</w:t>
      </w:r>
      <w:r>
        <w:rPr>
          <w:spacing w:val="-7"/>
          <w:sz w:val="18"/>
        </w:rPr>
        <w:t> </w:t>
      </w:r>
      <w:r>
        <w:rPr>
          <w:spacing w:val="-4"/>
          <w:sz w:val="18"/>
        </w:rPr>
        <w:t>in </w:t>
      </w:r>
      <w:r>
        <w:rPr>
          <w:sz w:val="18"/>
        </w:rPr>
        <w:t>Three Cases of X-Linked Juvenile Retinoschisis in the Same Family. </w:t>
      </w:r>
      <w:r>
        <w:rPr>
          <w:i/>
          <w:sz w:val="18"/>
        </w:rPr>
        <w:t>Turk J Ophthalmol </w:t>
      </w:r>
      <w:r>
        <w:rPr>
          <w:sz w:val="18"/>
        </w:rPr>
        <w:t>2017; 47(5): 302-305. doi: 10.4274/tjo.09068</w:t>
      </w:r>
    </w:p>
    <w:p>
      <w:pPr>
        <w:pStyle w:val="ListParagraph"/>
        <w:numPr>
          <w:ilvl w:val="0"/>
          <w:numId w:val="15"/>
        </w:numPr>
        <w:tabs>
          <w:tab w:pos="627" w:val="left" w:leader="none"/>
        </w:tabs>
        <w:spacing w:line="240" w:lineRule="auto" w:before="0" w:after="0"/>
        <w:ind w:left="626" w:right="291" w:hanging="389"/>
        <w:jc w:val="both"/>
        <w:rPr>
          <w:sz w:val="18"/>
        </w:rPr>
      </w:pPr>
      <w:r>
        <w:rPr>
          <w:sz w:val="18"/>
        </w:rPr>
        <w:t>Sborgia L, Recchimurzo N, Niro A, </w:t>
      </w:r>
      <w:r>
        <w:rPr>
          <w:i/>
          <w:sz w:val="18"/>
        </w:rPr>
        <w:t>et al</w:t>
      </w:r>
      <w:r>
        <w:rPr>
          <w:sz w:val="18"/>
        </w:rPr>
        <w:t>. SD-OCT and microperimetric</w:t>
      </w:r>
      <w:r>
        <w:rPr>
          <w:spacing w:val="-9"/>
          <w:sz w:val="18"/>
        </w:rPr>
        <w:t> </w:t>
      </w:r>
      <w:r>
        <w:rPr>
          <w:sz w:val="18"/>
        </w:rPr>
        <w:t>correlated</w:t>
      </w:r>
      <w:r>
        <w:rPr>
          <w:spacing w:val="-8"/>
          <w:sz w:val="18"/>
        </w:rPr>
        <w:t> </w:t>
      </w:r>
      <w:r>
        <w:rPr>
          <w:sz w:val="18"/>
        </w:rPr>
        <w:t>changes</w:t>
      </w:r>
      <w:r>
        <w:rPr>
          <w:spacing w:val="-9"/>
          <w:sz w:val="18"/>
        </w:rPr>
        <w:t> </w:t>
      </w:r>
      <w:r>
        <w:rPr>
          <w:sz w:val="18"/>
        </w:rPr>
        <w:t>inprogressive</w:t>
      </w:r>
      <w:r>
        <w:rPr>
          <w:spacing w:val="-9"/>
          <w:sz w:val="18"/>
        </w:rPr>
        <w:t> </w:t>
      </w:r>
      <w:r>
        <w:rPr>
          <w:sz w:val="18"/>
        </w:rPr>
        <w:t>X-linked retinoschisis after vitrectomy: a case report. </w:t>
      </w:r>
      <w:r>
        <w:rPr>
          <w:i/>
          <w:sz w:val="18"/>
        </w:rPr>
        <w:t>Retin Cases</w:t>
      </w:r>
      <w:r>
        <w:rPr>
          <w:i/>
          <w:sz w:val="18"/>
        </w:rPr>
        <w:t> Brief Rep </w:t>
      </w:r>
      <w:r>
        <w:rPr>
          <w:sz w:val="18"/>
        </w:rPr>
        <w:t>2016; 1(1): 101-105.</w:t>
      </w:r>
    </w:p>
    <w:p>
      <w:pPr>
        <w:pStyle w:val="ListParagraph"/>
        <w:numPr>
          <w:ilvl w:val="0"/>
          <w:numId w:val="15"/>
        </w:numPr>
        <w:tabs>
          <w:tab w:pos="627" w:val="left" w:leader="none"/>
        </w:tabs>
        <w:spacing w:line="240" w:lineRule="auto" w:before="0" w:after="0"/>
        <w:ind w:left="626" w:right="294" w:hanging="389"/>
        <w:jc w:val="both"/>
        <w:rPr>
          <w:sz w:val="18"/>
        </w:rPr>
      </w:pPr>
      <w:r>
        <w:rPr>
          <w:sz w:val="18"/>
        </w:rPr>
        <w:t>Leng</w:t>
      </w:r>
      <w:r>
        <w:rPr>
          <w:spacing w:val="-1"/>
          <w:sz w:val="18"/>
        </w:rPr>
        <w:t> </w:t>
      </w:r>
      <w:r>
        <w:rPr>
          <w:sz w:val="18"/>
        </w:rPr>
        <w:t>T.</w:t>
      </w:r>
      <w:r>
        <w:rPr>
          <w:spacing w:val="-1"/>
          <w:sz w:val="18"/>
        </w:rPr>
        <w:t> </w:t>
      </w:r>
      <w:r>
        <w:rPr>
          <w:sz w:val="18"/>
        </w:rPr>
        <w:t>Two</w:t>
      </w:r>
      <w:r>
        <w:rPr>
          <w:spacing w:val="-1"/>
          <w:sz w:val="18"/>
        </w:rPr>
        <w:t> </w:t>
      </w:r>
      <w:r>
        <w:rPr>
          <w:sz w:val="18"/>
        </w:rPr>
        <w:t>cases</w:t>
      </w:r>
      <w:r>
        <w:rPr>
          <w:spacing w:val="-2"/>
          <w:sz w:val="18"/>
        </w:rPr>
        <w:t> </w:t>
      </w:r>
      <w:r>
        <w:rPr>
          <w:sz w:val="18"/>
        </w:rPr>
        <w:t>of</w:t>
      </w:r>
      <w:r>
        <w:rPr>
          <w:spacing w:val="-4"/>
          <w:sz w:val="18"/>
        </w:rPr>
        <w:t> </w:t>
      </w:r>
      <w:r>
        <w:rPr>
          <w:sz w:val="18"/>
        </w:rPr>
        <w:t>X-linked</w:t>
      </w:r>
      <w:r>
        <w:rPr>
          <w:spacing w:val="-1"/>
          <w:sz w:val="18"/>
        </w:rPr>
        <w:t> </w:t>
      </w:r>
      <w:r>
        <w:rPr>
          <w:sz w:val="18"/>
        </w:rPr>
        <w:t>retinoschisis</w:t>
      </w:r>
      <w:r>
        <w:rPr>
          <w:spacing w:val="-2"/>
          <w:sz w:val="18"/>
        </w:rPr>
        <w:t> </w:t>
      </w:r>
      <w:r>
        <w:rPr>
          <w:sz w:val="18"/>
        </w:rPr>
        <w:t>with</w:t>
      </w:r>
      <w:r>
        <w:rPr>
          <w:spacing w:val="-3"/>
          <w:sz w:val="18"/>
        </w:rPr>
        <w:t> </w:t>
      </w:r>
      <w:r>
        <w:rPr>
          <w:sz w:val="18"/>
        </w:rPr>
        <w:t>different </w:t>
      </w:r>
      <w:r>
        <w:rPr>
          <w:spacing w:val="-2"/>
          <w:sz w:val="18"/>
        </w:rPr>
        <w:t>spectral</w:t>
      </w:r>
      <w:r>
        <w:rPr>
          <w:spacing w:val="-10"/>
          <w:sz w:val="18"/>
        </w:rPr>
        <w:t> </w:t>
      </w:r>
      <w:r>
        <w:rPr>
          <w:spacing w:val="-2"/>
          <w:sz w:val="18"/>
        </w:rPr>
        <w:t>domain</w:t>
      </w:r>
      <w:r>
        <w:rPr>
          <w:spacing w:val="-9"/>
          <w:sz w:val="18"/>
        </w:rPr>
        <w:t> </w:t>
      </w:r>
      <w:r>
        <w:rPr>
          <w:spacing w:val="-2"/>
          <w:sz w:val="18"/>
        </w:rPr>
        <w:t>optical</w:t>
      </w:r>
      <w:r>
        <w:rPr>
          <w:spacing w:val="-9"/>
          <w:sz w:val="18"/>
        </w:rPr>
        <w:t> </w:t>
      </w:r>
      <w:r>
        <w:rPr>
          <w:spacing w:val="-2"/>
          <w:sz w:val="18"/>
        </w:rPr>
        <w:t>coherence</w:t>
      </w:r>
      <w:r>
        <w:rPr>
          <w:spacing w:val="-9"/>
          <w:sz w:val="18"/>
        </w:rPr>
        <w:t> </w:t>
      </w:r>
      <w:r>
        <w:rPr>
          <w:spacing w:val="-2"/>
          <w:sz w:val="18"/>
        </w:rPr>
        <w:t>tomography</w:t>
      </w:r>
      <w:r>
        <w:rPr>
          <w:spacing w:val="-10"/>
          <w:sz w:val="18"/>
        </w:rPr>
        <w:t> </w:t>
      </w:r>
      <w:r>
        <w:rPr>
          <w:spacing w:val="-2"/>
          <w:sz w:val="18"/>
        </w:rPr>
        <w:t>findings.</w:t>
      </w:r>
      <w:r>
        <w:rPr>
          <w:spacing w:val="-9"/>
          <w:sz w:val="18"/>
        </w:rPr>
        <w:t> </w:t>
      </w:r>
      <w:r>
        <w:rPr>
          <w:i/>
          <w:spacing w:val="-2"/>
          <w:sz w:val="18"/>
        </w:rPr>
        <w:t>Clin</w:t>
      </w:r>
      <w:r>
        <w:rPr>
          <w:i/>
          <w:spacing w:val="-2"/>
          <w:sz w:val="18"/>
        </w:rPr>
        <w:t> </w:t>
      </w:r>
      <w:r>
        <w:rPr>
          <w:i/>
          <w:sz w:val="18"/>
        </w:rPr>
        <w:t>Ophthalmol </w:t>
      </w:r>
      <w:r>
        <w:rPr>
          <w:sz w:val="18"/>
        </w:rPr>
        <w:t>2012; 6: 1563-1565.</w:t>
      </w:r>
    </w:p>
    <w:p>
      <w:pPr>
        <w:pStyle w:val="ListParagraph"/>
        <w:numPr>
          <w:ilvl w:val="0"/>
          <w:numId w:val="15"/>
        </w:numPr>
        <w:tabs>
          <w:tab w:pos="627" w:val="left" w:leader="none"/>
        </w:tabs>
        <w:spacing w:line="240" w:lineRule="auto" w:before="1" w:after="0"/>
        <w:ind w:left="626" w:right="288" w:hanging="389"/>
        <w:jc w:val="both"/>
        <w:rPr>
          <w:sz w:val="18"/>
        </w:rPr>
      </w:pPr>
      <w:r>
        <w:rPr>
          <w:spacing w:val="-2"/>
          <w:w w:val="95"/>
          <w:sz w:val="18"/>
        </w:rPr>
        <w:t>Apushkin</w:t>
      </w:r>
      <w:r>
        <w:rPr>
          <w:spacing w:val="-5"/>
          <w:w w:val="95"/>
          <w:sz w:val="18"/>
        </w:rPr>
        <w:t> </w:t>
      </w:r>
      <w:r>
        <w:rPr>
          <w:spacing w:val="-2"/>
          <w:w w:val="95"/>
          <w:sz w:val="18"/>
        </w:rPr>
        <w:t>MA,</w:t>
      </w:r>
      <w:r>
        <w:rPr>
          <w:spacing w:val="-5"/>
          <w:w w:val="95"/>
          <w:sz w:val="18"/>
        </w:rPr>
        <w:t> </w:t>
      </w:r>
      <w:r>
        <w:rPr>
          <w:spacing w:val="-2"/>
          <w:w w:val="95"/>
          <w:sz w:val="18"/>
        </w:rPr>
        <w:t>Fishman GA,</w:t>
      </w:r>
      <w:r>
        <w:rPr>
          <w:spacing w:val="-3"/>
          <w:w w:val="95"/>
          <w:sz w:val="18"/>
        </w:rPr>
        <w:t> </w:t>
      </w:r>
      <w:r>
        <w:rPr>
          <w:spacing w:val="-2"/>
          <w:w w:val="95"/>
          <w:sz w:val="18"/>
        </w:rPr>
        <w:t>Rajagopalan AS.</w:t>
      </w:r>
      <w:r>
        <w:rPr>
          <w:spacing w:val="-5"/>
          <w:w w:val="95"/>
          <w:sz w:val="18"/>
        </w:rPr>
        <w:t> </w:t>
      </w:r>
      <w:r>
        <w:rPr>
          <w:spacing w:val="-2"/>
          <w:w w:val="95"/>
          <w:sz w:val="18"/>
        </w:rPr>
        <w:t>Fundus</w:t>
      </w:r>
      <w:r>
        <w:rPr>
          <w:spacing w:val="-4"/>
          <w:w w:val="95"/>
          <w:sz w:val="18"/>
        </w:rPr>
        <w:t> </w:t>
      </w:r>
      <w:r>
        <w:rPr>
          <w:spacing w:val="-2"/>
          <w:w w:val="95"/>
          <w:sz w:val="18"/>
        </w:rPr>
        <w:t>findings </w:t>
      </w:r>
      <w:r>
        <w:rPr>
          <w:sz w:val="18"/>
        </w:rPr>
        <w:t>and</w:t>
      </w:r>
      <w:r>
        <w:rPr>
          <w:spacing w:val="-1"/>
          <w:sz w:val="18"/>
        </w:rPr>
        <w:t> </w:t>
      </w:r>
      <w:r>
        <w:rPr>
          <w:sz w:val="18"/>
        </w:rPr>
        <w:t>longitudinal</w:t>
      </w:r>
      <w:r>
        <w:rPr>
          <w:spacing w:val="-2"/>
          <w:sz w:val="18"/>
        </w:rPr>
        <w:t> </w:t>
      </w:r>
      <w:r>
        <w:rPr>
          <w:sz w:val="18"/>
        </w:rPr>
        <w:t>study</w:t>
      </w:r>
      <w:r>
        <w:rPr>
          <w:spacing w:val="-6"/>
          <w:sz w:val="18"/>
        </w:rPr>
        <w:t> </w:t>
      </w:r>
      <w:r>
        <w:rPr>
          <w:sz w:val="18"/>
        </w:rPr>
        <w:t>of</w:t>
      </w:r>
      <w:r>
        <w:rPr>
          <w:spacing w:val="-4"/>
          <w:sz w:val="18"/>
        </w:rPr>
        <w:t> </w:t>
      </w:r>
      <w:r>
        <w:rPr>
          <w:sz w:val="18"/>
        </w:rPr>
        <w:t>visual</w:t>
      </w:r>
      <w:r>
        <w:rPr>
          <w:spacing w:val="-2"/>
          <w:sz w:val="18"/>
        </w:rPr>
        <w:t> </w:t>
      </w:r>
      <w:r>
        <w:rPr>
          <w:sz w:val="18"/>
        </w:rPr>
        <w:t>acuity</w:t>
      </w:r>
      <w:r>
        <w:rPr>
          <w:spacing w:val="-6"/>
          <w:sz w:val="18"/>
        </w:rPr>
        <w:t> </w:t>
      </w:r>
      <w:r>
        <w:rPr>
          <w:sz w:val="18"/>
        </w:rPr>
        <w:t>loss</w:t>
      </w:r>
      <w:r>
        <w:rPr>
          <w:spacing w:val="-3"/>
          <w:sz w:val="18"/>
        </w:rPr>
        <w:t> </w:t>
      </w:r>
      <w:r>
        <w:rPr>
          <w:sz w:val="18"/>
        </w:rPr>
        <w:t>in</w:t>
      </w:r>
      <w:r>
        <w:rPr>
          <w:spacing w:val="-1"/>
          <w:sz w:val="18"/>
        </w:rPr>
        <w:t> </w:t>
      </w:r>
      <w:r>
        <w:rPr>
          <w:sz w:val="18"/>
        </w:rPr>
        <w:t>patients</w:t>
      </w:r>
      <w:r>
        <w:rPr>
          <w:spacing w:val="-2"/>
          <w:sz w:val="18"/>
        </w:rPr>
        <w:t> </w:t>
      </w:r>
      <w:r>
        <w:rPr>
          <w:sz w:val="18"/>
        </w:rPr>
        <w:t>with X-linked retinoschisis. </w:t>
      </w:r>
      <w:r>
        <w:rPr>
          <w:i/>
          <w:sz w:val="18"/>
        </w:rPr>
        <w:t>Retina </w:t>
      </w:r>
      <w:r>
        <w:rPr>
          <w:sz w:val="18"/>
        </w:rPr>
        <w:t>2005; 25: 612-618.</w:t>
      </w:r>
    </w:p>
    <w:p>
      <w:pPr>
        <w:pStyle w:val="ListParagraph"/>
        <w:numPr>
          <w:ilvl w:val="0"/>
          <w:numId w:val="15"/>
        </w:numPr>
        <w:tabs>
          <w:tab w:pos="627" w:val="left" w:leader="none"/>
        </w:tabs>
        <w:spacing w:line="240" w:lineRule="auto" w:before="0" w:after="0"/>
        <w:ind w:left="626" w:right="290" w:hanging="389"/>
        <w:jc w:val="both"/>
        <w:rPr>
          <w:sz w:val="18"/>
        </w:rPr>
      </w:pPr>
      <w:r>
        <w:rPr>
          <w:sz w:val="18"/>
        </w:rPr>
        <w:t>Bowles K, Cukras C, Turriff A, </w:t>
      </w:r>
      <w:r>
        <w:rPr>
          <w:i/>
          <w:sz w:val="18"/>
        </w:rPr>
        <w:t>et al</w:t>
      </w:r>
      <w:r>
        <w:rPr>
          <w:sz w:val="18"/>
        </w:rPr>
        <w:t>. X-linked retino- schisis: RS1 mutation severity and age affect the ERG phenotype in a cohort of 68 affected male subjects. </w:t>
      </w:r>
      <w:r>
        <w:rPr>
          <w:i/>
          <w:sz w:val="18"/>
        </w:rPr>
        <w:t>Invest</w:t>
      </w:r>
      <w:r>
        <w:rPr>
          <w:i/>
          <w:sz w:val="18"/>
        </w:rPr>
        <w:t> Ophthalmol Vis Sci </w:t>
      </w:r>
      <w:r>
        <w:rPr>
          <w:sz w:val="18"/>
        </w:rPr>
        <w:t>2011; 52: 9250-9256.</w:t>
      </w:r>
    </w:p>
    <w:p>
      <w:pPr>
        <w:pStyle w:val="ListParagraph"/>
        <w:numPr>
          <w:ilvl w:val="0"/>
          <w:numId w:val="15"/>
        </w:numPr>
        <w:tabs>
          <w:tab w:pos="627" w:val="left" w:leader="none"/>
        </w:tabs>
        <w:spacing w:line="240" w:lineRule="auto" w:before="0" w:after="0"/>
        <w:ind w:left="626" w:right="290" w:hanging="389"/>
        <w:jc w:val="both"/>
        <w:rPr>
          <w:sz w:val="18"/>
        </w:rPr>
      </w:pPr>
      <w:r>
        <w:rPr>
          <w:sz w:val="18"/>
        </w:rPr>
        <w:t>Schulman</w:t>
      </w:r>
      <w:r>
        <w:rPr>
          <w:spacing w:val="-12"/>
          <w:sz w:val="18"/>
        </w:rPr>
        <w:t> </w:t>
      </w:r>
      <w:r>
        <w:rPr>
          <w:sz w:val="18"/>
        </w:rPr>
        <w:t>J,</w:t>
      </w:r>
      <w:r>
        <w:rPr>
          <w:spacing w:val="-11"/>
          <w:sz w:val="18"/>
        </w:rPr>
        <w:t> </w:t>
      </w:r>
      <w:r>
        <w:rPr>
          <w:sz w:val="18"/>
        </w:rPr>
        <w:t>Pevman</w:t>
      </w:r>
      <w:r>
        <w:rPr>
          <w:spacing w:val="-11"/>
          <w:sz w:val="18"/>
        </w:rPr>
        <w:t> </w:t>
      </w:r>
      <w:r>
        <w:rPr>
          <w:sz w:val="18"/>
        </w:rPr>
        <w:t>GA,</w:t>
      </w:r>
      <w:r>
        <w:rPr>
          <w:spacing w:val="-11"/>
          <w:sz w:val="18"/>
        </w:rPr>
        <w:t> </w:t>
      </w:r>
      <w:r>
        <w:rPr>
          <w:sz w:val="18"/>
        </w:rPr>
        <w:t>Jednock</w:t>
      </w:r>
      <w:r>
        <w:rPr>
          <w:spacing w:val="-12"/>
          <w:sz w:val="18"/>
        </w:rPr>
        <w:t> </w:t>
      </w:r>
      <w:r>
        <w:rPr>
          <w:sz w:val="18"/>
        </w:rPr>
        <w:t>N,</w:t>
      </w:r>
      <w:r>
        <w:rPr>
          <w:spacing w:val="-11"/>
          <w:sz w:val="18"/>
        </w:rPr>
        <w:t> </w:t>
      </w:r>
      <w:r>
        <w:rPr>
          <w:sz w:val="18"/>
        </w:rPr>
        <w:t>Larson</w:t>
      </w:r>
      <w:r>
        <w:rPr>
          <w:spacing w:val="-11"/>
          <w:sz w:val="18"/>
        </w:rPr>
        <w:t> </w:t>
      </w:r>
      <w:r>
        <w:rPr>
          <w:sz w:val="18"/>
        </w:rPr>
        <w:t>B.</w:t>
      </w:r>
      <w:r>
        <w:rPr>
          <w:spacing w:val="-11"/>
          <w:sz w:val="18"/>
        </w:rPr>
        <w:t> </w:t>
      </w:r>
      <w:r>
        <w:rPr>
          <w:sz w:val="18"/>
        </w:rPr>
        <w:t>Indications </w:t>
      </w:r>
      <w:r>
        <w:rPr>
          <w:spacing w:val="-4"/>
          <w:w w:val="95"/>
          <w:sz w:val="18"/>
        </w:rPr>
        <w:t>for</w:t>
      </w:r>
      <w:r>
        <w:rPr>
          <w:spacing w:val="-5"/>
          <w:w w:val="95"/>
          <w:sz w:val="18"/>
        </w:rPr>
        <w:t> </w:t>
      </w:r>
      <w:r>
        <w:rPr>
          <w:spacing w:val="-4"/>
          <w:w w:val="95"/>
          <w:sz w:val="18"/>
        </w:rPr>
        <w:t>vitrectomy</w:t>
      </w:r>
      <w:r>
        <w:rPr>
          <w:spacing w:val="-5"/>
          <w:w w:val="95"/>
          <w:sz w:val="18"/>
        </w:rPr>
        <w:t> </w:t>
      </w:r>
      <w:r>
        <w:rPr>
          <w:spacing w:val="-4"/>
          <w:w w:val="95"/>
          <w:sz w:val="18"/>
        </w:rPr>
        <w:t>in</w:t>
      </w:r>
      <w:r>
        <w:rPr>
          <w:spacing w:val="-5"/>
          <w:w w:val="95"/>
          <w:sz w:val="18"/>
        </w:rPr>
        <w:t> </w:t>
      </w:r>
      <w:r>
        <w:rPr>
          <w:spacing w:val="-4"/>
          <w:w w:val="95"/>
          <w:sz w:val="18"/>
        </w:rPr>
        <w:t>congenital</w:t>
      </w:r>
      <w:r>
        <w:rPr>
          <w:spacing w:val="-5"/>
          <w:w w:val="95"/>
          <w:sz w:val="18"/>
        </w:rPr>
        <w:t> </w:t>
      </w:r>
      <w:r>
        <w:rPr>
          <w:spacing w:val="-4"/>
          <w:w w:val="95"/>
          <w:sz w:val="18"/>
        </w:rPr>
        <w:t>retinoschisis.</w:t>
      </w:r>
      <w:r>
        <w:rPr>
          <w:spacing w:val="-5"/>
          <w:w w:val="95"/>
          <w:sz w:val="18"/>
        </w:rPr>
        <w:t> </w:t>
      </w:r>
      <w:r>
        <w:rPr>
          <w:i/>
          <w:spacing w:val="-4"/>
          <w:w w:val="95"/>
          <w:sz w:val="18"/>
        </w:rPr>
        <w:t>Br</w:t>
      </w:r>
      <w:r>
        <w:rPr>
          <w:i/>
          <w:spacing w:val="-5"/>
          <w:w w:val="95"/>
          <w:sz w:val="18"/>
        </w:rPr>
        <w:t> </w:t>
      </w:r>
      <w:r>
        <w:rPr>
          <w:i/>
          <w:spacing w:val="-4"/>
          <w:w w:val="95"/>
          <w:sz w:val="18"/>
        </w:rPr>
        <w:t>J</w:t>
      </w:r>
      <w:r>
        <w:rPr>
          <w:i/>
          <w:spacing w:val="-5"/>
          <w:w w:val="95"/>
          <w:sz w:val="18"/>
        </w:rPr>
        <w:t> </w:t>
      </w:r>
      <w:r>
        <w:rPr>
          <w:i/>
          <w:spacing w:val="-4"/>
          <w:w w:val="95"/>
          <w:sz w:val="18"/>
        </w:rPr>
        <w:t>Ophthalmol</w:t>
      </w:r>
      <w:r>
        <w:rPr>
          <w:i/>
          <w:spacing w:val="-1"/>
          <w:sz w:val="18"/>
        </w:rPr>
        <w:t> </w:t>
      </w:r>
      <w:r>
        <w:rPr>
          <w:spacing w:val="-4"/>
          <w:w w:val="95"/>
          <w:sz w:val="18"/>
        </w:rPr>
        <w:t>1985;</w:t>
      </w:r>
      <w:r>
        <w:rPr>
          <w:w w:val="95"/>
          <w:sz w:val="18"/>
        </w:rPr>
        <w:t> </w:t>
      </w:r>
      <w:r>
        <w:rPr>
          <w:sz w:val="18"/>
        </w:rPr>
        <w:t>69(7): 482-486.</w:t>
      </w:r>
    </w:p>
    <w:p>
      <w:pPr>
        <w:pStyle w:val="ListParagraph"/>
        <w:numPr>
          <w:ilvl w:val="0"/>
          <w:numId w:val="15"/>
        </w:numPr>
        <w:tabs>
          <w:tab w:pos="627" w:val="left" w:leader="none"/>
        </w:tabs>
        <w:spacing w:line="240" w:lineRule="auto" w:before="0" w:after="0"/>
        <w:ind w:left="626" w:right="293" w:hanging="389"/>
        <w:jc w:val="both"/>
        <w:rPr>
          <w:sz w:val="18"/>
        </w:rPr>
      </w:pPr>
      <w:r>
        <w:rPr>
          <w:sz w:val="18"/>
        </w:rPr>
        <w:t>Al-Swaina N, Nowilaty SR. Macular hole in juvenile X- </w:t>
      </w:r>
      <w:r>
        <w:rPr>
          <w:spacing w:val="-6"/>
          <w:sz w:val="18"/>
        </w:rPr>
        <w:t>linked retinoschisis. </w:t>
      </w:r>
      <w:r>
        <w:rPr>
          <w:i/>
          <w:spacing w:val="-6"/>
          <w:sz w:val="18"/>
        </w:rPr>
        <w:t>Saudi J Ophthalmol </w:t>
      </w:r>
      <w:r>
        <w:rPr>
          <w:spacing w:val="-6"/>
          <w:sz w:val="18"/>
        </w:rPr>
        <w:t>2013; 27(4): 283-286.</w:t>
      </w:r>
    </w:p>
    <w:p>
      <w:pPr>
        <w:pStyle w:val="ListParagraph"/>
        <w:numPr>
          <w:ilvl w:val="0"/>
          <w:numId w:val="15"/>
        </w:numPr>
        <w:tabs>
          <w:tab w:pos="627" w:val="left" w:leader="none"/>
        </w:tabs>
        <w:spacing w:line="240" w:lineRule="auto" w:before="0" w:after="0"/>
        <w:ind w:left="626" w:right="290" w:hanging="389"/>
        <w:jc w:val="both"/>
        <w:rPr>
          <w:sz w:val="18"/>
        </w:rPr>
      </w:pPr>
      <w:r>
        <w:rPr>
          <w:sz w:val="18"/>
        </w:rPr>
        <w:t>Iordanous Y, Sheidow TG. Vitrectomy for X-linked reti- noschisis: a case report and literature review.</w:t>
      </w:r>
      <w:r>
        <w:rPr>
          <w:spacing w:val="-1"/>
          <w:sz w:val="18"/>
        </w:rPr>
        <w:t> </w:t>
      </w:r>
      <w:r>
        <w:rPr>
          <w:i/>
          <w:sz w:val="18"/>
        </w:rPr>
        <w:t>Can J</w:t>
      </w:r>
      <w:r>
        <w:rPr>
          <w:i/>
          <w:sz w:val="18"/>
        </w:rPr>
        <w:t> Ophthalmol</w:t>
      </w:r>
      <w:r>
        <w:rPr>
          <w:i/>
          <w:spacing w:val="23"/>
          <w:sz w:val="18"/>
        </w:rPr>
        <w:t> </w:t>
      </w:r>
      <w:r>
        <w:rPr>
          <w:sz w:val="18"/>
        </w:rPr>
        <w:t>2013;</w:t>
      </w:r>
      <w:r>
        <w:rPr>
          <w:spacing w:val="22"/>
          <w:sz w:val="18"/>
        </w:rPr>
        <w:t> </w:t>
      </w:r>
      <w:r>
        <w:rPr>
          <w:sz w:val="18"/>
        </w:rPr>
        <w:t>48(4):</w:t>
      </w:r>
      <w:r>
        <w:rPr>
          <w:spacing w:val="23"/>
          <w:sz w:val="18"/>
        </w:rPr>
        <w:t> </w:t>
      </w:r>
      <w:r>
        <w:rPr>
          <w:sz w:val="18"/>
        </w:rPr>
        <w:t>e71-e74.</w:t>
      </w:r>
      <w:r>
        <w:rPr>
          <w:spacing w:val="23"/>
          <w:sz w:val="18"/>
        </w:rPr>
        <w:t> </w:t>
      </w:r>
      <w:r>
        <w:rPr>
          <w:sz w:val="18"/>
        </w:rPr>
        <w:t>doi.org/10.1016/j.jcjo.</w:t>
      </w:r>
    </w:p>
    <w:p>
      <w:pPr>
        <w:spacing w:line="206" w:lineRule="exact" w:before="0"/>
        <w:ind w:left="626" w:right="0" w:firstLine="0"/>
        <w:jc w:val="left"/>
        <w:rPr>
          <w:sz w:val="18"/>
        </w:rPr>
      </w:pPr>
      <w:r>
        <w:rPr>
          <w:spacing w:val="-2"/>
          <w:sz w:val="18"/>
        </w:rPr>
        <w:t>2013.01.019</w:t>
      </w:r>
    </w:p>
    <w:p>
      <w:pPr>
        <w:pStyle w:val="ListParagraph"/>
        <w:numPr>
          <w:ilvl w:val="0"/>
          <w:numId w:val="15"/>
        </w:numPr>
        <w:tabs>
          <w:tab w:pos="627" w:val="left" w:leader="none"/>
        </w:tabs>
        <w:spacing w:line="240" w:lineRule="auto" w:before="2" w:after="0"/>
        <w:ind w:left="626" w:right="290" w:hanging="389"/>
        <w:jc w:val="both"/>
        <w:rPr>
          <w:sz w:val="18"/>
        </w:rPr>
      </w:pPr>
      <w:r>
        <w:rPr>
          <w:sz w:val="18"/>
        </w:rPr>
        <w:t>Goel N, Ghosh B. Temporary resolution of foveal schisis following vitrectomy with silicon oil tamponade in X- linked retinoschisis with retinal detachment. </w:t>
      </w:r>
      <w:r>
        <w:rPr>
          <w:i/>
          <w:sz w:val="18"/>
        </w:rPr>
        <w:t>Indian J</w:t>
      </w:r>
      <w:r>
        <w:rPr>
          <w:i/>
          <w:sz w:val="18"/>
        </w:rPr>
        <w:t> Ophthalmol</w:t>
      </w:r>
      <w:r>
        <w:rPr>
          <w:i/>
          <w:spacing w:val="40"/>
          <w:sz w:val="18"/>
        </w:rPr>
        <w:t> </w:t>
      </w:r>
      <w:r>
        <w:rPr>
          <w:sz w:val="18"/>
        </w:rPr>
        <w:t>2015;</w:t>
      </w:r>
      <w:r>
        <w:rPr>
          <w:spacing w:val="40"/>
          <w:sz w:val="18"/>
        </w:rPr>
        <w:t> </w:t>
      </w:r>
      <w:r>
        <w:rPr>
          <w:sz w:val="18"/>
        </w:rPr>
        <w:t>63(11):</w:t>
      </w:r>
      <w:r>
        <w:rPr>
          <w:spacing w:val="40"/>
          <w:sz w:val="18"/>
        </w:rPr>
        <w:t> </w:t>
      </w:r>
      <w:r>
        <w:rPr>
          <w:sz w:val="18"/>
        </w:rPr>
        <w:t>867-868.</w:t>
      </w:r>
      <w:r>
        <w:rPr>
          <w:spacing w:val="40"/>
          <w:sz w:val="18"/>
        </w:rPr>
        <w:t> </w:t>
      </w:r>
      <w:r>
        <w:rPr>
          <w:sz w:val="18"/>
        </w:rPr>
        <w:t>doi:10.4103/0301-</w:t>
      </w:r>
    </w:p>
    <w:p>
      <w:pPr>
        <w:spacing w:line="207" w:lineRule="exact" w:before="0"/>
        <w:ind w:left="626" w:right="0" w:firstLine="0"/>
        <w:jc w:val="left"/>
        <w:rPr>
          <w:sz w:val="18"/>
        </w:rPr>
      </w:pPr>
      <w:r>
        <w:rPr>
          <w:spacing w:val="-2"/>
          <w:sz w:val="18"/>
        </w:rPr>
        <w:t>4738.171973</w:t>
      </w:r>
    </w:p>
    <w:p>
      <w:pPr>
        <w:pStyle w:val="ListParagraph"/>
        <w:numPr>
          <w:ilvl w:val="0"/>
          <w:numId w:val="15"/>
        </w:numPr>
        <w:tabs>
          <w:tab w:pos="627" w:val="left" w:leader="none"/>
        </w:tabs>
        <w:spacing w:line="240" w:lineRule="auto" w:before="0" w:after="0"/>
        <w:ind w:left="626" w:right="293" w:hanging="389"/>
        <w:jc w:val="both"/>
        <w:rPr>
          <w:sz w:val="18"/>
        </w:rPr>
      </w:pPr>
      <w:r>
        <w:rPr>
          <w:sz w:val="18"/>
        </w:rPr>
        <w:t>Ikeda F, Iida T, Kishi S. Resolution of retinoschisis after vitreous surgery in X-linked retinoschisis. </w:t>
      </w:r>
      <w:r>
        <w:rPr>
          <w:i/>
          <w:sz w:val="18"/>
        </w:rPr>
        <w:t>Ophthalmology</w:t>
      </w:r>
      <w:r>
        <w:rPr>
          <w:i/>
          <w:sz w:val="18"/>
        </w:rPr>
        <w:t> </w:t>
      </w:r>
      <w:r>
        <w:rPr>
          <w:sz w:val="18"/>
        </w:rPr>
        <w:t>2008; 115: 718-722.</w:t>
      </w:r>
    </w:p>
    <w:p>
      <w:pPr>
        <w:pStyle w:val="ListParagraph"/>
        <w:numPr>
          <w:ilvl w:val="0"/>
          <w:numId w:val="15"/>
        </w:numPr>
        <w:tabs>
          <w:tab w:pos="627" w:val="left" w:leader="none"/>
        </w:tabs>
        <w:spacing w:line="240" w:lineRule="auto" w:before="0" w:after="0"/>
        <w:ind w:left="626" w:right="291" w:hanging="389"/>
        <w:jc w:val="both"/>
        <w:rPr>
          <w:sz w:val="18"/>
        </w:rPr>
      </w:pPr>
      <w:r>
        <w:rPr>
          <w:sz w:val="18"/>
        </w:rPr>
        <w:t>Roca Cabrera P, Pareja Rios AC, Cordoves Dorta L, </w:t>
      </w:r>
      <w:r>
        <w:rPr>
          <w:i/>
          <w:sz w:val="18"/>
        </w:rPr>
        <w:t>et al</w:t>
      </w:r>
      <w:r>
        <w:rPr>
          <w:sz w:val="18"/>
        </w:rPr>
        <w:t>. A</w:t>
      </w:r>
      <w:r>
        <w:rPr>
          <w:spacing w:val="-2"/>
          <w:sz w:val="18"/>
        </w:rPr>
        <w:t> </w:t>
      </w:r>
      <w:r>
        <w:rPr>
          <w:sz w:val="18"/>
        </w:rPr>
        <w:t>combination</w:t>
      </w:r>
      <w:r>
        <w:rPr>
          <w:spacing w:val="-1"/>
          <w:sz w:val="18"/>
        </w:rPr>
        <w:t> </w:t>
      </w:r>
      <w:r>
        <w:rPr>
          <w:sz w:val="18"/>
        </w:rPr>
        <w:t>of</w:t>
      </w:r>
      <w:r>
        <w:rPr>
          <w:spacing w:val="-4"/>
          <w:sz w:val="18"/>
        </w:rPr>
        <w:t> </w:t>
      </w:r>
      <w:r>
        <w:rPr>
          <w:sz w:val="18"/>
        </w:rPr>
        <w:t>topical</w:t>
      </w:r>
      <w:r>
        <w:rPr>
          <w:spacing w:val="-1"/>
          <w:sz w:val="18"/>
        </w:rPr>
        <w:t> </w:t>
      </w:r>
      <w:r>
        <w:rPr>
          <w:sz w:val="18"/>
        </w:rPr>
        <w:t>and</w:t>
      </w:r>
      <w:r>
        <w:rPr>
          <w:spacing w:val="-1"/>
          <w:sz w:val="18"/>
        </w:rPr>
        <w:t> </w:t>
      </w:r>
      <w:r>
        <w:rPr>
          <w:sz w:val="18"/>
        </w:rPr>
        <w:t>systemic</w:t>
      </w:r>
      <w:r>
        <w:rPr>
          <w:spacing w:val="-2"/>
          <w:sz w:val="18"/>
        </w:rPr>
        <w:t> </w:t>
      </w:r>
      <w:r>
        <w:rPr>
          <w:sz w:val="18"/>
        </w:rPr>
        <w:t>carbonic</w:t>
      </w:r>
      <w:r>
        <w:rPr>
          <w:spacing w:val="-2"/>
          <w:sz w:val="18"/>
        </w:rPr>
        <w:t> </w:t>
      </w:r>
      <w:r>
        <w:rPr>
          <w:sz w:val="18"/>
        </w:rPr>
        <w:t>anhydrase in the treatment of chromosome X-linked retinoschisis. </w:t>
      </w:r>
      <w:r>
        <w:rPr>
          <w:i/>
          <w:sz w:val="18"/>
        </w:rPr>
        <w:t>Arch Soc Esp Ophtalmol </w:t>
      </w:r>
      <w:r>
        <w:rPr>
          <w:sz w:val="18"/>
        </w:rPr>
        <w:t>2014; 89: 320-323.</w:t>
      </w:r>
    </w:p>
    <w:p>
      <w:pPr>
        <w:spacing w:after="0" w:line="240" w:lineRule="auto"/>
        <w:jc w:val="both"/>
        <w:rPr>
          <w:sz w:val="18"/>
        </w:rPr>
        <w:sectPr>
          <w:type w:val="continuous"/>
          <w:pgSz w:w="11910" w:h="16840"/>
          <w:pgMar w:header="854" w:footer="0" w:top="740" w:bottom="0" w:left="900" w:right="840"/>
          <w:cols w:num="2" w:equalWidth="0">
            <w:col w:w="4921" w:space="76"/>
            <w:col w:w="5173"/>
          </w:cols>
        </w:sectPr>
      </w:pPr>
    </w:p>
    <w:p>
      <w:pPr>
        <w:tabs>
          <w:tab w:pos="9203" w:val="left" w:leader="none"/>
        </w:tabs>
        <w:spacing w:before="75"/>
        <w:ind w:left="238" w:right="0" w:firstLine="0"/>
        <w:jc w:val="left"/>
        <w:rPr>
          <w:rFonts w:ascii="Courier New"/>
          <w:sz w:val="48"/>
        </w:rPr>
      </w:pPr>
      <w:r>
        <w:rPr/>
        <w:pict>
          <v:shape style="position:absolute;margin-left:528.580017pt;margin-top:4.037615pt;width:10.1pt;height:11.05pt;mso-position-horizontal-relative:page;mso-position-vertical-relative:paragraph;z-index:-17621504" type="#_x0000_t202" id="docshape618" filled="false" stroked="false">
            <v:textbox inset="0,0,0,0">
              <w:txbxContent>
                <w:p>
                  <w:pPr>
                    <w:spacing w:line="221" w:lineRule="exact" w:before="0"/>
                    <w:ind w:left="0" w:right="0" w:firstLine="0"/>
                    <w:jc w:val="left"/>
                    <w:rPr>
                      <w:sz w:val="20"/>
                    </w:rPr>
                  </w:pPr>
                  <w:r>
                    <w:rPr>
                      <w:spacing w:val="-5"/>
                      <w:sz w:val="20"/>
                    </w:rPr>
                    <w:t>48</w:t>
                  </w:r>
                </w:p>
              </w:txbxContent>
            </v:textbox>
            <w10:wrap type="none"/>
          </v:shape>
        </w:pict>
      </w: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48-</w:t>
      </w:r>
      <w:r>
        <w:rPr>
          <w:spacing w:val="-5"/>
          <w:w w:val="105"/>
          <w:sz w:val="24"/>
        </w:rPr>
        <w:t>48</w:t>
      </w:r>
      <w:r>
        <w:rPr>
          <w:sz w:val="24"/>
        </w:rPr>
        <w:tab/>
      </w:r>
      <w:r>
        <w:rPr>
          <w:rFonts w:ascii="Courier New"/>
          <w:color w:val="999999"/>
          <w:spacing w:val="-5"/>
          <w:w w:val="105"/>
          <w:position w:val="-23"/>
          <w:sz w:val="48"/>
        </w:rPr>
        <w:t>MMP</w:t>
      </w:r>
    </w:p>
    <w:p>
      <w:pPr>
        <w:spacing w:before="218"/>
        <w:ind w:left="238" w:right="0" w:firstLine="0"/>
        <w:jc w:val="left"/>
        <w:rPr>
          <w:i/>
          <w:sz w:val="24"/>
        </w:rPr>
      </w:pPr>
      <w:r>
        <w:rPr>
          <w:i/>
          <w:sz w:val="24"/>
        </w:rPr>
        <w:t>In</w:t>
      </w:r>
      <w:r>
        <w:rPr>
          <w:i/>
          <w:spacing w:val="57"/>
          <w:sz w:val="24"/>
        </w:rPr>
        <w:t> </w:t>
      </w:r>
      <w:r>
        <w:rPr>
          <w:i/>
          <w:spacing w:val="-2"/>
          <w:sz w:val="24"/>
        </w:rPr>
        <w:t>memoriam</w:t>
      </w:r>
    </w:p>
    <w:p>
      <w:pPr>
        <w:pStyle w:val="BodyText"/>
        <w:spacing w:before="7"/>
        <w:rPr>
          <w:i/>
        </w:rPr>
      </w:pPr>
    </w:p>
    <w:p>
      <w:pPr>
        <w:pStyle w:val="Heading4"/>
        <w:ind w:left="4529" w:right="3043" w:hanging="1541"/>
      </w:pPr>
      <w:r>
        <w:rPr/>
        <w:t>ПРИМАРИУС</w:t>
      </w:r>
      <w:r>
        <w:rPr>
          <w:spacing w:val="40"/>
        </w:rPr>
        <w:t> </w:t>
      </w:r>
      <w:r>
        <w:rPr/>
        <w:t>Д-Р</w:t>
      </w:r>
      <w:r>
        <w:rPr>
          <w:spacing w:val="40"/>
        </w:rPr>
        <w:t> </w:t>
      </w:r>
      <w:r>
        <w:rPr/>
        <w:t>СТЕФЧЕ</w:t>
      </w:r>
      <w:r>
        <w:rPr>
          <w:spacing w:val="40"/>
        </w:rPr>
        <w:t> </w:t>
      </w:r>
      <w:r>
        <w:rPr/>
        <w:t>БОЈАЏИЕВ </w:t>
      </w:r>
      <w:r>
        <w:rPr>
          <w:spacing w:val="-2"/>
        </w:rPr>
        <w:t>(1947-2021)</w:t>
      </w:r>
    </w:p>
    <w:p>
      <w:pPr>
        <w:pStyle w:val="BodyText"/>
        <w:spacing w:before="7"/>
        <w:rPr>
          <w:b/>
          <w:sz w:val="12"/>
        </w:rPr>
      </w:pPr>
    </w:p>
    <w:p>
      <w:pPr>
        <w:spacing w:after="0"/>
        <w:rPr>
          <w:sz w:val="12"/>
        </w:rPr>
        <w:sectPr>
          <w:headerReference w:type="even" r:id="rId548"/>
          <w:pgSz w:w="11910" w:h="16840"/>
          <w:pgMar w:header="0" w:footer="0" w:top="760" w:bottom="280" w:left="900" w:right="840"/>
        </w:sectPr>
      </w:pPr>
    </w:p>
    <w:p>
      <w:pPr>
        <w:pStyle w:val="BodyText"/>
        <w:spacing w:before="3"/>
        <w:rPr>
          <w:b/>
          <w:sz w:val="8"/>
        </w:rPr>
      </w:pPr>
      <w:r>
        <w:rPr/>
        <w:pict>
          <v:rect style="position:absolute;margin-left:497.899994pt;margin-top:41.649994pt;width:81pt;height:31.8pt;mso-position-horizontal-relative:page;mso-position-vertical-relative:page;z-index:-17620992" id="docshape619" filled="true" fillcolor="#ffffff" stroked="false">
            <v:fill type="solid"/>
            <w10:wrap type="none"/>
          </v:rect>
        </w:pict>
      </w:r>
    </w:p>
    <w:p>
      <w:pPr>
        <w:pStyle w:val="BodyText"/>
        <w:ind w:left="276"/>
        <w:rPr>
          <w:sz w:val="20"/>
        </w:rPr>
      </w:pPr>
      <w:r>
        <w:rPr>
          <w:sz w:val="20"/>
        </w:rPr>
        <w:drawing>
          <wp:inline distT="0" distB="0" distL="0" distR="0">
            <wp:extent cx="2891194" cy="2167128"/>
            <wp:effectExtent l="0" t="0" r="0" b="0"/>
            <wp:docPr id="35" name="image461.png"/>
            <wp:cNvGraphicFramePr>
              <a:graphicFrameLocks noChangeAspect="1"/>
            </wp:cNvGraphicFramePr>
            <a:graphic>
              <a:graphicData uri="http://schemas.openxmlformats.org/drawingml/2006/picture">
                <pic:pic>
                  <pic:nvPicPr>
                    <pic:cNvPr id="36" name="image461.png"/>
                    <pic:cNvPicPr/>
                  </pic:nvPicPr>
                  <pic:blipFill>
                    <a:blip r:embed="rId549" cstate="print"/>
                    <a:stretch>
                      <a:fillRect/>
                    </a:stretch>
                  </pic:blipFill>
                  <pic:spPr>
                    <a:xfrm>
                      <a:off x="0" y="0"/>
                      <a:ext cx="2891194" cy="2167128"/>
                    </a:xfrm>
                    <a:prstGeom prst="rect">
                      <a:avLst/>
                    </a:prstGeom>
                  </pic:spPr>
                </pic:pic>
              </a:graphicData>
            </a:graphic>
          </wp:inline>
        </w:drawing>
      </w:r>
      <w:r>
        <w:rPr>
          <w:sz w:val="20"/>
        </w:rPr>
      </w:r>
    </w:p>
    <w:p>
      <w:pPr>
        <w:pStyle w:val="BodyText"/>
        <w:spacing w:before="1"/>
        <w:rPr>
          <w:b/>
        </w:rPr>
      </w:pPr>
    </w:p>
    <w:p>
      <w:pPr>
        <w:pStyle w:val="BodyText"/>
        <w:ind w:left="238"/>
        <w:jc w:val="both"/>
      </w:pPr>
      <w:r>
        <w:rPr/>
        <w:t>На</w:t>
      </w:r>
      <w:r>
        <w:rPr>
          <w:spacing w:val="-5"/>
        </w:rPr>
        <w:t> </w:t>
      </w:r>
      <w:r>
        <w:rPr/>
        <w:t>28</w:t>
      </w:r>
      <w:r>
        <w:rPr>
          <w:spacing w:val="-6"/>
        </w:rPr>
        <w:t> </w:t>
      </w:r>
      <w:r>
        <w:rPr/>
        <w:t>Април</w:t>
      </w:r>
      <w:r>
        <w:rPr>
          <w:spacing w:val="-3"/>
        </w:rPr>
        <w:t> </w:t>
      </w:r>
      <w:r>
        <w:rPr/>
        <w:t>2021</w:t>
      </w:r>
      <w:r>
        <w:rPr>
          <w:spacing w:val="-2"/>
        </w:rPr>
        <w:t> </w:t>
      </w:r>
      <w:r>
        <w:rPr/>
        <w:t>година</w:t>
      </w:r>
      <w:r>
        <w:rPr>
          <w:spacing w:val="-3"/>
        </w:rPr>
        <w:t> </w:t>
      </w:r>
      <w:r>
        <w:rPr/>
        <w:t>по</w:t>
      </w:r>
      <w:r>
        <w:rPr>
          <w:spacing w:val="-3"/>
        </w:rPr>
        <w:t> </w:t>
      </w:r>
      <w:r>
        <w:rPr/>
        <w:t>кратко</w:t>
      </w:r>
      <w:r>
        <w:rPr>
          <w:spacing w:val="-5"/>
        </w:rPr>
        <w:t> </w:t>
      </w:r>
      <w:r>
        <w:rPr/>
        <w:t>боледување,</w:t>
      </w:r>
      <w:r>
        <w:rPr>
          <w:spacing w:val="-2"/>
        </w:rPr>
        <w:t> </w:t>
      </w:r>
      <w:r>
        <w:rPr>
          <w:spacing w:val="-5"/>
        </w:rPr>
        <w:t>во</w:t>
      </w:r>
    </w:p>
    <w:p>
      <w:pPr>
        <w:pStyle w:val="BodyText"/>
        <w:spacing w:before="1"/>
        <w:ind w:left="238" w:right="40"/>
        <w:jc w:val="both"/>
      </w:pPr>
      <w:r>
        <w:rPr/>
        <w:t>74 година од животот, почина примариус д-р Стефче Бојаџиев.</w:t>
      </w:r>
    </w:p>
    <w:p>
      <w:pPr>
        <w:pStyle w:val="BodyText"/>
        <w:ind w:left="238" w:right="38"/>
        <w:jc w:val="both"/>
      </w:pPr>
      <w:r>
        <w:rPr/>
        <w:t>Роден е на 26 септември 1947 година во Битола, </w:t>
      </w:r>
      <w:r>
        <w:rPr>
          <w:spacing w:val="-2"/>
        </w:rPr>
        <w:t>каде</w:t>
      </w:r>
      <w:r>
        <w:rPr>
          <w:spacing w:val="-12"/>
        </w:rPr>
        <w:t> </w:t>
      </w:r>
      <w:r>
        <w:rPr>
          <w:spacing w:val="-2"/>
        </w:rPr>
        <w:t>го</w:t>
      </w:r>
      <w:r>
        <w:rPr>
          <w:spacing w:val="-11"/>
        </w:rPr>
        <w:t> </w:t>
      </w:r>
      <w:r>
        <w:rPr>
          <w:spacing w:val="-2"/>
        </w:rPr>
        <w:t>завршува</w:t>
      </w:r>
      <w:r>
        <w:rPr>
          <w:spacing w:val="-11"/>
        </w:rPr>
        <w:t> </w:t>
      </w:r>
      <w:r>
        <w:rPr>
          <w:spacing w:val="-2"/>
        </w:rPr>
        <w:t>основното</w:t>
      </w:r>
      <w:r>
        <w:rPr>
          <w:spacing w:val="-11"/>
        </w:rPr>
        <w:t> </w:t>
      </w:r>
      <w:r>
        <w:rPr>
          <w:spacing w:val="-2"/>
        </w:rPr>
        <w:t>и</w:t>
      </w:r>
      <w:r>
        <w:rPr>
          <w:spacing w:val="-11"/>
        </w:rPr>
        <w:t> </w:t>
      </w:r>
      <w:r>
        <w:rPr>
          <w:spacing w:val="-2"/>
        </w:rPr>
        <w:t>средното</w:t>
      </w:r>
      <w:r>
        <w:rPr>
          <w:spacing w:val="-11"/>
        </w:rPr>
        <w:t> </w:t>
      </w:r>
      <w:r>
        <w:rPr>
          <w:spacing w:val="-2"/>
        </w:rPr>
        <w:t>образование. </w:t>
      </w:r>
      <w:r>
        <w:rPr/>
        <w:t>Медицински факултет завршил во Скопје каде е и активен член на Црвениот крст.</w:t>
      </w:r>
    </w:p>
    <w:p>
      <w:pPr>
        <w:pStyle w:val="BodyText"/>
        <w:ind w:left="238" w:right="38"/>
        <w:jc w:val="both"/>
      </w:pPr>
      <w:r>
        <w:rPr/>
        <w:t>Се вработува во Душевната болница во Демир Хисар.</w:t>
      </w:r>
      <w:r>
        <w:rPr>
          <w:spacing w:val="17"/>
        </w:rPr>
        <w:t> </w:t>
      </w:r>
      <w:r>
        <w:rPr/>
        <w:t>Специјализацијата</w:t>
      </w:r>
      <w:r>
        <w:rPr>
          <w:spacing w:val="16"/>
        </w:rPr>
        <w:t> </w:t>
      </w:r>
      <w:r>
        <w:rPr/>
        <w:t>по</w:t>
      </w:r>
      <w:r>
        <w:rPr>
          <w:spacing w:val="17"/>
        </w:rPr>
        <w:t> </w:t>
      </w:r>
      <w:r>
        <w:rPr/>
        <w:t>невропсихијатрија</w:t>
      </w:r>
      <w:r>
        <w:rPr>
          <w:spacing w:val="17"/>
        </w:rPr>
        <w:t> </w:t>
      </w:r>
      <w:r>
        <w:rPr>
          <w:spacing w:val="-5"/>
        </w:rPr>
        <w:t>ја</w:t>
      </w:r>
    </w:p>
    <w:p>
      <w:pPr>
        <w:pStyle w:val="BodyText"/>
        <w:spacing w:before="92"/>
        <w:ind w:left="238" w:right="292"/>
        <w:jc w:val="both"/>
      </w:pPr>
      <w:r>
        <w:rPr/>
        <w:br w:type="column"/>
      </w:r>
      <w:r>
        <w:rPr/>
        <w:t>завршува во Скопје при што бил автор на многу- бројни научни и стручни трудови.</w:t>
      </w:r>
    </w:p>
    <w:p>
      <w:pPr>
        <w:pStyle w:val="BodyText"/>
        <w:ind w:left="238" w:right="290"/>
        <w:jc w:val="both"/>
      </w:pPr>
      <w:r>
        <w:rPr/>
        <w:t>Лекарската пракса ја продолжува во невропсихија- триското одделение во Битола. Во 2000 година ја добива</w:t>
      </w:r>
      <w:r>
        <w:rPr>
          <w:spacing w:val="40"/>
        </w:rPr>
        <w:t> </w:t>
      </w:r>
      <w:r>
        <w:rPr/>
        <w:t>титулата примариус и шеф на неврофи- зиолошкиот кабинет.</w:t>
      </w:r>
    </w:p>
    <w:p>
      <w:pPr>
        <w:pStyle w:val="BodyText"/>
        <w:spacing w:before="1"/>
        <w:ind w:left="238" w:right="289"/>
        <w:jc w:val="both"/>
      </w:pPr>
      <w:r>
        <w:rPr>
          <w:spacing w:val="-4"/>
        </w:rPr>
        <w:t>Добитник</w:t>
      </w:r>
      <w:r>
        <w:rPr>
          <w:spacing w:val="-10"/>
        </w:rPr>
        <w:t> </w:t>
      </w:r>
      <w:r>
        <w:rPr>
          <w:spacing w:val="-4"/>
        </w:rPr>
        <w:t>е</w:t>
      </w:r>
      <w:r>
        <w:rPr>
          <w:spacing w:val="-9"/>
        </w:rPr>
        <w:t> </w:t>
      </w:r>
      <w:r>
        <w:rPr>
          <w:spacing w:val="-4"/>
        </w:rPr>
        <w:t>на</w:t>
      </w:r>
      <w:r>
        <w:rPr>
          <w:spacing w:val="-9"/>
        </w:rPr>
        <w:t> </w:t>
      </w:r>
      <w:r>
        <w:rPr>
          <w:spacing w:val="-4"/>
        </w:rPr>
        <w:t>7-Априлската</w:t>
      </w:r>
      <w:r>
        <w:rPr>
          <w:spacing w:val="-9"/>
        </w:rPr>
        <w:t> </w:t>
      </w:r>
      <w:r>
        <w:rPr>
          <w:spacing w:val="-4"/>
        </w:rPr>
        <w:t>награда</w:t>
      </w:r>
      <w:r>
        <w:rPr>
          <w:spacing w:val="-9"/>
        </w:rPr>
        <w:t> </w:t>
      </w:r>
      <w:r>
        <w:rPr>
          <w:spacing w:val="-4"/>
        </w:rPr>
        <w:t>по</w:t>
      </w:r>
      <w:r>
        <w:rPr>
          <w:spacing w:val="-9"/>
        </w:rPr>
        <w:t> </w:t>
      </w:r>
      <w:r>
        <w:rPr>
          <w:spacing w:val="-4"/>
        </w:rPr>
        <w:t>повод</w:t>
      </w:r>
      <w:r>
        <w:rPr>
          <w:spacing w:val="-9"/>
        </w:rPr>
        <w:t> </w:t>
      </w:r>
      <w:r>
        <w:rPr>
          <w:spacing w:val="-4"/>
        </w:rPr>
        <w:t>,,Денот </w:t>
      </w:r>
      <w:r>
        <w:rPr/>
        <w:t>на здравјето“ во 2006 година.</w:t>
      </w:r>
    </w:p>
    <w:p>
      <w:pPr>
        <w:pStyle w:val="BodyText"/>
        <w:ind w:left="238" w:right="292"/>
        <w:jc w:val="both"/>
      </w:pPr>
      <w:r>
        <w:rPr/>
        <w:t>Неколку години по ред држи бесплатни едукатив- ни предавања и трибини во основните и средни училишта во Битола на тема ,,Во борбата против дрогата“. Еден е од основачите на Центарот за зависници во Битола, помагајќи беспоштедно, на многу</w:t>
      </w:r>
      <w:r>
        <w:rPr>
          <w:spacing w:val="41"/>
        </w:rPr>
        <w:t> </w:t>
      </w:r>
      <w:r>
        <w:rPr/>
        <w:t>млади</w:t>
      </w:r>
      <w:r>
        <w:rPr>
          <w:spacing w:val="47"/>
        </w:rPr>
        <w:t> </w:t>
      </w:r>
      <w:r>
        <w:rPr/>
        <w:t>луѓе</w:t>
      </w:r>
      <w:r>
        <w:rPr>
          <w:spacing w:val="46"/>
        </w:rPr>
        <w:t> </w:t>
      </w:r>
      <w:r>
        <w:rPr/>
        <w:t>во</w:t>
      </w:r>
      <w:r>
        <w:rPr>
          <w:spacing w:val="47"/>
        </w:rPr>
        <w:t> </w:t>
      </w:r>
      <w:r>
        <w:rPr/>
        <w:t>справување</w:t>
      </w:r>
      <w:r>
        <w:rPr>
          <w:spacing w:val="46"/>
        </w:rPr>
        <w:t> </w:t>
      </w:r>
      <w:r>
        <w:rPr/>
        <w:t>со</w:t>
      </w:r>
      <w:r>
        <w:rPr>
          <w:spacing w:val="47"/>
        </w:rPr>
        <w:t> </w:t>
      </w:r>
      <w:r>
        <w:rPr>
          <w:spacing w:val="-2"/>
        </w:rPr>
        <w:t>најголемото</w:t>
      </w:r>
    </w:p>
    <w:p>
      <w:pPr>
        <w:pStyle w:val="BodyText"/>
        <w:spacing w:line="240" w:lineRule="exact"/>
        <w:ind w:left="238"/>
        <w:jc w:val="both"/>
      </w:pPr>
      <w:r>
        <w:rPr/>
        <w:t>,,Зло</w:t>
      </w:r>
      <w:r>
        <w:rPr>
          <w:spacing w:val="-1"/>
        </w:rPr>
        <w:t> </w:t>
      </w:r>
      <w:r>
        <w:rPr/>
        <w:t>на</w:t>
      </w:r>
      <w:r>
        <w:rPr>
          <w:spacing w:val="-3"/>
        </w:rPr>
        <w:t> </w:t>
      </w:r>
      <w:r>
        <w:rPr>
          <w:spacing w:val="-2"/>
        </w:rPr>
        <w:t>денешницата“.</w:t>
      </w:r>
    </w:p>
    <w:p>
      <w:pPr>
        <w:pStyle w:val="BodyText"/>
        <w:spacing w:before="1"/>
        <w:ind w:left="238" w:right="287"/>
        <w:jc w:val="both"/>
      </w:pPr>
      <w:r>
        <w:rPr/>
        <w:t>Автор е на неколку книги од областа на неуроло- гијата</w:t>
      </w:r>
      <w:r>
        <w:rPr>
          <w:spacing w:val="52"/>
        </w:rPr>
        <w:t> </w:t>
      </w:r>
      <w:r>
        <w:rPr/>
        <w:t>и</w:t>
      </w:r>
      <w:r>
        <w:rPr>
          <w:spacing w:val="57"/>
        </w:rPr>
        <w:t> </w:t>
      </w:r>
      <w:r>
        <w:rPr/>
        <w:t>психијатријата:</w:t>
      </w:r>
      <w:r>
        <w:rPr>
          <w:spacing w:val="56"/>
        </w:rPr>
        <w:t> </w:t>
      </w:r>
      <w:r>
        <w:rPr/>
        <w:t>,,Паркинсонова</w:t>
      </w:r>
      <w:r>
        <w:rPr>
          <w:spacing w:val="58"/>
        </w:rPr>
        <w:t> </w:t>
      </w:r>
      <w:r>
        <w:rPr>
          <w:spacing w:val="-2"/>
        </w:rPr>
        <w:t>болест“,</w:t>
      </w:r>
    </w:p>
    <w:p>
      <w:pPr>
        <w:pStyle w:val="BodyText"/>
        <w:ind w:left="238" w:right="292"/>
        <w:jc w:val="both"/>
      </w:pPr>
      <w:r>
        <w:rPr/>
        <w:t>,,Психопатија“ и ,,Психосоматски заболувања“.</w:t>
      </w:r>
      <w:r>
        <w:rPr>
          <w:spacing w:val="40"/>
        </w:rPr>
        <w:t> </w:t>
      </w:r>
      <w:r>
        <w:rPr/>
        <w:t>Ова се први книги во нашата земја од оваа област. Беше долгогодишен, ценет и активен член на Научното друштво во Битола.</w:t>
      </w:r>
    </w:p>
    <w:p>
      <w:pPr>
        <w:pStyle w:val="BodyText"/>
        <w:spacing w:before="11"/>
        <w:rPr>
          <w:sz w:val="20"/>
        </w:rPr>
      </w:pPr>
    </w:p>
    <w:p>
      <w:pPr>
        <w:spacing w:before="0"/>
        <w:ind w:left="538" w:right="541" w:firstLine="1072"/>
        <w:jc w:val="left"/>
        <w:rPr>
          <w:i/>
          <w:sz w:val="21"/>
        </w:rPr>
      </w:pPr>
      <w:r>
        <w:rPr>
          <w:i/>
          <w:sz w:val="21"/>
        </w:rPr>
        <w:t>Д-р Христо Бојаџиев</w:t>
      </w:r>
      <w:r>
        <w:rPr>
          <w:i/>
          <w:sz w:val="21"/>
        </w:rPr>
        <w:t> Специјалист</w:t>
      </w:r>
      <w:r>
        <w:rPr>
          <w:i/>
          <w:spacing w:val="-9"/>
          <w:sz w:val="21"/>
        </w:rPr>
        <w:t> </w:t>
      </w:r>
      <w:r>
        <w:rPr>
          <w:i/>
          <w:sz w:val="21"/>
        </w:rPr>
        <w:t>по</w:t>
      </w:r>
      <w:r>
        <w:rPr>
          <w:i/>
          <w:spacing w:val="-12"/>
          <w:sz w:val="21"/>
        </w:rPr>
        <w:t> </w:t>
      </w:r>
      <w:r>
        <w:rPr>
          <w:i/>
          <w:sz w:val="21"/>
        </w:rPr>
        <w:t>Спортска</w:t>
      </w:r>
      <w:r>
        <w:rPr>
          <w:i/>
          <w:spacing w:val="-12"/>
          <w:sz w:val="21"/>
        </w:rPr>
        <w:t> </w:t>
      </w:r>
      <w:r>
        <w:rPr>
          <w:i/>
          <w:sz w:val="21"/>
        </w:rPr>
        <w:t>медицина-Битола</w:t>
      </w:r>
    </w:p>
    <w:p>
      <w:pPr>
        <w:spacing w:after="0"/>
        <w:jc w:val="left"/>
        <w:rPr>
          <w:sz w:val="21"/>
        </w:rPr>
        <w:sectPr>
          <w:type w:val="continuous"/>
          <w:pgSz w:w="11910" w:h="16840"/>
          <w:pgMar w:header="0" w:footer="0" w:top="740" w:bottom="0" w:left="900" w:right="840"/>
          <w:cols w:num="2" w:equalWidth="0">
            <w:col w:w="4916" w:space="81"/>
            <w:col w:w="5173"/>
          </w:cols>
        </w:sectPr>
      </w:pPr>
    </w:p>
    <w:p>
      <w:pPr>
        <w:pStyle w:val="Heading2"/>
        <w:spacing w:before="43"/>
        <w:jc w:val="both"/>
      </w:pPr>
      <w:r>
        <w:rPr>
          <w:w w:val="110"/>
        </w:rPr>
        <w:t>UPATSTVO</w:t>
      </w:r>
      <w:r>
        <w:rPr>
          <w:spacing w:val="40"/>
          <w:w w:val="110"/>
        </w:rPr>
        <w:t> </w:t>
      </w:r>
      <w:r>
        <w:rPr>
          <w:w w:val="110"/>
        </w:rPr>
        <w:t>ZA</w:t>
      </w:r>
      <w:r>
        <w:rPr>
          <w:spacing w:val="36"/>
          <w:w w:val="110"/>
        </w:rPr>
        <w:t> </w:t>
      </w:r>
      <w:r>
        <w:rPr>
          <w:spacing w:val="1"/>
          <w:w w:val="121"/>
        </w:rPr>
        <w:t>P</w:t>
      </w:r>
      <w:r>
        <w:rPr>
          <w:spacing w:val="-3"/>
          <w:w w:val="77"/>
        </w:rPr>
        <w:t>R</w:t>
      </w:r>
      <w:r>
        <w:rPr>
          <w:spacing w:val="1"/>
          <w:w w:val="199"/>
        </w:rPr>
        <w:t>I</w:t>
      </w:r>
      <w:r>
        <w:rPr>
          <w:spacing w:val="-2"/>
          <w:w w:val="85"/>
        </w:rPr>
        <w:t>J</w:t>
      </w:r>
      <w:r>
        <w:rPr>
          <w:spacing w:val="1"/>
        </w:rPr>
        <w:t>A</w:t>
      </w:r>
      <w:r>
        <w:rPr>
          <w:spacing w:val="-1"/>
          <w:w w:val="85"/>
        </w:rPr>
        <w:t>V</w:t>
      </w:r>
      <w:r>
        <w:rPr>
          <w:spacing w:val="1"/>
        </w:rPr>
        <w:t>A</w:t>
      </w:r>
      <w:r>
        <w:rPr>
          <w:spacing w:val="35"/>
          <w:w w:val="110"/>
        </w:rPr>
        <w:t> </w:t>
      </w:r>
      <w:r>
        <w:rPr>
          <w:w w:val="110"/>
        </w:rPr>
        <w:t>NA</w:t>
      </w:r>
      <w:r>
        <w:rPr>
          <w:spacing w:val="39"/>
          <w:w w:val="110"/>
        </w:rPr>
        <w:t> </w:t>
      </w:r>
      <w:r>
        <w:rPr>
          <w:w w:val="110"/>
        </w:rPr>
        <w:t>TRUD</w:t>
      </w:r>
      <w:r>
        <w:rPr>
          <w:spacing w:val="32"/>
          <w:w w:val="110"/>
        </w:rPr>
        <w:t> </w:t>
      </w:r>
      <w:r>
        <w:rPr>
          <w:w w:val="110"/>
        </w:rPr>
        <w:t>OD</w:t>
      </w:r>
      <w:r>
        <w:rPr>
          <w:spacing w:val="37"/>
          <w:w w:val="110"/>
        </w:rPr>
        <w:t> </w:t>
      </w:r>
      <w:r>
        <w:rPr>
          <w:spacing w:val="-1"/>
          <w:w w:val="115"/>
        </w:rPr>
        <w:t>S</w:t>
      </w:r>
      <w:r>
        <w:rPr>
          <w:spacing w:val="-1"/>
          <w:w w:val="92"/>
        </w:rPr>
        <w:t>O</w:t>
      </w:r>
      <w:r>
        <w:rPr>
          <w:w w:val="77"/>
        </w:rPr>
        <w:t>R</w:t>
      </w:r>
      <w:r>
        <w:rPr>
          <w:spacing w:val="1"/>
        </w:rPr>
        <w:t>A</w:t>
      </w:r>
      <w:r>
        <w:rPr>
          <w:spacing w:val="-1"/>
          <w:w w:val="93"/>
        </w:rPr>
        <w:t>B</w:t>
      </w:r>
      <w:r>
        <w:rPr>
          <w:spacing w:val="1"/>
          <w:w w:val="92"/>
        </w:rPr>
        <w:t>O</w:t>
      </w:r>
      <w:r>
        <w:rPr>
          <w:spacing w:val="-3"/>
          <w:w w:val="85"/>
        </w:rPr>
        <w:t>T</w:t>
      </w:r>
      <w:r>
        <w:rPr>
          <w:spacing w:val="1"/>
        </w:rPr>
        <w:t>N</w:t>
      </w:r>
      <w:r>
        <w:rPr>
          <w:spacing w:val="-1"/>
          <w:w w:val="199"/>
        </w:rPr>
        <w:t>I</w:t>
      </w:r>
      <w:r>
        <w:rPr>
          <w:spacing w:val="1"/>
        </w:rPr>
        <w:t>C</w:t>
      </w:r>
      <w:r>
        <w:rPr>
          <w:spacing w:val="1"/>
          <w:w w:val="199"/>
        </w:rPr>
        <w:t>I</w:t>
      </w:r>
      <w:r>
        <w:rPr>
          <w:spacing w:val="-1"/>
          <w:w w:val="85"/>
        </w:rPr>
        <w:t>T</w:t>
      </w:r>
      <w:r>
        <w:rPr>
          <w:spacing w:val="1"/>
          <w:w w:val="93"/>
        </w:rPr>
        <w:t>E</w:t>
      </w:r>
      <w:r>
        <w:rPr>
          <w:spacing w:val="32"/>
          <w:w w:val="110"/>
        </w:rPr>
        <w:t> </w:t>
      </w:r>
      <w:r>
        <w:rPr>
          <w:w w:val="110"/>
        </w:rPr>
        <w:t>NA</w:t>
      </w:r>
      <w:r>
        <w:rPr>
          <w:spacing w:val="32"/>
          <w:w w:val="110"/>
        </w:rPr>
        <w:t> </w:t>
      </w:r>
      <w:r>
        <w:rPr>
          <w:spacing w:val="-5"/>
          <w:w w:val="110"/>
        </w:rPr>
        <w:t>MMP</w:t>
      </w:r>
    </w:p>
    <w:p>
      <w:pPr>
        <w:pStyle w:val="BodyText"/>
        <w:spacing w:before="9"/>
        <w:rPr>
          <w:b/>
          <w:sz w:val="20"/>
        </w:rPr>
      </w:pPr>
    </w:p>
    <w:p>
      <w:pPr>
        <w:spacing w:line="242" w:lineRule="auto" w:before="0"/>
        <w:ind w:left="238" w:right="294" w:firstLine="0"/>
        <w:jc w:val="both"/>
        <w:rPr>
          <w:sz w:val="22"/>
        </w:rPr>
      </w:pPr>
      <w:r>
        <w:rPr>
          <w:w w:val="125"/>
          <w:sz w:val="22"/>
        </w:rPr>
        <w:t>"Makedonski</w:t>
      </w:r>
      <w:r>
        <w:rPr>
          <w:spacing w:val="-14"/>
          <w:w w:val="125"/>
          <w:sz w:val="22"/>
        </w:rPr>
        <w:t> </w:t>
      </w:r>
      <w:r>
        <w:rPr>
          <w:w w:val="125"/>
          <w:sz w:val="22"/>
        </w:rPr>
        <w:t>medicinski</w:t>
      </w:r>
      <w:r>
        <w:rPr>
          <w:spacing w:val="-15"/>
          <w:w w:val="125"/>
          <w:sz w:val="22"/>
        </w:rPr>
        <w:t> </w:t>
      </w:r>
      <w:r>
        <w:rPr>
          <w:w w:val="125"/>
          <w:sz w:val="22"/>
        </w:rPr>
        <w:t>pregled"</w:t>
      </w:r>
      <w:r>
        <w:rPr>
          <w:spacing w:val="-14"/>
          <w:w w:val="125"/>
          <w:sz w:val="22"/>
        </w:rPr>
        <w:t> </w:t>
      </w:r>
      <w:r>
        <w:rPr>
          <w:w w:val="125"/>
          <w:sz w:val="22"/>
        </w:rPr>
        <w:t>(MMP)</w:t>
      </w:r>
      <w:r>
        <w:rPr>
          <w:spacing w:val="-15"/>
          <w:w w:val="125"/>
          <w:sz w:val="22"/>
        </w:rPr>
        <w:t> </w:t>
      </w:r>
      <w:r>
        <w:rPr>
          <w:w w:val="125"/>
          <w:sz w:val="22"/>
        </w:rPr>
        <w:t>e</w:t>
      </w:r>
      <w:r>
        <w:rPr>
          <w:spacing w:val="-16"/>
          <w:w w:val="125"/>
          <w:sz w:val="22"/>
        </w:rPr>
        <w:t> </w:t>
      </w:r>
      <w:r>
        <w:rPr>
          <w:w w:val="125"/>
          <w:sz w:val="22"/>
        </w:rPr>
        <w:t>stru~no</w:t>
      </w:r>
      <w:r>
        <w:rPr>
          <w:spacing w:val="-14"/>
          <w:w w:val="125"/>
          <w:sz w:val="22"/>
        </w:rPr>
        <w:t> </w:t>
      </w:r>
      <w:r>
        <w:rPr>
          <w:w w:val="125"/>
          <w:sz w:val="22"/>
        </w:rPr>
        <w:t>spisanie</w:t>
      </w:r>
      <w:r>
        <w:rPr>
          <w:spacing w:val="-16"/>
          <w:w w:val="125"/>
          <w:sz w:val="22"/>
        </w:rPr>
        <w:t> </w:t>
      </w:r>
      <w:r>
        <w:rPr>
          <w:w w:val="125"/>
          <w:sz w:val="22"/>
        </w:rPr>
        <w:t>na</w:t>
      </w:r>
      <w:r>
        <w:rPr>
          <w:spacing w:val="-16"/>
          <w:w w:val="125"/>
          <w:sz w:val="22"/>
        </w:rPr>
        <w:t> </w:t>
      </w:r>
      <w:r>
        <w:rPr>
          <w:w w:val="125"/>
          <w:sz w:val="22"/>
        </w:rPr>
        <w:t>Makedonskoto</w:t>
      </w:r>
      <w:r>
        <w:rPr>
          <w:spacing w:val="-14"/>
          <w:w w:val="125"/>
          <w:sz w:val="22"/>
        </w:rPr>
        <w:t> </w:t>
      </w:r>
      <w:r>
        <w:rPr>
          <w:w w:val="125"/>
          <w:sz w:val="22"/>
        </w:rPr>
        <w:t>lekarsko dru{tvo,</w:t>
      </w:r>
      <w:r>
        <w:rPr>
          <w:spacing w:val="-3"/>
          <w:w w:val="125"/>
          <w:sz w:val="22"/>
        </w:rPr>
        <w:t> </w:t>
      </w:r>
      <w:r>
        <w:rPr>
          <w:w w:val="125"/>
          <w:sz w:val="22"/>
        </w:rPr>
        <w:t>prvenstveno</w:t>
      </w:r>
      <w:r>
        <w:rPr>
          <w:spacing w:val="-4"/>
          <w:w w:val="125"/>
          <w:sz w:val="22"/>
        </w:rPr>
        <w:t> </w:t>
      </w:r>
      <w:r>
        <w:rPr>
          <w:w w:val="125"/>
          <w:sz w:val="22"/>
        </w:rPr>
        <w:t>nameneto</w:t>
      </w:r>
      <w:r>
        <w:rPr>
          <w:spacing w:val="-4"/>
          <w:w w:val="125"/>
          <w:sz w:val="22"/>
        </w:rPr>
        <w:t> </w:t>
      </w:r>
      <w:r>
        <w:rPr>
          <w:w w:val="125"/>
          <w:sz w:val="22"/>
        </w:rPr>
        <w:t>na</w:t>
      </w:r>
      <w:r>
        <w:rPr>
          <w:spacing w:val="-3"/>
          <w:w w:val="125"/>
          <w:sz w:val="22"/>
        </w:rPr>
        <w:t> </w:t>
      </w:r>
      <w:r>
        <w:rPr>
          <w:w w:val="125"/>
          <w:sz w:val="22"/>
        </w:rPr>
        <w:t>lekarite</w:t>
      </w:r>
      <w:r>
        <w:rPr>
          <w:spacing w:val="-3"/>
          <w:w w:val="125"/>
          <w:sz w:val="22"/>
        </w:rPr>
        <w:t> </w:t>
      </w:r>
      <w:r>
        <w:rPr>
          <w:w w:val="125"/>
          <w:sz w:val="22"/>
        </w:rPr>
        <w:t>od</w:t>
      </w:r>
      <w:r>
        <w:rPr>
          <w:spacing w:val="-6"/>
          <w:w w:val="125"/>
          <w:sz w:val="22"/>
        </w:rPr>
        <w:t> </w:t>
      </w:r>
      <w:r>
        <w:rPr>
          <w:w w:val="125"/>
          <w:sz w:val="22"/>
        </w:rPr>
        <w:t>op{ta</w:t>
      </w:r>
      <w:r>
        <w:rPr>
          <w:spacing w:val="-2"/>
          <w:w w:val="125"/>
          <w:sz w:val="22"/>
        </w:rPr>
        <w:t> </w:t>
      </w:r>
      <w:r>
        <w:rPr>
          <w:w w:val="125"/>
          <w:sz w:val="22"/>
        </w:rPr>
        <w:t>praktika,</w:t>
      </w:r>
      <w:r>
        <w:rPr>
          <w:spacing w:val="-3"/>
          <w:w w:val="125"/>
          <w:sz w:val="22"/>
        </w:rPr>
        <w:t> </w:t>
      </w:r>
      <w:r>
        <w:rPr>
          <w:w w:val="125"/>
          <w:sz w:val="22"/>
        </w:rPr>
        <w:t>specijalistite</w:t>
      </w:r>
      <w:r>
        <w:rPr>
          <w:spacing w:val="-3"/>
          <w:w w:val="125"/>
          <w:sz w:val="22"/>
        </w:rPr>
        <w:t> </w:t>
      </w:r>
      <w:r>
        <w:rPr>
          <w:w w:val="125"/>
          <w:sz w:val="22"/>
        </w:rPr>
        <w:t>od</w:t>
      </w:r>
      <w:r>
        <w:rPr>
          <w:spacing w:val="-3"/>
          <w:w w:val="125"/>
          <w:sz w:val="22"/>
        </w:rPr>
        <w:t> </w:t>
      </w:r>
      <w:r>
        <w:rPr>
          <w:w w:val="125"/>
          <w:sz w:val="22"/>
        </w:rPr>
        <w:t>oddelnite </w:t>
      </w:r>
      <w:r>
        <w:rPr>
          <w:w w:val="130"/>
          <w:sz w:val="22"/>
        </w:rPr>
        <w:t>medicinski</w:t>
      </w:r>
      <w:r>
        <w:rPr>
          <w:spacing w:val="-18"/>
          <w:w w:val="130"/>
          <w:sz w:val="22"/>
        </w:rPr>
        <w:t> </w:t>
      </w:r>
      <w:r>
        <w:rPr>
          <w:w w:val="130"/>
          <w:sz w:val="22"/>
        </w:rPr>
        <w:t>disciplini</w:t>
      </w:r>
      <w:r>
        <w:rPr>
          <w:spacing w:val="-18"/>
          <w:w w:val="130"/>
          <w:sz w:val="22"/>
        </w:rPr>
        <w:t> </w:t>
      </w:r>
      <w:r>
        <w:rPr>
          <w:w w:val="170"/>
          <w:sz w:val="22"/>
        </w:rPr>
        <w:t>i</w:t>
      </w:r>
      <w:r>
        <w:rPr>
          <w:spacing w:val="-24"/>
          <w:w w:val="170"/>
          <w:sz w:val="22"/>
        </w:rPr>
        <w:t> </w:t>
      </w:r>
      <w:r>
        <w:rPr>
          <w:w w:val="130"/>
          <w:sz w:val="22"/>
        </w:rPr>
        <w:t>istra`uva~ite</w:t>
      </w:r>
      <w:r>
        <w:rPr>
          <w:spacing w:val="-17"/>
          <w:w w:val="130"/>
          <w:sz w:val="22"/>
        </w:rPr>
        <w:t> </w:t>
      </w:r>
      <w:r>
        <w:rPr>
          <w:w w:val="125"/>
          <w:sz w:val="22"/>
        </w:rPr>
        <w:t>vo</w:t>
      </w:r>
      <w:r>
        <w:rPr>
          <w:spacing w:val="-18"/>
          <w:w w:val="125"/>
          <w:sz w:val="22"/>
        </w:rPr>
        <w:t> </w:t>
      </w:r>
      <w:r>
        <w:rPr>
          <w:w w:val="130"/>
          <w:sz w:val="22"/>
        </w:rPr>
        <w:t>oblasta</w:t>
      </w:r>
      <w:r>
        <w:rPr>
          <w:spacing w:val="-17"/>
          <w:w w:val="130"/>
          <w:sz w:val="22"/>
        </w:rPr>
        <w:t> </w:t>
      </w:r>
      <w:r>
        <w:rPr>
          <w:w w:val="130"/>
          <w:sz w:val="22"/>
        </w:rPr>
        <w:t>na</w:t>
      </w:r>
      <w:r>
        <w:rPr>
          <w:spacing w:val="-13"/>
          <w:w w:val="130"/>
          <w:sz w:val="22"/>
        </w:rPr>
        <w:t> </w:t>
      </w:r>
      <w:r>
        <w:rPr>
          <w:w w:val="130"/>
          <w:sz w:val="22"/>
        </w:rPr>
        <w:t>bazi~nite</w:t>
      </w:r>
      <w:r>
        <w:rPr>
          <w:spacing w:val="-14"/>
          <w:w w:val="130"/>
          <w:sz w:val="22"/>
        </w:rPr>
        <w:t> </w:t>
      </w:r>
      <w:r>
        <w:rPr>
          <w:w w:val="130"/>
          <w:sz w:val="22"/>
        </w:rPr>
        <w:t>medicinski</w:t>
      </w:r>
      <w:r>
        <w:rPr>
          <w:spacing w:val="-14"/>
          <w:w w:val="130"/>
          <w:sz w:val="22"/>
        </w:rPr>
        <w:t> </w:t>
      </w:r>
      <w:r>
        <w:rPr>
          <w:w w:val="170"/>
          <w:sz w:val="22"/>
        </w:rPr>
        <w:t>i</w:t>
      </w:r>
      <w:r>
        <w:rPr>
          <w:spacing w:val="-24"/>
          <w:w w:val="170"/>
          <w:sz w:val="22"/>
        </w:rPr>
        <w:t> </w:t>
      </w:r>
      <w:r>
        <w:rPr>
          <w:w w:val="130"/>
          <w:sz w:val="22"/>
        </w:rPr>
        <w:t>drugi</w:t>
      </w:r>
      <w:r>
        <w:rPr>
          <w:spacing w:val="-13"/>
          <w:w w:val="130"/>
          <w:sz w:val="22"/>
        </w:rPr>
        <w:t> </w:t>
      </w:r>
      <w:r>
        <w:rPr>
          <w:w w:val="130"/>
          <w:sz w:val="22"/>
        </w:rPr>
        <w:t>srodni </w:t>
      </w:r>
      <w:r>
        <w:rPr>
          <w:spacing w:val="-2"/>
          <w:w w:val="130"/>
          <w:sz w:val="22"/>
        </w:rPr>
        <w:t>nauki.</w:t>
      </w:r>
    </w:p>
    <w:p>
      <w:pPr>
        <w:pStyle w:val="BodyText"/>
        <w:rPr>
          <w:sz w:val="20"/>
        </w:rPr>
      </w:pPr>
    </w:p>
    <w:p>
      <w:pPr>
        <w:spacing w:before="1"/>
        <w:ind w:left="238" w:right="0" w:firstLine="0"/>
        <w:jc w:val="both"/>
        <w:rPr>
          <w:sz w:val="22"/>
        </w:rPr>
      </w:pPr>
      <w:r>
        <w:rPr>
          <w:spacing w:val="-2"/>
          <w:w w:val="130"/>
          <w:sz w:val="22"/>
        </w:rPr>
        <w:t>Spisanieto</w:t>
      </w:r>
      <w:r>
        <w:rPr>
          <w:spacing w:val="-11"/>
          <w:w w:val="130"/>
          <w:sz w:val="22"/>
        </w:rPr>
        <w:t> </w:t>
      </w:r>
      <w:r>
        <w:rPr>
          <w:spacing w:val="-2"/>
          <w:w w:val="130"/>
          <w:sz w:val="22"/>
        </w:rPr>
        <w:t>gi</w:t>
      </w:r>
      <w:r>
        <w:rPr>
          <w:spacing w:val="-10"/>
          <w:w w:val="130"/>
          <w:sz w:val="22"/>
        </w:rPr>
        <w:t> </w:t>
      </w:r>
      <w:r>
        <w:rPr>
          <w:spacing w:val="-2"/>
          <w:w w:val="130"/>
          <w:sz w:val="22"/>
        </w:rPr>
        <w:t>ima</w:t>
      </w:r>
      <w:r>
        <w:rPr>
          <w:spacing w:val="-12"/>
          <w:w w:val="130"/>
          <w:sz w:val="22"/>
        </w:rPr>
        <w:t> </w:t>
      </w:r>
      <w:r>
        <w:rPr>
          <w:spacing w:val="-2"/>
          <w:w w:val="130"/>
          <w:sz w:val="22"/>
        </w:rPr>
        <w:t>slednive</w:t>
      </w:r>
      <w:r>
        <w:rPr>
          <w:spacing w:val="-10"/>
          <w:w w:val="130"/>
          <w:sz w:val="22"/>
        </w:rPr>
        <w:t> </w:t>
      </w:r>
      <w:r>
        <w:rPr>
          <w:spacing w:val="-2"/>
          <w:w w:val="130"/>
          <w:sz w:val="22"/>
        </w:rPr>
        <w:t>rubriki</w:t>
      </w:r>
      <w:r>
        <w:rPr>
          <w:spacing w:val="-11"/>
          <w:w w:val="130"/>
          <w:sz w:val="22"/>
        </w:rPr>
        <w:t> </w:t>
      </w:r>
      <w:r>
        <w:rPr>
          <w:spacing w:val="-2"/>
          <w:w w:val="130"/>
          <w:sz w:val="22"/>
        </w:rPr>
        <w:t>i</w:t>
      </w:r>
      <w:r>
        <w:rPr>
          <w:spacing w:val="-9"/>
          <w:w w:val="130"/>
          <w:sz w:val="22"/>
        </w:rPr>
        <w:t> </w:t>
      </w:r>
      <w:r>
        <w:rPr>
          <w:spacing w:val="-2"/>
          <w:w w:val="130"/>
          <w:sz w:val="22"/>
        </w:rPr>
        <w:t>kategorii</w:t>
      </w:r>
      <w:r>
        <w:rPr>
          <w:spacing w:val="-11"/>
          <w:w w:val="130"/>
          <w:sz w:val="22"/>
        </w:rPr>
        <w:t> </w:t>
      </w:r>
      <w:r>
        <w:rPr>
          <w:spacing w:val="-2"/>
          <w:w w:val="130"/>
          <w:sz w:val="22"/>
        </w:rPr>
        <w:t>na</w:t>
      </w:r>
      <w:r>
        <w:rPr>
          <w:spacing w:val="-9"/>
          <w:w w:val="130"/>
          <w:sz w:val="22"/>
        </w:rPr>
        <w:t> </w:t>
      </w:r>
      <w:r>
        <w:rPr>
          <w:spacing w:val="-2"/>
          <w:w w:val="130"/>
          <w:sz w:val="22"/>
        </w:rPr>
        <w:t>trudovi:</w:t>
      </w:r>
    </w:p>
    <w:p>
      <w:pPr>
        <w:pStyle w:val="BodyText"/>
        <w:spacing w:before="6"/>
        <w:rPr>
          <w:sz w:val="20"/>
        </w:rPr>
      </w:pPr>
    </w:p>
    <w:p>
      <w:pPr>
        <w:pStyle w:val="ListParagraph"/>
        <w:numPr>
          <w:ilvl w:val="0"/>
          <w:numId w:val="16"/>
        </w:numPr>
        <w:tabs>
          <w:tab w:pos="626" w:val="left" w:leader="none"/>
          <w:tab w:pos="627" w:val="left" w:leader="none"/>
        </w:tabs>
        <w:spacing w:line="240" w:lineRule="auto" w:before="0" w:after="0"/>
        <w:ind w:left="626" w:right="0" w:hanging="389"/>
        <w:jc w:val="left"/>
        <w:rPr>
          <w:b/>
          <w:sz w:val="22"/>
        </w:rPr>
      </w:pPr>
      <w:r>
        <w:rPr>
          <w:b/>
          <w:w w:val="125"/>
          <w:sz w:val="22"/>
        </w:rPr>
        <w:t>Izvorni</w:t>
      </w:r>
      <w:r>
        <w:rPr>
          <w:b/>
          <w:spacing w:val="3"/>
          <w:w w:val="130"/>
          <w:sz w:val="22"/>
        </w:rPr>
        <w:t> </w:t>
      </w:r>
      <w:r>
        <w:rPr>
          <w:b/>
          <w:spacing w:val="-2"/>
          <w:w w:val="130"/>
          <w:sz w:val="22"/>
        </w:rPr>
        <w:t>trudovi</w:t>
      </w:r>
    </w:p>
    <w:p>
      <w:pPr>
        <w:pStyle w:val="ListParagraph"/>
        <w:numPr>
          <w:ilvl w:val="0"/>
          <w:numId w:val="16"/>
        </w:numPr>
        <w:tabs>
          <w:tab w:pos="626" w:val="left" w:leader="none"/>
          <w:tab w:pos="627" w:val="left" w:leader="none"/>
        </w:tabs>
        <w:spacing w:line="240" w:lineRule="auto" w:before="6" w:after="0"/>
        <w:ind w:left="626" w:right="0" w:hanging="389"/>
        <w:jc w:val="left"/>
        <w:rPr>
          <w:b/>
          <w:sz w:val="22"/>
        </w:rPr>
      </w:pPr>
      <w:r>
        <w:rPr>
          <w:b/>
          <w:w w:val="120"/>
          <w:sz w:val="22"/>
        </w:rPr>
        <w:t>Soop{tuvawa</w:t>
      </w:r>
      <w:r>
        <w:rPr>
          <w:b/>
          <w:spacing w:val="-11"/>
          <w:w w:val="120"/>
          <w:sz w:val="22"/>
        </w:rPr>
        <w:t> </w:t>
      </w:r>
      <w:r>
        <w:rPr>
          <w:b/>
          <w:w w:val="120"/>
          <w:sz w:val="22"/>
        </w:rPr>
        <w:t>za</w:t>
      </w:r>
      <w:r>
        <w:rPr>
          <w:b/>
          <w:spacing w:val="-12"/>
          <w:w w:val="120"/>
          <w:sz w:val="22"/>
        </w:rPr>
        <w:t> </w:t>
      </w:r>
      <w:r>
        <w:rPr>
          <w:b/>
          <w:w w:val="130"/>
          <w:sz w:val="22"/>
        </w:rPr>
        <w:t>klini~ki</w:t>
      </w:r>
      <w:r>
        <w:rPr>
          <w:b/>
          <w:spacing w:val="-16"/>
          <w:w w:val="130"/>
          <w:sz w:val="22"/>
        </w:rPr>
        <w:t> </w:t>
      </w:r>
      <w:r>
        <w:rPr>
          <w:b/>
          <w:w w:val="170"/>
          <w:sz w:val="22"/>
        </w:rPr>
        <w:t>i</w:t>
      </w:r>
      <w:r>
        <w:rPr>
          <w:b/>
          <w:spacing w:val="-39"/>
          <w:w w:val="170"/>
          <w:sz w:val="22"/>
        </w:rPr>
        <w:t> </w:t>
      </w:r>
      <w:r>
        <w:rPr>
          <w:b/>
          <w:w w:val="120"/>
          <w:sz w:val="22"/>
        </w:rPr>
        <w:t>laboratoriski</w:t>
      </w:r>
      <w:r>
        <w:rPr>
          <w:b/>
          <w:spacing w:val="-14"/>
          <w:w w:val="120"/>
          <w:sz w:val="22"/>
        </w:rPr>
        <w:t> </w:t>
      </w:r>
      <w:r>
        <w:rPr>
          <w:b/>
          <w:spacing w:val="-2"/>
          <w:w w:val="120"/>
          <w:sz w:val="22"/>
        </w:rPr>
        <w:t>iskustva</w:t>
      </w:r>
    </w:p>
    <w:p>
      <w:pPr>
        <w:pStyle w:val="ListParagraph"/>
        <w:numPr>
          <w:ilvl w:val="0"/>
          <w:numId w:val="16"/>
        </w:numPr>
        <w:tabs>
          <w:tab w:pos="626" w:val="left" w:leader="none"/>
          <w:tab w:pos="627" w:val="left" w:leader="none"/>
        </w:tabs>
        <w:spacing w:line="240" w:lineRule="auto" w:before="7" w:after="0"/>
        <w:ind w:left="626" w:right="0" w:hanging="389"/>
        <w:jc w:val="left"/>
        <w:rPr>
          <w:b/>
          <w:sz w:val="22"/>
        </w:rPr>
      </w:pPr>
      <w:r>
        <w:rPr>
          <w:b/>
          <w:w w:val="120"/>
          <w:sz w:val="22"/>
        </w:rPr>
        <w:t>Prikazi</w:t>
      </w:r>
      <w:r>
        <w:rPr>
          <w:b/>
          <w:spacing w:val="-7"/>
          <w:w w:val="120"/>
          <w:sz w:val="22"/>
        </w:rPr>
        <w:t> </w:t>
      </w:r>
      <w:r>
        <w:rPr>
          <w:b/>
          <w:w w:val="120"/>
          <w:sz w:val="22"/>
        </w:rPr>
        <w:t>na</w:t>
      </w:r>
      <w:r>
        <w:rPr>
          <w:b/>
          <w:spacing w:val="-7"/>
          <w:w w:val="120"/>
          <w:sz w:val="22"/>
        </w:rPr>
        <w:t> </w:t>
      </w:r>
      <w:r>
        <w:rPr>
          <w:b/>
          <w:spacing w:val="-2"/>
          <w:w w:val="120"/>
          <w:sz w:val="22"/>
        </w:rPr>
        <w:t>slu~ai</w:t>
      </w:r>
    </w:p>
    <w:p>
      <w:pPr>
        <w:pStyle w:val="ListParagraph"/>
        <w:numPr>
          <w:ilvl w:val="0"/>
          <w:numId w:val="16"/>
        </w:numPr>
        <w:tabs>
          <w:tab w:pos="626" w:val="left" w:leader="none"/>
          <w:tab w:pos="627" w:val="left" w:leader="none"/>
        </w:tabs>
        <w:spacing w:line="240" w:lineRule="auto" w:before="6" w:after="0"/>
        <w:ind w:left="626" w:right="0" w:hanging="389"/>
        <w:jc w:val="left"/>
        <w:rPr>
          <w:b/>
          <w:sz w:val="22"/>
        </w:rPr>
      </w:pPr>
      <w:r>
        <w:rPr>
          <w:b/>
          <w:w w:val="110"/>
          <w:sz w:val="22"/>
        </w:rPr>
        <w:t>Od</w:t>
      </w:r>
      <w:r>
        <w:rPr>
          <w:b/>
          <w:spacing w:val="-11"/>
          <w:w w:val="110"/>
          <w:sz w:val="22"/>
        </w:rPr>
        <w:t> </w:t>
      </w:r>
      <w:r>
        <w:rPr>
          <w:b/>
          <w:w w:val="110"/>
          <w:sz w:val="22"/>
        </w:rPr>
        <w:t>praktika</w:t>
      </w:r>
      <w:r>
        <w:rPr>
          <w:b/>
          <w:spacing w:val="-11"/>
          <w:w w:val="110"/>
          <w:sz w:val="22"/>
        </w:rPr>
        <w:t> </w:t>
      </w:r>
      <w:r>
        <w:rPr>
          <w:b/>
          <w:w w:val="110"/>
          <w:sz w:val="22"/>
        </w:rPr>
        <w:t>za</w:t>
      </w:r>
      <w:r>
        <w:rPr>
          <w:b/>
          <w:spacing w:val="-10"/>
          <w:w w:val="110"/>
          <w:sz w:val="22"/>
        </w:rPr>
        <w:t> </w:t>
      </w:r>
      <w:r>
        <w:rPr>
          <w:b/>
          <w:spacing w:val="-2"/>
          <w:w w:val="110"/>
          <w:sz w:val="22"/>
        </w:rPr>
        <w:t>praktika</w:t>
      </w:r>
    </w:p>
    <w:p>
      <w:pPr>
        <w:pStyle w:val="ListParagraph"/>
        <w:numPr>
          <w:ilvl w:val="0"/>
          <w:numId w:val="16"/>
        </w:numPr>
        <w:tabs>
          <w:tab w:pos="626" w:val="left" w:leader="none"/>
          <w:tab w:pos="627" w:val="left" w:leader="none"/>
        </w:tabs>
        <w:spacing w:line="240" w:lineRule="auto" w:before="7" w:after="0"/>
        <w:ind w:left="626" w:right="0" w:hanging="389"/>
        <w:jc w:val="left"/>
        <w:rPr>
          <w:b/>
          <w:sz w:val="22"/>
        </w:rPr>
      </w:pPr>
      <w:r>
        <w:rPr>
          <w:b/>
          <w:w w:val="110"/>
          <w:sz w:val="22"/>
        </w:rPr>
        <w:t>Edukativni</w:t>
      </w:r>
      <w:r>
        <w:rPr>
          <w:b/>
          <w:spacing w:val="18"/>
          <w:w w:val="135"/>
          <w:sz w:val="22"/>
        </w:rPr>
        <w:t> </w:t>
      </w:r>
      <w:r>
        <w:rPr>
          <w:b/>
          <w:spacing w:val="-2"/>
          <w:w w:val="135"/>
          <w:sz w:val="22"/>
        </w:rPr>
        <w:t>statii</w:t>
      </w:r>
    </w:p>
    <w:p>
      <w:pPr>
        <w:pStyle w:val="ListParagraph"/>
        <w:numPr>
          <w:ilvl w:val="0"/>
          <w:numId w:val="16"/>
        </w:numPr>
        <w:tabs>
          <w:tab w:pos="626" w:val="left" w:leader="none"/>
          <w:tab w:pos="627" w:val="left" w:leader="none"/>
        </w:tabs>
        <w:spacing w:line="244" w:lineRule="auto" w:before="6" w:after="0"/>
        <w:ind w:left="626" w:right="292" w:hanging="389"/>
        <w:jc w:val="left"/>
        <w:rPr>
          <w:sz w:val="22"/>
        </w:rPr>
      </w:pPr>
      <w:r>
        <w:rPr>
          <w:b/>
          <w:w w:val="110"/>
          <w:sz w:val="22"/>
        </w:rPr>
        <w:t>Variae</w:t>
      </w:r>
      <w:r>
        <w:rPr>
          <w:b/>
          <w:spacing w:val="73"/>
          <w:w w:val="110"/>
          <w:sz w:val="22"/>
        </w:rPr>
        <w:t> </w:t>
      </w:r>
      <w:r>
        <w:rPr>
          <w:b/>
          <w:w w:val="110"/>
          <w:sz w:val="22"/>
        </w:rPr>
        <w:t>(</w:t>
      </w:r>
      <w:r>
        <w:rPr>
          <w:w w:val="110"/>
          <w:sz w:val="22"/>
        </w:rPr>
        <w:t>писма</w:t>
      </w:r>
      <w:r>
        <w:rPr>
          <w:spacing w:val="71"/>
          <w:w w:val="110"/>
          <w:sz w:val="22"/>
        </w:rPr>
        <w:t> </w:t>
      </w:r>
      <w:r>
        <w:rPr>
          <w:w w:val="110"/>
          <w:sz w:val="22"/>
        </w:rPr>
        <w:t>од</w:t>
      </w:r>
      <w:r>
        <w:rPr>
          <w:spacing w:val="74"/>
          <w:w w:val="110"/>
          <w:sz w:val="22"/>
        </w:rPr>
        <w:t> </w:t>
      </w:r>
      <w:r>
        <w:rPr>
          <w:w w:val="110"/>
          <w:sz w:val="22"/>
        </w:rPr>
        <w:t>редакцијата,</w:t>
      </w:r>
      <w:r>
        <w:rPr>
          <w:spacing w:val="73"/>
          <w:w w:val="110"/>
          <w:sz w:val="22"/>
        </w:rPr>
        <w:t> </w:t>
      </w:r>
      <w:r>
        <w:rPr>
          <w:w w:val="110"/>
          <w:sz w:val="22"/>
        </w:rPr>
        <w:t>општествена</w:t>
      </w:r>
      <w:r>
        <w:rPr>
          <w:spacing w:val="72"/>
          <w:w w:val="110"/>
          <w:sz w:val="22"/>
        </w:rPr>
        <w:t> </w:t>
      </w:r>
      <w:r>
        <w:rPr>
          <w:w w:val="110"/>
          <w:sz w:val="22"/>
        </w:rPr>
        <w:t>hronika</w:t>
      </w:r>
      <w:r>
        <w:rPr>
          <w:b/>
          <w:w w:val="110"/>
          <w:sz w:val="22"/>
        </w:rPr>
        <w:t>,</w:t>
      </w:r>
      <w:r>
        <w:rPr>
          <w:b/>
          <w:spacing w:val="40"/>
          <w:w w:val="130"/>
          <w:sz w:val="22"/>
        </w:rPr>
        <w:t> </w:t>
      </w:r>
      <w:r>
        <w:rPr>
          <w:w w:val="130"/>
          <w:sz w:val="22"/>
        </w:rPr>
        <w:t>prikazi</w:t>
      </w:r>
      <w:r>
        <w:rPr>
          <w:spacing w:val="40"/>
          <w:w w:val="130"/>
          <w:sz w:val="22"/>
        </w:rPr>
        <w:t> </w:t>
      </w:r>
      <w:r>
        <w:rPr>
          <w:w w:val="110"/>
          <w:sz w:val="22"/>
        </w:rPr>
        <w:t>na</w:t>
      </w:r>
      <w:r>
        <w:rPr>
          <w:spacing w:val="40"/>
          <w:w w:val="130"/>
          <w:sz w:val="22"/>
        </w:rPr>
        <w:t> </w:t>
      </w:r>
      <w:r>
        <w:rPr>
          <w:w w:val="130"/>
          <w:sz w:val="22"/>
        </w:rPr>
        <w:t>knigi,</w:t>
      </w:r>
      <w:r>
        <w:rPr>
          <w:spacing w:val="40"/>
          <w:w w:val="130"/>
          <w:sz w:val="22"/>
        </w:rPr>
        <w:t> </w:t>
      </w:r>
      <w:r>
        <w:rPr>
          <w:w w:val="130"/>
          <w:sz w:val="22"/>
        </w:rPr>
        <w:t>izve{tai</w:t>
      </w:r>
      <w:r>
        <w:rPr>
          <w:spacing w:val="40"/>
          <w:w w:val="130"/>
          <w:sz w:val="22"/>
        </w:rPr>
        <w:t> </w:t>
      </w:r>
      <w:r>
        <w:rPr>
          <w:w w:val="110"/>
          <w:sz w:val="22"/>
        </w:rPr>
        <w:t>od kongresi,</w:t>
      </w:r>
      <w:r>
        <w:rPr>
          <w:spacing w:val="39"/>
          <w:w w:val="110"/>
          <w:sz w:val="22"/>
        </w:rPr>
        <w:t> </w:t>
      </w:r>
      <w:r>
        <w:rPr>
          <w:w w:val="110"/>
          <w:sz w:val="22"/>
        </w:rPr>
        <w:t>simpoziumi</w:t>
      </w:r>
      <w:r>
        <w:rPr>
          <w:w w:val="170"/>
          <w:sz w:val="22"/>
        </w:rPr>
        <w:t> i </w:t>
      </w:r>
      <w:r>
        <w:rPr>
          <w:w w:val="110"/>
          <w:sz w:val="22"/>
        </w:rPr>
        <w:t>drugi</w:t>
      </w:r>
      <w:r>
        <w:rPr>
          <w:w w:val="130"/>
          <w:sz w:val="22"/>
        </w:rPr>
        <w:t> stru~ni sobiri, rubrikata </w:t>
      </w:r>
      <w:r>
        <w:rPr>
          <w:w w:val="110"/>
          <w:sz w:val="22"/>
        </w:rPr>
        <w:t>,,Vo</w:t>
      </w:r>
      <w:r>
        <w:rPr>
          <w:spacing w:val="39"/>
          <w:w w:val="110"/>
          <w:sz w:val="22"/>
        </w:rPr>
        <w:t> </w:t>
      </w:r>
      <w:r>
        <w:rPr>
          <w:w w:val="110"/>
          <w:sz w:val="22"/>
        </w:rPr>
        <w:t>se}avawe,,</w:t>
      </w:r>
      <w:r>
        <w:rPr>
          <w:w w:val="170"/>
          <w:sz w:val="22"/>
        </w:rPr>
        <w:t> i </w:t>
      </w:r>
      <w:r>
        <w:rPr>
          <w:w w:val="110"/>
          <w:sz w:val="22"/>
        </w:rPr>
        <w:t>dr).</w:t>
      </w:r>
    </w:p>
    <w:p>
      <w:pPr>
        <w:pStyle w:val="BodyText"/>
        <w:spacing w:before="9"/>
        <w:rPr>
          <w:sz w:val="19"/>
        </w:rPr>
      </w:pPr>
    </w:p>
    <w:p>
      <w:pPr>
        <w:spacing w:before="0"/>
        <w:ind w:left="238" w:right="294" w:firstLine="0"/>
        <w:jc w:val="both"/>
        <w:rPr>
          <w:sz w:val="22"/>
        </w:rPr>
      </w:pPr>
      <w:r>
        <w:rPr>
          <w:w w:val="125"/>
          <w:sz w:val="22"/>
        </w:rPr>
        <w:t>Izvornite</w:t>
      </w:r>
      <w:r>
        <w:rPr>
          <w:w w:val="125"/>
          <w:sz w:val="22"/>
        </w:rPr>
        <w:t> trudovi</w:t>
      </w:r>
      <w:r>
        <w:rPr>
          <w:w w:val="125"/>
          <w:sz w:val="22"/>
        </w:rPr>
        <w:t> imaat</w:t>
      </w:r>
      <w:r>
        <w:rPr>
          <w:w w:val="125"/>
          <w:sz w:val="22"/>
        </w:rPr>
        <w:t> belezi</w:t>
      </w:r>
      <w:r>
        <w:rPr>
          <w:w w:val="125"/>
          <w:sz w:val="22"/>
        </w:rPr>
        <w:t> na</w:t>
      </w:r>
      <w:r>
        <w:rPr>
          <w:w w:val="125"/>
          <w:sz w:val="22"/>
        </w:rPr>
        <w:t> nau~ni</w:t>
      </w:r>
      <w:r>
        <w:rPr>
          <w:w w:val="125"/>
          <w:sz w:val="22"/>
        </w:rPr>
        <w:t> trudovi,</w:t>
      </w:r>
      <w:r>
        <w:rPr>
          <w:w w:val="125"/>
          <w:sz w:val="22"/>
        </w:rPr>
        <w:t> dodeka</w:t>
      </w:r>
      <w:r>
        <w:rPr>
          <w:w w:val="125"/>
          <w:sz w:val="22"/>
        </w:rPr>
        <w:t> trudovite</w:t>
      </w:r>
      <w:r>
        <w:rPr>
          <w:w w:val="125"/>
          <w:sz w:val="22"/>
        </w:rPr>
        <w:t> kategorizirani</w:t>
      </w:r>
      <w:r>
        <w:rPr>
          <w:w w:val="125"/>
          <w:sz w:val="22"/>
        </w:rPr>
        <w:t> vo rubrikite 2-5 imaat belezi na stru~ni trudovi.</w:t>
      </w:r>
    </w:p>
    <w:p>
      <w:pPr>
        <w:spacing w:line="242" w:lineRule="auto" w:before="6"/>
        <w:ind w:left="238" w:right="293" w:firstLine="0"/>
        <w:jc w:val="both"/>
        <w:rPr>
          <w:sz w:val="22"/>
        </w:rPr>
      </w:pPr>
      <w:r>
        <w:rPr>
          <w:w w:val="120"/>
          <w:sz w:val="22"/>
        </w:rPr>
        <w:t>Vo</w:t>
      </w:r>
      <w:r>
        <w:rPr>
          <w:w w:val="120"/>
          <w:sz w:val="22"/>
        </w:rPr>
        <w:t> </w:t>
      </w:r>
      <w:r>
        <w:rPr>
          <w:w w:val="130"/>
          <w:sz w:val="22"/>
        </w:rPr>
        <w:t>MMP</w:t>
      </w:r>
      <w:r>
        <w:rPr>
          <w:w w:val="130"/>
          <w:sz w:val="22"/>
        </w:rPr>
        <w:t> </w:t>
      </w:r>
      <w:r>
        <w:rPr>
          <w:w w:val="120"/>
          <w:sz w:val="22"/>
        </w:rPr>
        <w:t>se</w:t>
      </w:r>
      <w:r>
        <w:rPr>
          <w:w w:val="120"/>
          <w:sz w:val="22"/>
        </w:rPr>
        <w:t> objavuvaat</w:t>
      </w:r>
      <w:r>
        <w:rPr>
          <w:w w:val="120"/>
          <w:sz w:val="22"/>
        </w:rPr>
        <w:t> </w:t>
      </w:r>
      <w:r>
        <w:rPr>
          <w:w w:val="130"/>
          <w:sz w:val="22"/>
        </w:rPr>
        <w:t>trudovi</w:t>
      </w:r>
      <w:r>
        <w:rPr>
          <w:w w:val="130"/>
          <w:sz w:val="22"/>
        </w:rPr>
        <w:t> </w:t>
      </w:r>
      <w:r>
        <w:rPr>
          <w:w w:val="120"/>
          <w:sz w:val="22"/>
        </w:rPr>
        <w:t>na</w:t>
      </w:r>
      <w:r>
        <w:rPr>
          <w:w w:val="120"/>
          <w:sz w:val="22"/>
        </w:rPr>
        <w:t> </w:t>
      </w:r>
      <w:r>
        <w:rPr>
          <w:w w:val="130"/>
          <w:sz w:val="22"/>
        </w:rPr>
        <w:t>~lenovite</w:t>
      </w:r>
      <w:r>
        <w:rPr>
          <w:w w:val="130"/>
          <w:sz w:val="22"/>
        </w:rPr>
        <w:t> </w:t>
      </w:r>
      <w:r>
        <w:rPr>
          <w:w w:val="120"/>
          <w:sz w:val="22"/>
        </w:rPr>
        <w:t>na</w:t>
      </w:r>
      <w:r>
        <w:rPr>
          <w:w w:val="120"/>
          <w:sz w:val="22"/>
        </w:rPr>
        <w:t> MLD </w:t>
      </w:r>
      <w:r>
        <w:rPr>
          <w:w w:val="170"/>
          <w:sz w:val="22"/>
        </w:rPr>
        <w:t>ili</w:t>
      </w:r>
      <w:r>
        <w:rPr>
          <w:spacing w:val="-12"/>
          <w:w w:val="170"/>
          <w:sz w:val="22"/>
        </w:rPr>
        <w:t> </w:t>
      </w:r>
      <w:r>
        <w:rPr>
          <w:w w:val="120"/>
          <w:sz w:val="22"/>
        </w:rPr>
        <w:t>na</w:t>
      </w:r>
      <w:r>
        <w:rPr>
          <w:w w:val="120"/>
          <w:sz w:val="22"/>
        </w:rPr>
        <w:t> </w:t>
      </w:r>
      <w:r>
        <w:rPr>
          <w:w w:val="130"/>
          <w:sz w:val="22"/>
        </w:rPr>
        <w:t>~lenovi</w:t>
      </w:r>
      <w:r>
        <w:rPr>
          <w:w w:val="130"/>
          <w:sz w:val="22"/>
        </w:rPr>
        <w:t> </w:t>
      </w:r>
      <w:r>
        <w:rPr>
          <w:w w:val="120"/>
          <w:sz w:val="22"/>
        </w:rPr>
        <w:t>na</w:t>
      </w:r>
      <w:r>
        <w:rPr>
          <w:w w:val="120"/>
          <w:sz w:val="22"/>
        </w:rPr>
        <w:t> </w:t>
      </w:r>
      <w:r>
        <w:rPr>
          <w:w w:val="130"/>
          <w:sz w:val="22"/>
        </w:rPr>
        <w:t>drugi</w:t>
      </w:r>
      <w:r>
        <w:rPr>
          <w:w w:val="130"/>
          <w:sz w:val="22"/>
        </w:rPr>
        <w:t> stru~ni zdru`enija.</w:t>
      </w:r>
      <w:r>
        <w:rPr>
          <w:spacing w:val="-18"/>
          <w:w w:val="130"/>
          <w:sz w:val="22"/>
        </w:rPr>
        <w:t> </w:t>
      </w:r>
      <w:r>
        <w:rPr>
          <w:w w:val="130"/>
          <w:sz w:val="22"/>
        </w:rPr>
        <w:t>Avtorite</w:t>
      </w:r>
      <w:r>
        <w:rPr>
          <w:spacing w:val="-18"/>
          <w:w w:val="130"/>
          <w:sz w:val="22"/>
        </w:rPr>
        <w:t> </w:t>
      </w:r>
      <w:r>
        <w:rPr>
          <w:w w:val="120"/>
          <w:sz w:val="22"/>
        </w:rPr>
        <w:t>se</w:t>
      </w:r>
      <w:r>
        <w:rPr>
          <w:spacing w:val="-11"/>
          <w:w w:val="120"/>
          <w:sz w:val="22"/>
        </w:rPr>
        <w:t> </w:t>
      </w:r>
      <w:r>
        <w:rPr>
          <w:w w:val="130"/>
          <w:sz w:val="22"/>
        </w:rPr>
        <w:t>odgovorni</w:t>
      </w:r>
      <w:r>
        <w:rPr>
          <w:spacing w:val="-17"/>
          <w:w w:val="130"/>
          <w:sz w:val="22"/>
        </w:rPr>
        <w:t> </w:t>
      </w:r>
      <w:r>
        <w:rPr>
          <w:w w:val="120"/>
          <w:sz w:val="22"/>
        </w:rPr>
        <w:t>za</w:t>
      </w:r>
      <w:r>
        <w:rPr>
          <w:spacing w:val="-11"/>
          <w:w w:val="120"/>
          <w:sz w:val="22"/>
        </w:rPr>
        <w:t> </w:t>
      </w:r>
      <w:r>
        <w:rPr>
          <w:w w:val="130"/>
          <w:sz w:val="22"/>
        </w:rPr>
        <w:t>po~ituvaweto</w:t>
      </w:r>
      <w:r>
        <w:rPr>
          <w:spacing w:val="-17"/>
          <w:w w:val="130"/>
          <w:sz w:val="22"/>
        </w:rPr>
        <w:t> </w:t>
      </w:r>
      <w:r>
        <w:rPr>
          <w:w w:val="120"/>
          <w:sz w:val="22"/>
        </w:rPr>
        <w:t>na</w:t>
      </w:r>
      <w:r>
        <w:rPr>
          <w:spacing w:val="-11"/>
          <w:w w:val="120"/>
          <w:sz w:val="22"/>
        </w:rPr>
        <w:t> </w:t>
      </w:r>
      <w:r>
        <w:rPr>
          <w:w w:val="130"/>
          <w:sz w:val="22"/>
        </w:rPr>
        <w:t>eti~kite</w:t>
      </w:r>
      <w:r>
        <w:rPr>
          <w:spacing w:val="-17"/>
          <w:w w:val="130"/>
          <w:sz w:val="22"/>
        </w:rPr>
        <w:t> </w:t>
      </w:r>
      <w:r>
        <w:rPr>
          <w:w w:val="130"/>
          <w:sz w:val="22"/>
        </w:rPr>
        <w:t>na~ela</w:t>
      </w:r>
      <w:r>
        <w:rPr>
          <w:spacing w:val="-17"/>
          <w:w w:val="130"/>
          <w:sz w:val="22"/>
        </w:rPr>
        <w:t> </w:t>
      </w:r>
      <w:r>
        <w:rPr>
          <w:w w:val="135"/>
          <w:sz w:val="22"/>
        </w:rPr>
        <w:t>pri</w:t>
      </w:r>
      <w:r>
        <w:rPr>
          <w:spacing w:val="-19"/>
          <w:w w:val="135"/>
          <w:sz w:val="22"/>
        </w:rPr>
        <w:t> </w:t>
      </w:r>
      <w:r>
        <w:rPr>
          <w:w w:val="130"/>
          <w:sz w:val="22"/>
        </w:rPr>
        <w:t>medicinskite istra`uvawa,</w:t>
      </w:r>
      <w:r>
        <w:rPr>
          <w:spacing w:val="-2"/>
          <w:w w:val="130"/>
          <w:sz w:val="22"/>
        </w:rPr>
        <w:t> </w:t>
      </w:r>
      <w:r>
        <w:rPr>
          <w:w w:val="120"/>
          <w:sz w:val="22"/>
        </w:rPr>
        <w:t>a</w:t>
      </w:r>
      <w:r>
        <w:rPr>
          <w:w w:val="120"/>
          <w:sz w:val="22"/>
        </w:rPr>
        <w:t> </w:t>
      </w:r>
      <w:r>
        <w:rPr>
          <w:w w:val="130"/>
          <w:sz w:val="22"/>
        </w:rPr>
        <w:t>iznesenite</w:t>
      </w:r>
      <w:r>
        <w:rPr>
          <w:spacing w:val="-2"/>
          <w:w w:val="130"/>
          <w:sz w:val="22"/>
        </w:rPr>
        <w:t> </w:t>
      </w:r>
      <w:r>
        <w:rPr>
          <w:w w:val="130"/>
          <w:sz w:val="22"/>
        </w:rPr>
        <w:t>stavovi,</w:t>
      </w:r>
      <w:r>
        <w:rPr>
          <w:spacing w:val="-2"/>
          <w:w w:val="130"/>
          <w:sz w:val="22"/>
        </w:rPr>
        <w:t> </w:t>
      </w:r>
      <w:r>
        <w:rPr>
          <w:w w:val="130"/>
          <w:sz w:val="22"/>
        </w:rPr>
        <w:t>izvedeni</w:t>
      </w:r>
      <w:r>
        <w:rPr>
          <w:spacing w:val="-4"/>
          <w:w w:val="130"/>
          <w:sz w:val="22"/>
        </w:rPr>
        <w:t> </w:t>
      </w:r>
      <w:r>
        <w:rPr>
          <w:w w:val="120"/>
          <w:sz w:val="22"/>
        </w:rPr>
        <w:t>od</w:t>
      </w:r>
      <w:r>
        <w:rPr>
          <w:w w:val="120"/>
          <w:sz w:val="22"/>
        </w:rPr>
        <w:t> </w:t>
      </w:r>
      <w:r>
        <w:rPr>
          <w:w w:val="130"/>
          <w:sz w:val="22"/>
        </w:rPr>
        <w:t>analizata</w:t>
      </w:r>
      <w:r>
        <w:rPr>
          <w:spacing w:val="-2"/>
          <w:w w:val="130"/>
          <w:sz w:val="22"/>
        </w:rPr>
        <w:t> </w:t>
      </w:r>
      <w:r>
        <w:rPr>
          <w:w w:val="120"/>
          <w:sz w:val="22"/>
        </w:rPr>
        <w:t>na</w:t>
      </w:r>
      <w:r>
        <w:rPr>
          <w:w w:val="120"/>
          <w:sz w:val="22"/>
        </w:rPr>
        <w:t> </w:t>
      </w:r>
      <w:r>
        <w:rPr>
          <w:w w:val="130"/>
          <w:sz w:val="22"/>
        </w:rPr>
        <w:t>sopstvenite</w:t>
      </w:r>
      <w:r>
        <w:rPr>
          <w:spacing w:val="-2"/>
          <w:w w:val="130"/>
          <w:sz w:val="22"/>
        </w:rPr>
        <w:t> </w:t>
      </w:r>
      <w:r>
        <w:rPr>
          <w:w w:val="130"/>
          <w:sz w:val="22"/>
        </w:rPr>
        <w:t>rezultati,</w:t>
      </w:r>
      <w:r>
        <w:rPr>
          <w:spacing w:val="-2"/>
          <w:w w:val="130"/>
          <w:sz w:val="22"/>
        </w:rPr>
        <w:t> </w:t>
      </w:r>
      <w:r>
        <w:rPr>
          <w:w w:val="120"/>
          <w:sz w:val="22"/>
        </w:rPr>
        <w:t>ne</w:t>
      </w:r>
      <w:r>
        <w:rPr>
          <w:w w:val="120"/>
          <w:sz w:val="22"/>
        </w:rPr>
        <w:t> se </w:t>
      </w:r>
      <w:r>
        <w:rPr>
          <w:spacing w:val="-2"/>
          <w:w w:val="130"/>
          <w:sz w:val="22"/>
        </w:rPr>
        <w:t>nu`no</w:t>
      </w:r>
      <w:r>
        <w:rPr>
          <w:spacing w:val="-17"/>
          <w:w w:val="130"/>
          <w:sz w:val="22"/>
        </w:rPr>
        <w:t> </w:t>
      </w:r>
      <w:r>
        <w:rPr>
          <w:spacing w:val="-2"/>
          <w:w w:val="150"/>
          <w:sz w:val="22"/>
        </w:rPr>
        <w:t>i</w:t>
      </w:r>
      <w:r>
        <w:rPr>
          <w:spacing w:val="-27"/>
          <w:w w:val="150"/>
          <w:sz w:val="22"/>
        </w:rPr>
        <w:t> </w:t>
      </w:r>
      <w:r>
        <w:rPr>
          <w:spacing w:val="-2"/>
          <w:w w:val="130"/>
          <w:sz w:val="22"/>
        </w:rPr>
        <w:t>stavovi</w:t>
      </w:r>
      <w:r>
        <w:rPr>
          <w:spacing w:val="-18"/>
          <w:w w:val="130"/>
          <w:sz w:val="22"/>
        </w:rPr>
        <w:t> </w:t>
      </w:r>
      <w:r>
        <w:rPr>
          <w:spacing w:val="-2"/>
          <w:w w:val="120"/>
          <w:sz w:val="22"/>
        </w:rPr>
        <w:t>na</w:t>
      </w:r>
      <w:r>
        <w:rPr>
          <w:spacing w:val="-14"/>
          <w:w w:val="120"/>
          <w:sz w:val="22"/>
        </w:rPr>
        <w:t> </w:t>
      </w:r>
      <w:r>
        <w:rPr>
          <w:spacing w:val="-2"/>
          <w:w w:val="130"/>
          <w:sz w:val="22"/>
        </w:rPr>
        <w:t>Redakcijata</w:t>
      </w:r>
      <w:r>
        <w:rPr>
          <w:spacing w:val="-17"/>
          <w:w w:val="130"/>
          <w:sz w:val="22"/>
        </w:rPr>
        <w:t> </w:t>
      </w:r>
      <w:r>
        <w:rPr>
          <w:spacing w:val="-2"/>
          <w:w w:val="120"/>
          <w:sz w:val="22"/>
        </w:rPr>
        <w:t>na</w:t>
      </w:r>
      <w:r>
        <w:rPr>
          <w:spacing w:val="-11"/>
          <w:w w:val="120"/>
          <w:sz w:val="22"/>
        </w:rPr>
        <w:t> </w:t>
      </w:r>
      <w:r>
        <w:rPr>
          <w:spacing w:val="-2"/>
          <w:w w:val="120"/>
          <w:sz w:val="22"/>
        </w:rPr>
        <w:t>MMP.</w:t>
      </w:r>
    </w:p>
    <w:p>
      <w:pPr>
        <w:spacing w:line="242" w:lineRule="auto" w:before="0"/>
        <w:ind w:left="238" w:right="292" w:firstLine="0"/>
        <w:jc w:val="both"/>
        <w:rPr>
          <w:sz w:val="22"/>
        </w:rPr>
      </w:pPr>
      <w:r>
        <w:rPr>
          <w:w w:val="125"/>
          <w:sz w:val="22"/>
        </w:rPr>
        <w:t>Redakcijata gi ispra}a</w:t>
      </w:r>
      <w:r>
        <w:rPr>
          <w:spacing w:val="-1"/>
          <w:w w:val="125"/>
          <w:sz w:val="22"/>
        </w:rPr>
        <w:t> </w:t>
      </w:r>
      <w:r>
        <w:rPr>
          <w:w w:val="125"/>
          <w:sz w:val="22"/>
        </w:rPr>
        <w:t>rakopisite na stru~nа recenziја; recenzentot</w:t>
      </w:r>
      <w:r>
        <w:rPr>
          <w:spacing w:val="-1"/>
          <w:w w:val="125"/>
          <w:sz w:val="22"/>
        </w:rPr>
        <w:t> </w:t>
      </w:r>
      <w:r>
        <w:rPr>
          <w:w w:val="125"/>
          <w:sz w:val="22"/>
        </w:rPr>
        <w:t>(ite) i Redakcijata ja </w:t>
      </w:r>
      <w:r>
        <w:rPr>
          <w:w w:val="130"/>
          <w:sz w:val="22"/>
        </w:rPr>
        <w:t>opredeluvaat</w:t>
      </w:r>
      <w:r>
        <w:rPr>
          <w:w w:val="130"/>
          <w:sz w:val="22"/>
        </w:rPr>
        <w:t> definitivnata</w:t>
      </w:r>
      <w:r>
        <w:rPr>
          <w:w w:val="130"/>
          <w:sz w:val="22"/>
        </w:rPr>
        <w:t> kategorizacija</w:t>
      </w:r>
      <w:r>
        <w:rPr>
          <w:w w:val="130"/>
          <w:sz w:val="22"/>
        </w:rPr>
        <w:t> na</w:t>
      </w:r>
      <w:r>
        <w:rPr>
          <w:w w:val="130"/>
          <w:sz w:val="22"/>
        </w:rPr>
        <w:t> rakopisot</w:t>
      </w:r>
      <w:r>
        <w:rPr>
          <w:w w:val="130"/>
          <w:sz w:val="22"/>
        </w:rPr>
        <w:t> koj</w:t>
      </w:r>
      <w:r>
        <w:rPr>
          <w:w w:val="130"/>
          <w:sz w:val="22"/>
        </w:rPr>
        <w:t> e</w:t>
      </w:r>
      <w:r>
        <w:rPr>
          <w:w w:val="130"/>
          <w:sz w:val="22"/>
        </w:rPr>
        <w:t> prifaten</w:t>
      </w:r>
      <w:r>
        <w:rPr>
          <w:w w:val="130"/>
          <w:sz w:val="22"/>
        </w:rPr>
        <w:t> za</w:t>
      </w:r>
      <w:r>
        <w:rPr>
          <w:w w:val="130"/>
          <w:sz w:val="22"/>
        </w:rPr>
        <w:t> </w:t>
      </w:r>
      <w:r>
        <w:rPr>
          <w:w w:val="120"/>
          <w:sz w:val="22"/>
        </w:rPr>
        <w:t>pe~atewe. </w:t>
      </w:r>
      <w:r>
        <w:rPr>
          <w:w w:val="125"/>
          <w:sz w:val="22"/>
        </w:rPr>
        <w:t>Redakcijata </w:t>
      </w:r>
      <w:r>
        <w:rPr>
          <w:w w:val="120"/>
          <w:sz w:val="22"/>
        </w:rPr>
        <w:t>go </w:t>
      </w:r>
      <w:r>
        <w:rPr>
          <w:w w:val="125"/>
          <w:sz w:val="22"/>
        </w:rPr>
        <w:t>zadr`uva pravoto rakopisite da gi pe~ati spored recenziraniot prioritet.</w:t>
      </w:r>
    </w:p>
    <w:p>
      <w:pPr>
        <w:spacing w:line="244" w:lineRule="auto" w:before="0"/>
        <w:ind w:left="238" w:right="298" w:firstLine="0"/>
        <w:jc w:val="both"/>
        <w:rPr>
          <w:sz w:val="22"/>
        </w:rPr>
      </w:pPr>
      <w:r>
        <w:rPr>
          <w:w w:val="120"/>
          <w:sz w:val="22"/>
        </w:rPr>
        <w:t>Upatstvoto</w:t>
      </w:r>
      <w:r>
        <w:rPr>
          <w:w w:val="120"/>
          <w:sz w:val="22"/>
        </w:rPr>
        <w:t> za</w:t>
      </w:r>
      <w:r>
        <w:rPr>
          <w:w w:val="120"/>
          <w:sz w:val="22"/>
        </w:rPr>
        <w:t> sorabotnicite</w:t>
      </w:r>
      <w:r>
        <w:rPr>
          <w:w w:val="120"/>
          <w:sz w:val="22"/>
        </w:rPr>
        <w:t> na</w:t>
      </w:r>
      <w:r>
        <w:rPr>
          <w:w w:val="120"/>
          <w:sz w:val="22"/>
        </w:rPr>
        <w:t> MMP</w:t>
      </w:r>
      <w:r>
        <w:rPr>
          <w:w w:val="120"/>
          <w:sz w:val="22"/>
        </w:rPr>
        <w:t> e</w:t>
      </w:r>
      <w:r>
        <w:rPr>
          <w:w w:val="120"/>
          <w:sz w:val="22"/>
        </w:rPr>
        <w:t> vo</w:t>
      </w:r>
      <w:r>
        <w:rPr>
          <w:w w:val="120"/>
          <w:sz w:val="22"/>
        </w:rPr>
        <w:t> soglasnost</w:t>
      </w:r>
      <w:r>
        <w:rPr>
          <w:w w:val="120"/>
          <w:sz w:val="22"/>
        </w:rPr>
        <w:t> so</w:t>
      </w:r>
      <w:r>
        <w:rPr>
          <w:w w:val="120"/>
          <w:sz w:val="22"/>
        </w:rPr>
        <w:t> Vankuverskite</w:t>
      </w:r>
      <w:r>
        <w:rPr>
          <w:w w:val="120"/>
          <w:sz w:val="22"/>
        </w:rPr>
        <w:t> pravila</w:t>
      </w:r>
      <w:r>
        <w:rPr>
          <w:w w:val="120"/>
          <w:sz w:val="22"/>
        </w:rPr>
        <w:t> za izedna~eni barawa za rakopisite koi se pra}aat do biomedicinskite spisanija.</w:t>
      </w:r>
    </w:p>
    <w:p>
      <w:pPr>
        <w:pStyle w:val="BodyText"/>
        <w:rPr>
          <w:sz w:val="20"/>
        </w:rPr>
      </w:pPr>
    </w:p>
    <w:p>
      <w:pPr>
        <w:pStyle w:val="Heading2"/>
        <w:numPr>
          <w:ilvl w:val="0"/>
          <w:numId w:val="17"/>
        </w:numPr>
        <w:tabs>
          <w:tab w:pos="599" w:val="left" w:leader="none"/>
        </w:tabs>
        <w:spacing w:line="240" w:lineRule="auto" w:before="0" w:after="0"/>
        <w:ind w:left="598" w:right="0" w:hanging="361"/>
        <w:jc w:val="left"/>
      </w:pPr>
      <w:r>
        <w:rPr>
          <w:w w:val="110"/>
        </w:rPr>
        <w:t>TEKST</w:t>
      </w:r>
      <w:r>
        <w:rPr>
          <w:spacing w:val="-14"/>
          <w:w w:val="110"/>
        </w:rPr>
        <w:t> </w:t>
      </w:r>
      <w:r>
        <w:rPr>
          <w:w w:val="110"/>
        </w:rPr>
        <w:t>NA</w:t>
      </w:r>
      <w:r>
        <w:rPr>
          <w:spacing w:val="-14"/>
          <w:w w:val="110"/>
        </w:rPr>
        <w:t> </w:t>
      </w:r>
      <w:r>
        <w:rPr>
          <w:spacing w:val="-5"/>
          <w:w w:val="79"/>
        </w:rPr>
        <w:t>R</w:t>
      </w:r>
      <w:r>
        <w:rPr>
          <w:spacing w:val="-3"/>
          <w:w w:val="102"/>
        </w:rPr>
        <w:t>A</w:t>
      </w:r>
      <w:r>
        <w:rPr>
          <w:w w:val="87"/>
        </w:rPr>
        <w:t>K</w:t>
      </w:r>
      <w:r>
        <w:rPr>
          <w:spacing w:val="-3"/>
          <w:w w:val="94"/>
        </w:rPr>
        <w:t>O</w:t>
      </w:r>
      <w:r>
        <w:rPr>
          <w:spacing w:val="-3"/>
          <w:w w:val="123"/>
        </w:rPr>
        <w:t>P</w:t>
      </w:r>
      <w:r>
        <w:rPr>
          <w:spacing w:val="-3"/>
          <w:w w:val="201"/>
        </w:rPr>
        <w:t>I</w:t>
      </w:r>
      <w:r>
        <w:rPr>
          <w:spacing w:val="-3"/>
          <w:w w:val="117"/>
        </w:rPr>
        <w:t>S</w:t>
      </w:r>
      <w:r>
        <w:rPr>
          <w:spacing w:val="-1"/>
          <w:w w:val="94"/>
        </w:rPr>
        <w:t>O</w:t>
      </w:r>
      <w:r>
        <w:rPr>
          <w:spacing w:val="-1"/>
          <w:w w:val="87"/>
        </w:rPr>
        <w:t>T</w:t>
      </w:r>
    </w:p>
    <w:p>
      <w:pPr>
        <w:spacing w:line="242" w:lineRule="auto" w:before="4"/>
        <w:ind w:left="238" w:right="291" w:firstLine="0"/>
        <w:jc w:val="both"/>
        <w:rPr>
          <w:sz w:val="22"/>
        </w:rPr>
      </w:pPr>
      <w:r>
        <w:rPr>
          <w:w w:val="140"/>
          <w:sz w:val="22"/>
        </w:rPr>
        <w:t>Site</w:t>
      </w:r>
      <w:r>
        <w:rPr>
          <w:spacing w:val="-20"/>
          <w:w w:val="140"/>
          <w:sz w:val="22"/>
        </w:rPr>
        <w:t> </w:t>
      </w:r>
      <w:r>
        <w:rPr>
          <w:w w:val="125"/>
          <w:sz w:val="22"/>
        </w:rPr>
        <w:t>rakopisi</w:t>
      </w:r>
      <w:r>
        <w:rPr>
          <w:spacing w:val="-17"/>
          <w:w w:val="125"/>
          <w:sz w:val="22"/>
        </w:rPr>
        <w:t> </w:t>
      </w:r>
      <w:r>
        <w:rPr>
          <w:w w:val="125"/>
          <w:sz w:val="22"/>
        </w:rPr>
        <w:t>se</w:t>
      </w:r>
      <w:r>
        <w:rPr>
          <w:spacing w:val="-17"/>
          <w:w w:val="125"/>
          <w:sz w:val="22"/>
        </w:rPr>
        <w:t> </w:t>
      </w:r>
      <w:r>
        <w:rPr>
          <w:w w:val="125"/>
          <w:sz w:val="22"/>
        </w:rPr>
        <w:t>ispra}aat</w:t>
      </w:r>
      <w:r>
        <w:rPr>
          <w:spacing w:val="-17"/>
          <w:w w:val="125"/>
          <w:sz w:val="22"/>
        </w:rPr>
        <w:t> </w:t>
      </w:r>
      <w:r>
        <w:rPr>
          <w:w w:val="120"/>
          <w:sz w:val="22"/>
        </w:rPr>
        <w:t>vo</w:t>
      </w:r>
      <w:r>
        <w:rPr>
          <w:spacing w:val="-17"/>
          <w:w w:val="120"/>
          <w:sz w:val="22"/>
        </w:rPr>
        <w:t> </w:t>
      </w:r>
      <w:r>
        <w:rPr>
          <w:w w:val="125"/>
          <w:sz w:val="22"/>
        </w:rPr>
        <w:t>elektronska</w:t>
      </w:r>
      <w:r>
        <w:rPr>
          <w:spacing w:val="-17"/>
          <w:w w:val="125"/>
          <w:sz w:val="22"/>
        </w:rPr>
        <w:t> </w:t>
      </w:r>
      <w:r>
        <w:rPr>
          <w:spacing w:val="1"/>
          <w:w w:val="223"/>
          <w:sz w:val="22"/>
        </w:rPr>
        <w:t>f</w:t>
      </w:r>
      <w:r>
        <w:rPr>
          <w:spacing w:val="-2"/>
          <w:sz w:val="22"/>
        </w:rPr>
        <w:t>o</w:t>
      </w:r>
      <w:r>
        <w:rPr>
          <w:spacing w:val="1"/>
          <w:w w:val="99"/>
          <w:sz w:val="22"/>
        </w:rPr>
        <w:t>r</w:t>
      </w:r>
      <w:r>
        <w:rPr>
          <w:spacing w:val="-1"/>
          <w:w w:val="99"/>
          <w:sz w:val="22"/>
        </w:rPr>
        <w:t>m</w:t>
      </w:r>
      <w:r>
        <w:rPr>
          <w:spacing w:val="1"/>
          <w:w w:val="102"/>
          <w:sz w:val="22"/>
        </w:rPr>
        <w:t>a</w:t>
      </w:r>
      <w:r>
        <w:rPr>
          <w:spacing w:val="-17"/>
          <w:w w:val="124"/>
          <w:sz w:val="22"/>
        </w:rPr>
        <w:t> </w:t>
      </w:r>
      <w:r>
        <w:rPr>
          <w:w w:val="125"/>
          <w:sz w:val="22"/>
        </w:rPr>
        <w:t>na</w:t>
      </w:r>
      <w:r>
        <w:rPr>
          <w:spacing w:val="-17"/>
          <w:w w:val="125"/>
          <w:sz w:val="22"/>
        </w:rPr>
        <w:t> </w:t>
      </w:r>
      <w:r>
        <w:rPr>
          <w:w w:val="125"/>
          <w:sz w:val="22"/>
        </w:rPr>
        <w:t>elektronskata</w:t>
      </w:r>
      <w:r>
        <w:rPr>
          <w:spacing w:val="-17"/>
          <w:w w:val="125"/>
          <w:sz w:val="22"/>
        </w:rPr>
        <w:t> </w:t>
      </w:r>
      <w:r>
        <w:rPr>
          <w:w w:val="125"/>
          <w:sz w:val="22"/>
        </w:rPr>
        <w:t>adresa</w:t>
      </w:r>
      <w:r>
        <w:rPr>
          <w:spacing w:val="-17"/>
          <w:w w:val="125"/>
          <w:sz w:val="22"/>
        </w:rPr>
        <w:t> </w:t>
      </w:r>
      <w:r>
        <w:rPr>
          <w:w w:val="125"/>
          <w:sz w:val="22"/>
        </w:rPr>
        <w:t>(e-mail)</w:t>
      </w:r>
      <w:r>
        <w:rPr>
          <w:spacing w:val="-15"/>
          <w:w w:val="125"/>
          <w:sz w:val="22"/>
        </w:rPr>
        <w:t> </w:t>
      </w:r>
      <w:r>
        <w:rPr>
          <w:w w:val="125"/>
          <w:sz w:val="22"/>
        </w:rPr>
        <w:t>na</w:t>
      </w:r>
      <w:r>
        <w:rPr>
          <w:spacing w:val="-17"/>
          <w:w w:val="125"/>
          <w:sz w:val="22"/>
        </w:rPr>
        <w:t> </w:t>
      </w:r>
      <w:r>
        <w:rPr>
          <w:w w:val="120"/>
          <w:sz w:val="22"/>
        </w:rPr>
        <w:t>MLD- </w:t>
      </w:r>
      <w:r>
        <w:rPr>
          <w:w w:val="125"/>
          <w:sz w:val="22"/>
        </w:rPr>
        <w:t>MMP,</w:t>
      </w:r>
      <w:r>
        <w:rPr>
          <w:spacing w:val="-18"/>
          <w:w w:val="125"/>
          <w:sz w:val="22"/>
        </w:rPr>
        <w:t> </w:t>
      </w:r>
      <w:r>
        <w:rPr>
          <w:w w:val="125"/>
          <w:sz w:val="22"/>
        </w:rPr>
        <w:t>so</w:t>
      </w:r>
      <w:r>
        <w:rPr>
          <w:spacing w:val="-17"/>
          <w:w w:val="125"/>
          <w:sz w:val="22"/>
        </w:rPr>
        <w:t> </w:t>
      </w:r>
      <w:r>
        <w:rPr>
          <w:w w:val="120"/>
          <w:sz w:val="22"/>
        </w:rPr>
        <w:t>dvoen</w:t>
      </w:r>
      <w:r>
        <w:rPr>
          <w:spacing w:val="-16"/>
          <w:w w:val="120"/>
          <w:sz w:val="22"/>
        </w:rPr>
        <w:t> </w:t>
      </w:r>
      <w:r>
        <w:rPr>
          <w:w w:val="125"/>
          <w:sz w:val="22"/>
        </w:rPr>
        <w:t>prored</w:t>
      </w:r>
      <w:r>
        <w:rPr>
          <w:spacing w:val="-18"/>
          <w:w w:val="125"/>
          <w:sz w:val="22"/>
        </w:rPr>
        <w:t> </w:t>
      </w:r>
      <w:r>
        <w:rPr>
          <w:w w:val="170"/>
          <w:sz w:val="22"/>
        </w:rPr>
        <w:t>i</w:t>
      </w:r>
      <w:r>
        <w:rPr>
          <w:spacing w:val="-23"/>
          <w:w w:val="170"/>
          <w:sz w:val="22"/>
        </w:rPr>
        <w:t> </w:t>
      </w:r>
      <w:r>
        <w:rPr>
          <w:w w:val="120"/>
          <w:sz w:val="22"/>
        </w:rPr>
        <w:t>najmnogu</w:t>
      </w:r>
      <w:r>
        <w:rPr>
          <w:spacing w:val="-16"/>
          <w:w w:val="120"/>
          <w:sz w:val="22"/>
        </w:rPr>
        <w:t> </w:t>
      </w:r>
      <w:r>
        <w:rPr>
          <w:w w:val="120"/>
          <w:sz w:val="22"/>
        </w:rPr>
        <w:t>28</w:t>
      </w:r>
      <w:r>
        <w:rPr>
          <w:spacing w:val="-17"/>
          <w:w w:val="120"/>
          <w:sz w:val="22"/>
        </w:rPr>
        <w:t> </w:t>
      </w:r>
      <w:r>
        <w:rPr>
          <w:w w:val="125"/>
          <w:sz w:val="22"/>
        </w:rPr>
        <w:t>redovi</w:t>
      </w:r>
      <w:r>
        <w:rPr>
          <w:spacing w:val="-17"/>
          <w:w w:val="125"/>
          <w:sz w:val="22"/>
        </w:rPr>
        <w:t> </w:t>
      </w:r>
      <w:r>
        <w:rPr>
          <w:w w:val="125"/>
          <w:sz w:val="22"/>
        </w:rPr>
        <w:t>na</w:t>
      </w:r>
      <w:r>
        <w:rPr>
          <w:spacing w:val="-17"/>
          <w:w w:val="125"/>
          <w:sz w:val="22"/>
        </w:rPr>
        <w:t> </w:t>
      </w:r>
      <w:r>
        <w:rPr>
          <w:w w:val="125"/>
          <w:sz w:val="22"/>
        </w:rPr>
        <w:t>stranica.</w:t>
      </w:r>
      <w:r>
        <w:rPr>
          <w:spacing w:val="-17"/>
          <w:w w:val="125"/>
          <w:sz w:val="22"/>
        </w:rPr>
        <w:t> </w:t>
      </w:r>
      <w:r>
        <w:rPr>
          <w:w w:val="125"/>
          <w:sz w:val="22"/>
        </w:rPr>
        <w:t>Trudot</w:t>
      </w:r>
      <w:r>
        <w:rPr>
          <w:spacing w:val="-18"/>
          <w:w w:val="125"/>
          <w:sz w:val="22"/>
        </w:rPr>
        <w:t> </w:t>
      </w:r>
      <w:r>
        <w:rPr>
          <w:w w:val="125"/>
          <w:sz w:val="22"/>
        </w:rPr>
        <w:t>se</w:t>
      </w:r>
      <w:r>
        <w:rPr>
          <w:spacing w:val="-17"/>
          <w:w w:val="125"/>
          <w:sz w:val="22"/>
        </w:rPr>
        <w:t> </w:t>
      </w:r>
      <w:r>
        <w:rPr>
          <w:w w:val="120"/>
          <w:sz w:val="22"/>
        </w:rPr>
        <w:t>podnesuva</w:t>
      </w:r>
      <w:r>
        <w:rPr>
          <w:spacing w:val="-14"/>
          <w:w w:val="120"/>
          <w:sz w:val="22"/>
        </w:rPr>
        <w:t> </w:t>
      </w:r>
      <w:r>
        <w:rPr>
          <w:w w:val="125"/>
          <w:sz w:val="22"/>
        </w:rPr>
        <w:t>na</w:t>
      </w:r>
      <w:r>
        <w:rPr>
          <w:spacing w:val="-16"/>
          <w:w w:val="125"/>
          <w:sz w:val="22"/>
        </w:rPr>
        <w:t> </w:t>
      </w:r>
      <w:r>
        <w:rPr>
          <w:w w:val="125"/>
          <w:sz w:val="22"/>
        </w:rPr>
        <w:t>angliski </w:t>
      </w:r>
      <w:r>
        <w:rPr>
          <w:spacing w:val="-2"/>
          <w:w w:val="125"/>
          <w:sz w:val="22"/>
        </w:rPr>
        <w:t>jazik</w:t>
      </w:r>
      <w:r>
        <w:rPr>
          <w:spacing w:val="33"/>
          <w:w w:val="130"/>
          <w:sz w:val="22"/>
        </w:rPr>
        <w:t> </w:t>
      </w:r>
      <w:r>
        <w:rPr>
          <w:spacing w:val="-2"/>
          <w:w w:val="130"/>
          <w:sz w:val="22"/>
        </w:rPr>
        <w:t>latini~en</w:t>
      </w:r>
      <w:r>
        <w:rPr>
          <w:spacing w:val="-16"/>
          <w:w w:val="130"/>
          <w:sz w:val="22"/>
        </w:rPr>
        <w:t> </w:t>
      </w:r>
      <w:r>
        <w:rPr>
          <w:spacing w:val="-2"/>
          <w:w w:val="205"/>
          <w:sz w:val="22"/>
        </w:rPr>
        <w:t>f</w:t>
      </w:r>
      <w:r>
        <w:rPr>
          <w:spacing w:val="-2"/>
          <w:w w:val="82"/>
          <w:sz w:val="22"/>
        </w:rPr>
        <w:t>o</w:t>
      </w:r>
      <w:r>
        <w:rPr>
          <w:spacing w:val="-3"/>
          <w:w w:val="82"/>
          <w:sz w:val="22"/>
        </w:rPr>
        <w:t>n</w:t>
      </w:r>
      <w:r>
        <w:rPr>
          <w:spacing w:val="-2"/>
          <w:w w:val="151"/>
          <w:sz w:val="22"/>
        </w:rPr>
        <w:t>t</w:t>
      </w:r>
      <w:r>
        <w:rPr>
          <w:spacing w:val="-15"/>
          <w:w w:val="130"/>
          <w:sz w:val="22"/>
        </w:rPr>
        <w:t> </w:t>
      </w:r>
      <w:r>
        <w:rPr>
          <w:spacing w:val="-2"/>
          <w:w w:val="125"/>
          <w:sz w:val="22"/>
        </w:rPr>
        <w:t>Times</w:t>
      </w:r>
      <w:r>
        <w:rPr>
          <w:spacing w:val="-13"/>
          <w:w w:val="125"/>
          <w:sz w:val="22"/>
        </w:rPr>
        <w:t> </w:t>
      </w:r>
      <w:r>
        <w:rPr>
          <w:spacing w:val="-2"/>
          <w:w w:val="125"/>
          <w:sz w:val="22"/>
        </w:rPr>
        <w:t>New</w:t>
      </w:r>
      <w:r>
        <w:rPr>
          <w:spacing w:val="-13"/>
          <w:w w:val="125"/>
          <w:sz w:val="22"/>
        </w:rPr>
        <w:t> </w:t>
      </w:r>
      <w:r>
        <w:rPr>
          <w:spacing w:val="-2"/>
          <w:w w:val="120"/>
          <w:sz w:val="22"/>
        </w:rPr>
        <w:t>Roman</w:t>
      </w:r>
      <w:r>
        <w:rPr>
          <w:spacing w:val="-12"/>
          <w:w w:val="120"/>
          <w:sz w:val="22"/>
        </w:rPr>
        <w:t> </w:t>
      </w:r>
      <w:r>
        <w:rPr>
          <w:spacing w:val="-2"/>
          <w:w w:val="125"/>
          <w:sz w:val="22"/>
        </w:rPr>
        <w:t>golemina</w:t>
      </w:r>
      <w:r>
        <w:rPr>
          <w:spacing w:val="-13"/>
          <w:w w:val="125"/>
          <w:sz w:val="22"/>
        </w:rPr>
        <w:t> </w:t>
      </w:r>
      <w:r>
        <w:rPr>
          <w:spacing w:val="-2"/>
          <w:w w:val="120"/>
          <w:sz w:val="22"/>
        </w:rPr>
        <w:t>12</w:t>
      </w:r>
      <w:r>
        <w:rPr>
          <w:spacing w:val="-11"/>
          <w:w w:val="120"/>
          <w:sz w:val="22"/>
        </w:rPr>
        <w:t> </w:t>
      </w:r>
      <w:r>
        <w:rPr>
          <w:spacing w:val="-2"/>
          <w:w w:val="130"/>
          <w:sz w:val="22"/>
        </w:rPr>
        <w:t>i</w:t>
      </w:r>
      <w:r>
        <w:rPr>
          <w:spacing w:val="-16"/>
          <w:w w:val="130"/>
          <w:sz w:val="22"/>
        </w:rPr>
        <w:t> </w:t>
      </w:r>
      <w:r>
        <w:rPr>
          <w:spacing w:val="-2"/>
          <w:w w:val="125"/>
          <w:sz w:val="22"/>
        </w:rPr>
        <w:t>apstrakt</w:t>
      </w:r>
      <w:r>
        <w:rPr>
          <w:spacing w:val="-13"/>
          <w:w w:val="125"/>
          <w:sz w:val="22"/>
        </w:rPr>
        <w:t> </w:t>
      </w:r>
      <w:r>
        <w:rPr>
          <w:spacing w:val="-2"/>
          <w:w w:val="125"/>
          <w:sz w:val="22"/>
        </w:rPr>
        <w:t>na</w:t>
      </w:r>
      <w:r>
        <w:rPr>
          <w:spacing w:val="-16"/>
          <w:w w:val="125"/>
          <w:sz w:val="22"/>
        </w:rPr>
        <w:t> </w:t>
      </w:r>
      <w:r>
        <w:rPr>
          <w:spacing w:val="-2"/>
          <w:w w:val="125"/>
          <w:sz w:val="22"/>
        </w:rPr>
        <w:t>makedonski</w:t>
      </w:r>
      <w:r>
        <w:rPr>
          <w:spacing w:val="-13"/>
          <w:w w:val="125"/>
          <w:sz w:val="22"/>
        </w:rPr>
        <w:t> </w:t>
      </w:r>
      <w:r>
        <w:rPr>
          <w:spacing w:val="-2"/>
          <w:w w:val="125"/>
          <w:sz w:val="22"/>
        </w:rPr>
        <w:t>jazik.</w:t>
      </w:r>
      <w:r>
        <w:rPr>
          <w:spacing w:val="-15"/>
          <w:w w:val="125"/>
          <w:sz w:val="22"/>
        </w:rPr>
        <w:t> </w:t>
      </w:r>
      <w:r>
        <w:rPr>
          <w:spacing w:val="-2"/>
          <w:w w:val="120"/>
          <w:sz w:val="22"/>
        </w:rPr>
        <w:t>Levo, </w:t>
      </w:r>
      <w:r>
        <w:rPr>
          <w:w w:val="115"/>
          <w:sz w:val="22"/>
        </w:rPr>
        <w:t>gore i dolu</w:t>
      </w:r>
      <w:r>
        <w:rPr>
          <w:spacing w:val="-2"/>
          <w:w w:val="115"/>
          <w:sz w:val="22"/>
        </w:rPr>
        <w:t> </w:t>
      </w:r>
      <w:r>
        <w:rPr>
          <w:w w:val="115"/>
          <w:sz w:val="22"/>
        </w:rPr>
        <w:t>treba da</w:t>
      </w:r>
      <w:r>
        <w:rPr>
          <w:spacing w:val="-2"/>
          <w:w w:val="115"/>
          <w:sz w:val="22"/>
        </w:rPr>
        <w:t> </w:t>
      </w:r>
      <w:r>
        <w:rPr>
          <w:w w:val="115"/>
          <w:sz w:val="22"/>
        </w:rPr>
        <w:t>se</w:t>
      </w:r>
      <w:r>
        <w:rPr>
          <w:spacing w:val="-1"/>
          <w:w w:val="115"/>
          <w:sz w:val="22"/>
        </w:rPr>
        <w:t> </w:t>
      </w:r>
      <w:r>
        <w:rPr>
          <w:w w:val="115"/>
          <w:sz w:val="22"/>
        </w:rPr>
        <w:t>ostavi slobodna margina od najmalku 3 sm,</w:t>
      </w:r>
      <w:r>
        <w:rPr>
          <w:spacing w:val="-2"/>
          <w:w w:val="115"/>
          <w:sz w:val="22"/>
        </w:rPr>
        <w:t> </w:t>
      </w:r>
      <w:r>
        <w:rPr>
          <w:w w:val="115"/>
          <w:sz w:val="22"/>
        </w:rPr>
        <w:t>a desno od 2,5</w:t>
      </w:r>
      <w:r>
        <w:rPr>
          <w:spacing w:val="-2"/>
          <w:w w:val="115"/>
          <w:sz w:val="22"/>
        </w:rPr>
        <w:t> </w:t>
      </w:r>
      <w:r>
        <w:rPr>
          <w:w w:val="115"/>
          <w:sz w:val="22"/>
        </w:rPr>
        <w:t>sm.. Redniot </w:t>
      </w:r>
      <w:r>
        <w:rPr>
          <w:w w:val="125"/>
          <w:sz w:val="22"/>
        </w:rPr>
        <w:t>broj</w:t>
      </w:r>
      <w:r>
        <w:rPr>
          <w:spacing w:val="40"/>
          <w:w w:val="125"/>
          <w:sz w:val="22"/>
        </w:rPr>
        <w:t> </w:t>
      </w:r>
      <w:r>
        <w:rPr>
          <w:w w:val="125"/>
          <w:sz w:val="22"/>
        </w:rPr>
        <w:t>na</w:t>
      </w:r>
      <w:r>
        <w:rPr>
          <w:spacing w:val="-12"/>
          <w:w w:val="125"/>
          <w:sz w:val="22"/>
        </w:rPr>
        <w:t> </w:t>
      </w:r>
      <w:r>
        <w:rPr>
          <w:w w:val="140"/>
          <w:sz w:val="22"/>
        </w:rPr>
        <w:t>stranicite</w:t>
      </w:r>
      <w:r>
        <w:rPr>
          <w:spacing w:val="-24"/>
          <w:w w:val="140"/>
          <w:sz w:val="22"/>
        </w:rPr>
        <w:t> </w:t>
      </w:r>
      <w:r>
        <w:rPr>
          <w:w w:val="125"/>
          <w:sz w:val="22"/>
        </w:rPr>
        <w:t>se</w:t>
      </w:r>
      <w:r>
        <w:rPr>
          <w:spacing w:val="-12"/>
          <w:w w:val="125"/>
          <w:sz w:val="22"/>
        </w:rPr>
        <w:t> </w:t>
      </w:r>
      <w:r>
        <w:rPr>
          <w:w w:val="125"/>
          <w:sz w:val="22"/>
        </w:rPr>
        <w:t>pi{uva</w:t>
      </w:r>
      <w:r>
        <w:rPr>
          <w:spacing w:val="-12"/>
          <w:w w:val="125"/>
          <w:sz w:val="22"/>
        </w:rPr>
        <w:t> </w:t>
      </w:r>
      <w:r>
        <w:rPr>
          <w:w w:val="120"/>
          <w:sz w:val="22"/>
        </w:rPr>
        <w:t>vo</w:t>
      </w:r>
      <w:r>
        <w:rPr>
          <w:spacing w:val="-13"/>
          <w:w w:val="120"/>
          <w:sz w:val="22"/>
        </w:rPr>
        <w:t> </w:t>
      </w:r>
      <w:r>
        <w:rPr>
          <w:w w:val="125"/>
          <w:sz w:val="22"/>
        </w:rPr>
        <w:t>desniot</w:t>
      </w:r>
      <w:r>
        <w:rPr>
          <w:spacing w:val="-15"/>
          <w:w w:val="125"/>
          <w:sz w:val="22"/>
        </w:rPr>
        <w:t> </w:t>
      </w:r>
      <w:r>
        <w:rPr>
          <w:w w:val="125"/>
          <w:sz w:val="22"/>
        </w:rPr>
        <w:t>goren</w:t>
      </w:r>
      <w:r>
        <w:rPr>
          <w:spacing w:val="-15"/>
          <w:w w:val="125"/>
          <w:sz w:val="22"/>
        </w:rPr>
        <w:t> </w:t>
      </w:r>
      <w:r>
        <w:rPr>
          <w:w w:val="125"/>
          <w:sz w:val="22"/>
        </w:rPr>
        <w:t>agol.</w:t>
      </w:r>
    </w:p>
    <w:p>
      <w:pPr>
        <w:spacing w:line="242" w:lineRule="auto" w:before="0"/>
        <w:ind w:left="238" w:right="294" w:firstLine="0"/>
        <w:jc w:val="both"/>
        <w:rPr>
          <w:sz w:val="22"/>
        </w:rPr>
      </w:pPr>
      <w:r>
        <w:rPr>
          <w:w w:val="125"/>
          <w:sz w:val="22"/>
        </w:rPr>
        <w:t>Rakopisot</w:t>
      </w:r>
      <w:r>
        <w:rPr>
          <w:w w:val="125"/>
          <w:sz w:val="22"/>
        </w:rPr>
        <w:t> na</w:t>
      </w:r>
      <w:r>
        <w:rPr>
          <w:w w:val="125"/>
          <w:sz w:val="22"/>
        </w:rPr>
        <w:t> trudot</w:t>
      </w:r>
      <w:r>
        <w:rPr>
          <w:w w:val="125"/>
          <w:sz w:val="22"/>
        </w:rPr>
        <w:t> treba</w:t>
      </w:r>
      <w:r>
        <w:rPr>
          <w:w w:val="125"/>
          <w:sz w:val="22"/>
        </w:rPr>
        <w:t> da</w:t>
      </w:r>
      <w:r>
        <w:rPr>
          <w:w w:val="125"/>
          <w:sz w:val="22"/>
        </w:rPr>
        <w:t> e</w:t>
      </w:r>
      <w:r>
        <w:rPr>
          <w:w w:val="125"/>
          <w:sz w:val="22"/>
        </w:rPr>
        <w:t> </w:t>
      </w:r>
      <w:r>
        <w:rPr>
          <w:w w:val="118"/>
          <w:sz w:val="22"/>
        </w:rPr>
        <w:t>p</w:t>
      </w:r>
      <w:r>
        <w:rPr>
          <w:spacing w:val="-1"/>
          <w:w w:val="118"/>
          <w:sz w:val="22"/>
        </w:rPr>
        <w:t>r</w:t>
      </w:r>
      <w:r>
        <w:rPr>
          <w:w w:val="130"/>
          <w:sz w:val="22"/>
        </w:rPr>
        <w:t>id</w:t>
      </w:r>
      <w:r>
        <w:rPr>
          <w:spacing w:val="-1"/>
          <w:w w:val="130"/>
          <w:sz w:val="22"/>
        </w:rPr>
        <w:t>r</w:t>
      </w:r>
      <w:r>
        <w:rPr>
          <w:spacing w:val="-3"/>
          <w:w w:val="85"/>
          <w:sz w:val="22"/>
        </w:rPr>
        <w:t>u</w:t>
      </w:r>
      <w:r>
        <w:rPr>
          <w:w w:val="219"/>
          <w:sz w:val="22"/>
        </w:rPr>
        <w:t>`</w:t>
      </w:r>
      <w:r>
        <w:rPr>
          <w:w w:val="97"/>
          <w:sz w:val="22"/>
        </w:rPr>
        <w:t>en</w:t>
      </w:r>
      <w:r>
        <w:rPr>
          <w:spacing w:val="-1"/>
          <w:w w:val="124"/>
          <w:sz w:val="22"/>
        </w:rPr>
        <w:t> </w:t>
      </w:r>
      <w:r>
        <w:rPr>
          <w:w w:val="125"/>
          <w:sz w:val="22"/>
        </w:rPr>
        <w:t>so</w:t>
      </w:r>
      <w:r>
        <w:rPr>
          <w:w w:val="125"/>
          <w:sz w:val="22"/>
        </w:rPr>
        <w:t> pismo</w:t>
      </w:r>
      <w:r>
        <w:rPr>
          <w:w w:val="125"/>
          <w:sz w:val="22"/>
        </w:rPr>
        <w:t> na</w:t>
      </w:r>
      <w:r>
        <w:rPr>
          <w:w w:val="125"/>
          <w:sz w:val="22"/>
        </w:rPr>
        <w:t> prviot</w:t>
      </w:r>
      <w:r>
        <w:rPr>
          <w:w w:val="125"/>
          <w:sz w:val="22"/>
        </w:rPr>
        <w:t> avtor,</w:t>
      </w:r>
      <w:r>
        <w:rPr>
          <w:w w:val="125"/>
          <w:sz w:val="22"/>
        </w:rPr>
        <w:t> so</w:t>
      </w:r>
      <w:r>
        <w:rPr>
          <w:w w:val="125"/>
          <w:sz w:val="22"/>
        </w:rPr>
        <w:t> izjava</w:t>
      </w:r>
      <w:r>
        <w:rPr>
          <w:w w:val="125"/>
          <w:sz w:val="22"/>
        </w:rPr>
        <w:t> deka</w:t>
      </w:r>
      <w:r>
        <w:rPr>
          <w:w w:val="125"/>
          <w:sz w:val="22"/>
        </w:rPr>
        <w:t> </w:t>
      </w:r>
      <w:r>
        <w:rPr>
          <w:w w:val="135"/>
          <w:sz w:val="22"/>
        </w:rPr>
        <w:t>istiot </w:t>
      </w:r>
      <w:r>
        <w:rPr>
          <w:w w:val="125"/>
          <w:sz w:val="22"/>
        </w:rPr>
        <w:t>tekst</w:t>
      </w:r>
      <w:r>
        <w:rPr>
          <w:spacing w:val="-15"/>
          <w:w w:val="125"/>
          <w:sz w:val="22"/>
        </w:rPr>
        <w:t> </w:t>
      </w:r>
      <w:r>
        <w:rPr>
          <w:w w:val="125"/>
          <w:sz w:val="22"/>
        </w:rPr>
        <w:t>ne</w:t>
      </w:r>
      <w:r>
        <w:rPr>
          <w:spacing w:val="-4"/>
          <w:w w:val="125"/>
          <w:sz w:val="22"/>
        </w:rPr>
        <w:t> </w:t>
      </w:r>
      <w:r>
        <w:rPr>
          <w:w w:val="125"/>
          <w:sz w:val="22"/>
        </w:rPr>
        <w:t>e</w:t>
      </w:r>
      <w:r>
        <w:rPr>
          <w:spacing w:val="-4"/>
          <w:w w:val="125"/>
          <w:sz w:val="22"/>
        </w:rPr>
        <w:t> </w:t>
      </w:r>
      <w:r>
        <w:rPr>
          <w:w w:val="125"/>
          <w:sz w:val="22"/>
        </w:rPr>
        <w:t>ve}e</w:t>
      </w:r>
      <w:r>
        <w:rPr>
          <w:spacing w:val="-4"/>
          <w:w w:val="125"/>
          <w:sz w:val="22"/>
        </w:rPr>
        <w:t> </w:t>
      </w:r>
      <w:r>
        <w:rPr>
          <w:w w:val="125"/>
          <w:sz w:val="22"/>
        </w:rPr>
        <w:t>objaven</w:t>
      </w:r>
      <w:r>
        <w:rPr>
          <w:spacing w:val="-4"/>
          <w:w w:val="125"/>
          <w:sz w:val="22"/>
        </w:rPr>
        <w:t> </w:t>
      </w:r>
      <w:r>
        <w:rPr>
          <w:w w:val="170"/>
          <w:sz w:val="22"/>
        </w:rPr>
        <w:t>ili</w:t>
      </w:r>
      <w:r>
        <w:rPr>
          <w:spacing w:val="-24"/>
          <w:w w:val="170"/>
          <w:sz w:val="22"/>
        </w:rPr>
        <w:t> </w:t>
      </w:r>
      <w:r>
        <w:rPr>
          <w:w w:val="109"/>
          <w:sz w:val="22"/>
        </w:rPr>
        <w:t>p</w:t>
      </w:r>
      <w:r>
        <w:rPr>
          <w:spacing w:val="-1"/>
          <w:w w:val="109"/>
          <w:sz w:val="22"/>
        </w:rPr>
        <w:t>o</w:t>
      </w:r>
      <w:r>
        <w:rPr>
          <w:w w:val="118"/>
          <w:sz w:val="22"/>
        </w:rPr>
        <w:t>dnesen/pr</w:t>
      </w:r>
      <w:r>
        <w:rPr>
          <w:spacing w:val="-3"/>
          <w:w w:val="118"/>
          <w:sz w:val="22"/>
        </w:rPr>
        <w:t>i</w:t>
      </w:r>
      <w:r>
        <w:rPr>
          <w:w w:val="232"/>
          <w:sz w:val="22"/>
        </w:rPr>
        <w:t>f</w:t>
      </w:r>
      <w:r>
        <w:rPr>
          <w:w w:val="137"/>
          <w:sz w:val="22"/>
        </w:rPr>
        <w:t>a</w:t>
      </w:r>
      <w:r>
        <w:rPr>
          <w:spacing w:val="-3"/>
          <w:w w:val="137"/>
          <w:sz w:val="22"/>
        </w:rPr>
        <w:t>t</w:t>
      </w:r>
      <w:r>
        <w:rPr>
          <w:w w:val="110"/>
          <w:sz w:val="22"/>
        </w:rPr>
        <w:t>en</w:t>
      </w:r>
      <w:r>
        <w:rPr>
          <w:spacing w:val="-3"/>
          <w:w w:val="124"/>
          <w:sz w:val="22"/>
        </w:rPr>
        <w:t> </w:t>
      </w:r>
      <w:r>
        <w:rPr>
          <w:w w:val="125"/>
          <w:sz w:val="22"/>
        </w:rPr>
        <w:t>za</w:t>
      </w:r>
      <w:r>
        <w:rPr>
          <w:spacing w:val="-4"/>
          <w:w w:val="125"/>
          <w:sz w:val="22"/>
        </w:rPr>
        <w:t> </w:t>
      </w:r>
      <w:r>
        <w:rPr>
          <w:w w:val="125"/>
          <w:sz w:val="22"/>
        </w:rPr>
        <w:t>pe~atewe</w:t>
      </w:r>
      <w:r>
        <w:rPr>
          <w:spacing w:val="-4"/>
          <w:w w:val="125"/>
          <w:sz w:val="22"/>
        </w:rPr>
        <w:t> </w:t>
      </w:r>
      <w:r>
        <w:rPr>
          <w:w w:val="125"/>
          <w:sz w:val="22"/>
        </w:rPr>
        <w:t>vo</w:t>
      </w:r>
      <w:r>
        <w:rPr>
          <w:spacing w:val="-4"/>
          <w:w w:val="125"/>
          <w:sz w:val="22"/>
        </w:rPr>
        <w:t> </w:t>
      </w:r>
      <w:r>
        <w:rPr>
          <w:w w:val="125"/>
          <w:sz w:val="22"/>
        </w:rPr>
        <w:t>drugo</w:t>
      </w:r>
      <w:r>
        <w:rPr>
          <w:spacing w:val="-4"/>
          <w:w w:val="125"/>
          <w:sz w:val="22"/>
        </w:rPr>
        <w:t> </w:t>
      </w:r>
      <w:r>
        <w:rPr>
          <w:w w:val="125"/>
          <w:sz w:val="22"/>
        </w:rPr>
        <w:t>spisanie</w:t>
      </w:r>
      <w:r>
        <w:rPr>
          <w:spacing w:val="-4"/>
          <w:w w:val="125"/>
          <w:sz w:val="22"/>
        </w:rPr>
        <w:t> </w:t>
      </w:r>
      <w:r>
        <w:rPr>
          <w:w w:val="170"/>
          <w:sz w:val="22"/>
        </w:rPr>
        <w:t>ili</w:t>
      </w:r>
      <w:r>
        <w:rPr>
          <w:spacing w:val="-24"/>
          <w:w w:val="170"/>
          <w:sz w:val="22"/>
        </w:rPr>
        <w:t> </w:t>
      </w:r>
      <w:r>
        <w:rPr>
          <w:w w:val="125"/>
          <w:sz w:val="22"/>
        </w:rPr>
        <w:t>stru~na </w:t>
      </w:r>
      <w:r>
        <w:rPr>
          <w:spacing w:val="-2"/>
          <w:w w:val="125"/>
          <w:sz w:val="22"/>
        </w:rPr>
        <w:t>publikacija</w:t>
      </w:r>
      <w:r>
        <w:rPr>
          <w:spacing w:val="-11"/>
          <w:w w:val="125"/>
          <w:sz w:val="22"/>
        </w:rPr>
        <w:t> </w:t>
      </w:r>
      <w:r>
        <w:rPr>
          <w:spacing w:val="-2"/>
          <w:w w:val="135"/>
          <w:sz w:val="22"/>
        </w:rPr>
        <w:t>i</w:t>
      </w:r>
      <w:r>
        <w:rPr>
          <w:spacing w:val="-17"/>
          <w:w w:val="135"/>
          <w:sz w:val="22"/>
        </w:rPr>
        <w:t> </w:t>
      </w:r>
      <w:r>
        <w:rPr>
          <w:spacing w:val="-2"/>
          <w:w w:val="125"/>
          <w:sz w:val="22"/>
        </w:rPr>
        <w:t>so</w:t>
      </w:r>
      <w:r>
        <w:rPr>
          <w:spacing w:val="-11"/>
          <w:w w:val="125"/>
          <w:sz w:val="22"/>
        </w:rPr>
        <w:t> </w:t>
      </w:r>
      <w:r>
        <w:rPr>
          <w:spacing w:val="-2"/>
          <w:w w:val="125"/>
          <w:sz w:val="22"/>
        </w:rPr>
        <w:t>potvrda</w:t>
      </w:r>
      <w:r>
        <w:rPr>
          <w:spacing w:val="-11"/>
          <w:w w:val="125"/>
          <w:sz w:val="22"/>
        </w:rPr>
        <w:t> </w:t>
      </w:r>
      <w:r>
        <w:rPr>
          <w:spacing w:val="-2"/>
          <w:w w:val="125"/>
          <w:sz w:val="22"/>
        </w:rPr>
        <w:t>deka</w:t>
      </w:r>
      <w:r>
        <w:rPr>
          <w:spacing w:val="-11"/>
          <w:w w:val="125"/>
          <w:sz w:val="22"/>
        </w:rPr>
        <w:t> </w:t>
      </w:r>
      <w:r>
        <w:rPr>
          <w:spacing w:val="-2"/>
          <w:w w:val="125"/>
          <w:sz w:val="22"/>
        </w:rPr>
        <w:t>rakopisot</w:t>
      </w:r>
      <w:r>
        <w:rPr>
          <w:spacing w:val="-11"/>
          <w:w w:val="125"/>
          <w:sz w:val="22"/>
        </w:rPr>
        <w:t> </w:t>
      </w:r>
      <w:r>
        <w:rPr>
          <w:spacing w:val="-2"/>
          <w:w w:val="125"/>
          <w:sz w:val="22"/>
        </w:rPr>
        <w:t>e</w:t>
      </w:r>
      <w:r>
        <w:rPr>
          <w:spacing w:val="-13"/>
          <w:w w:val="125"/>
          <w:sz w:val="22"/>
        </w:rPr>
        <w:t> </w:t>
      </w:r>
      <w:r>
        <w:rPr>
          <w:spacing w:val="-2"/>
          <w:w w:val="125"/>
          <w:sz w:val="22"/>
        </w:rPr>
        <w:t>pregledan</w:t>
      </w:r>
      <w:r>
        <w:rPr>
          <w:spacing w:val="-11"/>
          <w:w w:val="125"/>
          <w:sz w:val="22"/>
        </w:rPr>
        <w:t> </w:t>
      </w:r>
      <w:r>
        <w:rPr>
          <w:spacing w:val="-2"/>
          <w:w w:val="135"/>
          <w:sz w:val="22"/>
        </w:rPr>
        <w:t>i</w:t>
      </w:r>
      <w:r>
        <w:rPr>
          <w:spacing w:val="-17"/>
          <w:w w:val="135"/>
          <w:sz w:val="22"/>
        </w:rPr>
        <w:t> </w:t>
      </w:r>
      <w:r>
        <w:rPr>
          <w:spacing w:val="-2"/>
          <w:w w:val="125"/>
          <w:sz w:val="22"/>
        </w:rPr>
        <w:t>odobren</w:t>
      </w:r>
      <w:r>
        <w:rPr>
          <w:spacing w:val="-11"/>
          <w:w w:val="125"/>
          <w:sz w:val="22"/>
        </w:rPr>
        <w:t> </w:t>
      </w:r>
      <w:r>
        <w:rPr>
          <w:spacing w:val="-2"/>
          <w:w w:val="125"/>
          <w:sz w:val="22"/>
        </w:rPr>
        <w:t>od</w:t>
      </w:r>
      <w:r>
        <w:rPr>
          <w:spacing w:val="-13"/>
          <w:w w:val="125"/>
          <w:sz w:val="22"/>
        </w:rPr>
        <w:t> </w:t>
      </w:r>
      <w:r>
        <w:rPr>
          <w:spacing w:val="-2"/>
          <w:w w:val="125"/>
          <w:sz w:val="22"/>
        </w:rPr>
        <w:t>site</w:t>
      </w:r>
      <w:r>
        <w:rPr>
          <w:spacing w:val="-11"/>
          <w:w w:val="125"/>
          <w:sz w:val="22"/>
        </w:rPr>
        <w:t> </w:t>
      </w:r>
      <w:r>
        <w:rPr>
          <w:spacing w:val="-2"/>
          <w:w w:val="125"/>
          <w:sz w:val="22"/>
        </w:rPr>
        <w:t>koavtori,</w:t>
      </w:r>
      <w:r>
        <w:rPr>
          <w:spacing w:val="-11"/>
          <w:w w:val="125"/>
          <w:sz w:val="22"/>
        </w:rPr>
        <w:t> </w:t>
      </w:r>
      <w:r>
        <w:rPr>
          <w:spacing w:val="-2"/>
          <w:w w:val="125"/>
          <w:sz w:val="22"/>
        </w:rPr>
        <w:t>odnosno</w:t>
      </w:r>
      <w:r>
        <w:rPr>
          <w:spacing w:val="-11"/>
          <w:w w:val="125"/>
          <w:sz w:val="22"/>
        </w:rPr>
        <w:t> </w:t>
      </w:r>
      <w:r>
        <w:rPr>
          <w:spacing w:val="-2"/>
          <w:w w:val="125"/>
          <w:sz w:val="22"/>
        </w:rPr>
        <w:t>so </w:t>
      </w:r>
      <w:r>
        <w:rPr>
          <w:w w:val="125"/>
          <w:sz w:val="22"/>
        </w:rPr>
        <w:t>pridru`na deklaracija za eventualen </w:t>
      </w:r>
      <w:r>
        <w:rPr>
          <w:spacing w:val="1"/>
          <w:w w:val="88"/>
          <w:sz w:val="22"/>
        </w:rPr>
        <w:t>k</w:t>
      </w:r>
      <w:r>
        <w:rPr>
          <w:w w:val="88"/>
          <w:sz w:val="22"/>
        </w:rPr>
        <w:t>o</w:t>
      </w:r>
      <w:r>
        <w:rPr>
          <w:spacing w:val="-2"/>
          <w:w w:val="88"/>
          <w:sz w:val="22"/>
        </w:rPr>
        <w:t>n</w:t>
      </w:r>
      <w:r>
        <w:rPr>
          <w:spacing w:val="1"/>
          <w:w w:val="211"/>
          <w:sz w:val="22"/>
        </w:rPr>
        <w:t>f</w:t>
      </w:r>
      <w:r>
        <w:rPr>
          <w:spacing w:val="1"/>
          <w:w w:val="177"/>
          <w:sz w:val="22"/>
        </w:rPr>
        <w:t>l</w:t>
      </w:r>
      <w:r>
        <w:rPr>
          <w:w w:val="177"/>
          <w:sz w:val="22"/>
        </w:rPr>
        <w:t>i</w:t>
      </w:r>
      <w:r>
        <w:rPr>
          <w:spacing w:val="-2"/>
          <w:w w:val="88"/>
          <w:sz w:val="22"/>
        </w:rPr>
        <w:t>k</w:t>
      </w:r>
      <w:r>
        <w:rPr>
          <w:spacing w:val="1"/>
          <w:w w:val="157"/>
          <w:sz w:val="22"/>
        </w:rPr>
        <w:t>t</w:t>
      </w:r>
      <w:r>
        <w:rPr>
          <w:w w:val="134"/>
          <w:sz w:val="22"/>
        </w:rPr>
        <w:t> </w:t>
      </w:r>
      <w:r>
        <w:rPr>
          <w:w w:val="125"/>
          <w:sz w:val="22"/>
        </w:rPr>
        <w:t>na interesi so nekoj od avtorite.</w:t>
      </w:r>
    </w:p>
    <w:p>
      <w:pPr>
        <w:pStyle w:val="BodyText"/>
        <w:rPr>
          <w:sz w:val="20"/>
        </w:rPr>
      </w:pPr>
    </w:p>
    <w:p>
      <w:pPr>
        <w:spacing w:line="242" w:lineRule="auto" w:before="0"/>
        <w:ind w:left="238" w:right="291" w:firstLine="0"/>
        <w:jc w:val="both"/>
        <w:rPr>
          <w:sz w:val="22"/>
        </w:rPr>
      </w:pPr>
      <w:r>
        <w:rPr>
          <w:b/>
          <w:w w:val="125"/>
          <w:sz w:val="22"/>
        </w:rPr>
        <w:t>Naslovnata</w:t>
      </w:r>
      <w:r>
        <w:rPr>
          <w:b/>
          <w:spacing w:val="-18"/>
          <w:w w:val="125"/>
          <w:sz w:val="22"/>
        </w:rPr>
        <w:t> </w:t>
      </w:r>
      <w:r>
        <w:rPr>
          <w:b/>
          <w:w w:val="125"/>
          <w:sz w:val="22"/>
        </w:rPr>
        <w:t>strana</w:t>
      </w:r>
      <w:r>
        <w:rPr>
          <w:b/>
          <w:spacing w:val="-17"/>
          <w:w w:val="125"/>
          <w:sz w:val="22"/>
        </w:rPr>
        <w:t> </w:t>
      </w:r>
      <w:r>
        <w:rPr>
          <w:w w:val="125"/>
          <w:sz w:val="22"/>
        </w:rPr>
        <w:t>treba</w:t>
      </w:r>
      <w:r>
        <w:rPr>
          <w:spacing w:val="-17"/>
          <w:w w:val="125"/>
          <w:sz w:val="22"/>
        </w:rPr>
        <w:t> </w:t>
      </w:r>
      <w:r>
        <w:rPr>
          <w:w w:val="125"/>
          <w:sz w:val="22"/>
        </w:rPr>
        <w:t>da</w:t>
      </w:r>
      <w:r>
        <w:rPr>
          <w:spacing w:val="-17"/>
          <w:w w:val="125"/>
          <w:sz w:val="22"/>
        </w:rPr>
        <w:t> </w:t>
      </w:r>
      <w:r>
        <w:rPr>
          <w:w w:val="125"/>
          <w:sz w:val="22"/>
        </w:rPr>
        <w:t>ima:</w:t>
      </w:r>
      <w:r>
        <w:rPr>
          <w:spacing w:val="-17"/>
          <w:w w:val="125"/>
          <w:sz w:val="22"/>
        </w:rPr>
        <w:t> </w:t>
      </w:r>
      <w:r>
        <w:rPr>
          <w:w w:val="125"/>
          <w:sz w:val="22"/>
        </w:rPr>
        <w:t>naslov</w:t>
      </w:r>
      <w:r>
        <w:rPr>
          <w:spacing w:val="-18"/>
          <w:w w:val="125"/>
          <w:sz w:val="22"/>
        </w:rPr>
        <w:t> </w:t>
      </w:r>
      <w:r>
        <w:rPr>
          <w:w w:val="125"/>
          <w:sz w:val="22"/>
        </w:rPr>
        <w:t>na</w:t>
      </w:r>
      <w:r>
        <w:rPr>
          <w:spacing w:val="-17"/>
          <w:w w:val="125"/>
          <w:sz w:val="22"/>
        </w:rPr>
        <w:t> </w:t>
      </w:r>
      <w:r>
        <w:rPr>
          <w:w w:val="125"/>
          <w:sz w:val="22"/>
        </w:rPr>
        <w:t>makedonski</w:t>
      </w:r>
      <w:r>
        <w:rPr>
          <w:spacing w:val="-17"/>
          <w:w w:val="125"/>
          <w:sz w:val="22"/>
        </w:rPr>
        <w:t> </w:t>
      </w:r>
      <w:r>
        <w:rPr>
          <w:w w:val="170"/>
          <w:sz w:val="22"/>
        </w:rPr>
        <w:t>i</w:t>
      </w:r>
      <w:r>
        <w:rPr>
          <w:spacing w:val="-23"/>
          <w:w w:val="170"/>
          <w:sz w:val="22"/>
        </w:rPr>
        <w:t> </w:t>
      </w:r>
      <w:r>
        <w:rPr>
          <w:w w:val="125"/>
          <w:sz w:val="22"/>
        </w:rPr>
        <w:t>angliski,</w:t>
      </w:r>
      <w:r>
        <w:rPr>
          <w:spacing w:val="-18"/>
          <w:w w:val="125"/>
          <w:sz w:val="22"/>
        </w:rPr>
        <w:t> </w:t>
      </w:r>
      <w:r>
        <w:rPr>
          <w:w w:val="125"/>
          <w:sz w:val="22"/>
        </w:rPr>
        <w:t>imiwa</w:t>
      </w:r>
      <w:r>
        <w:rPr>
          <w:spacing w:val="-17"/>
          <w:w w:val="125"/>
          <w:sz w:val="22"/>
        </w:rPr>
        <w:t> </w:t>
      </w:r>
      <w:r>
        <w:rPr>
          <w:w w:val="170"/>
          <w:sz w:val="22"/>
        </w:rPr>
        <w:t>i</w:t>
      </w:r>
      <w:r>
        <w:rPr>
          <w:spacing w:val="-23"/>
          <w:w w:val="170"/>
          <w:sz w:val="22"/>
        </w:rPr>
        <w:t> </w:t>
      </w:r>
      <w:r>
        <w:rPr>
          <w:w w:val="125"/>
          <w:sz w:val="22"/>
        </w:rPr>
        <w:t>prezimiwa</w:t>
      </w:r>
      <w:r>
        <w:rPr>
          <w:spacing w:val="-17"/>
          <w:w w:val="125"/>
          <w:sz w:val="22"/>
        </w:rPr>
        <w:t> </w:t>
      </w:r>
      <w:r>
        <w:rPr>
          <w:w w:val="125"/>
          <w:sz w:val="22"/>
        </w:rPr>
        <w:t>na avtorite,</w:t>
      </w:r>
      <w:r>
        <w:rPr>
          <w:w w:val="125"/>
          <w:sz w:val="22"/>
        </w:rPr>
        <w:t> kako</w:t>
      </w:r>
      <w:r>
        <w:rPr>
          <w:w w:val="125"/>
          <w:sz w:val="22"/>
        </w:rPr>
        <w:t> </w:t>
      </w:r>
      <w:r>
        <w:rPr>
          <w:w w:val="170"/>
          <w:sz w:val="22"/>
        </w:rPr>
        <w:t>i</w:t>
      </w:r>
      <w:r>
        <w:rPr>
          <w:w w:val="170"/>
          <w:sz w:val="22"/>
        </w:rPr>
        <w:t> </w:t>
      </w:r>
      <w:r>
        <w:rPr>
          <w:w w:val="140"/>
          <w:sz w:val="22"/>
        </w:rPr>
        <w:t>instituciite</w:t>
      </w:r>
      <w:r>
        <w:rPr>
          <w:w w:val="140"/>
          <w:sz w:val="22"/>
        </w:rPr>
        <w:t> </w:t>
      </w:r>
      <w:r>
        <w:rPr>
          <w:w w:val="125"/>
          <w:sz w:val="22"/>
        </w:rPr>
        <w:t>na</w:t>
      </w:r>
      <w:r>
        <w:rPr>
          <w:w w:val="125"/>
          <w:sz w:val="22"/>
        </w:rPr>
        <w:t> </w:t>
      </w:r>
      <w:r>
        <w:rPr>
          <w:w w:val="140"/>
          <w:sz w:val="22"/>
        </w:rPr>
        <w:t>koi</w:t>
      </w:r>
      <w:r>
        <w:rPr>
          <w:w w:val="140"/>
          <w:sz w:val="22"/>
        </w:rPr>
        <w:t> </w:t>
      </w:r>
      <w:r>
        <w:rPr>
          <w:w w:val="125"/>
          <w:sz w:val="22"/>
        </w:rPr>
        <w:t>im</w:t>
      </w:r>
      <w:r>
        <w:rPr>
          <w:w w:val="125"/>
          <w:sz w:val="22"/>
        </w:rPr>
        <w:t> pripa|aat,</w:t>
      </w:r>
      <w:r>
        <w:rPr>
          <w:w w:val="125"/>
          <w:sz w:val="22"/>
        </w:rPr>
        <w:t> imiwata</w:t>
      </w:r>
      <w:r>
        <w:rPr>
          <w:w w:val="125"/>
          <w:sz w:val="22"/>
        </w:rPr>
        <w:t> na</w:t>
      </w:r>
      <w:r>
        <w:rPr>
          <w:w w:val="125"/>
          <w:sz w:val="22"/>
        </w:rPr>
        <w:t> avtorite</w:t>
      </w:r>
      <w:r>
        <w:rPr>
          <w:w w:val="125"/>
          <w:sz w:val="22"/>
        </w:rPr>
        <w:t> </w:t>
      </w:r>
      <w:r>
        <w:rPr>
          <w:w w:val="170"/>
          <w:sz w:val="22"/>
        </w:rPr>
        <w:t>i</w:t>
      </w:r>
      <w:r>
        <w:rPr>
          <w:w w:val="170"/>
          <w:sz w:val="22"/>
        </w:rPr>
        <w:t> </w:t>
      </w:r>
      <w:r>
        <w:rPr>
          <w:w w:val="125"/>
          <w:sz w:val="22"/>
        </w:rPr>
        <w:t>naslovot</w:t>
      </w:r>
      <w:r>
        <w:rPr>
          <w:w w:val="125"/>
          <w:sz w:val="22"/>
        </w:rPr>
        <w:t> na ustanovata</w:t>
      </w:r>
      <w:r>
        <w:rPr>
          <w:spacing w:val="-18"/>
          <w:w w:val="125"/>
          <w:sz w:val="22"/>
        </w:rPr>
        <w:t> </w:t>
      </w:r>
      <w:r>
        <w:rPr>
          <w:w w:val="125"/>
          <w:sz w:val="22"/>
        </w:rPr>
        <w:t>se</w:t>
      </w:r>
      <w:r>
        <w:rPr>
          <w:spacing w:val="-17"/>
          <w:w w:val="125"/>
          <w:sz w:val="22"/>
        </w:rPr>
        <w:t> </w:t>
      </w:r>
      <w:r>
        <w:rPr>
          <w:w w:val="125"/>
          <w:sz w:val="22"/>
        </w:rPr>
        <w:t>povrzuvaat</w:t>
      </w:r>
      <w:r>
        <w:rPr>
          <w:spacing w:val="-17"/>
          <w:w w:val="125"/>
          <w:sz w:val="22"/>
        </w:rPr>
        <w:t> </w:t>
      </w:r>
      <w:r>
        <w:rPr>
          <w:w w:val="125"/>
          <w:sz w:val="22"/>
        </w:rPr>
        <w:t>so</w:t>
      </w:r>
      <w:r>
        <w:rPr>
          <w:spacing w:val="-17"/>
          <w:w w:val="125"/>
          <w:sz w:val="22"/>
        </w:rPr>
        <w:t> </w:t>
      </w:r>
      <w:r>
        <w:rPr>
          <w:w w:val="125"/>
          <w:sz w:val="22"/>
        </w:rPr>
        <w:t>arapski</w:t>
      </w:r>
      <w:r>
        <w:rPr>
          <w:spacing w:val="-17"/>
          <w:w w:val="125"/>
          <w:sz w:val="22"/>
        </w:rPr>
        <w:t> </w:t>
      </w:r>
      <w:r>
        <w:rPr>
          <w:w w:val="125"/>
          <w:sz w:val="22"/>
        </w:rPr>
        <w:t>brojki;</w:t>
      </w:r>
      <w:r>
        <w:rPr>
          <w:spacing w:val="-18"/>
          <w:w w:val="125"/>
          <w:sz w:val="22"/>
        </w:rPr>
        <w:t> </w:t>
      </w:r>
      <w:r>
        <w:rPr>
          <w:w w:val="125"/>
          <w:sz w:val="22"/>
        </w:rPr>
        <w:t>avtor</w:t>
      </w:r>
      <w:r>
        <w:rPr>
          <w:spacing w:val="-17"/>
          <w:w w:val="125"/>
          <w:sz w:val="22"/>
        </w:rPr>
        <w:t> </w:t>
      </w:r>
      <w:r>
        <w:rPr>
          <w:w w:val="125"/>
          <w:sz w:val="22"/>
        </w:rPr>
        <w:t>za</w:t>
      </w:r>
      <w:r>
        <w:rPr>
          <w:spacing w:val="-17"/>
          <w:w w:val="125"/>
          <w:sz w:val="22"/>
        </w:rPr>
        <w:t> </w:t>
      </w:r>
      <w:r>
        <w:rPr>
          <w:w w:val="125"/>
          <w:sz w:val="22"/>
        </w:rPr>
        <w:t>korespondecija</w:t>
      </w:r>
      <w:r>
        <w:rPr>
          <w:spacing w:val="-17"/>
          <w:w w:val="125"/>
          <w:sz w:val="22"/>
        </w:rPr>
        <w:t> </w:t>
      </w:r>
      <w:r>
        <w:rPr>
          <w:w w:val="125"/>
          <w:sz w:val="22"/>
        </w:rPr>
        <w:t>so</w:t>
      </w:r>
      <w:r>
        <w:rPr>
          <w:spacing w:val="-17"/>
          <w:w w:val="125"/>
          <w:sz w:val="22"/>
        </w:rPr>
        <w:t> </w:t>
      </w:r>
      <w:r>
        <w:rPr>
          <w:w w:val="140"/>
          <w:sz w:val="22"/>
        </w:rPr>
        <w:t>site</w:t>
      </w:r>
      <w:r>
        <w:rPr>
          <w:spacing w:val="-20"/>
          <w:w w:val="140"/>
          <w:sz w:val="22"/>
        </w:rPr>
        <w:t> </w:t>
      </w:r>
      <w:r>
        <w:rPr>
          <w:w w:val="140"/>
          <w:sz w:val="22"/>
        </w:rPr>
        <w:t>detali</w:t>
      </w:r>
      <w:r>
        <w:rPr>
          <w:spacing w:val="-19"/>
          <w:w w:val="140"/>
          <w:sz w:val="22"/>
        </w:rPr>
        <w:t> </w:t>
      </w:r>
      <w:r>
        <w:rPr>
          <w:w w:val="140"/>
          <w:sz w:val="22"/>
        </w:rPr>
        <w:t>(tel.</w:t>
      </w:r>
      <w:r>
        <w:rPr>
          <w:spacing w:val="-19"/>
          <w:w w:val="140"/>
          <w:sz w:val="22"/>
        </w:rPr>
        <w:t> </w:t>
      </w:r>
      <w:r>
        <w:rPr>
          <w:w w:val="125"/>
          <w:sz w:val="22"/>
        </w:rPr>
        <w:t>e- mail);</w:t>
      </w:r>
      <w:r>
        <w:rPr>
          <w:w w:val="125"/>
          <w:sz w:val="22"/>
        </w:rPr>
        <w:t> kategorija</w:t>
      </w:r>
      <w:r>
        <w:rPr>
          <w:w w:val="125"/>
          <w:sz w:val="22"/>
        </w:rPr>
        <w:t> na</w:t>
      </w:r>
      <w:r>
        <w:rPr>
          <w:w w:val="125"/>
          <w:sz w:val="22"/>
        </w:rPr>
        <w:t> trudot;</w:t>
      </w:r>
      <w:r>
        <w:rPr>
          <w:w w:val="125"/>
          <w:sz w:val="22"/>
        </w:rPr>
        <w:t> kratok</w:t>
      </w:r>
      <w:r>
        <w:rPr>
          <w:w w:val="125"/>
          <w:sz w:val="22"/>
        </w:rPr>
        <w:t> naslov</w:t>
      </w:r>
      <w:r>
        <w:rPr>
          <w:w w:val="125"/>
          <w:sz w:val="22"/>
        </w:rPr>
        <w:t> (do</w:t>
      </w:r>
      <w:r>
        <w:rPr>
          <w:w w:val="125"/>
          <w:sz w:val="22"/>
        </w:rPr>
        <w:t> </w:t>
      </w:r>
      <w:r>
        <w:rPr>
          <w:w w:val="120"/>
          <w:sz w:val="22"/>
        </w:rPr>
        <w:t>65</w:t>
      </w:r>
      <w:r>
        <w:rPr>
          <w:w w:val="120"/>
          <w:sz w:val="22"/>
        </w:rPr>
        <w:t> </w:t>
      </w:r>
      <w:r>
        <w:rPr>
          <w:w w:val="125"/>
          <w:sz w:val="22"/>
        </w:rPr>
        <w:t>karakteri</w:t>
      </w:r>
      <w:r>
        <w:rPr>
          <w:w w:val="125"/>
          <w:sz w:val="22"/>
        </w:rPr>
        <w:t> </w:t>
      </w:r>
      <w:r>
        <w:rPr>
          <w:w w:val="120"/>
          <w:sz w:val="22"/>
        </w:rPr>
        <w:t>zaedno</w:t>
      </w:r>
      <w:r>
        <w:rPr>
          <w:w w:val="120"/>
          <w:sz w:val="22"/>
        </w:rPr>
        <w:t> </w:t>
      </w:r>
      <w:r>
        <w:rPr>
          <w:w w:val="125"/>
          <w:sz w:val="22"/>
        </w:rPr>
        <w:t>so</w:t>
      </w:r>
      <w:r>
        <w:rPr>
          <w:w w:val="125"/>
          <w:sz w:val="22"/>
        </w:rPr>
        <w:t> prazniot</w:t>
      </w:r>
      <w:r>
        <w:rPr>
          <w:w w:val="125"/>
          <w:sz w:val="22"/>
        </w:rPr>
        <w:t> prostor); kako</w:t>
      </w:r>
      <w:r>
        <w:rPr>
          <w:w w:val="125"/>
          <w:sz w:val="22"/>
        </w:rPr>
        <w:t> </w:t>
      </w:r>
      <w:r>
        <w:rPr>
          <w:w w:val="170"/>
          <w:sz w:val="22"/>
        </w:rPr>
        <w:t>i</w:t>
      </w:r>
      <w:r>
        <w:rPr>
          <w:spacing w:val="-10"/>
          <w:w w:val="170"/>
          <w:sz w:val="22"/>
        </w:rPr>
        <w:t> </w:t>
      </w:r>
      <w:r>
        <w:rPr>
          <w:w w:val="131"/>
          <w:sz w:val="22"/>
        </w:rPr>
        <w:t>i</w:t>
      </w:r>
      <w:r>
        <w:rPr>
          <w:spacing w:val="-4"/>
          <w:w w:val="131"/>
          <w:sz w:val="22"/>
        </w:rPr>
        <w:t>n</w:t>
      </w:r>
      <w:r>
        <w:rPr>
          <w:w w:val="222"/>
          <w:sz w:val="22"/>
        </w:rPr>
        <w:t>f</w:t>
      </w:r>
      <w:r>
        <w:rPr>
          <w:w w:val="121"/>
          <w:sz w:val="22"/>
        </w:rPr>
        <w:t>o</w:t>
      </w:r>
      <w:r>
        <w:rPr>
          <w:spacing w:val="-1"/>
          <w:w w:val="121"/>
          <w:sz w:val="22"/>
        </w:rPr>
        <w:t>r</w:t>
      </w:r>
      <w:r>
        <w:rPr>
          <w:spacing w:val="-2"/>
          <w:w w:val="74"/>
          <w:sz w:val="22"/>
        </w:rPr>
        <w:t>m</w:t>
      </w:r>
      <w:r>
        <w:rPr>
          <w:w w:val="126"/>
          <w:sz w:val="22"/>
        </w:rPr>
        <w:t>ac</w:t>
      </w:r>
      <w:r>
        <w:rPr>
          <w:spacing w:val="-1"/>
          <w:w w:val="126"/>
          <w:sz w:val="22"/>
        </w:rPr>
        <w:t>i</w:t>
      </w:r>
      <w:r>
        <w:rPr>
          <w:w w:val="88"/>
          <w:sz w:val="22"/>
        </w:rPr>
        <w:t>j</w:t>
      </w:r>
      <w:r>
        <w:rPr>
          <w:w w:val="101"/>
          <w:sz w:val="22"/>
        </w:rPr>
        <w:t>a</w:t>
      </w:r>
      <w:r>
        <w:rPr>
          <w:spacing w:val="-1"/>
          <w:w w:val="124"/>
          <w:sz w:val="22"/>
        </w:rPr>
        <w:t> </w:t>
      </w:r>
      <w:r>
        <w:rPr>
          <w:w w:val="125"/>
          <w:sz w:val="22"/>
        </w:rPr>
        <w:t>za</w:t>
      </w:r>
      <w:r>
        <w:rPr>
          <w:w w:val="125"/>
          <w:sz w:val="22"/>
        </w:rPr>
        <w:t> pridonesot</w:t>
      </w:r>
      <w:r>
        <w:rPr>
          <w:w w:val="125"/>
          <w:sz w:val="22"/>
        </w:rPr>
        <w:t> za</w:t>
      </w:r>
      <w:r>
        <w:rPr>
          <w:w w:val="125"/>
          <w:sz w:val="22"/>
        </w:rPr>
        <w:t> trudot</w:t>
      </w:r>
      <w:r>
        <w:rPr>
          <w:w w:val="125"/>
          <w:sz w:val="22"/>
        </w:rPr>
        <w:t> na</w:t>
      </w:r>
      <w:r>
        <w:rPr>
          <w:w w:val="125"/>
          <w:sz w:val="22"/>
        </w:rPr>
        <w:t> sekoj</w:t>
      </w:r>
      <w:r>
        <w:rPr>
          <w:w w:val="125"/>
          <w:sz w:val="22"/>
        </w:rPr>
        <w:t> koavtor</w:t>
      </w:r>
      <w:r>
        <w:rPr>
          <w:w w:val="125"/>
          <w:sz w:val="22"/>
        </w:rPr>
        <w:t> (ideja,</w:t>
      </w:r>
      <w:r>
        <w:rPr>
          <w:w w:val="125"/>
          <w:sz w:val="22"/>
        </w:rPr>
        <w:t> dizajn,</w:t>
      </w:r>
      <w:r>
        <w:rPr>
          <w:w w:val="125"/>
          <w:sz w:val="22"/>
        </w:rPr>
        <w:t> sobirawe</w:t>
      </w:r>
      <w:r>
        <w:rPr>
          <w:w w:val="125"/>
          <w:sz w:val="22"/>
        </w:rPr>
        <w:t> na podatoci,</w:t>
      </w:r>
      <w:r>
        <w:rPr>
          <w:spacing w:val="-4"/>
          <w:w w:val="125"/>
          <w:sz w:val="22"/>
        </w:rPr>
        <w:t> </w:t>
      </w:r>
      <w:r>
        <w:rPr>
          <w:w w:val="140"/>
          <w:sz w:val="22"/>
        </w:rPr>
        <w:t>statististi~ka</w:t>
      </w:r>
      <w:r>
        <w:rPr>
          <w:spacing w:val="-12"/>
          <w:w w:val="140"/>
          <w:sz w:val="22"/>
        </w:rPr>
        <w:t> </w:t>
      </w:r>
      <w:r>
        <w:rPr>
          <w:w w:val="125"/>
          <w:sz w:val="22"/>
        </w:rPr>
        <w:t>obrabotka,</w:t>
      </w:r>
      <w:r>
        <w:rPr>
          <w:spacing w:val="-4"/>
          <w:w w:val="125"/>
          <w:sz w:val="22"/>
        </w:rPr>
        <w:t> </w:t>
      </w:r>
      <w:r>
        <w:rPr>
          <w:w w:val="125"/>
          <w:sz w:val="22"/>
        </w:rPr>
        <w:t>pi{uvawe</w:t>
      </w:r>
      <w:r>
        <w:rPr>
          <w:spacing w:val="-4"/>
          <w:w w:val="125"/>
          <w:sz w:val="22"/>
        </w:rPr>
        <w:t> </w:t>
      </w:r>
      <w:r>
        <w:rPr>
          <w:w w:val="125"/>
          <w:sz w:val="22"/>
        </w:rPr>
        <w:t>na</w:t>
      </w:r>
      <w:r>
        <w:rPr>
          <w:spacing w:val="-4"/>
          <w:w w:val="125"/>
          <w:sz w:val="22"/>
        </w:rPr>
        <w:t> </w:t>
      </w:r>
      <w:r>
        <w:rPr>
          <w:w w:val="125"/>
          <w:sz w:val="22"/>
        </w:rPr>
        <w:t>trudot).</w:t>
      </w:r>
    </w:p>
    <w:p>
      <w:pPr>
        <w:pStyle w:val="BodyText"/>
        <w:spacing w:before="4"/>
        <w:rPr>
          <w:sz w:val="22"/>
        </w:rPr>
      </w:pPr>
    </w:p>
    <w:p>
      <w:pPr>
        <w:spacing w:line="244" w:lineRule="auto" w:before="1"/>
        <w:ind w:left="238" w:right="295" w:firstLine="0"/>
        <w:jc w:val="both"/>
        <w:rPr>
          <w:sz w:val="22"/>
        </w:rPr>
      </w:pPr>
      <w:r>
        <w:rPr>
          <w:b/>
          <w:w w:val="120"/>
          <w:sz w:val="22"/>
        </w:rPr>
        <w:t>Naslovot </w:t>
      </w:r>
      <w:r>
        <w:rPr>
          <w:w w:val="120"/>
          <w:sz w:val="22"/>
        </w:rPr>
        <w:t>treba koncizno da ja izrazi sodr`inata na trudot. Se prepora~uva da se izbegnuva upotreba na kratenki vo naslovot.</w:t>
      </w:r>
    </w:p>
    <w:p>
      <w:pPr>
        <w:pStyle w:val="BodyText"/>
        <w:spacing w:before="1"/>
        <w:rPr>
          <w:sz w:val="22"/>
        </w:rPr>
      </w:pPr>
    </w:p>
    <w:p>
      <w:pPr>
        <w:spacing w:line="244" w:lineRule="auto" w:before="0"/>
        <w:ind w:left="238" w:right="291" w:firstLine="0"/>
        <w:jc w:val="both"/>
        <w:rPr>
          <w:sz w:val="22"/>
        </w:rPr>
      </w:pPr>
      <w:r>
        <w:rPr>
          <w:b/>
          <w:w w:val="120"/>
          <w:sz w:val="22"/>
        </w:rPr>
        <w:t>Izvornite trudovi </w:t>
      </w:r>
      <w:r>
        <w:rPr>
          <w:w w:val="120"/>
          <w:sz w:val="22"/>
        </w:rPr>
        <w:t>i </w:t>
      </w:r>
      <w:r>
        <w:rPr>
          <w:b/>
          <w:w w:val="120"/>
          <w:sz w:val="22"/>
        </w:rPr>
        <w:t>soop{tuvawata </w:t>
      </w:r>
      <w:r>
        <w:rPr>
          <w:w w:val="120"/>
          <w:sz w:val="22"/>
        </w:rPr>
        <w:t>go imaat sledniov </w:t>
      </w:r>
      <w:r>
        <w:rPr>
          <w:w w:val="217"/>
          <w:sz w:val="22"/>
        </w:rPr>
        <w:t>f</w:t>
      </w:r>
      <w:r>
        <w:rPr>
          <w:w w:val="116"/>
          <w:sz w:val="22"/>
        </w:rPr>
        <w:t>o</w:t>
      </w:r>
      <w:r>
        <w:rPr>
          <w:spacing w:val="-1"/>
          <w:w w:val="116"/>
          <w:sz w:val="22"/>
        </w:rPr>
        <w:t>r</w:t>
      </w:r>
      <w:r>
        <w:rPr>
          <w:spacing w:val="-2"/>
          <w:w w:val="69"/>
          <w:sz w:val="22"/>
        </w:rPr>
        <w:t>m</w:t>
      </w:r>
      <w:r>
        <w:rPr>
          <w:w w:val="110"/>
          <w:sz w:val="22"/>
        </w:rPr>
        <w:t>alen</w:t>
      </w:r>
      <w:r>
        <w:rPr>
          <w:spacing w:val="-1"/>
          <w:w w:val="119"/>
          <w:sz w:val="22"/>
        </w:rPr>
        <w:t> </w:t>
      </w:r>
      <w:r>
        <w:rPr>
          <w:w w:val="120"/>
          <w:sz w:val="22"/>
        </w:rPr>
        <w:t>redosled: naslovna strana, </w:t>
      </w:r>
      <w:r>
        <w:rPr>
          <w:spacing w:val="-2"/>
          <w:w w:val="120"/>
          <w:sz w:val="22"/>
        </w:rPr>
        <w:t>izvadok</w:t>
      </w:r>
      <w:r>
        <w:rPr>
          <w:spacing w:val="-5"/>
          <w:w w:val="120"/>
          <w:sz w:val="22"/>
        </w:rPr>
        <w:t> </w:t>
      </w:r>
      <w:r>
        <w:rPr>
          <w:spacing w:val="-2"/>
          <w:w w:val="120"/>
          <w:sz w:val="22"/>
        </w:rPr>
        <w:t>na</w:t>
      </w:r>
      <w:r>
        <w:rPr>
          <w:spacing w:val="-7"/>
          <w:w w:val="120"/>
          <w:sz w:val="22"/>
        </w:rPr>
        <w:t> </w:t>
      </w:r>
      <w:r>
        <w:rPr>
          <w:spacing w:val="-2"/>
          <w:w w:val="120"/>
          <w:sz w:val="22"/>
        </w:rPr>
        <w:t>makedonski</w:t>
      </w:r>
      <w:r>
        <w:rPr>
          <w:spacing w:val="-10"/>
          <w:w w:val="120"/>
          <w:sz w:val="22"/>
        </w:rPr>
        <w:t> </w:t>
      </w:r>
      <w:r>
        <w:rPr>
          <w:spacing w:val="-2"/>
          <w:w w:val="120"/>
          <w:sz w:val="22"/>
        </w:rPr>
        <w:t>jazik</w:t>
      </w:r>
      <w:r>
        <w:rPr>
          <w:spacing w:val="-7"/>
          <w:w w:val="120"/>
          <w:sz w:val="22"/>
        </w:rPr>
        <w:t> </w:t>
      </w:r>
      <w:r>
        <w:rPr>
          <w:spacing w:val="-2"/>
          <w:w w:val="120"/>
          <w:sz w:val="22"/>
        </w:rPr>
        <w:t>(voved,</w:t>
      </w:r>
      <w:r>
        <w:rPr>
          <w:spacing w:val="-7"/>
          <w:w w:val="120"/>
          <w:sz w:val="22"/>
        </w:rPr>
        <w:t> </w:t>
      </w:r>
      <w:r>
        <w:rPr>
          <w:spacing w:val="-2"/>
          <w:w w:val="120"/>
          <w:sz w:val="22"/>
        </w:rPr>
        <w:t>metodi,</w:t>
      </w:r>
      <w:r>
        <w:rPr>
          <w:spacing w:val="-5"/>
          <w:w w:val="120"/>
          <w:sz w:val="22"/>
        </w:rPr>
        <w:t> </w:t>
      </w:r>
      <w:r>
        <w:rPr>
          <w:spacing w:val="-2"/>
          <w:w w:val="120"/>
          <w:sz w:val="22"/>
        </w:rPr>
        <w:t>rezultati,</w:t>
      </w:r>
      <w:r>
        <w:rPr>
          <w:spacing w:val="-7"/>
          <w:w w:val="120"/>
          <w:sz w:val="22"/>
        </w:rPr>
        <w:t> </w:t>
      </w:r>
      <w:r>
        <w:rPr>
          <w:spacing w:val="-2"/>
          <w:w w:val="120"/>
          <w:sz w:val="22"/>
        </w:rPr>
        <w:t>zaklu~ok)</w:t>
      </w:r>
      <w:r>
        <w:rPr>
          <w:spacing w:val="-4"/>
          <w:w w:val="120"/>
          <w:sz w:val="22"/>
        </w:rPr>
        <w:t> </w:t>
      </w:r>
      <w:r>
        <w:rPr>
          <w:spacing w:val="-2"/>
          <w:w w:val="120"/>
          <w:sz w:val="22"/>
        </w:rPr>
        <w:t>so</w:t>
      </w:r>
      <w:r>
        <w:rPr>
          <w:spacing w:val="-5"/>
          <w:w w:val="120"/>
          <w:sz w:val="22"/>
        </w:rPr>
        <w:t> </w:t>
      </w:r>
      <w:r>
        <w:rPr>
          <w:spacing w:val="-2"/>
          <w:w w:val="120"/>
          <w:sz w:val="22"/>
        </w:rPr>
        <w:t>klu~ni</w:t>
      </w:r>
      <w:r>
        <w:rPr>
          <w:spacing w:val="-5"/>
          <w:w w:val="120"/>
          <w:sz w:val="22"/>
        </w:rPr>
        <w:t> </w:t>
      </w:r>
      <w:r>
        <w:rPr>
          <w:spacing w:val="-2"/>
          <w:w w:val="120"/>
          <w:sz w:val="22"/>
        </w:rPr>
        <w:t>zborovi,</w:t>
      </w:r>
      <w:r>
        <w:rPr>
          <w:spacing w:val="-7"/>
          <w:w w:val="120"/>
          <w:sz w:val="22"/>
        </w:rPr>
        <w:t> </w:t>
      </w:r>
      <w:r>
        <w:rPr>
          <w:spacing w:val="-2"/>
          <w:w w:val="120"/>
          <w:sz w:val="22"/>
        </w:rPr>
        <w:t>izvadok </w:t>
      </w:r>
      <w:r>
        <w:rPr>
          <w:w w:val="125"/>
          <w:sz w:val="22"/>
        </w:rPr>
        <w:t>na</w:t>
      </w:r>
      <w:r>
        <w:rPr>
          <w:spacing w:val="6"/>
          <w:w w:val="125"/>
          <w:sz w:val="22"/>
        </w:rPr>
        <w:t> </w:t>
      </w:r>
      <w:r>
        <w:rPr>
          <w:w w:val="125"/>
          <w:sz w:val="22"/>
        </w:rPr>
        <w:t>makedonski</w:t>
      </w:r>
      <w:r>
        <w:rPr>
          <w:spacing w:val="6"/>
          <w:w w:val="125"/>
          <w:sz w:val="22"/>
        </w:rPr>
        <w:t> </w:t>
      </w:r>
      <w:r>
        <w:rPr>
          <w:w w:val="125"/>
          <w:sz w:val="22"/>
        </w:rPr>
        <w:t>jazik</w:t>
      </w:r>
      <w:r>
        <w:rPr>
          <w:spacing w:val="6"/>
          <w:w w:val="125"/>
          <w:sz w:val="22"/>
        </w:rPr>
        <w:t> </w:t>
      </w:r>
      <w:r>
        <w:rPr>
          <w:w w:val="125"/>
          <w:sz w:val="22"/>
        </w:rPr>
        <w:t>so</w:t>
      </w:r>
      <w:r>
        <w:rPr>
          <w:spacing w:val="5"/>
          <w:w w:val="125"/>
          <w:sz w:val="22"/>
        </w:rPr>
        <w:t> </w:t>
      </w:r>
      <w:r>
        <w:rPr>
          <w:w w:val="125"/>
          <w:sz w:val="22"/>
        </w:rPr>
        <w:t>klu~ni</w:t>
      </w:r>
      <w:r>
        <w:rPr>
          <w:spacing w:val="6"/>
          <w:w w:val="125"/>
          <w:sz w:val="22"/>
        </w:rPr>
        <w:t> </w:t>
      </w:r>
      <w:r>
        <w:rPr>
          <w:w w:val="125"/>
          <w:sz w:val="22"/>
        </w:rPr>
        <w:t>zborovi,</w:t>
      </w:r>
      <w:r>
        <w:rPr>
          <w:spacing w:val="6"/>
          <w:w w:val="125"/>
          <w:sz w:val="22"/>
        </w:rPr>
        <w:t> </w:t>
      </w:r>
      <w:r>
        <w:rPr>
          <w:w w:val="120"/>
          <w:sz w:val="22"/>
        </w:rPr>
        <w:t>voved,</w:t>
      </w:r>
      <w:r>
        <w:rPr>
          <w:spacing w:val="6"/>
          <w:w w:val="125"/>
          <w:sz w:val="22"/>
        </w:rPr>
        <w:t> </w:t>
      </w:r>
      <w:r>
        <w:rPr>
          <w:w w:val="125"/>
          <w:sz w:val="22"/>
        </w:rPr>
        <w:t>materijal</w:t>
      </w:r>
      <w:r>
        <w:rPr>
          <w:spacing w:val="-19"/>
          <w:w w:val="170"/>
          <w:sz w:val="22"/>
        </w:rPr>
        <w:t> </w:t>
      </w:r>
      <w:r>
        <w:rPr>
          <w:w w:val="170"/>
          <w:sz w:val="22"/>
        </w:rPr>
        <w:t>i</w:t>
      </w:r>
      <w:r>
        <w:rPr>
          <w:spacing w:val="-18"/>
          <w:w w:val="170"/>
          <w:sz w:val="22"/>
        </w:rPr>
        <w:t> </w:t>
      </w:r>
      <w:r>
        <w:rPr>
          <w:w w:val="125"/>
          <w:sz w:val="22"/>
        </w:rPr>
        <w:t>metodi,</w:t>
      </w:r>
      <w:r>
        <w:rPr>
          <w:spacing w:val="4"/>
          <w:w w:val="125"/>
          <w:sz w:val="22"/>
        </w:rPr>
        <w:t> </w:t>
      </w:r>
      <w:r>
        <w:rPr>
          <w:w w:val="125"/>
          <w:sz w:val="22"/>
        </w:rPr>
        <w:t>rezultati,</w:t>
      </w:r>
      <w:r>
        <w:rPr>
          <w:spacing w:val="5"/>
          <w:w w:val="125"/>
          <w:sz w:val="22"/>
        </w:rPr>
        <w:t> </w:t>
      </w:r>
      <w:r>
        <w:rPr>
          <w:w w:val="125"/>
          <w:sz w:val="22"/>
        </w:rPr>
        <w:t>diskusija</w:t>
      </w:r>
      <w:r>
        <w:rPr>
          <w:spacing w:val="-18"/>
          <w:w w:val="170"/>
          <w:sz w:val="22"/>
        </w:rPr>
        <w:t> </w:t>
      </w:r>
      <w:r>
        <w:rPr>
          <w:spacing w:val="-10"/>
          <w:w w:val="170"/>
          <w:sz w:val="22"/>
        </w:rPr>
        <w:t>i</w:t>
      </w:r>
    </w:p>
    <w:p>
      <w:pPr>
        <w:spacing w:after="0" w:line="244" w:lineRule="auto"/>
        <w:jc w:val="both"/>
        <w:rPr>
          <w:sz w:val="22"/>
        </w:rPr>
        <w:sectPr>
          <w:headerReference w:type="default" r:id="rId550"/>
          <w:pgSz w:w="11910" w:h="16840"/>
          <w:pgMar w:header="0" w:footer="0" w:top="1560" w:bottom="280" w:left="900" w:right="840"/>
        </w:sectPr>
      </w:pPr>
    </w:p>
    <w:p>
      <w:pPr>
        <w:spacing w:before="34"/>
        <w:ind w:left="238" w:right="294" w:firstLine="0"/>
        <w:jc w:val="left"/>
        <w:rPr>
          <w:sz w:val="22"/>
        </w:rPr>
      </w:pPr>
      <w:r>
        <w:rPr>
          <w:spacing w:val="-2"/>
          <w:w w:val="130"/>
          <w:sz w:val="22"/>
        </w:rPr>
        <w:t>zaklu~oci,</w:t>
      </w:r>
      <w:r>
        <w:rPr>
          <w:spacing w:val="-7"/>
          <w:w w:val="130"/>
          <w:sz w:val="22"/>
        </w:rPr>
        <w:t> </w:t>
      </w:r>
      <w:r>
        <w:rPr>
          <w:spacing w:val="-2"/>
          <w:w w:val="145"/>
          <w:sz w:val="22"/>
        </w:rPr>
        <w:t>literatura</w:t>
      </w:r>
      <w:r>
        <w:rPr>
          <w:spacing w:val="-18"/>
          <w:w w:val="145"/>
          <w:sz w:val="22"/>
        </w:rPr>
        <w:t> </w:t>
      </w:r>
      <w:r>
        <w:rPr>
          <w:spacing w:val="-2"/>
          <w:w w:val="145"/>
          <w:sz w:val="22"/>
        </w:rPr>
        <w:t>i</w:t>
      </w:r>
      <w:r>
        <w:rPr>
          <w:spacing w:val="-15"/>
          <w:w w:val="145"/>
          <w:sz w:val="22"/>
        </w:rPr>
        <w:t> </w:t>
      </w:r>
      <w:r>
        <w:rPr>
          <w:spacing w:val="-2"/>
          <w:w w:val="145"/>
          <w:sz w:val="22"/>
        </w:rPr>
        <w:t>prilozi</w:t>
      </w:r>
      <w:r>
        <w:rPr>
          <w:spacing w:val="-15"/>
          <w:w w:val="145"/>
          <w:sz w:val="22"/>
        </w:rPr>
        <w:t> </w:t>
      </w:r>
      <w:r>
        <w:rPr>
          <w:spacing w:val="-2"/>
          <w:w w:val="145"/>
          <w:sz w:val="22"/>
        </w:rPr>
        <w:t>(tabeli,</w:t>
      </w:r>
      <w:r>
        <w:rPr>
          <w:spacing w:val="-18"/>
          <w:w w:val="145"/>
          <w:sz w:val="22"/>
        </w:rPr>
        <w:t> </w:t>
      </w:r>
      <w:r>
        <w:rPr>
          <w:spacing w:val="-2"/>
          <w:w w:val="145"/>
          <w:sz w:val="22"/>
        </w:rPr>
        <w:t>grafici</w:t>
      </w:r>
      <w:r>
        <w:rPr>
          <w:spacing w:val="-15"/>
          <w:w w:val="145"/>
          <w:sz w:val="22"/>
        </w:rPr>
        <w:t> </w:t>
      </w:r>
      <w:r>
        <w:rPr>
          <w:spacing w:val="-2"/>
          <w:w w:val="145"/>
          <w:sz w:val="22"/>
        </w:rPr>
        <w:t>i</w:t>
      </w:r>
      <w:r>
        <w:rPr>
          <w:spacing w:val="-15"/>
          <w:w w:val="145"/>
          <w:sz w:val="22"/>
        </w:rPr>
        <w:t> </w:t>
      </w:r>
      <w:r>
        <w:rPr>
          <w:spacing w:val="-2"/>
          <w:w w:val="145"/>
          <w:sz w:val="22"/>
        </w:rPr>
        <w:t>sliki)</w:t>
      </w:r>
      <w:r>
        <w:rPr>
          <w:spacing w:val="-15"/>
          <w:w w:val="145"/>
          <w:sz w:val="22"/>
        </w:rPr>
        <w:t> </w:t>
      </w:r>
      <w:r>
        <w:rPr>
          <w:spacing w:val="-2"/>
          <w:w w:val="145"/>
          <w:sz w:val="22"/>
        </w:rPr>
        <w:t>i</w:t>
      </w:r>
      <w:r>
        <w:rPr>
          <w:spacing w:val="-15"/>
          <w:w w:val="145"/>
          <w:sz w:val="22"/>
        </w:rPr>
        <w:t> </w:t>
      </w:r>
      <w:r>
        <w:rPr>
          <w:spacing w:val="-2"/>
          <w:w w:val="145"/>
          <w:sz w:val="22"/>
        </w:rPr>
        <w:t>legendi</w:t>
      </w:r>
      <w:r>
        <w:rPr>
          <w:spacing w:val="-15"/>
          <w:w w:val="145"/>
          <w:sz w:val="22"/>
        </w:rPr>
        <w:t> </w:t>
      </w:r>
      <w:r>
        <w:rPr>
          <w:spacing w:val="-2"/>
          <w:w w:val="130"/>
          <w:sz w:val="22"/>
        </w:rPr>
        <w:t>za</w:t>
      </w:r>
      <w:r>
        <w:rPr>
          <w:spacing w:val="-7"/>
          <w:w w:val="130"/>
          <w:sz w:val="22"/>
        </w:rPr>
        <w:t> </w:t>
      </w:r>
      <w:r>
        <w:rPr>
          <w:spacing w:val="-2"/>
          <w:w w:val="145"/>
          <w:sz w:val="22"/>
        </w:rPr>
        <w:t>prilozite</w:t>
      </w:r>
      <w:r>
        <w:rPr>
          <w:spacing w:val="-15"/>
          <w:w w:val="145"/>
          <w:sz w:val="22"/>
        </w:rPr>
        <w:t> </w:t>
      </w:r>
      <w:r>
        <w:rPr>
          <w:spacing w:val="-2"/>
          <w:w w:val="130"/>
          <w:sz w:val="22"/>
        </w:rPr>
        <w:t>vo</w:t>
      </w:r>
      <w:r>
        <w:rPr>
          <w:spacing w:val="-7"/>
          <w:w w:val="130"/>
          <w:sz w:val="22"/>
        </w:rPr>
        <w:t> </w:t>
      </w:r>
      <w:r>
        <w:rPr>
          <w:spacing w:val="-2"/>
          <w:w w:val="130"/>
          <w:sz w:val="22"/>
        </w:rPr>
        <w:t>eden </w:t>
      </w:r>
      <w:r>
        <w:rPr>
          <w:spacing w:val="-2"/>
          <w:w w:val="227"/>
          <w:sz w:val="22"/>
        </w:rPr>
        <w:t>f</w:t>
      </w:r>
      <w:r>
        <w:rPr>
          <w:spacing w:val="-2"/>
          <w:w w:val="101"/>
          <w:sz w:val="22"/>
        </w:rPr>
        <w:t>aj</w:t>
      </w:r>
      <w:r>
        <w:rPr>
          <w:spacing w:val="-2"/>
          <w:w w:val="146"/>
          <w:sz w:val="22"/>
        </w:rPr>
        <w:t>l.</w:t>
      </w:r>
    </w:p>
    <w:p>
      <w:pPr>
        <w:pStyle w:val="BodyText"/>
        <w:spacing w:before="2"/>
        <w:rPr>
          <w:sz w:val="23"/>
        </w:rPr>
      </w:pPr>
    </w:p>
    <w:p>
      <w:pPr>
        <w:spacing w:line="244" w:lineRule="auto" w:before="0"/>
        <w:ind w:left="238" w:right="295" w:firstLine="0"/>
        <w:jc w:val="both"/>
        <w:rPr>
          <w:sz w:val="22"/>
        </w:rPr>
      </w:pPr>
      <w:r>
        <w:rPr>
          <w:b/>
          <w:w w:val="135"/>
          <w:sz w:val="22"/>
        </w:rPr>
        <w:t>Prikazite</w:t>
      </w:r>
      <w:r>
        <w:rPr>
          <w:b/>
          <w:w w:val="135"/>
          <w:sz w:val="22"/>
        </w:rPr>
        <w:t> </w:t>
      </w:r>
      <w:r>
        <w:rPr>
          <w:b/>
          <w:w w:val="120"/>
          <w:sz w:val="22"/>
        </w:rPr>
        <w:t>na</w:t>
      </w:r>
      <w:r>
        <w:rPr>
          <w:b/>
          <w:w w:val="120"/>
          <w:sz w:val="22"/>
        </w:rPr>
        <w:t> </w:t>
      </w:r>
      <w:r>
        <w:rPr>
          <w:b/>
          <w:w w:val="135"/>
          <w:sz w:val="22"/>
        </w:rPr>
        <w:t>slu~ai</w:t>
      </w:r>
      <w:r>
        <w:rPr>
          <w:b/>
          <w:w w:val="135"/>
          <w:sz w:val="22"/>
        </w:rPr>
        <w:t> </w:t>
      </w:r>
      <w:r>
        <w:rPr>
          <w:w w:val="135"/>
          <w:sz w:val="22"/>
        </w:rPr>
        <w:t>treba</w:t>
      </w:r>
      <w:r>
        <w:rPr>
          <w:w w:val="135"/>
          <w:sz w:val="22"/>
        </w:rPr>
        <w:t> </w:t>
      </w:r>
      <w:r>
        <w:rPr>
          <w:w w:val="120"/>
          <w:sz w:val="22"/>
        </w:rPr>
        <w:t>da</w:t>
      </w:r>
      <w:r>
        <w:rPr>
          <w:w w:val="120"/>
          <w:sz w:val="22"/>
        </w:rPr>
        <w:t> </w:t>
      </w:r>
      <w:r>
        <w:rPr>
          <w:w w:val="135"/>
          <w:sz w:val="22"/>
        </w:rPr>
        <w:t>sodr`at</w:t>
      </w:r>
      <w:r>
        <w:rPr>
          <w:w w:val="135"/>
          <w:sz w:val="22"/>
        </w:rPr>
        <w:t> </w:t>
      </w:r>
      <w:r>
        <w:rPr>
          <w:w w:val="120"/>
          <w:sz w:val="22"/>
        </w:rPr>
        <w:t>voved,</w:t>
      </w:r>
      <w:r>
        <w:rPr>
          <w:w w:val="120"/>
          <w:sz w:val="22"/>
        </w:rPr>
        <w:t> </w:t>
      </w:r>
      <w:r>
        <w:rPr>
          <w:w w:val="135"/>
          <w:sz w:val="22"/>
        </w:rPr>
        <w:t>detalen</w:t>
      </w:r>
      <w:r>
        <w:rPr>
          <w:w w:val="135"/>
          <w:sz w:val="22"/>
        </w:rPr>
        <w:t> prikaz</w:t>
      </w:r>
      <w:r>
        <w:rPr>
          <w:w w:val="135"/>
          <w:sz w:val="22"/>
        </w:rPr>
        <w:t> na</w:t>
      </w:r>
      <w:r>
        <w:rPr>
          <w:w w:val="135"/>
          <w:sz w:val="22"/>
        </w:rPr>
        <w:t> </w:t>
      </w:r>
      <w:r>
        <w:rPr>
          <w:w w:val="120"/>
          <w:sz w:val="22"/>
        </w:rPr>
        <w:t>slu~ajot,</w:t>
      </w:r>
      <w:r>
        <w:rPr>
          <w:w w:val="120"/>
          <w:sz w:val="22"/>
        </w:rPr>
        <w:t> </w:t>
      </w:r>
      <w:r>
        <w:rPr>
          <w:w w:val="135"/>
          <w:sz w:val="22"/>
        </w:rPr>
        <w:t>diskusija</w:t>
      </w:r>
      <w:r>
        <w:rPr>
          <w:w w:val="135"/>
          <w:sz w:val="22"/>
        </w:rPr>
        <w:t> so </w:t>
      </w:r>
      <w:r>
        <w:rPr>
          <w:w w:val="120"/>
          <w:sz w:val="22"/>
        </w:rPr>
        <w:t>zaklu~ok </w:t>
      </w:r>
      <w:r>
        <w:rPr>
          <w:w w:val="170"/>
          <w:sz w:val="22"/>
        </w:rPr>
        <w:t>i </w:t>
      </w:r>
      <w:r>
        <w:rPr>
          <w:w w:val="135"/>
          <w:sz w:val="22"/>
        </w:rPr>
        <w:t>literatura so prilozi.</w:t>
      </w:r>
    </w:p>
    <w:p>
      <w:pPr>
        <w:pStyle w:val="BodyText"/>
        <w:spacing w:before="11"/>
      </w:pPr>
    </w:p>
    <w:p>
      <w:pPr>
        <w:spacing w:line="242" w:lineRule="auto" w:before="0"/>
        <w:ind w:left="238" w:right="291" w:firstLine="0"/>
        <w:jc w:val="both"/>
        <w:rPr>
          <w:sz w:val="22"/>
        </w:rPr>
      </w:pPr>
      <w:r>
        <w:rPr>
          <w:b/>
          <w:w w:val="215"/>
          <w:sz w:val="22"/>
        </w:rPr>
        <w:t>I</w:t>
      </w:r>
      <w:r>
        <w:rPr>
          <w:b/>
          <w:spacing w:val="-1"/>
          <w:w w:val="101"/>
          <w:sz w:val="22"/>
        </w:rPr>
        <w:t>zvado</w:t>
      </w:r>
      <w:r>
        <w:rPr>
          <w:b/>
          <w:spacing w:val="-3"/>
          <w:w w:val="101"/>
          <w:sz w:val="22"/>
        </w:rPr>
        <w:t>k</w:t>
      </w:r>
      <w:r>
        <w:rPr>
          <w:b/>
          <w:w w:val="128"/>
          <w:sz w:val="22"/>
        </w:rPr>
        <w:t>ot</w:t>
      </w:r>
      <w:r>
        <w:rPr>
          <w:b/>
          <w:spacing w:val="-16"/>
          <w:w w:val="119"/>
          <w:sz w:val="22"/>
        </w:rPr>
        <w:t> </w:t>
      </w:r>
      <w:r>
        <w:rPr>
          <w:b/>
          <w:w w:val="120"/>
          <w:sz w:val="22"/>
        </w:rPr>
        <w:t>na</w:t>
      </w:r>
      <w:r>
        <w:rPr>
          <w:b/>
          <w:spacing w:val="-16"/>
          <w:w w:val="120"/>
          <w:sz w:val="22"/>
        </w:rPr>
        <w:t> </w:t>
      </w:r>
      <w:r>
        <w:rPr>
          <w:b/>
          <w:w w:val="120"/>
          <w:sz w:val="22"/>
        </w:rPr>
        <w:t>makedonski</w:t>
      </w:r>
      <w:r>
        <w:rPr>
          <w:b/>
          <w:spacing w:val="-17"/>
          <w:w w:val="120"/>
          <w:sz w:val="22"/>
        </w:rPr>
        <w:t> </w:t>
      </w:r>
      <w:r>
        <w:rPr>
          <w:b/>
          <w:w w:val="120"/>
          <w:sz w:val="22"/>
        </w:rPr>
        <w:t>jazik</w:t>
      </w:r>
      <w:r>
        <w:rPr>
          <w:b/>
          <w:spacing w:val="-16"/>
          <w:w w:val="120"/>
          <w:sz w:val="22"/>
        </w:rPr>
        <w:t> </w:t>
      </w:r>
      <w:r>
        <w:rPr>
          <w:w w:val="120"/>
          <w:sz w:val="22"/>
        </w:rPr>
        <w:t>treba</w:t>
      </w:r>
      <w:r>
        <w:rPr>
          <w:spacing w:val="-17"/>
          <w:w w:val="120"/>
          <w:sz w:val="22"/>
        </w:rPr>
        <w:t> </w:t>
      </w:r>
      <w:r>
        <w:rPr>
          <w:w w:val="120"/>
          <w:sz w:val="22"/>
        </w:rPr>
        <w:t>da</w:t>
      </w:r>
      <w:r>
        <w:rPr>
          <w:spacing w:val="-16"/>
          <w:w w:val="120"/>
          <w:sz w:val="22"/>
        </w:rPr>
        <w:t> </w:t>
      </w:r>
      <w:r>
        <w:rPr>
          <w:w w:val="120"/>
          <w:sz w:val="22"/>
        </w:rPr>
        <w:t>sodr`i</w:t>
      </w:r>
      <w:r>
        <w:rPr>
          <w:spacing w:val="-15"/>
          <w:w w:val="120"/>
          <w:sz w:val="22"/>
        </w:rPr>
        <w:t> </w:t>
      </w:r>
      <w:r>
        <w:rPr>
          <w:w w:val="120"/>
          <w:sz w:val="22"/>
        </w:rPr>
        <w:t>najmnogu</w:t>
      </w:r>
      <w:r>
        <w:rPr>
          <w:spacing w:val="-17"/>
          <w:w w:val="120"/>
          <w:sz w:val="22"/>
        </w:rPr>
        <w:t> </w:t>
      </w:r>
      <w:r>
        <w:rPr>
          <w:w w:val="120"/>
          <w:sz w:val="22"/>
        </w:rPr>
        <w:t>250</w:t>
      </w:r>
      <w:r>
        <w:rPr>
          <w:spacing w:val="-16"/>
          <w:w w:val="120"/>
          <w:sz w:val="22"/>
        </w:rPr>
        <w:t> </w:t>
      </w:r>
      <w:r>
        <w:rPr>
          <w:w w:val="120"/>
          <w:sz w:val="22"/>
        </w:rPr>
        <w:t>zborovi</w:t>
      </w:r>
      <w:r>
        <w:rPr>
          <w:spacing w:val="-17"/>
          <w:w w:val="120"/>
          <w:sz w:val="22"/>
        </w:rPr>
        <w:t> </w:t>
      </w:r>
      <w:r>
        <w:rPr>
          <w:w w:val="120"/>
          <w:sz w:val="22"/>
        </w:rPr>
        <w:t>i</w:t>
      </w:r>
      <w:r>
        <w:rPr>
          <w:spacing w:val="-15"/>
          <w:w w:val="120"/>
          <w:sz w:val="22"/>
        </w:rPr>
        <w:t> </w:t>
      </w:r>
      <w:r>
        <w:rPr>
          <w:w w:val="120"/>
          <w:sz w:val="22"/>
        </w:rPr>
        <w:t>da</w:t>
      </w:r>
      <w:r>
        <w:rPr>
          <w:spacing w:val="-15"/>
          <w:w w:val="120"/>
          <w:sz w:val="22"/>
        </w:rPr>
        <w:t> </w:t>
      </w:r>
      <w:r>
        <w:rPr>
          <w:w w:val="120"/>
          <w:sz w:val="22"/>
        </w:rPr>
        <w:t>bide</w:t>
      </w:r>
      <w:r>
        <w:rPr>
          <w:spacing w:val="-15"/>
          <w:w w:val="120"/>
          <w:sz w:val="22"/>
        </w:rPr>
        <w:t> </w:t>
      </w:r>
      <w:r>
        <w:rPr>
          <w:w w:val="120"/>
          <w:sz w:val="22"/>
        </w:rPr>
        <w:t>strukturiran </w:t>
      </w:r>
      <w:r>
        <w:rPr>
          <w:w w:val="130"/>
          <w:sz w:val="22"/>
        </w:rPr>
        <w:t>so</w:t>
      </w:r>
      <w:r>
        <w:rPr>
          <w:spacing w:val="-14"/>
          <w:w w:val="130"/>
          <w:sz w:val="22"/>
        </w:rPr>
        <w:t> </w:t>
      </w:r>
      <w:r>
        <w:rPr>
          <w:w w:val="130"/>
          <w:sz w:val="22"/>
        </w:rPr>
        <w:t>site</w:t>
      </w:r>
      <w:r>
        <w:rPr>
          <w:spacing w:val="-14"/>
          <w:w w:val="130"/>
          <w:sz w:val="22"/>
        </w:rPr>
        <w:t> </w:t>
      </w:r>
      <w:r>
        <w:rPr>
          <w:w w:val="130"/>
          <w:sz w:val="22"/>
        </w:rPr>
        <w:t>bitni</w:t>
      </w:r>
      <w:r>
        <w:rPr>
          <w:spacing w:val="-14"/>
          <w:w w:val="130"/>
          <w:sz w:val="22"/>
        </w:rPr>
        <w:t> </w:t>
      </w:r>
      <w:r>
        <w:rPr>
          <w:w w:val="135"/>
          <w:sz w:val="22"/>
        </w:rPr>
        <w:t>~initeli</w:t>
      </w:r>
      <w:r>
        <w:rPr>
          <w:spacing w:val="-19"/>
          <w:w w:val="135"/>
          <w:sz w:val="22"/>
        </w:rPr>
        <w:t> </w:t>
      </w:r>
      <w:r>
        <w:rPr>
          <w:w w:val="130"/>
          <w:sz w:val="22"/>
        </w:rPr>
        <w:t>izneseni</w:t>
      </w:r>
      <w:r>
        <w:rPr>
          <w:spacing w:val="-13"/>
          <w:w w:val="130"/>
          <w:sz w:val="22"/>
        </w:rPr>
        <w:t> </w:t>
      </w:r>
      <w:r>
        <w:rPr>
          <w:w w:val="120"/>
          <w:sz w:val="22"/>
        </w:rPr>
        <w:t>vo</w:t>
      </w:r>
      <w:r>
        <w:rPr>
          <w:spacing w:val="-8"/>
          <w:w w:val="120"/>
          <w:sz w:val="22"/>
        </w:rPr>
        <w:t> </w:t>
      </w:r>
      <w:r>
        <w:rPr>
          <w:w w:val="130"/>
          <w:sz w:val="22"/>
        </w:rPr>
        <w:t>trudot:</w:t>
      </w:r>
      <w:r>
        <w:rPr>
          <w:spacing w:val="-14"/>
          <w:w w:val="130"/>
          <w:sz w:val="22"/>
        </w:rPr>
        <w:t> </w:t>
      </w:r>
      <w:r>
        <w:rPr>
          <w:w w:val="120"/>
          <w:sz w:val="22"/>
        </w:rPr>
        <w:t>voved</w:t>
      </w:r>
      <w:r>
        <w:rPr>
          <w:spacing w:val="-8"/>
          <w:w w:val="120"/>
          <w:sz w:val="22"/>
        </w:rPr>
        <w:t> </w:t>
      </w:r>
      <w:r>
        <w:rPr>
          <w:w w:val="130"/>
          <w:sz w:val="22"/>
        </w:rPr>
        <w:t>so</w:t>
      </w:r>
      <w:r>
        <w:rPr>
          <w:spacing w:val="-14"/>
          <w:w w:val="130"/>
          <w:sz w:val="22"/>
        </w:rPr>
        <w:t> </w:t>
      </w:r>
      <w:r>
        <w:rPr>
          <w:w w:val="130"/>
          <w:sz w:val="22"/>
        </w:rPr>
        <w:t>celta</w:t>
      </w:r>
      <w:r>
        <w:rPr>
          <w:spacing w:val="-14"/>
          <w:w w:val="130"/>
          <w:sz w:val="22"/>
        </w:rPr>
        <w:t> </w:t>
      </w:r>
      <w:r>
        <w:rPr>
          <w:w w:val="130"/>
          <w:sz w:val="22"/>
        </w:rPr>
        <w:t>na</w:t>
      </w:r>
      <w:r>
        <w:rPr>
          <w:spacing w:val="-14"/>
          <w:w w:val="130"/>
          <w:sz w:val="22"/>
        </w:rPr>
        <w:t> </w:t>
      </w:r>
      <w:r>
        <w:rPr>
          <w:w w:val="130"/>
          <w:sz w:val="22"/>
        </w:rPr>
        <w:t>trudot,</w:t>
      </w:r>
      <w:r>
        <w:rPr>
          <w:spacing w:val="-15"/>
          <w:w w:val="130"/>
          <w:sz w:val="22"/>
        </w:rPr>
        <w:t> </w:t>
      </w:r>
      <w:r>
        <w:rPr>
          <w:w w:val="130"/>
          <w:sz w:val="22"/>
        </w:rPr>
        <w:t>metodot,</w:t>
      </w:r>
      <w:r>
        <w:rPr>
          <w:spacing w:val="-14"/>
          <w:w w:val="130"/>
          <w:sz w:val="22"/>
        </w:rPr>
        <w:t> </w:t>
      </w:r>
      <w:r>
        <w:rPr>
          <w:w w:val="135"/>
          <w:sz w:val="22"/>
        </w:rPr>
        <w:t>rezultati</w:t>
      </w:r>
      <w:r>
        <w:rPr>
          <w:spacing w:val="-16"/>
          <w:w w:val="135"/>
          <w:sz w:val="22"/>
        </w:rPr>
        <w:t> </w:t>
      </w:r>
      <w:r>
        <w:rPr>
          <w:w w:val="130"/>
          <w:sz w:val="22"/>
        </w:rPr>
        <w:t>(so </w:t>
      </w:r>
      <w:r>
        <w:rPr>
          <w:w w:val="92"/>
          <w:sz w:val="22"/>
        </w:rPr>
        <w:t>nu</w:t>
      </w:r>
      <w:r>
        <w:rPr>
          <w:spacing w:val="-2"/>
          <w:w w:val="92"/>
          <w:sz w:val="22"/>
        </w:rPr>
        <w:t>m</w:t>
      </w:r>
      <w:r>
        <w:rPr>
          <w:w w:val="148"/>
          <w:sz w:val="22"/>
        </w:rPr>
        <w:t>er</w:t>
      </w:r>
      <w:r>
        <w:rPr>
          <w:spacing w:val="-1"/>
          <w:w w:val="148"/>
          <w:sz w:val="22"/>
        </w:rPr>
        <w:t>i</w:t>
      </w:r>
      <w:r>
        <w:rPr>
          <w:w w:val="102"/>
          <w:sz w:val="22"/>
        </w:rPr>
        <w:t>~</w:t>
      </w:r>
      <w:r>
        <w:rPr>
          <w:spacing w:val="-1"/>
          <w:w w:val="102"/>
          <w:sz w:val="22"/>
        </w:rPr>
        <w:t>k</w:t>
      </w:r>
      <w:r>
        <w:rPr>
          <w:w w:val="195"/>
          <w:sz w:val="22"/>
        </w:rPr>
        <w:t>i</w:t>
      </w:r>
      <w:r>
        <w:rPr>
          <w:spacing w:val="-3"/>
          <w:w w:val="124"/>
          <w:sz w:val="22"/>
        </w:rPr>
        <w:t> </w:t>
      </w:r>
      <w:r>
        <w:rPr>
          <w:w w:val="125"/>
          <w:sz w:val="22"/>
        </w:rPr>
        <w:t>podatoci)</w:t>
      </w:r>
      <w:r>
        <w:rPr>
          <w:spacing w:val="-4"/>
          <w:w w:val="125"/>
          <w:sz w:val="22"/>
        </w:rPr>
        <w:t> </w:t>
      </w:r>
      <w:r>
        <w:rPr>
          <w:w w:val="125"/>
          <w:sz w:val="22"/>
        </w:rPr>
        <w:t>i</w:t>
      </w:r>
      <w:r>
        <w:rPr>
          <w:spacing w:val="-6"/>
          <w:w w:val="125"/>
          <w:sz w:val="22"/>
        </w:rPr>
        <w:t> </w:t>
      </w:r>
      <w:r>
        <w:rPr>
          <w:w w:val="125"/>
          <w:sz w:val="22"/>
        </w:rPr>
        <w:t>zaklu~oci.</w:t>
      </w:r>
      <w:r>
        <w:rPr>
          <w:spacing w:val="-6"/>
          <w:w w:val="125"/>
          <w:sz w:val="22"/>
        </w:rPr>
        <w:t> </w:t>
      </w:r>
      <w:r>
        <w:rPr>
          <w:w w:val="120"/>
          <w:sz w:val="22"/>
        </w:rPr>
        <w:t>Zaedno</w:t>
      </w:r>
      <w:r>
        <w:rPr>
          <w:spacing w:val="-4"/>
          <w:w w:val="120"/>
          <w:sz w:val="22"/>
        </w:rPr>
        <w:t> </w:t>
      </w:r>
      <w:r>
        <w:rPr>
          <w:w w:val="125"/>
          <w:sz w:val="22"/>
        </w:rPr>
        <w:t>so</w:t>
      </w:r>
      <w:r>
        <w:rPr>
          <w:spacing w:val="-6"/>
          <w:w w:val="125"/>
          <w:sz w:val="22"/>
        </w:rPr>
        <w:t> </w:t>
      </w:r>
      <w:r>
        <w:rPr>
          <w:w w:val="125"/>
          <w:sz w:val="22"/>
        </w:rPr>
        <w:t>izvadokot,</w:t>
      </w:r>
      <w:r>
        <w:rPr>
          <w:spacing w:val="-6"/>
          <w:w w:val="125"/>
          <w:sz w:val="22"/>
        </w:rPr>
        <w:t> </w:t>
      </w:r>
      <w:r>
        <w:rPr>
          <w:w w:val="125"/>
          <w:sz w:val="22"/>
        </w:rPr>
        <w:t>treba</w:t>
      </w:r>
      <w:r>
        <w:rPr>
          <w:spacing w:val="-6"/>
          <w:w w:val="125"/>
          <w:sz w:val="22"/>
        </w:rPr>
        <w:t> </w:t>
      </w:r>
      <w:r>
        <w:rPr>
          <w:w w:val="120"/>
          <w:sz w:val="22"/>
        </w:rPr>
        <w:t>da</w:t>
      </w:r>
      <w:r>
        <w:rPr>
          <w:spacing w:val="-1"/>
          <w:w w:val="120"/>
          <w:sz w:val="22"/>
        </w:rPr>
        <w:t> </w:t>
      </w:r>
      <w:r>
        <w:rPr>
          <w:w w:val="125"/>
          <w:sz w:val="22"/>
        </w:rPr>
        <w:t>se</w:t>
      </w:r>
      <w:r>
        <w:rPr>
          <w:spacing w:val="-6"/>
          <w:w w:val="125"/>
          <w:sz w:val="22"/>
        </w:rPr>
        <w:t> </w:t>
      </w:r>
      <w:r>
        <w:rPr>
          <w:w w:val="125"/>
          <w:sz w:val="22"/>
        </w:rPr>
        <w:t>dostavat</w:t>
      </w:r>
      <w:r>
        <w:rPr>
          <w:spacing w:val="-6"/>
          <w:w w:val="125"/>
          <w:sz w:val="22"/>
        </w:rPr>
        <w:t> </w:t>
      </w:r>
      <w:r>
        <w:rPr>
          <w:w w:val="125"/>
          <w:sz w:val="22"/>
        </w:rPr>
        <w:t>i</w:t>
      </w:r>
      <w:r>
        <w:rPr>
          <w:spacing w:val="-4"/>
          <w:w w:val="125"/>
          <w:sz w:val="22"/>
        </w:rPr>
        <w:t> </w:t>
      </w:r>
      <w:r>
        <w:rPr>
          <w:w w:val="120"/>
          <w:sz w:val="22"/>
        </w:rPr>
        <w:t>do</w:t>
      </w:r>
      <w:r>
        <w:rPr>
          <w:spacing w:val="-4"/>
          <w:w w:val="120"/>
          <w:sz w:val="22"/>
        </w:rPr>
        <w:t> </w:t>
      </w:r>
      <w:r>
        <w:rPr>
          <w:w w:val="120"/>
          <w:sz w:val="22"/>
        </w:rPr>
        <w:t>5</w:t>
      </w:r>
      <w:r>
        <w:rPr>
          <w:spacing w:val="-1"/>
          <w:w w:val="120"/>
          <w:sz w:val="22"/>
        </w:rPr>
        <w:t> </w:t>
      </w:r>
      <w:r>
        <w:rPr>
          <w:w w:val="125"/>
          <w:sz w:val="22"/>
        </w:rPr>
        <w:t>klu~ni, </w:t>
      </w:r>
      <w:r>
        <w:rPr>
          <w:w w:val="130"/>
          <w:sz w:val="22"/>
        </w:rPr>
        <w:t>indeksni</w:t>
      </w:r>
      <w:r>
        <w:rPr>
          <w:spacing w:val="-4"/>
          <w:w w:val="130"/>
          <w:sz w:val="22"/>
        </w:rPr>
        <w:t> </w:t>
      </w:r>
      <w:r>
        <w:rPr>
          <w:w w:val="130"/>
          <w:sz w:val="22"/>
        </w:rPr>
        <w:t>zborovi.</w:t>
      </w:r>
    </w:p>
    <w:p>
      <w:pPr>
        <w:pStyle w:val="BodyText"/>
        <w:spacing w:before="6"/>
        <w:rPr>
          <w:sz w:val="22"/>
        </w:rPr>
      </w:pPr>
    </w:p>
    <w:p>
      <w:pPr>
        <w:spacing w:line="242" w:lineRule="auto" w:before="0"/>
        <w:ind w:left="238" w:right="293" w:firstLine="0"/>
        <w:jc w:val="both"/>
        <w:rPr>
          <w:sz w:val="22"/>
        </w:rPr>
      </w:pPr>
      <w:r>
        <w:rPr>
          <w:b/>
          <w:w w:val="215"/>
          <w:sz w:val="22"/>
        </w:rPr>
        <w:t>I</w:t>
      </w:r>
      <w:r>
        <w:rPr>
          <w:b/>
          <w:spacing w:val="-1"/>
          <w:w w:val="101"/>
          <w:sz w:val="22"/>
        </w:rPr>
        <w:t>zvado</w:t>
      </w:r>
      <w:r>
        <w:rPr>
          <w:b/>
          <w:spacing w:val="-3"/>
          <w:w w:val="101"/>
          <w:sz w:val="22"/>
        </w:rPr>
        <w:t>k</w:t>
      </w:r>
      <w:r>
        <w:rPr>
          <w:b/>
          <w:w w:val="128"/>
          <w:sz w:val="22"/>
        </w:rPr>
        <w:t>ot</w:t>
      </w:r>
      <w:r>
        <w:rPr>
          <w:b/>
          <w:spacing w:val="-1"/>
          <w:w w:val="119"/>
          <w:sz w:val="22"/>
        </w:rPr>
        <w:t> </w:t>
      </w:r>
      <w:r>
        <w:rPr>
          <w:b/>
          <w:w w:val="120"/>
          <w:sz w:val="22"/>
        </w:rPr>
        <w:t>na angliski jazik </w:t>
      </w:r>
      <w:r>
        <w:rPr>
          <w:w w:val="120"/>
          <w:sz w:val="22"/>
        </w:rPr>
        <w:t>mora da e so </w:t>
      </w:r>
      <w:r>
        <w:rPr>
          <w:spacing w:val="-1"/>
          <w:sz w:val="22"/>
        </w:rPr>
        <w:t>sod</w:t>
      </w:r>
      <w:r>
        <w:rPr>
          <w:spacing w:val="-3"/>
          <w:sz w:val="22"/>
        </w:rPr>
        <w:t>r</w:t>
      </w:r>
      <w:r>
        <w:rPr>
          <w:w w:val="215"/>
          <w:sz w:val="22"/>
        </w:rPr>
        <w:t>`</w:t>
      </w:r>
      <w:r>
        <w:rPr>
          <w:w w:val="124"/>
          <w:sz w:val="22"/>
        </w:rPr>
        <w:t>i</w:t>
      </w:r>
      <w:r>
        <w:rPr>
          <w:spacing w:val="-1"/>
          <w:w w:val="124"/>
          <w:sz w:val="22"/>
        </w:rPr>
        <w:t>n</w:t>
      </w:r>
      <w:r>
        <w:rPr>
          <w:w w:val="94"/>
          <w:sz w:val="22"/>
        </w:rPr>
        <w:t>a</w:t>
      </w:r>
      <w:r>
        <w:rPr>
          <w:spacing w:val="-1"/>
          <w:w w:val="119"/>
          <w:sz w:val="22"/>
        </w:rPr>
        <w:t> </w:t>
      </w:r>
      <w:r>
        <w:rPr>
          <w:w w:val="120"/>
          <w:sz w:val="22"/>
        </w:rPr>
        <w:t>identi~na so sodr`inata na izvadokot na </w:t>
      </w:r>
      <w:r>
        <w:rPr>
          <w:w w:val="125"/>
          <w:sz w:val="22"/>
        </w:rPr>
        <w:t>makedonski</w:t>
      </w:r>
      <w:r>
        <w:rPr>
          <w:spacing w:val="-12"/>
          <w:w w:val="125"/>
          <w:sz w:val="22"/>
        </w:rPr>
        <w:t> </w:t>
      </w:r>
      <w:r>
        <w:rPr>
          <w:w w:val="125"/>
          <w:sz w:val="22"/>
        </w:rPr>
        <w:t>jazik.</w:t>
      </w:r>
      <w:r>
        <w:rPr>
          <w:spacing w:val="-11"/>
          <w:w w:val="125"/>
          <w:sz w:val="22"/>
        </w:rPr>
        <w:t> </w:t>
      </w:r>
      <w:r>
        <w:rPr>
          <w:w w:val="125"/>
          <w:sz w:val="22"/>
        </w:rPr>
        <w:t>Klu~nite</w:t>
      </w:r>
      <w:r>
        <w:rPr>
          <w:spacing w:val="-11"/>
          <w:w w:val="125"/>
          <w:sz w:val="22"/>
        </w:rPr>
        <w:t> </w:t>
      </w:r>
      <w:r>
        <w:rPr>
          <w:w w:val="125"/>
          <w:sz w:val="22"/>
        </w:rPr>
        <w:t>zborovi</w:t>
      </w:r>
      <w:r>
        <w:rPr>
          <w:spacing w:val="-12"/>
          <w:w w:val="125"/>
          <w:sz w:val="22"/>
        </w:rPr>
        <w:t> </w:t>
      </w:r>
      <w:r>
        <w:rPr>
          <w:w w:val="125"/>
          <w:sz w:val="22"/>
        </w:rPr>
        <w:t>treba</w:t>
      </w:r>
      <w:r>
        <w:rPr>
          <w:spacing w:val="-11"/>
          <w:w w:val="125"/>
          <w:sz w:val="22"/>
        </w:rPr>
        <w:t> </w:t>
      </w:r>
      <w:r>
        <w:rPr>
          <w:w w:val="120"/>
          <w:sz w:val="22"/>
        </w:rPr>
        <w:t>da</w:t>
      </w:r>
      <w:r>
        <w:rPr>
          <w:spacing w:val="-8"/>
          <w:w w:val="120"/>
          <w:sz w:val="22"/>
        </w:rPr>
        <w:t> </w:t>
      </w:r>
      <w:r>
        <w:rPr>
          <w:w w:val="125"/>
          <w:sz w:val="22"/>
        </w:rPr>
        <w:t>se</w:t>
      </w:r>
      <w:r>
        <w:rPr>
          <w:spacing w:val="-11"/>
          <w:w w:val="125"/>
          <w:sz w:val="22"/>
        </w:rPr>
        <w:t> </w:t>
      </w:r>
      <w:r>
        <w:rPr>
          <w:w w:val="120"/>
          <w:sz w:val="22"/>
        </w:rPr>
        <w:t>vo</w:t>
      </w:r>
      <w:r>
        <w:rPr>
          <w:spacing w:val="-6"/>
          <w:w w:val="120"/>
          <w:sz w:val="22"/>
        </w:rPr>
        <w:t> </w:t>
      </w:r>
      <w:r>
        <w:rPr>
          <w:w w:val="125"/>
          <w:sz w:val="22"/>
        </w:rPr>
        <w:t>soglasnost</w:t>
      </w:r>
      <w:r>
        <w:rPr>
          <w:spacing w:val="-11"/>
          <w:w w:val="125"/>
          <w:sz w:val="22"/>
        </w:rPr>
        <w:t> </w:t>
      </w:r>
      <w:r>
        <w:rPr>
          <w:w w:val="125"/>
          <w:sz w:val="22"/>
        </w:rPr>
        <w:t>so</w:t>
      </w:r>
      <w:r>
        <w:rPr>
          <w:spacing w:val="-12"/>
          <w:w w:val="125"/>
          <w:sz w:val="22"/>
        </w:rPr>
        <w:t> </w:t>
      </w:r>
      <w:r>
        <w:rPr>
          <w:w w:val="125"/>
          <w:sz w:val="22"/>
        </w:rPr>
        <w:t>MeSH</w:t>
      </w:r>
      <w:r>
        <w:rPr>
          <w:spacing w:val="-11"/>
          <w:w w:val="125"/>
          <w:sz w:val="22"/>
        </w:rPr>
        <w:t> </w:t>
      </w:r>
      <w:r>
        <w:rPr>
          <w:w w:val="125"/>
          <w:sz w:val="22"/>
        </w:rPr>
        <w:t>(Medical</w:t>
      </w:r>
      <w:r>
        <w:rPr>
          <w:spacing w:val="-12"/>
          <w:w w:val="125"/>
          <w:sz w:val="22"/>
        </w:rPr>
        <w:t> </w:t>
      </w:r>
      <w:r>
        <w:rPr>
          <w:w w:val="125"/>
          <w:sz w:val="22"/>
        </w:rPr>
        <w:t>Sibject Headings) </w:t>
      </w:r>
      <w:r>
        <w:rPr>
          <w:w w:val="130"/>
          <w:sz w:val="22"/>
        </w:rPr>
        <w:t>listata </w:t>
      </w:r>
      <w:r>
        <w:rPr>
          <w:w w:val="125"/>
          <w:sz w:val="22"/>
        </w:rPr>
        <w:t>na </w:t>
      </w:r>
      <w:r>
        <w:rPr>
          <w:spacing w:val="-2"/>
          <w:w w:val="238"/>
          <w:sz w:val="22"/>
        </w:rPr>
        <w:t>I</w:t>
      </w:r>
      <w:r>
        <w:rPr>
          <w:w w:val="96"/>
          <w:sz w:val="22"/>
        </w:rPr>
        <w:t>ndex</w:t>
      </w:r>
      <w:r>
        <w:rPr>
          <w:spacing w:val="-1"/>
          <w:w w:val="124"/>
          <w:sz w:val="22"/>
        </w:rPr>
        <w:t> </w:t>
      </w:r>
      <w:r>
        <w:rPr>
          <w:w w:val="125"/>
          <w:sz w:val="22"/>
        </w:rPr>
        <w:t>Medicus.</w:t>
      </w:r>
    </w:p>
    <w:p>
      <w:pPr>
        <w:pStyle w:val="BodyText"/>
        <w:spacing w:before="6"/>
        <w:rPr>
          <w:sz w:val="22"/>
        </w:rPr>
      </w:pPr>
    </w:p>
    <w:p>
      <w:pPr>
        <w:spacing w:line="242" w:lineRule="auto" w:before="0"/>
        <w:ind w:left="238" w:right="294" w:firstLine="0"/>
        <w:jc w:val="both"/>
        <w:rPr>
          <w:sz w:val="22"/>
        </w:rPr>
      </w:pPr>
      <w:r>
        <w:rPr>
          <w:b/>
          <w:w w:val="120"/>
          <w:sz w:val="22"/>
        </w:rPr>
        <w:t>Vovedot</w:t>
      </w:r>
      <w:r>
        <w:rPr>
          <w:b/>
          <w:w w:val="120"/>
          <w:sz w:val="22"/>
        </w:rPr>
        <w:t> </w:t>
      </w:r>
      <w:r>
        <w:rPr>
          <w:w w:val="130"/>
          <w:sz w:val="22"/>
        </w:rPr>
        <w:t>treba</w:t>
      </w:r>
      <w:r>
        <w:rPr>
          <w:spacing w:val="-4"/>
          <w:w w:val="130"/>
          <w:sz w:val="22"/>
        </w:rPr>
        <w:t> </w:t>
      </w:r>
      <w:r>
        <w:rPr>
          <w:w w:val="120"/>
          <w:sz w:val="22"/>
        </w:rPr>
        <w:t>da</w:t>
      </w:r>
      <w:r>
        <w:rPr>
          <w:w w:val="120"/>
          <w:sz w:val="22"/>
        </w:rPr>
        <w:t> </w:t>
      </w:r>
      <w:r>
        <w:rPr>
          <w:w w:val="130"/>
          <w:sz w:val="22"/>
        </w:rPr>
        <w:t>pretstavuva</w:t>
      </w:r>
      <w:r>
        <w:rPr>
          <w:spacing w:val="-3"/>
          <w:w w:val="130"/>
          <w:sz w:val="22"/>
        </w:rPr>
        <w:t> </w:t>
      </w:r>
      <w:r>
        <w:rPr>
          <w:w w:val="130"/>
          <w:sz w:val="22"/>
        </w:rPr>
        <w:t>kratok</w:t>
      </w:r>
      <w:r>
        <w:rPr>
          <w:spacing w:val="-2"/>
          <w:w w:val="130"/>
          <w:sz w:val="22"/>
        </w:rPr>
        <w:t> </w:t>
      </w:r>
      <w:r>
        <w:rPr>
          <w:w w:val="170"/>
          <w:sz w:val="22"/>
        </w:rPr>
        <w:t>i</w:t>
      </w:r>
      <w:r>
        <w:rPr>
          <w:spacing w:val="-24"/>
          <w:w w:val="170"/>
          <w:sz w:val="22"/>
        </w:rPr>
        <w:t> </w:t>
      </w:r>
      <w:r>
        <w:rPr>
          <w:w w:val="120"/>
          <w:sz w:val="22"/>
        </w:rPr>
        <w:t>jasen</w:t>
      </w:r>
      <w:r>
        <w:rPr>
          <w:w w:val="120"/>
          <w:sz w:val="22"/>
        </w:rPr>
        <w:t> </w:t>
      </w:r>
      <w:r>
        <w:rPr>
          <w:w w:val="130"/>
          <w:sz w:val="22"/>
        </w:rPr>
        <w:t>prikaz</w:t>
      </w:r>
      <w:r>
        <w:rPr>
          <w:spacing w:val="-1"/>
          <w:w w:val="130"/>
          <w:sz w:val="22"/>
        </w:rPr>
        <w:t> </w:t>
      </w:r>
      <w:r>
        <w:rPr>
          <w:w w:val="120"/>
          <w:sz w:val="22"/>
        </w:rPr>
        <w:t>na</w:t>
      </w:r>
      <w:r>
        <w:rPr>
          <w:w w:val="120"/>
          <w:sz w:val="22"/>
        </w:rPr>
        <w:t> </w:t>
      </w:r>
      <w:r>
        <w:rPr>
          <w:w w:val="130"/>
          <w:sz w:val="22"/>
        </w:rPr>
        <w:t>ispituvaniot</w:t>
      </w:r>
      <w:r>
        <w:rPr>
          <w:spacing w:val="-1"/>
          <w:w w:val="130"/>
          <w:sz w:val="22"/>
        </w:rPr>
        <w:t> </w:t>
      </w:r>
      <w:r>
        <w:rPr>
          <w:w w:val="130"/>
          <w:sz w:val="22"/>
        </w:rPr>
        <w:t>problem</w:t>
      </w:r>
      <w:r>
        <w:rPr>
          <w:spacing w:val="-3"/>
          <w:w w:val="130"/>
          <w:sz w:val="22"/>
        </w:rPr>
        <w:t> </w:t>
      </w:r>
      <w:r>
        <w:rPr>
          <w:w w:val="170"/>
          <w:sz w:val="22"/>
        </w:rPr>
        <w:t>i</w:t>
      </w:r>
      <w:r>
        <w:rPr>
          <w:spacing w:val="-23"/>
          <w:w w:val="170"/>
          <w:sz w:val="22"/>
        </w:rPr>
        <w:t> </w:t>
      </w:r>
      <w:r>
        <w:rPr>
          <w:w w:val="130"/>
          <w:sz w:val="22"/>
        </w:rPr>
        <w:t>celite</w:t>
      </w:r>
      <w:r>
        <w:rPr>
          <w:spacing w:val="-2"/>
          <w:w w:val="130"/>
          <w:sz w:val="22"/>
        </w:rPr>
        <w:t> </w:t>
      </w:r>
      <w:r>
        <w:rPr>
          <w:w w:val="120"/>
          <w:sz w:val="22"/>
        </w:rPr>
        <w:t>na </w:t>
      </w:r>
      <w:r>
        <w:rPr>
          <w:w w:val="130"/>
          <w:sz w:val="22"/>
        </w:rPr>
        <w:t>istra`uvaweto,</w:t>
      </w:r>
      <w:r>
        <w:rPr>
          <w:spacing w:val="-18"/>
          <w:w w:val="130"/>
          <w:sz w:val="22"/>
        </w:rPr>
        <w:t> </w:t>
      </w:r>
      <w:r>
        <w:rPr>
          <w:w w:val="120"/>
          <w:sz w:val="22"/>
        </w:rPr>
        <w:t>so</w:t>
      </w:r>
      <w:r>
        <w:rPr>
          <w:spacing w:val="-17"/>
          <w:w w:val="120"/>
          <w:sz w:val="22"/>
        </w:rPr>
        <w:t> </w:t>
      </w:r>
      <w:r>
        <w:rPr>
          <w:w w:val="120"/>
          <w:sz w:val="22"/>
        </w:rPr>
        <w:t>naveduvawe</w:t>
      </w:r>
      <w:r>
        <w:rPr>
          <w:spacing w:val="-16"/>
          <w:w w:val="120"/>
          <w:sz w:val="22"/>
        </w:rPr>
        <w:t> </w:t>
      </w:r>
      <w:r>
        <w:rPr>
          <w:w w:val="120"/>
          <w:sz w:val="22"/>
        </w:rPr>
        <w:t>na</w:t>
      </w:r>
      <w:r>
        <w:rPr>
          <w:spacing w:val="-17"/>
          <w:w w:val="120"/>
          <w:sz w:val="22"/>
        </w:rPr>
        <w:t> </w:t>
      </w:r>
      <w:r>
        <w:rPr>
          <w:w w:val="130"/>
          <w:sz w:val="22"/>
        </w:rPr>
        <w:t>eti~kiot</w:t>
      </w:r>
      <w:r>
        <w:rPr>
          <w:spacing w:val="-18"/>
          <w:w w:val="130"/>
          <w:sz w:val="22"/>
        </w:rPr>
        <w:t> </w:t>
      </w:r>
      <w:r>
        <w:rPr>
          <w:w w:val="130"/>
          <w:sz w:val="22"/>
        </w:rPr>
        <w:t>komitet</w:t>
      </w:r>
      <w:r>
        <w:rPr>
          <w:spacing w:val="-18"/>
          <w:w w:val="130"/>
          <w:sz w:val="22"/>
        </w:rPr>
        <w:t> </w:t>
      </w:r>
      <w:r>
        <w:rPr>
          <w:w w:val="120"/>
          <w:sz w:val="22"/>
        </w:rPr>
        <w:t>odnosno</w:t>
      </w:r>
      <w:r>
        <w:rPr>
          <w:spacing w:val="-16"/>
          <w:w w:val="120"/>
          <w:sz w:val="22"/>
        </w:rPr>
        <w:t> </w:t>
      </w:r>
      <w:r>
        <w:rPr>
          <w:w w:val="130"/>
          <w:sz w:val="22"/>
        </w:rPr>
        <w:t>institucijata</w:t>
      </w:r>
      <w:r>
        <w:rPr>
          <w:spacing w:val="-18"/>
          <w:w w:val="130"/>
          <w:sz w:val="22"/>
        </w:rPr>
        <w:t> </w:t>
      </w:r>
      <w:r>
        <w:rPr>
          <w:w w:val="120"/>
          <w:sz w:val="22"/>
        </w:rPr>
        <w:t>koja</w:t>
      </w:r>
      <w:r>
        <w:rPr>
          <w:spacing w:val="-16"/>
          <w:w w:val="120"/>
          <w:sz w:val="22"/>
        </w:rPr>
        <w:t> </w:t>
      </w:r>
      <w:r>
        <w:rPr>
          <w:w w:val="120"/>
          <w:sz w:val="22"/>
        </w:rPr>
        <w:t>go</w:t>
      </w:r>
      <w:r>
        <w:rPr>
          <w:spacing w:val="-17"/>
          <w:w w:val="120"/>
          <w:sz w:val="22"/>
        </w:rPr>
        <w:t> </w:t>
      </w:r>
      <w:r>
        <w:rPr>
          <w:w w:val="130"/>
          <w:sz w:val="22"/>
        </w:rPr>
        <w:t>odobrila ispituvaweto</w:t>
      </w:r>
      <w:r>
        <w:rPr>
          <w:w w:val="130"/>
          <w:sz w:val="22"/>
        </w:rPr>
        <w:t> (klini~ka</w:t>
      </w:r>
      <w:r>
        <w:rPr>
          <w:w w:val="130"/>
          <w:sz w:val="22"/>
        </w:rPr>
        <w:t> studija</w:t>
      </w:r>
      <w:r>
        <w:rPr>
          <w:w w:val="130"/>
          <w:sz w:val="22"/>
        </w:rPr>
        <w:t> </w:t>
      </w:r>
      <w:r>
        <w:rPr>
          <w:w w:val="120"/>
          <w:sz w:val="22"/>
        </w:rPr>
        <w:t>koja</w:t>
      </w:r>
      <w:r>
        <w:rPr>
          <w:w w:val="120"/>
          <w:sz w:val="22"/>
        </w:rPr>
        <w:t> se</w:t>
      </w:r>
      <w:r>
        <w:rPr>
          <w:w w:val="120"/>
          <w:sz w:val="22"/>
        </w:rPr>
        <w:t> </w:t>
      </w:r>
      <w:r>
        <w:rPr>
          <w:w w:val="130"/>
          <w:sz w:val="22"/>
        </w:rPr>
        <w:t>raboti</w:t>
      </w:r>
      <w:r>
        <w:rPr>
          <w:w w:val="130"/>
          <w:sz w:val="22"/>
        </w:rPr>
        <w:t> spored</w:t>
      </w:r>
      <w:r>
        <w:rPr>
          <w:w w:val="130"/>
          <w:sz w:val="22"/>
        </w:rPr>
        <w:t> principite</w:t>
      </w:r>
      <w:r>
        <w:rPr>
          <w:w w:val="130"/>
          <w:sz w:val="22"/>
        </w:rPr>
        <w:t> </w:t>
      </w:r>
      <w:r>
        <w:rPr>
          <w:w w:val="120"/>
          <w:sz w:val="22"/>
        </w:rPr>
        <w:t>na</w:t>
      </w:r>
      <w:r>
        <w:rPr>
          <w:w w:val="120"/>
          <w:sz w:val="22"/>
        </w:rPr>
        <w:t> </w:t>
      </w:r>
      <w:r>
        <w:rPr>
          <w:w w:val="130"/>
          <w:sz w:val="22"/>
        </w:rPr>
        <w:t>Helsin{kata deklaracija </w:t>
      </w:r>
      <w:r>
        <w:rPr>
          <w:w w:val="120"/>
          <w:sz w:val="22"/>
        </w:rPr>
        <w:t>za </w:t>
      </w:r>
      <w:r>
        <w:rPr>
          <w:w w:val="130"/>
          <w:sz w:val="22"/>
        </w:rPr>
        <w:t>pacientite </w:t>
      </w:r>
      <w:r>
        <w:rPr>
          <w:w w:val="170"/>
          <w:sz w:val="22"/>
        </w:rPr>
        <w:t>i</w:t>
      </w:r>
      <w:r>
        <w:rPr>
          <w:spacing w:val="-19"/>
          <w:w w:val="170"/>
          <w:sz w:val="22"/>
        </w:rPr>
        <w:t> </w:t>
      </w:r>
      <w:r>
        <w:rPr>
          <w:w w:val="130"/>
          <w:sz w:val="22"/>
        </w:rPr>
        <w:t>nivnite prava).</w:t>
      </w:r>
    </w:p>
    <w:p>
      <w:pPr>
        <w:pStyle w:val="BodyText"/>
        <w:spacing w:before="7"/>
        <w:rPr>
          <w:sz w:val="22"/>
        </w:rPr>
      </w:pPr>
    </w:p>
    <w:p>
      <w:pPr>
        <w:spacing w:line="242" w:lineRule="auto" w:before="0"/>
        <w:ind w:left="238" w:right="291" w:firstLine="0"/>
        <w:jc w:val="both"/>
        <w:rPr>
          <w:sz w:val="22"/>
        </w:rPr>
      </w:pPr>
      <w:r>
        <w:rPr>
          <w:b/>
          <w:w w:val="125"/>
          <w:sz w:val="22"/>
        </w:rPr>
        <w:t>Metodite</w:t>
      </w:r>
      <w:r>
        <w:rPr>
          <w:b/>
          <w:spacing w:val="-18"/>
          <w:w w:val="125"/>
          <w:sz w:val="22"/>
        </w:rPr>
        <w:t> </w:t>
      </w:r>
      <w:r>
        <w:rPr>
          <w:w w:val="130"/>
          <w:sz w:val="22"/>
        </w:rPr>
        <w:t>treba</w:t>
      </w:r>
      <w:r>
        <w:rPr>
          <w:spacing w:val="-18"/>
          <w:w w:val="130"/>
          <w:sz w:val="22"/>
        </w:rPr>
        <w:t> </w:t>
      </w:r>
      <w:r>
        <w:rPr>
          <w:w w:val="125"/>
          <w:sz w:val="22"/>
        </w:rPr>
        <w:t>da</w:t>
      </w:r>
      <w:r>
        <w:rPr>
          <w:spacing w:val="-17"/>
          <w:w w:val="125"/>
          <w:sz w:val="22"/>
        </w:rPr>
        <w:t> </w:t>
      </w:r>
      <w:r>
        <w:rPr>
          <w:w w:val="130"/>
          <w:sz w:val="22"/>
        </w:rPr>
        <w:t>bidat</w:t>
      </w:r>
      <w:r>
        <w:rPr>
          <w:spacing w:val="-18"/>
          <w:w w:val="130"/>
          <w:sz w:val="22"/>
        </w:rPr>
        <w:t> </w:t>
      </w:r>
      <w:r>
        <w:rPr>
          <w:w w:val="130"/>
          <w:sz w:val="22"/>
        </w:rPr>
        <w:t>to~no</w:t>
      </w:r>
      <w:r>
        <w:rPr>
          <w:spacing w:val="-17"/>
          <w:w w:val="130"/>
          <w:sz w:val="22"/>
        </w:rPr>
        <w:t> </w:t>
      </w:r>
      <w:r>
        <w:rPr>
          <w:w w:val="125"/>
          <w:sz w:val="22"/>
        </w:rPr>
        <w:t>nazna~eni,</w:t>
      </w:r>
      <w:r>
        <w:rPr>
          <w:spacing w:val="-18"/>
          <w:w w:val="125"/>
          <w:sz w:val="22"/>
        </w:rPr>
        <w:t> </w:t>
      </w:r>
      <w:r>
        <w:rPr>
          <w:w w:val="125"/>
          <w:sz w:val="22"/>
        </w:rPr>
        <w:t>za</w:t>
      </w:r>
      <w:r>
        <w:rPr>
          <w:spacing w:val="-17"/>
          <w:w w:val="125"/>
          <w:sz w:val="22"/>
        </w:rPr>
        <w:t> </w:t>
      </w:r>
      <w:r>
        <w:rPr>
          <w:w w:val="125"/>
          <w:sz w:val="22"/>
        </w:rPr>
        <w:t>da</w:t>
      </w:r>
      <w:r>
        <w:rPr>
          <w:spacing w:val="-17"/>
          <w:w w:val="125"/>
          <w:sz w:val="22"/>
        </w:rPr>
        <w:t> </w:t>
      </w:r>
      <w:r>
        <w:rPr>
          <w:w w:val="125"/>
          <w:sz w:val="22"/>
        </w:rPr>
        <w:t>se</w:t>
      </w:r>
      <w:r>
        <w:rPr>
          <w:spacing w:val="-17"/>
          <w:w w:val="125"/>
          <w:sz w:val="22"/>
        </w:rPr>
        <w:t> </w:t>
      </w:r>
      <w:r>
        <w:rPr>
          <w:w w:val="106"/>
          <w:sz w:val="22"/>
        </w:rPr>
        <w:t>ov</w:t>
      </w:r>
      <w:r>
        <w:rPr>
          <w:spacing w:val="-1"/>
          <w:w w:val="106"/>
          <w:sz w:val="22"/>
        </w:rPr>
        <w:t>o</w:t>
      </w:r>
      <w:r>
        <w:rPr>
          <w:spacing w:val="-1"/>
          <w:w w:val="90"/>
          <w:sz w:val="22"/>
        </w:rPr>
        <w:t>zm</w:t>
      </w:r>
      <w:r>
        <w:rPr>
          <w:spacing w:val="-3"/>
          <w:w w:val="110"/>
          <w:sz w:val="22"/>
        </w:rPr>
        <w:t>o</w:t>
      </w:r>
      <w:r>
        <w:rPr>
          <w:w w:val="233"/>
          <w:sz w:val="22"/>
        </w:rPr>
        <w:t>`</w:t>
      </w:r>
      <w:r>
        <w:rPr>
          <w:w w:val="199"/>
          <w:sz w:val="22"/>
        </w:rPr>
        <w:t>i</w:t>
      </w:r>
      <w:r>
        <w:rPr>
          <w:spacing w:val="-17"/>
          <w:w w:val="130"/>
          <w:sz w:val="22"/>
        </w:rPr>
        <w:t> </w:t>
      </w:r>
      <w:r>
        <w:rPr>
          <w:w w:val="125"/>
          <w:sz w:val="22"/>
        </w:rPr>
        <w:t>povtoruvawe</w:t>
      </w:r>
      <w:r>
        <w:rPr>
          <w:spacing w:val="-18"/>
          <w:w w:val="125"/>
          <w:sz w:val="22"/>
        </w:rPr>
        <w:t> </w:t>
      </w:r>
      <w:r>
        <w:rPr>
          <w:w w:val="125"/>
          <w:sz w:val="22"/>
        </w:rPr>
        <w:t>na</w:t>
      </w:r>
      <w:r>
        <w:rPr>
          <w:spacing w:val="-17"/>
          <w:w w:val="125"/>
          <w:sz w:val="22"/>
        </w:rPr>
        <w:t> </w:t>
      </w:r>
      <w:r>
        <w:rPr>
          <w:w w:val="124"/>
          <w:sz w:val="22"/>
        </w:rPr>
        <w:t>p</w:t>
      </w:r>
      <w:r>
        <w:rPr>
          <w:spacing w:val="-1"/>
          <w:w w:val="124"/>
          <w:sz w:val="22"/>
        </w:rPr>
        <w:t>r</w:t>
      </w:r>
      <w:r>
        <w:rPr>
          <w:w w:val="134"/>
          <w:sz w:val="22"/>
        </w:rPr>
        <w:t>i</w:t>
      </w:r>
      <w:r>
        <w:rPr>
          <w:spacing w:val="-1"/>
          <w:w w:val="134"/>
          <w:sz w:val="22"/>
        </w:rPr>
        <w:t>k</w:t>
      </w:r>
      <w:r>
        <w:rPr>
          <w:spacing w:val="-3"/>
          <w:w w:val="104"/>
          <w:sz w:val="22"/>
        </w:rPr>
        <w:t>a</w:t>
      </w:r>
      <w:r>
        <w:rPr>
          <w:w w:val="225"/>
          <w:sz w:val="22"/>
        </w:rPr>
        <w:t>`</w:t>
      </w:r>
      <w:r>
        <w:rPr>
          <w:w w:val="103"/>
          <w:sz w:val="22"/>
        </w:rPr>
        <w:t>an</w:t>
      </w:r>
      <w:r>
        <w:rPr>
          <w:spacing w:val="-1"/>
          <w:w w:val="103"/>
          <w:sz w:val="22"/>
        </w:rPr>
        <w:t>o</w:t>
      </w:r>
      <w:r>
        <w:rPr>
          <w:spacing w:val="-3"/>
          <w:w w:val="171"/>
          <w:sz w:val="22"/>
        </w:rPr>
        <w:t>t</w:t>
      </w:r>
      <w:r>
        <w:rPr>
          <w:w w:val="102"/>
          <w:sz w:val="22"/>
        </w:rPr>
        <w:t>o</w:t>
      </w:r>
      <w:r>
        <w:rPr>
          <w:spacing w:val="-1"/>
          <w:w w:val="129"/>
          <w:sz w:val="22"/>
        </w:rPr>
        <w:t> </w:t>
      </w:r>
      <w:r>
        <w:rPr>
          <w:w w:val="135"/>
          <w:sz w:val="22"/>
        </w:rPr>
        <w:t>istra`uvawe.</w:t>
      </w:r>
      <w:r>
        <w:rPr>
          <w:w w:val="135"/>
          <w:sz w:val="22"/>
        </w:rPr>
        <w:t> </w:t>
      </w:r>
      <w:r>
        <w:rPr>
          <w:w w:val="125"/>
          <w:sz w:val="22"/>
        </w:rPr>
        <w:t>Osobeno</w:t>
      </w:r>
      <w:r>
        <w:rPr>
          <w:w w:val="125"/>
          <w:sz w:val="22"/>
        </w:rPr>
        <w:t> e</w:t>
      </w:r>
      <w:r>
        <w:rPr>
          <w:w w:val="125"/>
          <w:sz w:val="22"/>
        </w:rPr>
        <w:t> </w:t>
      </w:r>
      <w:r>
        <w:rPr>
          <w:w w:val="107"/>
          <w:sz w:val="22"/>
        </w:rPr>
        <w:t>v</w:t>
      </w:r>
      <w:r>
        <w:rPr>
          <w:spacing w:val="-3"/>
          <w:w w:val="107"/>
          <w:sz w:val="22"/>
        </w:rPr>
        <w:t>a</w:t>
      </w:r>
      <w:r>
        <w:rPr>
          <w:w w:val="235"/>
          <w:sz w:val="22"/>
        </w:rPr>
        <w:t>`</w:t>
      </w:r>
      <w:r>
        <w:rPr>
          <w:w w:val="112"/>
          <w:sz w:val="22"/>
        </w:rPr>
        <w:t>no</w:t>
      </w:r>
      <w:r>
        <w:rPr>
          <w:spacing w:val="-1"/>
          <w:w w:val="134"/>
          <w:sz w:val="22"/>
        </w:rPr>
        <w:t> </w:t>
      </w:r>
      <w:r>
        <w:rPr>
          <w:w w:val="125"/>
          <w:sz w:val="22"/>
        </w:rPr>
        <w:t>da</w:t>
      </w:r>
      <w:r>
        <w:rPr>
          <w:w w:val="125"/>
          <w:sz w:val="22"/>
        </w:rPr>
        <w:t> se</w:t>
      </w:r>
      <w:r>
        <w:rPr>
          <w:w w:val="125"/>
          <w:sz w:val="22"/>
        </w:rPr>
        <w:t> </w:t>
      </w:r>
      <w:r>
        <w:rPr>
          <w:w w:val="135"/>
          <w:sz w:val="22"/>
        </w:rPr>
        <w:t>preciziraat</w:t>
      </w:r>
      <w:r>
        <w:rPr>
          <w:w w:val="135"/>
          <w:sz w:val="22"/>
        </w:rPr>
        <w:t> </w:t>
      </w:r>
      <w:r>
        <w:rPr>
          <w:w w:val="122"/>
          <w:sz w:val="22"/>
        </w:rPr>
        <w:t>k</w:t>
      </w:r>
      <w:r>
        <w:rPr>
          <w:spacing w:val="-1"/>
          <w:w w:val="122"/>
          <w:sz w:val="22"/>
        </w:rPr>
        <w:t>r</w:t>
      </w:r>
      <w:r>
        <w:rPr>
          <w:spacing w:val="-3"/>
          <w:w w:val="189"/>
          <w:sz w:val="22"/>
        </w:rPr>
        <w:t>i</w:t>
      </w:r>
      <w:r>
        <w:rPr>
          <w:w w:val="148"/>
          <w:sz w:val="22"/>
        </w:rPr>
        <w:t>ter</w:t>
      </w:r>
      <w:r>
        <w:rPr>
          <w:spacing w:val="2"/>
          <w:w w:val="148"/>
          <w:sz w:val="22"/>
        </w:rPr>
        <w:t>i</w:t>
      </w:r>
      <w:r>
        <w:rPr>
          <w:w w:val="80"/>
          <w:sz w:val="22"/>
        </w:rPr>
        <w:t>u</w:t>
      </w:r>
      <w:r>
        <w:rPr>
          <w:spacing w:val="-4"/>
          <w:w w:val="80"/>
          <w:sz w:val="22"/>
        </w:rPr>
        <w:t>m</w:t>
      </w:r>
      <w:r>
        <w:rPr>
          <w:w w:val="145"/>
          <w:sz w:val="22"/>
        </w:rPr>
        <w:t>ite</w:t>
      </w:r>
      <w:r>
        <w:rPr>
          <w:spacing w:val="-1"/>
          <w:w w:val="135"/>
          <w:sz w:val="22"/>
        </w:rPr>
        <w:t> </w:t>
      </w:r>
      <w:r>
        <w:rPr>
          <w:w w:val="125"/>
          <w:sz w:val="22"/>
        </w:rPr>
        <w:t>za</w:t>
      </w:r>
      <w:r>
        <w:rPr>
          <w:w w:val="125"/>
          <w:sz w:val="22"/>
        </w:rPr>
        <w:t> </w:t>
      </w:r>
      <w:r>
        <w:rPr>
          <w:w w:val="135"/>
          <w:sz w:val="22"/>
        </w:rPr>
        <w:t>selekcija</w:t>
      </w:r>
      <w:r>
        <w:rPr>
          <w:w w:val="135"/>
          <w:sz w:val="22"/>
        </w:rPr>
        <w:t> </w:t>
      </w:r>
      <w:r>
        <w:rPr>
          <w:w w:val="125"/>
          <w:sz w:val="22"/>
        </w:rPr>
        <w:t>na </w:t>
      </w:r>
      <w:r>
        <w:rPr>
          <w:w w:val="135"/>
          <w:sz w:val="22"/>
        </w:rPr>
        <w:t>opserviranite</w:t>
      </w:r>
      <w:r>
        <w:rPr>
          <w:w w:val="135"/>
          <w:sz w:val="22"/>
        </w:rPr>
        <w:t> </w:t>
      </w:r>
      <w:r>
        <w:rPr>
          <w:w w:val="125"/>
          <w:sz w:val="22"/>
        </w:rPr>
        <w:t>slu~ai,</w:t>
      </w:r>
      <w:r>
        <w:rPr>
          <w:w w:val="125"/>
          <w:sz w:val="22"/>
        </w:rPr>
        <w:t> vovedenite</w:t>
      </w:r>
      <w:r>
        <w:rPr>
          <w:w w:val="125"/>
          <w:sz w:val="22"/>
        </w:rPr>
        <w:t> </w:t>
      </w:r>
      <w:r>
        <w:rPr>
          <w:spacing w:val="-1"/>
          <w:w w:val="75"/>
          <w:sz w:val="22"/>
        </w:rPr>
        <w:t>m</w:t>
      </w:r>
      <w:r>
        <w:rPr>
          <w:spacing w:val="1"/>
          <w:w w:val="115"/>
          <w:sz w:val="22"/>
        </w:rPr>
        <w:t>od</w:t>
      </w:r>
      <w:r>
        <w:rPr>
          <w:spacing w:val="-3"/>
          <w:w w:val="115"/>
          <w:sz w:val="22"/>
        </w:rPr>
        <w:t>i</w:t>
      </w:r>
      <w:r>
        <w:rPr>
          <w:spacing w:val="1"/>
          <w:w w:val="223"/>
          <w:sz w:val="22"/>
        </w:rPr>
        <w:t>f</w:t>
      </w:r>
      <w:r>
        <w:rPr>
          <w:spacing w:val="1"/>
          <w:w w:val="132"/>
          <w:sz w:val="22"/>
        </w:rPr>
        <w:t>i</w:t>
      </w:r>
      <w:r>
        <w:rPr>
          <w:spacing w:val="-3"/>
          <w:w w:val="132"/>
          <w:sz w:val="22"/>
        </w:rPr>
        <w:t>k</w:t>
      </w:r>
      <w:r>
        <w:rPr>
          <w:spacing w:val="1"/>
          <w:w w:val="127"/>
          <w:sz w:val="22"/>
        </w:rPr>
        <w:t>ac</w:t>
      </w:r>
      <w:r>
        <w:rPr>
          <w:w w:val="127"/>
          <w:sz w:val="22"/>
        </w:rPr>
        <w:t>i</w:t>
      </w:r>
      <w:r>
        <w:rPr>
          <w:spacing w:val="1"/>
          <w:w w:val="189"/>
          <w:sz w:val="22"/>
        </w:rPr>
        <w:t>i</w:t>
      </w:r>
      <w:r>
        <w:rPr>
          <w:w w:val="134"/>
          <w:sz w:val="22"/>
        </w:rPr>
        <w:t> </w:t>
      </w:r>
      <w:r>
        <w:rPr>
          <w:w w:val="125"/>
          <w:sz w:val="22"/>
        </w:rPr>
        <w:t>na</w:t>
      </w:r>
      <w:r>
        <w:rPr>
          <w:w w:val="125"/>
          <w:sz w:val="22"/>
        </w:rPr>
        <w:t> ve}e</w:t>
      </w:r>
      <w:r>
        <w:rPr>
          <w:w w:val="125"/>
          <w:sz w:val="22"/>
        </w:rPr>
        <w:t> </w:t>
      </w:r>
      <w:r>
        <w:rPr>
          <w:w w:val="135"/>
          <w:sz w:val="22"/>
        </w:rPr>
        <w:t>poznatite</w:t>
      </w:r>
      <w:r>
        <w:rPr>
          <w:w w:val="135"/>
          <w:sz w:val="22"/>
        </w:rPr>
        <w:t> </w:t>
      </w:r>
      <w:r>
        <w:rPr>
          <w:w w:val="125"/>
          <w:sz w:val="22"/>
        </w:rPr>
        <w:t>metodi,</w:t>
      </w:r>
      <w:r>
        <w:rPr>
          <w:w w:val="125"/>
          <w:sz w:val="22"/>
        </w:rPr>
        <w:t> kako</w:t>
      </w:r>
      <w:r>
        <w:rPr>
          <w:w w:val="125"/>
          <w:sz w:val="22"/>
        </w:rPr>
        <w:t> </w:t>
      </w:r>
      <w:r>
        <w:rPr>
          <w:w w:val="170"/>
          <w:sz w:val="22"/>
        </w:rPr>
        <w:t>i </w:t>
      </w:r>
      <w:r>
        <w:rPr>
          <w:w w:val="135"/>
          <w:sz w:val="22"/>
        </w:rPr>
        <w:t>identifikacija</w:t>
      </w:r>
      <w:r>
        <w:rPr>
          <w:w w:val="135"/>
          <w:sz w:val="22"/>
        </w:rPr>
        <w:t> </w:t>
      </w:r>
      <w:r>
        <w:rPr>
          <w:w w:val="125"/>
          <w:sz w:val="22"/>
        </w:rPr>
        <w:t>na</w:t>
      </w:r>
      <w:r>
        <w:rPr>
          <w:w w:val="125"/>
          <w:sz w:val="22"/>
        </w:rPr>
        <w:t> </w:t>
      </w:r>
      <w:r>
        <w:rPr>
          <w:w w:val="135"/>
          <w:sz w:val="22"/>
        </w:rPr>
        <w:t>upotrebenite</w:t>
      </w:r>
      <w:r>
        <w:rPr>
          <w:w w:val="135"/>
          <w:sz w:val="22"/>
        </w:rPr>
        <w:t> lekovi</w:t>
      </w:r>
      <w:r>
        <w:rPr>
          <w:w w:val="135"/>
          <w:sz w:val="22"/>
        </w:rPr>
        <w:t> spored</w:t>
      </w:r>
      <w:r>
        <w:rPr>
          <w:w w:val="135"/>
          <w:sz w:val="22"/>
        </w:rPr>
        <w:t> </w:t>
      </w:r>
      <w:r>
        <w:rPr>
          <w:w w:val="125"/>
          <w:sz w:val="22"/>
        </w:rPr>
        <w:t>generi~noto</w:t>
      </w:r>
      <w:r>
        <w:rPr>
          <w:w w:val="125"/>
          <w:sz w:val="22"/>
        </w:rPr>
        <w:t> ime,</w:t>
      </w:r>
      <w:r>
        <w:rPr>
          <w:w w:val="125"/>
          <w:sz w:val="22"/>
        </w:rPr>
        <w:t> </w:t>
      </w:r>
      <w:r>
        <w:rPr>
          <w:w w:val="135"/>
          <w:sz w:val="22"/>
        </w:rPr>
        <w:t>dozite</w:t>
      </w:r>
      <w:r>
        <w:rPr>
          <w:w w:val="135"/>
          <w:sz w:val="22"/>
        </w:rPr>
        <w:t> </w:t>
      </w:r>
      <w:r>
        <w:rPr>
          <w:w w:val="170"/>
          <w:sz w:val="22"/>
        </w:rPr>
        <w:t>i</w:t>
      </w:r>
      <w:r>
        <w:rPr>
          <w:w w:val="170"/>
          <w:sz w:val="22"/>
        </w:rPr>
        <w:t> </w:t>
      </w:r>
      <w:r>
        <w:rPr>
          <w:w w:val="135"/>
          <w:sz w:val="22"/>
        </w:rPr>
        <w:t>na~inot</w:t>
      </w:r>
      <w:r>
        <w:rPr>
          <w:w w:val="135"/>
          <w:sz w:val="22"/>
        </w:rPr>
        <w:t> </w:t>
      </w:r>
      <w:r>
        <w:rPr>
          <w:w w:val="125"/>
          <w:sz w:val="22"/>
        </w:rPr>
        <w:t>na </w:t>
      </w:r>
      <w:r>
        <w:rPr>
          <w:spacing w:val="-2"/>
          <w:w w:val="135"/>
          <w:sz w:val="22"/>
        </w:rPr>
        <w:t>administracija.</w:t>
      </w:r>
    </w:p>
    <w:p>
      <w:pPr>
        <w:pStyle w:val="BodyText"/>
        <w:spacing w:before="3"/>
        <w:rPr>
          <w:sz w:val="22"/>
        </w:rPr>
      </w:pPr>
    </w:p>
    <w:p>
      <w:pPr>
        <w:spacing w:line="242" w:lineRule="auto" w:before="0"/>
        <w:ind w:left="238" w:right="292" w:firstLine="0"/>
        <w:jc w:val="both"/>
        <w:rPr>
          <w:sz w:val="22"/>
        </w:rPr>
      </w:pPr>
      <w:r>
        <w:rPr>
          <w:b/>
          <w:w w:val="125"/>
          <w:sz w:val="22"/>
        </w:rPr>
        <w:t>Rezultatite</w:t>
      </w:r>
      <w:r>
        <w:rPr>
          <w:b/>
          <w:spacing w:val="-12"/>
          <w:w w:val="125"/>
          <w:sz w:val="22"/>
        </w:rPr>
        <w:t> </w:t>
      </w:r>
      <w:r>
        <w:rPr>
          <w:w w:val="125"/>
          <w:sz w:val="22"/>
        </w:rPr>
        <w:t>treba</w:t>
      </w:r>
      <w:r>
        <w:rPr>
          <w:spacing w:val="-10"/>
          <w:w w:val="125"/>
          <w:sz w:val="22"/>
        </w:rPr>
        <w:t> </w:t>
      </w:r>
      <w:r>
        <w:rPr>
          <w:w w:val="125"/>
          <w:sz w:val="22"/>
        </w:rPr>
        <w:t>da</w:t>
      </w:r>
      <w:r>
        <w:rPr>
          <w:spacing w:val="-10"/>
          <w:w w:val="125"/>
          <w:sz w:val="22"/>
        </w:rPr>
        <w:t> </w:t>
      </w:r>
      <w:r>
        <w:rPr>
          <w:w w:val="125"/>
          <w:sz w:val="22"/>
        </w:rPr>
        <w:t>se</w:t>
      </w:r>
      <w:r>
        <w:rPr>
          <w:spacing w:val="-10"/>
          <w:w w:val="125"/>
          <w:sz w:val="22"/>
        </w:rPr>
        <w:t> </w:t>
      </w:r>
      <w:r>
        <w:rPr>
          <w:w w:val="140"/>
          <w:sz w:val="22"/>
        </w:rPr>
        <w:t>prika`at</w:t>
      </w:r>
      <w:r>
        <w:rPr>
          <w:spacing w:val="-18"/>
          <w:w w:val="140"/>
          <w:sz w:val="22"/>
        </w:rPr>
        <w:t> </w:t>
      </w:r>
      <w:r>
        <w:rPr>
          <w:w w:val="125"/>
          <w:sz w:val="22"/>
        </w:rPr>
        <w:t>jasno,</w:t>
      </w:r>
      <w:r>
        <w:rPr>
          <w:spacing w:val="-10"/>
          <w:w w:val="125"/>
          <w:sz w:val="22"/>
        </w:rPr>
        <w:t> </w:t>
      </w:r>
      <w:r>
        <w:rPr>
          <w:w w:val="125"/>
          <w:sz w:val="22"/>
        </w:rPr>
        <w:t>po</w:t>
      </w:r>
      <w:r>
        <w:rPr>
          <w:spacing w:val="-10"/>
          <w:w w:val="125"/>
          <w:sz w:val="22"/>
        </w:rPr>
        <w:t> </w:t>
      </w:r>
      <w:r>
        <w:rPr>
          <w:w w:val="125"/>
          <w:sz w:val="22"/>
        </w:rPr>
        <w:t>logi~en</w:t>
      </w:r>
      <w:r>
        <w:rPr>
          <w:spacing w:val="-10"/>
          <w:w w:val="125"/>
          <w:sz w:val="22"/>
        </w:rPr>
        <w:t> </w:t>
      </w:r>
      <w:r>
        <w:rPr>
          <w:w w:val="125"/>
          <w:sz w:val="22"/>
        </w:rPr>
        <w:t>redosled.</w:t>
      </w:r>
      <w:r>
        <w:rPr>
          <w:spacing w:val="-10"/>
          <w:w w:val="125"/>
          <w:sz w:val="22"/>
        </w:rPr>
        <w:t> </w:t>
      </w:r>
      <w:r>
        <w:rPr>
          <w:w w:val="125"/>
          <w:sz w:val="22"/>
        </w:rPr>
        <w:t>Rezultatite</w:t>
      </w:r>
      <w:r>
        <w:rPr>
          <w:spacing w:val="-10"/>
          <w:w w:val="125"/>
          <w:sz w:val="22"/>
        </w:rPr>
        <w:t> </w:t>
      </w:r>
      <w:r>
        <w:rPr>
          <w:w w:val="125"/>
          <w:sz w:val="22"/>
        </w:rPr>
        <w:t>se</w:t>
      </w:r>
      <w:r>
        <w:rPr>
          <w:spacing w:val="-12"/>
          <w:w w:val="125"/>
          <w:sz w:val="22"/>
        </w:rPr>
        <w:t> </w:t>
      </w:r>
      <w:r>
        <w:rPr>
          <w:w w:val="125"/>
          <w:sz w:val="22"/>
        </w:rPr>
        <w:t>iznesuvaat</w:t>
      </w:r>
      <w:r>
        <w:rPr>
          <w:spacing w:val="-12"/>
          <w:w w:val="125"/>
          <w:sz w:val="22"/>
        </w:rPr>
        <w:t> </w:t>
      </w:r>
      <w:r>
        <w:rPr>
          <w:w w:val="125"/>
          <w:sz w:val="22"/>
        </w:rPr>
        <w:t>vo standardnite</w:t>
      </w:r>
      <w:r>
        <w:rPr>
          <w:w w:val="125"/>
          <w:sz w:val="22"/>
        </w:rPr>
        <w:t> </w:t>
      </w:r>
      <w:r>
        <w:rPr>
          <w:w w:val="170"/>
          <w:sz w:val="22"/>
        </w:rPr>
        <w:t>SI</w:t>
      </w:r>
      <w:r>
        <w:rPr>
          <w:spacing w:val="-7"/>
          <w:w w:val="170"/>
          <w:sz w:val="22"/>
        </w:rPr>
        <w:t> </w:t>
      </w:r>
      <w:r>
        <w:rPr>
          <w:w w:val="125"/>
          <w:sz w:val="22"/>
        </w:rPr>
        <w:t>edinici.</w:t>
      </w:r>
      <w:r>
        <w:rPr>
          <w:w w:val="125"/>
          <w:sz w:val="22"/>
        </w:rPr>
        <w:t> Vo</w:t>
      </w:r>
      <w:r>
        <w:rPr>
          <w:w w:val="125"/>
          <w:sz w:val="22"/>
        </w:rPr>
        <w:t> tekstot</w:t>
      </w:r>
      <w:r>
        <w:rPr>
          <w:w w:val="125"/>
          <w:sz w:val="22"/>
        </w:rPr>
        <w:t> treba</w:t>
      </w:r>
      <w:r>
        <w:rPr>
          <w:w w:val="125"/>
          <w:sz w:val="22"/>
        </w:rPr>
        <w:t> da</w:t>
      </w:r>
      <w:r>
        <w:rPr>
          <w:w w:val="125"/>
          <w:sz w:val="22"/>
        </w:rPr>
        <w:t> se</w:t>
      </w:r>
      <w:r>
        <w:rPr>
          <w:w w:val="125"/>
          <w:sz w:val="22"/>
        </w:rPr>
        <w:t> nazna~i</w:t>
      </w:r>
      <w:r>
        <w:rPr>
          <w:w w:val="125"/>
          <w:sz w:val="22"/>
        </w:rPr>
        <w:t> optimalnoto</w:t>
      </w:r>
      <w:r>
        <w:rPr>
          <w:w w:val="125"/>
          <w:sz w:val="22"/>
        </w:rPr>
        <w:t> mesto</w:t>
      </w:r>
      <w:r>
        <w:rPr>
          <w:w w:val="125"/>
          <w:sz w:val="22"/>
        </w:rPr>
        <w:t> kade</w:t>
      </w:r>
      <w:r>
        <w:rPr>
          <w:w w:val="125"/>
          <w:sz w:val="22"/>
        </w:rPr>
        <w:t> }e</w:t>
      </w:r>
      <w:r>
        <w:rPr>
          <w:w w:val="125"/>
          <w:sz w:val="22"/>
        </w:rPr>
        <w:t> se vmetnat</w:t>
      </w:r>
      <w:r>
        <w:rPr>
          <w:spacing w:val="-18"/>
          <w:w w:val="125"/>
          <w:sz w:val="22"/>
        </w:rPr>
        <w:t> </w:t>
      </w:r>
      <w:r>
        <w:rPr>
          <w:w w:val="135"/>
          <w:sz w:val="22"/>
        </w:rPr>
        <w:t>tabelite</w:t>
      </w:r>
      <w:r>
        <w:rPr>
          <w:spacing w:val="-18"/>
          <w:w w:val="135"/>
          <w:sz w:val="22"/>
        </w:rPr>
        <w:t> </w:t>
      </w:r>
      <w:r>
        <w:rPr>
          <w:w w:val="135"/>
          <w:sz w:val="22"/>
        </w:rPr>
        <w:t>i</w:t>
      </w:r>
      <w:r>
        <w:rPr>
          <w:spacing w:val="-19"/>
          <w:w w:val="135"/>
          <w:sz w:val="22"/>
        </w:rPr>
        <w:t> </w:t>
      </w:r>
      <w:r>
        <w:rPr>
          <w:w w:val="135"/>
          <w:sz w:val="22"/>
        </w:rPr>
        <w:t>ilustraciite,</w:t>
      </w:r>
      <w:r>
        <w:rPr>
          <w:spacing w:val="-18"/>
          <w:w w:val="135"/>
          <w:sz w:val="22"/>
        </w:rPr>
        <w:t> </w:t>
      </w:r>
      <w:r>
        <w:rPr>
          <w:w w:val="125"/>
          <w:sz w:val="22"/>
        </w:rPr>
        <w:t>za</w:t>
      </w:r>
      <w:r>
        <w:rPr>
          <w:spacing w:val="-17"/>
          <w:w w:val="125"/>
          <w:sz w:val="22"/>
        </w:rPr>
        <w:t> </w:t>
      </w:r>
      <w:r>
        <w:rPr>
          <w:w w:val="125"/>
          <w:sz w:val="22"/>
        </w:rPr>
        <w:t>da</w:t>
      </w:r>
      <w:r>
        <w:rPr>
          <w:spacing w:val="-16"/>
          <w:w w:val="125"/>
          <w:sz w:val="22"/>
        </w:rPr>
        <w:t> </w:t>
      </w:r>
      <w:r>
        <w:rPr>
          <w:w w:val="125"/>
          <w:sz w:val="22"/>
        </w:rPr>
        <w:t>se</w:t>
      </w:r>
      <w:r>
        <w:rPr>
          <w:spacing w:val="-14"/>
          <w:w w:val="125"/>
          <w:sz w:val="22"/>
        </w:rPr>
        <w:t> </w:t>
      </w:r>
      <w:r>
        <w:rPr>
          <w:w w:val="125"/>
          <w:sz w:val="22"/>
        </w:rPr>
        <w:t>izbegne</w:t>
      </w:r>
      <w:r>
        <w:rPr>
          <w:spacing w:val="-14"/>
          <w:w w:val="125"/>
          <w:sz w:val="22"/>
        </w:rPr>
        <w:t> </w:t>
      </w:r>
      <w:r>
        <w:rPr>
          <w:w w:val="125"/>
          <w:sz w:val="22"/>
        </w:rPr>
        <w:t>nepotrebnoto</w:t>
      </w:r>
      <w:r>
        <w:rPr>
          <w:spacing w:val="-15"/>
          <w:w w:val="125"/>
          <w:sz w:val="22"/>
        </w:rPr>
        <w:t> </w:t>
      </w:r>
      <w:r>
        <w:rPr>
          <w:w w:val="125"/>
          <w:sz w:val="22"/>
        </w:rPr>
        <w:t>povtoruvawe</w:t>
      </w:r>
      <w:r>
        <w:rPr>
          <w:spacing w:val="-14"/>
          <w:w w:val="125"/>
          <w:sz w:val="22"/>
        </w:rPr>
        <w:t> </w:t>
      </w:r>
      <w:r>
        <w:rPr>
          <w:w w:val="125"/>
          <w:sz w:val="22"/>
        </w:rPr>
        <w:t>na</w:t>
      </w:r>
      <w:r>
        <w:rPr>
          <w:spacing w:val="-15"/>
          <w:w w:val="125"/>
          <w:sz w:val="22"/>
        </w:rPr>
        <w:t> </w:t>
      </w:r>
      <w:r>
        <w:rPr>
          <w:w w:val="125"/>
          <w:sz w:val="22"/>
        </w:rPr>
        <w:t>iznesenite podatoci.</w:t>
      </w:r>
      <w:r>
        <w:rPr>
          <w:spacing w:val="-7"/>
          <w:w w:val="125"/>
          <w:sz w:val="22"/>
        </w:rPr>
        <w:t> </w:t>
      </w:r>
      <w:r>
        <w:rPr>
          <w:w w:val="125"/>
          <w:sz w:val="22"/>
        </w:rPr>
        <w:t>Zna~ajnosta</w:t>
      </w:r>
      <w:r>
        <w:rPr>
          <w:spacing w:val="-8"/>
          <w:w w:val="125"/>
          <w:sz w:val="22"/>
        </w:rPr>
        <w:t> </w:t>
      </w:r>
      <w:r>
        <w:rPr>
          <w:w w:val="125"/>
          <w:sz w:val="22"/>
        </w:rPr>
        <w:t>na</w:t>
      </w:r>
      <w:r>
        <w:rPr>
          <w:spacing w:val="-7"/>
          <w:w w:val="125"/>
          <w:sz w:val="22"/>
        </w:rPr>
        <w:t> </w:t>
      </w:r>
      <w:r>
        <w:rPr>
          <w:w w:val="140"/>
          <w:sz w:val="22"/>
        </w:rPr>
        <w:t>rezultatite</w:t>
      </w:r>
      <w:r>
        <w:rPr>
          <w:spacing w:val="-17"/>
          <w:w w:val="140"/>
          <w:sz w:val="22"/>
        </w:rPr>
        <w:t> </w:t>
      </w:r>
      <w:r>
        <w:rPr>
          <w:w w:val="125"/>
          <w:sz w:val="22"/>
        </w:rPr>
        <w:t>treba</w:t>
      </w:r>
      <w:r>
        <w:rPr>
          <w:spacing w:val="-8"/>
          <w:w w:val="125"/>
          <w:sz w:val="22"/>
        </w:rPr>
        <w:t> </w:t>
      </w:r>
      <w:r>
        <w:rPr>
          <w:w w:val="125"/>
          <w:sz w:val="22"/>
        </w:rPr>
        <w:t>da</w:t>
      </w:r>
      <w:r>
        <w:rPr>
          <w:spacing w:val="-7"/>
          <w:w w:val="125"/>
          <w:sz w:val="22"/>
        </w:rPr>
        <w:t> </w:t>
      </w:r>
      <w:r>
        <w:rPr>
          <w:w w:val="125"/>
          <w:sz w:val="22"/>
        </w:rPr>
        <w:t>se</w:t>
      </w:r>
      <w:r>
        <w:rPr>
          <w:spacing w:val="-7"/>
          <w:w w:val="125"/>
          <w:sz w:val="22"/>
        </w:rPr>
        <w:t> </w:t>
      </w:r>
      <w:r>
        <w:rPr>
          <w:w w:val="125"/>
          <w:sz w:val="22"/>
        </w:rPr>
        <w:t>obraboti</w:t>
      </w:r>
      <w:r>
        <w:rPr>
          <w:spacing w:val="-9"/>
          <w:w w:val="125"/>
          <w:sz w:val="22"/>
        </w:rPr>
        <w:t> </w:t>
      </w:r>
      <w:r>
        <w:rPr>
          <w:w w:val="140"/>
          <w:sz w:val="22"/>
        </w:rPr>
        <w:t>statisti~ki,</w:t>
      </w:r>
      <w:r>
        <w:rPr>
          <w:spacing w:val="-15"/>
          <w:w w:val="140"/>
          <w:sz w:val="22"/>
        </w:rPr>
        <w:t> </w:t>
      </w:r>
      <w:r>
        <w:rPr>
          <w:w w:val="125"/>
          <w:sz w:val="22"/>
        </w:rPr>
        <w:t>so</w:t>
      </w:r>
      <w:r>
        <w:rPr>
          <w:spacing w:val="-8"/>
          <w:w w:val="125"/>
          <w:sz w:val="22"/>
        </w:rPr>
        <w:t> </w:t>
      </w:r>
      <w:r>
        <w:rPr>
          <w:w w:val="125"/>
          <w:sz w:val="22"/>
        </w:rPr>
        <w:t>detalen</w:t>
      </w:r>
      <w:r>
        <w:rPr>
          <w:spacing w:val="-9"/>
          <w:w w:val="125"/>
          <w:sz w:val="22"/>
        </w:rPr>
        <w:t> </w:t>
      </w:r>
      <w:r>
        <w:rPr>
          <w:w w:val="125"/>
          <w:sz w:val="22"/>
        </w:rPr>
        <w:t>opis</w:t>
      </w:r>
      <w:r>
        <w:rPr>
          <w:spacing w:val="-8"/>
          <w:w w:val="125"/>
          <w:sz w:val="22"/>
        </w:rPr>
        <w:t> </w:t>
      </w:r>
      <w:r>
        <w:rPr>
          <w:w w:val="125"/>
          <w:sz w:val="22"/>
        </w:rPr>
        <w:t>na upotrebenite </w:t>
      </w:r>
      <w:r>
        <w:rPr>
          <w:w w:val="140"/>
          <w:sz w:val="22"/>
        </w:rPr>
        <w:t>statisti~ki </w:t>
      </w:r>
      <w:r>
        <w:rPr>
          <w:w w:val="125"/>
          <w:sz w:val="22"/>
        </w:rPr>
        <w:t>metodi na krajot na delot </w:t>
      </w:r>
      <w:r>
        <w:rPr>
          <w:i/>
          <w:spacing w:val="-1"/>
          <w:w w:val="78"/>
          <w:sz w:val="22"/>
        </w:rPr>
        <w:t>m</w:t>
      </w:r>
      <w:r>
        <w:rPr>
          <w:i/>
          <w:spacing w:val="-1"/>
          <w:w w:val="163"/>
          <w:sz w:val="22"/>
        </w:rPr>
        <w:t>e</w:t>
      </w:r>
      <w:r>
        <w:rPr>
          <w:i/>
          <w:spacing w:val="1"/>
          <w:w w:val="163"/>
          <w:sz w:val="22"/>
        </w:rPr>
        <w:t>t</w:t>
      </w:r>
      <w:r>
        <w:rPr>
          <w:i/>
          <w:w w:val="97"/>
          <w:sz w:val="22"/>
        </w:rPr>
        <w:t>o</w:t>
      </w:r>
      <w:r>
        <w:rPr>
          <w:i/>
          <w:spacing w:val="-4"/>
          <w:w w:val="97"/>
          <w:sz w:val="22"/>
        </w:rPr>
        <w:t>d</w:t>
      </w:r>
      <w:r>
        <w:rPr>
          <w:i/>
          <w:spacing w:val="-1"/>
          <w:w w:val="186"/>
          <w:sz w:val="22"/>
        </w:rPr>
        <w:t>i</w:t>
      </w:r>
      <w:r>
        <w:rPr>
          <w:w w:val="86"/>
          <w:sz w:val="22"/>
        </w:rPr>
        <w:t>.</w:t>
      </w:r>
    </w:p>
    <w:p>
      <w:pPr>
        <w:pStyle w:val="BodyText"/>
        <w:spacing w:before="6"/>
        <w:rPr>
          <w:sz w:val="22"/>
        </w:rPr>
      </w:pPr>
    </w:p>
    <w:p>
      <w:pPr>
        <w:spacing w:line="244" w:lineRule="auto" w:before="0"/>
        <w:ind w:left="238" w:right="296" w:firstLine="0"/>
        <w:jc w:val="both"/>
        <w:rPr>
          <w:sz w:val="22"/>
        </w:rPr>
      </w:pPr>
      <w:r>
        <w:rPr>
          <w:b/>
          <w:w w:val="125"/>
          <w:sz w:val="22"/>
        </w:rPr>
        <w:t>Diskusijata</w:t>
      </w:r>
      <w:r>
        <w:rPr>
          <w:b/>
          <w:w w:val="125"/>
          <w:sz w:val="22"/>
        </w:rPr>
        <w:t> </w:t>
      </w:r>
      <w:r>
        <w:rPr>
          <w:w w:val="125"/>
          <w:sz w:val="22"/>
        </w:rPr>
        <w:t>treba</w:t>
      </w:r>
      <w:r>
        <w:rPr>
          <w:w w:val="125"/>
          <w:sz w:val="22"/>
        </w:rPr>
        <w:t> da</w:t>
      </w:r>
      <w:r>
        <w:rPr>
          <w:w w:val="125"/>
          <w:sz w:val="22"/>
        </w:rPr>
        <w:t> gi</w:t>
      </w:r>
      <w:r>
        <w:rPr>
          <w:w w:val="125"/>
          <w:sz w:val="22"/>
        </w:rPr>
        <w:t> istakne</w:t>
      </w:r>
      <w:r>
        <w:rPr>
          <w:w w:val="125"/>
          <w:sz w:val="22"/>
        </w:rPr>
        <w:t> implikaciite</w:t>
      </w:r>
      <w:r>
        <w:rPr>
          <w:w w:val="125"/>
          <w:sz w:val="22"/>
        </w:rPr>
        <w:t> od</w:t>
      </w:r>
      <w:r>
        <w:rPr>
          <w:w w:val="125"/>
          <w:sz w:val="22"/>
        </w:rPr>
        <w:t> dobienite</w:t>
      </w:r>
      <w:r>
        <w:rPr>
          <w:w w:val="125"/>
          <w:sz w:val="22"/>
        </w:rPr>
        <w:t> rezultati,</w:t>
      </w:r>
      <w:r>
        <w:rPr>
          <w:w w:val="125"/>
          <w:sz w:val="22"/>
        </w:rPr>
        <w:t> sporedeni</w:t>
      </w:r>
      <w:r>
        <w:rPr>
          <w:w w:val="125"/>
          <w:sz w:val="22"/>
        </w:rPr>
        <w:t> so postojnite soznanija za ispituvaniot problem.</w:t>
      </w:r>
    </w:p>
    <w:p>
      <w:pPr>
        <w:pStyle w:val="BodyText"/>
        <w:spacing w:before="1"/>
        <w:rPr>
          <w:sz w:val="22"/>
        </w:rPr>
      </w:pPr>
    </w:p>
    <w:p>
      <w:pPr>
        <w:spacing w:before="0"/>
        <w:ind w:left="238" w:right="0" w:firstLine="0"/>
        <w:jc w:val="left"/>
        <w:rPr>
          <w:sz w:val="22"/>
        </w:rPr>
      </w:pPr>
      <w:r>
        <w:rPr>
          <w:b/>
          <w:w w:val="120"/>
          <w:sz w:val="22"/>
        </w:rPr>
        <w:t>Zaklu~ocite</w:t>
      </w:r>
      <w:r>
        <w:rPr>
          <w:b/>
          <w:spacing w:val="-11"/>
          <w:w w:val="120"/>
          <w:sz w:val="22"/>
        </w:rPr>
        <w:t> </w:t>
      </w:r>
      <w:r>
        <w:rPr>
          <w:w w:val="120"/>
          <w:sz w:val="22"/>
        </w:rPr>
        <w:t>treba</w:t>
      </w:r>
      <w:r>
        <w:rPr>
          <w:spacing w:val="-15"/>
          <w:w w:val="120"/>
          <w:sz w:val="22"/>
        </w:rPr>
        <w:t> </w:t>
      </w:r>
      <w:r>
        <w:rPr>
          <w:w w:val="120"/>
          <w:sz w:val="22"/>
        </w:rPr>
        <w:t>da</w:t>
      </w:r>
      <w:r>
        <w:rPr>
          <w:spacing w:val="-15"/>
          <w:w w:val="120"/>
          <w:sz w:val="22"/>
        </w:rPr>
        <w:t> </w:t>
      </w:r>
      <w:r>
        <w:rPr>
          <w:w w:val="120"/>
          <w:sz w:val="22"/>
        </w:rPr>
        <w:t>ne</w:t>
      </w:r>
      <w:r>
        <w:rPr>
          <w:spacing w:val="-15"/>
          <w:w w:val="120"/>
          <w:sz w:val="22"/>
        </w:rPr>
        <w:t> </w:t>
      </w:r>
      <w:r>
        <w:rPr>
          <w:w w:val="120"/>
          <w:sz w:val="22"/>
        </w:rPr>
        <w:t>bidat</w:t>
      </w:r>
      <w:r>
        <w:rPr>
          <w:spacing w:val="-15"/>
          <w:w w:val="120"/>
          <w:sz w:val="22"/>
        </w:rPr>
        <w:t> </w:t>
      </w:r>
      <w:r>
        <w:rPr>
          <w:w w:val="104"/>
          <w:sz w:val="22"/>
        </w:rPr>
        <w:t>p</w:t>
      </w:r>
      <w:r>
        <w:rPr>
          <w:spacing w:val="-1"/>
          <w:w w:val="104"/>
          <w:sz w:val="22"/>
        </w:rPr>
        <w:t>o</w:t>
      </w:r>
      <w:r>
        <w:rPr>
          <w:w w:val="119"/>
          <w:sz w:val="22"/>
        </w:rPr>
        <w:t>do</w:t>
      </w:r>
      <w:r>
        <w:rPr>
          <w:spacing w:val="-1"/>
          <w:w w:val="119"/>
          <w:sz w:val="22"/>
        </w:rPr>
        <w:t>l</w:t>
      </w:r>
      <w:r>
        <w:rPr>
          <w:spacing w:val="-2"/>
          <w:w w:val="82"/>
          <w:sz w:val="22"/>
        </w:rPr>
        <w:t>g</w:t>
      </w:r>
      <w:r>
        <w:rPr>
          <w:w w:val="193"/>
          <w:sz w:val="22"/>
        </w:rPr>
        <w:t>i</w:t>
      </w:r>
      <w:r>
        <w:rPr>
          <w:spacing w:val="-15"/>
          <w:w w:val="120"/>
          <w:sz w:val="22"/>
        </w:rPr>
        <w:t> </w:t>
      </w:r>
      <w:r>
        <w:rPr>
          <w:w w:val="120"/>
          <w:sz w:val="22"/>
        </w:rPr>
        <w:t>od</w:t>
      </w:r>
      <w:r>
        <w:rPr>
          <w:spacing w:val="-16"/>
          <w:w w:val="120"/>
          <w:sz w:val="22"/>
        </w:rPr>
        <w:t> </w:t>
      </w:r>
      <w:r>
        <w:rPr>
          <w:w w:val="120"/>
          <w:sz w:val="22"/>
        </w:rPr>
        <w:t>150</w:t>
      </w:r>
      <w:r>
        <w:rPr>
          <w:spacing w:val="-16"/>
          <w:w w:val="120"/>
          <w:sz w:val="22"/>
        </w:rPr>
        <w:t> </w:t>
      </w:r>
      <w:r>
        <w:rPr>
          <w:spacing w:val="-2"/>
          <w:w w:val="120"/>
          <w:sz w:val="22"/>
        </w:rPr>
        <w:t>zborovi.</w:t>
      </w:r>
    </w:p>
    <w:p>
      <w:pPr>
        <w:pStyle w:val="BodyText"/>
        <w:spacing w:before="8"/>
        <w:rPr>
          <w:sz w:val="22"/>
        </w:rPr>
      </w:pPr>
    </w:p>
    <w:p>
      <w:pPr>
        <w:pStyle w:val="Heading3"/>
        <w:numPr>
          <w:ilvl w:val="0"/>
          <w:numId w:val="17"/>
        </w:numPr>
        <w:tabs>
          <w:tab w:pos="599" w:val="left" w:leader="none"/>
        </w:tabs>
        <w:spacing w:line="240" w:lineRule="auto" w:before="0" w:after="0"/>
        <w:ind w:left="598" w:right="0" w:hanging="361"/>
        <w:jc w:val="left"/>
      </w:pPr>
      <w:r>
        <w:rPr>
          <w:i/>
          <w:spacing w:val="-1"/>
          <w:w w:val="136"/>
        </w:rPr>
        <w:t>P</w:t>
      </w:r>
      <w:r>
        <w:rPr>
          <w:i/>
          <w:spacing w:val="-2"/>
        </w:rPr>
        <w:t>R</w:t>
      </w:r>
      <w:r>
        <w:rPr>
          <w:i/>
          <w:spacing w:val="-3"/>
          <w:w w:val="214"/>
        </w:rPr>
        <w:t>I</w:t>
      </w:r>
      <w:r>
        <w:rPr>
          <w:i/>
          <w:spacing w:val="-1"/>
          <w:w w:val="127"/>
        </w:rPr>
        <w:t>L</w:t>
      </w:r>
      <w:r>
        <w:rPr>
          <w:i/>
          <w:spacing w:val="-1"/>
          <w:w w:val="115"/>
        </w:rPr>
        <w:t>O</w:t>
      </w:r>
      <w:r>
        <w:rPr>
          <w:i/>
          <w:spacing w:val="-5"/>
          <w:w w:val="109"/>
        </w:rPr>
        <w:t>Z</w:t>
      </w:r>
      <w:r>
        <w:rPr>
          <w:i/>
          <w:spacing w:val="-1"/>
          <w:w w:val="214"/>
        </w:rPr>
        <w:t>I</w:t>
      </w:r>
    </w:p>
    <w:p>
      <w:pPr>
        <w:pStyle w:val="BodyText"/>
        <w:spacing w:before="5"/>
        <w:rPr>
          <w:b/>
          <w:i/>
          <w:sz w:val="22"/>
        </w:rPr>
      </w:pPr>
    </w:p>
    <w:p>
      <w:pPr>
        <w:spacing w:before="1"/>
        <w:ind w:left="238" w:right="0" w:firstLine="0"/>
        <w:jc w:val="left"/>
        <w:rPr>
          <w:sz w:val="22"/>
        </w:rPr>
      </w:pPr>
      <w:r>
        <w:rPr>
          <w:w w:val="120"/>
          <w:sz w:val="22"/>
        </w:rPr>
        <w:t>Kako</w:t>
      </w:r>
      <w:r>
        <w:rPr>
          <w:spacing w:val="-1"/>
          <w:w w:val="120"/>
          <w:sz w:val="22"/>
        </w:rPr>
        <w:t> </w:t>
      </w:r>
      <w:r>
        <w:rPr>
          <w:w w:val="120"/>
          <w:sz w:val="22"/>
        </w:rPr>
        <w:t>prilog-dokumentacija</w:t>
      </w:r>
      <w:r>
        <w:rPr>
          <w:spacing w:val="-1"/>
          <w:w w:val="120"/>
          <w:sz w:val="22"/>
        </w:rPr>
        <w:t> </w:t>
      </w:r>
      <w:r>
        <w:rPr>
          <w:w w:val="120"/>
          <w:sz w:val="22"/>
        </w:rPr>
        <w:t>na</w:t>
      </w:r>
      <w:r>
        <w:rPr>
          <w:spacing w:val="-1"/>
          <w:w w:val="120"/>
          <w:sz w:val="22"/>
        </w:rPr>
        <w:t> </w:t>
      </w:r>
      <w:r>
        <w:rPr>
          <w:w w:val="120"/>
          <w:sz w:val="22"/>
        </w:rPr>
        <w:t>trudovite</w:t>
      </w:r>
      <w:r>
        <w:rPr>
          <w:spacing w:val="-1"/>
          <w:w w:val="120"/>
          <w:sz w:val="22"/>
        </w:rPr>
        <w:t> </w:t>
      </w:r>
      <w:r>
        <w:rPr>
          <w:w w:val="113"/>
          <w:sz w:val="22"/>
        </w:rPr>
        <w:t>p</w:t>
      </w:r>
      <w:r>
        <w:rPr>
          <w:spacing w:val="-1"/>
          <w:w w:val="113"/>
          <w:sz w:val="22"/>
        </w:rPr>
        <w:t>r</w:t>
      </w:r>
      <w:r>
        <w:rPr>
          <w:w w:val="86"/>
          <w:sz w:val="22"/>
        </w:rPr>
        <w:t>e</w:t>
      </w:r>
      <w:r>
        <w:rPr>
          <w:spacing w:val="-3"/>
          <w:w w:val="86"/>
          <w:sz w:val="22"/>
        </w:rPr>
        <w:t>d</w:t>
      </w:r>
      <w:r>
        <w:rPr>
          <w:w w:val="123"/>
          <w:sz w:val="22"/>
        </w:rPr>
        <w:t>l</w:t>
      </w:r>
      <w:r>
        <w:rPr>
          <w:spacing w:val="-1"/>
          <w:w w:val="123"/>
          <w:sz w:val="22"/>
        </w:rPr>
        <w:t>o</w:t>
      </w:r>
      <w:r>
        <w:rPr>
          <w:w w:val="214"/>
          <w:sz w:val="22"/>
        </w:rPr>
        <w:t>`</w:t>
      </w:r>
      <w:r>
        <w:rPr>
          <w:w w:val="112"/>
          <w:sz w:val="22"/>
        </w:rPr>
        <w:t>eni</w:t>
      </w:r>
      <w:r>
        <w:rPr>
          <w:spacing w:val="-1"/>
          <w:w w:val="119"/>
          <w:sz w:val="22"/>
        </w:rPr>
        <w:t> </w:t>
      </w:r>
      <w:r>
        <w:rPr>
          <w:w w:val="120"/>
          <w:sz w:val="22"/>
        </w:rPr>
        <w:t>za pe~atewe,</w:t>
      </w:r>
      <w:r>
        <w:rPr>
          <w:spacing w:val="-1"/>
          <w:w w:val="120"/>
          <w:sz w:val="22"/>
        </w:rPr>
        <w:t> </w:t>
      </w:r>
      <w:r>
        <w:rPr>
          <w:w w:val="120"/>
          <w:sz w:val="22"/>
        </w:rPr>
        <w:t>mo`e da</w:t>
      </w:r>
      <w:r>
        <w:rPr>
          <w:spacing w:val="-1"/>
          <w:w w:val="120"/>
          <w:sz w:val="22"/>
        </w:rPr>
        <w:t> </w:t>
      </w:r>
      <w:r>
        <w:rPr>
          <w:w w:val="120"/>
          <w:sz w:val="22"/>
        </w:rPr>
        <w:t>se dostavaat</w:t>
      </w:r>
      <w:r>
        <w:rPr>
          <w:spacing w:val="-1"/>
          <w:w w:val="120"/>
          <w:sz w:val="22"/>
        </w:rPr>
        <w:t> </w:t>
      </w:r>
      <w:r>
        <w:rPr>
          <w:w w:val="120"/>
          <w:sz w:val="22"/>
        </w:rPr>
        <w:t>do</w:t>
      </w:r>
      <w:r>
        <w:rPr>
          <w:spacing w:val="-1"/>
          <w:w w:val="120"/>
          <w:sz w:val="22"/>
        </w:rPr>
        <w:t> </w:t>
      </w:r>
      <w:r>
        <w:rPr>
          <w:w w:val="120"/>
          <w:sz w:val="22"/>
        </w:rPr>
        <w:t>5 </w:t>
      </w:r>
      <w:r>
        <w:rPr>
          <w:w w:val="125"/>
          <w:sz w:val="22"/>
        </w:rPr>
        <w:t>priloga</w:t>
      </w:r>
      <w:r>
        <w:rPr>
          <w:spacing w:val="35"/>
          <w:w w:val="125"/>
          <w:sz w:val="22"/>
        </w:rPr>
        <w:t> </w:t>
      </w:r>
      <w:r>
        <w:rPr>
          <w:w w:val="125"/>
          <w:sz w:val="22"/>
        </w:rPr>
        <w:t>(tabeli,</w:t>
      </w:r>
      <w:r>
        <w:rPr>
          <w:spacing w:val="28"/>
          <w:w w:val="130"/>
          <w:sz w:val="22"/>
        </w:rPr>
        <w:t> </w:t>
      </w:r>
      <w:r>
        <w:rPr>
          <w:w w:val="130"/>
          <w:sz w:val="22"/>
        </w:rPr>
        <w:t>figuri,/sliki</w:t>
      </w:r>
      <w:r>
        <w:rPr>
          <w:spacing w:val="27"/>
          <w:w w:val="130"/>
          <w:sz w:val="22"/>
        </w:rPr>
        <w:t> </w:t>
      </w:r>
      <w:r>
        <w:rPr>
          <w:w w:val="125"/>
          <w:sz w:val="22"/>
        </w:rPr>
        <w:t>-</w:t>
      </w:r>
      <w:r>
        <w:rPr>
          <w:spacing w:val="35"/>
          <w:w w:val="130"/>
          <w:sz w:val="22"/>
        </w:rPr>
        <w:t> </w:t>
      </w:r>
      <w:r>
        <w:rPr>
          <w:w w:val="130"/>
          <w:sz w:val="22"/>
        </w:rPr>
        <w:t>ilustracii).</w:t>
      </w:r>
    </w:p>
    <w:p>
      <w:pPr>
        <w:pStyle w:val="BodyText"/>
        <w:spacing w:before="8"/>
        <w:rPr>
          <w:sz w:val="22"/>
        </w:rPr>
      </w:pPr>
    </w:p>
    <w:p>
      <w:pPr>
        <w:spacing w:line="242" w:lineRule="auto" w:before="1"/>
        <w:ind w:left="238" w:right="295" w:firstLine="0"/>
        <w:jc w:val="both"/>
        <w:rPr>
          <w:sz w:val="22"/>
        </w:rPr>
      </w:pPr>
      <w:r>
        <w:rPr>
          <w:b/>
          <w:w w:val="125"/>
          <w:sz w:val="22"/>
        </w:rPr>
        <w:t>Tabelite</w:t>
      </w:r>
      <w:r>
        <w:rPr>
          <w:b/>
          <w:spacing w:val="-12"/>
          <w:w w:val="125"/>
          <w:sz w:val="22"/>
        </w:rPr>
        <w:t> </w:t>
      </w:r>
      <w:r>
        <w:rPr>
          <w:w w:val="125"/>
          <w:sz w:val="22"/>
        </w:rPr>
        <w:t>se</w:t>
      </w:r>
      <w:r>
        <w:rPr>
          <w:spacing w:val="-11"/>
          <w:w w:val="125"/>
          <w:sz w:val="22"/>
        </w:rPr>
        <w:t> </w:t>
      </w:r>
      <w:r>
        <w:rPr>
          <w:w w:val="125"/>
          <w:sz w:val="22"/>
        </w:rPr>
        <w:t>dostavuvaat</w:t>
      </w:r>
      <w:r>
        <w:rPr>
          <w:spacing w:val="-12"/>
          <w:w w:val="125"/>
          <w:sz w:val="22"/>
        </w:rPr>
        <w:t> </w:t>
      </w:r>
      <w:r>
        <w:rPr>
          <w:w w:val="125"/>
          <w:sz w:val="22"/>
        </w:rPr>
        <w:t>na</w:t>
      </w:r>
      <w:r>
        <w:rPr>
          <w:spacing w:val="-12"/>
          <w:w w:val="125"/>
          <w:sz w:val="22"/>
        </w:rPr>
        <w:t> </w:t>
      </w:r>
      <w:r>
        <w:rPr>
          <w:w w:val="125"/>
          <w:sz w:val="22"/>
        </w:rPr>
        <w:t>krajot</w:t>
      </w:r>
      <w:r>
        <w:rPr>
          <w:spacing w:val="-12"/>
          <w:w w:val="125"/>
          <w:sz w:val="22"/>
        </w:rPr>
        <w:t> </w:t>
      </w:r>
      <w:r>
        <w:rPr>
          <w:w w:val="125"/>
          <w:sz w:val="22"/>
        </w:rPr>
        <w:t>na</w:t>
      </w:r>
      <w:r>
        <w:rPr>
          <w:spacing w:val="-12"/>
          <w:w w:val="125"/>
          <w:sz w:val="22"/>
        </w:rPr>
        <w:t> </w:t>
      </w:r>
      <w:r>
        <w:rPr>
          <w:w w:val="125"/>
          <w:sz w:val="22"/>
        </w:rPr>
        <w:t>trudot</w:t>
      </w:r>
      <w:r>
        <w:rPr>
          <w:spacing w:val="-12"/>
          <w:w w:val="125"/>
          <w:sz w:val="22"/>
        </w:rPr>
        <w:t> </w:t>
      </w:r>
      <w:r>
        <w:rPr>
          <w:w w:val="125"/>
          <w:sz w:val="22"/>
        </w:rPr>
        <w:t>vo</w:t>
      </w:r>
      <w:r>
        <w:rPr>
          <w:spacing w:val="-12"/>
          <w:w w:val="125"/>
          <w:sz w:val="22"/>
        </w:rPr>
        <w:t> </w:t>
      </w:r>
      <w:r>
        <w:rPr>
          <w:w w:val="135"/>
          <w:sz w:val="22"/>
        </w:rPr>
        <w:t>istiot</w:t>
      </w:r>
      <w:r>
        <w:rPr>
          <w:spacing w:val="-18"/>
          <w:w w:val="135"/>
          <w:sz w:val="22"/>
        </w:rPr>
        <w:t> </w:t>
      </w:r>
      <w:r>
        <w:rPr>
          <w:w w:val="217"/>
          <w:sz w:val="22"/>
        </w:rPr>
        <w:t>f</w:t>
      </w:r>
      <w:r>
        <w:rPr>
          <w:w w:val="91"/>
          <w:sz w:val="22"/>
        </w:rPr>
        <w:t>aj</w:t>
      </w:r>
      <w:r>
        <w:rPr>
          <w:w w:val="136"/>
          <w:sz w:val="22"/>
        </w:rPr>
        <w:t>l.</w:t>
      </w:r>
      <w:r>
        <w:rPr>
          <w:spacing w:val="-17"/>
          <w:w w:val="134"/>
          <w:sz w:val="22"/>
        </w:rPr>
        <w:t> </w:t>
      </w:r>
      <w:r>
        <w:rPr>
          <w:w w:val="125"/>
          <w:sz w:val="22"/>
        </w:rPr>
        <w:t>Sekoja</w:t>
      </w:r>
      <w:r>
        <w:rPr>
          <w:spacing w:val="-12"/>
          <w:w w:val="125"/>
          <w:sz w:val="22"/>
        </w:rPr>
        <w:t> </w:t>
      </w:r>
      <w:r>
        <w:rPr>
          <w:w w:val="125"/>
          <w:sz w:val="22"/>
        </w:rPr>
        <w:t>tabela</w:t>
      </w:r>
      <w:r>
        <w:rPr>
          <w:spacing w:val="-12"/>
          <w:w w:val="125"/>
          <w:sz w:val="22"/>
        </w:rPr>
        <w:t> </w:t>
      </w:r>
      <w:r>
        <w:rPr>
          <w:w w:val="125"/>
          <w:sz w:val="22"/>
        </w:rPr>
        <w:t>treba</w:t>
      </w:r>
      <w:r>
        <w:rPr>
          <w:spacing w:val="-12"/>
          <w:w w:val="125"/>
          <w:sz w:val="22"/>
        </w:rPr>
        <w:t> </w:t>
      </w:r>
      <w:r>
        <w:rPr>
          <w:w w:val="125"/>
          <w:sz w:val="22"/>
        </w:rPr>
        <w:t>da</w:t>
      </w:r>
      <w:r>
        <w:rPr>
          <w:spacing w:val="-12"/>
          <w:w w:val="125"/>
          <w:sz w:val="22"/>
        </w:rPr>
        <w:t> </w:t>
      </w:r>
      <w:r>
        <w:rPr>
          <w:w w:val="125"/>
          <w:sz w:val="22"/>
        </w:rPr>
        <w:t>ima</w:t>
      </w:r>
      <w:r>
        <w:rPr>
          <w:spacing w:val="-12"/>
          <w:w w:val="125"/>
          <w:sz w:val="22"/>
        </w:rPr>
        <w:t> </w:t>
      </w:r>
      <w:r>
        <w:rPr>
          <w:w w:val="125"/>
          <w:sz w:val="22"/>
        </w:rPr>
        <w:t>svoj naslov</w:t>
      </w:r>
      <w:r>
        <w:rPr>
          <w:spacing w:val="-18"/>
          <w:w w:val="125"/>
          <w:sz w:val="22"/>
        </w:rPr>
        <w:t> </w:t>
      </w:r>
      <w:r>
        <w:rPr>
          <w:w w:val="170"/>
          <w:sz w:val="22"/>
        </w:rPr>
        <w:t>i</w:t>
      </w:r>
      <w:r>
        <w:rPr>
          <w:spacing w:val="-23"/>
          <w:w w:val="170"/>
          <w:sz w:val="22"/>
        </w:rPr>
        <w:t> </w:t>
      </w:r>
      <w:r>
        <w:rPr>
          <w:w w:val="125"/>
          <w:sz w:val="22"/>
        </w:rPr>
        <w:t>reden</w:t>
      </w:r>
      <w:r>
        <w:rPr>
          <w:spacing w:val="-17"/>
          <w:w w:val="125"/>
          <w:sz w:val="22"/>
        </w:rPr>
        <w:t> </w:t>
      </w:r>
      <w:r>
        <w:rPr>
          <w:w w:val="125"/>
          <w:sz w:val="22"/>
        </w:rPr>
        <w:t>broj</w:t>
      </w:r>
      <w:r>
        <w:rPr>
          <w:spacing w:val="-17"/>
          <w:w w:val="125"/>
          <w:sz w:val="22"/>
        </w:rPr>
        <w:t> </w:t>
      </w:r>
      <w:r>
        <w:rPr>
          <w:w w:val="125"/>
          <w:sz w:val="22"/>
        </w:rPr>
        <w:t>koj</w:t>
      </w:r>
      <w:r>
        <w:rPr>
          <w:spacing w:val="-18"/>
          <w:w w:val="125"/>
          <w:sz w:val="22"/>
        </w:rPr>
        <w:t> </w:t>
      </w:r>
      <w:r>
        <w:rPr>
          <w:w w:val="125"/>
          <w:sz w:val="22"/>
        </w:rPr>
        <w:t>ja</w:t>
      </w:r>
      <w:r>
        <w:rPr>
          <w:spacing w:val="-17"/>
          <w:w w:val="125"/>
          <w:sz w:val="22"/>
        </w:rPr>
        <w:t> </w:t>
      </w:r>
      <w:r>
        <w:rPr>
          <w:w w:val="120"/>
          <w:sz w:val="22"/>
        </w:rPr>
        <w:t>povrzuva</w:t>
      </w:r>
      <w:r>
        <w:rPr>
          <w:spacing w:val="-16"/>
          <w:w w:val="120"/>
          <w:sz w:val="22"/>
        </w:rPr>
        <w:t> </w:t>
      </w:r>
      <w:r>
        <w:rPr>
          <w:w w:val="125"/>
          <w:sz w:val="22"/>
        </w:rPr>
        <w:t>so</w:t>
      </w:r>
      <w:r>
        <w:rPr>
          <w:spacing w:val="-17"/>
          <w:w w:val="125"/>
          <w:sz w:val="22"/>
        </w:rPr>
        <w:t> </w:t>
      </w:r>
      <w:r>
        <w:rPr>
          <w:w w:val="125"/>
          <w:sz w:val="22"/>
        </w:rPr>
        <w:t>tekstot.</w:t>
      </w:r>
      <w:r>
        <w:rPr>
          <w:spacing w:val="-15"/>
          <w:w w:val="125"/>
          <w:sz w:val="22"/>
        </w:rPr>
        <w:t> </w:t>
      </w:r>
      <w:r>
        <w:rPr>
          <w:w w:val="125"/>
          <w:sz w:val="22"/>
        </w:rPr>
        <w:t>Horizontalni</w:t>
      </w:r>
      <w:r>
        <w:rPr>
          <w:spacing w:val="-13"/>
          <w:w w:val="125"/>
          <w:sz w:val="22"/>
        </w:rPr>
        <w:t> </w:t>
      </w:r>
      <w:r>
        <w:rPr>
          <w:w w:val="170"/>
          <w:sz w:val="22"/>
        </w:rPr>
        <w:t>i</w:t>
      </w:r>
      <w:r>
        <w:rPr>
          <w:spacing w:val="-24"/>
          <w:w w:val="170"/>
          <w:sz w:val="22"/>
        </w:rPr>
        <w:t> </w:t>
      </w:r>
      <w:r>
        <w:rPr>
          <w:w w:val="135"/>
          <w:sz w:val="22"/>
        </w:rPr>
        <w:t>vertikalni</w:t>
      </w:r>
      <w:r>
        <w:rPr>
          <w:spacing w:val="-18"/>
          <w:w w:val="135"/>
          <w:sz w:val="22"/>
        </w:rPr>
        <w:t> </w:t>
      </w:r>
      <w:r>
        <w:rPr>
          <w:w w:val="170"/>
          <w:sz w:val="22"/>
        </w:rPr>
        <w:t>linii</w:t>
      </w:r>
      <w:r>
        <w:rPr>
          <w:spacing w:val="-24"/>
          <w:w w:val="170"/>
          <w:sz w:val="22"/>
        </w:rPr>
        <w:t> </w:t>
      </w:r>
      <w:r>
        <w:rPr>
          <w:w w:val="125"/>
          <w:sz w:val="22"/>
        </w:rPr>
        <w:t>na</w:t>
      </w:r>
      <w:r>
        <w:rPr>
          <w:spacing w:val="-12"/>
          <w:w w:val="125"/>
          <w:sz w:val="22"/>
        </w:rPr>
        <w:t> </w:t>
      </w:r>
      <w:r>
        <w:rPr>
          <w:w w:val="125"/>
          <w:sz w:val="22"/>
        </w:rPr>
        <w:t>tabelata ne</w:t>
      </w:r>
      <w:r>
        <w:rPr>
          <w:w w:val="125"/>
          <w:sz w:val="22"/>
        </w:rPr>
        <w:t> se</w:t>
      </w:r>
      <w:r>
        <w:rPr>
          <w:w w:val="125"/>
          <w:sz w:val="22"/>
        </w:rPr>
        <w:t> dozvoleni;</w:t>
      </w:r>
      <w:r>
        <w:rPr>
          <w:w w:val="125"/>
          <w:sz w:val="22"/>
        </w:rPr>
        <w:t> oznakite</w:t>
      </w:r>
      <w:r>
        <w:rPr>
          <w:w w:val="125"/>
          <w:sz w:val="22"/>
        </w:rPr>
        <w:t> na</w:t>
      </w:r>
      <w:r>
        <w:rPr>
          <w:w w:val="125"/>
          <w:sz w:val="22"/>
        </w:rPr>
        <w:t> kolonite</w:t>
      </w:r>
      <w:r>
        <w:rPr>
          <w:w w:val="125"/>
          <w:sz w:val="22"/>
        </w:rPr>
        <w:t> vo</w:t>
      </w:r>
      <w:r>
        <w:rPr>
          <w:w w:val="125"/>
          <w:sz w:val="22"/>
        </w:rPr>
        <w:t> tabelata</w:t>
      </w:r>
      <w:r>
        <w:rPr>
          <w:w w:val="125"/>
          <w:sz w:val="22"/>
        </w:rPr>
        <w:t> se</w:t>
      </w:r>
      <w:r>
        <w:rPr>
          <w:w w:val="125"/>
          <w:sz w:val="22"/>
        </w:rPr>
        <w:t> pi{uvaat</w:t>
      </w:r>
      <w:r>
        <w:rPr>
          <w:w w:val="125"/>
          <w:sz w:val="22"/>
        </w:rPr>
        <w:t> skrateno</w:t>
      </w:r>
      <w:r>
        <w:rPr>
          <w:w w:val="125"/>
          <w:sz w:val="22"/>
        </w:rPr>
        <w:t> </w:t>
      </w:r>
      <w:r>
        <w:rPr>
          <w:w w:val="170"/>
          <w:sz w:val="22"/>
        </w:rPr>
        <w:t>ili</w:t>
      </w:r>
      <w:r>
        <w:rPr>
          <w:spacing w:val="-13"/>
          <w:w w:val="170"/>
          <w:sz w:val="22"/>
        </w:rPr>
        <w:t> </w:t>
      </w:r>
      <w:r>
        <w:rPr>
          <w:w w:val="125"/>
          <w:sz w:val="22"/>
        </w:rPr>
        <w:t>so</w:t>
      </w:r>
      <w:r>
        <w:rPr>
          <w:w w:val="125"/>
          <w:sz w:val="22"/>
        </w:rPr>
        <w:t> simbol,</w:t>
      </w:r>
      <w:r>
        <w:rPr>
          <w:w w:val="125"/>
          <w:sz w:val="22"/>
        </w:rPr>
        <w:t> a </w:t>
      </w:r>
      <w:r>
        <w:rPr>
          <w:w w:val="120"/>
          <w:sz w:val="22"/>
        </w:rPr>
        <w:t>nivnoto</w:t>
      </w:r>
      <w:r>
        <w:rPr>
          <w:spacing w:val="-10"/>
          <w:w w:val="120"/>
          <w:sz w:val="22"/>
        </w:rPr>
        <w:t> </w:t>
      </w:r>
      <w:r>
        <w:rPr>
          <w:w w:val="120"/>
          <w:sz w:val="22"/>
        </w:rPr>
        <w:t>objasnuvawe</w:t>
      </w:r>
      <w:r>
        <w:rPr>
          <w:spacing w:val="-10"/>
          <w:w w:val="120"/>
          <w:sz w:val="22"/>
        </w:rPr>
        <w:t> </w:t>
      </w:r>
      <w:r>
        <w:rPr>
          <w:w w:val="120"/>
          <w:sz w:val="22"/>
        </w:rPr>
        <w:t>se</w:t>
      </w:r>
      <w:r>
        <w:rPr>
          <w:spacing w:val="-13"/>
          <w:w w:val="120"/>
          <w:sz w:val="22"/>
        </w:rPr>
        <w:t> </w:t>
      </w:r>
      <w:r>
        <w:rPr>
          <w:w w:val="120"/>
          <w:sz w:val="22"/>
        </w:rPr>
        <w:t>pi{uva</w:t>
      </w:r>
      <w:r>
        <w:rPr>
          <w:spacing w:val="-10"/>
          <w:w w:val="120"/>
          <w:sz w:val="22"/>
        </w:rPr>
        <w:t> </w:t>
      </w:r>
      <w:r>
        <w:rPr>
          <w:w w:val="120"/>
          <w:sz w:val="22"/>
        </w:rPr>
        <w:t>na</w:t>
      </w:r>
      <w:r>
        <w:rPr>
          <w:spacing w:val="-12"/>
          <w:w w:val="120"/>
          <w:sz w:val="22"/>
        </w:rPr>
        <w:t> </w:t>
      </w:r>
      <w:r>
        <w:rPr>
          <w:w w:val="120"/>
          <w:sz w:val="22"/>
        </w:rPr>
        <w:t>dnoto</w:t>
      </w:r>
      <w:r>
        <w:rPr>
          <w:spacing w:val="-10"/>
          <w:w w:val="120"/>
          <w:sz w:val="22"/>
        </w:rPr>
        <w:t> </w:t>
      </w:r>
      <w:r>
        <w:rPr>
          <w:w w:val="120"/>
          <w:sz w:val="22"/>
        </w:rPr>
        <w:t>na</w:t>
      </w:r>
      <w:r>
        <w:rPr>
          <w:spacing w:val="-10"/>
          <w:w w:val="120"/>
          <w:sz w:val="22"/>
        </w:rPr>
        <w:t> </w:t>
      </w:r>
      <w:r>
        <w:rPr>
          <w:w w:val="120"/>
          <w:sz w:val="22"/>
        </w:rPr>
        <w:t>tabelata,</w:t>
      </w:r>
      <w:r>
        <w:rPr>
          <w:spacing w:val="-10"/>
          <w:w w:val="120"/>
          <w:sz w:val="22"/>
        </w:rPr>
        <w:t> </w:t>
      </w:r>
      <w:r>
        <w:rPr>
          <w:w w:val="120"/>
          <w:sz w:val="22"/>
        </w:rPr>
        <w:t>vo</w:t>
      </w:r>
      <w:r>
        <w:rPr>
          <w:spacing w:val="-11"/>
          <w:w w:val="120"/>
          <w:sz w:val="22"/>
        </w:rPr>
        <w:t> </w:t>
      </w:r>
      <w:r>
        <w:rPr>
          <w:w w:val="120"/>
          <w:sz w:val="22"/>
        </w:rPr>
        <w:t>vid</w:t>
      </w:r>
      <w:r>
        <w:rPr>
          <w:spacing w:val="-13"/>
          <w:w w:val="120"/>
          <w:sz w:val="22"/>
        </w:rPr>
        <w:t> </w:t>
      </w:r>
      <w:r>
        <w:rPr>
          <w:w w:val="120"/>
          <w:sz w:val="22"/>
        </w:rPr>
        <w:t>na</w:t>
      </w:r>
      <w:r>
        <w:rPr>
          <w:spacing w:val="-10"/>
          <w:w w:val="120"/>
          <w:sz w:val="22"/>
        </w:rPr>
        <w:t> </w:t>
      </w:r>
      <w:r>
        <w:rPr>
          <w:w w:val="120"/>
          <w:sz w:val="22"/>
        </w:rPr>
        <w:t>legenda.</w:t>
      </w:r>
    </w:p>
    <w:p>
      <w:pPr>
        <w:pStyle w:val="BodyText"/>
        <w:spacing w:before="4"/>
        <w:rPr>
          <w:sz w:val="22"/>
        </w:rPr>
      </w:pPr>
    </w:p>
    <w:p>
      <w:pPr>
        <w:spacing w:line="244" w:lineRule="auto" w:before="0"/>
        <w:ind w:left="238" w:right="294" w:firstLine="0"/>
        <w:jc w:val="both"/>
        <w:rPr>
          <w:sz w:val="22"/>
        </w:rPr>
      </w:pPr>
      <w:r>
        <w:rPr>
          <w:b/>
          <w:w w:val="125"/>
          <w:sz w:val="22"/>
        </w:rPr>
        <w:t>Ilustraciite</w:t>
      </w:r>
      <w:r>
        <w:rPr>
          <w:b/>
          <w:spacing w:val="-1"/>
          <w:w w:val="125"/>
          <w:sz w:val="22"/>
        </w:rPr>
        <w:t> </w:t>
      </w:r>
      <w:r>
        <w:rPr>
          <w:w w:val="125"/>
          <w:sz w:val="22"/>
        </w:rPr>
        <w:t>se</w:t>
      </w:r>
      <w:r>
        <w:rPr>
          <w:spacing w:val="-1"/>
          <w:w w:val="125"/>
          <w:sz w:val="22"/>
        </w:rPr>
        <w:t> </w:t>
      </w:r>
      <w:r>
        <w:rPr>
          <w:w w:val="125"/>
          <w:sz w:val="22"/>
        </w:rPr>
        <w:t>dostavuvaat</w:t>
      </w:r>
      <w:r>
        <w:rPr>
          <w:spacing w:val="-1"/>
          <w:w w:val="125"/>
          <w:sz w:val="22"/>
        </w:rPr>
        <w:t> </w:t>
      </w:r>
      <w:r>
        <w:rPr>
          <w:w w:val="125"/>
          <w:sz w:val="22"/>
        </w:rPr>
        <w:t>so</w:t>
      </w:r>
      <w:r>
        <w:rPr>
          <w:spacing w:val="-1"/>
          <w:w w:val="125"/>
          <w:sz w:val="22"/>
        </w:rPr>
        <w:t> </w:t>
      </w:r>
      <w:r>
        <w:rPr>
          <w:w w:val="125"/>
          <w:sz w:val="22"/>
        </w:rPr>
        <w:t>reden</w:t>
      </w:r>
      <w:r>
        <w:rPr>
          <w:spacing w:val="-2"/>
          <w:w w:val="125"/>
          <w:sz w:val="22"/>
        </w:rPr>
        <w:t> </w:t>
      </w:r>
      <w:r>
        <w:rPr>
          <w:w w:val="125"/>
          <w:sz w:val="22"/>
        </w:rPr>
        <w:t>broj kako</w:t>
      </w:r>
      <w:r>
        <w:rPr>
          <w:spacing w:val="-2"/>
          <w:w w:val="125"/>
          <w:sz w:val="22"/>
        </w:rPr>
        <w:t> </w:t>
      </w:r>
      <w:r>
        <w:rPr>
          <w:w w:val="125"/>
          <w:sz w:val="22"/>
        </w:rPr>
        <w:t>slika</w:t>
      </w:r>
      <w:r>
        <w:rPr>
          <w:spacing w:val="-1"/>
          <w:w w:val="125"/>
          <w:sz w:val="22"/>
        </w:rPr>
        <w:t> </w:t>
      </w:r>
      <w:r>
        <w:rPr>
          <w:w w:val="125"/>
          <w:sz w:val="22"/>
        </w:rPr>
        <w:t>vo</w:t>
      </w:r>
      <w:r>
        <w:rPr>
          <w:spacing w:val="-1"/>
          <w:w w:val="125"/>
          <w:sz w:val="22"/>
        </w:rPr>
        <w:t> </w:t>
      </w:r>
      <w:r>
        <w:rPr>
          <w:w w:val="125"/>
          <w:sz w:val="22"/>
        </w:rPr>
        <w:t>crno-bela</w:t>
      </w:r>
      <w:r>
        <w:rPr>
          <w:spacing w:val="-3"/>
          <w:w w:val="125"/>
          <w:sz w:val="22"/>
        </w:rPr>
        <w:t> </w:t>
      </w:r>
      <w:r>
        <w:rPr>
          <w:w w:val="125"/>
          <w:sz w:val="22"/>
        </w:rPr>
        <w:t>tehnika,</w:t>
      </w:r>
      <w:r>
        <w:rPr>
          <w:spacing w:val="-1"/>
          <w:w w:val="125"/>
          <w:sz w:val="22"/>
        </w:rPr>
        <w:t> </w:t>
      </w:r>
      <w:r>
        <w:rPr>
          <w:w w:val="125"/>
          <w:sz w:val="22"/>
        </w:rPr>
        <w:t>a</w:t>
      </w:r>
      <w:r>
        <w:rPr>
          <w:spacing w:val="-1"/>
          <w:w w:val="125"/>
          <w:sz w:val="22"/>
        </w:rPr>
        <w:t> </w:t>
      </w:r>
      <w:r>
        <w:rPr>
          <w:w w:val="125"/>
          <w:sz w:val="22"/>
        </w:rPr>
        <w:t>sekoja</w:t>
      </w:r>
      <w:r>
        <w:rPr>
          <w:spacing w:val="-1"/>
          <w:w w:val="125"/>
          <w:sz w:val="22"/>
        </w:rPr>
        <w:t> </w:t>
      </w:r>
      <w:r>
        <w:rPr>
          <w:w w:val="125"/>
          <w:sz w:val="22"/>
        </w:rPr>
        <w:t>slika treba da e pridru`ena so legenda</w:t>
      </w:r>
      <w:r>
        <w:rPr>
          <w:spacing w:val="-2"/>
          <w:w w:val="125"/>
          <w:sz w:val="22"/>
        </w:rPr>
        <w:t> </w:t>
      </w:r>
      <w:r>
        <w:rPr>
          <w:w w:val="125"/>
          <w:sz w:val="22"/>
        </w:rPr>
        <w:t>(opis).</w:t>
      </w:r>
    </w:p>
    <w:p>
      <w:pPr>
        <w:pStyle w:val="BodyText"/>
        <w:spacing w:before="1"/>
        <w:rPr>
          <w:sz w:val="22"/>
        </w:rPr>
      </w:pPr>
    </w:p>
    <w:p>
      <w:pPr>
        <w:spacing w:line="242" w:lineRule="auto" w:before="0"/>
        <w:ind w:left="238" w:right="296" w:firstLine="0"/>
        <w:jc w:val="both"/>
        <w:rPr>
          <w:sz w:val="22"/>
        </w:rPr>
      </w:pPr>
      <w:r>
        <w:rPr>
          <w:b/>
          <w:spacing w:val="-1"/>
          <w:w w:val="108"/>
          <w:sz w:val="22"/>
        </w:rPr>
        <w:t>Mikr</w:t>
      </w:r>
      <w:r>
        <w:rPr>
          <w:b/>
          <w:w w:val="134"/>
          <w:sz w:val="22"/>
        </w:rPr>
        <w:t>ofo</w:t>
      </w:r>
      <w:r>
        <w:rPr>
          <w:b/>
          <w:spacing w:val="-3"/>
          <w:w w:val="134"/>
          <w:sz w:val="22"/>
        </w:rPr>
        <w:t>t</w:t>
      </w:r>
      <w:r>
        <w:rPr>
          <w:b/>
          <w:w w:val="97"/>
          <w:sz w:val="22"/>
        </w:rPr>
        <w:t>ogr</w:t>
      </w:r>
      <w:r>
        <w:rPr>
          <w:b/>
          <w:spacing w:val="-3"/>
          <w:w w:val="97"/>
          <w:sz w:val="22"/>
        </w:rPr>
        <w:t>a</w:t>
      </w:r>
      <w:r>
        <w:rPr>
          <w:b/>
          <w:w w:val="225"/>
          <w:sz w:val="22"/>
        </w:rPr>
        <w:t>f</w:t>
      </w:r>
      <w:r>
        <w:rPr>
          <w:b/>
          <w:w w:val="191"/>
          <w:sz w:val="22"/>
        </w:rPr>
        <w:t>i</w:t>
      </w:r>
      <w:r>
        <w:rPr>
          <w:b/>
          <w:spacing w:val="-1"/>
          <w:w w:val="191"/>
          <w:sz w:val="22"/>
        </w:rPr>
        <w:t>i</w:t>
      </w:r>
      <w:r>
        <w:rPr>
          <w:b/>
          <w:w w:val="120"/>
          <w:sz w:val="22"/>
        </w:rPr>
        <w:t>te</w:t>
      </w:r>
      <w:r>
        <w:rPr>
          <w:b/>
          <w:spacing w:val="-17"/>
          <w:w w:val="129"/>
          <w:sz w:val="22"/>
        </w:rPr>
        <w:t> </w:t>
      </w:r>
      <w:r>
        <w:rPr>
          <w:w w:val="130"/>
          <w:sz w:val="22"/>
        </w:rPr>
        <w:t>mo`e</w:t>
      </w:r>
      <w:r>
        <w:rPr>
          <w:spacing w:val="-18"/>
          <w:w w:val="130"/>
          <w:sz w:val="22"/>
        </w:rPr>
        <w:t> </w:t>
      </w:r>
      <w:r>
        <w:rPr>
          <w:w w:val="125"/>
          <w:sz w:val="22"/>
        </w:rPr>
        <w:t>da</w:t>
      </w:r>
      <w:r>
        <w:rPr>
          <w:spacing w:val="-17"/>
          <w:w w:val="125"/>
          <w:sz w:val="22"/>
        </w:rPr>
        <w:t> </w:t>
      </w:r>
      <w:r>
        <w:rPr>
          <w:w w:val="130"/>
          <w:sz w:val="22"/>
        </w:rPr>
        <w:t>sodr`at</w:t>
      </w:r>
      <w:r>
        <w:rPr>
          <w:spacing w:val="-18"/>
          <w:w w:val="130"/>
          <w:sz w:val="22"/>
        </w:rPr>
        <w:t> </w:t>
      </w:r>
      <w:r>
        <w:rPr>
          <w:w w:val="130"/>
          <w:sz w:val="22"/>
        </w:rPr>
        <w:t>posebni</w:t>
      </w:r>
      <w:r>
        <w:rPr>
          <w:spacing w:val="-18"/>
          <w:w w:val="130"/>
          <w:sz w:val="22"/>
        </w:rPr>
        <w:t> </w:t>
      </w:r>
      <w:r>
        <w:rPr>
          <w:w w:val="130"/>
          <w:sz w:val="22"/>
        </w:rPr>
        <w:t>oznaki</w:t>
      </w:r>
      <w:r>
        <w:rPr>
          <w:spacing w:val="-18"/>
          <w:w w:val="130"/>
          <w:sz w:val="22"/>
        </w:rPr>
        <w:t> </w:t>
      </w:r>
      <w:r>
        <w:rPr>
          <w:w w:val="125"/>
          <w:sz w:val="22"/>
        </w:rPr>
        <w:t>vo</w:t>
      </w:r>
      <w:r>
        <w:rPr>
          <w:spacing w:val="-17"/>
          <w:w w:val="125"/>
          <w:sz w:val="22"/>
        </w:rPr>
        <w:t> </w:t>
      </w:r>
      <w:r>
        <w:rPr>
          <w:w w:val="130"/>
          <w:sz w:val="22"/>
        </w:rPr>
        <w:t>vid</w:t>
      </w:r>
      <w:r>
        <w:rPr>
          <w:spacing w:val="-17"/>
          <w:w w:val="130"/>
          <w:sz w:val="22"/>
        </w:rPr>
        <w:t> </w:t>
      </w:r>
      <w:r>
        <w:rPr>
          <w:w w:val="130"/>
          <w:sz w:val="22"/>
        </w:rPr>
        <w:t>na</w:t>
      </w:r>
      <w:r>
        <w:rPr>
          <w:spacing w:val="-16"/>
          <w:w w:val="130"/>
          <w:sz w:val="22"/>
        </w:rPr>
        <w:t> </w:t>
      </w:r>
      <w:r>
        <w:rPr>
          <w:w w:val="130"/>
          <w:sz w:val="22"/>
        </w:rPr>
        <w:t>strelki</w:t>
      </w:r>
      <w:r>
        <w:rPr>
          <w:spacing w:val="-17"/>
          <w:w w:val="130"/>
          <w:sz w:val="22"/>
        </w:rPr>
        <w:t> </w:t>
      </w:r>
      <w:r>
        <w:rPr>
          <w:w w:val="170"/>
          <w:sz w:val="22"/>
        </w:rPr>
        <w:t>ili</w:t>
      </w:r>
      <w:r>
        <w:rPr>
          <w:spacing w:val="-24"/>
          <w:w w:val="170"/>
          <w:sz w:val="22"/>
        </w:rPr>
        <w:t> </w:t>
      </w:r>
      <w:r>
        <w:rPr>
          <w:w w:val="130"/>
          <w:sz w:val="22"/>
        </w:rPr>
        <w:t>simboli.</w:t>
      </w:r>
      <w:r>
        <w:rPr>
          <w:spacing w:val="-16"/>
          <w:w w:val="130"/>
          <w:sz w:val="22"/>
        </w:rPr>
        <w:t> </w:t>
      </w:r>
      <w:r>
        <w:rPr>
          <w:w w:val="130"/>
          <w:sz w:val="22"/>
        </w:rPr>
        <w:t>Pokraj </w:t>
      </w:r>
      <w:r>
        <w:rPr>
          <w:w w:val="120"/>
          <w:sz w:val="22"/>
        </w:rPr>
        <w:t>opisot</w:t>
      </w:r>
      <w:r>
        <w:rPr>
          <w:spacing w:val="-6"/>
          <w:w w:val="120"/>
          <w:sz w:val="22"/>
        </w:rPr>
        <w:t> </w:t>
      </w:r>
      <w:r>
        <w:rPr>
          <w:w w:val="120"/>
          <w:sz w:val="22"/>
        </w:rPr>
        <w:t>na</w:t>
      </w:r>
      <w:r>
        <w:rPr>
          <w:spacing w:val="-9"/>
          <w:w w:val="120"/>
          <w:sz w:val="22"/>
        </w:rPr>
        <w:t> </w:t>
      </w:r>
      <w:r>
        <w:rPr>
          <w:w w:val="120"/>
          <w:sz w:val="22"/>
        </w:rPr>
        <w:t>slikata,</w:t>
      </w:r>
      <w:r>
        <w:rPr>
          <w:spacing w:val="-6"/>
          <w:w w:val="120"/>
          <w:sz w:val="22"/>
        </w:rPr>
        <w:t> </w:t>
      </w:r>
      <w:r>
        <w:rPr>
          <w:w w:val="120"/>
          <w:sz w:val="22"/>
        </w:rPr>
        <w:t>mora</w:t>
      </w:r>
      <w:r>
        <w:rPr>
          <w:spacing w:val="-6"/>
          <w:w w:val="120"/>
          <w:sz w:val="22"/>
        </w:rPr>
        <w:t> </w:t>
      </w:r>
      <w:r>
        <w:rPr>
          <w:w w:val="120"/>
          <w:sz w:val="22"/>
        </w:rPr>
        <w:t>da</w:t>
      </w:r>
      <w:r>
        <w:rPr>
          <w:spacing w:val="-8"/>
          <w:w w:val="120"/>
          <w:sz w:val="22"/>
        </w:rPr>
        <w:t> </w:t>
      </w:r>
      <w:r>
        <w:rPr>
          <w:w w:val="120"/>
          <w:sz w:val="22"/>
        </w:rPr>
        <w:t>se</w:t>
      </w:r>
      <w:r>
        <w:rPr>
          <w:spacing w:val="-4"/>
          <w:w w:val="120"/>
          <w:sz w:val="22"/>
        </w:rPr>
        <w:t> </w:t>
      </w:r>
      <w:r>
        <w:rPr>
          <w:w w:val="120"/>
          <w:sz w:val="22"/>
        </w:rPr>
        <w:t>navede</w:t>
      </w:r>
      <w:r>
        <w:rPr>
          <w:spacing w:val="-6"/>
          <w:w w:val="120"/>
          <w:sz w:val="22"/>
        </w:rPr>
        <w:t> </w:t>
      </w:r>
      <w:r>
        <w:rPr>
          <w:w w:val="120"/>
          <w:sz w:val="22"/>
        </w:rPr>
        <w:t>i</w:t>
      </w:r>
      <w:r>
        <w:rPr>
          <w:spacing w:val="-9"/>
          <w:w w:val="120"/>
          <w:sz w:val="22"/>
        </w:rPr>
        <w:t> </w:t>
      </w:r>
      <w:r>
        <w:rPr>
          <w:w w:val="120"/>
          <w:sz w:val="22"/>
        </w:rPr>
        <w:t>zgolemuvaweto</w:t>
      </w:r>
      <w:r>
        <w:rPr>
          <w:spacing w:val="-6"/>
          <w:w w:val="120"/>
          <w:sz w:val="22"/>
        </w:rPr>
        <w:t> </w:t>
      </w:r>
      <w:r>
        <w:rPr>
          <w:w w:val="120"/>
          <w:sz w:val="22"/>
        </w:rPr>
        <w:t>i</w:t>
      </w:r>
      <w:r>
        <w:rPr>
          <w:spacing w:val="-6"/>
          <w:w w:val="120"/>
          <w:sz w:val="22"/>
        </w:rPr>
        <w:t> </w:t>
      </w:r>
      <w:r>
        <w:rPr>
          <w:w w:val="120"/>
          <w:sz w:val="22"/>
        </w:rPr>
        <w:t>vidot</w:t>
      </w:r>
      <w:r>
        <w:rPr>
          <w:spacing w:val="-6"/>
          <w:w w:val="120"/>
          <w:sz w:val="22"/>
        </w:rPr>
        <w:t> </w:t>
      </w:r>
      <w:r>
        <w:rPr>
          <w:w w:val="120"/>
          <w:sz w:val="22"/>
        </w:rPr>
        <w:t>na</w:t>
      </w:r>
      <w:r>
        <w:rPr>
          <w:spacing w:val="-9"/>
          <w:w w:val="120"/>
          <w:sz w:val="22"/>
        </w:rPr>
        <w:t> </w:t>
      </w:r>
      <w:r>
        <w:rPr>
          <w:w w:val="120"/>
          <w:sz w:val="22"/>
        </w:rPr>
        <w:t>boeweto</w:t>
      </w:r>
      <w:r>
        <w:rPr>
          <w:spacing w:val="-6"/>
          <w:w w:val="120"/>
          <w:sz w:val="22"/>
        </w:rPr>
        <w:t> </w:t>
      </w:r>
      <w:r>
        <w:rPr>
          <w:w w:val="120"/>
          <w:sz w:val="22"/>
        </w:rPr>
        <w:t>na</w:t>
      </w:r>
      <w:r>
        <w:rPr>
          <w:spacing w:val="-6"/>
          <w:w w:val="120"/>
          <w:sz w:val="22"/>
        </w:rPr>
        <w:t> </w:t>
      </w:r>
      <w:r>
        <w:rPr>
          <w:w w:val="120"/>
          <w:sz w:val="22"/>
        </w:rPr>
        <w:t>preparatot</w:t>
      </w:r>
      <w:r>
        <w:rPr>
          <w:spacing w:val="-9"/>
          <w:w w:val="120"/>
          <w:sz w:val="22"/>
        </w:rPr>
        <w:t> </w:t>
      </w:r>
      <w:r>
        <w:rPr>
          <w:w w:val="120"/>
          <w:sz w:val="22"/>
        </w:rPr>
        <w:t>(ako </w:t>
      </w:r>
      <w:r>
        <w:rPr>
          <w:w w:val="130"/>
          <w:sz w:val="22"/>
        </w:rPr>
        <w:t>toa</w:t>
      </w:r>
      <w:r>
        <w:rPr>
          <w:spacing w:val="-15"/>
          <w:w w:val="130"/>
          <w:sz w:val="22"/>
        </w:rPr>
        <w:t> </w:t>
      </w:r>
      <w:r>
        <w:rPr>
          <w:w w:val="130"/>
          <w:sz w:val="22"/>
        </w:rPr>
        <w:t>ve}e</w:t>
      </w:r>
      <w:r>
        <w:rPr>
          <w:spacing w:val="-15"/>
          <w:w w:val="130"/>
          <w:sz w:val="22"/>
        </w:rPr>
        <w:t> </w:t>
      </w:r>
      <w:r>
        <w:rPr>
          <w:w w:val="130"/>
          <w:sz w:val="22"/>
        </w:rPr>
        <w:t>ne</w:t>
      </w:r>
      <w:r>
        <w:rPr>
          <w:spacing w:val="-15"/>
          <w:w w:val="130"/>
          <w:sz w:val="22"/>
        </w:rPr>
        <w:t> </w:t>
      </w:r>
      <w:r>
        <w:rPr>
          <w:w w:val="130"/>
          <w:sz w:val="22"/>
        </w:rPr>
        <w:t>e</w:t>
      </w:r>
      <w:r>
        <w:rPr>
          <w:spacing w:val="-18"/>
          <w:w w:val="130"/>
          <w:sz w:val="22"/>
        </w:rPr>
        <w:t> </w:t>
      </w:r>
      <w:r>
        <w:rPr>
          <w:w w:val="125"/>
          <w:sz w:val="22"/>
        </w:rPr>
        <w:t>napraveno</w:t>
      </w:r>
      <w:r>
        <w:rPr>
          <w:spacing w:val="-16"/>
          <w:w w:val="125"/>
          <w:sz w:val="22"/>
        </w:rPr>
        <w:t> </w:t>
      </w:r>
      <w:r>
        <w:rPr>
          <w:w w:val="125"/>
          <w:sz w:val="22"/>
        </w:rPr>
        <w:t>vo</w:t>
      </w:r>
      <w:r>
        <w:rPr>
          <w:spacing w:val="-12"/>
          <w:w w:val="125"/>
          <w:sz w:val="22"/>
        </w:rPr>
        <w:t> </w:t>
      </w:r>
      <w:r>
        <w:rPr>
          <w:w w:val="130"/>
          <w:sz w:val="22"/>
        </w:rPr>
        <w:t>sekcijata</w:t>
      </w:r>
      <w:r>
        <w:rPr>
          <w:spacing w:val="-15"/>
          <w:w w:val="130"/>
          <w:sz w:val="22"/>
        </w:rPr>
        <w:t> </w:t>
      </w:r>
      <w:r>
        <w:rPr>
          <w:i/>
          <w:w w:val="79"/>
          <w:sz w:val="22"/>
        </w:rPr>
        <w:t>m</w:t>
      </w:r>
      <w:r>
        <w:rPr>
          <w:i/>
          <w:spacing w:val="-2"/>
          <w:w w:val="87"/>
          <w:sz w:val="22"/>
        </w:rPr>
        <w:t>a</w:t>
      </w:r>
      <w:r>
        <w:rPr>
          <w:i/>
          <w:spacing w:val="1"/>
          <w:w w:val="287"/>
          <w:sz w:val="22"/>
        </w:rPr>
        <w:t>t</w:t>
      </w:r>
      <w:r>
        <w:rPr>
          <w:i/>
          <w:w w:val="127"/>
          <w:sz w:val="22"/>
        </w:rPr>
        <w:t>er</w:t>
      </w:r>
      <w:r>
        <w:rPr>
          <w:i/>
          <w:spacing w:val="-2"/>
          <w:w w:val="127"/>
          <w:sz w:val="22"/>
        </w:rPr>
        <w:t>i</w:t>
      </w:r>
      <w:r>
        <w:rPr>
          <w:i/>
          <w:spacing w:val="1"/>
          <w:w w:val="87"/>
          <w:sz w:val="22"/>
        </w:rPr>
        <w:t>j</w:t>
      </w:r>
      <w:r>
        <w:rPr>
          <w:i/>
          <w:spacing w:val="1"/>
          <w:w w:val="123"/>
          <w:sz w:val="22"/>
        </w:rPr>
        <w:t>al</w:t>
      </w:r>
      <w:r>
        <w:rPr>
          <w:i/>
          <w:spacing w:val="-18"/>
          <w:w w:val="129"/>
          <w:sz w:val="22"/>
        </w:rPr>
        <w:t> </w:t>
      </w:r>
      <w:r>
        <w:rPr>
          <w:i/>
          <w:w w:val="170"/>
          <w:sz w:val="22"/>
        </w:rPr>
        <w:t>i</w:t>
      </w:r>
      <w:r>
        <w:rPr>
          <w:i/>
          <w:spacing w:val="-37"/>
          <w:w w:val="170"/>
          <w:sz w:val="22"/>
        </w:rPr>
        <w:t> </w:t>
      </w:r>
      <w:r>
        <w:rPr>
          <w:i/>
          <w:spacing w:val="-2"/>
          <w:w w:val="86"/>
          <w:sz w:val="22"/>
        </w:rPr>
        <w:t>m</w:t>
      </w:r>
      <w:r>
        <w:rPr>
          <w:i/>
          <w:spacing w:val="-1"/>
          <w:w w:val="171"/>
          <w:sz w:val="22"/>
        </w:rPr>
        <w:t>e</w:t>
      </w:r>
      <w:r>
        <w:rPr>
          <w:i/>
          <w:spacing w:val="1"/>
          <w:w w:val="171"/>
          <w:sz w:val="22"/>
        </w:rPr>
        <w:t>t</w:t>
      </w:r>
      <w:r>
        <w:rPr>
          <w:i/>
          <w:w w:val="105"/>
          <w:sz w:val="22"/>
        </w:rPr>
        <w:t>o</w:t>
      </w:r>
      <w:r>
        <w:rPr>
          <w:i/>
          <w:spacing w:val="-1"/>
          <w:w w:val="105"/>
          <w:sz w:val="22"/>
        </w:rPr>
        <w:t>d</w:t>
      </w:r>
      <w:r>
        <w:rPr>
          <w:i/>
          <w:w w:val="194"/>
          <w:sz w:val="22"/>
        </w:rPr>
        <w:t>i</w:t>
      </w:r>
      <w:r>
        <w:rPr>
          <w:spacing w:val="-2"/>
          <w:w w:val="103"/>
          <w:sz w:val="22"/>
        </w:rPr>
        <w:t>).</w:t>
      </w:r>
    </w:p>
    <w:p>
      <w:pPr>
        <w:spacing w:after="0" w:line="242" w:lineRule="auto"/>
        <w:jc w:val="both"/>
        <w:rPr>
          <w:sz w:val="22"/>
        </w:rPr>
        <w:sectPr>
          <w:headerReference w:type="even" r:id="rId551"/>
          <w:pgSz w:w="11910" w:h="16840"/>
          <w:pgMar w:header="0" w:footer="0" w:top="1360" w:bottom="280" w:left="900" w:right="840"/>
        </w:sectPr>
      </w:pPr>
    </w:p>
    <w:p>
      <w:pPr>
        <w:spacing w:line="242" w:lineRule="auto" w:before="34"/>
        <w:ind w:left="238" w:right="291" w:firstLine="0"/>
        <w:jc w:val="both"/>
        <w:rPr>
          <w:sz w:val="22"/>
        </w:rPr>
      </w:pPr>
      <w:r>
        <w:rPr>
          <w:w w:val="145"/>
          <w:sz w:val="22"/>
        </w:rPr>
        <w:t>Site</w:t>
      </w:r>
      <w:r>
        <w:rPr>
          <w:w w:val="145"/>
          <w:sz w:val="22"/>
        </w:rPr>
        <w:t> </w:t>
      </w:r>
      <w:r>
        <w:rPr>
          <w:w w:val="120"/>
          <w:sz w:val="22"/>
        </w:rPr>
        <w:t>oznaki</w:t>
      </w:r>
      <w:r>
        <w:rPr>
          <w:w w:val="120"/>
          <w:sz w:val="22"/>
        </w:rPr>
        <w:t> na</w:t>
      </w:r>
      <w:r>
        <w:rPr>
          <w:w w:val="120"/>
          <w:sz w:val="22"/>
        </w:rPr>
        <w:t> </w:t>
      </w:r>
      <w:r>
        <w:rPr>
          <w:w w:val="222"/>
          <w:sz w:val="22"/>
        </w:rPr>
        <w:t>f</w:t>
      </w:r>
      <w:r>
        <w:rPr>
          <w:w w:val="114"/>
          <w:sz w:val="22"/>
        </w:rPr>
        <w:t>ot</w:t>
      </w:r>
      <w:r>
        <w:rPr>
          <w:spacing w:val="-4"/>
          <w:w w:val="114"/>
          <w:sz w:val="22"/>
        </w:rPr>
        <w:t>o</w:t>
      </w:r>
      <w:r>
        <w:rPr>
          <w:spacing w:val="-1"/>
          <w:w w:val="130"/>
          <w:sz w:val="22"/>
        </w:rPr>
        <w:t>gra</w:t>
      </w:r>
      <w:r>
        <w:rPr>
          <w:w w:val="130"/>
          <w:sz w:val="22"/>
        </w:rPr>
        <w:t>f</w:t>
      </w:r>
      <w:r>
        <w:rPr>
          <w:w w:val="188"/>
          <w:sz w:val="22"/>
        </w:rPr>
        <w:t>i</w:t>
      </w:r>
      <w:r>
        <w:rPr>
          <w:spacing w:val="-1"/>
          <w:w w:val="188"/>
          <w:sz w:val="22"/>
        </w:rPr>
        <w:t>i</w:t>
      </w:r>
      <w:r>
        <w:rPr>
          <w:spacing w:val="-3"/>
          <w:w w:val="168"/>
          <w:sz w:val="22"/>
        </w:rPr>
        <w:t>t</w:t>
      </w:r>
      <w:r>
        <w:rPr>
          <w:w w:val="101"/>
          <w:sz w:val="22"/>
        </w:rPr>
        <w:t>e</w:t>
      </w:r>
      <w:r>
        <w:rPr>
          <w:spacing w:val="-1"/>
          <w:w w:val="144"/>
          <w:sz w:val="22"/>
        </w:rPr>
        <w:t> </w:t>
      </w:r>
      <w:r>
        <w:rPr>
          <w:w w:val="120"/>
          <w:sz w:val="22"/>
        </w:rPr>
        <w:t>mora</w:t>
      </w:r>
      <w:r>
        <w:rPr>
          <w:w w:val="120"/>
          <w:sz w:val="22"/>
        </w:rPr>
        <w:t> da</w:t>
      </w:r>
      <w:r>
        <w:rPr>
          <w:w w:val="120"/>
          <w:sz w:val="22"/>
        </w:rPr>
        <w:t> bidat</w:t>
      </w:r>
      <w:r>
        <w:rPr>
          <w:w w:val="120"/>
          <w:sz w:val="22"/>
        </w:rPr>
        <w:t> dovolno</w:t>
      </w:r>
      <w:r>
        <w:rPr>
          <w:w w:val="120"/>
          <w:sz w:val="22"/>
        </w:rPr>
        <w:t> golemi,</w:t>
      </w:r>
      <w:r>
        <w:rPr>
          <w:w w:val="120"/>
          <w:sz w:val="22"/>
        </w:rPr>
        <w:t> za</w:t>
      </w:r>
      <w:r>
        <w:rPr>
          <w:w w:val="120"/>
          <w:sz w:val="22"/>
        </w:rPr>
        <w:t> da</w:t>
      </w:r>
      <w:r>
        <w:rPr>
          <w:w w:val="120"/>
          <w:sz w:val="22"/>
        </w:rPr>
        <w:t> mo`e</w:t>
      </w:r>
      <w:r>
        <w:rPr>
          <w:w w:val="120"/>
          <w:sz w:val="22"/>
        </w:rPr>
        <w:t> jasno</w:t>
      </w:r>
      <w:r>
        <w:rPr>
          <w:w w:val="120"/>
          <w:sz w:val="22"/>
        </w:rPr>
        <w:t> da</w:t>
      </w:r>
      <w:r>
        <w:rPr>
          <w:w w:val="120"/>
          <w:sz w:val="22"/>
        </w:rPr>
        <w:t> se raspoznaat</w:t>
      </w:r>
      <w:r>
        <w:rPr>
          <w:w w:val="120"/>
          <w:sz w:val="22"/>
        </w:rPr>
        <w:t> </w:t>
      </w:r>
      <w:r>
        <w:rPr>
          <w:w w:val="170"/>
          <w:sz w:val="22"/>
        </w:rPr>
        <w:t>i</w:t>
      </w:r>
      <w:r>
        <w:rPr>
          <w:w w:val="170"/>
          <w:sz w:val="22"/>
        </w:rPr>
        <w:t> </w:t>
      </w:r>
      <w:r>
        <w:rPr>
          <w:w w:val="120"/>
          <w:sz w:val="22"/>
        </w:rPr>
        <w:t>po</w:t>
      </w:r>
      <w:r>
        <w:rPr>
          <w:w w:val="120"/>
          <w:sz w:val="22"/>
        </w:rPr>
        <w:t> smaluvaweto</w:t>
      </w:r>
      <w:r>
        <w:rPr>
          <w:w w:val="120"/>
          <w:sz w:val="22"/>
        </w:rPr>
        <w:t> vo</w:t>
      </w:r>
      <w:r>
        <w:rPr>
          <w:w w:val="120"/>
          <w:sz w:val="22"/>
        </w:rPr>
        <w:t> pe~atnicata,</w:t>
      </w:r>
      <w:r>
        <w:rPr>
          <w:w w:val="120"/>
          <w:sz w:val="22"/>
        </w:rPr>
        <w:t> </w:t>
      </w:r>
      <w:r>
        <w:rPr>
          <w:w w:val="145"/>
          <w:sz w:val="22"/>
        </w:rPr>
        <w:t>pri</w:t>
      </w:r>
      <w:r>
        <w:rPr>
          <w:w w:val="145"/>
          <w:sz w:val="22"/>
        </w:rPr>
        <w:t> </w:t>
      </w:r>
      <w:r>
        <w:rPr>
          <w:w w:val="120"/>
          <w:sz w:val="22"/>
        </w:rPr>
        <w:t>nivnoto</w:t>
      </w:r>
      <w:r>
        <w:rPr>
          <w:w w:val="120"/>
          <w:sz w:val="22"/>
        </w:rPr>
        <w:t> vklu~uvawe</w:t>
      </w:r>
      <w:r>
        <w:rPr>
          <w:w w:val="120"/>
          <w:sz w:val="22"/>
        </w:rPr>
        <w:t> vo</w:t>
      </w:r>
      <w:r>
        <w:rPr>
          <w:w w:val="120"/>
          <w:sz w:val="22"/>
        </w:rPr>
        <w:t> pe~atenata stranica na spisanieto.</w:t>
      </w:r>
    </w:p>
    <w:p>
      <w:pPr>
        <w:pStyle w:val="BodyText"/>
        <w:spacing w:before="3"/>
        <w:rPr>
          <w:sz w:val="22"/>
        </w:rPr>
      </w:pPr>
    </w:p>
    <w:p>
      <w:pPr>
        <w:pStyle w:val="Heading3"/>
        <w:numPr>
          <w:ilvl w:val="0"/>
          <w:numId w:val="17"/>
        </w:numPr>
        <w:tabs>
          <w:tab w:pos="599" w:val="left" w:leader="none"/>
        </w:tabs>
        <w:spacing w:line="240" w:lineRule="auto" w:before="0" w:after="0"/>
        <w:ind w:left="598" w:right="0" w:hanging="361"/>
        <w:jc w:val="both"/>
      </w:pPr>
      <w:r>
        <w:rPr>
          <w:i/>
          <w:spacing w:val="-1"/>
          <w:w w:val="127"/>
        </w:rPr>
        <w:t>L</w:t>
      </w:r>
      <w:r>
        <w:rPr>
          <w:i/>
          <w:spacing w:val="-1"/>
          <w:w w:val="214"/>
        </w:rPr>
        <w:t>I</w:t>
      </w:r>
      <w:r>
        <w:rPr>
          <w:i/>
          <w:spacing w:val="-2"/>
          <w:w w:val="109"/>
        </w:rPr>
        <w:t>T</w:t>
      </w:r>
      <w:r>
        <w:rPr>
          <w:i/>
          <w:spacing w:val="-3"/>
          <w:w w:val="108"/>
        </w:rPr>
        <w:t>E</w:t>
      </w:r>
      <w:r>
        <w:rPr>
          <w:i/>
          <w:spacing w:val="-5"/>
        </w:rPr>
        <w:t>R</w:t>
      </w:r>
      <w:r>
        <w:rPr>
          <w:i/>
          <w:spacing w:val="-1"/>
          <w:w w:val="117"/>
        </w:rPr>
        <w:t>A</w:t>
      </w:r>
      <w:r>
        <w:rPr>
          <w:i/>
          <w:spacing w:val="-2"/>
          <w:w w:val="109"/>
        </w:rPr>
        <w:t>T</w:t>
      </w:r>
      <w:r>
        <w:rPr>
          <w:i/>
          <w:spacing w:val="-2"/>
          <w:w w:val="92"/>
        </w:rPr>
        <w:t>U</w:t>
      </w:r>
      <w:r>
        <w:rPr>
          <w:i/>
          <w:spacing w:val="-2"/>
        </w:rPr>
        <w:t>R</w:t>
      </w:r>
      <w:r>
        <w:rPr>
          <w:i/>
          <w:spacing w:val="-1"/>
          <w:w w:val="117"/>
        </w:rPr>
        <w:t>A</w:t>
      </w:r>
    </w:p>
    <w:p>
      <w:pPr>
        <w:pStyle w:val="BodyText"/>
        <w:spacing w:before="2"/>
        <w:rPr>
          <w:b/>
          <w:i/>
          <w:sz w:val="22"/>
        </w:rPr>
      </w:pPr>
    </w:p>
    <w:p>
      <w:pPr>
        <w:spacing w:line="244" w:lineRule="auto" w:before="1"/>
        <w:ind w:left="238" w:right="292" w:firstLine="0"/>
        <w:jc w:val="both"/>
        <w:rPr>
          <w:sz w:val="22"/>
        </w:rPr>
      </w:pPr>
      <w:r>
        <w:rPr>
          <w:w w:val="130"/>
          <w:sz w:val="22"/>
        </w:rPr>
        <w:t>Citiranata literatura</w:t>
      </w:r>
      <w:r>
        <w:rPr>
          <w:spacing w:val="-2"/>
          <w:w w:val="130"/>
          <w:sz w:val="22"/>
        </w:rPr>
        <w:t> </w:t>
      </w:r>
      <w:r>
        <w:rPr>
          <w:w w:val="120"/>
          <w:sz w:val="22"/>
        </w:rPr>
        <w:t>se pi{uva na krajot na </w:t>
      </w:r>
      <w:r>
        <w:rPr>
          <w:w w:val="130"/>
          <w:sz w:val="22"/>
        </w:rPr>
        <w:t>trudot </w:t>
      </w:r>
      <w:r>
        <w:rPr>
          <w:w w:val="120"/>
          <w:sz w:val="22"/>
        </w:rPr>
        <w:t>po zaklu~ocite, so </w:t>
      </w:r>
      <w:r>
        <w:rPr>
          <w:w w:val="130"/>
          <w:sz w:val="22"/>
        </w:rPr>
        <w:t>redni </w:t>
      </w:r>
      <w:r>
        <w:rPr>
          <w:w w:val="120"/>
          <w:sz w:val="22"/>
        </w:rPr>
        <w:t>broevi spored redosledot na pojavuvaweto na </w:t>
      </w:r>
      <w:r>
        <w:rPr>
          <w:w w:val="130"/>
          <w:sz w:val="22"/>
        </w:rPr>
        <w:t>citatot </w:t>
      </w:r>
      <w:r>
        <w:rPr>
          <w:w w:val="120"/>
          <w:sz w:val="22"/>
        </w:rPr>
        <w:t>na tekstot na </w:t>
      </w:r>
      <w:r>
        <w:rPr>
          <w:w w:val="130"/>
          <w:sz w:val="22"/>
        </w:rPr>
        <w:t>trudot </w:t>
      </w:r>
      <w:r>
        <w:rPr>
          <w:w w:val="120"/>
          <w:sz w:val="22"/>
        </w:rPr>
        <w:t>staveni vo sredni zagradi </w:t>
      </w:r>
      <w:r>
        <w:rPr>
          <w:w w:val="170"/>
          <w:sz w:val="22"/>
        </w:rPr>
        <w:t>i</w:t>
      </w:r>
      <w:r>
        <w:rPr>
          <w:spacing w:val="-20"/>
          <w:w w:val="170"/>
          <w:sz w:val="22"/>
        </w:rPr>
        <w:t> </w:t>
      </w:r>
      <w:r>
        <w:rPr>
          <w:w w:val="120"/>
          <w:sz w:val="22"/>
        </w:rPr>
        <w:t>bez prostor me|u niv</w:t>
      </w:r>
      <w:r>
        <w:rPr>
          <w:spacing w:val="-1"/>
          <w:w w:val="120"/>
          <w:sz w:val="22"/>
        </w:rPr>
        <w:t> </w:t>
      </w:r>
      <w:r>
        <w:rPr>
          <w:w w:val="120"/>
          <w:sz w:val="22"/>
        </w:rPr>
        <w:t>(ako se posledovatelni треба да се povrzani</w:t>
      </w:r>
      <w:r>
        <w:rPr>
          <w:spacing w:val="-1"/>
          <w:w w:val="120"/>
          <w:sz w:val="22"/>
        </w:rPr>
        <w:t> </w:t>
      </w:r>
      <w:r>
        <w:rPr>
          <w:w w:val="120"/>
          <w:sz w:val="22"/>
        </w:rPr>
        <w:t>so crti~ka, na pr. </w:t>
      </w:r>
      <w:r>
        <w:rPr>
          <w:w w:val="130"/>
          <w:sz w:val="22"/>
        </w:rPr>
        <w:t>[3-</w:t>
      </w:r>
      <w:r>
        <w:rPr>
          <w:spacing w:val="-3"/>
          <w:w w:val="92"/>
          <w:sz w:val="22"/>
        </w:rPr>
        <w:t>6</w:t>
      </w:r>
      <w:r>
        <w:rPr>
          <w:w w:val="226"/>
          <w:sz w:val="22"/>
        </w:rPr>
        <w:t>]</w:t>
      </w:r>
      <w:r>
        <w:rPr>
          <w:w w:val="101"/>
          <w:sz w:val="22"/>
        </w:rPr>
        <w:t>).</w:t>
      </w:r>
    </w:p>
    <w:p>
      <w:pPr>
        <w:spacing w:line="244" w:lineRule="auto" w:before="0"/>
        <w:ind w:left="238" w:right="295" w:firstLine="0"/>
        <w:jc w:val="both"/>
        <w:rPr>
          <w:sz w:val="22"/>
        </w:rPr>
      </w:pPr>
      <w:r>
        <w:rPr>
          <w:w w:val="130"/>
          <w:sz w:val="22"/>
        </w:rPr>
        <w:t>Literaturata</w:t>
      </w:r>
      <w:r>
        <w:rPr>
          <w:spacing w:val="-18"/>
          <w:w w:val="130"/>
          <w:sz w:val="22"/>
        </w:rPr>
        <w:t> </w:t>
      </w:r>
      <w:r>
        <w:rPr>
          <w:w w:val="130"/>
          <w:sz w:val="22"/>
        </w:rPr>
        <w:t>se</w:t>
      </w:r>
      <w:r>
        <w:rPr>
          <w:spacing w:val="-18"/>
          <w:w w:val="130"/>
          <w:sz w:val="22"/>
        </w:rPr>
        <w:t> </w:t>
      </w:r>
      <w:r>
        <w:rPr>
          <w:w w:val="140"/>
          <w:sz w:val="22"/>
        </w:rPr>
        <w:t>citira</w:t>
      </w:r>
      <w:r>
        <w:rPr>
          <w:spacing w:val="-19"/>
          <w:w w:val="140"/>
          <w:sz w:val="22"/>
        </w:rPr>
        <w:t> </w:t>
      </w:r>
      <w:r>
        <w:rPr>
          <w:w w:val="130"/>
          <w:sz w:val="22"/>
        </w:rPr>
        <w:t>na</w:t>
      </w:r>
      <w:r>
        <w:rPr>
          <w:spacing w:val="-16"/>
          <w:w w:val="130"/>
          <w:sz w:val="22"/>
        </w:rPr>
        <w:t> </w:t>
      </w:r>
      <w:r>
        <w:rPr>
          <w:w w:val="130"/>
          <w:sz w:val="22"/>
        </w:rPr>
        <w:t>sledniov</w:t>
      </w:r>
      <w:r>
        <w:rPr>
          <w:spacing w:val="-17"/>
          <w:w w:val="130"/>
          <w:sz w:val="22"/>
        </w:rPr>
        <w:t> </w:t>
      </w:r>
      <w:r>
        <w:rPr>
          <w:w w:val="130"/>
          <w:sz w:val="22"/>
        </w:rPr>
        <w:t>na~in</w:t>
      </w:r>
      <w:r>
        <w:rPr>
          <w:spacing w:val="-17"/>
          <w:w w:val="130"/>
          <w:sz w:val="22"/>
        </w:rPr>
        <w:t> </w:t>
      </w:r>
      <w:r>
        <w:rPr>
          <w:w w:val="130"/>
          <w:sz w:val="22"/>
        </w:rPr>
        <w:t>(kratenkite</w:t>
      </w:r>
      <w:r>
        <w:rPr>
          <w:spacing w:val="-17"/>
          <w:w w:val="130"/>
          <w:sz w:val="22"/>
        </w:rPr>
        <w:t> </w:t>
      </w:r>
      <w:r>
        <w:rPr>
          <w:w w:val="130"/>
          <w:sz w:val="22"/>
        </w:rPr>
        <w:t>za</w:t>
      </w:r>
      <w:r>
        <w:rPr>
          <w:spacing w:val="-16"/>
          <w:w w:val="130"/>
          <w:sz w:val="22"/>
        </w:rPr>
        <w:t> </w:t>
      </w:r>
      <w:r>
        <w:rPr>
          <w:w w:val="130"/>
          <w:sz w:val="22"/>
        </w:rPr>
        <w:t>naslovite</w:t>
      </w:r>
      <w:r>
        <w:rPr>
          <w:spacing w:val="-18"/>
          <w:w w:val="130"/>
          <w:sz w:val="22"/>
        </w:rPr>
        <w:t> </w:t>
      </w:r>
      <w:r>
        <w:rPr>
          <w:w w:val="130"/>
          <w:sz w:val="22"/>
        </w:rPr>
        <w:t>na</w:t>
      </w:r>
      <w:r>
        <w:rPr>
          <w:spacing w:val="-17"/>
          <w:w w:val="130"/>
          <w:sz w:val="22"/>
        </w:rPr>
        <w:t> </w:t>
      </w:r>
      <w:r>
        <w:rPr>
          <w:w w:val="130"/>
          <w:sz w:val="22"/>
        </w:rPr>
        <w:t>spisanijata</w:t>
      </w:r>
      <w:r>
        <w:rPr>
          <w:spacing w:val="-17"/>
          <w:w w:val="130"/>
          <w:sz w:val="22"/>
        </w:rPr>
        <w:t> </w:t>
      </w:r>
      <w:r>
        <w:rPr>
          <w:w w:val="130"/>
          <w:sz w:val="22"/>
        </w:rPr>
        <w:t>treba</w:t>
      </w:r>
      <w:r>
        <w:rPr>
          <w:spacing w:val="-17"/>
          <w:w w:val="130"/>
          <w:sz w:val="22"/>
        </w:rPr>
        <w:t> </w:t>
      </w:r>
      <w:r>
        <w:rPr>
          <w:w w:val="130"/>
          <w:sz w:val="22"/>
        </w:rPr>
        <w:t>da se spored </w:t>
      </w:r>
      <w:r>
        <w:rPr>
          <w:w w:val="140"/>
          <w:sz w:val="22"/>
        </w:rPr>
        <w:t>listata</w:t>
      </w:r>
      <w:r>
        <w:rPr>
          <w:spacing w:val="-5"/>
          <w:w w:val="140"/>
          <w:sz w:val="22"/>
        </w:rPr>
        <w:t> </w:t>
      </w:r>
      <w:r>
        <w:rPr>
          <w:spacing w:val="-3"/>
          <w:w w:val="97"/>
          <w:sz w:val="22"/>
        </w:rPr>
        <w:t>p</w:t>
      </w:r>
      <w:r>
        <w:rPr>
          <w:w w:val="168"/>
          <w:sz w:val="22"/>
        </w:rPr>
        <w:t>r</w:t>
      </w:r>
      <w:r>
        <w:rPr>
          <w:spacing w:val="-1"/>
          <w:w w:val="168"/>
          <w:sz w:val="22"/>
        </w:rPr>
        <w:t>i</w:t>
      </w:r>
      <w:r>
        <w:rPr>
          <w:spacing w:val="-2"/>
          <w:w w:val="220"/>
          <w:sz w:val="22"/>
        </w:rPr>
        <w:t>f</w:t>
      </w:r>
      <w:r>
        <w:rPr>
          <w:w w:val="120"/>
          <w:sz w:val="22"/>
        </w:rPr>
        <w:t>ateni</w:t>
      </w:r>
      <w:r>
        <w:rPr>
          <w:spacing w:val="-5"/>
          <w:w w:val="139"/>
          <w:sz w:val="22"/>
        </w:rPr>
        <w:t> </w:t>
      </w:r>
      <w:r>
        <w:rPr>
          <w:w w:val="125"/>
          <w:sz w:val="22"/>
        </w:rPr>
        <w:t>vo </w:t>
      </w:r>
      <w:r>
        <w:rPr>
          <w:spacing w:val="-3"/>
          <w:w w:val="243"/>
          <w:sz w:val="22"/>
        </w:rPr>
        <w:t>I</w:t>
      </w:r>
      <w:r>
        <w:rPr>
          <w:w w:val="101"/>
          <w:sz w:val="22"/>
        </w:rPr>
        <w:t>ndex</w:t>
      </w:r>
      <w:r>
        <w:rPr>
          <w:spacing w:val="-1"/>
          <w:w w:val="129"/>
          <w:sz w:val="22"/>
        </w:rPr>
        <w:t> </w:t>
      </w:r>
      <w:r>
        <w:rPr>
          <w:w w:val="125"/>
          <w:sz w:val="22"/>
        </w:rPr>
        <w:t>Medicus):</w:t>
      </w:r>
    </w:p>
    <w:p>
      <w:pPr>
        <w:pStyle w:val="ListParagraph"/>
        <w:numPr>
          <w:ilvl w:val="1"/>
          <w:numId w:val="17"/>
        </w:numPr>
        <w:tabs>
          <w:tab w:pos="599" w:val="left" w:leader="none"/>
        </w:tabs>
        <w:spacing w:line="242" w:lineRule="auto" w:before="0" w:after="0"/>
        <w:ind w:left="238" w:right="292" w:firstLine="0"/>
        <w:jc w:val="both"/>
        <w:rPr>
          <w:b/>
          <w:sz w:val="22"/>
        </w:rPr>
      </w:pPr>
      <w:r>
        <w:rPr>
          <w:b/>
          <w:i/>
          <w:spacing w:val="-1"/>
          <w:w w:val="189"/>
          <w:sz w:val="22"/>
        </w:rPr>
        <w:t>s</w:t>
      </w:r>
      <w:r>
        <w:rPr>
          <w:b/>
          <w:i/>
          <w:spacing w:val="1"/>
          <w:w w:val="189"/>
          <w:sz w:val="22"/>
        </w:rPr>
        <w:t>t</w:t>
      </w:r>
      <w:r>
        <w:rPr>
          <w:b/>
          <w:i/>
          <w:spacing w:val="-3"/>
          <w:w w:val="108"/>
          <w:sz w:val="22"/>
        </w:rPr>
        <w:t>a</w:t>
      </w:r>
      <w:r>
        <w:rPr>
          <w:b/>
          <w:i/>
          <w:w w:val="297"/>
          <w:sz w:val="22"/>
        </w:rPr>
        <w:t>t</w:t>
      </w:r>
      <w:r>
        <w:rPr>
          <w:b/>
          <w:i/>
          <w:w w:val="134"/>
          <w:sz w:val="22"/>
        </w:rPr>
        <w:t>ija</w:t>
      </w:r>
      <w:r>
        <w:rPr>
          <w:b/>
          <w:i/>
          <w:spacing w:val="-23"/>
          <w:w w:val="169"/>
          <w:sz w:val="22"/>
        </w:rPr>
        <w:t> </w:t>
      </w:r>
      <w:r>
        <w:rPr>
          <w:b/>
          <w:i/>
          <w:w w:val="120"/>
          <w:sz w:val="22"/>
        </w:rPr>
        <w:t>vo</w:t>
      </w:r>
      <w:r>
        <w:rPr>
          <w:b/>
          <w:i/>
          <w:spacing w:val="-17"/>
          <w:w w:val="120"/>
          <w:sz w:val="22"/>
        </w:rPr>
        <w:t> </w:t>
      </w:r>
      <w:r>
        <w:rPr>
          <w:b/>
          <w:i/>
          <w:w w:val="120"/>
          <w:sz w:val="22"/>
        </w:rPr>
        <w:t>spisanie</w:t>
      </w:r>
      <w:r>
        <w:rPr>
          <w:b/>
          <w:i/>
          <w:spacing w:val="-16"/>
          <w:w w:val="120"/>
          <w:sz w:val="22"/>
        </w:rPr>
        <w:t> </w:t>
      </w:r>
      <w:r>
        <w:rPr>
          <w:w w:val="120"/>
          <w:sz w:val="22"/>
        </w:rPr>
        <w:t>(se</w:t>
      </w:r>
      <w:r>
        <w:rPr>
          <w:spacing w:val="-17"/>
          <w:w w:val="120"/>
          <w:sz w:val="22"/>
        </w:rPr>
        <w:t> </w:t>
      </w:r>
      <w:r>
        <w:rPr>
          <w:w w:val="120"/>
          <w:sz w:val="22"/>
        </w:rPr>
        <w:t>naveduvaat</w:t>
      </w:r>
      <w:r>
        <w:rPr>
          <w:spacing w:val="-16"/>
          <w:w w:val="120"/>
          <w:sz w:val="22"/>
        </w:rPr>
        <w:t> </w:t>
      </w:r>
      <w:r>
        <w:rPr>
          <w:w w:val="135"/>
          <w:sz w:val="22"/>
        </w:rPr>
        <w:t>site</w:t>
      </w:r>
      <w:r>
        <w:rPr>
          <w:spacing w:val="-19"/>
          <w:w w:val="135"/>
          <w:sz w:val="22"/>
        </w:rPr>
        <w:t> </w:t>
      </w:r>
      <w:r>
        <w:rPr>
          <w:w w:val="135"/>
          <w:sz w:val="22"/>
        </w:rPr>
        <w:t>avtori,</w:t>
      </w:r>
      <w:r>
        <w:rPr>
          <w:spacing w:val="-18"/>
          <w:w w:val="135"/>
          <w:sz w:val="22"/>
        </w:rPr>
        <w:t> </w:t>
      </w:r>
      <w:r>
        <w:rPr>
          <w:w w:val="120"/>
          <w:sz w:val="22"/>
        </w:rPr>
        <w:t>ako</w:t>
      </w:r>
      <w:r>
        <w:rPr>
          <w:spacing w:val="-17"/>
          <w:w w:val="120"/>
          <w:sz w:val="22"/>
        </w:rPr>
        <w:t> </w:t>
      </w:r>
      <w:r>
        <w:rPr>
          <w:w w:val="120"/>
          <w:sz w:val="22"/>
        </w:rPr>
        <w:t>gi</w:t>
      </w:r>
      <w:r>
        <w:rPr>
          <w:spacing w:val="-16"/>
          <w:w w:val="120"/>
          <w:sz w:val="22"/>
        </w:rPr>
        <w:t> </w:t>
      </w:r>
      <w:r>
        <w:rPr>
          <w:w w:val="120"/>
          <w:sz w:val="22"/>
        </w:rPr>
        <w:t>ima</w:t>
      </w:r>
      <w:r>
        <w:rPr>
          <w:spacing w:val="-17"/>
          <w:w w:val="120"/>
          <w:sz w:val="22"/>
        </w:rPr>
        <w:t> </w:t>
      </w:r>
      <w:r>
        <w:rPr>
          <w:w w:val="120"/>
          <w:sz w:val="22"/>
        </w:rPr>
        <w:t>do</w:t>
      </w:r>
      <w:r>
        <w:rPr>
          <w:spacing w:val="-13"/>
          <w:w w:val="120"/>
          <w:sz w:val="22"/>
        </w:rPr>
        <w:t> </w:t>
      </w:r>
      <w:r>
        <w:rPr>
          <w:w w:val="120"/>
          <w:sz w:val="22"/>
        </w:rPr>
        <w:t>4</w:t>
      </w:r>
      <w:r>
        <w:rPr>
          <w:spacing w:val="-13"/>
          <w:w w:val="120"/>
          <w:sz w:val="22"/>
        </w:rPr>
        <w:t> </w:t>
      </w:r>
      <w:r>
        <w:rPr>
          <w:w w:val="170"/>
          <w:sz w:val="22"/>
        </w:rPr>
        <w:t>ili</w:t>
      </w:r>
      <w:r>
        <w:rPr>
          <w:spacing w:val="-24"/>
          <w:w w:val="170"/>
          <w:sz w:val="22"/>
        </w:rPr>
        <w:t> </w:t>
      </w:r>
      <w:r>
        <w:rPr>
          <w:w w:val="120"/>
          <w:sz w:val="22"/>
        </w:rPr>
        <w:t>pomalku;</w:t>
      </w:r>
      <w:r>
        <w:rPr>
          <w:spacing w:val="-13"/>
          <w:w w:val="120"/>
          <w:sz w:val="22"/>
        </w:rPr>
        <w:t> </w:t>
      </w:r>
      <w:r>
        <w:rPr>
          <w:w w:val="120"/>
          <w:sz w:val="22"/>
        </w:rPr>
        <w:t>ako</w:t>
      </w:r>
      <w:r>
        <w:rPr>
          <w:spacing w:val="-13"/>
          <w:w w:val="120"/>
          <w:sz w:val="22"/>
        </w:rPr>
        <w:t> </w:t>
      </w:r>
      <w:r>
        <w:rPr>
          <w:w w:val="120"/>
          <w:sz w:val="22"/>
        </w:rPr>
        <w:t>gi</w:t>
      </w:r>
      <w:r>
        <w:rPr>
          <w:spacing w:val="-13"/>
          <w:w w:val="120"/>
          <w:sz w:val="22"/>
        </w:rPr>
        <w:t> </w:t>
      </w:r>
      <w:r>
        <w:rPr>
          <w:w w:val="120"/>
          <w:sz w:val="22"/>
        </w:rPr>
        <w:t>ima pove}e</w:t>
      </w:r>
      <w:r>
        <w:rPr>
          <w:w w:val="120"/>
          <w:sz w:val="22"/>
        </w:rPr>
        <w:t> od</w:t>
      </w:r>
      <w:r>
        <w:rPr>
          <w:w w:val="120"/>
          <w:sz w:val="22"/>
        </w:rPr>
        <w:t> 4 se</w:t>
      </w:r>
      <w:r>
        <w:rPr>
          <w:w w:val="120"/>
          <w:sz w:val="22"/>
        </w:rPr>
        <w:t> naveduvaat </w:t>
      </w:r>
      <w:r>
        <w:rPr>
          <w:w w:val="135"/>
          <w:sz w:val="22"/>
        </w:rPr>
        <w:t>prvite</w:t>
      </w:r>
      <w:r>
        <w:rPr>
          <w:w w:val="135"/>
          <w:sz w:val="22"/>
        </w:rPr>
        <w:t> </w:t>
      </w:r>
      <w:r>
        <w:rPr>
          <w:w w:val="120"/>
          <w:sz w:val="22"/>
        </w:rPr>
        <w:t>3</w:t>
      </w:r>
      <w:r>
        <w:rPr>
          <w:w w:val="120"/>
          <w:sz w:val="22"/>
        </w:rPr>
        <w:t> </w:t>
      </w:r>
      <w:r>
        <w:rPr>
          <w:w w:val="135"/>
          <w:sz w:val="22"/>
        </w:rPr>
        <w:t>avtori</w:t>
      </w:r>
      <w:r>
        <w:rPr>
          <w:w w:val="135"/>
          <w:sz w:val="22"/>
        </w:rPr>
        <w:t> </w:t>
      </w:r>
      <w:r>
        <w:rPr>
          <w:w w:val="170"/>
          <w:sz w:val="22"/>
        </w:rPr>
        <w:t>i</w:t>
      </w:r>
      <w:r>
        <w:rPr>
          <w:spacing w:val="-11"/>
          <w:w w:val="170"/>
          <w:sz w:val="22"/>
        </w:rPr>
        <w:t> </w:t>
      </w:r>
      <w:r>
        <w:rPr>
          <w:w w:val="120"/>
          <w:sz w:val="22"/>
        </w:rPr>
        <w:t>se dodava: </w:t>
      </w:r>
      <w:r>
        <w:rPr>
          <w:i/>
          <w:w w:val="170"/>
          <w:sz w:val="22"/>
        </w:rPr>
        <w:t>i</w:t>
      </w:r>
      <w:r>
        <w:rPr>
          <w:i/>
          <w:spacing w:val="-11"/>
          <w:w w:val="170"/>
          <w:sz w:val="22"/>
        </w:rPr>
        <w:t> </w:t>
      </w:r>
      <w:r>
        <w:rPr>
          <w:i/>
          <w:w w:val="120"/>
          <w:sz w:val="22"/>
        </w:rPr>
        <w:t>sor</w:t>
      </w:r>
      <w:r>
        <w:rPr>
          <w:w w:val="120"/>
          <w:sz w:val="22"/>
        </w:rPr>
        <w:t>.)</w:t>
      </w:r>
      <w:r>
        <w:rPr>
          <w:w w:val="120"/>
          <w:sz w:val="22"/>
        </w:rPr>
        <w:t> Neglia</w:t>
      </w:r>
      <w:r>
        <w:rPr>
          <w:w w:val="120"/>
          <w:sz w:val="22"/>
        </w:rPr>
        <w:t> </w:t>
      </w:r>
      <w:r>
        <w:rPr>
          <w:w w:val="135"/>
          <w:sz w:val="22"/>
        </w:rPr>
        <w:t>JP </w:t>
      </w:r>
      <w:r>
        <w:rPr>
          <w:w w:val="120"/>
          <w:sz w:val="22"/>
        </w:rPr>
        <w:t>Meadows AT, Robison LL </w:t>
      </w:r>
      <w:r>
        <w:rPr>
          <w:i/>
          <w:w w:val="170"/>
          <w:sz w:val="22"/>
        </w:rPr>
        <w:t>et</w:t>
      </w:r>
      <w:r>
        <w:rPr>
          <w:i/>
          <w:spacing w:val="-23"/>
          <w:w w:val="170"/>
          <w:sz w:val="22"/>
        </w:rPr>
        <w:t> </w:t>
      </w:r>
      <w:r>
        <w:rPr>
          <w:i/>
          <w:w w:val="120"/>
          <w:sz w:val="22"/>
        </w:rPr>
        <w:t>al</w:t>
      </w:r>
      <w:r>
        <w:rPr>
          <w:w w:val="120"/>
          <w:sz w:val="22"/>
        </w:rPr>
        <w:t>. Second neoplasms </w:t>
      </w:r>
      <w:r>
        <w:rPr>
          <w:w w:val="135"/>
          <w:sz w:val="22"/>
        </w:rPr>
        <w:t>after</w:t>
      </w:r>
      <w:r>
        <w:rPr>
          <w:spacing w:val="-3"/>
          <w:w w:val="135"/>
          <w:sz w:val="22"/>
        </w:rPr>
        <w:t> </w:t>
      </w:r>
      <w:r>
        <w:rPr>
          <w:w w:val="120"/>
          <w:sz w:val="22"/>
        </w:rPr>
        <w:t>acute lymphoblastic leukemia </w:t>
      </w:r>
      <w:r>
        <w:rPr>
          <w:w w:val="135"/>
          <w:sz w:val="22"/>
        </w:rPr>
        <w:t>in</w:t>
      </w:r>
      <w:r>
        <w:rPr>
          <w:spacing w:val="-4"/>
          <w:w w:val="135"/>
          <w:sz w:val="22"/>
        </w:rPr>
        <w:t> </w:t>
      </w:r>
      <w:r>
        <w:rPr>
          <w:w w:val="120"/>
          <w:sz w:val="22"/>
        </w:rPr>
        <w:t>childhood. N </w:t>
      </w:r>
      <w:r>
        <w:rPr>
          <w:w w:val="110"/>
          <w:sz w:val="22"/>
        </w:rPr>
        <w:t>Engl</w:t>
      </w:r>
      <w:r>
        <w:rPr>
          <w:spacing w:val="-1"/>
          <w:w w:val="110"/>
          <w:sz w:val="22"/>
        </w:rPr>
        <w:t> </w:t>
      </w:r>
      <w:r>
        <w:rPr>
          <w:w w:val="110"/>
          <w:sz w:val="22"/>
        </w:rPr>
        <w:t>J</w:t>
      </w:r>
      <w:r>
        <w:rPr>
          <w:spacing w:val="-1"/>
          <w:w w:val="110"/>
          <w:sz w:val="22"/>
        </w:rPr>
        <w:t> </w:t>
      </w:r>
      <w:r>
        <w:rPr>
          <w:w w:val="110"/>
          <w:sz w:val="22"/>
        </w:rPr>
        <w:t>Med</w:t>
      </w:r>
      <w:r>
        <w:rPr>
          <w:spacing w:val="-3"/>
          <w:w w:val="110"/>
          <w:sz w:val="22"/>
        </w:rPr>
        <w:t> </w:t>
      </w:r>
      <w:r>
        <w:rPr>
          <w:w w:val="110"/>
          <w:sz w:val="22"/>
        </w:rPr>
        <w:t>1991;</w:t>
      </w:r>
      <w:r>
        <w:rPr>
          <w:spacing w:val="-1"/>
          <w:w w:val="110"/>
          <w:sz w:val="22"/>
        </w:rPr>
        <w:t> </w:t>
      </w:r>
      <w:r>
        <w:rPr>
          <w:w w:val="110"/>
          <w:sz w:val="22"/>
        </w:rPr>
        <w:t>325:1330-6.</w:t>
      </w:r>
    </w:p>
    <w:p>
      <w:pPr>
        <w:pStyle w:val="Heading3"/>
        <w:numPr>
          <w:ilvl w:val="1"/>
          <w:numId w:val="17"/>
        </w:numPr>
        <w:tabs>
          <w:tab w:pos="599" w:val="left" w:leader="none"/>
        </w:tabs>
        <w:spacing w:line="240" w:lineRule="auto" w:before="0" w:after="0"/>
        <w:ind w:left="598" w:right="0" w:hanging="361"/>
        <w:jc w:val="both"/>
      </w:pPr>
      <w:r>
        <w:rPr>
          <w:i/>
          <w:spacing w:val="-2"/>
          <w:w w:val="120"/>
        </w:rPr>
        <w:t>zaedni~ki</w:t>
      </w:r>
      <w:r>
        <w:rPr>
          <w:i/>
          <w:spacing w:val="-10"/>
          <w:w w:val="139"/>
        </w:rPr>
        <w:t> </w:t>
      </w:r>
      <w:r>
        <w:rPr>
          <w:i/>
          <w:spacing w:val="-2"/>
        </w:rPr>
        <w:t>a</w:t>
      </w:r>
      <w:r>
        <w:rPr>
          <w:i/>
          <w:spacing w:val="-6"/>
        </w:rPr>
        <w:t>v</w:t>
      </w:r>
      <w:r>
        <w:rPr>
          <w:i/>
          <w:spacing w:val="-2"/>
          <w:w w:val="282"/>
        </w:rPr>
        <w:t>t</w:t>
      </w:r>
      <w:r>
        <w:rPr>
          <w:i/>
          <w:spacing w:val="-2"/>
          <w:w w:val="107"/>
        </w:rPr>
        <w:t>or</w:t>
      </w:r>
    </w:p>
    <w:p>
      <w:pPr>
        <w:spacing w:before="0"/>
        <w:ind w:left="238" w:right="298" w:firstLine="0"/>
        <w:jc w:val="both"/>
        <w:rPr>
          <w:sz w:val="22"/>
        </w:rPr>
      </w:pPr>
      <w:r>
        <w:rPr>
          <w:w w:val="125"/>
          <w:sz w:val="22"/>
        </w:rPr>
        <w:t>GIVIO </w:t>
      </w:r>
      <w:r>
        <w:rPr>
          <w:spacing w:val="-2"/>
          <w:sz w:val="22"/>
        </w:rPr>
        <w:t>(</w:t>
      </w:r>
      <w:r>
        <w:rPr>
          <w:w w:val="133"/>
          <w:sz w:val="22"/>
        </w:rPr>
        <w:t>Interd</w:t>
      </w:r>
      <w:r>
        <w:rPr>
          <w:spacing w:val="-3"/>
          <w:w w:val="133"/>
          <w:sz w:val="22"/>
        </w:rPr>
        <w:t>i</w:t>
      </w:r>
      <w:r>
        <w:rPr>
          <w:spacing w:val="-1"/>
          <w:w w:val="114"/>
          <w:sz w:val="22"/>
        </w:rPr>
        <w:t>sci</w:t>
      </w:r>
      <w:r>
        <w:rPr>
          <w:spacing w:val="-4"/>
          <w:w w:val="114"/>
          <w:sz w:val="22"/>
        </w:rPr>
        <w:t>p</w:t>
      </w:r>
      <w:r>
        <w:rPr>
          <w:w w:val="183"/>
          <w:sz w:val="22"/>
        </w:rPr>
        <w:t>l</w:t>
      </w:r>
      <w:r>
        <w:rPr>
          <w:spacing w:val="-1"/>
          <w:w w:val="183"/>
          <w:sz w:val="22"/>
        </w:rPr>
        <w:t>i</w:t>
      </w:r>
      <w:r>
        <w:rPr>
          <w:w w:val="109"/>
          <w:sz w:val="22"/>
        </w:rPr>
        <w:t>na</w:t>
      </w:r>
      <w:r>
        <w:rPr>
          <w:spacing w:val="-1"/>
          <w:w w:val="109"/>
          <w:sz w:val="22"/>
        </w:rPr>
        <w:t>r</w:t>
      </w:r>
      <w:r>
        <w:rPr>
          <w:w w:val="61"/>
          <w:sz w:val="22"/>
        </w:rPr>
        <w:t>y</w:t>
      </w:r>
      <w:r>
        <w:rPr>
          <w:spacing w:val="-1"/>
          <w:w w:val="124"/>
          <w:sz w:val="22"/>
        </w:rPr>
        <w:t> </w:t>
      </w:r>
      <w:r>
        <w:rPr>
          <w:w w:val="125"/>
          <w:sz w:val="22"/>
        </w:rPr>
        <w:t>group for cancer care evaluation). Reducing diagnostic delay in</w:t>
      </w:r>
      <w:r>
        <w:rPr>
          <w:spacing w:val="-18"/>
          <w:w w:val="125"/>
          <w:sz w:val="22"/>
        </w:rPr>
        <w:t> </w:t>
      </w:r>
      <w:r>
        <w:rPr>
          <w:w w:val="125"/>
          <w:sz w:val="22"/>
        </w:rPr>
        <w:t>breast</w:t>
      </w:r>
      <w:r>
        <w:rPr>
          <w:spacing w:val="-17"/>
          <w:w w:val="125"/>
          <w:sz w:val="22"/>
        </w:rPr>
        <w:t> </w:t>
      </w:r>
      <w:r>
        <w:rPr>
          <w:w w:val="125"/>
          <w:sz w:val="22"/>
        </w:rPr>
        <w:t>cancer.</w:t>
      </w:r>
      <w:r>
        <w:rPr>
          <w:spacing w:val="-17"/>
          <w:w w:val="125"/>
          <w:sz w:val="22"/>
        </w:rPr>
        <w:t> </w:t>
      </w:r>
      <w:r>
        <w:rPr>
          <w:w w:val="125"/>
          <w:sz w:val="22"/>
        </w:rPr>
        <w:t>Possible</w:t>
      </w:r>
      <w:r>
        <w:rPr>
          <w:spacing w:val="-17"/>
          <w:w w:val="125"/>
          <w:sz w:val="22"/>
        </w:rPr>
        <w:t> </w:t>
      </w:r>
      <w:r>
        <w:rPr>
          <w:w w:val="125"/>
          <w:sz w:val="22"/>
        </w:rPr>
        <w:t>therapeutic</w:t>
      </w:r>
      <w:r>
        <w:rPr>
          <w:spacing w:val="-17"/>
          <w:w w:val="125"/>
          <w:sz w:val="22"/>
        </w:rPr>
        <w:t> </w:t>
      </w:r>
      <w:r>
        <w:rPr>
          <w:w w:val="125"/>
          <w:sz w:val="22"/>
        </w:rPr>
        <w:t>implications.</w:t>
      </w:r>
      <w:r>
        <w:rPr>
          <w:spacing w:val="-18"/>
          <w:w w:val="125"/>
          <w:sz w:val="22"/>
        </w:rPr>
        <w:t> </w:t>
      </w:r>
      <w:r>
        <w:rPr>
          <w:i/>
          <w:w w:val="125"/>
          <w:sz w:val="22"/>
        </w:rPr>
        <w:t>Cancer</w:t>
      </w:r>
      <w:r>
        <w:rPr>
          <w:i/>
          <w:spacing w:val="-17"/>
          <w:w w:val="125"/>
          <w:sz w:val="22"/>
        </w:rPr>
        <w:t> </w:t>
      </w:r>
      <w:r>
        <w:rPr>
          <w:w w:val="120"/>
          <w:sz w:val="22"/>
        </w:rPr>
        <w:t>1986;</w:t>
      </w:r>
      <w:r>
        <w:rPr>
          <w:spacing w:val="-16"/>
          <w:w w:val="120"/>
          <w:sz w:val="22"/>
        </w:rPr>
        <w:t> </w:t>
      </w:r>
      <w:r>
        <w:rPr>
          <w:w w:val="120"/>
          <w:sz w:val="22"/>
        </w:rPr>
        <w:t>58:</w:t>
      </w:r>
      <w:r>
        <w:rPr>
          <w:spacing w:val="-17"/>
          <w:w w:val="120"/>
          <w:sz w:val="22"/>
        </w:rPr>
        <w:t> </w:t>
      </w:r>
      <w:r>
        <w:rPr>
          <w:w w:val="120"/>
          <w:sz w:val="22"/>
        </w:rPr>
        <w:t>1756-61.</w:t>
      </w:r>
    </w:p>
    <w:p>
      <w:pPr>
        <w:spacing w:line="244" w:lineRule="auto" w:before="1"/>
        <w:ind w:left="238" w:right="294" w:firstLine="0"/>
        <w:jc w:val="both"/>
        <w:rPr>
          <w:sz w:val="22"/>
        </w:rPr>
      </w:pPr>
      <w:r>
        <w:rPr>
          <w:b/>
          <w:spacing w:val="-2"/>
          <w:w w:val="125"/>
          <w:sz w:val="22"/>
        </w:rPr>
        <w:t>v)</w:t>
      </w:r>
      <w:r>
        <w:rPr>
          <w:b/>
          <w:spacing w:val="-9"/>
          <w:w w:val="125"/>
          <w:sz w:val="22"/>
        </w:rPr>
        <w:t> </w:t>
      </w:r>
      <w:r>
        <w:rPr>
          <w:b/>
          <w:i/>
          <w:spacing w:val="-2"/>
          <w:w w:val="125"/>
          <w:sz w:val="22"/>
        </w:rPr>
        <w:t>bez</w:t>
      </w:r>
      <w:r>
        <w:rPr>
          <w:b/>
          <w:i/>
          <w:spacing w:val="-3"/>
          <w:w w:val="125"/>
          <w:sz w:val="22"/>
        </w:rPr>
        <w:t> </w:t>
      </w:r>
      <w:r>
        <w:rPr>
          <w:b/>
          <w:i/>
          <w:spacing w:val="-2"/>
          <w:w w:val="90"/>
          <w:sz w:val="22"/>
        </w:rPr>
        <w:t>a</w:t>
      </w:r>
      <w:r>
        <w:rPr>
          <w:b/>
          <w:i/>
          <w:spacing w:val="-3"/>
          <w:w w:val="90"/>
          <w:sz w:val="22"/>
        </w:rPr>
        <w:t>v</w:t>
      </w:r>
      <w:r>
        <w:rPr>
          <w:b/>
          <w:i/>
          <w:spacing w:val="-2"/>
          <w:w w:val="272"/>
          <w:sz w:val="22"/>
        </w:rPr>
        <w:t>t</w:t>
      </w:r>
      <w:r>
        <w:rPr>
          <w:b/>
          <w:i/>
          <w:spacing w:val="-2"/>
          <w:w w:val="97"/>
          <w:sz w:val="22"/>
        </w:rPr>
        <w:t>or</w:t>
      </w:r>
      <w:r>
        <w:rPr>
          <w:b/>
          <w:i/>
          <w:spacing w:val="-7"/>
          <w:w w:val="129"/>
          <w:sz w:val="22"/>
        </w:rPr>
        <w:t> </w:t>
      </w:r>
      <w:r>
        <w:rPr>
          <w:b/>
          <w:i/>
          <w:spacing w:val="-2"/>
          <w:w w:val="125"/>
          <w:sz w:val="22"/>
        </w:rPr>
        <w:t>-</w:t>
      </w:r>
      <w:r>
        <w:rPr>
          <w:b/>
          <w:i/>
          <w:spacing w:val="-10"/>
          <w:w w:val="125"/>
          <w:sz w:val="22"/>
        </w:rPr>
        <w:t> </w:t>
      </w:r>
      <w:r>
        <w:rPr>
          <w:spacing w:val="-2"/>
          <w:w w:val="125"/>
          <w:sz w:val="22"/>
        </w:rPr>
        <w:t>anonimno.</w:t>
      </w:r>
      <w:r>
        <w:rPr>
          <w:spacing w:val="-10"/>
          <w:w w:val="125"/>
          <w:sz w:val="22"/>
        </w:rPr>
        <w:t> </w:t>
      </w:r>
      <w:r>
        <w:rPr>
          <w:spacing w:val="-2"/>
          <w:w w:val="125"/>
          <w:sz w:val="22"/>
        </w:rPr>
        <w:t>Breast</w:t>
      </w:r>
      <w:r>
        <w:rPr>
          <w:spacing w:val="-10"/>
          <w:w w:val="125"/>
          <w:sz w:val="22"/>
        </w:rPr>
        <w:t> </w:t>
      </w:r>
      <w:r>
        <w:rPr>
          <w:spacing w:val="-2"/>
          <w:w w:val="125"/>
          <w:sz w:val="22"/>
        </w:rPr>
        <w:t>screening:</w:t>
      </w:r>
      <w:r>
        <w:rPr>
          <w:spacing w:val="-10"/>
          <w:w w:val="125"/>
          <w:sz w:val="22"/>
        </w:rPr>
        <w:t> </w:t>
      </w:r>
      <w:r>
        <w:rPr>
          <w:spacing w:val="-2"/>
          <w:w w:val="125"/>
          <w:sz w:val="22"/>
        </w:rPr>
        <w:t>new</w:t>
      </w:r>
      <w:r>
        <w:rPr>
          <w:spacing w:val="-9"/>
          <w:w w:val="125"/>
          <w:sz w:val="22"/>
        </w:rPr>
        <w:t> </w:t>
      </w:r>
      <w:r>
        <w:rPr>
          <w:spacing w:val="-2"/>
          <w:w w:val="125"/>
          <w:sz w:val="22"/>
        </w:rPr>
        <w:t>evidence.</w:t>
      </w:r>
      <w:r>
        <w:rPr>
          <w:spacing w:val="-9"/>
          <w:w w:val="125"/>
          <w:sz w:val="22"/>
        </w:rPr>
        <w:t> </w:t>
      </w:r>
      <w:r>
        <w:rPr>
          <w:spacing w:val="-2"/>
          <w:w w:val="88"/>
          <w:sz w:val="22"/>
        </w:rPr>
        <w:t>(</w:t>
      </w:r>
      <w:r>
        <w:rPr>
          <w:i/>
          <w:spacing w:val="-4"/>
          <w:w w:val="89"/>
          <w:sz w:val="22"/>
        </w:rPr>
        <w:t>E</w:t>
      </w:r>
      <w:r>
        <w:rPr>
          <w:i/>
          <w:spacing w:val="-2"/>
          <w:w w:val="114"/>
          <w:sz w:val="22"/>
        </w:rPr>
        <w:t>d</w:t>
      </w:r>
      <w:r>
        <w:rPr>
          <w:i/>
          <w:spacing w:val="-6"/>
          <w:w w:val="114"/>
          <w:sz w:val="22"/>
        </w:rPr>
        <w:t>i</w:t>
      </w:r>
      <w:r>
        <w:rPr>
          <w:i/>
          <w:spacing w:val="-2"/>
          <w:w w:val="271"/>
          <w:sz w:val="22"/>
        </w:rPr>
        <w:t>t</w:t>
      </w:r>
      <w:r>
        <w:rPr>
          <w:i/>
          <w:spacing w:val="-2"/>
          <w:w w:val="96"/>
          <w:sz w:val="22"/>
        </w:rPr>
        <w:t>o</w:t>
      </w:r>
      <w:r>
        <w:rPr>
          <w:i/>
          <w:spacing w:val="-3"/>
          <w:w w:val="96"/>
          <w:sz w:val="22"/>
        </w:rPr>
        <w:t>r</w:t>
      </w:r>
      <w:r>
        <w:rPr>
          <w:i/>
          <w:spacing w:val="-2"/>
          <w:w w:val="107"/>
          <w:sz w:val="22"/>
        </w:rPr>
        <w:t>i</w:t>
      </w:r>
      <w:r>
        <w:rPr>
          <w:i/>
          <w:spacing w:val="-5"/>
          <w:w w:val="107"/>
          <w:sz w:val="22"/>
        </w:rPr>
        <w:t>a</w:t>
      </w:r>
      <w:r>
        <w:rPr>
          <w:i/>
          <w:spacing w:val="-2"/>
          <w:w w:val="171"/>
          <w:sz w:val="22"/>
        </w:rPr>
        <w:t>ll</w:t>
      </w:r>
      <w:r>
        <w:rPr>
          <w:i/>
          <w:spacing w:val="-13"/>
          <w:w w:val="129"/>
          <w:sz w:val="22"/>
        </w:rPr>
        <w:t> </w:t>
      </w:r>
      <w:r>
        <w:rPr>
          <w:i/>
          <w:spacing w:val="-2"/>
          <w:w w:val="125"/>
          <w:sz w:val="22"/>
        </w:rPr>
        <w:t>Lancet</w:t>
      </w:r>
      <w:r>
        <w:rPr>
          <w:i/>
          <w:spacing w:val="-8"/>
          <w:w w:val="125"/>
          <w:sz w:val="22"/>
        </w:rPr>
        <w:t> </w:t>
      </w:r>
      <w:r>
        <w:rPr>
          <w:spacing w:val="-2"/>
          <w:w w:val="120"/>
          <w:sz w:val="22"/>
        </w:rPr>
        <w:t>1984;</w:t>
      </w:r>
      <w:r>
        <w:rPr>
          <w:spacing w:val="-7"/>
          <w:w w:val="120"/>
          <w:sz w:val="22"/>
        </w:rPr>
        <w:t> </w:t>
      </w:r>
      <w:r>
        <w:rPr>
          <w:spacing w:val="-2"/>
          <w:w w:val="130"/>
          <w:sz w:val="22"/>
        </w:rPr>
        <w:t>i</w:t>
      </w:r>
      <w:r>
        <w:rPr>
          <w:spacing w:val="-13"/>
          <w:w w:val="130"/>
          <w:sz w:val="22"/>
        </w:rPr>
        <w:t> </w:t>
      </w:r>
      <w:r>
        <w:rPr>
          <w:spacing w:val="-2"/>
          <w:w w:val="120"/>
          <w:sz w:val="22"/>
        </w:rPr>
        <w:t>:1217- </w:t>
      </w:r>
      <w:r>
        <w:rPr>
          <w:spacing w:val="-4"/>
          <w:w w:val="120"/>
          <w:sz w:val="22"/>
        </w:rPr>
        <w:t>8).</w:t>
      </w:r>
    </w:p>
    <w:p>
      <w:pPr>
        <w:pStyle w:val="Heading3"/>
        <w:spacing w:line="251" w:lineRule="exact"/>
        <w:ind w:left="238" w:firstLine="0"/>
        <w:rPr>
          <w:i/>
        </w:rPr>
      </w:pPr>
      <w:r>
        <w:rPr>
          <w:i w:val="0"/>
          <w:w w:val="120"/>
        </w:rPr>
        <w:t>g)</w:t>
      </w:r>
      <w:r>
        <w:rPr>
          <w:i w:val="0"/>
          <w:spacing w:val="-17"/>
          <w:w w:val="120"/>
        </w:rPr>
        <w:t> </w:t>
      </w:r>
      <w:r>
        <w:rPr>
          <w:i/>
          <w:w w:val="120"/>
        </w:rPr>
        <w:t>poglavje</w:t>
      </w:r>
      <w:r>
        <w:rPr>
          <w:i/>
          <w:spacing w:val="-16"/>
          <w:w w:val="120"/>
        </w:rPr>
        <w:t> </w:t>
      </w:r>
      <w:r>
        <w:rPr>
          <w:i/>
          <w:w w:val="120"/>
        </w:rPr>
        <w:t>vo</w:t>
      </w:r>
      <w:r>
        <w:rPr>
          <w:i/>
          <w:spacing w:val="-17"/>
          <w:w w:val="120"/>
        </w:rPr>
        <w:t> </w:t>
      </w:r>
      <w:r>
        <w:rPr>
          <w:i/>
          <w:w w:val="105"/>
        </w:rPr>
        <w:t>k</w:t>
      </w:r>
      <w:r>
        <w:rPr>
          <w:i/>
          <w:spacing w:val="-1"/>
          <w:w w:val="105"/>
        </w:rPr>
        <w:t>n</w:t>
      </w:r>
      <w:r>
        <w:rPr>
          <w:i/>
          <w:spacing w:val="-3"/>
          <w:w w:val="200"/>
        </w:rPr>
        <w:t>i</w:t>
      </w:r>
      <w:r>
        <w:rPr>
          <w:i/>
          <w:w w:val="94"/>
        </w:rPr>
        <w:t>ga</w:t>
      </w:r>
      <w:r>
        <w:rPr>
          <w:i/>
          <w:spacing w:val="-14"/>
          <w:w w:val="119"/>
        </w:rPr>
        <w:t> </w:t>
      </w:r>
      <w:r>
        <w:rPr>
          <w:i/>
          <w:w w:val="170"/>
        </w:rPr>
        <w:t>ili</w:t>
      </w:r>
      <w:r>
        <w:rPr>
          <w:i/>
          <w:spacing w:val="-32"/>
          <w:w w:val="170"/>
        </w:rPr>
        <w:t> </w:t>
      </w:r>
      <w:r>
        <w:rPr>
          <w:i/>
          <w:spacing w:val="-2"/>
          <w:w w:val="94"/>
        </w:rPr>
        <w:t>m</w:t>
      </w:r>
      <w:r>
        <w:rPr>
          <w:i/>
          <w:spacing w:val="-3"/>
          <w:w w:val="94"/>
        </w:rPr>
        <w:t>o</w:t>
      </w:r>
      <w:r>
        <w:rPr>
          <w:i/>
          <w:spacing w:val="-2"/>
          <w:w w:val="99"/>
        </w:rPr>
        <w:t>n</w:t>
      </w:r>
      <w:r>
        <w:rPr>
          <w:i/>
          <w:spacing w:val="-3"/>
          <w:w w:val="99"/>
        </w:rPr>
        <w:t>o</w:t>
      </w:r>
      <w:r>
        <w:rPr>
          <w:i/>
          <w:spacing w:val="-2"/>
          <w:w w:val="102"/>
        </w:rPr>
        <w:t>gr</w:t>
      </w:r>
      <w:r>
        <w:rPr>
          <w:i/>
          <w:spacing w:val="-5"/>
          <w:w w:val="102"/>
        </w:rPr>
        <w:t>a</w:t>
      </w:r>
      <w:r>
        <w:rPr>
          <w:i/>
          <w:spacing w:val="-2"/>
          <w:w w:val="228"/>
        </w:rPr>
        <w:t>f</w:t>
      </w:r>
      <w:r>
        <w:rPr>
          <w:i/>
          <w:spacing w:val="-2"/>
          <w:w w:val="131"/>
        </w:rPr>
        <w:t>ija</w:t>
      </w:r>
    </w:p>
    <w:p>
      <w:pPr>
        <w:spacing w:line="242" w:lineRule="auto" w:before="4"/>
        <w:ind w:left="238" w:right="290" w:firstLine="0"/>
        <w:jc w:val="both"/>
        <w:rPr>
          <w:sz w:val="22"/>
        </w:rPr>
      </w:pPr>
      <w:r>
        <w:rPr>
          <w:w w:val="120"/>
          <w:sz w:val="22"/>
        </w:rPr>
        <w:t>Weinstein</w:t>
      </w:r>
      <w:r>
        <w:rPr>
          <w:w w:val="120"/>
          <w:sz w:val="22"/>
        </w:rPr>
        <w:t> L,</w:t>
      </w:r>
      <w:r>
        <w:rPr>
          <w:w w:val="120"/>
          <w:sz w:val="22"/>
        </w:rPr>
        <w:t> Swartz</w:t>
      </w:r>
      <w:r>
        <w:rPr>
          <w:w w:val="120"/>
          <w:sz w:val="22"/>
        </w:rPr>
        <w:t> MN.</w:t>
      </w:r>
      <w:r>
        <w:rPr>
          <w:w w:val="120"/>
          <w:sz w:val="22"/>
        </w:rPr>
        <w:t> Pathogenic</w:t>
      </w:r>
      <w:r>
        <w:rPr>
          <w:w w:val="120"/>
          <w:sz w:val="22"/>
        </w:rPr>
        <w:t> properties</w:t>
      </w:r>
      <w:r>
        <w:rPr>
          <w:w w:val="120"/>
          <w:sz w:val="22"/>
        </w:rPr>
        <w:t> </w:t>
      </w:r>
      <w:r>
        <w:rPr>
          <w:spacing w:val="-2"/>
          <w:w w:val="83"/>
          <w:sz w:val="22"/>
        </w:rPr>
        <w:t>o</w:t>
      </w:r>
      <w:r>
        <w:rPr>
          <w:spacing w:val="1"/>
          <w:w w:val="206"/>
          <w:sz w:val="22"/>
        </w:rPr>
        <w:t>f</w:t>
      </w:r>
      <w:r>
        <w:rPr>
          <w:spacing w:val="-1"/>
          <w:w w:val="144"/>
          <w:sz w:val="22"/>
        </w:rPr>
        <w:t> </w:t>
      </w:r>
      <w:r>
        <w:rPr>
          <w:w w:val="120"/>
          <w:sz w:val="22"/>
        </w:rPr>
        <w:t>invading</w:t>
      </w:r>
      <w:r>
        <w:rPr>
          <w:w w:val="120"/>
          <w:sz w:val="22"/>
        </w:rPr>
        <w:t> microorganisms.</w:t>
      </w:r>
      <w:r>
        <w:rPr>
          <w:w w:val="120"/>
          <w:sz w:val="22"/>
        </w:rPr>
        <w:t> Vo: Sodeman</w:t>
      </w:r>
      <w:r>
        <w:rPr>
          <w:w w:val="120"/>
          <w:sz w:val="22"/>
        </w:rPr>
        <w:t> WA</w:t>
      </w:r>
      <w:r>
        <w:rPr>
          <w:w w:val="120"/>
          <w:sz w:val="22"/>
        </w:rPr>
        <w:t> Jr,</w:t>
      </w:r>
      <w:r>
        <w:rPr>
          <w:w w:val="120"/>
          <w:sz w:val="22"/>
        </w:rPr>
        <w:t> Sodeman</w:t>
      </w:r>
      <w:r>
        <w:rPr>
          <w:w w:val="120"/>
          <w:sz w:val="22"/>
        </w:rPr>
        <w:t> WA,</w:t>
      </w:r>
      <w:r>
        <w:rPr>
          <w:w w:val="120"/>
          <w:sz w:val="22"/>
        </w:rPr>
        <w:t> Ed.</w:t>
      </w:r>
      <w:r>
        <w:rPr>
          <w:w w:val="120"/>
          <w:sz w:val="22"/>
        </w:rPr>
        <w:t> Pathogenic</w:t>
      </w:r>
      <w:r>
        <w:rPr>
          <w:w w:val="120"/>
          <w:sz w:val="22"/>
        </w:rPr>
        <w:t> physiology:</w:t>
      </w:r>
      <w:r>
        <w:rPr>
          <w:w w:val="120"/>
          <w:sz w:val="22"/>
        </w:rPr>
        <w:t> mechanisms</w:t>
      </w:r>
      <w:r>
        <w:rPr>
          <w:w w:val="120"/>
          <w:sz w:val="22"/>
        </w:rPr>
        <w:t> </w:t>
      </w:r>
      <w:r>
        <w:rPr>
          <w:w w:val="145"/>
          <w:sz w:val="22"/>
        </w:rPr>
        <w:t>of</w:t>
      </w:r>
      <w:r>
        <w:rPr>
          <w:w w:val="145"/>
          <w:sz w:val="22"/>
        </w:rPr>
        <w:t> </w:t>
      </w:r>
      <w:r>
        <w:rPr>
          <w:w w:val="120"/>
          <w:sz w:val="22"/>
        </w:rPr>
        <w:t>disease. Philadelphia;</w:t>
      </w:r>
      <w:r>
        <w:rPr>
          <w:spacing w:val="-17"/>
          <w:w w:val="120"/>
          <w:sz w:val="22"/>
        </w:rPr>
        <w:t> </w:t>
      </w:r>
      <w:r>
        <w:rPr>
          <w:w w:val="120"/>
          <w:sz w:val="22"/>
        </w:rPr>
        <w:t>W</w:t>
      </w:r>
      <w:r>
        <w:rPr>
          <w:spacing w:val="-16"/>
          <w:w w:val="120"/>
          <w:sz w:val="22"/>
        </w:rPr>
        <w:t> </w:t>
      </w:r>
      <w:r>
        <w:rPr>
          <w:w w:val="120"/>
          <w:sz w:val="22"/>
        </w:rPr>
        <w:t>B</w:t>
      </w:r>
      <w:r>
        <w:rPr>
          <w:spacing w:val="-17"/>
          <w:w w:val="120"/>
          <w:sz w:val="22"/>
        </w:rPr>
        <w:t> </w:t>
      </w:r>
      <w:r>
        <w:rPr>
          <w:w w:val="120"/>
          <w:sz w:val="22"/>
        </w:rPr>
        <w:t>Saunders,</w:t>
      </w:r>
      <w:r>
        <w:rPr>
          <w:spacing w:val="-16"/>
          <w:w w:val="120"/>
          <w:sz w:val="22"/>
        </w:rPr>
        <w:t> </w:t>
      </w:r>
      <w:r>
        <w:rPr>
          <w:w w:val="120"/>
          <w:sz w:val="22"/>
        </w:rPr>
        <w:t>1974:</w:t>
      </w:r>
      <w:r>
        <w:rPr>
          <w:spacing w:val="-17"/>
          <w:w w:val="120"/>
          <w:sz w:val="22"/>
        </w:rPr>
        <w:t> </w:t>
      </w:r>
      <w:r>
        <w:rPr>
          <w:w w:val="120"/>
          <w:sz w:val="22"/>
        </w:rPr>
        <w:t>457-72.</w:t>
      </w:r>
    </w:p>
    <w:p>
      <w:pPr>
        <w:pStyle w:val="BodyText"/>
        <w:rPr>
          <w:sz w:val="22"/>
        </w:rPr>
      </w:pPr>
    </w:p>
    <w:p>
      <w:pPr>
        <w:spacing w:line="244" w:lineRule="auto" w:before="0"/>
        <w:ind w:left="238" w:right="297" w:firstLine="0"/>
        <w:jc w:val="both"/>
        <w:rPr>
          <w:sz w:val="22"/>
        </w:rPr>
      </w:pPr>
      <w:r>
        <w:rPr>
          <w:w w:val="130"/>
          <w:sz w:val="22"/>
        </w:rPr>
        <w:t>Prvite</w:t>
      </w:r>
      <w:r>
        <w:rPr>
          <w:spacing w:val="-10"/>
          <w:w w:val="130"/>
          <w:sz w:val="22"/>
        </w:rPr>
        <w:t> </w:t>
      </w:r>
      <w:r>
        <w:rPr>
          <w:w w:val="130"/>
          <w:sz w:val="22"/>
        </w:rPr>
        <w:t>otpe~atoci</w:t>
      </w:r>
      <w:r>
        <w:rPr>
          <w:spacing w:val="-11"/>
          <w:w w:val="130"/>
          <w:sz w:val="22"/>
        </w:rPr>
        <w:t> </w:t>
      </w:r>
      <w:r>
        <w:rPr>
          <w:w w:val="120"/>
          <w:sz w:val="22"/>
        </w:rPr>
        <w:t>na</w:t>
      </w:r>
      <w:r>
        <w:rPr>
          <w:spacing w:val="-7"/>
          <w:w w:val="120"/>
          <w:sz w:val="22"/>
        </w:rPr>
        <w:t> </w:t>
      </w:r>
      <w:r>
        <w:rPr>
          <w:w w:val="130"/>
          <w:sz w:val="22"/>
        </w:rPr>
        <w:t>trudovite</w:t>
      </w:r>
      <w:r>
        <w:rPr>
          <w:spacing w:val="-10"/>
          <w:w w:val="130"/>
          <w:sz w:val="22"/>
        </w:rPr>
        <w:t> </w:t>
      </w:r>
      <w:r>
        <w:rPr>
          <w:w w:val="130"/>
          <w:sz w:val="22"/>
        </w:rPr>
        <w:t>im</w:t>
      </w:r>
      <w:r>
        <w:rPr>
          <w:spacing w:val="-14"/>
          <w:w w:val="130"/>
          <w:sz w:val="22"/>
        </w:rPr>
        <w:t> </w:t>
      </w:r>
      <w:r>
        <w:rPr>
          <w:w w:val="120"/>
          <w:sz w:val="22"/>
        </w:rPr>
        <w:t>se</w:t>
      </w:r>
      <w:r>
        <w:rPr>
          <w:spacing w:val="-5"/>
          <w:w w:val="120"/>
          <w:sz w:val="22"/>
        </w:rPr>
        <w:t> </w:t>
      </w:r>
      <w:r>
        <w:rPr>
          <w:w w:val="130"/>
          <w:sz w:val="22"/>
        </w:rPr>
        <w:t>pra}aat</w:t>
      </w:r>
      <w:r>
        <w:rPr>
          <w:spacing w:val="-10"/>
          <w:w w:val="130"/>
          <w:sz w:val="22"/>
        </w:rPr>
        <w:t> </w:t>
      </w:r>
      <w:r>
        <w:rPr>
          <w:w w:val="120"/>
          <w:sz w:val="22"/>
        </w:rPr>
        <w:t>na</w:t>
      </w:r>
      <w:r>
        <w:rPr>
          <w:spacing w:val="-5"/>
          <w:w w:val="120"/>
          <w:sz w:val="22"/>
        </w:rPr>
        <w:t> </w:t>
      </w:r>
      <w:r>
        <w:rPr>
          <w:w w:val="130"/>
          <w:sz w:val="22"/>
        </w:rPr>
        <w:t>avtorite</w:t>
      </w:r>
      <w:r>
        <w:rPr>
          <w:spacing w:val="-10"/>
          <w:w w:val="130"/>
          <w:sz w:val="22"/>
        </w:rPr>
        <w:t> </w:t>
      </w:r>
      <w:r>
        <w:rPr>
          <w:w w:val="120"/>
          <w:sz w:val="22"/>
        </w:rPr>
        <w:t>za</w:t>
      </w:r>
      <w:r>
        <w:rPr>
          <w:spacing w:val="-7"/>
          <w:w w:val="120"/>
          <w:sz w:val="22"/>
        </w:rPr>
        <w:t> </w:t>
      </w:r>
      <w:r>
        <w:rPr>
          <w:w w:val="130"/>
          <w:sz w:val="22"/>
        </w:rPr>
        <w:t>korekcija:</w:t>
      </w:r>
      <w:r>
        <w:rPr>
          <w:spacing w:val="-9"/>
          <w:w w:val="130"/>
          <w:sz w:val="22"/>
        </w:rPr>
        <w:t> </w:t>
      </w:r>
      <w:r>
        <w:rPr>
          <w:w w:val="130"/>
          <w:sz w:val="22"/>
        </w:rPr>
        <w:t>avtorite</w:t>
      </w:r>
      <w:r>
        <w:rPr>
          <w:spacing w:val="-10"/>
          <w:w w:val="130"/>
          <w:sz w:val="22"/>
        </w:rPr>
        <w:t> </w:t>
      </w:r>
      <w:r>
        <w:rPr>
          <w:w w:val="120"/>
          <w:sz w:val="22"/>
        </w:rPr>
        <w:t>se</w:t>
      </w:r>
      <w:r>
        <w:rPr>
          <w:spacing w:val="-5"/>
          <w:w w:val="120"/>
          <w:sz w:val="22"/>
        </w:rPr>
        <w:t> </w:t>
      </w:r>
      <w:r>
        <w:rPr>
          <w:w w:val="130"/>
          <w:sz w:val="22"/>
        </w:rPr>
        <w:t>dol`ni </w:t>
      </w:r>
      <w:r>
        <w:rPr>
          <w:w w:val="125"/>
          <w:sz w:val="22"/>
        </w:rPr>
        <w:t>korigiraniot</w:t>
      </w:r>
      <w:r>
        <w:rPr>
          <w:spacing w:val="-18"/>
          <w:w w:val="125"/>
          <w:sz w:val="22"/>
        </w:rPr>
        <w:t> </w:t>
      </w:r>
      <w:r>
        <w:rPr>
          <w:w w:val="125"/>
          <w:sz w:val="22"/>
        </w:rPr>
        <w:t>otpe~atok</w:t>
      </w:r>
      <w:r>
        <w:rPr>
          <w:spacing w:val="-17"/>
          <w:w w:val="125"/>
          <w:sz w:val="22"/>
        </w:rPr>
        <w:t> </w:t>
      </w:r>
      <w:r>
        <w:rPr>
          <w:w w:val="120"/>
          <w:sz w:val="22"/>
        </w:rPr>
        <w:t>da</w:t>
      </w:r>
      <w:r>
        <w:rPr>
          <w:spacing w:val="-14"/>
          <w:w w:val="120"/>
          <w:sz w:val="22"/>
        </w:rPr>
        <w:t> </w:t>
      </w:r>
      <w:r>
        <w:rPr>
          <w:w w:val="125"/>
          <w:sz w:val="22"/>
        </w:rPr>
        <w:t>i</w:t>
      </w:r>
      <w:r>
        <w:rPr>
          <w:spacing w:val="-18"/>
          <w:w w:val="125"/>
          <w:sz w:val="22"/>
        </w:rPr>
        <w:t> </w:t>
      </w:r>
      <w:r>
        <w:rPr>
          <w:w w:val="120"/>
          <w:sz w:val="22"/>
        </w:rPr>
        <w:t>go</w:t>
      </w:r>
      <w:r>
        <w:rPr>
          <w:spacing w:val="-14"/>
          <w:w w:val="120"/>
          <w:sz w:val="22"/>
        </w:rPr>
        <w:t> </w:t>
      </w:r>
      <w:r>
        <w:rPr>
          <w:w w:val="125"/>
          <w:sz w:val="22"/>
        </w:rPr>
        <w:t>vratat</w:t>
      </w:r>
      <w:r>
        <w:rPr>
          <w:spacing w:val="-17"/>
          <w:w w:val="125"/>
          <w:sz w:val="22"/>
        </w:rPr>
        <w:t> </w:t>
      </w:r>
      <w:r>
        <w:rPr>
          <w:w w:val="120"/>
          <w:sz w:val="22"/>
        </w:rPr>
        <w:t>na</w:t>
      </w:r>
      <w:r>
        <w:rPr>
          <w:spacing w:val="-15"/>
          <w:w w:val="120"/>
          <w:sz w:val="22"/>
        </w:rPr>
        <w:t> </w:t>
      </w:r>
      <w:r>
        <w:rPr>
          <w:w w:val="125"/>
          <w:sz w:val="22"/>
        </w:rPr>
        <w:t>Redakcijata</w:t>
      </w:r>
      <w:r>
        <w:rPr>
          <w:spacing w:val="-17"/>
          <w:w w:val="125"/>
          <w:sz w:val="22"/>
        </w:rPr>
        <w:t> </w:t>
      </w:r>
      <w:r>
        <w:rPr>
          <w:w w:val="120"/>
          <w:sz w:val="22"/>
        </w:rPr>
        <w:t>na</w:t>
      </w:r>
      <w:r>
        <w:rPr>
          <w:spacing w:val="-16"/>
          <w:w w:val="120"/>
          <w:sz w:val="22"/>
        </w:rPr>
        <w:t> </w:t>
      </w:r>
      <w:r>
        <w:rPr>
          <w:w w:val="125"/>
          <w:sz w:val="22"/>
        </w:rPr>
        <w:t>MMP</w:t>
      </w:r>
      <w:r>
        <w:rPr>
          <w:spacing w:val="35"/>
          <w:w w:val="125"/>
          <w:sz w:val="22"/>
        </w:rPr>
        <w:t> </w:t>
      </w:r>
      <w:r>
        <w:rPr>
          <w:w w:val="120"/>
          <w:sz w:val="22"/>
        </w:rPr>
        <w:t>vo</w:t>
      </w:r>
      <w:r>
        <w:rPr>
          <w:spacing w:val="-15"/>
          <w:w w:val="120"/>
          <w:sz w:val="22"/>
        </w:rPr>
        <w:t> </w:t>
      </w:r>
      <w:r>
        <w:rPr>
          <w:w w:val="125"/>
          <w:sz w:val="22"/>
        </w:rPr>
        <w:t>rok</w:t>
      </w:r>
      <w:r>
        <w:rPr>
          <w:spacing w:val="-17"/>
          <w:w w:val="125"/>
          <w:sz w:val="22"/>
        </w:rPr>
        <w:t> </w:t>
      </w:r>
      <w:r>
        <w:rPr>
          <w:w w:val="120"/>
          <w:sz w:val="22"/>
        </w:rPr>
        <w:t>od</w:t>
      </w:r>
      <w:r>
        <w:rPr>
          <w:spacing w:val="-15"/>
          <w:w w:val="120"/>
          <w:sz w:val="22"/>
        </w:rPr>
        <w:t> </w:t>
      </w:r>
      <w:r>
        <w:rPr>
          <w:w w:val="120"/>
          <w:sz w:val="22"/>
        </w:rPr>
        <w:t>2</w:t>
      </w:r>
      <w:r>
        <w:rPr>
          <w:spacing w:val="-15"/>
          <w:w w:val="120"/>
          <w:sz w:val="22"/>
        </w:rPr>
        <w:t> </w:t>
      </w:r>
      <w:r>
        <w:rPr>
          <w:w w:val="120"/>
          <w:sz w:val="22"/>
        </w:rPr>
        <w:t>dena.</w:t>
      </w:r>
    </w:p>
    <w:p>
      <w:pPr>
        <w:pStyle w:val="BodyText"/>
        <w:rPr>
          <w:sz w:val="22"/>
        </w:rPr>
      </w:pPr>
    </w:p>
    <w:p>
      <w:pPr>
        <w:spacing w:line="242" w:lineRule="auto" w:before="0"/>
        <w:ind w:left="238" w:right="7375" w:firstLine="0"/>
        <w:jc w:val="left"/>
        <w:rPr>
          <w:sz w:val="22"/>
        </w:rPr>
      </w:pPr>
      <w:r>
        <w:rPr>
          <w:b/>
          <w:w w:val="110"/>
          <w:sz w:val="22"/>
        </w:rPr>
        <w:t>Adresata</w:t>
      </w:r>
      <w:r>
        <w:rPr>
          <w:b/>
          <w:spacing w:val="-16"/>
          <w:w w:val="110"/>
          <w:sz w:val="22"/>
        </w:rPr>
        <w:t> </w:t>
      </w:r>
      <w:r>
        <w:rPr>
          <w:b/>
          <w:w w:val="110"/>
          <w:sz w:val="22"/>
        </w:rPr>
        <w:t>na</w:t>
      </w:r>
      <w:r>
        <w:rPr>
          <w:b/>
          <w:spacing w:val="-15"/>
          <w:w w:val="110"/>
          <w:sz w:val="22"/>
        </w:rPr>
        <w:t> </w:t>
      </w:r>
      <w:r>
        <w:rPr>
          <w:b/>
          <w:w w:val="110"/>
          <w:sz w:val="22"/>
        </w:rPr>
        <w:t>Redakcijata </w:t>
      </w:r>
      <w:r>
        <w:rPr>
          <w:w w:val="120"/>
          <w:sz w:val="22"/>
        </w:rPr>
        <w:t>Dame</w:t>
      </w:r>
      <w:r>
        <w:rPr>
          <w:spacing w:val="-17"/>
          <w:w w:val="120"/>
          <w:sz w:val="22"/>
        </w:rPr>
        <w:t> </w:t>
      </w:r>
      <w:r>
        <w:rPr>
          <w:w w:val="120"/>
          <w:sz w:val="22"/>
        </w:rPr>
        <w:t>Gruev</w:t>
      </w:r>
      <w:r>
        <w:rPr>
          <w:spacing w:val="-16"/>
          <w:w w:val="120"/>
          <w:sz w:val="22"/>
        </w:rPr>
        <w:t> </w:t>
      </w:r>
      <w:r>
        <w:rPr>
          <w:w w:val="120"/>
          <w:sz w:val="22"/>
        </w:rPr>
        <w:t>br.</w:t>
      </w:r>
      <w:r>
        <w:rPr>
          <w:spacing w:val="-17"/>
          <w:w w:val="120"/>
          <w:sz w:val="22"/>
        </w:rPr>
        <w:t> </w:t>
      </w:r>
      <w:r>
        <w:rPr>
          <w:w w:val="120"/>
          <w:sz w:val="22"/>
        </w:rPr>
        <w:t>3 Gradski yid blok </w:t>
      </w:r>
      <w:r>
        <w:rPr>
          <w:w w:val="180"/>
          <w:sz w:val="22"/>
        </w:rPr>
        <w:t>II, </w:t>
      </w:r>
      <w:r>
        <w:rPr>
          <w:w w:val="120"/>
          <w:sz w:val="22"/>
        </w:rPr>
        <w:t>1000 Skopje,</w:t>
      </w:r>
    </w:p>
    <w:p>
      <w:pPr>
        <w:spacing w:before="0"/>
        <w:ind w:left="238" w:right="0" w:firstLine="0"/>
        <w:jc w:val="left"/>
        <w:rPr>
          <w:sz w:val="22"/>
        </w:rPr>
      </w:pPr>
      <w:r>
        <w:rPr>
          <w:w w:val="105"/>
          <w:sz w:val="22"/>
        </w:rPr>
        <w:t>Tel.:</w:t>
      </w:r>
      <w:r>
        <w:rPr>
          <w:spacing w:val="-2"/>
          <w:w w:val="105"/>
          <w:sz w:val="22"/>
        </w:rPr>
        <w:t> </w:t>
      </w:r>
      <w:r>
        <w:rPr>
          <w:w w:val="105"/>
          <w:sz w:val="22"/>
        </w:rPr>
        <w:t>++</w:t>
      </w:r>
      <w:r>
        <w:rPr>
          <w:spacing w:val="-2"/>
          <w:w w:val="105"/>
          <w:sz w:val="22"/>
        </w:rPr>
        <w:t> </w:t>
      </w:r>
      <w:r>
        <w:rPr>
          <w:w w:val="105"/>
          <w:sz w:val="22"/>
        </w:rPr>
        <w:t>389</w:t>
      </w:r>
      <w:r>
        <w:rPr>
          <w:spacing w:val="-2"/>
          <w:w w:val="105"/>
          <w:sz w:val="22"/>
        </w:rPr>
        <w:t> </w:t>
      </w:r>
      <w:r>
        <w:rPr>
          <w:w w:val="105"/>
          <w:sz w:val="22"/>
        </w:rPr>
        <w:t>02</w:t>
      </w:r>
      <w:r>
        <w:rPr>
          <w:spacing w:val="-3"/>
          <w:w w:val="105"/>
          <w:sz w:val="22"/>
        </w:rPr>
        <w:t> </w:t>
      </w:r>
      <w:r>
        <w:rPr>
          <w:w w:val="105"/>
          <w:sz w:val="22"/>
        </w:rPr>
        <w:t>3162</w:t>
      </w:r>
      <w:r>
        <w:rPr>
          <w:spacing w:val="-2"/>
          <w:w w:val="105"/>
          <w:sz w:val="22"/>
        </w:rPr>
        <w:t> </w:t>
      </w:r>
      <w:r>
        <w:rPr>
          <w:spacing w:val="-5"/>
          <w:w w:val="105"/>
          <w:sz w:val="22"/>
        </w:rPr>
        <w:t>577</w:t>
      </w:r>
    </w:p>
    <w:p>
      <w:pPr>
        <w:pStyle w:val="BodyText"/>
        <w:spacing w:before="8"/>
        <w:rPr>
          <w:sz w:val="22"/>
        </w:rPr>
      </w:pPr>
    </w:p>
    <w:p>
      <w:pPr>
        <w:spacing w:before="0"/>
        <w:ind w:left="238" w:right="0" w:firstLine="0"/>
        <w:jc w:val="left"/>
        <w:rPr>
          <w:sz w:val="22"/>
        </w:rPr>
      </w:pPr>
      <w:r>
        <w:rPr>
          <w:b/>
          <w:w w:val="110"/>
          <w:sz w:val="22"/>
        </w:rPr>
        <w:t>Elektronska</w:t>
      </w:r>
      <w:r>
        <w:rPr>
          <w:b/>
          <w:spacing w:val="6"/>
          <w:w w:val="110"/>
          <w:sz w:val="22"/>
        </w:rPr>
        <w:t> </w:t>
      </w:r>
      <w:r>
        <w:rPr>
          <w:b/>
          <w:w w:val="110"/>
          <w:sz w:val="22"/>
        </w:rPr>
        <w:t>adresa</w:t>
      </w:r>
      <w:r>
        <w:rPr>
          <w:b/>
          <w:spacing w:val="6"/>
          <w:w w:val="110"/>
          <w:sz w:val="22"/>
        </w:rPr>
        <w:t> </w:t>
      </w:r>
      <w:r>
        <w:rPr>
          <w:b/>
          <w:w w:val="110"/>
          <w:sz w:val="22"/>
        </w:rPr>
        <w:t>(E-mail):</w:t>
      </w:r>
      <w:r>
        <w:rPr>
          <w:b/>
          <w:spacing w:val="6"/>
          <w:w w:val="110"/>
          <w:sz w:val="22"/>
        </w:rPr>
        <w:t> </w:t>
      </w:r>
      <w:hyperlink r:id="rId451">
        <w:r>
          <w:rPr>
            <w:color w:val="0000FF"/>
            <w:spacing w:val="-2"/>
            <w:w w:val="110"/>
            <w:sz w:val="22"/>
            <w:u w:val="single" w:color="0000FF"/>
          </w:rPr>
          <w:t>mld@unet.com.mk</w:t>
        </w:r>
      </w:hyperlink>
    </w:p>
    <w:p>
      <w:pPr>
        <w:pStyle w:val="BodyText"/>
        <w:spacing w:before="6"/>
        <w:rPr>
          <w:sz w:val="17"/>
        </w:rPr>
      </w:pPr>
    </w:p>
    <w:p>
      <w:pPr>
        <w:spacing w:before="59"/>
        <w:ind w:left="238" w:right="0" w:firstLine="0"/>
        <w:jc w:val="left"/>
        <w:rPr>
          <w:b/>
          <w:sz w:val="22"/>
        </w:rPr>
      </w:pPr>
      <w:r>
        <w:rPr>
          <w:b/>
          <w:w w:val="207"/>
          <w:sz w:val="22"/>
          <w:u w:val="single"/>
        </w:rPr>
        <w:t>I</w:t>
      </w:r>
      <w:r>
        <w:rPr>
          <w:b/>
          <w:spacing w:val="-1"/>
          <w:w w:val="97"/>
          <w:sz w:val="22"/>
          <w:u w:val="single"/>
        </w:rPr>
        <w:t>zv</w:t>
      </w:r>
      <w:r>
        <w:rPr>
          <w:b/>
          <w:spacing w:val="-2"/>
          <w:w w:val="97"/>
          <w:sz w:val="22"/>
          <w:u w:val="single"/>
        </w:rPr>
        <w:t>e</w:t>
      </w:r>
      <w:r>
        <w:rPr>
          <w:b/>
          <w:spacing w:val="-1"/>
          <w:sz w:val="22"/>
          <w:u w:val="single"/>
        </w:rPr>
        <w:t>stuv</w:t>
      </w:r>
      <w:r>
        <w:rPr>
          <w:b/>
          <w:spacing w:val="-2"/>
          <w:sz w:val="22"/>
          <w:u w:val="single"/>
        </w:rPr>
        <w:t>a</w:t>
      </w:r>
      <w:r>
        <w:rPr>
          <w:b/>
          <w:w w:val="101"/>
          <w:sz w:val="22"/>
          <w:u w:val="single"/>
        </w:rPr>
        <w:t>w</w:t>
      </w:r>
      <w:r>
        <w:rPr>
          <w:b/>
          <w:w w:val="106"/>
          <w:sz w:val="22"/>
          <w:u w:val="single"/>
        </w:rPr>
        <w:t>e</w:t>
      </w:r>
      <w:r>
        <w:rPr>
          <w:b/>
          <w:spacing w:val="30"/>
          <w:w w:val="110"/>
          <w:sz w:val="22"/>
          <w:u w:val="single"/>
        </w:rPr>
        <w:t> </w:t>
      </w:r>
      <w:r>
        <w:rPr>
          <w:b/>
          <w:w w:val="110"/>
          <w:sz w:val="22"/>
          <w:u w:val="single"/>
        </w:rPr>
        <w:t>za</w:t>
      </w:r>
      <w:r>
        <w:rPr>
          <w:b/>
          <w:spacing w:val="31"/>
          <w:w w:val="110"/>
          <w:sz w:val="22"/>
          <w:u w:val="single"/>
        </w:rPr>
        <w:t> </w:t>
      </w:r>
      <w:r>
        <w:rPr>
          <w:b/>
          <w:w w:val="110"/>
          <w:sz w:val="22"/>
          <w:u w:val="single"/>
        </w:rPr>
        <w:t>~lenovite</w:t>
      </w:r>
      <w:r>
        <w:rPr>
          <w:b/>
          <w:spacing w:val="31"/>
          <w:w w:val="110"/>
          <w:sz w:val="22"/>
          <w:u w:val="single"/>
        </w:rPr>
        <w:t> </w:t>
      </w:r>
      <w:r>
        <w:rPr>
          <w:b/>
          <w:w w:val="110"/>
          <w:sz w:val="22"/>
          <w:u w:val="single"/>
        </w:rPr>
        <w:t>na</w:t>
      </w:r>
      <w:r>
        <w:rPr>
          <w:b/>
          <w:spacing w:val="31"/>
          <w:w w:val="110"/>
          <w:sz w:val="22"/>
          <w:u w:val="single"/>
        </w:rPr>
        <w:t> </w:t>
      </w:r>
      <w:r>
        <w:rPr>
          <w:b/>
          <w:spacing w:val="-5"/>
          <w:w w:val="110"/>
          <w:sz w:val="22"/>
          <w:u w:val="single"/>
        </w:rPr>
        <w:t>MLD</w:t>
      </w:r>
    </w:p>
    <w:p>
      <w:pPr>
        <w:pStyle w:val="BodyText"/>
        <w:spacing w:before="1"/>
        <w:rPr>
          <w:b/>
          <w:sz w:val="15"/>
        </w:rPr>
      </w:pPr>
    </w:p>
    <w:p>
      <w:pPr>
        <w:spacing w:line="242" w:lineRule="auto" w:before="92"/>
        <w:ind w:left="238" w:right="290" w:firstLine="0"/>
        <w:jc w:val="both"/>
        <w:rPr>
          <w:b/>
          <w:sz w:val="22"/>
        </w:rPr>
      </w:pPr>
      <w:r>
        <w:rPr>
          <w:b/>
          <w:sz w:val="22"/>
        </w:rPr>
        <w:t>Сите што сакаат и натаму да го добиваат списанието треба да ја имаат уплатено членарината</w:t>
      </w:r>
      <w:r>
        <w:rPr>
          <w:b/>
          <w:spacing w:val="40"/>
          <w:sz w:val="22"/>
        </w:rPr>
        <w:t> </w:t>
      </w:r>
      <w:r>
        <w:rPr>
          <w:b/>
          <w:sz w:val="22"/>
        </w:rPr>
        <w:t>за 2019 година во висина од 600 денари и за тоа да ја информираат стручната служба на Македонско лекарско друштво, писмено или преку телефон.</w:t>
      </w:r>
    </w:p>
    <w:p>
      <w:pPr>
        <w:pStyle w:val="BodyText"/>
        <w:spacing w:before="10"/>
        <w:rPr>
          <w:b/>
          <w:sz w:val="22"/>
        </w:rPr>
      </w:pPr>
    </w:p>
    <w:p>
      <w:pPr>
        <w:spacing w:line="491" w:lineRule="auto" w:before="1"/>
        <w:ind w:left="238" w:right="1141" w:firstLine="0"/>
        <w:jc w:val="left"/>
        <w:rPr>
          <w:b/>
          <w:sz w:val="22"/>
        </w:rPr>
      </w:pPr>
      <w:r>
        <w:rPr>
          <w:b/>
          <w:sz w:val="22"/>
        </w:rPr>
        <w:t>Детални</w:t>
      </w:r>
      <w:r>
        <w:rPr>
          <w:b/>
          <w:spacing w:val="-6"/>
          <w:sz w:val="22"/>
        </w:rPr>
        <w:t> </w:t>
      </w:r>
      <w:r>
        <w:rPr>
          <w:b/>
          <w:sz w:val="22"/>
        </w:rPr>
        <w:t>информации</w:t>
      </w:r>
      <w:r>
        <w:rPr>
          <w:b/>
          <w:spacing w:val="-3"/>
          <w:sz w:val="22"/>
        </w:rPr>
        <w:t> </w:t>
      </w:r>
      <w:r>
        <w:rPr>
          <w:b/>
          <w:sz w:val="22"/>
        </w:rPr>
        <w:t>можете</w:t>
      </w:r>
      <w:r>
        <w:rPr>
          <w:b/>
          <w:spacing w:val="-3"/>
          <w:sz w:val="22"/>
        </w:rPr>
        <w:t> </w:t>
      </w:r>
      <w:r>
        <w:rPr>
          <w:b/>
          <w:sz w:val="22"/>
        </w:rPr>
        <w:t>да</w:t>
      </w:r>
      <w:r>
        <w:rPr>
          <w:b/>
          <w:spacing w:val="-3"/>
          <w:sz w:val="22"/>
        </w:rPr>
        <w:t> </w:t>
      </w:r>
      <w:r>
        <w:rPr>
          <w:b/>
          <w:sz w:val="22"/>
        </w:rPr>
        <w:t>добиете</w:t>
      </w:r>
      <w:r>
        <w:rPr>
          <w:b/>
          <w:spacing w:val="-3"/>
          <w:sz w:val="22"/>
        </w:rPr>
        <w:t> </w:t>
      </w:r>
      <w:r>
        <w:rPr>
          <w:b/>
          <w:sz w:val="22"/>
        </w:rPr>
        <w:t>на</w:t>
      </w:r>
      <w:r>
        <w:rPr>
          <w:b/>
          <w:spacing w:val="-3"/>
          <w:sz w:val="22"/>
        </w:rPr>
        <w:t> </w:t>
      </w:r>
      <w:r>
        <w:rPr>
          <w:b/>
          <w:sz w:val="22"/>
        </w:rPr>
        <w:t>телефонот</w:t>
      </w:r>
      <w:r>
        <w:rPr>
          <w:b/>
          <w:spacing w:val="-3"/>
          <w:sz w:val="22"/>
        </w:rPr>
        <w:t> </w:t>
      </w:r>
      <w:r>
        <w:rPr>
          <w:b/>
          <w:sz w:val="22"/>
        </w:rPr>
        <w:t>на</w:t>
      </w:r>
      <w:r>
        <w:rPr>
          <w:b/>
          <w:spacing w:val="-3"/>
          <w:sz w:val="22"/>
        </w:rPr>
        <w:t> </w:t>
      </w:r>
      <w:r>
        <w:rPr>
          <w:b/>
          <w:sz w:val="22"/>
        </w:rPr>
        <w:t>Друштвото</w:t>
      </w:r>
      <w:r>
        <w:rPr>
          <w:b/>
          <w:spacing w:val="-3"/>
          <w:sz w:val="22"/>
        </w:rPr>
        <w:t> </w:t>
      </w:r>
      <w:r>
        <w:rPr>
          <w:b/>
          <w:sz w:val="22"/>
        </w:rPr>
        <w:t>02</w:t>
      </w:r>
      <w:r>
        <w:rPr>
          <w:b/>
          <w:spacing w:val="-6"/>
          <w:sz w:val="22"/>
        </w:rPr>
        <w:t> </w:t>
      </w:r>
      <w:r>
        <w:rPr>
          <w:b/>
          <w:sz w:val="22"/>
        </w:rPr>
        <w:t>3</w:t>
      </w:r>
      <w:r>
        <w:rPr>
          <w:b/>
          <w:spacing w:val="-3"/>
          <w:sz w:val="22"/>
        </w:rPr>
        <w:t> </w:t>
      </w:r>
      <w:r>
        <w:rPr>
          <w:b/>
          <w:sz w:val="22"/>
        </w:rPr>
        <w:t>162</w:t>
      </w:r>
      <w:r>
        <w:rPr>
          <w:b/>
          <w:spacing w:val="-3"/>
          <w:sz w:val="22"/>
        </w:rPr>
        <w:t> </w:t>
      </w:r>
      <w:r>
        <w:rPr>
          <w:b/>
          <w:sz w:val="22"/>
        </w:rPr>
        <w:t>557. </w:t>
      </w:r>
      <w:r>
        <w:rPr>
          <w:b/>
          <w:w w:val="202"/>
          <w:sz w:val="22"/>
          <w:u w:val="single"/>
        </w:rPr>
        <w:t>I</w:t>
      </w:r>
      <w:r>
        <w:rPr>
          <w:b/>
          <w:spacing w:val="-1"/>
          <w:w w:val="92"/>
          <w:sz w:val="22"/>
          <w:u w:val="single"/>
        </w:rPr>
        <w:t>zv</w:t>
      </w:r>
      <w:r>
        <w:rPr>
          <w:b/>
          <w:spacing w:val="-2"/>
          <w:w w:val="92"/>
          <w:sz w:val="22"/>
          <w:u w:val="single"/>
        </w:rPr>
        <w:t>e</w:t>
      </w:r>
      <w:r>
        <w:rPr>
          <w:b/>
          <w:spacing w:val="-1"/>
          <w:w w:val="95"/>
          <w:sz w:val="22"/>
          <w:u w:val="single"/>
        </w:rPr>
        <w:t>stuv</w:t>
      </w:r>
      <w:r>
        <w:rPr>
          <w:b/>
          <w:spacing w:val="-2"/>
          <w:w w:val="95"/>
          <w:sz w:val="22"/>
          <w:u w:val="single"/>
        </w:rPr>
        <w:t>a</w:t>
      </w:r>
      <w:r>
        <w:rPr>
          <w:b/>
          <w:w w:val="96"/>
          <w:sz w:val="22"/>
          <w:u w:val="single"/>
        </w:rPr>
        <w:t>w</w:t>
      </w:r>
      <w:r>
        <w:rPr>
          <w:b/>
          <w:w w:val="101"/>
          <w:sz w:val="22"/>
          <w:u w:val="single"/>
        </w:rPr>
        <w:t>e</w:t>
      </w:r>
      <w:r>
        <w:rPr>
          <w:b/>
          <w:spacing w:val="40"/>
          <w:w w:val="105"/>
          <w:sz w:val="22"/>
          <w:u w:val="single"/>
        </w:rPr>
        <w:t> </w:t>
      </w:r>
      <w:r>
        <w:rPr>
          <w:b/>
          <w:w w:val="105"/>
          <w:sz w:val="22"/>
          <w:u w:val="single"/>
        </w:rPr>
        <w:t>za</w:t>
      </w:r>
      <w:r>
        <w:rPr>
          <w:b/>
          <w:spacing w:val="40"/>
          <w:w w:val="105"/>
          <w:sz w:val="22"/>
          <w:u w:val="single"/>
        </w:rPr>
        <w:t> </w:t>
      </w:r>
      <w:r>
        <w:rPr>
          <w:b/>
          <w:w w:val="105"/>
          <w:sz w:val="22"/>
          <w:u w:val="single"/>
        </w:rPr>
        <w:t>recenzentite</w:t>
      </w:r>
      <w:r>
        <w:rPr>
          <w:b/>
          <w:spacing w:val="40"/>
          <w:w w:val="105"/>
          <w:sz w:val="22"/>
          <w:u w:val="single"/>
        </w:rPr>
        <w:t> </w:t>
      </w:r>
      <w:r>
        <w:rPr>
          <w:b/>
          <w:w w:val="105"/>
          <w:sz w:val="22"/>
          <w:u w:val="single"/>
        </w:rPr>
        <w:t>za</w:t>
      </w:r>
      <w:r>
        <w:rPr>
          <w:b/>
          <w:spacing w:val="36"/>
          <w:w w:val="105"/>
          <w:sz w:val="22"/>
          <w:u w:val="single"/>
        </w:rPr>
        <w:t> </w:t>
      </w:r>
      <w:r>
        <w:rPr>
          <w:b/>
          <w:w w:val="105"/>
          <w:sz w:val="22"/>
          <w:u w:val="single"/>
        </w:rPr>
        <w:t>MMP</w:t>
      </w:r>
    </w:p>
    <w:p>
      <w:pPr>
        <w:spacing w:line="244" w:lineRule="auto" w:before="0"/>
        <w:ind w:left="238" w:right="290" w:firstLine="0"/>
        <w:jc w:val="both"/>
        <w:rPr>
          <w:b/>
          <w:sz w:val="22"/>
        </w:rPr>
      </w:pPr>
      <w:r>
        <w:rPr>
          <w:b/>
          <w:sz w:val="22"/>
        </w:rPr>
        <w:t>Во склад со правилникот на УКИМ рецензентите што навремено и одговорно ќе ја одработат рецензијата ќе добијат 0.4 бода кои се собираат за унапредување во академските звања. Бодовите можат да се добијат и ретроградно преку побарување во МЛД - 3162 557.</w:t>
      </w:r>
    </w:p>
    <w:sectPr>
      <w:headerReference w:type="default" r:id="rId552"/>
      <w:pgSz w:w="11910" w:h="16840"/>
      <w:pgMar w:header="0" w:footer="0" w:top="1360" w:bottom="280" w:left="900" w:right="8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yriad Pro Cond">
    <w:altName w:val="Myriad Pro Cond"/>
    <w:charset w:val="0"/>
    <w:family w:val="swiss"/>
    <w:pitch w:val="variable"/>
  </w:font>
  <w:font w:name="Myriad Pro">
    <w:altName w:val="Myriad Pro"/>
    <w:charset w:val="0"/>
    <w:family w:val="swiss"/>
    <w:pitch w:val="variable"/>
  </w:font>
  <w:font w:name="Calibri">
    <w:altName w:val="Calibri"/>
    <w:charset w:val="0"/>
    <w:family w:val="swiss"/>
    <w:pitch w:val="variable"/>
  </w:font>
  <w:font w:name="Courier New">
    <w:altName w:val="Courier New"/>
    <w:charset w:val="0"/>
    <w:family w:val="modern"/>
    <w:pitch w:val="fixed"/>
  </w:font>
  <w:font w:name="Symbol">
    <w:altName w:val="Symbol"/>
    <w:charset w:val="2"/>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903999pt;margin-top:41.946632pt;width:186.75pt;height:15.75pt;mso-position-horizontal-relative:page;mso-position-vertical-relative:page;z-index:-17655296" type="#_x0000_t202" id="docshape453" filled="false" stroked="false">
          <v:textbox inset="0,0,0,0">
            <w:txbxContent>
              <w:p>
                <w:pPr>
                  <w:spacing w:before="10"/>
                  <w:ind w:left="20" w:right="0" w:firstLine="0"/>
                  <w:jc w:val="left"/>
                  <w:rPr>
                    <w:sz w:val="24"/>
                  </w:rPr>
                </w:pPr>
                <w:r>
                  <w:rPr>
                    <w:i/>
                    <w:w w:val="105"/>
                    <w:sz w:val="24"/>
                  </w:rPr>
                  <w:t>Mak</w:t>
                </w:r>
                <w:r>
                  <w:rPr>
                    <w:i/>
                    <w:spacing w:val="21"/>
                    <w:w w:val="105"/>
                    <w:sz w:val="24"/>
                  </w:rPr>
                  <w:t> </w:t>
                </w:r>
                <w:r>
                  <w:rPr>
                    <w:i/>
                    <w:w w:val="105"/>
                    <w:sz w:val="24"/>
                  </w:rPr>
                  <w:t>Med</w:t>
                </w:r>
                <w:r>
                  <w:rPr>
                    <w:i/>
                    <w:spacing w:val="22"/>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22"/>
                    <w:w w:val="105"/>
                    <w:sz w:val="24"/>
                  </w:rPr>
                  <w:t>  </w:t>
                </w:r>
                <w:r>
                  <w:rPr>
                    <w:w w:val="105"/>
                    <w:sz w:val="24"/>
                  </w:rPr>
                  <w:t>2021;</w:t>
                </w:r>
                <w:r>
                  <w:rPr>
                    <w:spacing w:val="23"/>
                    <w:w w:val="105"/>
                    <w:sz w:val="24"/>
                  </w:rPr>
                  <w:t> </w:t>
                </w:r>
                <w:r>
                  <w:rPr>
                    <w:w w:val="105"/>
                    <w:sz w:val="24"/>
                  </w:rPr>
                  <w:t>75(1):</w:t>
                </w:r>
                <w:r>
                  <w:rPr>
                    <w:spacing w:val="22"/>
                    <w:w w:val="105"/>
                    <w:sz w:val="24"/>
                  </w:rPr>
                  <w:t> </w:t>
                </w:r>
                <w:r>
                  <w:rPr>
                    <w:w w:val="105"/>
                    <w:sz w:val="24"/>
                  </w:rPr>
                  <w:t>1-</w:t>
                </w:r>
                <w:r>
                  <w:rPr>
                    <w:spacing w:val="-10"/>
                    <w:w w:val="105"/>
                    <w:sz w:val="24"/>
                  </w:rPr>
                  <w:t>5</w:t>
                </w:r>
              </w:p>
            </w:txbxContent>
          </v:textbox>
          <w10:wrap type="none"/>
        </v:shape>
      </w:pict>
    </w:r>
    <w:r>
      <w:rPr/>
      <w:pict>
        <v:shape style="position:absolute;margin-left:504.179993pt;margin-top:44.779526pt;width:45.2pt;height:29.2pt;mso-position-horizontal-relative:page;mso-position-vertical-relative:page;z-index:-17654784" type="#_x0000_t202" id="docshape454" filled="false" stroked="false">
          <v:textbox inset="0,0,0,0">
            <w:txbxContent>
              <w:p>
                <w:pPr>
                  <w:spacing w:before="20"/>
                  <w:ind w:left="20" w:right="0" w:firstLine="0"/>
                  <w:jc w:val="left"/>
                  <w:rPr>
                    <w:rFonts w:ascii="Courier New"/>
                    <w:sz w:val="48"/>
                  </w:rPr>
                </w:pPr>
                <w:r>
                  <w:rPr>
                    <w:rFonts w:ascii="Courier New"/>
                    <w:color w:val="999999"/>
                    <w:spacing w:val="-5"/>
                    <w:sz w:val="48"/>
                  </w:rPr>
                  <w:t>MMP</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45056" id="docshape493" filled="true" fillcolor="#000000" stroked="false">
          <v:fill type="solid"/>
          <w10:wrap type="none"/>
        </v:rect>
      </w:pict>
    </w:r>
    <w:r>
      <w:rPr/>
      <w:pict>
        <v:shape style="position:absolute;margin-left:53.903999pt;margin-top:41.724503pt;width:17.1pt;height:13.05pt;mso-position-horizontal-relative:page;mso-position-vertical-relative:page;z-index:-17644544" type="#_x0000_t202" id="docshape494"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11</w:t>
                </w:r>
                <w:r>
                  <w:rPr>
                    <w:spacing w:val="-5"/>
                    <w:sz w:val="20"/>
                  </w:rPr>
                  <w:fldChar w:fldCharType="end"/>
                </w:r>
              </w:p>
            </w:txbxContent>
          </v:textbox>
          <w10:wrap type="none"/>
        </v:shape>
      </w:pict>
    </w:r>
    <w:r>
      <w:rPr/>
      <w:pict>
        <v:shape style="position:absolute;margin-left:396.269989pt;margin-top:51.241592pt;width:143.5pt;height:11.05pt;mso-position-horizontal-relative:page;mso-position-vertical-relative:page;z-index:-17644032" type="#_x0000_t202" id="docshape495" filled="false" stroked="false">
          <v:textbox inset="0,0,0,0">
            <w:txbxContent>
              <w:p>
                <w:pPr>
                  <w:spacing w:before="15"/>
                  <w:ind w:left="20" w:right="0" w:firstLine="0"/>
                  <w:jc w:val="left"/>
                  <w:rPr>
                    <w:sz w:val="16"/>
                  </w:rPr>
                </w:pPr>
                <w:r>
                  <w:rPr>
                    <w:rFonts w:ascii="Arial"/>
                    <w:color w:val="808080"/>
                    <w:sz w:val="16"/>
                  </w:rPr>
                  <w:t>Rapid</w:t>
                </w:r>
                <w:r>
                  <w:rPr>
                    <w:rFonts w:ascii="Arial"/>
                    <w:color w:val="808080"/>
                    <w:spacing w:val="-6"/>
                    <w:sz w:val="16"/>
                  </w:rPr>
                  <w:t> </w:t>
                </w:r>
                <w:r>
                  <w:rPr>
                    <w:rFonts w:ascii="Arial"/>
                    <w:color w:val="808080"/>
                    <w:sz w:val="16"/>
                  </w:rPr>
                  <w:t>Ag-</w:t>
                </w:r>
                <w:r>
                  <w:rPr>
                    <w:rFonts w:ascii="Arial"/>
                    <w:color w:val="808080"/>
                    <w:spacing w:val="-5"/>
                    <w:sz w:val="16"/>
                  </w:rPr>
                  <w:t> </w:t>
                </w:r>
                <w:r>
                  <w:rPr>
                    <w:rFonts w:ascii="Arial"/>
                    <w:color w:val="808080"/>
                    <w:sz w:val="16"/>
                  </w:rPr>
                  <w:t>test</w:t>
                </w:r>
                <w:r>
                  <w:rPr>
                    <w:rFonts w:ascii="Arial"/>
                    <w:color w:val="808080"/>
                    <w:spacing w:val="-5"/>
                    <w:sz w:val="16"/>
                  </w:rPr>
                  <w:t> </w:t>
                </w:r>
                <w:r>
                  <w:rPr>
                    <w:rFonts w:ascii="Arial"/>
                    <w:color w:val="808080"/>
                    <w:sz w:val="16"/>
                  </w:rPr>
                  <w:t>compared</w:t>
                </w:r>
                <w:r>
                  <w:rPr>
                    <w:rFonts w:ascii="Arial"/>
                    <w:color w:val="808080"/>
                    <w:spacing w:val="-5"/>
                    <w:sz w:val="16"/>
                  </w:rPr>
                  <w:t> </w:t>
                </w:r>
                <w:r>
                  <w:rPr>
                    <w:rFonts w:ascii="Arial"/>
                    <w:color w:val="808080"/>
                    <w:sz w:val="16"/>
                  </w:rPr>
                  <w:t>with</w:t>
                </w:r>
                <w:r>
                  <w:rPr>
                    <w:rFonts w:ascii="Arial"/>
                    <w:color w:val="808080"/>
                    <w:spacing w:val="-5"/>
                    <w:sz w:val="16"/>
                  </w:rPr>
                  <w:t> </w:t>
                </w:r>
                <w:r>
                  <w:rPr>
                    <w:rFonts w:ascii="Arial"/>
                    <w:color w:val="808080"/>
                    <w:sz w:val="16"/>
                  </w:rPr>
                  <w:t>RT-</w:t>
                </w:r>
                <w:r>
                  <w:rPr>
                    <w:rFonts w:ascii="Arial"/>
                    <w:color w:val="808080"/>
                    <w:spacing w:val="-4"/>
                    <w:sz w:val="16"/>
                  </w:rPr>
                  <w:t>qPC</w:t>
                </w:r>
                <w:r>
                  <w:rPr>
                    <w:color w:val="808080"/>
                    <w:spacing w:val="-4"/>
                    <w:sz w:val="16"/>
                  </w:rPr>
                  <w:t>R</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580017pt;margin-top:41.724503pt;width:12.1pt;height:13.05pt;mso-position-horizontal-relative:page;mso-position-vertical-relative:page;z-index:-17643520" type="#_x0000_t202" id="docshape496" filled="false" stroked="false">
          <v:textbox inset="0,0,0,0">
            <w:txbxContent>
              <w:p>
                <w:pPr>
                  <w:spacing w:before="10"/>
                  <w:ind w:left="20" w:right="0" w:firstLine="0"/>
                  <w:jc w:val="left"/>
                  <w:rPr>
                    <w:sz w:val="20"/>
                  </w:rPr>
                </w:pPr>
                <w:r>
                  <w:rPr>
                    <w:spacing w:val="-5"/>
                    <w:sz w:val="20"/>
                  </w:rPr>
                  <w:t>12</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903999pt;margin-top:41.946632pt;width:198.75pt;height:15.75pt;mso-position-horizontal-relative:page;mso-position-vertical-relative:page;z-index:-17643008" type="#_x0000_t202" id="docshape502" filled="false" stroked="false">
          <v:textbox inset="0,0,0,0">
            <w:txbxContent>
              <w:p>
                <w:pPr>
                  <w:spacing w:before="10"/>
                  <w:ind w:left="20" w:right="0" w:firstLine="0"/>
                  <w:jc w:val="left"/>
                  <w:rPr>
                    <w:sz w:val="24"/>
                  </w:rPr>
                </w:pP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14-</w:t>
                </w:r>
                <w:r>
                  <w:rPr>
                    <w:spacing w:val="-5"/>
                    <w:w w:val="105"/>
                    <w:sz w:val="24"/>
                  </w:rPr>
                  <w:t>17</w:t>
                </w:r>
              </w:p>
            </w:txbxContent>
          </v:textbox>
          <w10:wrap type="none"/>
        </v:shape>
      </w:pict>
    </w:r>
    <w:r>
      <w:rPr/>
      <w:pict>
        <v:shape style="position:absolute;margin-left:504.179993pt;margin-top:44.779526pt;width:45.2pt;height:29.2pt;mso-position-horizontal-relative:page;mso-position-vertical-relative:page;z-index:-17642496" type="#_x0000_t202" id="docshape503" filled="false" stroked="false">
          <v:textbox inset="0,0,0,0">
            <w:txbxContent>
              <w:p>
                <w:pPr>
                  <w:spacing w:before="20"/>
                  <w:ind w:left="20" w:right="0" w:firstLine="0"/>
                  <w:jc w:val="left"/>
                  <w:rPr>
                    <w:rFonts w:ascii="Courier New"/>
                    <w:sz w:val="48"/>
                  </w:rPr>
                </w:pPr>
                <w:r>
                  <w:rPr>
                    <w:rFonts w:ascii="Courier New"/>
                    <w:color w:val="999999"/>
                    <w:spacing w:val="-5"/>
                    <w:sz w:val="48"/>
                  </w:rPr>
                  <w:t>MMP</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41984" id="docshape504" filled="true" fillcolor="#000000" stroked="false">
          <v:fill type="solid"/>
          <w10:wrap type="none"/>
        </v:rect>
      </w:pict>
    </w:r>
    <w:r>
      <w:rPr/>
      <w:pict>
        <v:shape style="position:absolute;margin-left:53.903999pt;margin-top:41.724503pt;width:17.1pt;height:13.05pt;mso-position-horizontal-relative:page;mso-position-vertical-relative:page;z-index:-17641472" type="#_x0000_t202" id="docshape505" filled="false" stroked="false">
          <v:textbox inset="0,0,0,0">
            <w:txbxContent>
              <w:p>
                <w:pPr>
                  <w:spacing w:before="10"/>
                  <w:ind w:left="60" w:right="0" w:firstLine="0"/>
                  <w:jc w:val="left"/>
                  <w:rPr>
                    <w:sz w:val="20"/>
                  </w:rPr>
                </w:pPr>
                <w:r>
                  <w:rPr>
                    <w:spacing w:val="-5"/>
                    <w:sz w:val="20"/>
                  </w:rPr>
                  <w:t>15</w:t>
                </w:r>
              </w:p>
            </w:txbxContent>
          </v:textbox>
          <w10:wrap type="none"/>
        </v:shape>
      </w:pict>
    </w:r>
    <w:r>
      <w:rPr/>
      <w:pict>
        <v:shape style="position:absolute;margin-left:462.540009pt;margin-top:51.361595pt;width:77.25pt;height:11pt;mso-position-horizontal-relative:page;mso-position-vertical-relative:page;z-index:-17640960" type="#_x0000_t202" id="docshape506" filled="false" stroked="false">
          <v:textbox inset="0,0,0,0">
            <w:txbxContent>
              <w:p>
                <w:pPr>
                  <w:spacing w:before="15"/>
                  <w:ind w:left="20" w:right="0" w:firstLine="0"/>
                  <w:jc w:val="left"/>
                  <w:rPr>
                    <w:rFonts w:ascii="Arial"/>
                    <w:sz w:val="16"/>
                  </w:rPr>
                </w:pPr>
                <w:r>
                  <w:rPr>
                    <w:rFonts w:ascii="Arial"/>
                    <w:color w:val="808080"/>
                    <w:sz w:val="16"/>
                  </w:rPr>
                  <w:t>Robson</w:t>
                </w:r>
                <w:r>
                  <w:rPr>
                    <w:rFonts w:ascii="Arial"/>
                    <w:color w:val="808080"/>
                    <w:spacing w:val="-4"/>
                    <w:sz w:val="16"/>
                  </w:rPr>
                  <w:t> </w:t>
                </w:r>
                <w:r>
                  <w:rPr>
                    <w:rFonts w:ascii="Arial"/>
                    <w:color w:val="808080"/>
                    <w:spacing w:val="-2"/>
                    <w:sz w:val="16"/>
                  </w:rPr>
                  <w:t>classification</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580017pt;margin-top:41.724503pt;width:12.1pt;height:13.05pt;mso-position-horizontal-relative:page;mso-position-vertical-relative:page;z-index:-17640448" type="#_x0000_t202" id="docshape509" filled="false" stroked="false">
          <v:textbox inset="0,0,0,0">
            <w:txbxContent>
              <w:p>
                <w:pPr>
                  <w:spacing w:before="10"/>
                  <w:ind w:left="20" w:right="0" w:firstLine="0"/>
                  <w:jc w:val="left"/>
                  <w:rPr>
                    <w:sz w:val="20"/>
                  </w:rPr>
                </w:pPr>
                <w:r>
                  <w:rPr>
                    <w:spacing w:val="-5"/>
                    <w:sz w:val="20"/>
                  </w:rPr>
                  <w:t>16</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39936" id="docshape510" filled="true" fillcolor="#000000" stroked="false">
          <v:fill type="solid"/>
          <w10:wrap type="none"/>
        </v:rect>
      </w:pict>
    </w:r>
    <w:r>
      <w:rPr/>
      <w:pict>
        <v:shape style="position:absolute;margin-left:53.903999pt;margin-top:41.739975pt;width:16.1500pt;height:12pt;mso-position-horizontal-relative:page;mso-position-vertical-relative:page;z-index:-17639424" type="#_x0000_t202" id="docshape511" filled="false" stroked="false">
          <v:textbox inset="0,0,0,0">
            <w:txbxContent>
              <w:p>
                <w:pPr>
                  <w:spacing w:before="12"/>
                  <w:ind w:left="60" w:right="0" w:firstLine="0"/>
                  <w:jc w:val="left"/>
                  <w:rPr>
                    <w:sz w:val="18"/>
                  </w:rPr>
                </w:pPr>
                <w:r>
                  <w:rPr>
                    <w:spacing w:val="-5"/>
                    <w:sz w:val="18"/>
                  </w:rPr>
                  <w:t>17</w:t>
                </w:r>
              </w:p>
            </w:txbxContent>
          </v:textbox>
          <w10:wrap type="none"/>
        </v:shape>
      </w:pict>
    </w:r>
    <w:r>
      <w:rPr/>
      <w:pict>
        <v:shape style="position:absolute;margin-left:462.540009pt;margin-top:51.361595pt;width:77.25pt;height:11pt;mso-position-horizontal-relative:page;mso-position-vertical-relative:page;z-index:-17638912" type="#_x0000_t202" id="docshape512" filled="false" stroked="false">
          <v:textbox inset="0,0,0,0">
            <w:txbxContent>
              <w:p>
                <w:pPr>
                  <w:spacing w:before="15"/>
                  <w:ind w:left="20" w:right="0" w:firstLine="0"/>
                  <w:jc w:val="left"/>
                  <w:rPr>
                    <w:rFonts w:ascii="Arial"/>
                    <w:sz w:val="16"/>
                  </w:rPr>
                </w:pPr>
                <w:r>
                  <w:rPr>
                    <w:rFonts w:ascii="Arial"/>
                    <w:color w:val="808080"/>
                    <w:sz w:val="16"/>
                  </w:rPr>
                  <w:t>Robson</w:t>
                </w:r>
                <w:r>
                  <w:rPr>
                    <w:rFonts w:ascii="Arial"/>
                    <w:color w:val="808080"/>
                    <w:spacing w:val="-4"/>
                    <w:sz w:val="16"/>
                  </w:rPr>
                  <w:t> </w:t>
                </w:r>
                <w:r>
                  <w:rPr>
                    <w:rFonts w:ascii="Arial"/>
                    <w:color w:val="808080"/>
                    <w:spacing w:val="-2"/>
                    <w:sz w:val="16"/>
                  </w:rPr>
                  <w:t>classification</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38400" id="docshape521" filled="true" fillcolor="#000000" stroked="false">
          <v:fill type="solid"/>
          <w10:wrap type="none"/>
        </v:rect>
      </w:pict>
    </w:r>
    <w:r>
      <w:rPr/>
      <w:pict>
        <v:shape style="position:absolute;margin-left:53.903999pt;margin-top:41.724503pt;width:17.1pt;height:13.05pt;mso-position-horizontal-relative:page;mso-position-vertical-relative:page;z-index:-17637888" type="#_x0000_t202" id="docshape522"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19</w:t>
                </w:r>
                <w:r>
                  <w:rPr>
                    <w:spacing w:val="-5"/>
                    <w:sz w:val="20"/>
                  </w:rPr>
                  <w:fldChar w:fldCharType="end"/>
                </w:r>
              </w:p>
            </w:txbxContent>
          </v:textbox>
          <w10:wrap type="none"/>
        </v:shape>
      </w:pict>
    </w:r>
    <w:r>
      <w:rPr/>
      <w:pict>
        <v:shape style="position:absolute;margin-left:399.75pt;margin-top:51.361595pt;width:139.8pt;height:11pt;mso-position-horizontal-relative:page;mso-position-vertical-relative:page;z-index:-17637376" type="#_x0000_t202" id="docshape523" filled="false" stroked="false">
          <v:textbox inset="0,0,0,0">
            <w:txbxContent>
              <w:p>
                <w:pPr>
                  <w:spacing w:before="15"/>
                  <w:ind w:left="20" w:right="0" w:firstLine="0"/>
                  <w:jc w:val="left"/>
                  <w:rPr>
                    <w:rFonts w:ascii="Arial"/>
                    <w:sz w:val="16"/>
                  </w:rPr>
                </w:pPr>
                <w:r>
                  <w:rPr>
                    <w:rFonts w:ascii="Arial"/>
                    <w:color w:val="808080"/>
                    <w:sz w:val="16"/>
                  </w:rPr>
                  <w:t>Nephrotoxicity</w:t>
                </w:r>
                <w:r>
                  <w:rPr>
                    <w:rFonts w:ascii="Arial"/>
                    <w:color w:val="808080"/>
                    <w:spacing w:val="-9"/>
                    <w:sz w:val="16"/>
                  </w:rPr>
                  <w:t> </w:t>
                </w:r>
                <w:r>
                  <w:rPr>
                    <w:rFonts w:ascii="Arial"/>
                    <w:color w:val="808080"/>
                    <w:sz w:val="16"/>
                  </w:rPr>
                  <w:t>with</w:t>
                </w:r>
                <w:r>
                  <w:rPr>
                    <w:rFonts w:ascii="Arial"/>
                    <w:color w:val="808080"/>
                    <w:spacing w:val="-8"/>
                    <w:sz w:val="16"/>
                  </w:rPr>
                  <w:t> </w:t>
                </w:r>
                <w:r>
                  <w:rPr>
                    <w:rFonts w:ascii="Arial"/>
                    <w:color w:val="808080"/>
                    <w:sz w:val="16"/>
                  </w:rPr>
                  <w:t>rheumatoid</w:t>
                </w:r>
                <w:r>
                  <w:rPr>
                    <w:rFonts w:ascii="Arial"/>
                    <w:color w:val="808080"/>
                    <w:spacing w:val="-9"/>
                    <w:sz w:val="16"/>
                  </w:rPr>
                  <w:t> </w:t>
                </w:r>
                <w:r>
                  <w:rPr>
                    <w:rFonts w:ascii="Arial"/>
                    <w:color w:val="808080"/>
                    <w:spacing w:val="-2"/>
                    <w:sz w:val="16"/>
                  </w:rPr>
                  <w:t>arthritis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36864" id="docshape524" filled="true" fillcolor="#000000" stroked="false">
          <v:fill type="solid"/>
          <w10:wrap type="none"/>
        </v:rect>
      </w:pict>
    </w:r>
    <w:r>
      <w:rPr/>
      <w:pict>
        <v:shape style="position:absolute;margin-left:525.580017pt;margin-top:41.724503pt;width:17.1pt;height:13.05pt;mso-position-horizontal-relative:page;mso-position-vertical-relative:page;z-index:-17636352" type="#_x0000_t202" id="docshape525"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20</w:t>
                </w:r>
                <w:r>
                  <w:rPr>
                    <w:spacing w:val="-5"/>
                    <w:sz w:val="20"/>
                  </w:rPr>
                  <w:fldChar w:fldCharType="end"/>
                </w:r>
              </w:p>
            </w:txbxContent>
          </v:textbox>
          <w10:wrap type="none"/>
        </v:shape>
      </w:pict>
    </w:r>
    <w:r>
      <w:rPr/>
      <w:pict>
        <v:shape style="position:absolute;margin-left:55.903999pt;margin-top:50.761593pt;width:68.350pt;height:11pt;mso-position-horizontal-relative:page;mso-position-vertical-relative:page;z-index:-17635840" type="#_x0000_t202" id="docshape526" filled="false" stroked="false">
          <v:textbox inset="0,0,0,0">
            <w:txbxContent>
              <w:p>
                <w:pPr>
                  <w:spacing w:before="15"/>
                  <w:ind w:left="20" w:right="0" w:firstLine="0"/>
                  <w:jc w:val="left"/>
                  <w:rPr>
                    <w:rFonts w:ascii="Arial"/>
                    <w:sz w:val="16"/>
                  </w:rPr>
                </w:pPr>
                <w:r>
                  <w:rPr>
                    <w:rFonts w:ascii="Arial"/>
                    <w:color w:val="808080"/>
                    <w:sz w:val="16"/>
                  </w:rPr>
                  <w:t>Spasovski</w:t>
                </w:r>
                <w:r>
                  <w:rPr>
                    <w:rFonts w:ascii="Arial"/>
                    <w:color w:val="808080"/>
                    <w:spacing w:val="-8"/>
                    <w:sz w:val="16"/>
                  </w:rPr>
                  <w:t> </w:t>
                </w:r>
                <w:r>
                  <w:rPr>
                    <w:rFonts w:ascii="Arial"/>
                    <w:color w:val="808080"/>
                    <w:sz w:val="16"/>
                  </w:rPr>
                  <w:t>D.</w:t>
                </w:r>
                <w:r>
                  <w:rPr>
                    <w:rFonts w:ascii="Arial"/>
                    <w:color w:val="808080"/>
                    <w:spacing w:val="-2"/>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903999pt;margin-top:41.946632pt;width:198.75pt;height:15.75pt;mso-position-horizontal-relative:page;mso-position-vertical-relative:page;z-index:-17635328" type="#_x0000_t202" id="docshape541" filled="false" stroked="false">
          <v:textbox inset="0,0,0,0">
            <w:txbxContent>
              <w:p>
                <w:pPr>
                  <w:spacing w:before="10"/>
                  <w:ind w:left="20" w:right="0" w:firstLine="0"/>
                  <w:jc w:val="left"/>
                  <w:rPr>
                    <w:sz w:val="24"/>
                  </w:rPr>
                </w:pP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23-</w:t>
                </w:r>
                <w:r>
                  <w:rPr>
                    <w:spacing w:val="-5"/>
                    <w:w w:val="105"/>
                    <w:sz w:val="24"/>
                  </w:rPr>
                  <w:t>27</w:t>
                </w:r>
              </w:p>
            </w:txbxContent>
          </v:textbox>
          <w10:wrap type="none"/>
        </v:shape>
      </w:pict>
    </w:r>
    <w:r>
      <w:rPr/>
      <w:pict>
        <v:shape style="position:absolute;margin-left:504.179993pt;margin-top:44.779526pt;width:45.2pt;height:29.2pt;mso-position-horizontal-relative:page;mso-position-vertical-relative:page;z-index:-17634816" type="#_x0000_t202" id="docshape542" filled="false" stroked="false">
          <v:textbox inset="0,0,0,0">
            <w:txbxContent>
              <w:p>
                <w:pPr>
                  <w:spacing w:before="20"/>
                  <w:ind w:left="20" w:right="0" w:firstLine="0"/>
                  <w:jc w:val="left"/>
                  <w:rPr>
                    <w:rFonts w:ascii="Courier New"/>
                    <w:sz w:val="48"/>
                  </w:rPr>
                </w:pPr>
                <w:r>
                  <w:rPr>
                    <w:rFonts w:ascii="Courier New"/>
                    <w:color w:val="999999"/>
                    <w:spacing w:val="-5"/>
                    <w:sz w:val="48"/>
                  </w:rPr>
                  <w:t>MMP</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54272" id="docshape455" filled="true" fillcolor="#000000" stroked="false">
          <v:fill type="solid"/>
          <w10:wrap type="none"/>
        </v:rect>
      </w:pict>
    </w:r>
    <w:r>
      <w:rPr/>
      <w:pict>
        <v:shape style="position:absolute;margin-left:530.619995pt;margin-top:41.724503pt;width:12pt;height:13.05pt;mso-position-horizontal-relative:page;mso-position-vertical-relative:page;z-index:-17653760" type="#_x0000_t202" id="docshape456" filled="false" stroked="false">
          <v:textbox inset="0,0,0,0">
            <w:txbxContent>
              <w:p>
                <w:pPr>
                  <w:spacing w:before="10"/>
                  <w:ind w:left="60" w:right="0" w:firstLine="0"/>
                  <w:jc w:val="left"/>
                  <w:rPr>
                    <w:sz w:val="20"/>
                  </w:rPr>
                </w:pPr>
                <w:r>
                  <w:rPr>
                    <w:w w:val="99"/>
                    <w:sz w:val="20"/>
                  </w:rPr>
                  <w:t>2</w:t>
                </w:r>
              </w:p>
            </w:txbxContent>
          </v:textbox>
          <w10:wrap type="none"/>
        </v:shape>
      </w:pict>
    </w:r>
    <w:r>
      <w:rPr/>
      <w:pict>
        <v:shape style="position:absolute;margin-left:55.903999pt;margin-top:50.761593pt;width:104.8pt;height:11pt;mso-position-horizontal-relative:page;mso-position-vertical-relative:page;z-index:-17653248" type="#_x0000_t202" id="docshape457" filled="false" stroked="false">
          <v:textbox inset="0,0,0,0">
            <w:txbxContent>
              <w:p>
                <w:pPr>
                  <w:spacing w:before="15"/>
                  <w:ind w:left="20" w:right="0" w:firstLine="0"/>
                  <w:jc w:val="left"/>
                  <w:rPr>
                    <w:rFonts w:ascii="Arial"/>
                    <w:sz w:val="16"/>
                  </w:rPr>
                </w:pPr>
                <w:r>
                  <w:rPr>
                    <w:rFonts w:ascii="Arial"/>
                    <w:color w:val="808080"/>
                    <w:sz w:val="16"/>
                  </w:rPr>
                  <w:t>Danevska</w:t>
                </w:r>
                <w:r>
                  <w:rPr>
                    <w:rFonts w:ascii="Arial"/>
                    <w:color w:val="808080"/>
                    <w:spacing w:val="-9"/>
                    <w:sz w:val="16"/>
                  </w:rPr>
                  <w:t> </w:t>
                </w:r>
                <w:r>
                  <w:rPr>
                    <w:rFonts w:ascii="Arial"/>
                    <w:color w:val="808080"/>
                    <w:sz w:val="16"/>
                  </w:rPr>
                  <w:t>Arnaudova</w:t>
                </w:r>
                <w:r>
                  <w:rPr>
                    <w:rFonts w:ascii="Arial"/>
                    <w:color w:val="808080"/>
                    <w:spacing w:val="-4"/>
                    <w:sz w:val="16"/>
                  </w:rPr>
                  <w:t> </w:t>
                </w:r>
                <w:r>
                  <w:rPr>
                    <w:rFonts w:ascii="Arial"/>
                    <w:color w:val="808080"/>
                    <w:sz w:val="16"/>
                  </w:rPr>
                  <w:t>I.</w:t>
                </w:r>
                <w:r>
                  <w:rPr>
                    <w:rFonts w:ascii="Arial"/>
                    <w:color w:val="808080"/>
                    <w:spacing w:val="-2"/>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34304" id="docshape543" filled="true" fillcolor="#000000" stroked="false">
          <v:fill type="solid"/>
          <w10:wrap type="none"/>
        </v:rect>
      </w:pict>
    </w:r>
    <w:r>
      <w:rPr/>
      <w:pict>
        <v:shape style="position:absolute;margin-left:525.580017pt;margin-top:41.724503pt;width:17.1pt;height:13.05pt;mso-position-horizontal-relative:page;mso-position-vertical-relative:page;z-index:-17633792" type="#_x0000_t202" id="docshape544" filled="false" stroked="false">
          <v:textbox inset="0,0,0,0">
            <w:txbxContent>
              <w:p>
                <w:pPr>
                  <w:spacing w:before="10"/>
                  <w:ind w:left="60" w:right="0" w:firstLine="0"/>
                  <w:jc w:val="left"/>
                  <w:rPr>
                    <w:sz w:val="20"/>
                  </w:rPr>
                </w:pPr>
                <w:r>
                  <w:rPr>
                    <w:spacing w:val="-5"/>
                    <w:sz w:val="20"/>
                  </w:rPr>
                  <w:t>24</w:t>
                </w:r>
              </w:p>
            </w:txbxContent>
          </v:textbox>
          <w10:wrap type="none"/>
        </v:shape>
      </w:pict>
    </w:r>
    <w:r>
      <w:rPr/>
      <w:pict>
        <v:shape style="position:absolute;margin-left:55.903999pt;margin-top:50.761593pt;width:59.95pt;height:11pt;mso-position-horizontal-relative:page;mso-position-vertical-relative:page;z-index:-17633280" type="#_x0000_t202" id="docshape545" filled="false" stroked="false">
          <v:textbox inset="0,0,0,0">
            <w:txbxContent>
              <w:p>
                <w:pPr>
                  <w:spacing w:before="15"/>
                  <w:ind w:left="20" w:right="0" w:firstLine="0"/>
                  <w:jc w:val="left"/>
                  <w:rPr>
                    <w:rFonts w:ascii="Arial"/>
                    <w:sz w:val="16"/>
                  </w:rPr>
                </w:pPr>
                <w:r>
                  <w:rPr>
                    <w:rFonts w:ascii="Arial"/>
                    <w:color w:val="808080"/>
                    <w:sz w:val="16"/>
                  </w:rPr>
                  <w:t>Mitevska</w:t>
                </w:r>
                <w:r>
                  <w:rPr>
                    <w:rFonts w:ascii="Arial"/>
                    <w:color w:val="808080"/>
                    <w:spacing w:val="-5"/>
                    <w:sz w:val="16"/>
                  </w:rPr>
                  <w:t> </w:t>
                </w:r>
                <w:r>
                  <w:rPr>
                    <w:rFonts w:ascii="Arial"/>
                    <w:color w:val="808080"/>
                    <w:sz w:val="16"/>
                  </w:rPr>
                  <w:t>I.</w:t>
                </w:r>
                <w:r>
                  <w:rPr>
                    <w:rFonts w:ascii="Arial"/>
                    <w:color w:val="808080"/>
                    <w:spacing w:val="-2"/>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32768" id="docshape548" filled="true" fillcolor="#000000" stroked="false">
          <v:fill type="solid"/>
          <w10:wrap type="none"/>
        </v:rect>
      </w:pict>
    </w:r>
    <w:r>
      <w:rPr/>
      <w:pict>
        <v:shape style="position:absolute;margin-left:55.903999pt;margin-top:41.724503pt;width:12.1pt;height:13.05pt;mso-position-horizontal-relative:page;mso-position-vertical-relative:page;z-index:-17632256" type="#_x0000_t202" id="docshape549" filled="false" stroked="false">
          <v:textbox inset="0,0,0,0">
            <w:txbxContent>
              <w:p>
                <w:pPr>
                  <w:spacing w:before="10"/>
                  <w:ind w:left="20" w:right="0" w:firstLine="0"/>
                  <w:jc w:val="left"/>
                  <w:rPr>
                    <w:sz w:val="20"/>
                  </w:rPr>
                </w:pPr>
                <w:r>
                  <w:rPr>
                    <w:spacing w:val="-5"/>
                    <w:sz w:val="20"/>
                  </w:rPr>
                  <w:t>25</w:t>
                </w:r>
              </w:p>
            </w:txbxContent>
          </v:textbox>
          <w10:wrap type="none"/>
        </v:shape>
      </w:pict>
    </w:r>
    <w:r>
      <w:rPr/>
      <w:pict>
        <v:shape style="position:absolute;margin-left:450.059998pt;margin-top:51.361595pt;width:89.65pt;height:11pt;mso-position-horizontal-relative:page;mso-position-vertical-relative:page;z-index:-17631744" type="#_x0000_t202" id="docshape550" filled="false" stroked="false">
          <v:textbox inset="0,0,0,0">
            <w:txbxContent>
              <w:p>
                <w:pPr>
                  <w:spacing w:before="15"/>
                  <w:ind w:left="20" w:right="0" w:firstLine="0"/>
                  <w:jc w:val="left"/>
                  <w:rPr>
                    <w:rFonts w:ascii="Arial"/>
                    <w:sz w:val="16"/>
                  </w:rPr>
                </w:pPr>
                <w:r>
                  <w:rPr>
                    <w:rFonts w:ascii="Arial"/>
                    <w:color w:val="808080"/>
                    <w:sz w:val="16"/>
                  </w:rPr>
                  <w:t>COVID-19</w:t>
                </w:r>
                <w:r>
                  <w:rPr>
                    <w:rFonts w:ascii="Arial"/>
                    <w:color w:val="808080"/>
                    <w:spacing w:val="-5"/>
                    <w:sz w:val="16"/>
                  </w:rPr>
                  <w:t> </w:t>
                </w:r>
                <w:r>
                  <w:rPr>
                    <w:rFonts w:ascii="Arial"/>
                    <w:color w:val="808080"/>
                    <w:spacing w:val="-2"/>
                    <w:sz w:val="16"/>
                  </w:rPr>
                  <w:t>complications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31232" id="docshape551" filled="true" fillcolor="#000000" stroked="false">
          <v:fill type="solid"/>
          <w10:wrap type="none"/>
        </v:rect>
      </w:pict>
    </w:r>
    <w:r>
      <w:rPr/>
      <w:pict>
        <v:shape style="position:absolute;margin-left:527.580017pt;margin-top:41.724503pt;width:12.1pt;height:13.05pt;mso-position-horizontal-relative:page;mso-position-vertical-relative:page;z-index:-17630720" type="#_x0000_t202" id="docshape552" filled="false" stroked="false">
          <v:textbox inset="0,0,0,0">
            <w:txbxContent>
              <w:p>
                <w:pPr>
                  <w:spacing w:before="10"/>
                  <w:ind w:left="20" w:right="0" w:firstLine="0"/>
                  <w:jc w:val="left"/>
                  <w:rPr>
                    <w:sz w:val="20"/>
                  </w:rPr>
                </w:pPr>
                <w:r>
                  <w:rPr>
                    <w:spacing w:val="-5"/>
                    <w:sz w:val="20"/>
                  </w:rPr>
                  <w:t>26</w:t>
                </w:r>
              </w:p>
            </w:txbxContent>
          </v:textbox>
          <w10:wrap type="none"/>
        </v:shape>
      </w:pict>
    </w:r>
    <w:r>
      <w:rPr/>
      <w:pict>
        <v:shape style="position:absolute;margin-left:55.903999pt;margin-top:50.761593pt;width:59.95pt;height:11pt;mso-position-horizontal-relative:page;mso-position-vertical-relative:page;z-index:-17630208" type="#_x0000_t202" id="docshape553" filled="false" stroked="false">
          <v:textbox inset="0,0,0,0">
            <w:txbxContent>
              <w:p>
                <w:pPr>
                  <w:spacing w:before="15"/>
                  <w:ind w:left="20" w:right="0" w:firstLine="0"/>
                  <w:jc w:val="left"/>
                  <w:rPr>
                    <w:rFonts w:ascii="Arial"/>
                    <w:sz w:val="16"/>
                  </w:rPr>
                </w:pPr>
                <w:r>
                  <w:rPr>
                    <w:rFonts w:ascii="Arial"/>
                    <w:color w:val="808080"/>
                    <w:sz w:val="16"/>
                  </w:rPr>
                  <w:t>Mitevska</w:t>
                </w:r>
                <w:r>
                  <w:rPr>
                    <w:rFonts w:ascii="Arial"/>
                    <w:color w:val="808080"/>
                    <w:spacing w:val="-5"/>
                    <w:sz w:val="16"/>
                  </w:rPr>
                  <w:t> </w:t>
                </w:r>
                <w:r>
                  <w:rPr>
                    <w:rFonts w:ascii="Arial"/>
                    <w:color w:val="808080"/>
                    <w:sz w:val="16"/>
                  </w:rPr>
                  <w:t>I.</w:t>
                </w:r>
                <w:r>
                  <w:rPr>
                    <w:rFonts w:ascii="Arial"/>
                    <w:color w:val="808080"/>
                    <w:spacing w:val="-2"/>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29696" id="docshape554" filled="true" fillcolor="#000000" stroked="false">
          <v:fill type="solid"/>
          <w10:wrap type="none"/>
        </v:rect>
      </w:pict>
    </w:r>
    <w:r>
      <w:rPr/>
      <w:pict>
        <v:shape style="position:absolute;margin-left:55.903999pt;margin-top:41.724503pt;width:12.1pt;height:13.05pt;mso-position-horizontal-relative:page;mso-position-vertical-relative:page;z-index:-17629184" type="#_x0000_t202" id="docshape555" filled="false" stroked="false">
          <v:textbox inset="0,0,0,0">
            <w:txbxContent>
              <w:p>
                <w:pPr>
                  <w:spacing w:before="10"/>
                  <w:ind w:left="20" w:right="0" w:firstLine="0"/>
                  <w:jc w:val="left"/>
                  <w:rPr>
                    <w:sz w:val="20"/>
                  </w:rPr>
                </w:pPr>
                <w:r>
                  <w:rPr>
                    <w:spacing w:val="-5"/>
                    <w:sz w:val="20"/>
                  </w:rPr>
                  <w:t>27</w:t>
                </w:r>
              </w:p>
            </w:txbxContent>
          </v:textbox>
          <w10:wrap type="none"/>
        </v:shape>
      </w:pict>
    </w:r>
    <w:r>
      <w:rPr/>
      <w:pict>
        <v:shape style="position:absolute;margin-left:450.059998pt;margin-top:51.361595pt;width:89.65pt;height:11pt;mso-position-horizontal-relative:page;mso-position-vertical-relative:page;z-index:-17628672" type="#_x0000_t202" id="docshape556" filled="false" stroked="false">
          <v:textbox inset="0,0,0,0">
            <w:txbxContent>
              <w:p>
                <w:pPr>
                  <w:spacing w:before="15"/>
                  <w:ind w:left="20" w:right="0" w:firstLine="0"/>
                  <w:jc w:val="left"/>
                  <w:rPr>
                    <w:rFonts w:ascii="Arial"/>
                    <w:sz w:val="16"/>
                  </w:rPr>
                </w:pPr>
                <w:r>
                  <w:rPr>
                    <w:rFonts w:ascii="Arial"/>
                    <w:color w:val="808080"/>
                    <w:sz w:val="16"/>
                  </w:rPr>
                  <w:t>COVID-19</w:t>
                </w:r>
                <w:r>
                  <w:rPr>
                    <w:rFonts w:ascii="Arial"/>
                    <w:color w:val="808080"/>
                    <w:spacing w:val="-6"/>
                    <w:sz w:val="16"/>
                  </w:rPr>
                  <w:t> </w:t>
                </w:r>
                <w:r>
                  <w:rPr>
                    <w:rFonts w:ascii="Arial"/>
                    <w:color w:val="808080"/>
                    <w:spacing w:val="-2"/>
                    <w:sz w:val="16"/>
                  </w:rPr>
                  <w:t>complications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28160" id="docshape560" filled="true" fillcolor="#000000" stroked="false">
          <v:fill type="solid"/>
          <w10:wrap type="none"/>
        </v:rect>
      </w:pict>
    </w:r>
    <w:r>
      <w:rPr/>
      <w:pict>
        <v:shape style="position:absolute;margin-left:55.903999pt;margin-top:41.724503pt;width:12.1pt;height:13.05pt;mso-position-horizontal-relative:page;mso-position-vertical-relative:page;z-index:-17627648" type="#_x0000_t202" id="docshape561" filled="false" stroked="false">
          <v:textbox inset="0,0,0,0">
            <w:txbxContent>
              <w:p>
                <w:pPr>
                  <w:spacing w:before="10"/>
                  <w:ind w:left="20" w:right="0" w:firstLine="0"/>
                  <w:jc w:val="left"/>
                  <w:rPr>
                    <w:sz w:val="20"/>
                  </w:rPr>
                </w:pPr>
                <w:r>
                  <w:rPr>
                    <w:spacing w:val="-5"/>
                    <w:sz w:val="20"/>
                  </w:rPr>
                  <w:t>29</w:t>
                </w:r>
              </w:p>
            </w:txbxContent>
          </v:textbox>
          <w10:wrap type="none"/>
        </v:shape>
      </w:pict>
    </w:r>
    <w:r>
      <w:rPr/>
      <w:pict>
        <v:shape style="position:absolute;margin-left:452.700012pt;margin-top:51.361595pt;width:87pt;height:11pt;mso-position-horizontal-relative:page;mso-position-vertical-relative:page;z-index:-17627136" type="#_x0000_t202" id="docshape562" filled="false" stroked="false">
          <v:textbox inset="0,0,0,0">
            <w:txbxContent>
              <w:p>
                <w:pPr>
                  <w:spacing w:before="15"/>
                  <w:ind w:left="20" w:right="0" w:firstLine="0"/>
                  <w:jc w:val="left"/>
                  <w:rPr>
                    <w:rFonts w:ascii="Arial"/>
                    <w:sz w:val="16"/>
                  </w:rPr>
                </w:pPr>
                <w:r>
                  <w:rPr>
                    <w:rFonts w:ascii="Arial"/>
                    <w:color w:val="808080"/>
                    <w:spacing w:val="-2"/>
                    <w:sz w:val="16"/>
                  </w:rPr>
                  <w:t>Explorative</w:t>
                </w:r>
                <w:r>
                  <w:rPr>
                    <w:rFonts w:ascii="Arial"/>
                    <w:color w:val="808080"/>
                    <w:spacing w:val="10"/>
                    <w:sz w:val="16"/>
                  </w:rPr>
                  <w:t> </w:t>
                </w:r>
                <w:r>
                  <w:rPr>
                    <w:rFonts w:ascii="Arial"/>
                    <w:color w:val="808080"/>
                    <w:spacing w:val="-2"/>
                    <w:sz w:val="16"/>
                  </w:rPr>
                  <w:t>laparoscopy</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26624" id="docshape563" filled="true" fillcolor="#000000" stroked="false">
          <v:fill type="solid"/>
          <w10:wrap type="none"/>
        </v:rect>
      </w:pict>
    </w:r>
    <w:r>
      <w:rPr/>
      <w:pict>
        <v:shape style="position:absolute;margin-left:527.580017pt;margin-top:41.724503pt;width:12.1pt;height:13.05pt;mso-position-horizontal-relative:page;mso-position-vertical-relative:page;z-index:-17626112" type="#_x0000_t202" id="docshape564" filled="false" stroked="false">
          <v:textbox inset="0,0,0,0">
            <w:txbxContent>
              <w:p>
                <w:pPr>
                  <w:spacing w:before="10"/>
                  <w:ind w:left="20" w:right="0" w:firstLine="0"/>
                  <w:jc w:val="left"/>
                  <w:rPr>
                    <w:sz w:val="20"/>
                  </w:rPr>
                </w:pPr>
                <w:r>
                  <w:rPr>
                    <w:spacing w:val="-5"/>
                    <w:sz w:val="20"/>
                  </w:rPr>
                  <w:t>30</w:t>
                </w:r>
              </w:p>
            </w:txbxContent>
          </v:textbox>
          <w10:wrap type="none"/>
        </v:shape>
      </w:pict>
    </w:r>
    <w:r>
      <w:rPr/>
      <w:pict>
        <v:shape style="position:absolute;margin-left:55.903999pt;margin-top:50.761593pt;width:67.5pt;height:11pt;mso-position-horizontal-relative:page;mso-position-vertical-relative:page;z-index:-17625600" type="#_x0000_t202" id="docshape565" filled="false" stroked="false">
          <v:textbox inset="0,0,0,0">
            <w:txbxContent>
              <w:p>
                <w:pPr>
                  <w:spacing w:before="15"/>
                  <w:ind w:left="20" w:right="0" w:firstLine="0"/>
                  <w:jc w:val="left"/>
                  <w:rPr>
                    <w:rFonts w:ascii="Arial"/>
                    <w:sz w:val="16"/>
                  </w:rPr>
                </w:pPr>
                <w:r>
                  <w:rPr>
                    <w:rFonts w:ascii="Arial"/>
                    <w:color w:val="808080"/>
                    <w:sz w:val="16"/>
                  </w:rPr>
                  <w:t>Stojcevski</w:t>
                </w:r>
                <w:r>
                  <w:rPr>
                    <w:rFonts w:ascii="Arial"/>
                    <w:color w:val="808080"/>
                    <w:spacing w:val="-5"/>
                    <w:sz w:val="16"/>
                  </w:rPr>
                  <w:t> </w:t>
                </w:r>
                <w:r>
                  <w:rPr>
                    <w:rFonts w:ascii="Arial"/>
                    <w:color w:val="808080"/>
                    <w:sz w:val="16"/>
                  </w:rPr>
                  <w:t>S.</w:t>
                </w:r>
                <w:r>
                  <w:rPr>
                    <w:rFonts w:ascii="Arial"/>
                    <w:color w:val="808080"/>
                    <w:spacing w:val="-3"/>
                    <w:sz w:val="16"/>
                  </w:rPr>
                  <w:t> </w:t>
                </w:r>
                <w:r>
                  <w:rPr>
                    <w:rFonts w:ascii="Arial"/>
                    <w:i/>
                    <w:color w:val="808080"/>
                    <w:sz w:val="16"/>
                  </w:rPr>
                  <w:t>et</w:t>
                </w:r>
                <w:r>
                  <w:rPr>
                    <w:rFonts w:ascii="Arial"/>
                    <w:i/>
                    <w:color w:val="808080"/>
                    <w:spacing w:val="-4"/>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903999pt;margin-top:41.946632pt;width:198.75pt;height:15.75pt;mso-position-horizontal-relative:page;mso-position-vertical-relative:page;z-index:-17625088" type="#_x0000_t202" id="docshape567" filled="false" stroked="false">
          <v:textbox inset="0,0,0,0">
            <w:txbxContent>
              <w:p>
                <w:pPr>
                  <w:spacing w:before="10"/>
                  <w:ind w:left="20" w:right="0" w:firstLine="0"/>
                  <w:jc w:val="left"/>
                  <w:rPr>
                    <w:sz w:val="24"/>
                  </w:rPr>
                </w:pP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31-</w:t>
                </w:r>
                <w:r>
                  <w:rPr>
                    <w:spacing w:val="-5"/>
                    <w:w w:val="105"/>
                    <w:sz w:val="24"/>
                  </w:rPr>
                  <w:t>33</w:t>
                </w:r>
              </w:p>
            </w:txbxContent>
          </v:textbox>
          <w10:wrap type="none"/>
        </v:shape>
      </w:pict>
    </w:r>
    <w:r>
      <w:rPr/>
      <w:pict>
        <v:shape style="position:absolute;margin-left:504.179993pt;margin-top:44.779526pt;width:45.2pt;height:29.2pt;mso-position-horizontal-relative:page;mso-position-vertical-relative:page;z-index:-17624576" type="#_x0000_t202" id="docshape568" filled="false" stroked="false">
          <v:textbox inset="0,0,0,0">
            <w:txbxContent>
              <w:p>
                <w:pPr>
                  <w:spacing w:before="20"/>
                  <w:ind w:left="20" w:right="0" w:firstLine="0"/>
                  <w:jc w:val="left"/>
                  <w:rPr>
                    <w:rFonts w:ascii="Courier New"/>
                    <w:sz w:val="48"/>
                  </w:rPr>
                </w:pPr>
                <w:r>
                  <w:rPr>
                    <w:rFonts w:ascii="Courier New"/>
                    <w:color w:val="999999"/>
                    <w:spacing w:val="-5"/>
                    <w:sz w:val="48"/>
                  </w:rPr>
                  <w:t>MMP</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24064" id="docshape569" filled="true" fillcolor="#000000" stroked="false">
          <v:fill type="solid"/>
          <w10:wrap type="none"/>
        </v:rect>
      </w:pict>
    </w:r>
    <w:r>
      <w:rPr/>
      <w:pict>
        <v:shape style="position:absolute;margin-left:527.580017pt;margin-top:41.724503pt;width:12.1pt;height:13.05pt;mso-position-horizontal-relative:page;mso-position-vertical-relative:page;z-index:-17623552" type="#_x0000_t202" id="docshape570" filled="false" stroked="false">
          <v:textbox inset="0,0,0,0">
            <w:txbxContent>
              <w:p>
                <w:pPr>
                  <w:spacing w:before="10"/>
                  <w:ind w:left="20" w:right="0" w:firstLine="0"/>
                  <w:jc w:val="left"/>
                  <w:rPr>
                    <w:sz w:val="20"/>
                  </w:rPr>
                </w:pPr>
                <w:r>
                  <w:rPr>
                    <w:spacing w:val="-5"/>
                    <w:sz w:val="20"/>
                  </w:rPr>
                  <w:t>32</w:t>
                </w:r>
              </w:p>
            </w:txbxContent>
          </v:textbox>
          <w10:wrap type="none"/>
        </v:shape>
      </w:pict>
    </w:r>
    <w:r>
      <w:rPr/>
      <w:pict>
        <v:shape style="position:absolute;margin-left:55.903999pt;margin-top:50.761593pt;width:55pt;height:11pt;mso-position-horizontal-relative:page;mso-position-vertical-relative:page;z-index:-17623040" type="#_x0000_t202" id="docshape571" filled="false" stroked="false">
          <v:textbox inset="0,0,0,0">
            <w:txbxContent>
              <w:p>
                <w:pPr>
                  <w:spacing w:before="15"/>
                  <w:ind w:left="20" w:right="0" w:firstLine="0"/>
                  <w:jc w:val="left"/>
                  <w:rPr>
                    <w:rFonts w:ascii="Arial"/>
                    <w:sz w:val="16"/>
                  </w:rPr>
                </w:pPr>
                <w:r>
                  <w:rPr>
                    <w:rFonts w:ascii="Arial"/>
                    <w:color w:val="808080"/>
                    <w:sz w:val="16"/>
                  </w:rPr>
                  <w:t>Purrini</w:t>
                </w:r>
                <w:r>
                  <w:rPr>
                    <w:rFonts w:ascii="Arial"/>
                    <w:color w:val="808080"/>
                    <w:spacing w:val="-2"/>
                    <w:sz w:val="16"/>
                  </w:rPr>
                  <w:t> </w:t>
                </w:r>
                <w:r>
                  <w:rPr>
                    <w:rFonts w:ascii="Arial"/>
                    <w:color w:val="808080"/>
                    <w:sz w:val="16"/>
                  </w:rPr>
                  <w:t>R.</w:t>
                </w:r>
                <w:r>
                  <w:rPr>
                    <w:rFonts w:ascii="Arial"/>
                    <w:color w:val="808080"/>
                    <w:spacing w:val="-2"/>
                    <w:sz w:val="16"/>
                  </w:rPr>
                  <w:t> </w:t>
                </w:r>
                <w:r>
                  <w:rPr>
                    <w:rFonts w:ascii="Arial"/>
                    <w:i/>
                    <w:color w:val="808080"/>
                    <w:sz w:val="16"/>
                  </w:rPr>
                  <w:t>et</w:t>
                </w:r>
                <w:r>
                  <w:rPr>
                    <w:rFonts w:ascii="Arial"/>
                    <w:i/>
                    <w:color w:val="808080"/>
                    <w:spacing w:val="-1"/>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52736" id="docshape461" filled="true" fillcolor="#000000" stroked="false">
          <v:fill type="solid"/>
          <w10:wrap type="none"/>
        </v:rect>
      </w:pict>
    </w:r>
    <w:r>
      <w:rPr/>
      <w:pict>
        <v:shape style="position:absolute;margin-left:53.903999pt;margin-top:41.724503pt;width:12pt;height:13.05pt;mso-position-horizontal-relative:page;mso-position-vertical-relative:page;z-index:-17652224" type="#_x0000_t202" id="docshape462" filled="false" stroked="false">
          <v:textbox inset="0,0,0,0">
            <w:txbxContent>
              <w:p>
                <w:pPr>
                  <w:spacing w:before="10"/>
                  <w:ind w:left="60" w:right="0" w:firstLine="0"/>
                  <w:jc w:val="left"/>
                  <w:rPr>
                    <w:sz w:val="20"/>
                  </w:rPr>
                </w:pPr>
                <w:r>
                  <w:rPr>
                    <w:w w:val="99"/>
                    <w:sz w:val="20"/>
                  </w:rPr>
                  <w:fldChar w:fldCharType="begin"/>
                </w:r>
                <w:r>
                  <w:rPr>
                    <w:w w:val="99"/>
                    <w:sz w:val="20"/>
                  </w:rPr>
                  <w:instrText> PAGE </w:instrText>
                </w:r>
                <w:r>
                  <w:rPr>
                    <w:w w:val="99"/>
                    <w:sz w:val="20"/>
                  </w:rPr>
                  <w:fldChar w:fldCharType="separate"/>
                </w:r>
                <w:r>
                  <w:rPr>
                    <w:w w:val="99"/>
                    <w:sz w:val="20"/>
                  </w:rPr>
                  <w:t>3</w:t>
                </w:r>
                <w:r>
                  <w:rPr>
                    <w:w w:val="99"/>
                    <w:sz w:val="20"/>
                  </w:rPr>
                  <w:fldChar w:fldCharType="end"/>
                </w:r>
              </w:p>
            </w:txbxContent>
          </v:textbox>
          <w10:wrap type="none"/>
        </v:shape>
      </w:pict>
    </w:r>
    <w:r>
      <w:rPr/>
      <w:pict>
        <v:shape style="position:absolute;margin-left:478.5pt;margin-top:51.361595pt;width:61.25pt;height:11pt;mso-position-horizontal-relative:page;mso-position-vertical-relative:page;z-index:-17651712" type="#_x0000_t202" id="docshape463" filled="false" stroked="false">
          <v:textbox inset="0,0,0,0">
            <w:txbxContent>
              <w:p>
                <w:pPr>
                  <w:spacing w:before="15"/>
                  <w:ind w:left="20" w:right="0" w:firstLine="0"/>
                  <w:jc w:val="left"/>
                  <w:rPr>
                    <w:rFonts w:ascii="Arial"/>
                    <w:sz w:val="16"/>
                  </w:rPr>
                </w:pPr>
                <w:r>
                  <w:rPr>
                    <w:rFonts w:ascii="Arial"/>
                    <w:color w:val="808080"/>
                    <w:sz w:val="16"/>
                  </w:rPr>
                  <w:t>Clinical</w:t>
                </w:r>
                <w:r>
                  <w:rPr>
                    <w:rFonts w:ascii="Arial"/>
                    <w:color w:val="808080"/>
                    <w:spacing w:val="-6"/>
                    <w:sz w:val="16"/>
                  </w:rPr>
                  <w:t> </w:t>
                </w:r>
                <w:r>
                  <w:rPr>
                    <w:rFonts w:ascii="Arial"/>
                    <w:color w:val="808080"/>
                    <w:spacing w:val="-2"/>
                    <w:sz w:val="16"/>
                  </w:rPr>
                  <w:t>research</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22528" id="docshape574" filled="true" fillcolor="#000000" stroked="false">
          <v:fill type="solid"/>
          <w10:wrap type="none"/>
        </v:rect>
      </w:pict>
    </w:r>
    <w:r>
      <w:rPr/>
      <w:pict>
        <v:shape style="position:absolute;margin-left:55.903999pt;margin-top:41.724503pt;width:12.1pt;height:13.05pt;mso-position-horizontal-relative:page;mso-position-vertical-relative:page;z-index:-17622016" type="#_x0000_t202" id="docshape575" filled="false" stroked="false">
          <v:textbox inset="0,0,0,0">
            <w:txbxContent>
              <w:p>
                <w:pPr>
                  <w:spacing w:before="10"/>
                  <w:ind w:left="20" w:right="0" w:firstLine="0"/>
                  <w:jc w:val="left"/>
                  <w:rPr>
                    <w:sz w:val="20"/>
                  </w:rPr>
                </w:pPr>
                <w:r>
                  <w:rPr>
                    <w:spacing w:val="-5"/>
                    <w:sz w:val="20"/>
                  </w:rPr>
                  <w:t>33</w:t>
                </w:r>
              </w:p>
            </w:txbxContent>
          </v:textbox>
          <w10:wrap type="none"/>
        </v:shape>
      </w:pict>
    </w:r>
    <w:r>
      <w:rPr/>
      <w:pict>
        <v:shape style="position:absolute;margin-left:422.100006pt;margin-top:51.361595pt;width:117.75pt;height:11pt;mso-position-horizontal-relative:page;mso-position-vertical-relative:page;z-index:-17621504" type="#_x0000_t202" id="docshape576" filled="false" stroked="false">
          <v:textbox inset="0,0,0,0">
            <w:txbxContent>
              <w:p>
                <w:pPr>
                  <w:spacing w:before="15"/>
                  <w:ind w:left="20" w:right="0" w:firstLine="0"/>
                  <w:jc w:val="left"/>
                  <w:rPr>
                    <w:rFonts w:ascii="Arial"/>
                    <w:sz w:val="16"/>
                  </w:rPr>
                </w:pPr>
                <w:r>
                  <w:rPr>
                    <w:rFonts w:ascii="Arial"/>
                    <w:color w:val="808080"/>
                    <w:sz w:val="16"/>
                  </w:rPr>
                  <w:t>Macrohematuria</w:t>
                </w:r>
                <w:r>
                  <w:rPr>
                    <w:rFonts w:ascii="Arial"/>
                    <w:color w:val="808080"/>
                    <w:spacing w:val="-11"/>
                    <w:sz w:val="16"/>
                  </w:rPr>
                  <w:t> </w:t>
                </w:r>
                <w:r>
                  <w:rPr>
                    <w:rFonts w:ascii="Arial"/>
                    <w:color w:val="808080"/>
                    <w:sz w:val="16"/>
                  </w:rPr>
                  <w:t>in</w:t>
                </w:r>
                <w:r>
                  <w:rPr>
                    <w:rFonts w:ascii="Arial"/>
                    <w:color w:val="808080"/>
                    <w:spacing w:val="-10"/>
                    <w:sz w:val="16"/>
                  </w:rPr>
                  <w:t> </w:t>
                </w:r>
                <w:r>
                  <w:rPr>
                    <w:rFonts w:ascii="Arial"/>
                    <w:color w:val="808080"/>
                    <w:sz w:val="16"/>
                  </w:rPr>
                  <w:t>SARS-CoV-</w:t>
                </w:r>
                <w:r>
                  <w:rPr>
                    <w:rFonts w:ascii="Arial"/>
                    <w:color w:val="808080"/>
                    <w:spacing w:val="-10"/>
                    <w:sz w:val="16"/>
                  </w:rPr>
                  <w:t>2</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20992" id="docshape581" filled="true" fillcolor="#000000" stroked="false">
          <v:fill type="solid"/>
          <w10:wrap type="none"/>
        </v:rect>
      </w:pict>
    </w:r>
    <w:r>
      <w:rPr/>
      <w:pict>
        <v:shape style="position:absolute;margin-left:53.903999pt;margin-top:41.724503pt;width:17.1pt;height:13.05pt;mso-position-horizontal-relative:page;mso-position-vertical-relative:page;z-index:-17620480" type="#_x0000_t202" id="docshape582"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35</w:t>
                </w:r>
                <w:r>
                  <w:rPr>
                    <w:spacing w:val="-5"/>
                    <w:sz w:val="20"/>
                  </w:rPr>
                  <w:fldChar w:fldCharType="end"/>
                </w:r>
              </w:p>
            </w:txbxContent>
          </v:textbox>
          <w10:wrap type="none"/>
        </v:shape>
      </w:pict>
    </w:r>
    <w:r>
      <w:rPr/>
      <w:pict>
        <v:shape style="position:absolute;margin-left:473.579987pt;margin-top:51.361595pt;width:66.25pt;height:11pt;mso-position-horizontal-relative:page;mso-position-vertical-relative:page;z-index:-17619968" type="#_x0000_t202" id="docshape583" filled="false" stroked="false">
          <v:textbox inset="0,0,0,0">
            <w:txbxContent>
              <w:p>
                <w:pPr>
                  <w:spacing w:before="15"/>
                  <w:ind w:left="20" w:right="0" w:firstLine="0"/>
                  <w:jc w:val="left"/>
                  <w:rPr>
                    <w:rFonts w:ascii="Arial"/>
                    <w:sz w:val="16"/>
                  </w:rPr>
                </w:pPr>
                <w:r>
                  <w:rPr>
                    <w:rFonts w:ascii="Arial"/>
                    <w:color w:val="808080"/>
                    <w:sz w:val="16"/>
                  </w:rPr>
                  <w:t>Kawasaki</w:t>
                </w:r>
                <w:r>
                  <w:rPr>
                    <w:rFonts w:ascii="Arial"/>
                    <w:color w:val="808080"/>
                    <w:spacing w:val="-5"/>
                    <w:sz w:val="16"/>
                  </w:rPr>
                  <w:t> </w:t>
                </w:r>
                <w:r>
                  <w:rPr>
                    <w:rFonts w:ascii="Arial"/>
                    <w:color w:val="808080"/>
                    <w:spacing w:val="-2"/>
                    <w:sz w:val="16"/>
                  </w:rPr>
                  <w:t>disease</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19456" id="docshape585" filled="true" fillcolor="#000000" stroked="false">
          <v:fill type="solid"/>
          <w10:wrap type="none"/>
        </v:rect>
      </w:pict>
    </w:r>
    <w:r>
      <w:rPr/>
      <w:pict>
        <v:shape style="position:absolute;margin-left:53.903999pt;margin-top:41.724503pt;width:17.1pt;height:13.05pt;mso-position-horizontal-relative:page;mso-position-vertical-relative:page;z-index:-17618944" type="#_x0000_t202" id="docshape586"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37</w:t>
                </w:r>
                <w:r>
                  <w:rPr>
                    <w:spacing w:val="-5"/>
                    <w:sz w:val="20"/>
                  </w:rPr>
                  <w:fldChar w:fldCharType="end"/>
                </w:r>
              </w:p>
            </w:txbxContent>
          </v:textbox>
          <w10:wrap type="none"/>
        </v:shape>
      </w:pict>
    </w:r>
    <w:r>
      <w:rPr/>
      <w:pict>
        <v:shape style="position:absolute;margin-left:473.579987pt;margin-top:51.361595pt;width:66.25pt;height:11pt;mso-position-horizontal-relative:page;mso-position-vertical-relative:page;z-index:-17618432" type="#_x0000_t202" id="docshape587" filled="false" stroked="false">
          <v:textbox inset="0,0,0,0">
            <w:txbxContent>
              <w:p>
                <w:pPr>
                  <w:spacing w:before="15"/>
                  <w:ind w:left="20" w:right="0" w:firstLine="0"/>
                  <w:jc w:val="left"/>
                  <w:rPr>
                    <w:rFonts w:ascii="Arial"/>
                    <w:sz w:val="16"/>
                  </w:rPr>
                </w:pPr>
                <w:r>
                  <w:rPr>
                    <w:rFonts w:ascii="Arial"/>
                    <w:color w:val="808080"/>
                    <w:sz w:val="16"/>
                  </w:rPr>
                  <w:t>Kawasaki</w:t>
                </w:r>
                <w:r>
                  <w:rPr>
                    <w:rFonts w:ascii="Arial"/>
                    <w:color w:val="808080"/>
                    <w:spacing w:val="-5"/>
                    <w:sz w:val="16"/>
                  </w:rPr>
                  <w:t> </w:t>
                </w:r>
                <w:r>
                  <w:rPr>
                    <w:rFonts w:ascii="Arial"/>
                    <w:color w:val="808080"/>
                    <w:spacing w:val="-2"/>
                    <w:sz w:val="16"/>
                  </w:rPr>
                  <w:t>disease</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17920" id="docshape592" filled="true" fillcolor="#000000" stroked="false">
          <v:fill type="solid"/>
          <w10:wrap type="none"/>
        </v:rect>
      </w:pict>
    </w:r>
    <w:r>
      <w:rPr/>
      <w:pict>
        <v:shape style="position:absolute;margin-left:53.903999pt;margin-top:41.724503pt;width:17.1pt;height:13.05pt;mso-position-horizontal-relative:page;mso-position-vertical-relative:page;z-index:-17617408" type="#_x0000_t202" id="docshape593"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39</w:t>
                </w:r>
                <w:r>
                  <w:rPr>
                    <w:spacing w:val="-5"/>
                    <w:sz w:val="20"/>
                  </w:rPr>
                  <w:fldChar w:fldCharType="end"/>
                </w:r>
              </w:p>
            </w:txbxContent>
          </v:textbox>
          <w10:wrap type="none"/>
        </v:shape>
      </w:pict>
    </w:r>
    <w:r>
      <w:rPr/>
      <w:pict>
        <v:shape style="position:absolute;margin-left:415.26001pt;margin-top:51.361595pt;width:124.55pt;height:11pt;mso-position-horizontal-relative:page;mso-position-vertical-relative:page;z-index:-17616896" type="#_x0000_t202" id="docshape594" filled="false" stroked="false">
          <v:textbox inset="0,0,0,0">
            <w:txbxContent>
              <w:p>
                <w:pPr>
                  <w:spacing w:before="15"/>
                  <w:ind w:left="20" w:right="0" w:firstLine="0"/>
                  <w:jc w:val="left"/>
                  <w:rPr>
                    <w:rFonts w:ascii="Arial"/>
                    <w:sz w:val="16"/>
                  </w:rPr>
                </w:pPr>
                <w:r>
                  <w:rPr>
                    <w:rFonts w:ascii="Arial"/>
                    <w:color w:val="808080"/>
                    <w:spacing w:val="-4"/>
                    <w:sz w:val="16"/>
                  </w:rPr>
                  <w:t>Unexpected</w:t>
                </w:r>
                <w:r>
                  <w:rPr>
                    <w:rFonts w:ascii="Arial"/>
                    <w:color w:val="808080"/>
                    <w:spacing w:val="6"/>
                    <w:sz w:val="16"/>
                  </w:rPr>
                  <w:t> </w:t>
                </w:r>
                <w:r>
                  <w:rPr>
                    <w:rFonts w:ascii="Arial"/>
                    <w:color w:val="808080"/>
                    <w:spacing w:val="-2"/>
                    <w:sz w:val="16"/>
                  </w:rPr>
                  <w:t>laryngealhemangioma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16384" id="docshape595" filled="true" fillcolor="#000000" stroked="false">
          <v:fill type="solid"/>
          <w10:wrap type="none"/>
        </v:rect>
      </w:pict>
    </w:r>
    <w:r>
      <w:rPr/>
      <w:pict>
        <v:shape style="position:absolute;margin-left:527.580017pt;margin-top:41.724503pt;width:12.1pt;height:13.05pt;mso-position-horizontal-relative:page;mso-position-vertical-relative:page;z-index:-17615872" type="#_x0000_t202" id="docshape596" filled="false" stroked="false">
          <v:textbox inset="0,0,0,0">
            <w:txbxContent>
              <w:p>
                <w:pPr>
                  <w:spacing w:before="10"/>
                  <w:ind w:left="20" w:right="0" w:firstLine="0"/>
                  <w:jc w:val="left"/>
                  <w:rPr>
                    <w:sz w:val="20"/>
                  </w:rPr>
                </w:pPr>
                <w:r>
                  <w:rPr>
                    <w:spacing w:val="-5"/>
                    <w:sz w:val="20"/>
                  </w:rPr>
                  <w:t>40</w:t>
                </w:r>
              </w:p>
            </w:txbxContent>
          </v:textbox>
          <w10:wrap type="none"/>
        </v:shape>
      </w:pict>
    </w:r>
    <w:r>
      <w:rPr/>
      <w:pict>
        <v:shape style="position:absolute;margin-left:55.903999pt;margin-top:50.761593pt;width:85.25pt;height:11pt;mso-position-horizontal-relative:page;mso-position-vertical-relative:page;z-index:-17615360" type="#_x0000_t202" id="docshape597" filled="false" stroked="false">
          <v:textbox inset="0,0,0,0">
            <w:txbxContent>
              <w:p>
                <w:pPr>
                  <w:spacing w:before="15"/>
                  <w:ind w:left="20" w:right="0" w:firstLine="0"/>
                  <w:jc w:val="left"/>
                  <w:rPr>
                    <w:rFonts w:ascii="Arial"/>
                    <w:sz w:val="16"/>
                  </w:rPr>
                </w:pPr>
                <w:r>
                  <w:rPr>
                    <w:rFonts w:ascii="Arial"/>
                    <w:color w:val="808080"/>
                    <w:sz w:val="16"/>
                  </w:rPr>
                  <w:t>Mandzukovska</w:t>
                </w:r>
                <w:r>
                  <w:rPr>
                    <w:rFonts w:ascii="Arial"/>
                    <w:color w:val="808080"/>
                    <w:spacing w:val="-5"/>
                    <w:sz w:val="16"/>
                  </w:rPr>
                  <w:t> </w:t>
                </w:r>
                <w:r>
                  <w:rPr>
                    <w:rFonts w:ascii="Arial"/>
                    <w:color w:val="808080"/>
                    <w:sz w:val="16"/>
                  </w:rPr>
                  <w:t>H.</w:t>
                </w:r>
                <w:r>
                  <w:rPr>
                    <w:rFonts w:ascii="Arial"/>
                    <w:color w:val="808080"/>
                    <w:spacing w:val="-4"/>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903999pt;margin-top:41.946632pt;width:198.75pt;height:15.75pt;mso-position-horizontal-relative:page;mso-position-vertical-relative:page;z-index:-17614848" type="#_x0000_t202" id="docshape600" filled="false" stroked="false">
          <v:textbox inset="0,0,0,0">
            <w:txbxContent>
              <w:p>
                <w:pPr>
                  <w:spacing w:before="10"/>
                  <w:ind w:left="20" w:right="0" w:firstLine="0"/>
                  <w:jc w:val="left"/>
                  <w:rPr>
                    <w:sz w:val="24"/>
                  </w:rPr>
                </w:pPr>
                <w:r>
                  <w:rPr>
                    <w:i/>
                    <w:w w:val="105"/>
                    <w:sz w:val="24"/>
                  </w:rPr>
                  <w:t>Mak</w:t>
                </w:r>
                <w:r>
                  <w:rPr>
                    <w:i/>
                    <w:spacing w:val="20"/>
                    <w:w w:val="105"/>
                    <w:sz w:val="24"/>
                  </w:rPr>
                  <w:t> </w:t>
                </w:r>
                <w:r>
                  <w:rPr>
                    <w:i/>
                    <w:w w:val="105"/>
                    <w:sz w:val="24"/>
                  </w:rPr>
                  <w:t>Med</w:t>
                </w:r>
                <w:r>
                  <w:rPr>
                    <w:i/>
                    <w:spacing w:val="21"/>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79"/>
                    <w:w w:val="150"/>
                    <w:sz w:val="24"/>
                  </w:rPr>
                  <w:t> </w:t>
                </w:r>
                <w:r>
                  <w:rPr>
                    <w:w w:val="105"/>
                    <w:sz w:val="24"/>
                  </w:rPr>
                  <w:t>2021;</w:t>
                </w:r>
                <w:r>
                  <w:rPr>
                    <w:spacing w:val="21"/>
                    <w:w w:val="105"/>
                    <w:sz w:val="24"/>
                  </w:rPr>
                  <w:t> </w:t>
                </w:r>
                <w:r>
                  <w:rPr>
                    <w:w w:val="105"/>
                    <w:sz w:val="24"/>
                  </w:rPr>
                  <w:t>75(1):</w:t>
                </w:r>
                <w:r>
                  <w:rPr>
                    <w:spacing w:val="21"/>
                    <w:w w:val="105"/>
                    <w:sz w:val="24"/>
                  </w:rPr>
                  <w:t> </w:t>
                </w:r>
                <w:r>
                  <w:rPr>
                    <w:w w:val="105"/>
                    <w:sz w:val="24"/>
                  </w:rPr>
                  <w:t>41-</w:t>
                </w:r>
                <w:r>
                  <w:rPr>
                    <w:spacing w:val="-5"/>
                    <w:w w:val="105"/>
                    <w:sz w:val="24"/>
                  </w:rPr>
                  <w:t>47</w:t>
                </w:r>
              </w:p>
            </w:txbxContent>
          </v:textbox>
          <w10:wrap type="none"/>
        </v:shape>
      </w:pict>
    </w:r>
    <w:r>
      <w:rPr/>
      <w:pict>
        <v:shape style="position:absolute;margin-left:504.179993pt;margin-top:44.779526pt;width:45.2pt;height:29.2pt;mso-position-horizontal-relative:page;mso-position-vertical-relative:page;z-index:-17614336" type="#_x0000_t202" id="docshape601" filled="false" stroked="false">
          <v:textbox inset="0,0,0,0">
            <w:txbxContent>
              <w:p>
                <w:pPr>
                  <w:spacing w:before="20"/>
                  <w:ind w:left="20" w:right="0" w:firstLine="0"/>
                  <w:jc w:val="left"/>
                  <w:rPr>
                    <w:rFonts w:ascii="Courier New"/>
                    <w:sz w:val="48"/>
                  </w:rPr>
                </w:pPr>
                <w:r>
                  <w:rPr>
                    <w:rFonts w:ascii="Courier New"/>
                    <w:color w:val="999999"/>
                    <w:spacing w:val="-5"/>
                    <w:sz w:val="48"/>
                  </w:rPr>
                  <w:t>MMP</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13824" id="docshape602" filled="true" fillcolor="#000000" stroked="false">
          <v:fill type="solid"/>
          <w10:wrap type="none"/>
        </v:rect>
      </w:pict>
    </w:r>
    <w:r>
      <w:rPr/>
      <w:pict>
        <v:shape style="position:absolute;margin-left:525.580017pt;margin-top:41.724503pt;width:17.1pt;height:13.05pt;mso-position-horizontal-relative:page;mso-position-vertical-relative:page;z-index:-17613312" type="#_x0000_t202" id="docshape603" filled="false" stroked="false">
          <v:textbox inset="0,0,0,0">
            <w:txbxContent>
              <w:p>
                <w:pPr>
                  <w:spacing w:before="10"/>
                  <w:ind w:left="60" w:right="0" w:firstLine="0"/>
                  <w:jc w:val="left"/>
                  <w:rPr>
                    <w:sz w:val="20"/>
                  </w:rPr>
                </w:pPr>
                <w:r>
                  <w:rPr>
                    <w:spacing w:val="-5"/>
                    <w:sz w:val="20"/>
                  </w:rPr>
                  <w:t>42</w:t>
                </w:r>
              </w:p>
            </w:txbxContent>
          </v:textbox>
          <w10:wrap type="none"/>
        </v:shape>
      </w:pict>
    </w:r>
    <w:r>
      <w:rPr/>
      <w:pict>
        <v:shape style="position:absolute;margin-left:55.903999pt;margin-top:50.761593pt;width:107.1pt;height:11pt;mso-position-horizontal-relative:page;mso-position-vertical-relative:page;z-index:-17612800" type="#_x0000_t202" id="docshape604" filled="false" stroked="false">
          <v:textbox inset="0,0,0,0">
            <w:txbxContent>
              <w:p>
                <w:pPr>
                  <w:spacing w:before="15"/>
                  <w:ind w:left="20" w:right="0" w:firstLine="0"/>
                  <w:jc w:val="left"/>
                  <w:rPr>
                    <w:rFonts w:ascii="Arial"/>
                    <w:sz w:val="16"/>
                  </w:rPr>
                </w:pPr>
                <w:r>
                  <w:rPr>
                    <w:rFonts w:ascii="Arial"/>
                    <w:color w:val="808080"/>
                    <w:sz w:val="16"/>
                  </w:rPr>
                  <w:t>Shekerinov</w:t>
                </w:r>
                <w:r>
                  <w:rPr>
                    <w:rFonts w:ascii="Arial"/>
                    <w:color w:val="808080"/>
                    <w:spacing w:val="-6"/>
                    <w:sz w:val="16"/>
                  </w:rPr>
                  <w:t> </w:t>
                </w:r>
                <w:r>
                  <w:rPr>
                    <w:rFonts w:ascii="Arial"/>
                    <w:color w:val="808080"/>
                    <w:sz w:val="16"/>
                  </w:rPr>
                  <w:t>Trpevska</w:t>
                </w:r>
                <w:r>
                  <w:rPr>
                    <w:rFonts w:ascii="Arial"/>
                    <w:color w:val="808080"/>
                    <w:spacing w:val="-4"/>
                    <w:sz w:val="16"/>
                  </w:rPr>
                  <w:t> </w:t>
                </w:r>
                <w:r>
                  <w:rPr>
                    <w:rFonts w:ascii="Arial"/>
                    <w:color w:val="808080"/>
                    <w:sz w:val="16"/>
                  </w:rPr>
                  <w:t>N.</w:t>
                </w:r>
                <w:r>
                  <w:rPr>
                    <w:rFonts w:ascii="Arial"/>
                    <w:color w:val="808080"/>
                    <w:spacing w:val="-3"/>
                    <w:sz w:val="16"/>
                  </w:rPr>
                  <w:t> </w:t>
                </w:r>
                <w:r>
                  <w:rPr>
                    <w:rFonts w:ascii="Arial"/>
                    <w:i/>
                    <w:color w:val="808080"/>
                    <w:sz w:val="16"/>
                  </w:rPr>
                  <w:t>et</w:t>
                </w:r>
                <w:r>
                  <w:rPr>
                    <w:rFonts w:ascii="Arial"/>
                    <w:i/>
                    <w:color w:val="808080"/>
                    <w:spacing w:val="-5"/>
                    <w:sz w:val="16"/>
                  </w:rPr>
                  <w:t> al</w:t>
                </w:r>
                <w:r>
                  <w:rPr>
                    <w:rFonts w:ascii="Arial"/>
                    <w:color w:val="808080"/>
                    <w:spacing w:val="-5"/>
                    <w:sz w:val="16"/>
                  </w:rPr>
                  <w:t>.</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51200" id="docshape464" filled="true" fillcolor="#000000" stroked="false">
          <v:fill type="solid"/>
          <w10:wrap type="none"/>
        </v:rect>
      </w:pict>
    </w:r>
    <w:r>
      <w:rPr/>
      <w:pict>
        <v:shape style="position:absolute;margin-left:530.619995pt;margin-top:41.724503pt;width:12pt;height:13.05pt;mso-position-horizontal-relative:page;mso-position-vertical-relative:page;z-index:-17650688" type="#_x0000_t202" id="docshape465" filled="false" stroked="false">
          <v:textbox inset="0,0,0,0">
            <w:txbxContent>
              <w:p>
                <w:pPr>
                  <w:spacing w:before="10"/>
                  <w:ind w:left="60" w:right="0" w:firstLine="0"/>
                  <w:jc w:val="left"/>
                  <w:rPr>
                    <w:sz w:val="20"/>
                  </w:rPr>
                </w:pPr>
                <w:r>
                  <w:rPr>
                    <w:w w:val="99"/>
                    <w:sz w:val="20"/>
                  </w:rPr>
                  <w:fldChar w:fldCharType="begin"/>
                </w:r>
                <w:r>
                  <w:rPr>
                    <w:w w:val="99"/>
                    <w:sz w:val="20"/>
                  </w:rPr>
                  <w:instrText> PAGE </w:instrText>
                </w:r>
                <w:r>
                  <w:rPr>
                    <w:w w:val="99"/>
                    <w:sz w:val="20"/>
                  </w:rPr>
                  <w:fldChar w:fldCharType="separate"/>
                </w:r>
                <w:r>
                  <w:rPr>
                    <w:w w:val="99"/>
                    <w:sz w:val="20"/>
                  </w:rPr>
                  <w:t>4</w:t>
                </w:r>
                <w:r>
                  <w:rPr>
                    <w:w w:val="99"/>
                    <w:sz w:val="20"/>
                  </w:rPr>
                  <w:fldChar w:fldCharType="end"/>
                </w:r>
              </w:p>
            </w:txbxContent>
          </v:textbox>
          <w10:wrap type="none"/>
        </v:shape>
      </w:pict>
    </w:r>
    <w:r>
      <w:rPr/>
      <w:pict>
        <v:shape style="position:absolute;margin-left:55.903999pt;margin-top:50.761593pt;width:104.8pt;height:11pt;mso-position-horizontal-relative:page;mso-position-vertical-relative:page;z-index:-17650176" type="#_x0000_t202" id="docshape466" filled="false" stroked="false">
          <v:textbox inset="0,0,0,0">
            <w:txbxContent>
              <w:p>
                <w:pPr>
                  <w:spacing w:before="15"/>
                  <w:ind w:left="20" w:right="0" w:firstLine="0"/>
                  <w:jc w:val="left"/>
                  <w:rPr>
                    <w:rFonts w:ascii="Arial"/>
                    <w:sz w:val="16"/>
                  </w:rPr>
                </w:pPr>
                <w:r>
                  <w:rPr>
                    <w:rFonts w:ascii="Arial"/>
                    <w:color w:val="808080"/>
                    <w:sz w:val="16"/>
                  </w:rPr>
                  <w:t>Danevska</w:t>
                </w:r>
                <w:r>
                  <w:rPr>
                    <w:rFonts w:ascii="Arial"/>
                    <w:color w:val="808080"/>
                    <w:spacing w:val="-9"/>
                    <w:sz w:val="16"/>
                  </w:rPr>
                  <w:t> </w:t>
                </w:r>
                <w:r>
                  <w:rPr>
                    <w:rFonts w:ascii="Arial"/>
                    <w:color w:val="808080"/>
                    <w:sz w:val="16"/>
                  </w:rPr>
                  <w:t>Arnaudova</w:t>
                </w:r>
                <w:r>
                  <w:rPr>
                    <w:rFonts w:ascii="Arial"/>
                    <w:color w:val="808080"/>
                    <w:spacing w:val="-4"/>
                    <w:sz w:val="16"/>
                  </w:rPr>
                  <w:t> </w:t>
                </w:r>
                <w:r>
                  <w:rPr>
                    <w:rFonts w:ascii="Arial"/>
                    <w:color w:val="808080"/>
                    <w:sz w:val="16"/>
                  </w:rPr>
                  <w:t>I.</w:t>
                </w:r>
                <w:r>
                  <w:rPr>
                    <w:rFonts w:ascii="Arial"/>
                    <w:color w:val="808080"/>
                    <w:spacing w:val="-2"/>
                    <w:sz w:val="16"/>
                  </w:rPr>
                  <w:t> </w:t>
                </w:r>
                <w:r>
                  <w:rPr>
                    <w:rFonts w:ascii="Arial"/>
                    <w:i/>
                    <w:color w:val="808080"/>
                    <w:sz w:val="16"/>
                  </w:rPr>
                  <w:t>et</w:t>
                </w:r>
                <w:r>
                  <w:rPr>
                    <w:rFonts w:ascii="Arial"/>
                    <w:i/>
                    <w:color w:val="808080"/>
                    <w:spacing w:val="-3"/>
                    <w:sz w:val="16"/>
                  </w:rPr>
                  <w:t> </w:t>
                </w:r>
                <w:r>
                  <w:rPr>
                    <w:rFonts w:ascii="Arial"/>
                    <w:i/>
                    <w:color w:val="808080"/>
                    <w:spacing w:val="-5"/>
                    <w:sz w:val="16"/>
                  </w:rPr>
                  <w:t>al</w:t>
                </w:r>
                <w:r>
                  <w:rPr>
                    <w:rFonts w:ascii="Arial"/>
                    <w:color w:val="808080"/>
                    <w:spacing w:val="-5"/>
                    <w:sz w:val="16"/>
                  </w:rPr>
                  <w:t>.</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12288" id="docshape608" filled="true" fillcolor="#000000" stroked="false">
          <v:fill type="solid"/>
          <w10:wrap type="none"/>
        </v:rect>
      </w:pict>
    </w:r>
    <w:r>
      <w:rPr/>
      <w:pict>
        <v:shape style="position:absolute;margin-left:53.903999pt;margin-top:41.724503pt;width:17.1pt;height:13.05pt;mso-position-horizontal-relative:page;mso-position-vertical-relative:page;z-index:-17611776" type="#_x0000_t202" id="docshape609"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43</w:t>
                </w:r>
                <w:r>
                  <w:rPr>
                    <w:spacing w:val="-5"/>
                    <w:sz w:val="20"/>
                  </w:rPr>
                  <w:fldChar w:fldCharType="end"/>
                </w:r>
              </w:p>
            </w:txbxContent>
          </v:textbox>
          <w10:wrap type="none"/>
        </v:shape>
      </w:pict>
    </w:r>
    <w:r>
      <w:rPr/>
      <w:pict>
        <v:shape style="position:absolute;margin-left:371.309998pt;margin-top:51.361595pt;width:168.3pt;height:11pt;mso-position-horizontal-relative:page;mso-position-vertical-relative:page;z-index:-17611264" type="#_x0000_t202" id="docshape610" filled="false" stroked="false">
          <v:textbox inset="0,0,0,0">
            <w:txbxContent>
              <w:p>
                <w:pPr>
                  <w:spacing w:before="15"/>
                  <w:ind w:left="20" w:right="0" w:firstLine="0"/>
                  <w:jc w:val="left"/>
                  <w:rPr>
                    <w:rFonts w:ascii="Arial"/>
                    <w:sz w:val="16"/>
                  </w:rPr>
                </w:pPr>
                <w:r>
                  <w:rPr>
                    <w:rFonts w:ascii="Arial"/>
                    <w:color w:val="808080"/>
                    <w:sz w:val="16"/>
                  </w:rPr>
                  <w:t>Bilateral</w:t>
                </w:r>
                <w:r>
                  <w:rPr>
                    <w:rFonts w:ascii="Arial"/>
                    <w:color w:val="808080"/>
                    <w:spacing w:val="-8"/>
                    <w:sz w:val="16"/>
                  </w:rPr>
                  <w:t> </w:t>
                </w:r>
                <w:r>
                  <w:rPr>
                    <w:rFonts w:ascii="Arial"/>
                    <w:color w:val="808080"/>
                    <w:sz w:val="16"/>
                  </w:rPr>
                  <w:t>X-linked</w:t>
                </w:r>
                <w:r>
                  <w:rPr>
                    <w:rFonts w:ascii="Arial"/>
                    <w:color w:val="808080"/>
                    <w:spacing w:val="-7"/>
                    <w:sz w:val="16"/>
                  </w:rPr>
                  <w:t> </w:t>
                </w:r>
                <w:r>
                  <w:rPr>
                    <w:rFonts w:ascii="Arial"/>
                    <w:color w:val="808080"/>
                    <w:sz w:val="16"/>
                  </w:rPr>
                  <w:t>juvenile</w:t>
                </w:r>
                <w:r>
                  <w:rPr>
                    <w:rFonts w:ascii="Arial"/>
                    <w:color w:val="808080"/>
                    <w:spacing w:val="-8"/>
                    <w:sz w:val="16"/>
                  </w:rPr>
                  <w:t> </w:t>
                </w:r>
                <w:r>
                  <w:rPr>
                    <w:rFonts w:ascii="Arial"/>
                    <w:color w:val="808080"/>
                    <w:sz w:val="16"/>
                  </w:rPr>
                  <w:t>macular</w:t>
                </w:r>
                <w:r>
                  <w:rPr>
                    <w:rFonts w:ascii="Arial"/>
                    <w:color w:val="808080"/>
                    <w:spacing w:val="-9"/>
                    <w:sz w:val="16"/>
                  </w:rPr>
                  <w:t> </w:t>
                </w:r>
                <w:r>
                  <w:rPr>
                    <w:rFonts w:ascii="Arial"/>
                    <w:color w:val="808080"/>
                    <w:spacing w:val="-2"/>
                    <w:sz w:val="16"/>
                  </w:rPr>
                  <w:t>retinoschisis</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199989pt;width:484.68pt;height:.48pt;mso-position-horizontal-relative:page;mso-position-vertical-relative:page;z-index:-17610752" id="docshape611" filled="true" fillcolor="#000000" stroked="false">
          <v:fill type="solid"/>
          <w10:wrap type="none"/>
        </v:rect>
      </w:pict>
    </w:r>
    <w:r>
      <w:rPr/>
      <w:pict>
        <v:shape style="position:absolute;margin-left:525.580017pt;margin-top:41.724503pt;width:17.1pt;height:13.05pt;mso-position-horizontal-relative:page;mso-position-vertical-relative:page;z-index:-17610240" type="#_x0000_t202" id="docshape612" filled="false" stroked="false">
          <v:textbox inset="0,0,0,0">
            <w:txbxContent>
              <w:p>
                <w:pPr>
                  <w:spacing w:before="10"/>
                  <w:ind w:left="60" w:right="0" w:firstLine="0"/>
                  <w:jc w:val="left"/>
                  <w:rPr>
                    <w:sz w:val="20"/>
                  </w:rPr>
                </w:pPr>
                <w:r>
                  <w:rPr>
                    <w:spacing w:val="-5"/>
                    <w:sz w:val="20"/>
                  </w:rPr>
                  <w:fldChar w:fldCharType="begin"/>
                </w:r>
                <w:r>
                  <w:rPr>
                    <w:spacing w:val="-5"/>
                    <w:sz w:val="20"/>
                  </w:rPr>
                  <w:instrText> PAGE </w:instrText>
                </w:r>
                <w:r>
                  <w:rPr>
                    <w:spacing w:val="-5"/>
                    <w:sz w:val="20"/>
                  </w:rPr>
                  <w:fldChar w:fldCharType="separate"/>
                </w:r>
                <w:r>
                  <w:rPr>
                    <w:spacing w:val="-5"/>
                    <w:sz w:val="20"/>
                  </w:rPr>
                  <w:t>44</w:t>
                </w:r>
                <w:r>
                  <w:rPr>
                    <w:spacing w:val="-5"/>
                    <w:sz w:val="20"/>
                  </w:rPr>
                  <w:fldChar w:fldCharType="end"/>
                </w:r>
              </w:p>
            </w:txbxContent>
          </v:textbox>
          <w10:wrap type="none"/>
        </v:shape>
      </w:pict>
    </w:r>
    <w:r>
      <w:rPr/>
      <w:pict>
        <v:shape style="position:absolute;margin-left:55.903999pt;margin-top:50.761593pt;width:107.1pt;height:11pt;mso-position-horizontal-relative:page;mso-position-vertical-relative:page;z-index:-17609728" type="#_x0000_t202" id="docshape613" filled="false" stroked="false">
          <v:textbox inset="0,0,0,0">
            <w:txbxContent>
              <w:p>
                <w:pPr>
                  <w:spacing w:before="15"/>
                  <w:ind w:left="20" w:right="0" w:firstLine="0"/>
                  <w:jc w:val="left"/>
                  <w:rPr>
                    <w:rFonts w:ascii="Arial"/>
                    <w:sz w:val="16"/>
                  </w:rPr>
                </w:pPr>
                <w:r>
                  <w:rPr>
                    <w:rFonts w:ascii="Arial"/>
                    <w:color w:val="808080"/>
                    <w:sz w:val="16"/>
                  </w:rPr>
                  <w:t>Shekerinov</w:t>
                </w:r>
                <w:r>
                  <w:rPr>
                    <w:rFonts w:ascii="Arial"/>
                    <w:color w:val="808080"/>
                    <w:spacing w:val="-6"/>
                    <w:sz w:val="16"/>
                  </w:rPr>
                  <w:t> </w:t>
                </w:r>
                <w:r>
                  <w:rPr>
                    <w:rFonts w:ascii="Arial"/>
                    <w:color w:val="808080"/>
                    <w:sz w:val="16"/>
                  </w:rPr>
                  <w:t>Trpevska</w:t>
                </w:r>
                <w:r>
                  <w:rPr>
                    <w:rFonts w:ascii="Arial"/>
                    <w:color w:val="808080"/>
                    <w:spacing w:val="-4"/>
                    <w:sz w:val="16"/>
                  </w:rPr>
                  <w:t> </w:t>
                </w:r>
                <w:r>
                  <w:rPr>
                    <w:rFonts w:ascii="Arial"/>
                    <w:color w:val="808080"/>
                    <w:sz w:val="16"/>
                  </w:rPr>
                  <w:t>N.</w:t>
                </w:r>
                <w:r>
                  <w:rPr>
                    <w:rFonts w:ascii="Arial"/>
                    <w:color w:val="808080"/>
                    <w:spacing w:val="-3"/>
                    <w:sz w:val="16"/>
                  </w:rPr>
                  <w:t> </w:t>
                </w:r>
                <w:r>
                  <w:rPr>
                    <w:rFonts w:ascii="Arial"/>
                    <w:i/>
                    <w:color w:val="808080"/>
                    <w:sz w:val="16"/>
                  </w:rPr>
                  <w:t>et</w:t>
                </w:r>
                <w:r>
                  <w:rPr>
                    <w:rFonts w:ascii="Arial"/>
                    <w:i/>
                    <w:color w:val="808080"/>
                    <w:spacing w:val="-5"/>
                    <w:sz w:val="16"/>
                  </w:rPr>
                  <w:t> al</w:t>
                </w:r>
                <w:r>
                  <w:rPr>
                    <w:rFonts w:ascii="Arial"/>
                    <w:color w:val="808080"/>
                    <w:spacing w:val="-5"/>
                    <w:sz w:val="16"/>
                  </w:rPr>
                  <w:t>.</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903999pt;margin-top:41.946632pt;width:186.75pt;height:15.75pt;mso-position-horizontal-relative:page;mso-position-vertical-relative:page;z-index:-17649664" type="#_x0000_t202" id="docshape467" filled="false" stroked="false">
          <v:textbox inset="0,0,0,0">
            <w:txbxContent>
              <w:p>
                <w:pPr>
                  <w:spacing w:before="10"/>
                  <w:ind w:left="20" w:right="0" w:firstLine="0"/>
                  <w:jc w:val="left"/>
                  <w:rPr>
                    <w:sz w:val="24"/>
                  </w:rPr>
                </w:pPr>
                <w:r>
                  <w:rPr>
                    <w:i/>
                    <w:w w:val="105"/>
                    <w:sz w:val="24"/>
                  </w:rPr>
                  <w:t>Mak</w:t>
                </w:r>
                <w:r>
                  <w:rPr>
                    <w:i/>
                    <w:spacing w:val="21"/>
                    <w:w w:val="105"/>
                    <w:sz w:val="24"/>
                  </w:rPr>
                  <w:t> </w:t>
                </w:r>
                <w:r>
                  <w:rPr>
                    <w:i/>
                    <w:w w:val="105"/>
                    <w:sz w:val="24"/>
                  </w:rPr>
                  <w:t>Med</w:t>
                </w:r>
                <w:r>
                  <w:rPr>
                    <w:i/>
                    <w:spacing w:val="22"/>
                    <w:w w:val="105"/>
                    <w:sz w:val="24"/>
                  </w:rPr>
                  <w:t> </w:t>
                </w:r>
                <w:r>
                  <w:rPr>
                    <w:i/>
                    <w:spacing w:val="-1"/>
                    <w:w w:val="115"/>
                    <w:sz w:val="24"/>
                  </w:rPr>
                  <w:t>P</w:t>
                </w:r>
                <w:r>
                  <w:rPr>
                    <w:i/>
                    <w:w w:val="121"/>
                    <w:sz w:val="24"/>
                  </w:rPr>
                  <w:t>r</w:t>
                </w:r>
                <w:r>
                  <w:rPr>
                    <w:i/>
                    <w:spacing w:val="-1"/>
                    <w:w w:val="79"/>
                    <w:sz w:val="24"/>
                  </w:rPr>
                  <w:t>e</w:t>
                </w:r>
                <w:r>
                  <w:rPr>
                    <w:i/>
                    <w:spacing w:val="-1"/>
                    <w:w w:val="67"/>
                    <w:sz w:val="24"/>
                  </w:rPr>
                  <w:t>g</w:t>
                </w:r>
                <w:r>
                  <w:rPr>
                    <w:i/>
                    <w:w w:val="179"/>
                    <w:sz w:val="24"/>
                  </w:rPr>
                  <w:t>l</w:t>
                </w:r>
                <w:r>
                  <w:rPr>
                    <w:i/>
                    <w:spacing w:val="-1"/>
                    <w:w w:val="79"/>
                    <w:sz w:val="24"/>
                  </w:rPr>
                  <w:t>e</w:t>
                </w:r>
                <w:r>
                  <w:rPr>
                    <w:i/>
                    <w:w w:val="90"/>
                    <w:sz w:val="24"/>
                  </w:rPr>
                  <w:t>d</w:t>
                </w:r>
                <w:r>
                  <w:rPr>
                    <w:i/>
                    <w:spacing w:val="22"/>
                    <w:w w:val="105"/>
                    <w:sz w:val="24"/>
                  </w:rPr>
                  <w:t>  </w:t>
                </w:r>
                <w:r>
                  <w:rPr>
                    <w:w w:val="105"/>
                    <w:sz w:val="24"/>
                  </w:rPr>
                  <w:t>2021;</w:t>
                </w:r>
                <w:r>
                  <w:rPr>
                    <w:spacing w:val="23"/>
                    <w:w w:val="105"/>
                    <w:sz w:val="24"/>
                  </w:rPr>
                  <w:t> </w:t>
                </w:r>
                <w:r>
                  <w:rPr>
                    <w:w w:val="105"/>
                    <w:sz w:val="24"/>
                  </w:rPr>
                  <w:t>75(1):</w:t>
                </w:r>
                <w:r>
                  <w:rPr>
                    <w:spacing w:val="22"/>
                    <w:w w:val="105"/>
                    <w:sz w:val="24"/>
                  </w:rPr>
                  <w:t> </w:t>
                </w:r>
                <w:r>
                  <w:rPr>
                    <w:w w:val="105"/>
                    <w:sz w:val="24"/>
                  </w:rPr>
                  <w:t>6-</w:t>
                </w:r>
                <w:r>
                  <w:rPr>
                    <w:spacing w:val="-10"/>
                    <w:w w:val="105"/>
                    <w:sz w:val="24"/>
                  </w:rPr>
                  <w:t>9</w:t>
                </w:r>
              </w:p>
            </w:txbxContent>
          </v:textbox>
          <w10:wrap type="none"/>
        </v:shape>
      </w:pict>
    </w:r>
    <w:r>
      <w:rPr/>
      <w:pict>
        <v:shape style="position:absolute;margin-left:504.179993pt;margin-top:44.779526pt;width:45.2pt;height:29.2pt;mso-position-horizontal-relative:page;mso-position-vertical-relative:page;z-index:-17649152" type="#_x0000_t202" id="docshape468" filled="false" stroked="false">
          <v:textbox inset="0,0,0,0">
            <w:txbxContent>
              <w:p>
                <w:pPr>
                  <w:spacing w:before="20"/>
                  <w:ind w:left="20" w:right="0" w:firstLine="0"/>
                  <w:jc w:val="left"/>
                  <w:rPr>
                    <w:rFonts w:ascii="Courier New"/>
                    <w:sz w:val="48"/>
                  </w:rPr>
                </w:pPr>
                <w:r>
                  <w:rPr>
                    <w:rFonts w:ascii="Courier New"/>
                    <w:color w:val="999999"/>
                    <w:spacing w:val="-5"/>
                    <w:sz w:val="48"/>
                  </w:rPr>
                  <w:t>MMP</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48640" id="docshape469" filled="true" fillcolor="#000000" stroked="false">
          <v:fill type="solid"/>
          <w10:wrap type="none"/>
        </v:rect>
      </w:pict>
    </w:r>
    <w:r>
      <w:rPr/>
      <w:pict>
        <v:shape style="position:absolute;margin-left:53.903999pt;margin-top:41.724503pt;width:12pt;height:13.05pt;mso-position-horizontal-relative:page;mso-position-vertical-relative:page;z-index:-17648128" type="#_x0000_t202" id="docshape470" filled="false" stroked="false">
          <v:textbox inset="0,0,0,0">
            <w:txbxContent>
              <w:p>
                <w:pPr>
                  <w:spacing w:before="10"/>
                  <w:ind w:left="60" w:right="0" w:firstLine="0"/>
                  <w:jc w:val="left"/>
                  <w:rPr>
                    <w:sz w:val="20"/>
                  </w:rPr>
                </w:pPr>
                <w:r>
                  <w:rPr>
                    <w:w w:val="99"/>
                    <w:sz w:val="20"/>
                  </w:rPr>
                  <w:t>7</w:t>
                </w:r>
              </w:p>
            </w:txbxContent>
          </v:textbox>
          <w10:wrap type="none"/>
        </v:shape>
      </w:pict>
    </w:r>
    <w:r>
      <w:rPr/>
      <w:pict>
        <v:shape style="position:absolute;margin-left:362.790009pt;margin-top:51.361595pt;width:176.75pt;height:11pt;mso-position-horizontal-relative:page;mso-position-vertical-relative:page;z-index:-17647616" type="#_x0000_t202" id="docshape471" filled="false" stroked="false">
          <v:textbox inset="0,0,0,0">
            <w:txbxContent>
              <w:p>
                <w:pPr>
                  <w:spacing w:before="15"/>
                  <w:ind w:left="20" w:right="0" w:firstLine="0"/>
                  <w:jc w:val="left"/>
                  <w:rPr>
                    <w:rFonts w:ascii="Arial"/>
                    <w:sz w:val="16"/>
                  </w:rPr>
                </w:pPr>
                <w:r>
                  <w:rPr>
                    <w:rFonts w:ascii="Arial"/>
                    <w:color w:val="808080"/>
                    <w:sz w:val="16"/>
                  </w:rPr>
                  <w:t>Low</w:t>
                </w:r>
                <w:r>
                  <w:rPr>
                    <w:rFonts w:ascii="Arial"/>
                    <w:color w:val="808080"/>
                    <w:spacing w:val="-7"/>
                    <w:sz w:val="16"/>
                  </w:rPr>
                  <w:t> </w:t>
                </w:r>
                <w:r>
                  <w:rPr>
                    <w:rFonts w:ascii="Arial"/>
                    <w:color w:val="808080"/>
                    <w:sz w:val="16"/>
                  </w:rPr>
                  <w:t>frequency</w:t>
                </w:r>
                <w:r>
                  <w:rPr>
                    <w:rFonts w:ascii="Arial"/>
                    <w:color w:val="808080"/>
                    <w:spacing w:val="-4"/>
                    <w:sz w:val="16"/>
                  </w:rPr>
                  <w:t> </w:t>
                </w:r>
                <w:r>
                  <w:rPr>
                    <w:rFonts w:ascii="Arial"/>
                    <w:color w:val="808080"/>
                    <w:sz w:val="16"/>
                  </w:rPr>
                  <w:t>of</w:t>
                </w:r>
                <w:r>
                  <w:rPr>
                    <w:rFonts w:ascii="Arial"/>
                    <w:color w:val="808080"/>
                    <w:spacing w:val="-2"/>
                    <w:sz w:val="16"/>
                  </w:rPr>
                  <w:t> </w:t>
                </w:r>
                <w:r>
                  <w:rPr>
                    <w:rFonts w:ascii="Arial"/>
                    <w:color w:val="808080"/>
                    <w:sz w:val="16"/>
                  </w:rPr>
                  <w:t>clonal</w:t>
                </w:r>
                <w:r>
                  <w:rPr>
                    <w:rFonts w:ascii="Arial"/>
                    <w:color w:val="808080"/>
                    <w:spacing w:val="-3"/>
                    <w:sz w:val="16"/>
                  </w:rPr>
                  <w:t> </w:t>
                </w:r>
                <w:r>
                  <w:rPr>
                    <w:rFonts w:ascii="Arial"/>
                    <w:color w:val="808080"/>
                    <w:sz w:val="16"/>
                  </w:rPr>
                  <w:t>b</w:t>
                </w:r>
                <w:r>
                  <w:rPr>
                    <w:rFonts w:ascii="Arial"/>
                    <w:color w:val="808080"/>
                    <w:spacing w:val="-5"/>
                    <w:sz w:val="16"/>
                  </w:rPr>
                  <w:t> </w:t>
                </w:r>
                <w:r>
                  <w:rPr>
                    <w:rFonts w:ascii="Arial"/>
                    <w:color w:val="808080"/>
                    <w:sz w:val="16"/>
                  </w:rPr>
                  <w:t>cells</w:t>
                </w:r>
                <w:r>
                  <w:rPr>
                    <w:rFonts w:ascii="Arial"/>
                    <w:color w:val="808080"/>
                    <w:spacing w:val="-5"/>
                    <w:sz w:val="16"/>
                  </w:rPr>
                  <w:t> </w:t>
                </w:r>
                <w:r>
                  <w:rPr>
                    <w:rFonts w:ascii="Arial"/>
                    <w:color w:val="808080"/>
                    <w:sz w:val="16"/>
                  </w:rPr>
                  <w:t>in</w:t>
                </w:r>
                <w:r>
                  <w:rPr>
                    <w:rFonts w:ascii="Arial"/>
                    <w:color w:val="808080"/>
                    <w:spacing w:val="-5"/>
                    <w:sz w:val="16"/>
                  </w:rPr>
                  <w:t> </w:t>
                </w:r>
                <w:r>
                  <w:rPr>
                    <w:rFonts w:ascii="Arial"/>
                    <w:color w:val="808080"/>
                    <w:sz w:val="16"/>
                  </w:rPr>
                  <w:t>patients</w:t>
                </w:r>
                <w:r>
                  <w:rPr>
                    <w:rFonts w:ascii="Arial"/>
                    <w:color w:val="808080"/>
                    <w:spacing w:val="-4"/>
                    <w:sz w:val="16"/>
                  </w:rPr>
                  <w:t> </w:t>
                </w:r>
                <w:r>
                  <w:rPr>
                    <w:rFonts w:ascii="Arial"/>
                    <w:color w:val="808080"/>
                    <w:sz w:val="16"/>
                  </w:rPr>
                  <w:t>with</w:t>
                </w:r>
                <w:r>
                  <w:rPr>
                    <w:rFonts w:ascii="Arial"/>
                    <w:color w:val="808080"/>
                    <w:spacing w:val="-3"/>
                    <w:sz w:val="16"/>
                  </w:rPr>
                  <w:t> </w:t>
                </w:r>
                <w:r>
                  <w:rPr>
                    <w:rFonts w:ascii="Arial"/>
                    <w:color w:val="808080"/>
                    <w:spacing w:val="-5"/>
                    <w:sz w:val="16"/>
                  </w:rPr>
                  <w:t>itp</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619995pt;margin-top:41.724503pt;width:7pt;height:13.05pt;mso-position-horizontal-relative:page;mso-position-vertical-relative:page;z-index:-17647104" type="#_x0000_t202" id="docshape475" filled="false" stroked="false">
          <v:textbox inset="0,0,0,0">
            <w:txbxContent>
              <w:p>
                <w:pPr>
                  <w:spacing w:before="10"/>
                  <w:ind w:left="20" w:right="0" w:firstLine="0"/>
                  <w:jc w:val="left"/>
                  <w:rPr>
                    <w:sz w:val="20"/>
                  </w:rPr>
                </w:pPr>
                <w:r>
                  <w:rPr>
                    <w:w w:val="99"/>
                    <w:sz w:val="20"/>
                  </w:rPr>
                  <w:t>8</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5.439999pt;margin-top:64.799995pt;width:484.68pt;height:.48pt;mso-position-horizontal-relative:page;mso-position-vertical-relative:page;z-index:-17646592" id="docshape476" filled="true" fillcolor="#000000" stroked="false">
          <v:fill type="solid"/>
          <w10:wrap type="none"/>
        </v:rect>
      </w:pict>
    </w:r>
    <w:r>
      <w:rPr/>
      <w:pict>
        <v:shape style="position:absolute;margin-left:53.903999pt;margin-top:41.724503pt;width:12pt;height:13.05pt;mso-position-horizontal-relative:page;mso-position-vertical-relative:page;z-index:-17646080" type="#_x0000_t202" id="docshape477" filled="false" stroked="false">
          <v:textbox inset="0,0,0,0">
            <w:txbxContent>
              <w:p>
                <w:pPr>
                  <w:spacing w:before="10"/>
                  <w:ind w:left="60" w:right="0" w:firstLine="0"/>
                  <w:jc w:val="left"/>
                  <w:rPr>
                    <w:sz w:val="20"/>
                  </w:rPr>
                </w:pPr>
                <w:r>
                  <w:rPr>
                    <w:w w:val="99"/>
                    <w:sz w:val="20"/>
                  </w:rPr>
                  <w:t>9</w:t>
                </w:r>
              </w:p>
            </w:txbxContent>
          </v:textbox>
          <w10:wrap type="none"/>
        </v:shape>
      </w:pict>
    </w:r>
    <w:r>
      <w:rPr/>
      <w:pict>
        <v:shape style="position:absolute;margin-left:362.790009pt;margin-top:51.361595pt;width:176.75pt;height:11pt;mso-position-horizontal-relative:page;mso-position-vertical-relative:page;z-index:-17645568" type="#_x0000_t202" id="docshape478" filled="false" stroked="false">
          <v:textbox inset="0,0,0,0">
            <w:txbxContent>
              <w:p>
                <w:pPr>
                  <w:spacing w:before="15"/>
                  <w:ind w:left="20" w:right="0" w:firstLine="0"/>
                  <w:jc w:val="left"/>
                  <w:rPr>
                    <w:rFonts w:ascii="Arial"/>
                    <w:sz w:val="16"/>
                  </w:rPr>
                </w:pPr>
                <w:r>
                  <w:rPr>
                    <w:rFonts w:ascii="Arial"/>
                    <w:color w:val="808080"/>
                    <w:sz w:val="16"/>
                  </w:rPr>
                  <w:t>Low</w:t>
                </w:r>
                <w:r>
                  <w:rPr>
                    <w:rFonts w:ascii="Arial"/>
                    <w:color w:val="808080"/>
                    <w:spacing w:val="-7"/>
                    <w:sz w:val="16"/>
                  </w:rPr>
                  <w:t> </w:t>
                </w:r>
                <w:r>
                  <w:rPr>
                    <w:rFonts w:ascii="Arial"/>
                    <w:color w:val="808080"/>
                    <w:sz w:val="16"/>
                  </w:rPr>
                  <w:t>frequency</w:t>
                </w:r>
                <w:r>
                  <w:rPr>
                    <w:rFonts w:ascii="Arial"/>
                    <w:color w:val="808080"/>
                    <w:spacing w:val="-4"/>
                    <w:sz w:val="16"/>
                  </w:rPr>
                  <w:t> </w:t>
                </w:r>
                <w:r>
                  <w:rPr>
                    <w:rFonts w:ascii="Arial"/>
                    <w:color w:val="808080"/>
                    <w:sz w:val="16"/>
                  </w:rPr>
                  <w:t>of</w:t>
                </w:r>
                <w:r>
                  <w:rPr>
                    <w:rFonts w:ascii="Arial"/>
                    <w:color w:val="808080"/>
                    <w:spacing w:val="-2"/>
                    <w:sz w:val="16"/>
                  </w:rPr>
                  <w:t> </w:t>
                </w:r>
                <w:r>
                  <w:rPr>
                    <w:rFonts w:ascii="Arial"/>
                    <w:color w:val="808080"/>
                    <w:sz w:val="16"/>
                  </w:rPr>
                  <w:t>clonal</w:t>
                </w:r>
                <w:r>
                  <w:rPr>
                    <w:rFonts w:ascii="Arial"/>
                    <w:color w:val="808080"/>
                    <w:spacing w:val="-3"/>
                    <w:sz w:val="16"/>
                  </w:rPr>
                  <w:t> </w:t>
                </w:r>
                <w:r>
                  <w:rPr>
                    <w:rFonts w:ascii="Arial"/>
                    <w:color w:val="808080"/>
                    <w:sz w:val="16"/>
                  </w:rPr>
                  <w:t>b</w:t>
                </w:r>
                <w:r>
                  <w:rPr>
                    <w:rFonts w:ascii="Arial"/>
                    <w:color w:val="808080"/>
                    <w:spacing w:val="-5"/>
                    <w:sz w:val="16"/>
                  </w:rPr>
                  <w:t> </w:t>
                </w:r>
                <w:r>
                  <w:rPr>
                    <w:rFonts w:ascii="Arial"/>
                    <w:color w:val="808080"/>
                    <w:sz w:val="16"/>
                  </w:rPr>
                  <w:t>cells</w:t>
                </w:r>
                <w:r>
                  <w:rPr>
                    <w:rFonts w:ascii="Arial"/>
                    <w:color w:val="808080"/>
                    <w:spacing w:val="-5"/>
                    <w:sz w:val="16"/>
                  </w:rPr>
                  <w:t> </w:t>
                </w:r>
                <w:r>
                  <w:rPr>
                    <w:rFonts w:ascii="Arial"/>
                    <w:color w:val="808080"/>
                    <w:sz w:val="16"/>
                  </w:rPr>
                  <w:t>in</w:t>
                </w:r>
                <w:r>
                  <w:rPr>
                    <w:rFonts w:ascii="Arial"/>
                    <w:color w:val="808080"/>
                    <w:spacing w:val="-5"/>
                    <w:sz w:val="16"/>
                  </w:rPr>
                  <w:t> </w:t>
                </w:r>
                <w:r>
                  <w:rPr>
                    <w:rFonts w:ascii="Arial"/>
                    <w:color w:val="808080"/>
                    <w:sz w:val="16"/>
                  </w:rPr>
                  <w:t>patients</w:t>
                </w:r>
                <w:r>
                  <w:rPr>
                    <w:rFonts w:ascii="Arial"/>
                    <w:color w:val="808080"/>
                    <w:spacing w:val="-4"/>
                    <w:sz w:val="16"/>
                  </w:rPr>
                  <w:t> </w:t>
                </w:r>
                <w:r>
                  <w:rPr>
                    <w:rFonts w:ascii="Arial"/>
                    <w:color w:val="808080"/>
                    <w:sz w:val="16"/>
                  </w:rPr>
                  <w:t>with</w:t>
                </w:r>
                <w:r>
                  <w:rPr>
                    <w:rFonts w:ascii="Arial"/>
                    <w:color w:val="808080"/>
                    <w:spacing w:val="-3"/>
                    <w:sz w:val="16"/>
                  </w:rPr>
                  <w:t> </w:t>
                </w:r>
                <w:r>
                  <w:rPr>
                    <w:rFonts w:ascii="Arial"/>
                    <w:color w:val="808080"/>
                    <w:spacing w:val="-5"/>
                    <w:sz w:val="16"/>
                  </w:rPr>
                  <w:t>itp</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598" w:hanging="360"/>
        <w:jc w:val="left"/>
      </w:pPr>
      <w:rPr>
        <w:rFonts w:hint="default"/>
        <w:w w:val="100"/>
        <w:lang w:val="en-US" w:eastAsia="en-US" w:bidi="ar-SA"/>
      </w:rPr>
    </w:lvl>
    <w:lvl w:ilvl="1">
      <w:start w:val="1"/>
      <w:numFmt w:val="lowerLetter"/>
      <w:lvlText w:val="%2)"/>
      <w:lvlJc w:val="left"/>
      <w:pPr>
        <w:ind w:left="238" w:hanging="360"/>
        <w:jc w:val="left"/>
      </w:pPr>
      <w:rPr>
        <w:rFonts w:hint="default"/>
        <w:w w:val="107"/>
        <w:lang w:val="en-US" w:eastAsia="en-US" w:bidi="ar-SA"/>
      </w:rPr>
    </w:lvl>
    <w:lvl w:ilvl="2">
      <w:start w:val="0"/>
      <w:numFmt w:val="bullet"/>
      <w:lvlText w:val="•"/>
      <w:lvlJc w:val="left"/>
      <w:pPr>
        <w:ind w:left="1663" w:hanging="360"/>
      </w:pPr>
      <w:rPr>
        <w:rFonts w:hint="default"/>
        <w:lang w:val="en-US" w:eastAsia="en-US" w:bidi="ar-SA"/>
      </w:rPr>
    </w:lvl>
    <w:lvl w:ilvl="3">
      <w:start w:val="0"/>
      <w:numFmt w:val="bullet"/>
      <w:lvlText w:val="•"/>
      <w:lvlJc w:val="left"/>
      <w:pPr>
        <w:ind w:left="2726" w:hanging="360"/>
      </w:pPr>
      <w:rPr>
        <w:rFonts w:hint="default"/>
        <w:lang w:val="en-US" w:eastAsia="en-US" w:bidi="ar-SA"/>
      </w:rPr>
    </w:lvl>
    <w:lvl w:ilvl="4">
      <w:start w:val="0"/>
      <w:numFmt w:val="bullet"/>
      <w:lvlText w:val="•"/>
      <w:lvlJc w:val="left"/>
      <w:pPr>
        <w:ind w:left="3789" w:hanging="360"/>
      </w:pPr>
      <w:rPr>
        <w:rFonts w:hint="default"/>
        <w:lang w:val="en-US" w:eastAsia="en-US" w:bidi="ar-SA"/>
      </w:rPr>
    </w:lvl>
    <w:lvl w:ilvl="5">
      <w:start w:val="0"/>
      <w:numFmt w:val="bullet"/>
      <w:lvlText w:val="•"/>
      <w:lvlJc w:val="left"/>
      <w:pPr>
        <w:ind w:left="4852" w:hanging="360"/>
      </w:pPr>
      <w:rPr>
        <w:rFonts w:hint="default"/>
        <w:lang w:val="en-US" w:eastAsia="en-US" w:bidi="ar-SA"/>
      </w:rPr>
    </w:lvl>
    <w:lvl w:ilvl="6">
      <w:start w:val="0"/>
      <w:numFmt w:val="bullet"/>
      <w:lvlText w:val="•"/>
      <w:lvlJc w:val="left"/>
      <w:pPr>
        <w:ind w:left="5916" w:hanging="360"/>
      </w:pPr>
      <w:rPr>
        <w:rFonts w:hint="default"/>
        <w:lang w:val="en-US" w:eastAsia="en-US" w:bidi="ar-SA"/>
      </w:rPr>
    </w:lvl>
    <w:lvl w:ilvl="7">
      <w:start w:val="0"/>
      <w:numFmt w:val="bullet"/>
      <w:lvlText w:val="•"/>
      <w:lvlJc w:val="left"/>
      <w:pPr>
        <w:ind w:left="6979" w:hanging="360"/>
      </w:pPr>
      <w:rPr>
        <w:rFonts w:hint="default"/>
        <w:lang w:val="en-US" w:eastAsia="en-US" w:bidi="ar-SA"/>
      </w:rPr>
    </w:lvl>
    <w:lvl w:ilvl="8">
      <w:start w:val="0"/>
      <w:numFmt w:val="bullet"/>
      <w:lvlText w:val="•"/>
      <w:lvlJc w:val="left"/>
      <w:pPr>
        <w:ind w:left="8042" w:hanging="360"/>
      </w:pPr>
      <w:rPr>
        <w:rFonts w:hint="default"/>
        <w:lang w:val="en-US" w:eastAsia="en-US" w:bidi="ar-SA"/>
      </w:rPr>
    </w:lvl>
  </w:abstractNum>
  <w:abstractNum w:abstractNumId="15">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bCs/>
        <w:i w:val="0"/>
        <w:iCs w:val="0"/>
        <w:spacing w:val="0"/>
        <w:w w:val="99"/>
        <w:sz w:val="20"/>
        <w:szCs w:val="20"/>
        <w:lang w:val="en-US" w:eastAsia="en-US" w:bidi="ar-SA"/>
      </w:rPr>
    </w:lvl>
    <w:lvl w:ilvl="1">
      <w:start w:val="0"/>
      <w:numFmt w:val="bullet"/>
      <w:lvlText w:val="•"/>
      <w:lvlJc w:val="left"/>
      <w:pPr>
        <w:ind w:left="1574" w:hanging="389"/>
      </w:pPr>
      <w:rPr>
        <w:rFonts w:hint="default"/>
        <w:lang w:val="en-US" w:eastAsia="en-US" w:bidi="ar-SA"/>
      </w:rPr>
    </w:lvl>
    <w:lvl w:ilvl="2">
      <w:start w:val="0"/>
      <w:numFmt w:val="bullet"/>
      <w:lvlText w:val="•"/>
      <w:lvlJc w:val="left"/>
      <w:pPr>
        <w:ind w:left="2529" w:hanging="389"/>
      </w:pPr>
      <w:rPr>
        <w:rFonts w:hint="default"/>
        <w:lang w:val="en-US" w:eastAsia="en-US" w:bidi="ar-SA"/>
      </w:rPr>
    </w:lvl>
    <w:lvl w:ilvl="3">
      <w:start w:val="0"/>
      <w:numFmt w:val="bullet"/>
      <w:lvlText w:val="•"/>
      <w:lvlJc w:val="left"/>
      <w:pPr>
        <w:ind w:left="3484" w:hanging="389"/>
      </w:pPr>
      <w:rPr>
        <w:rFonts w:hint="default"/>
        <w:lang w:val="en-US" w:eastAsia="en-US" w:bidi="ar-SA"/>
      </w:rPr>
    </w:lvl>
    <w:lvl w:ilvl="4">
      <w:start w:val="0"/>
      <w:numFmt w:val="bullet"/>
      <w:lvlText w:val="•"/>
      <w:lvlJc w:val="left"/>
      <w:pPr>
        <w:ind w:left="4439" w:hanging="389"/>
      </w:pPr>
      <w:rPr>
        <w:rFonts w:hint="default"/>
        <w:lang w:val="en-US" w:eastAsia="en-US" w:bidi="ar-SA"/>
      </w:rPr>
    </w:lvl>
    <w:lvl w:ilvl="5">
      <w:start w:val="0"/>
      <w:numFmt w:val="bullet"/>
      <w:lvlText w:val="•"/>
      <w:lvlJc w:val="left"/>
      <w:pPr>
        <w:ind w:left="5394" w:hanging="389"/>
      </w:pPr>
      <w:rPr>
        <w:rFonts w:hint="default"/>
        <w:lang w:val="en-US" w:eastAsia="en-US" w:bidi="ar-SA"/>
      </w:rPr>
    </w:lvl>
    <w:lvl w:ilvl="6">
      <w:start w:val="0"/>
      <w:numFmt w:val="bullet"/>
      <w:lvlText w:val="•"/>
      <w:lvlJc w:val="left"/>
      <w:pPr>
        <w:ind w:left="6349" w:hanging="389"/>
      </w:pPr>
      <w:rPr>
        <w:rFonts w:hint="default"/>
        <w:lang w:val="en-US" w:eastAsia="en-US" w:bidi="ar-SA"/>
      </w:rPr>
    </w:lvl>
    <w:lvl w:ilvl="7">
      <w:start w:val="0"/>
      <w:numFmt w:val="bullet"/>
      <w:lvlText w:val="•"/>
      <w:lvlJc w:val="left"/>
      <w:pPr>
        <w:ind w:left="7304" w:hanging="389"/>
      </w:pPr>
      <w:rPr>
        <w:rFonts w:hint="default"/>
        <w:lang w:val="en-US" w:eastAsia="en-US" w:bidi="ar-SA"/>
      </w:rPr>
    </w:lvl>
    <w:lvl w:ilvl="8">
      <w:start w:val="0"/>
      <w:numFmt w:val="bullet"/>
      <w:lvlText w:val="•"/>
      <w:lvlJc w:val="left"/>
      <w:pPr>
        <w:ind w:left="8259" w:hanging="389"/>
      </w:pPr>
      <w:rPr>
        <w:rFonts w:hint="default"/>
        <w:lang w:val="en-US" w:eastAsia="en-US" w:bidi="ar-SA"/>
      </w:rPr>
    </w:lvl>
  </w:abstractNum>
  <w:abstractNum w:abstractNumId="14">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50" w:hanging="389"/>
      </w:pPr>
      <w:rPr>
        <w:rFonts w:hint="default"/>
        <w:lang w:val="en-US" w:eastAsia="en-US" w:bidi="ar-SA"/>
      </w:rPr>
    </w:lvl>
    <w:lvl w:ilvl="2">
      <w:start w:val="0"/>
      <w:numFmt w:val="bullet"/>
      <w:lvlText w:val="•"/>
      <w:lvlJc w:val="left"/>
      <w:pPr>
        <w:ind w:left="1480" w:hanging="389"/>
      </w:pPr>
      <w:rPr>
        <w:rFonts w:hint="default"/>
        <w:lang w:val="en-US" w:eastAsia="en-US" w:bidi="ar-SA"/>
      </w:rPr>
    </w:lvl>
    <w:lvl w:ilvl="3">
      <w:start w:val="0"/>
      <w:numFmt w:val="bullet"/>
      <w:lvlText w:val="•"/>
      <w:lvlJc w:val="left"/>
      <w:pPr>
        <w:ind w:left="1910" w:hanging="389"/>
      </w:pPr>
      <w:rPr>
        <w:rFonts w:hint="default"/>
        <w:lang w:val="en-US" w:eastAsia="en-US" w:bidi="ar-SA"/>
      </w:rPr>
    </w:lvl>
    <w:lvl w:ilvl="4">
      <w:start w:val="0"/>
      <w:numFmt w:val="bullet"/>
      <w:lvlText w:val="•"/>
      <w:lvlJc w:val="left"/>
      <w:pPr>
        <w:ind w:left="2340" w:hanging="389"/>
      </w:pPr>
      <w:rPr>
        <w:rFonts w:hint="default"/>
        <w:lang w:val="en-US" w:eastAsia="en-US" w:bidi="ar-SA"/>
      </w:rPr>
    </w:lvl>
    <w:lvl w:ilvl="5">
      <w:start w:val="0"/>
      <w:numFmt w:val="bullet"/>
      <w:lvlText w:val="•"/>
      <w:lvlJc w:val="left"/>
      <w:pPr>
        <w:ind w:left="2770" w:hanging="389"/>
      </w:pPr>
      <w:rPr>
        <w:rFonts w:hint="default"/>
        <w:lang w:val="en-US" w:eastAsia="en-US" w:bidi="ar-SA"/>
      </w:rPr>
    </w:lvl>
    <w:lvl w:ilvl="6">
      <w:start w:val="0"/>
      <w:numFmt w:val="bullet"/>
      <w:lvlText w:val="•"/>
      <w:lvlJc w:val="left"/>
      <w:pPr>
        <w:ind w:left="3200" w:hanging="389"/>
      </w:pPr>
      <w:rPr>
        <w:rFonts w:hint="default"/>
        <w:lang w:val="en-US" w:eastAsia="en-US" w:bidi="ar-SA"/>
      </w:rPr>
    </w:lvl>
    <w:lvl w:ilvl="7">
      <w:start w:val="0"/>
      <w:numFmt w:val="bullet"/>
      <w:lvlText w:val="•"/>
      <w:lvlJc w:val="left"/>
      <w:pPr>
        <w:ind w:left="3630" w:hanging="389"/>
      </w:pPr>
      <w:rPr>
        <w:rFonts w:hint="default"/>
        <w:lang w:val="en-US" w:eastAsia="en-US" w:bidi="ar-SA"/>
      </w:rPr>
    </w:lvl>
    <w:lvl w:ilvl="8">
      <w:start w:val="0"/>
      <w:numFmt w:val="bullet"/>
      <w:lvlText w:val="•"/>
      <w:lvlJc w:val="left"/>
      <w:pPr>
        <w:ind w:left="4060" w:hanging="389"/>
      </w:pPr>
      <w:rPr>
        <w:rFonts w:hint="default"/>
        <w:lang w:val="en-US" w:eastAsia="en-US" w:bidi="ar-SA"/>
      </w:rPr>
    </w:lvl>
  </w:abstractNum>
  <w:abstractNum w:abstractNumId="13">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12">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50" w:hanging="389"/>
      </w:pPr>
      <w:rPr>
        <w:rFonts w:hint="default"/>
        <w:lang w:val="en-US" w:eastAsia="en-US" w:bidi="ar-SA"/>
      </w:rPr>
    </w:lvl>
    <w:lvl w:ilvl="2">
      <w:start w:val="0"/>
      <w:numFmt w:val="bullet"/>
      <w:lvlText w:val="•"/>
      <w:lvlJc w:val="left"/>
      <w:pPr>
        <w:ind w:left="1480" w:hanging="389"/>
      </w:pPr>
      <w:rPr>
        <w:rFonts w:hint="default"/>
        <w:lang w:val="en-US" w:eastAsia="en-US" w:bidi="ar-SA"/>
      </w:rPr>
    </w:lvl>
    <w:lvl w:ilvl="3">
      <w:start w:val="0"/>
      <w:numFmt w:val="bullet"/>
      <w:lvlText w:val="•"/>
      <w:lvlJc w:val="left"/>
      <w:pPr>
        <w:ind w:left="1910" w:hanging="389"/>
      </w:pPr>
      <w:rPr>
        <w:rFonts w:hint="default"/>
        <w:lang w:val="en-US" w:eastAsia="en-US" w:bidi="ar-SA"/>
      </w:rPr>
    </w:lvl>
    <w:lvl w:ilvl="4">
      <w:start w:val="0"/>
      <w:numFmt w:val="bullet"/>
      <w:lvlText w:val="•"/>
      <w:lvlJc w:val="left"/>
      <w:pPr>
        <w:ind w:left="2340" w:hanging="389"/>
      </w:pPr>
      <w:rPr>
        <w:rFonts w:hint="default"/>
        <w:lang w:val="en-US" w:eastAsia="en-US" w:bidi="ar-SA"/>
      </w:rPr>
    </w:lvl>
    <w:lvl w:ilvl="5">
      <w:start w:val="0"/>
      <w:numFmt w:val="bullet"/>
      <w:lvlText w:val="•"/>
      <w:lvlJc w:val="left"/>
      <w:pPr>
        <w:ind w:left="2770" w:hanging="389"/>
      </w:pPr>
      <w:rPr>
        <w:rFonts w:hint="default"/>
        <w:lang w:val="en-US" w:eastAsia="en-US" w:bidi="ar-SA"/>
      </w:rPr>
    </w:lvl>
    <w:lvl w:ilvl="6">
      <w:start w:val="0"/>
      <w:numFmt w:val="bullet"/>
      <w:lvlText w:val="•"/>
      <w:lvlJc w:val="left"/>
      <w:pPr>
        <w:ind w:left="3200" w:hanging="389"/>
      </w:pPr>
      <w:rPr>
        <w:rFonts w:hint="default"/>
        <w:lang w:val="en-US" w:eastAsia="en-US" w:bidi="ar-SA"/>
      </w:rPr>
    </w:lvl>
    <w:lvl w:ilvl="7">
      <w:start w:val="0"/>
      <w:numFmt w:val="bullet"/>
      <w:lvlText w:val="•"/>
      <w:lvlJc w:val="left"/>
      <w:pPr>
        <w:ind w:left="3630" w:hanging="389"/>
      </w:pPr>
      <w:rPr>
        <w:rFonts w:hint="default"/>
        <w:lang w:val="en-US" w:eastAsia="en-US" w:bidi="ar-SA"/>
      </w:rPr>
    </w:lvl>
    <w:lvl w:ilvl="8">
      <w:start w:val="0"/>
      <w:numFmt w:val="bullet"/>
      <w:lvlText w:val="•"/>
      <w:lvlJc w:val="left"/>
      <w:pPr>
        <w:ind w:left="4060" w:hanging="389"/>
      </w:pPr>
      <w:rPr>
        <w:rFonts w:hint="default"/>
        <w:lang w:val="en-US" w:eastAsia="en-US" w:bidi="ar-SA"/>
      </w:rPr>
    </w:lvl>
  </w:abstractNum>
  <w:abstractNum w:abstractNumId="11">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10">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9">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8">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7">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99"/>
        <w:sz w:val="20"/>
        <w:szCs w:val="20"/>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6">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5">
    <w:multiLevelType w:val="hybridMultilevel"/>
    <w:lvl w:ilvl="0">
      <w:start w:val="7"/>
      <w:numFmt w:val="decimal"/>
      <w:lvlText w:val="%1"/>
      <w:lvlJc w:val="left"/>
      <w:pPr>
        <w:ind w:left="238" w:hanging="137"/>
        <w:jc w:val="left"/>
      </w:pPr>
      <w:rPr>
        <w:rFonts w:hint="default" w:ascii="Times New Roman" w:hAnsi="Times New Roman" w:eastAsia="Times New Roman" w:cs="Times New Roman"/>
        <w:b/>
        <w:bCs/>
        <w:i w:val="0"/>
        <w:iCs w:val="0"/>
        <w:w w:val="100"/>
        <w:sz w:val="18"/>
        <w:szCs w:val="18"/>
        <w:lang w:val="en-US" w:eastAsia="en-US" w:bidi="ar-SA"/>
      </w:rPr>
    </w:lvl>
    <w:lvl w:ilvl="1">
      <w:start w:val="0"/>
      <w:numFmt w:val="bullet"/>
      <w:lvlText w:val="•"/>
      <w:lvlJc w:val="left"/>
      <w:pPr>
        <w:ind w:left="402" w:hanging="137"/>
      </w:pPr>
      <w:rPr>
        <w:rFonts w:hint="default"/>
        <w:lang w:val="en-US" w:eastAsia="en-US" w:bidi="ar-SA"/>
      </w:rPr>
    </w:lvl>
    <w:lvl w:ilvl="2">
      <w:start w:val="0"/>
      <w:numFmt w:val="bullet"/>
      <w:lvlText w:val="•"/>
      <w:lvlJc w:val="left"/>
      <w:pPr>
        <w:ind w:left="564" w:hanging="137"/>
      </w:pPr>
      <w:rPr>
        <w:rFonts w:hint="default"/>
        <w:lang w:val="en-US" w:eastAsia="en-US" w:bidi="ar-SA"/>
      </w:rPr>
    </w:lvl>
    <w:lvl w:ilvl="3">
      <w:start w:val="0"/>
      <w:numFmt w:val="bullet"/>
      <w:lvlText w:val="•"/>
      <w:lvlJc w:val="left"/>
      <w:pPr>
        <w:ind w:left="726" w:hanging="137"/>
      </w:pPr>
      <w:rPr>
        <w:rFonts w:hint="default"/>
        <w:lang w:val="en-US" w:eastAsia="en-US" w:bidi="ar-SA"/>
      </w:rPr>
    </w:lvl>
    <w:lvl w:ilvl="4">
      <w:start w:val="0"/>
      <w:numFmt w:val="bullet"/>
      <w:lvlText w:val="•"/>
      <w:lvlJc w:val="left"/>
      <w:pPr>
        <w:ind w:left="888" w:hanging="137"/>
      </w:pPr>
      <w:rPr>
        <w:rFonts w:hint="default"/>
        <w:lang w:val="en-US" w:eastAsia="en-US" w:bidi="ar-SA"/>
      </w:rPr>
    </w:lvl>
    <w:lvl w:ilvl="5">
      <w:start w:val="0"/>
      <w:numFmt w:val="bullet"/>
      <w:lvlText w:val="•"/>
      <w:lvlJc w:val="left"/>
      <w:pPr>
        <w:ind w:left="1050" w:hanging="137"/>
      </w:pPr>
      <w:rPr>
        <w:rFonts w:hint="default"/>
        <w:lang w:val="en-US" w:eastAsia="en-US" w:bidi="ar-SA"/>
      </w:rPr>
    </w:lvl>
    <w:lvl w:ilvl="6">
      <w:start w:val="0"/>
      <w:numFmt w:val="bullet"/>
      <w:lvlText w:val="•"/>
      <w:lvlJc w:val="left"/>
      <w:pPr>
        <w:ind w:left="1212" w:hanging="137"/>
      </w:pPr>
      <w:rPr>
        <w:rFonts w:hint="default"/>
        <w:lang w:val="en-US" w:eastAsia="en-US" w:bidi="ar-SA"/>
      </w:rPr>
    </w:lvl>
    <w:lvl w:ilvl="7">
      <w:start w:val="0"/>
      <w:numFmt w:val="bullet"/>
      <w:lvlText w:val="•"/>
      <w:lvlJc w:val="left"/>
      <w:pPr>
        <w:ind w:left="1374" w:hanging="137"/>
      </w:pPr>
      <w:rPr>
        <w:rFonts w:hint="default"/>
        <w:lang w:val="en-US" w:eastAsia="en-US" w:bidi="ar-SA"/>
      </w:rPr>
    </w:lvl>
    <w:lvl w:ilvl="8">
      <w:start w:val="0"/>
      <w:numFmt w:val="bullet"/>
      <w:lvlText w:val="•"/>
      <w:lvlJc w:val="left"/>
      <w:pPr>
        <w:ind w:left="1536" w:hanging="137"/>
      </w:pPr>
      <w:rPr>
        <w:rFonts w:hint="default"/>
        <w:lang w:val="en-US" w:eastAsia="en-US" w:bidi="ar-SA"/>
      </w:rPr>
    </w:lvl>
  </w:abstractNum>
  <w:abstractNum w:abstractNumId="4">
    <w:multiLevelType w:val="hybridMultilevel"/>
    <w:lvl w:ilvl="0">
      <w:start w:val="1"/>
      <w:numFmt w:val="decimal"/>
      <w:lvlText w:val="%1"/>
      <w:lvlJc w:val="left"/>
      <w:pPr>
        <w:ind w:left="374" w:hanging="137"/>
        <w:jc w:val="left"/>
      </w:pPr>
      <w:rPr>
        <w:rFonts w:hint="default" w:ascii="Times New Roman" w:hAnsi="Times New Roman" w:eastAsia="Times New Roman" w:cs="Times New Roman"/>
        <w:b/>
        <w:bCs/>
        <w:i w:val="0"/>
        <w:iCs w:val="0"/>
        <w:w w:val="100"/>
        <w:sz w:val="18"/>
        <w:szCs w:val="18"/>
        <w:lang w:val="en-US" w:eastAsia="en-US" w:bidi="ar-SA"/>
      </w:rPr>
    </w:lvl>
    <w:lvl w:ilvl="1">
      <w:start w:val="0"/>
      <w:numFmt w:val="bullet"/>
      <w:lvlText w:val="•"/>
      <w:lvlJc w:val="left"/>
      <w:pPr>
        <w:ind w:left="515" w:hanging="137"/>
      </w:pPr>
      <w:rPr>
        <w:rFonts w:hint="default"/>
        <w:lang w:val="en-US" w:eastAsia="en-US" w:bidi="ar-SA"/>
      </w:rPr>
    </w:lvl>
    <w:lvl w:ilvl="2">
      <w:start w:val="0"/>
      <w:numFmt w:val="bullet"/>
      <w:lvlText w:val="•"/>
      <w:lvlJc w:val="left"/>
      <w:pPr>
        <w:ind w:left="651" w:hanging="137"/>
      </w:pPr>
      <w:rPr>
        <w:rFonts w:hint="default"/>
        <w:lang w:val="en-US" w:eastAsia="en-US" w:bidi="ar-SA"/>
      </w:rPr>
    </w:lvl>
    <w:lvl w:ilvl="3">
      <w:start w:val="0"/>
      <w:numFmt w:val="bullet"/>
      <w:lvlText w:val="•"/>
      <w:lvlJc w:val="left"/>
      <w:pPr>
        <w:ind w:left="787" w:hanging="137"/>
      </w:pPr>
      <w:rPr>
        <w:rFonts w:hint="default"/>
        <w:lang w:val="en-US" w:eastAsia="en-US" w:bidi="ar-SA"/>
      </w:rPr>
    </w:lvl>
    <w:lvl w:ilvl="4">
      <w:start w:val="0"/>
      <w:numFmt w:val="bullet"/>
      <w:lvlText w:val="•"/>
      <w:lvlJc w:val="left"/>
      <w:pPr>
        <w:ind w:left="923" w:hanging="137"/>
      </w:pPr>
      <w:rPr>
        <w:rFonts w:hint="default"/>
        <w:lang w:val="en-US" w:eastAsia="en-US" w:bidi="ar-SA"/>
      </w:rPr>
    </w:lvl>
    <w:lvl w:ilvl="5">
      <w:start w:val="0"/>
      <w:numFmt w:val="bullet"/>
      <w:lvlText w:val="•"/>
      <w:lvlJc w:val="left"/>
      <w:pPr>
        <w:ind w:left="1059" w:hanging="137"/>
      </w:pPr>
      <w:rPr>
        <w:rFonts w:hint="default"/>
        <w:lang w:val="en-US" w:eastAsia="en-US" w:bidi="ar-SA"/>
      </w:rPr>
    </w:lvl>
    <w:lvl w:ilvl="6">
      <w:start w:val="0"/>
      <w:numFmt w:val="bullet"/>
      <w:lvlText w:val="•"/>
      <w:lvlJc w:val="left"/>
      <w:pPr>
        <w:ind w:left="1195" w:hanging="137"/>
      </w:pPr>
      <w:rPr>
        <w:rFonts w:hint="default"/>
        <w:lang w:val="en-US" w:eastAsia="en-US" w:bidi="ar-SA"/>
      </w:rPr>
    </w:lvl>
    <w:lvl w:ilvl="7">
      <w:start w:val="0"/>
      <w:numFmt w:val="bullet"/>
      <w:lvlText w:val="•"/>
      <w:lvlJc w:val="left"/>
      <w:pPr>
        <w:ind w:left="1331" w:hanging="137"/>
      </w:pPr>
      <w:rPr>
        <w:rFonts w:hint="default"/>
        <w:lang w:val="en-US" w:eastAsia="en-US" w:bidi="ar-SA"/>
      </w:rPr>
    </w:lvl>
    <w:lvl w:ilvl="8">
      <w:start w:val="0"/>
      <w:numFmt w:val="bullet"/>
      <w:lvlText w:val="•"/>
      <w:lvlJc w:val="left"/>
      <w:pPr>
        <w:ind w:left="1467" w:hanging="137"/>
      </w:pPr>
      <w:rPr>
        <w:rFonts w:hint="default"/>
        <w:lang w:val="en-US" w:eastAsia="en-US" w:bidi="ar-SA"/>
      </w:rPr>
    </w:lvl>
  </w:abstractNum>
  <w:abstractNum w:abstractNumId="3">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5" w:hanging="389"/>
      </w:pPr>
      <w:rPr>
        <w:rFonts w:hint="default"/>
        <w:lang w:val="en-US" w:eastAsia="en-US" w:bidi="ar-SA"/>
      </w:rPr>
    </w:lvl>
    <w:lvl w:ilvl="2">
      <w:start w:val="0"/>
      <w:numFmt w:val="bullet"/>
      <w:lvlText w:val="•"/>
      <w:lvlJc w:val="left"/>
      <w:pPr>
        <w:ind w:left="1530" w:hanging="389"/>
      </w:pPr>
      <w:rPr>
        <w:rFonts w:hint="default"/>
        <w:lang w:val="en-US" w:eastAsia="en-US" w:bidi="ar-SA"/>
      </w:rPr>
    </w:lvl>
    <w:lvl w:ilvl="3">
      <w:start w:val="0"/>
      <w:numFmt w:val="bullet"/>
      <w:lvlText w:val="•"/>
      <w:lvlJc w:val="left"/>
      <w:pPr>
        <w:ind w:left="1985" w:hanging="389"/>
      </w:pPr>
      <w:rPr>
        <w:rFonts w:hint="default"/>
        <w:lang w:val="en-US" w:eastAsia="en-US" w:bidi="ar-SA"/>
      </w:rPr>
    </w:lvl>
    <w:lvl w:ilvl="4">
      <w:start w:val="0"/>
      <w:numFmt w:val="bullet"/>
      <w:lvlText w:val="•"/>
      <w:lvlJc w:val="left"/>
      <w:pPr>
        <w:ind w:left="2440" w:hanging="389"/>
      </w:pPr>
      <w:rPr>
        <w:rFonts w:hint="default"/>
        <w:lang w:val="en-US" w:eastAsia="en-US" w:bidi="ar-SA"/>
      </w:rPr>
    </w:lvl>
    <w:lvl w:ilvl="5">
      <w:start w:val="0"/>
      <w:numFmt w:val="bullet"/>
      <w:lvlText w:val="•"/>
      <w:lvlJc w:val="left"/>
      <w:pPr>
        <w:ind w:left="2895" w:hanging="389"/>
      </w:pPr>
      <w:rPr>
        <w:rFonts w:hint="default"/>
        <w:lang w:val="en-US" w:eastAsia="en-US" w:bidi="ar-SA"/>
      </w:rPr>
    </w:lvl>
    <w:lvl w:ilvl="6">
      <w:start w:val="0"/>
      <w:numFmt w:val="bullet"/>
      <w:lvlText w:val="•"/>
      <w:lvlJc w:val="left"/>
      <w:pPr>
        <w:ind w:left="3350" w:hanging="389"/>
      </w:pPr>
      <w:rPr>
        <w:rFonts w:hint="default"/>
        <w:lang w:val="en-US" w:eastAsia="en-US" w:bidi="ar-SA"/>
      </w:rPr>
    </w:lvl>
    <w:lvl w:ilvl="7">
      <w:start w:val="0"/>
      <w:numFmt w:val="bullet"/>
      <w:lvlText w:val="•"/>
      <w:lvlJc w:val="left"/>
      <w:pPr>
        <w:ind w:left="3805" w:hanging="389"/>
      </w:pPr>
      <w:rPr>
        <w:rFonts w:hint="default"/>
        <w:lang w:val="en-US" w:eastAsia="en-US" w:bidi="ar-SA"/>
      </w:rPr>
    </w:lvl>
    <w:lvl w:ilvl="8">
      <w:start w:val="0"/>
      <w:numFmt w:val="bullet"/>
      <w:lvlText w:val="•"/>
      <w:lvlJc w:val="left"/>
      <w:pPr>
        <w:ind w:left="4260" w:hanging="389"/>
      </w:pPr>
      <w:rPr>
        <w:rFonts w:hint="default"/>
        <w:lang w:val="en-US" w:eastAsia="en-US" w:bidi="ar-SA"/>
      </w:rPr>
    </w:lvl>
  </w:abstractNum>
  <w:abstractNum w:abstractNumId="2">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49" w:hanging="389"/>
      </w:pPr>
      <w:rPr>
        <w:rFonts w:hint="default"/>
        <w:lang w:val="en-US" w:eastAsia="en-US" w:bidi="ar-SA"/>
      </w:rPr>
    </w:lvl>
    <w:lvl w:ilvl="2">
      <w:start w:val="0"/>
      <w:numFmt w:val="bullet"/>
      <w:lvlText w:val="•"/>
      <w:lvlJc w:val="left"/>
      <w:pPr>
        <w:ind w:left="1479" w:hanging="389"/>
      </w:pPr>
      <w:rPr>
        <w:rFonts w:hint="default"/>
        <w:lang w:val="en-US" w:eastAsia="en-US" w:bidi="ar-SA"/>
      </w:rPr>
    </w:lvl>
    <w:lvl w:ilvl="3">
      <w:start w:val="0"/>
      <w:numFmt w:val="bullet"/>
      <w:lvlText w:val="•"/>
      <w:lvlJc w:val="left"/>
      <w:pPr>
        <w:ind w:left="1909" w:hanging="389"/>
      </w:pPr>
      <w:rPr>
        <w:rFonts w:hint="default"/>
        <w:lang w:val="en-US" w:eastAsia="en-US" w:bidi="ar-SA"/>
      </w:rPr>
    </w:lvl>
    <w:lvl w:ilvl="4">
      <w:start w:val="0"/>
      <w:numFmt w:val="bullet"/>
      <w:lvlText w:val="•"/>
      <w:lvlJc w:val="left"/>
      <w:pPr>
        <w:ind w:left="2339" w:hanging="389"/>
      </w:pPr>
      <w:rPr>
        <w:rFonts w:hint="default"/>
        <w:lang w:val="en-US" w:eastAsia="en-US" w:bidi="ar-SA"/>
      </w:rPr>
    </w:lvl>
    <w:lvl w:ilvl="5">
      <w:start w:val="0"/>
      <w:numFmt w:val="bullet"/>
      <w:lvlText w:val="•"/>
      <w:lvlJc w:val="left"/>
      <w:pPr>
        <w:ind w:left="2769" w:hanging="389"/>
      </w:pPr>
      <w:rPr>
        <w:rFonts w:hint="default"/>
        <w:lang w:val="en-US" w:eastAsia="en-US" w:bidi="ar-SA"/>
      </w:rPr>
    </w:lvl>
    <w:lvl w:ilvl="6">
      <w:start w:val="0"/>
      <w:numFmt w:val="bullet"/>
      <w:lvlText w:val="•"/>
      <w:lvlJc w:val="left"/>
      <w:pPr>
        <w:ind w:left="3199" w:hanging="389"/>
      </w:pPr>
      <w:rPr>
        <w:rFonts w:hint="default"/>
        <w:lang w:val="en-US" w:eastAsia="en-US" w:bidi="ar-SA"/>
      </w:rPr>
    </w:lvl>
    <w:lvl w:ilvl="7">
      <w:start w:val="0"/>
      <w:numFmt w:val="bullet"/>
      <w:lvlText w:val="•"/>
      <w:lvlJc w:val="left"/>
      <w:pPr>
        <w:ind w:left="3628" w:hanging="389"/>
      </w:pPr>
      <w:rPr>
        <w:rFonts w:hint="default"/>
        <w:lang w:val="en-US" w:eastAsia="en-US" w:bidi="ar-SA"/>
      </w:rPr>
    </w:lvl>
    <w:lvl w:ilvl="8">
      <w:start w:val="0"/>
      <w:numFmt w:val="bullet"/>
      <w:lvlText w:val="•"/>
      <w:lvlJc w:val="left"/>
      <w:pPr>
        <w:ind w:left="4058" w:hanging="389"/>
      </w:pPr>
      <w:rPr>
        <w:rFonts w:hint="default"/>
        <w:lang w:val="en-US" w:eastAsia="en-US" w:bidi="ar-SA"/>
      </w:rPr>
    </w:lvl>
  </w:abstractNum>
  <w:abstractNum w:abstractNumId="1">
    <w:multiLevelType w:val="hybridMultilevel"/>
    <w:lvl w:ilvl="0">
      <w:start w:val="1"/>
      <w:numFmt w:val="decimal"/>
      <w:lvlText w:val="%1."/>
      <w:lvlJc w:val="left"/>
      <w:pPr>
        <w:ind w:left="626" w:hanging="389"/>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49" w:hanging="389"/>
      </w:pPr>
      <w:rPr>
        <w:rFonts w:hint="default"/>
        <w:lang w:val="en-US" w:eastAsia="en-US" w:bidi="ar-SA"/>
      </w:rPr>
    </w:lvl>
    <w:lvl w:ilvl="2">
      <w:start w:val="0"/>
      <w:numFmt w:val="bullet"/>
      <w:lvlText w:val="•"/>
      <w:lvlJc w:val="left"/>
      <w:pPr>
        <w:ind w:left="1479" w:hanging="389"/>
      </w:pPr>
      <w:rPr>
        <w:rFonts w:hint="default"/>
        <w:lang w:val="en-US" w:eastAsia="en-US" w:bidi="ar-SA"/>
      </w:rPr>
    </w:lvl>
    <w:lvl w:ilvl="3">
      <w:start w:val="0"/>
      <w:numFmt w:val="bullet"/>
      <w:lvlText w:val="•"/>
      <w:lvlJc w:val="left"/>
      <w:pPr>
        <w:ind w:left="1909" w:hanging="389"/>
      </w:pPr>
      <w:rPr>
        <w:rFonts w:hint="default"/>
        <w:lang w:val="en-US" w:eastAsia="en-US" w:bidi="ar-SA"/>
      </w:rPr>
    </w:lvl>
    <w:lvl w:ilvl="4">
      <w:start w:val="0"/>
      <w:numFmt w:val="bullet"/>
      <w:lvlText w:val="•"/>
      <w:lvlJc w:val="left"/>
      <w:pPr>
        <w:ind w:left="2339" w:hanging="389"/>
      </w:pPr>
      <w:rPr>
        <w:rFonts w:hint="default"/>
        <w:lang w:val="en-US" w:eastAsia="en-US" w:bidi="ar-SA"/>
      </w:rPr>
    </w:lvl>
    <w:lvl w:ilvl="5">
      <w:start w:val="0"/>
      <w:numFmt w:val="bullet"/>
      <w:lvlText w:val="•"/>
      <w:lvlJc w:val="left"/>
      <w:pPr>
        <w:ind w:left="2769" w:hanging="389"/>
      </w:pPr>
      <w:rPr>
        <w:rFonts w:hint="default"/>
        <w:lang w:val="en-US" w:eastAsia="en-US" w:bidi="ar-SA"/>
      </w:rPr>
    </w:lvl>
    <w:lvl w:ilvl="6">
      <w:start w:val="0"/>
      <w:numFmt w:val="bullet"/>
      <w:lvlText w:val="•"/>
      <w:lvlJc w:val="left"/>
      <w:pPr>
        <w:ind w:left="3199" w:hanging="389"/>
      </w:pPr>
      <w:rPr>
        <w:rFonts w:hint="default"/>
        <w:lang w:val="en-US" w:eastAsia="en-US" w:bidi="ar-SA"/>
      </w:rPr>
    </w:lvl>
    <w:lvl w:ilvl="7">
      <w:start w:val="0"/>
      <w:numFmt w:val="bullet"/>
      <w:lvlText w:val="•"/>
      <w:lvlJc w:val="left"/>
      <w:pPr>
        <w:ind w:left="3628" w:hanging="389"/>
      </w:pPr>
      <w:rPr>
        <w:rFonts w:hint="default"/>
        <w:lang w:val="en-US" w:eastAsia="en-US" w:bidi="ar-SA"/>
      </w:rPr>
    </w:lvl>
    <w:lvl w:ilvl="8">
      <w:start w:val="0"/>
      <w:numFmt w:val="bullet"/>
      <w:lvlText w:val="•"/>
      <w:lvlJc w:val="left"/>
      <w:pPr>
        <w:ind w:left="4058" w:hanging="389"/>
      </w:pPr>
      <w:rPr>
        <w:rFonts w:hint="default"/>
        <w:lang w:val="en-US" w:eastAsia="en-US" w:bidi="ar-SA"/>
      </w:rPr>
    </w:lvl>
  </w:abstractNum>
  <w:abstractNum w:abstractNumId="0">
    <w:multiLevelType w:val="hybridMultilevel"/>
    <w:lvl w:ilvl="0">
      <w:start w:val="1"/>
      <w:numFmt w:val="upperRoman"/>
      <w:lvlText w:val="%1."/>
      <w:lvlJc w:val="left"/>
      <w:pPr>
        <w:ind w:left="1066" w:hanging="178"/>
        <w:jc w:val="left"/>
      </w:pPr>
      <w:rPr>
        <w:rFonts w:hint="default" w:ascii="Times New Roman" w:hAnsi="Times New Roman" w:eastAsia="Times New Roman" w:cs="Times New Roman"/>
        <w:b/>
        <w:bCs/>
        <w:i w:val="0"/>
        <w:iCs w:val="0"/>
        <w:spacing w:val="-1"/>
        <w:w w:val="99"/>
        <w:sz w:val="20"/>
        <w:szCs w:val="20"/>
        <w:shd w:fill="C0C0C0" w:color="auto" w:val="clear"/>
        <w:lang w:val="en-US" w:eastAsia="en-US" w:bidi="ar-SA"/>
      </w:rPr>
    </w:lvl>
    <w:lvl w:ilvl="1">
      <w:start w:val="0"/>
      <w:numFmt w:val="bullet"/>
      <w:lvlText w:val="•"/>
      <w:lvlJc w:val="left"/>
      <w:pPr>
        <w:ind w:left="1970" w:hanging="178"/>
      </w:pPr>
      <w:rPr>
        <w:rFonts w:hint="default"/>
        <w:lang w:val="en-US" w:eastAsia="en-US" w:bidi="ar-SA"/>
      </w:rPr>
    </w:lvl>
    <w:lvl w:ilvl="2">
      <w:start w:val="0"/>
      <w:numFmt w:val="bullet"/>
      <w:lvlText w:val="•"/>
      <w:lvlJc w:val="left"/>
      <w:pPr>
        <w:ind w:left="2881" w:hanging="178"/>
      </w:pPr>
      <w:rPr>
        <w:rFonts w:hint="default"/>
        <w:lang w:val="en-US" w:eastAsia="en-US" w:bidi="ar-SA"/>
      </w:rPr>
    </w:lvl>
    <w:lvl w:ilvl="3">
      <w:start w:val="0"/>
      <w:numFmt w:val="bullet"/>
      <w:lvlText w:val="•"/>
      <w:lvlJc w:val="left"/>
      <w:pPr>
        <w:ind w:left="3792" w:hanging="178"/>
      </w:pPr>
      <w:rPr>
        <w:rFonts w:hint="default"/>
        <w:lang w:val="en-US" w:eastAsia="en-US" w:bidi="ar-SA"/>
      </w:rPr>
    </w:lvl>
    <w:lvl w:ilvl="4">
      <w:start w:val="0"/>
      <w:numFmt w:val="bullet"/>
      <w:lvlText w:val="•"/>
      <w:lvlJc w:val="left"/>
      <w:pPr>
        <w:ind w:left="4703" w:hanging="178"/>
      </w:pPr>
      <w:rPr>
        <w:rFonts w:hint="default"/>
        <w:lang w:val="en-US" w:eastAsia="en-US" w:bidi="ar-SA"/>
      </w:rPr>
    </w:lvl>
    <w:lvl w:ilvl="5">
      <w:start w:val="0"/>
      <w:numFmt w:val="bullet"/>
      <w:lvlText w:val="•"/>
      <w:lvlJc w:val="left"/>
      <w:pPr>
        <w:ind w:left="5614" w:hanging="178"/>
      </w:pPr>
      <w:rPr>
        <w:rFonts w:hint="default"/>
        <w:lang w:val="en-US" w:eastAsia="en-US" w:bidi="ar-SA"/>
      </w:rPr>
    </w:lvl>
    <w:lvl w:ilvl="6">
      <w:start w:val="0"/>
      <w:numFmt w:val="bullet"/>
      <w:lvlText w:val="•"/>
      <w:lvlJc w:val="left"/>
      <w:pPr>
        <w:ind w:left="6525" w:hanging="178"/>
      </w:pPr>
      <w:rPr>
        <w:rFonts w:hint="default"/>
        <w:lang w:val="en-US" w:eastAsia="en-US" w:bidi="ar-SA"/>
      </w:rPr>
    </w:lvl>
    <w:lvl w:ilvl="7">
      <w:start w:val="0"/>
      <w:numFmt w:val="bullet"/>
      <w:lvlText w:val="•"/>
      <w:lvlJc w:val="left"/>
      <w:pPr>
        <w:ind w:left="7436" w:hanging="178"/>
      </w:pPr>
      <w:rPr>
        <w:rFonts w:hint="default"/>
        <w:lang w:val="en-US" w:eastAsia="en-US" w:bidi="ar-SA"/>
      </w:rPr>
    </w:lvl>
    <w:lvl w:ilvl="8">
      <w:start w:val="0"/>
      <w:numFmt w:val="bullet"/>
      <w:lvlText w:val="•"/>
      <w:lvlJc w:val="left"/>
      <w:pPr>
        <w:ind w:left="8347" w:hanging="178"/>
      </w:pPr>
      <w:rPr>
        <w:rFonts w:hint="default"/>
        <w:lang w:val="en-US" w:eastAsia="en-US" w:bidi="ar-SA"/>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113" w:line="239" w:lineRule="exact"/>
      <w:ind w:left="888"/>
    </w:pPr>
    <w:rPr>
      <w:rFonts w:ascii="Times New Roman" w:hAnsi="Times New Roman" w:eastAsia="Times New Roman" w:cs="Times New Roman"/>
      <w:b/>
      <w:bCs/>
      <w:sz w:val="21"/>
      <w:szCs w:val="21"/>
      <w:lang w:val="en-US" w:eastAsia="en-US" w:bidi="ar-SA"/>
    </w:rPr>
  </w:style>
  <w:style w:styleId="TOC2" w:type="paragraph">
    <w:name w:val="TOC 2"/>
    <w:basedOn w:val="Normal"/>
    <w:uiPriority w:val="1"/>
    <w:qFormat/>
    <w:pPr>
      <w:spacing w:line="240" w:lineRule="exact"/>
      <w:ind w:left="888"/>
    </w:pPr>
    <w:rPr>
      <w:rFonts w:ascii="Times New Roman" w:hAnsi="Times New Roman" w:eastAsia="Times New Roman" w:cs="Times New Roman"/>
      <w:sz w:val="21"/>
      <w:szCs w:val="21"/>
      <w:lang w:val="en-US" w:eastAsia="en-US" w:bidi="ar-SA"/>
    </w:rPr>
  </w:style>
  <w:style w:styleId="TOC3" w:type="paragraph">
    <w:name w:val="TOC 3"/>
    <w:basedOn w:val="Normal"/>
    <w:uiPriority w:val="1"/>
    <w:qFormat/>
    <w:pPr>
      <w:spacing w:before="1"/>
      <w:ind w:left="888"/>
    </w:pPr>
    <w:rPr>
      <w:rFonts w:ascii="Times New Roman" w:hAnsi="Times New Roman" w:eastAsia="Times New Roman" w:cs="Times New Roman"/>
      <w:b/>
      <w:bCs/>
      <w:sz w:val="20"/>
      <w:szCs w:val="20"/>
      <w:lang w:val="en-US" w:eastAsia="en-US" w:bidi="ar-SA"/>
    </w:rPr>
  </w:style>
  <w:style w:styleId="TOC4" w:type="paragraph">
    <w:name w:val="TOC 4"/>
    <w:basedOn w:val="Normal"/>
    <w:uiPriority w:val="1"/>
    <w:qFormat/>
    <w:pPr>
      <w:ind w:left="888"/>
    </w:pPr>
    <w:rPr>
      <w:rFonts w:ascii="Times New Roman" w:hAnsi="Times New Roman" w:eastAsia="Times New Roman" w:cs="Times New Roman"/>
      <w:sz w:val="20"/>
      <w:szCs w:val="20"/>
      <w:lang w:val="en-US" w:eastAsia="en-US" w:bidi="ar-SA"/>
    </w:rPr>
  </w:style>
  <w:style w:styleId="BodyText" w:type="paragraph">
    <w:name w:val="Body Text"/>
    <w:basedOn w:val="Normal"/>
    <w:uiPriority w:val="1"/>
    <w:qFormat/>
    <w:pPr/>
    <w:rPr>
      <w:rFonts w:ascii="Times New Roman" w:hAnsi="Times New Roman" w:eastAsia="Times New Roman" w:cs="Times New Roman"/>
      <w:sz w:val="21"/>
      <w:szCs w:val="21"/>
      <w:lang w:val="en-US" w:eastAsia="en-US" w:bidi="ar-SA"/>
    </w:rPr>
  </w:style>
  <w:style w:styleId="Heading1" w:type="paragraph">
    <w:name w:val="Heading 1"/>
    <w:basedOn w:val="Normal"/>
    <w:uiPriority w:val="1"/>
    <w:qFormat/>
    <w:pPr>
      <w:ind w:left="238"/>
      <w:outlineLvl w:val="1"/>
    </w:pPr>
    <w:rPr>
      <w:rFonts w:ascii="Times New Roman" w:hAnsi="Times New Roman" w:eastAsia="Times New Roman" w:cs="Times New Roman"/>
      <w:sz w:val="24"/>
      <w:szCs w:val="24"/>
      <w:lang w:val="en-US" w:eastAsia="en-US" w:bidi="ar-SA"/>
    </w:rPr>
  </w:style>
  <w:style w:styleId="Heading2" w:type="paragraph">
    <w:name w:val="Heading 2"/>
    <w:basedOn w:val="Normal"/>
    <w:uiPriority w:val="1"/>
    <w:qFormat/>
    <w:pPr>
      <w:ind w:left="238"/>
      <w:outlineLvl w:val="2"/>
    </w:pPr>
    <w:rPr>
      <w:rFonts w:ascii="Times New Roman" w:hAnsi="Times New Roman" w:eastAsia="Times New Roman" w:cs="Times New Roman"/>
      <w:b/>
      <w:bCs/>
      <w:sz w:val="22"/>
      <w:szCs w:val="22"/>
      <w:lang w:val="en-US" w:eastAsia="en-US" w:bidi="ar-SA"/>
    </w:rPr>
  </w:style>
  <w:style w:styleId="Heading3" w:type="paragraph">
    <w:name w:val="Heading 3"/>
    <w:basedOn w:val="Normal"/>
    <w:uiPriority w:val="1"/>
    <w:qFormat/>
    <w:pPr>
      <w:ind w:left="598" w:hanging="361"/>
      <w:jc w:val="both"/>
      <w:outlineLvl w:val="3"/>
    </w:pPr>
    <w:rPr>
      <w:rFonts w:ascii="Times New Roman" w:hAnsi="Times New Roman" w:eastAsia="Times New Roman" w:cs="Times New Roman"/>
      <w:b/>
      <w:bCs/>
      <w:i/>
      <w:iCs/>
      <w:sz w:val="22"/>
      <w:szCs w:val="22"/>
      <w:lang w:val="en-US" w:eastAsia="en-US" w:bidi="ar-SA"/>
    </w:rPr>
  </w:style>
  <w:style w:styleId="Heading4" w:type="paragraph">
    <w:name w:val="Heading 4"/>
    <w:basedOn w:val="Normal"/>
    <w:uiPriority w:val="1"/>
    <w:qFormat/>
    <w:pPr>
      <w:ind w:left="238"/>
      <w:outlineLvl w:val="4"/>
    </w:pPr>
    <w:rPr>
      <w:rFonts w:ascii="Times New Roman" w:hAnsi="Times New Roman" w:eastAsia="Times New Roman" w:cs="Times New Roman"/>
      <w:b/>
      <w:bCs/>
      <w:sz w:val="21"/>
      <w:szCs w:val="21"/>
      <w:lang w:val="en-US" w:eastAsia="en-US" w:bidi="ar-SA"/>
    </w:rPr>
  </w:style>
  <w:style w:styleId="ListParagraph" w:type="paragraph">
    <w:name w:val="List Paragraph"/>
    <w:basedOn w:val="Normal"/>
    <w:uiPriority w:val="1"/>
    <w:qFormat/>
    <w:pPr>
      <w:ind w:left="626" w:right="292" w:hanging="389"/>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pn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image" Target="media/image43.png"/><Relationship Id="rId49" Type="http://schemas.openxmlformats.org/officeDocument/2006/relationships/image" Target="media/image44.png"/><Relationship Id="rId50" Type="http://schemas.openxmlformats.org/officeDocument/2006/relationships/image" Target="media/image45.png"/><Relationship Id="rId51" Type="http://schemas.openxmlformats.org/officeDocument/2006/relationships/image" Target="media/image46.png"/><Relationship Id="rId52" Type="http://schemas.openxmlformats.org/officeDocument/2006/relationships/image" Target="media/image47.png"/><Relationship Id="rId53" Type="http://schemas.openxmlformats.org/officeDocument/2006/relationships/image" Target="media/image48.png"/><Relationship Id="rId54" Type="http://schemas.openxmlformats.org/officeDocument/2006/relationships/image" Target="media/image49.png"/><Relationship Id="rId55" Type="http://schemas.openxmlformats.org/officeDocument/2006/relationships/image" Target="media/image50.png"/><Relationship Id="rId56" Type="http://schemas.openxmlformats.org/officeDocument/2006/relationships/image" Target="media/image51.png"/><Relationship Id="rId57" Type="http://schemas.openxmlformats.org/officeDocument/2006/relationships/image" Target="media/image52.png"/><Relationship Id="rId58" Type="http://schemas.openxmlformats.org/officeDocument/2006/relationships/image" Target="media/image53.png"/><Relationship Id="rId59" Type="http://schemas.openxmlformats.org/officeDocument/2006/relationships/image" Target="media/image54.png"/><Relationship Id="rId60" Type="http://schemas.openxmlformats.org/officeDocument/2006/relationships/image" Target="media/image55.png"/><Relationship Id="rId61" Type="http://schemas.openxmlformats.org/officeDocument/2006/relationships/image" Target="media/image56.png"/><Relationship Id="rId62" Type="http://schemas.openxmlformats.org/officeDocument/2006/relationships/image" Target="media/image57.png"/><Relationship Id="rId63" Type="http://schemas.openxmlformats.org/officeDocument/2006/relationships/image" Target="media/image58.png"/><Relationship Id="rId64" Type="http://schemas.openxmlformats.org/officeDocument/2006/relationships/image" Target="media/image59.png"/><Relationship Id="rId65" Type="http://schemas.openxmlformats.org/officeDocument/2006/relationships/image" Target="media/image60.png"/><Relationship Id="rId66" Type="http://schemas.openxmlformats.org/officeDocument/2006/relationships/image" Target="media/image61.png"/><Relationship Id="rId67" Type="http://schemas.openxmlformats.org/officeDocument/2006/relationships/image" Target="media/image62.png"/><Relationship Id="rId68" Type="http://schemas.openxmlformats.org/officeDocument/2006/relationships/image" Target="media/image63.png"/><Relationship Id="rId69" Type="http://schemas.openxmlformats.org/officeDocument/2006/relationships/image" Target="media/image64.png"/><Relationship Id="rId70" Type="http://schemas.openxmlformats.org/officeDocument/2006/relationships/image" Target="media/image65.png"/><Relationship Id="rId71" Type="http://schemas.openxmlformats.org/officeDocument/2006/relationships/image" Target="media/image66.png"/><Relationship Id="rId72" Type="http://schemas.openxmlformats.org/officeDocument/2006/relationships/image" Target="media/image67.png"/><Relationship Id="rId73" Type="http://schemas.openxmlformats.org/officeDocument/2006/relationships/image" Target="media/image68.png"/><Relationship Id="rId74" Type="http://schemas.openxmlformats.org/officeDocument/2006/relationships/image" Target="media/image69.png"/><Relationship Id="rId75" Type="http://schemas.openxmlformats.org/officeDocument/2006/relationships/image" Target="media/image70.png"/><Relationship Id="rId76" Type="http://schemas.openxmlformats.org/officeDocument/2006/relationships/image" Target="media/image71.png"/><Relationship Id="rId77" Type="http://schemas.openxmlformats.org/officeDocument/2006/relationships/image" Target="media/image72.png"/><Relationship Id="rId78" Type="http://schemas.openxmlformats.org/officeDocument/2006/relationships/image" Target="media/image73.png"/><Relationship Id="rId79" Type="http://schemas.openxmlformats.org/officeDocument/2006/relationships/image" Target="media/image74.png"/><Relationship Id="rId80" Type="http://schemas.openxmlformats.org/officeDocument/2006/relationships/image" Target="media/image75.png"/><Relationship Id="rId81" Type="http://schemas.openxmlformats.org/officeDocument/2006/relationships/image" Target="media/image76.png"/><Relationship Id="rId82" Type="http://schemas.openxmlformats.org/officeDocument/2006/relationships/image" Target="media/image77.png"/><Relationship Id="rId83" Type="http://schemas.openxmlformats.org/officeDocument/2006/relationships/image" Target="media/image78.png"/><Relationship Id="rId84" Type="http://schemas.openxmlformats.org/officeDocument/2006/relationships/image" Target="media/image79.png"/><Relationship Id="rId85" Type="http://schemas.openxmlformats.org/officeDocument/2006/relationships/image" Target="media/image80.png"/><Relationship Id="rId86" Type="http://schemas.openxmlformats.org/officeDocument/2006/relationships/image" Target="media/image81.png"/><Relationship Id="rId87" Type="http://schemas.openxmlformats.org/officeDocument/2006/relationships/image" Target="media/image82.png"/><Relationship Id="rId88" Type="http://schemas.openxmlformats.org/officeDocument/2006/relationships/image" Target="media/image83.png"/><Relationship Id="rId89" Type="http://schemas.openxmlformats.org/officeDocument/2006/relationships/image" Target="media/image84.png"/><Relationship Id="rId90" Type="http://schemas.openxmlformats.org/officeDocument/2006/relationships/image" Target="media/image85.png"/><Relationship Id="rId91" Type="http://schemas.openxmlformats.org/officeDocument/2006/relationships/image" Target="media/image86.png"/><Relationship Id="rId92" Type="http://schemas.openxmlformats.org/officeDocument/2006/relationships/image" Target="media/image87.png"/><Relationship Id="rId93" Type="http://schemas.openxmlformats.org/officeDocument/2006/relationships/image" Target="media/image88.png"/><Relationship Id="rId94" Type="http://schemas.openxmlformats.org/officeDocument/2006/relationships/image" Target="media/image89.png"/><Relationship Id="rId95" Type="http://schemas.openxmlformats.org/officeDocument/2006/relationships/image" Target="media/image90.png"/><Relationship Id="rId96" Type="http://schemas.openxmlformats.org/officeDocument/2006/relationships/image" Target="media/image91.png"/><Relationship Id="rId97" Type="http://schemas.openxmlformats.org/officeDocument/2006/relationships/image" Target="media/image92.png"/><Relationship Id="rId98" Type="http://schemas.openxmlformats.org/officeDocument/2006/relationships/image" Target="media/image93.png"/><Relationship Id="rId99" Type="http://schemas.openxmlformats.org/officeDocument/2006/relationships/image" Target="media/image94.png"/><Relationship Id="rId100" Type="http://schemas.openxmlformats.org/officeDocument/2006/relationships/image" Target="media/image95.png"/><Relationship Id="rId101" Type="http://schemas.openxmlformats.org/officeDocument/2006/relationships/image" Target="media/image96.png"/><Relationship Id="rId102" Type="http://schemas.openxmlformats.org/officeDocument/2006/relationships/image" Target="media/image97.png"/><Relationship Id="rId103" Type="http://schemas.openxmlformats.org/officeDocument/2006/relationships/image" Target="media/image98.png"/><Relationship Id="rId104" Type="http://schemas.openxmlformats.org/officeDocument/2006/relationships/image" Target="media/image99.png"/><Relationship Id="rId105" Type="http://schemas.openxmlformats.org/officeDocument/2006/relationships/image" Target="media/image100.png"/><Relationship Id="rId106" Type="http://schemas.openxmlformats.org/officeDocument/2006/relationships/image" Target="media/image101.png"/><Relationship Id="rId107" Type="http://schemas.openxmlformats.org/officeDocument/2006/relationships/image" Target="media/image102.png"/><Relationship Id="rId108" Type="http://schemas.openxmlformats.org/officeDocument/2006/relationships/image" Target="media/image103.png"/><Relationship Id="rId109" Type="http://schemas.openxmlformats.org/officeDocument/2006/relationships/image" Target="media/image104.png"/><Relationship Id="rId110" Type="http://schemas.openxmlformats.org/officeDocument/2006/relationships/image" Target="media/image105.png"/><Relationship Id="rId111" Type="http://schemas.openxmlformats.org/officeDocument/2006/relationships/image" Target="media/image106.png"/><Relationship Id="rId112" Type="http://schemas.openxmlformats.org/officeDocument/2006/relationships/image" Target="media/image107.png"/><Relationship Id="rId113" Type="http://schemas.openxmlformats.org/officeDocument/2006/relationships/image" Target="media/image108.png"/><Relationship Id="rId114" Type="http://schemas.openxmlformats.org/officeDocument/2006/relationships/image" Target="media/image109.png"/><Relationship Id="rId115" Type="http://schemas.openxmlformats.org/officeDocument/2006/relationships/image" Target="media/image110.png"/><Relationship Id="rId116" Type="http://schemas.openxmlformats.org/officeDocument/2006/relationships/image" Target="media/image111.png"/><Relationship Id="rId117" Type="http://schemas.openxmlformats.org/officeDocument/2006/relationships/image" Target="media/image112.png"/><Relationship Id="rId118" Type="http://schemas.openxmlformats.org/officeDocument/2006/relationships/image" Target="media/image113.png"/><Relationship Id="rId119" Type="http://schemas.openxmlformats.org/officeDocument/2006/relationships/image" Target="media/image114.png"/><Relationship Id="rId120" Type="http://schemas.openxmlformats.org/officeDocument/2006/relationships/image" Target="media/image115.png"/><Relationship Id="rId121" Type="http://schemas.openxmlformats.org/officeDocument/2006/relationships/image" Target="media/image116.png"/><Relationship Id="rId122" Type="http://schemas.openxmlformats.org/officeDocument/2006/relationships/image" Target="media/image117.png"/><Relationship Id="rId123" Type="http://schemas.openxmlformats.org/officeDocument/2006/relationships/image" Target="media/image118.png"/><Relationship Id="rId124" Type="http://schemas.openxmlformats.org/officeDocument/2006/relationships/image" Target="media/image119.png"/><Relationship Id="rId125" Type="http://schemas.openxmlformats.org/officeDocument/2006/relationships/image" Target="media/image120.png"/><Relationship Id="rId126" Type="http://schemas.openxmlformats.org/officeDocument/2006/relationships/image" Target="media/image121.png"/><Relationship Id="rId127" Type="http://schemas.openxmlformats.org/officeDocument/2006/relationships/image" Target="media/image122.png"/><Relationship Id="rId128" Type="http://schemas.openxmlformats.org/officeDocument/2006/relationships/image" Target="media/image123.png"/><Relationship Id="rId129" Type="http://schemas.openxmlformats.org/officeDocument/2006/relationships/image" Target="media/image124.png"/><Relationship Id="rId130" Type="http://schemas.openxmlformats.org/officeDocument/2006/relationships/image" Target="media/image125.png"/><Relationship Id="rId131" Type="http://schemas.openxmlformats.org/officeDocument/2006/relationships/image" Target="media/image126.png"/><Relationship Id="rId132" Type="http://schemas.openxmlformats.org/officeDocument/2006/relationships/image" Target="media/image127.png"/><Relationship Id="rId133" Type="http://schemas.openxmlformats.org/officeDocument/2006/relationships/image" Target="media/image128.png"/><Relationship Id="rId134" Type="http://schemas.openxmlformats.org/officeDocument/2006/relationships/image" Target="media/image129.png"/><Relationship Id="rId135" Type="http://schemas.openxmlformats.org/officeDocument/2006/relationships/image" Target="media/image130.png"/><Relationship Id="rId136" Type="http://schemas.openxmlformats.org/officeDocument/2006/relationships/image" Target="media/image131.png"/><Relationship Id="rId137" Type="http://schemas.openxmlformats.org/officeDocument/2006/relationships/image" Target="media/image132.png"/><Relationship Id="rId138" Type="http://schemas.openxmlformats.org/officeDocument/2006/relationships/image" Target="media/image133.png"/><Relationship Id="rId139" Type="http://schemas.openxmlformats.org/officeDocument/2006/relationships/image" Target="media/image134.png"/><Relationship Id="rId140" Type="http://schemas.openxmlformats.org/officeDocument/2006/relationships/image" Target="media/image135.png"/><Relationship Id="rId141" Type="http://schemas.openxmlformats.org/officeDocument/2006/relationships/image" Target="media/image136.png"/><Relationship Id="rId142" Type="http://schemas.openxmlformats.org/officeDocument/2006/relationships/image" Target="media/image137.png"/><Relationship Id="rId143" Type="http://schemas.openxmlformats.org/officeDocument/2006/relationships/image" Target="media/image138.png"/><Relationship Id="rId144" Type="http://schemas.openxmlformats.org/officeDocument/2006/relationships/image" Target="media/image139.png"/><Relationship Id="rId145" Type="http://schemas.openxmlformats.org/officeDocument/2006/relationships/image" Target="media/image140.png"/><Relationship Id="rId146" Type="http://schemas.openxmlformats.org/officeDocument/2006/relationships/image" Target="media/image141.png"/><Relationship Id="rId147" Type="http://schemas.openxmlformats.org/officeDocument/2006/relationships/image" Target="media/image142.png"/><Relationship Id="rId148" Type="http://schemas.openxmlformats.org/officeDocument/2006/relationships/image" Target="media/image143.png"/><Relationship Id="rId149" Type="http://schemas.openxmlformats.org/officeDocument/2006/relationships/image" Target="media/image144.png"/><Relationship Id="rId150" Type="http://schemas.openxmlformats.org/officeDocument/2006/relationships/image" Target="media/image145.png"/><Relationship Id="rId151" Type="http://schemas.openxmlformats.org/officeDocument/2006/relationships/image" Target="media/image146.png"/><Relationship Id="rId152" Type="http://schemas.openxmlformats.org/officeDocument/2006/relationships/image" Target="media/image147.png"/><Relationship Id="rId153" Type="http://schemas.openxmlformats.org/officeDocument/2006/relationships/image" Target="media/image148.png"/><Relationship Id="rId154" Type="http://schemas.openxmlformats.org/officeDocument/2006/relationships/image" Target="media/image149.png"/><Relationship Id="rId155" Type="http://schemas.openxmlformats.org/officeDocument/2006/relationships/image" Target="media/image150.png"/><Relationship Id="rId156" Type="http://schemas.openxmlformats.org/officeDocument/2006/relationships/image" Target="media/image151.png"/><Relationship Id="rId157" Type="http://schemas.openxmlformats.org/officeDocument/2006/relationships/image" Target="media/image152.png"/><Relationship Id="rId158" Type="http://schemas.openxmlformats.org/officeDocument/2006/relationships/image" Target="media/image153.png"/><Relationship Id="rId159" Type="http://schemas.openxmlformats.org/officeDocument/2006/relationships/image" Target="media/image154.png"/><Relationship Id="rId160" Type="http://schemas.openxmlformats.org/officeDocument/2006/relationships/image" Target="media/image155.png"/><Relationship Id="rId161" Type="http://schemas.openxmlformats.org/officeDocument/2006/relationships/image" Target="media/image156.png"/><Relationship Id="rId162" Type="http://schemas.openxmlformats.org/officeDocument/2006/relationships/image" Target="media/image157.png"/><Relationship Id="rId163" Type="http://schemas.openxmlformats.org/officeDocument/2006/relationships/image" Target="media/image158.png"/><Relationship Id="rId164" Type="http://schemas.openxmlformats.org/officeDocument/2006/relationships/image" Target="media/image159.png"/><Relationship Id="rId165" Type="http://schemas.openxmlformats.org/officeDocument/2006/relationships/image" Target="media/image160.png"/><Relationship Id="rId166" Type="http://schemas.openxmlformats.org/officeDocument/2006/relationships/image" Target="media/image161.png"/><Relationship Id="rId167" Type="http://schemas.openxmlformats.org/officeDocument/2006/relationships/image" Target="media/image162.png"/><Relationship Id="rId168" Type="http://schemas.openxmlformats.org/officeDocument/2006/relationships/image" Target="media/image163.png"/><Relationship Id="rId169" Type="http://schemas.openxmlformats.org/officeDocument/2006/relationships/image" Target="media/image164.png"/><Relationship Id="rId170" Type="http://schemas.openxmlformats.org/officeDocument/2006/relationships/image" Target="media/image165.png"/><Relationship Id="rId171" Type="http://schemas.openxmlformats.org/officeDocument/2006/relationships/image" Target="media/image166.png"/><Relationship Id="rId172" Type="http://schemas.openxmlformats.org/officeDocument/2006/relationships/image" Target="media/image167.png"/><Relationship Id="rId173" Type="http://schemas.openxmlformats.org/officeDocument/2006/relationships/image" Target="media/image168.png"/><Relationship Id="rId174" Type="http://schemas.openxmlformats.org/officeDocument/2006/relationships/image" Target="media/image169.png"/><Relationship Id="rId175" Type="http://schemas.openxmlformats.org/officeDocument/2006/relationships/image" Target="media/image170.png"/><Relationship Id="rId176" Type="http://schemas.openxmlformats.org/officeDocument/2006/relationships/image" Target="media/image171.png"/><Relationship Id="rId177" Type="http://schemas.openxmlformats.org/officeDocument/2006/relationships/image" Target="media/image172.png"/><Relationship Id="rId178" Type="http://schemas.openxmlformats.org/officeDocument/2006/relationships/image" Target="media/image173.png"/><Relationship Id="rId179" Type="http://schemas.openxmlformats.org/officeDocument/2006/relationships/image" Target="media/image174.png"/><Relationship Id="rId180" Type="http://schemas.openxmlformats.org/officeDocument/2006/relationships/image" Target="media/image175.png"/><Relationship Id="rId181" Type="http://schemas.openxmlformats.org/officeDocument/2006/relationships/image" Target="media/image176.png"/><Relationship Id="rId182" Type="http://schemas.openxmlformats.org/officeDocument/2006/relationships/image" Target="media/image177.png"/><Relationship Id="rId183" Type="http://schemas.openxmlformats.org/officeDocument/2006/relationships/image" Target="media/image178.png"/><Relationship Id="rId184" Type="http://schemas.openxmlformats.org/officeDocument/2006/relationships/image" Target="media/image179.png"/><Relationship Id="rId185" Type="http://schemas.openxmlformats.org/officeDocument/2006/relationships/image" Target="media/image180.png"/><Relationship Id="rId186" Type="http://schemas.openxmlformats.org/officeDocument/2006/relationships/image" Target="media/image181.png"/><Relationship Id="rId187" Type="http://schemas.openxmlformats.org/officeDocument/2006/relationships/image" Target="media/image182.png"/><Relationship Id="rId188" Type="http://schemas.openxmlformats.org/officeDocument/2006/relationships/image" Target="media/image183.png"/><Relationship Id="rId189" Type="http://schemas.openxmlformats.org/officeDocument/2006/relationships/image" Target="media/image184.png"/><Relationship Id="rId190" Type="http://schemas.openxmlformats.org/officeDocument/2006/relationships/image" Target="media/image185.png"/><Relationship Id="rId191" Type="http://schemas.openxmlformats.org/officeDocument/2006/relationships/image" Target="media/image186.png"/><Relationship Id="rId192" Type="http://schemas.openxmlformats.org/officeDocument/2006/relationships/image" Target="media/image187.png"/><Relationship Id="rId193" Type="http://schemas.openxmlformats.org/officeDocument/2006/relationships/image" Target="media/image188.png"/><Relationship Id="rId194" Type="http://schemas.openxmlformats.org/officeDocument/2006/relationships/image" Target="media/image189.png"/><Relationship Id="rId195" Type="http://schemas.openxmlformats.org/officeDocument/2006/relationships/image" Target="media/image190.png"/><Relationship Id="rId196" Type="http://schemas.openxmlformats.org/officeDocument/2006/relationships/image" Target="media/image191.png"/><Relationship Id="rId197" Type="http://schemas.openxmlformats.org/officeDocument/2006/relationships/image" Target="media/image192.png"/><Relationship Id="rId198" Type="http://schemas.openxmlformats.org/officeDocument/2006/relationships/image" Target="media/image193.png"/><Relationship Id="rId199" Type="http://schemas.openxmlformats.org/officeDocument/2006/relationships/image" Target="media/image194.png"/><Relationship Id="rId200" Type="http://schemas.openxmlformats.org/officeDocument/2006/relationships/image" Target="media/image195.png"/><Relationship Id="rId201" Type="http://schemas.openxmlformats.org/officeDocument/2006/relationships/image" Target="media/image196.png"/><Relationship Id="rId202" Type="http://schemas.openxmlformats.org/officeDocument/2006/relationships/image" Target="media/image197.png"/><Relationship Id="rId203" Type="http://schemas.openxmlformats.org/officeDocument/2006/relationships/image" Target="media/image198.png"/><Relationship Id="rId204" Type="http://schemas.openxmlformats.org/officeDocument/2006/relationships/image" Target="media/image199.png"/><Relationship Id="rId205" Type="http://schemas.openxmlformats.org/officeDocument/2006/relationships/image" Target="media/image200.png"/><Relationship Id="rId206" Type="http://schemas.openxmlformats.org/officeDocument/2006/relationships/image" Target="media/image201.png"/><Relationship Id="rId207" Type="http://schemas.openxmlformats.org/officeDocument/2006/relationships/image" Target="media/image202.png"/><Relationship Id="rId208" Type="http://schemas.openxmlformats.org/officeDocument/2006/relationships/image" Target="media/image203.png"/><Relationship Id="rId209" Type="http://schemas.openxmlformats.org/officeDocument/2006/relationships/image" Target="media/image204.png"/><Relationship Id="rId210" Type="http://schemas.openxmlformats.org/officeDocument/2006/relationships/image" Target="media/image205.png"/><Relationship Id="rId211" Type="http://schemas.openxmlformats.org/officeDocument/2006/relationships/image" Target="media/image206.png"/><Relationship Id="rId212" Type="http://schemas.openxmlformats.org/officeDocument/2006/relationships/image" Target="media/image207.png"/><Relationship Id="rId213" Type="http://schemas.openxmlformats.org/officeDocument/2006/relationships/image" Target="media/image208.png"/><Relationship Id="rId214" Type="http://schemas.openxmlformats.org/officeDocument/2006/relationships/image" Target="media/image209.png"/><Relationship Id="rId215" Type="http://schemas.openxmlformats.org/officeDocument/2006/relationships/image" Target="media/image210.png"/><Relationship Id="rId216" Type="http://schemas.openxmlformats.org/officeDocument/2006/relationships/image" Target="media/image211.png"/><Relationship Id="rId217" Type="http://schemas.openxmlformats.org/officeDocument/2006/relationships/image" Target="media/image212.png"/><Relationship Id="rId218" Type="http://schemas.openxmlformats.org/officeDocument/2006/relationships/image" Target="media/image213.png"/><Relationship Id="rId219" Type="http://schemas.openxmlformats.org/officeDocument/2006/relationships/image" Target="media/image214.png"/><Relationship Id="rId220" Type="http://schemas.openxmlformats.org/officeDocument/2006/relationships/image" Target="media/image215.png"/><Relationship Id="rId221" Type="http://schemas.openxmlformats.org/officeDocument/2006/relationships/image" Target="media/image216.png"/><Relationship Id="rId222" Type="http://schemas.openxmlformats.org/officeDocument/2006/relationships/image" Target="media/image217.png"/><Relationship Id="rId223" Type="http://schemas.openxmlformats.org/officeDocument/2006/relationships/image" Target="media/image218.png"/><Relationship Id="rId224" Type="http://schemas.openxmlformats.org/officeDocument/2006/relationships/image" Target="media/image219.png"/><Relationship Id="rId225" Type="http://schemas.openxmlformats.org/officeDocument/2006/relationships/image" Target="media/image220.png"/><Relationship Id="rId226" Type="http://schemas.openxmlformats.org/officeDocument/2006/relationships/image" Target="media/image221.png"/><Relationship Id="rId227" Type="http://schemas.openxmlformats.org/officeDocument/2006/relationships/image" Target="media/image222.png"/><Relationship Id="rId228" Type="http://schemas.openxmlformats.org/officeDocument/2006/relationships/image" Target="media/image223.png"/><Relationship Id="rId229" Type="http://schemas.openxmlformats.org/officeDocument/2006/relationships/image" Target="media/image224.png"/><Relationship Id="rId230" Type="http://schemas.openxmlformats.org/officeDocument/2006/relationships/image" Target="media/image225.png"/><Relationship Id="rId231" Type="http://schemas.openxmlformats.org/officeDocument/2006/relationships/image" Target="media/image226.png"/><Relationship Id="rId232" Type="http://schemas.openxmlformats.org/officeDocument/2006/relationships/image" Target="media/image227.png"/><Relationship Id="rId233" Type="http://schemas.openxmlformats.org/officeDocument/2006/relationships/image" Target="media/image228.png"/><Relationship Id="rId234" Type="http://schemas.openxmlformats.org/officeDocument/2006/relationships/image" Target="media/image229.png"/><Relationship Id="rId235" Type="http://schemas.openxmlformats.org/officeDocument/2006/relationships/image" Target="media/image230.png"/><Relationship Id="rId236" Type="http://schemas.openxmlformats.org/officeDocument/2006/relationships/image" Target="media/image231.png"/><Relationship Id="rId237" Type="http://schemas.openxmlformats.org/officeDocument/2006/relationships/image" Target="media/image232.png"/><Relationship Id="rId238" Type="http://schemas.openxmlformats.org/officeDocument/2006/relationships/image" Target="media/image233.png"/><Relationship Id="rId239" Type="http://schemas.openxmlformats.org/officeDocument/2006/relationships/image" Target="media/image234.png"/><Relationship Id="rId240" Type="http://schemas.openxmlformats.org/officeDocument/2006/relationships/image" Target="media/image235.png"/><Relationship Id="rId241" Type="http://schemas.openxmlformats.org/officeDocument/2006/relationships/image" Target="media/image236.png"/><Relationship Id="rId242" Type="http://schemas.openxmlformats.org/officeDocument/2006/relationships/image" Target="media/image237.png"/><Relationship Id="rId243" Type="http://schemas.openxmlformats.org/officeDocument/2006/relationships/image" Target="media/image238.png"/><Relationship Id="rId244" Type="http://schemas.openxmlformats.org/officeDocument/2006/relationships/image" Target="media/image239.png"/><Relationship Id="rId245" Type="http://schemas.openxmlformats.org/officeDocument/2006/relationships/image" Target="media/image240.png"/><Relationship Id="rId246" Type="http://schemas.openxmlformats.org/officeDocument/2006/relationships/image" Target="media/image241.png"/><Relationship Id="rId247" Type="http://schemas.openxmlformats.org/officeDocument/2006/relationships/image" Target="media/image242.png"/><Relationship Id="rId248" Type="http://schemas.openxmlformats.org/officeDocument/2006/relationships/image" Target="media/image243.png"/><Relationship Id="rId249" Type="http://schemas.openxmlformats.org/officeDocument/2006/relationships/image" Target="media/image244.png"/><Relationship Id="rId250" Type="http://schemas.openxmlformats.org/officeDocument/2006/relationships/image" Target="media/image245.png"/><Relationship Id="rId251" Type="http://schemas.openxmlformats.org/officeDocument/2006/relationships/image" Target="media/image246.png"/><Relationship Id="rId252" Type="http://schemas.openxmlformats.org/officeDocument/2006/relationships/image" Target="media/image247.png"/><Relationship Id="rId253" Type="http://schemas.openxmlformats.org/officeDocument/2006/relationships/image" Target="media/image248.png"/><Relationship Id="rId254" Type="http://schemas.openxmlformats.org/officeDocument/2006/relationships/image" Target="media/image249.png"/><Relationship Id="rId255" Type="http://schemas.openxmlformats.org/officeDocument/2006/relationships/image" Target="media/image250.png"/><Relationship Id="rId256" Type="http://schemas.openxmlformats.org/officeDocument/2006/relationships/image" Target="media/image251.png"/><Relationship Id="rId257" Type="http://schemas.openxmlformats.org/officeDocument/2006/relationships/image" Target="media/image252.png"/><Relationship Id="rId258" Type="http://schemas.openxmlformats.org/officeDocument/2006/relationships/image" Target="media/image253.png"/><Relationship Id="rId259" Type="http://schemas.openxmlformats.org/officeDocument/2006/relationships/image" Target="media/image254.png"/><Relationship Id="rId260" Type="http://schemas.openxmlformats.org/officeDocument/2006/relationships/image" Target="media/image255.png"/><Relationship Id="rId261" Type="http://schemas.openxmlformats.org/officeDocument/2006/relationships/image" Target="media/image256.png"/><Relationship Id="rId262" Type="http://schemas.openxmlformats.org/officeDocument/2006/relationships/image" Target="media/image257.png"/><Relationship Id="rId263" Type="http://schemas.openxmlformats.org/officeDocument/2006/relationships/image" Target="media/image258.png"/><Relationship Id="rId264" Type="http://schemas.openxmlformats.org/officeDocument/2006/relationships/image" Target="media/image259.png"/><Relationship Id="rId265" Type="http://schemas.openxmlformats.org/officeDocument/2006/relationships/image" Target="media/image260.png"/><Relationship Id="rId266" Type="http://schemas.openxmlformats.org/officeDocument/2006/relationships/image" Target="media/image261.png"/><Relationship Id="rId267" Type="http://schemas.openxmlformats.org/officeDocument/2006/relationships/image" Target="media/image262.png"/><Relationship Id="rId268" Type="http://schemas.openxmlformats.org/officeDocument/2006/relationships/image" Target="media/image263.png"/><Relationship Id="rId269" Type="http://schemas.openxmlformats.org/officeDocument/2006/relationships/image" Target="media/image264.png"/><Relationship Id="rId270" Type="http://schemas.openxmlformats.org/officeDocument/2006/relationships/image" Target="media/image265.png"/><Relationship Id="rId271" Type="http://schemas.openxmlformats.org/officeDocument/2006/relationships/image" Target="media/image266.png"/><Relationship Id="rId272" Type="http://schemas.openxmlformats.org/officeDocument/2006/relationships/image" Target="media/image267.png"/><Relationship Id="rId273" Type="http://schemas.openxmlformats.org/officeDocument/2006/relationships/image" Target="media/image268.png"/><Relationship Id="rId274" Type="http://schemas.openxmlformats.org/officeDocument/2006/relationships/image" Target="media/image269.png"/><Relationship Id="rId275" Type="http://schemas.openxmlformats.org/officeDocument/2006/relationships/image" Target="media/image270.png"/><Relationship Id="rId276" Type="http://schemas.openxmlformats.org/officeDocument/2006/relationships/image" Target="media/image271.png"/><Relationship Id="rId277" Type="http://schemas.openxmlformats.org/officeDocument/2006/relationships/image" Target="media/image272.png"/><Relationship Id="rId278" Type="http://schemas.openxmlformats.org/officeDocument/2006/relationships/image" Target="media/image273.png"/><Relationship Id="rId279" Type="http://schemas.openxmlformats.org/officeDocument/2006/relationships/image" Target="media/image274.png"/><Relationship Id="rId280" Type="http://schemas.openxmlformats.org/officeDocument/2006/relationships/image" Target="media/image275.png"/><Relationship Id="rId281" Type="http://schemas.openxmlformats.org/officeDocument/2006/relationships/image" Target="media/image276.png"/><Relationship Id="rId282" Type="http://schemas.openxmlformats.org/officeDocument/2006/relationships/image" Target="media/image277.png"/><Relationship Id="rId283" Type="http://schemas.openxmlformats.org/officeDocument/2006/relationships/image" Target="media/image278.png"/><Relationship Id="rId284" Type="http://schemas.openxmlformats.org/officeDocument/2006/relationships/image" Target="media/image279.png"/><Relationship Id="rId285" Type="http://schemas.openxmlformats.org/officeDocument/2006/relationships/image" Target="media/image280.png"/><Relationship Id="rId286" Type="http://schemas.openxmlformats.org/officeDocument/2006/relationships/image" Target="media/image281.png"/><Relationship Id="rId287" Type="http://schemas.openxmlformats.org/officeDocument/2006/relationships/image" Target="media/image282.png"/><Relationship Id="rId288" Type="http://schemas.openxmlformats.org/officeDocument/2006/relationships/image" Target="media/image283.png"/><Relationship Id="rId289" Type="http://schemas.openxmlformats.org/officeDocument/2006/relationships/image" Target="media/image284.png"/><Relationship Id="rId290" Type="http://schemas.openxmlformats.org/officeDocument/2006/relationships/image" Target="media/image285.png"/><Relationship Id="rId291" Type="http://schemas.openxmlformats.org/officeDocument/2006/relationships/image" Target="media/image286.png"/><Relationship Id="rId292" Type="http://schemas.openxmlformats.org/officeDocument/2006/relationships/image" Target="media/image287.png"/><Relationship Id="rId293" Type="http://schemas.openxmlformats.org/officeDocument/2006/relationships/image" Target="media/image288.png"/><Relationship Id="rId294" Type="http://schemas.openxmlformats.org/officeDocument/2006/relationships/image" Target="media/image289.png"/><Relationship Id="rId295" Type="http://schemas.openxmlformats.org/officeDocument/2006/relationships/image" Target="media/image290.png"/><Relationship Id="rId296" Type="http://schemas.openxmlformats.org/officeDocument/2006/relationships/image" Target="media/image291.png"/><Relationship Id="rId297" Type="http://schemas.openxmlformats.org/officeDocument/2006/relationships/image" Target="media/image292.png"/><Relationship Id="rId298" Type="http://schemas.openxmlformats.org/officeDocument/2006/relationships/image" Target="media/image293.png"/><Relationship Id="rId299" Type="http://schemas.openxmlformats.org/officeDocument/2006/relationships/image" Target="media/image294.png"/><Relationship Id="rId300" Type="http://schemas.openxmlformats.org/officeDocument/2006/relationships/image" Target="media/image295.png"/><Relationship Id="rId301" Type="http://schemas.openxmlformats.org/officeDocument/2006/relationships/image" Target="media/image296.png"/><Relationship Id="rId302" Type="http://schemas.openxmlformats.org/officeDocument/2006/relationships/image" Target="media/image297.png"/><Relationship Id="rId303" Type="http://schemas.openxmlformats.org/officeDocument/2006/relationships/image" Target="media/image298.png"/><Relationship Id="rId304" Type="http://schemas.openxmlformats.org/officeDocument/2006/relationships/image" Target="media/image299.png"/><Relationship Id="rId305" Type="http://schemas.openxmlformats.org/officeDocument/2006/relationships/image" Target="media/image300.png"/><Relationship Id="rId306" Type="http://schemas.openxmlformats.org/officeDocument/2006/relationships/image" Target="media/image301.png"/><Relationship Id="rId307" Type="http://schemas.openxmlformats.org/officeDocument/2006/relationships/image" Target="media/image302.png"/><Relationship Id="rId308" Type="http://schemas.openxmlformats.org/officeDocument/2006/relationships/image" Target="media/image303.png"/><Relationship Id="rId309" Type="http://schemas.openxmlformats.org/officeDocument/2006/relationships/image" Target="media/image304.png"/><Relationship Id="rId310" Type="http://schemas.openxmlformats.org/officeDocument/2006/relationships/image" Target="media/image305.png"/><Relationship Id="rId311" Type="http://schemas.openxmlformats.org/officeDocument/2006/relationships/image" Target="media/image306.png"/><Relationship Id="rId312" Type="http://schemas.openxmlformats.org/officeDocument/2006/relationships/image" Target="media/image307.png"/><Relationship Id="rId313" Type="http://schemas.openxmlformats.org/officeDocument/2006/relationships/image" Target="media/image308.png"/><Relationship Id="rId314" Type="http://schemas.openxmlformats.org/officeDocument/2006/relationships/image" Target="media/image309.png"/><Relationship Id="rId315" Type="http://schemas.openxmlformats.org/officeDocument/2006/relationships/image" Target="media/image310.png"/><Relationship Id="rId316" Type="http://schemas.openxmlformats.org/officeDocument/2006/relationships/image" Target="media/image311.png"/><Relationship Id="rId317" Type="http://schemas.openxmlformats.org/officeDocument/2006/relationships/image" Target="media/image312.png"/><Relationship Id="rId318" Type="http://schemas.openxmlformats.org/officeDocument/2006/relationships/image" Target="media/image313.png"/><Relationship Id="rId319" Type="http://schemas.openxmlformats.org/officeDocument/2006/relationships/image" Target="media/image314.png"/><Relationship Id="rId320" Type="http://schemas.openxmlformats.org/officeDocument/2006/relationships/image" Target="media/image315.png"/><Relationship Id="rId321" Type="http://schemas.openxmlformats.org/officeDocument/2006/relationships/image" Target="media/image316.png"/><Relationship Id="rId322" Type="http://schemas.openxmlformats.org/officeDocument/2006/relationships/image" Target="media/image317.png"/><Relationship Id="rId323" Type="http://schemas.openxmlformats.org/officeDocument/2006/relationships/image" Target="media/image318.png"/><Relationship Id="rId324" Type="http://schemas.openxmlformats.org/officeDocument/2006/relationships/image" Target="media/image319.png"/><Relationship Id="rId325" Type="http://schemas.openxmlformats.org/officeDocument/2006/relationships/image" Target="media/image320.png"/><Relationship Id="rId326" Type="http://schemas.openxmlformats.org/officeDocument/2006/relationships/image" Target="media/image321.png"/><Relationship Id="rId327" Type="http://schemas.openxmlformats.org/officeDocument/2006/relationships/image" Target="media/image322.png"/><Relationship Id="rId328" Type="http://schemas.openxmlformats.org/officeDocument/2006/relationships/image" Target="media/image323.png"/><Relationship Id="rId329" Type="http://schemas.openxmlformats.org/officeDocument/2006/relationships/image" Target="media/image324.png"/><Relationship Id="rId330" Type="http://schemas.openxmlformats.org/officeDocument/2006/relationships/image" Target="media/image325.png"/><Relationship Id="rId331" Type="http://schemas.openxmlformats.org/officeDocument/2006/relationships/image" Target="media/image326.png"/><Relationship Id="rId332" Type="http://schemas.openxmlformats.org/officeDocument/2006/relationships/image" Target="media/image327.png"/><Relationship Id="rId333" Type="http://schemas.openxmlformats.org/officeDocument/2006/relationships/image" Target="media/image328.png"/><Relationship Id="rId334" Type="http://schemas.openxmlformats.org/officeDocument/2006/relationships/image" Target="media/image329.png"/><Relationship Id="rId335" Type="http://schemas.openxmlformats.org/officeDocument/2006/relationships/image" Target="media/image330.png"/><Relationship Id="rId336" Type="http://schemas.openxmlformats.org/officeDocument/2006/relationships/image" Target="media/image331.png"/><Relationship Id="rId337" Type="http://schemas.openxmlformats.org/officeDocument/2006/relationships/image" Target="media/image332.png"/><Relationship Id="rId338" Type="http://schemas.openxmlformats.org/officeDocument/2006/relationships/image" Target="media/image333.png"/><Relationship Id="rId339" Type="http://schemas.openxmlformats.org/officeDocument/2006/relationships/image" Target="media/image334.png"/><Relationship Id="rId340" Type="http://schemas.openxmlformats.org/officeDocument/2006/relationships/image" Target="media/image335.png"/><Relationship Id="rId341" Type="http://schemas.openxmlformats.org/officeDocument/2006/relationships/image" Target="media/image336.png"/><Relationship Id="rId342" Type="http://schemas.openxmlformats.org/officeDocument/2006/relationships/image" Target="media/image337.png"/><Relationship Id="rId343" Type="http://schemas.openxmlformats.org/officeDocument/2006/relationships/image" Target="media/image338.png"/><Relationship Id="rId344" Type="http://schemas.openxmlformats.org/officeDocument/2006/relationships/image" Target="media/image339.png"/><Relationship Id="rId345" Type="http://schemas.openxmlformats.org/officeDocument/2006/relationships/image" Target="media/image340.png"/><Relationship Id="rId346" Type="http://schemas.openxmlformats.org/officeDocument/2006/relationships/image" Target="media/image341.png"/><Relationship Id="rId347" Type="http://schemas.openxmlformats.org/officeDocument/2006/relationships/image" Target="media/image342.png"/><Relationship Id="rId348" Type="http://schemas.openxmlformats.org/officeDocument/2006/relationships/image" Target="media/image343.png"/><Relationship Id="rId349" Type="http://schemas.openxmlformats.org/officeDocument/2006/relationships/image" Target="media/image344.png"/><Relationship Id="rId350" Type="http://schemas.openxmlformats.org/officeDocument/2006/relationships/image" Target="media/image345.png"/><Relationship Id="rId351" Type="http://schemas.openxmlformats.org/officeDocument/2006/relationships/image" Target="media/image346.png"/><Relationship Id="rId352" Type="http://schemas.openxmlformats.org/officeDocument/2006/relationships/image" Target="media/image347.png"/><Relationship Id="rId353" Type="http://schemas.openxmlformats.org/officeDocument/2006/relationships/image" Target="media/image348.png"/><Relationship Id="rId354" Type="http://schemas.openxmlformats.org/officeDocument/2006/relationships/image" Target="media/image349.png"/><Relationship Id="rId355" Type="http://schemas.openxmlformats.org/officeDocument/2006/relationships/image" Target="media/image350.png"/><Relationship Id="rId356" Type="http://schemas.openxmlformats.org/officeDocument/2006/relationships/image" Target="media/image351.png"/><Relationship Id="rId357" Type="http://schemas.openxmlformats.org/officeDocument/2006/relationships/image" Target="media/image352.png"/><Relationship Id="rId358" Type="http://schemas.openxmlformats.org/officeDocument/2006/relationships/image" Target="media/image353.png"/><Relationship Id="rId359" Type="http://schemas.openxmlformats.org/officeDocument/2006/relationships/image" Target="media/image354.png"/><Relationship Id="rId360" Type="http://schemas.openxmlformats.org/officeDocument/2006/relationships/image" Target="media/image355.png"/><Relationship Id="rId361" Type="http://schemas.openxmlformats.org/officeDocument/2006/relationships/image" Target="media/image356.png"/><Relationship Id="rId362" Type="http://schemas.openxmlformats.org/officeDocument/2006/relationships/image" Target="media/image357.png"/><Relationship Id="rId363" Type="http://schemas.openxmlformats.org/officeDocument/2006/relationships/image" Target="media/image358.png"/><Relationship Id="rId364" Type="http://schemas.openxmlformats.org/officeDocument/2006/relationships/image" Target="media/image359.png"/><Relationship Id="rId365" Type="http://schemas.openxmlformats.org/officeDocument/2006/relationships/image" Target="media/image360.png"/><Relationship Id="rId366" Type="http://schemas.openxmlformats.org/officeDocument/2006/relationships/image" Target="media/image361.png"/><Relationship Id="rId367" Type="http://schemas.openxmlformats.org/officeDocument/2006/relationships/image" Target="media/image362.png"/><Relationship Id="rId368" Type="http://schemas.openxmlformats.org/officeDocument/2006/relationships/image" Target="media/image363.png"/><Relationship Id="rId369" Type="http://schemas.openxmlformats.org/officeDocument/2006/relationships/image" Target="media/image364.png"/><Relationship Id="rId370" Type="http://schemas.openxmlformats.org/officeDocument/2006/relationships/image" Target="media/image365.png"/><Relationship Id="rId371" Type="http://schemas.openxmlformats.org/officeDocument/2006/relationships/image" Target="media/image366.png"/><Relationship Id="rId372" Type="http://schemas.openxmlformats.org/officeDocument/2006/relationships/image" Target="media/image367.png"/><Relationship Id="rId373" Type="http://schemas.openxmlformats.org/officeDocument/2006/relationships/image" Target="media/image368.png"/><Relationship Id="rId374" Type="http://schemas.openxmlformats.org/officeDocument/2006/relationships/image" Target="media/image369.png"/><Relationship Id="rId375" Type="http://schemas.openxmlformats.org/officeDocument/2006/relationships/image" Target="media/image370.png"/><Relationship Id="rId376" Type="http://schemas.openxmlformats.org/officeDocument/2006/relationships/image" Target="media/image371.png"/><Relationship Id="rId377" Type="http://schemas.openxmlformats.org/officeDocument/2006/relationships/image" Target="media/image372.png"/><Relationship Id="rId378" Type="http://schemas.openxmlformats.org/officeDocument/2006/relationships/image" Target="media/image373.png"/><Relationship Id="rId379" Type="http://schemas.openxmlformats.org/officeDocument/2006/relationships/image" Target="media/image374.png"/><Relationship Id="rId380" Type="http://schemas.openxmlformats.org/officeDocument/2006/relationships/image" Target="media/image375.png"/><Relationship Id="rId381" Type="http://schemas.openxmlformats.org/officeDocument/2006/relationships/image" Target="media/image376.png"/><Relationship Id="rId382" Type="http://schemas.openxmlformats.org/officeDocument/2006/relationships/image" Target="media/image377.png"/><Relationship Id="rId383" Type="http://schemas.openxmlformats.org/officeDocument/2006/relationships/image" Target="media/image378.png"/><Relationship Id="rId384" Type="http://schemas.openxmlformats.org/officeDocument/2006/relationships/image" Target="media/image379.png"/><Relationship Id="rId385" Type="http://schemas.openxmlformats.org/officeDocument/2006/relationships/image" Target="media/image380.png"/><Relationship Id="rId386" Type="http://schemas.openxmlformats.org/officeDocument/2006/relationships/image" Target="media/image381.png"/><Relationship Id="rId387" Type="http://schemas.openxmlformats.org/officeDocument/2006/relationships/image" Target="media/image382.png"/><Relationship Id="rId388" Type="http://schemas.openxmlformats.org/officeDocument/2006/relationships/image" Target="media/image383.png"/><Relationship Id="rId389" Type="http://schemas.openxmlformats.org/officeDocument/2006/relationships/image" Target="media/image384.png"/><Relationship Id="rId390" Type="http://schemas.openxmlformats.org/officeDocument/2006/relationships/image" Target="media/image385.png"/><Relationship Id="rId391" Type="http://schemas.openxmlformats.org/officeDocument/2006/relationships/image" Target="media/image386.png"/><Relationship Id="rId392" Type="http://schemas.openxmlformats.org/officeDocument/2006/relationships/image" Target="media/image387.png"/><Relationship Id="rId393" Type="http://schemas.openxmlformats.org/officeDocument/2006/relationships/image" Target="media/image388.png"/><Relationship Id="rId394" Type="http://schemas.openxmlformats.org/officeDocument/2006/relationships/image" Target="media/image389.png"/><Relationship Id="rId395" Type="http://schemas.openxmlformats.org/officeDocument/2006/relationships/image" Target="media/image390.png"/><Relationship Id="rId396" Type="http://schemas.openxmlformats.org/officeDocument/2006/relationships/image" Target="media/image391.png"/><Relationship Id="rId397" Type="http://schemas.openxmlformats.org/officeDocument/2006/relationships/image" Target="media/image392.png"/><Relationship Id="rId398" Type="http://schemas.openxmlformats.org/officeDocument/2006/relationships/image" Target="media/image393.png"/><Relationship Id="rId399" Type="http://schemas.openxmlformats.org/officeDocument/2006/relationships/image" Target="media/image394.png"/><Relationship Id="rId400" Type="http://schemas.openxmlformats.org/officeDocument/2006/relationships/image" Target="media/image395.png"/><Relationship Id="rId401" Type="http://schemas.openxmlformats.org/officeDocument/2006/relationships/image" Target="media/image396.png"/><Relationship Id="rId402" Type="http://schemas.openxmlformats.org/officeDocument/2006/relationships/image" Target="media/image397.png"/><Relationship Id="rId403" Type="http://schemas.openxmlformats.org/officeDocument/2006/relationships/image" Target="media/image398.png"/><Relationship Id="rId404" Type="http://schemas.openxmlformats.org/officeDocument/2006/relationships/image" Target="media/image399.png"/><Relationship Id="rId405" Type="http://schemas.openxmlformats.org/officeDocument/2006/relationships/image" Target="media/image400.png"/><Relationship Id="rId406" Type="http://schemas.openxmlformats.org/officeDocument/2006/relationships/image" Target="media/image401.png"/><Relationship Id="rId407" Type="http://schemas.openxmlformats.org/officeDocument/2006/relationships/image" Target="media/image402.png"/><Relationship Id="rId408" Type="http://schemas.openxmlformats.org/officeDocument/2006/relationships/image" Target="media/image403.png"/><Relationship Id="rId409" Type="http://schemas.openxmlformats.org/officeDocument/2006/relationships/image" Target="media/image404.png"/><Relationship Id="rId410" Type="http://schemas.openxmlformats.org/officeDocument/2006/relationships/image" Target="media/image405.png"/><Relationship Id="rId411" Type="http://schemas.openxmlformats.org/officeDocument/2006/relationships/image" Target="media/image406.png"/><Relationship Id="rId412" Type="http://schemas.openxmlformats.org/officeDocument/2006/relationships/image" Target="media/image407.png"/><Relationship Id="rId413" Type="http://schemas.openxmlformats.org/officeDocument/2006/relationships/image" Target="media/image408.png"/><Relationship Id="rId414" Type="http://schemas.openxmlformats.org/officeDocument/2006/relationships/image" Target="media/image409.png"/><Relationship Id="rId415" Type="http://schemas.openxmlformats.org/officeDocument/2006/relationships/image" Target="media/image410.png"/><Relationship Id="rId416" Type="http://schemas.openxmlformats.org/officeDocument/2006/relationships/image" Target="media/image411.png"/><Relationship Id="rId417" Type="http://schemas.openxmlformats.org/officeDocument/2006/relationships/image" Target="media/image412.png"/><Relationship Id="rId418" Type="http://schemas.openxmlformats.org/officeDocument/2006/relationships/image" Target="media/image413.png"/><Relationship Id="rId419" Type="http://schemas.openxmlformats.org/officeDocument/2006/relationships/image" Target="media/image414.png"/><Relationship Id="rId420" Type="http://schemas.openxmlformats.org/officeDocument/2006/relationships/image" Target="media/image415.png"/><Relationship Id="rId421" Type="http://schemas.openxmlformats.org/officeDocument/2006/relationships/image" Target="media/image416.png"/><Relationship Id="rId422" Type="http://schemas.openxmlformats.org/officeDocument/2006/relationships/image" Target="media/image417.png"/><Relationship Id="rId423" Type="http://schemas.openxmlformats.org/officeDocument/2006/relationships/image" Target="media/image418.png"/><Relationship Id="rId424" Type="http://schemas.openxmlformats.org/officeDocument/2006/relationships/image" Target="media/image419.png"/><Relationship Id="rId425" Type="http://schemas.openxmlformats.org/officeDocument/2006/relationships/image" Target="media/image420.png"/><Relationship Id="rId426" Type="http://schemas.openxmlformats.org/officeDocument/2006/relationships/image" Target="media/image421.png"/><Relationship Id="rId427" Type="http://schemas.openxmlformats.org/officeDocument/2006/relationships/image" Target="media/image422.png"/><Relationship Id="rId428" Type="http://schemas.openxmlformats.org/officeDocument/2006/relationships/image" Target="media/image423.png"/><Relationship Id="rId429" Type="http://schemas.openxmlformats.org/officeDocument/2006/relationships/image" Target="media/image424.png"/><Relationship Id="rId430" Type="http://schemas.openxmlformats.org/officeDocument/2006/relationships/image" Target="media/image425.png"/><Relationship Id="rId431" Type="http://schemas.openxmlformats.org/officeDocument/2006/relationships/image" Target="media/image426.png"/><Relationship Id="rId432" Type="http://schemas.openxmlformats.org/officeDocument/2006/relationships/image" Target="media/image427.png"/><Relationship Id="rId433" Type="http://schemas.openxmlformats.org/officeDocument/2006/relationships/image" Target="media/image428.png"/><Relationship Id="rId434" Type="http://schemas.openxmlformats.org/officeDocument/2006/relationships/image" Target="media/image429.png"/><Relationship Id="rId435" Type="http://schemas.openxmlformats.org/officeDocument/2006/relationships/image" Target="media/image430.png"/><Relationship Id="rId436" Type="http://schemas.openxmlformats.org/officeDocument/2006/relationships/image" Target="media/image431.png"/><Relationship Id="rId437" Type="http://schemas.openxmlformats.org/officeDocument/2006/relationships/image" Target="media/image432.png"/><Relationship Id="rId438" Type="http://schemas.openxmlformats.org/officeDocument/2006/relationships/image" Target="media/image433.png"/><Relationship Id="rId439" Type="http://schemas.openxmlformats.org/officeDocument/2006/relationships/image" Target="media/image434.png"/><Relationship Id="rId440" Type="http://schemas.openxmlformats.org/officeDocument/2006/relationships/image" Target="media/image435.png"/><Relationship Id="rId441" Type="http://schemas.openxmlformats.org/officeDocument/2006/relationships/image" Target="media/image436.png"/><Relationship Id="rId442" Type="http://schemas.openxmlformats.org/officeDocument/2006/relationships/image" Target="media/image437.png"/><Relationship Id="rId443" Type="http://schemas.openxmlformats.org/officeDocument/2006/relationships/image" Target="media/image438.png"/><Relationship Id="rId444" Type="http://schemas.openxmlformats.org/officeDocument/2006/relationships/image" Target="media/image439.png"/><Relationship Id="rId445" Type="http://schemas.openxmlformats.org/officeDocument/2006/relationships/image" Target="media/image440.png"/><Relationship Id="rId446" Type="http://schemas.openxmlformats.org/officeDocument/2006/relationships/image" Target="media/image441.png"/><Relationship Id="rId447" Type="http://schemas.openxmlformats.org/officeDocument/2006/relationships/hyperlink" Target="http://www.mld.org.mk/" TargetMode="External"/><Relationship Id="rId448" Type="http://schemas.openxmlformats.org/officeDocument/2006/relationships/hyperlink" Target="http://www.mld.mk/" TargetMode="External"/><Relationship Id="rId449" Type="http://schemas.openxmlformats.org/officeDocument/2006/relationships/image" Target="media/image442.jpeg"/><Relationship Id="rId450" Type="http://schemas.openxmlformats.org/officeDocument/2006/relationships/image" Target="media/image443.png"/><Relationship Id="rId451" Type="http://schemas.openxmlformats.org/officeDocument/2006/relationships/hyperlink" Target="mailto:mld@unet.com.mk" TargetMode="External"/><Relationship Id="rId452" Type="http://schemas.openxmlformats.org/officeDocument/2006/relationships/header" Target="header1.xml"/><Relationship Id="rId453" Type="http://schemas.openxmlformats.org/officeDocument/2006/relationships/header" Target="header2.xml"/><Relationship Id="rId454" Type="http://schemas.openxmlformats.org/officeDocument/2006/relationships/hyperlink" Target="mailto:aivana77@yahoo.com" TargetMode="External"/><Relationship Id="rId455" Type="http://schemas.openxmlformats.org/officeDocument/2006/relationships/header" Target="header3.xml"/><Relationship Id="rId456" Type="http://schemas.openxmlformats.org/officeDocument/2006/relationships/header" Target="header4.xml"/><Relationship Id="rId457" Type="http://schemas.openxmlformats.org/officeDocument/2006/relationships/hyperlink" Target="http://www.biomedinvo4all.com/en/research-themes/" TargetMode="External"/><Relationship Id="rId458" Type="http://schemas.openxmlformats.org/officeDocument/2006/relationships/hyperlink" Target="http://www.eortc.be/" TargetMode="External"/><Relationship Id="rId459" Type="http://schemas.openxmlformats.org/officeDocument/2006/relationships/header" Target="header5.xml"/><Relationship Id="rId460" Type="http://schemas.openxmlformats.org/officeDocument/2006/relationships/header" Target="header6.xml"/><Relationship Id="rId461" Type="http://schemas.openxmlformats.org/officeDocument/2006/relationships/hyperlink" Target="mailto:pavkovicm@yahoo.com" TargetMode="External"/><Relationship Id="rId462" Type="http://schemas.openxmlformats.org/officeDocument/2006/relationships/header" Target="header7.xml"/><Relationship Id="rId463" Type="http://schemas.openxmlformats.org/officeDocument/2006/relationships/header" Target="header8.xml"/><Relationship Id="rId464" Type="http://schemas.openxmlformats.org/officeDocument/2006/relationships/image" Target="media/image444.jpeg"/><Relationship Id="rId465" Type="http://schemas.openxmlformats.org/officeDocument/2006/relationships/header" Target="header9.xml"/><Relationship Id="rId466" Type="http://schemas.openxmlformats.org/officeDocument/2006/relationships/hyperlink" Target="mailto:gorica.popova@yahoo.com" TargetMode="External"/><Relationship Id="rId467" Type="http://schemas.openxmlformats.org/officeDocument/2006/relationships/header" Target="header10.xml"/><Relationship Id="rId468" Type="http://schemas.openxmlformats.org/officeDocument/2006/relationships/header" Target="header11.xml"/><Relationship Id="rId469" Type="http://schemas.openxmlformats.org/officeDocument/2006/relationships/image" Target="media/image445.jpeg"/><Relationship Id="rId470" Type="http://schemas.openxmlformats.org/officeDocument/2006/relationships/header" Target="header12.xml"/><Relationship Id="rId471" Type="http://schemas.openxmlformats.org/officeDocument/2006/relationships/header" Target="header13.xml"/><Relationship Id="rId472" Type="http://schemas.openxmlformats.org/officeDocument/2006/relationships/hyperlink" Target="mailto:ivo_kaev@yahoo.com" TargetMode="External"/><Relationship Id="rId473" Type="http://schemas.openxmlformats.org/officeDocument/2006/relationships/image" Target="media/image446.png"/><Relationship Id="rId474" Type="http://schemas.openxmlformats.org/officeDocument/2006/relationships/header" Target="header14.xml"/><Relationship Id="rId475" Type="http://schemas.openxmlformats.org/officeDocument/2006/relationships/header" Target="header15.xml"/><Relationship Id="rId476" Type="http://schemas.openxmlformats.org/officeDocument/2006/relationships/header" Target="header16.xml"/><Relationship Id="rId477" Type="http://schemas.openxmlformats.org/officeDocument/2006/relationships/header" Target="header17.xml"/><Relationship Id="rId478" Type="http://schemas.openxmlformats.org/officeDocument/2006/relationships/header" Target="header18.xml"/><Relationship Id="rId479" Type="http://schemas.openxmlformats.org/officeDocument/2006/relationships/image" Target="media/image447.png"/><Relationship Id="rId480" Type="http://schemas.openxmlformats.org/officeDocument/2006/relationships/hyperlink" Target="http://www.ncbi.nlm.nih.gov/sites/entrez?Db=pubmed&amp;Cmd=Search&amp;Term=%22Knudsen%20LS%22%5BAuthor%5D&amp;itool=EntrezSystem2.PEntrez.Pubmed.Pubmed_ResultsPanel.Pubmed_DiscoveryPanel.Pubmed_RVAbstractPlus" TargetMode="External"/><Relationship Id="rId481" Type="http://schemas.openxmlformats.org/officeDocument/2006/relationships/hyperlink" Target="http://www.ncbi.nlm.nih.gov/sites/entrez?Db=pubmed&amp;Cmd=Search&amp;Term=%22Klarlund%20M%22%5BAuthor%5D&amp;itool=EntrezSystem2.PEntrez.Pubmed.Pubmed_ResultsPanel.Pubmed_DiscoveryPanel.Pubmed_RVAbstractPlus" TargetMode="External"/><Relationship Id="rId482" Type="http://schemas.openxmlformats.org/officeDocument/2006/relationships/hyperlink" Target="http://www.ncbi.nlm.nih.gov/sites/entrez?Db=pubmed&amp;Cmd=Search&amp;Term=%22Skj%C3%B8dt%20H%22%5BAuthor%5D&amp;itool=EntrezSystem2.PEntrez.Pubmed.Pubmed_ResultsPanel.Pubmed_DiscoveryPanel.Pubmed_RVAbstractPlus" TargetMode="External"/><Relationship Id="rId483" Type="http://schemas.openxmlformats.org/officeDocument/2006/relationships/hyperlink" Target="http://www.ncbi.nlm.nih.gov/sites/entrez?Db=pubmed&amp;Cmd=Search&amp;Term=%22Koseki%20Y%22%5BAuthor%5D&amp;itool=EntrezSystem2.PEntrez.Pubmed.Pubmed_ResultsPanel.Pubmed_DiscoveryPanel.Pubmed_RVAbstractPlus" TargetMode="External"/><Relationship Id="rId484" Type="http://schemas.openxmlformats.org/officeDocument/2006/relationships/hyperlink" Target="http://www.ncbi.nlm.nih.gov/sites/entrez?Db=pubmed&amp;Cmd=Search&amp;Term=%22Terai%20C%22%5BAuthor%5D&amp;itool=EntrezSystem2.PEntrez.Pubmed.Pubmed_ResultsPanel.Pubmed_DiscoveryPanel.Pubmed_RVAbstractPlus" TargetMode="External"/><Relationship Id="rId485" Type="http://schemas.openxmlformats.org/officeDocument/2006/relationships/hyperlink" Target="http://www.ncbi.nlm.nih.gov/sites/entrez?Db=pubmed&amp;Cmd=Search&amp;Term=%22Moriguchi%20M%22%5BAuthor%5D&amp;itool=EntrezSystem2.PEntrez.Pubmed.Pubmed_ResultsPanel.Pubmed_DiscoveryPanel.Pubmed_RVAbstractPlus" TargetMode="External"/><Relationship Id="rId486" Type="http://schemas.openxmlformats.org/officeDocument/2006/relationships/hyperlink" Target="http://www.ncbi.nlm.nih.gov/sites/entrez?Db=pubmed&amp;Cmd=Search&amp;Term=%22Marchewka%20Z%22%5BAuthor%5D&amp;itool=EntrezSystem2.PEntrez.Pubmed.Pubmed_ResultsPanel.Pubmed_DiscoveryPanel.Pubmed_RVAbstractPlus" TargetMode="External"/><Relationship Id="rId487" Type="http://schemas.openxmlformats.org/officeDocument/2006/relationships/hyperlink" Target="http://www.ncbi.nlm.nih.gov/sites/entrez?Db=pubmed&amp;Cmd=Search&amp;Term=%22Przew%C5%82ocki%20M%22%5BAuthor%5D&amp;itool=EntrezSystem2.PEntrez.Pubmed.Pubmed_ResultsPanel.Pubmed_DiscoveryPanel.Pubmed_RVAbstractPlus" TargetMode="External"/><Relationship Id="rId488" Type="http://schemas.openxmlformats.org/officeDocument/2006/relationships/hyperlink" Target="http://www.ncbi.nlm.nih.gov/sites/entrez?Db=pubmed&amp;Cmd=Search&amp;Term=%22Lepka%20M%22%5BAuthor%5D&amp;itool=EntrezSystem2.PEntrez.Pubmed.Pubmed_ResultsPanel.Pubmed_DiscoveryPanel.Pubmed_RVAbstractPlus" TargetMode="External"/><Relationship Id="rId489" Type="http://schemas.openxmlformats.org/officeDocument/2006/relationships/hyperlink" Target="http://www.ncbi.nlm.nih.gov/sites/entrez?Db=pubmed&amp;Cmd=Search&amp;Term=%22da%20Silva%20Melo%20DA%22%5BAuthor%5D&amp;itool=EntrezSystem2.PEntrez.Pubmed.Pubmed_ResultsPanel.Pubmed_DiscoveryPanel.Pubmed_RVAbstractPlus" TargetMode="External"/><Relationship Id="rId490" Type="http://schemas.openxmlformats.org/officeDocument/2006/relationships/hyperlink" Target="http://www.ncbi.nlm.nih.gov/sites/entrez?Db=pubmed&amp;Cmd=Search&amp;Term=%22Saciura%20VC%22%5BAuthor%5D&amp;itool=EntrezSystem2.PEntrez.Pubmed.Pubmed_ResultsPanel.Pubmed_DiscoveryPanel.Pubmed_RVAbstractPlus" TargetMode="External"/><Relationship Id="rId491" Type="http://schemas.openxmlformats.org/officeDocument/2006/relationships/hyperlink" Target="http://www.ncbi.nlm.nih.gov/sites/entrez?Db=pubmed&amp;Cmd=Search&amp;Term=%22Poloni%20JA%22%5BAuthor%5D&amp;itool=EntrezSystem2.PEntrez.Pubmed.Pubmed_ResultsPanel.Pubmed_DiscoveryPanel.Pubmed_RVAbstractPlus" TargetMode="External"/><Relationship Id="rId492" Type="http://schemas.openxmlformats.org/officeDocument/2006/relationships/header" Target="header19.xml"/><Relationship Id="rId493" Type="http://schemas.openxmlformats.org/officeDocument/2006/relationships/header" Target="header20.xml"/><Relationship Id="rId494" Type="http://schemas.openxmlformats.org/officeDocument/2006/relationships/hyperlink" Target="mailto:peovskai@yahoo.com" TargetMode="External"/><Relationship Id="rId495" Type="http://schemas.openxmlformats.org/officeDocument/2006/relationships/image" Target="media/image448.jpeg"/><Relationship Id="rId496" Type="http://schemas.openxmlformats.org/officeDocument/2006/relationships/header" Target="header21.xml"/><Relationship Id="rId497" Type="http://schemas.openxmlformats.org/officeDocument/2006/relationships/image" Target="media/image449.jpeg"/><Relationship Id="rId498" Type="http://schemas.openxmlformats.org/officeDocument/2006/relationships/image" Target="media/image450.jpeg"/><Relationship Id="rId499" Type="http://schemas.openxmlformats.org/officeDocument/2006/relationships/header" Target="header22.xml"/><Relationship Id="rId500" Type="http://schemas.openxmlformats.org/officeDocument/2006/relationships/header" Target="header23.xml"/><Relationship Id="rId501" Type="http://schemas.openxmlformats.org/officeDocument/2006/relationships/header" Target="header24.xml"/><Relationship Id="rId502" Type="http://schemas.openxmlformats.org/officeDocument/2006/relationships/image" Target="media/image451.jpeg"/><Relationship Id="rId503" Type="http://schemas.openxmlformats.org/officeDocument/2006/relationships/hyperlink" Target="https://casereports.onlinejacc.org/content/early/2020/05/07/j.jaccas.2020.04.008#ref-2" TargetMode="External"/><Relationship Id="rId504" Type="http://schemas.openxmlformats.org/officeDocument/2006/relationships/hyperlink" Target="http://www.escardio.org/Education/COVID-19-" TargetMode="External"/><Relationship Id="rId505" Type="http://schemas.openxmlformats.org/officeDocument/2006/relationships/header" Target="header25.xml"/><Relationship Id="rId506" Type="http://schemas.openxmlformats.org/officeDocument/2006/relationships/hyperlink" Target="mailto:violeta13dr@yahoo.com" TargetMode="External"/><Relationship Id="rId507" Type="http://schemas.openxmlformats.org/officeDocument/2006/relationships/header" Target="header26.xml"/><Relationship Id="rId508" Type="http://schemas.openxmlformats.org/officeDocument/2006/relationships/header" Target="header27.xml"/><Relationship Id="rId509" Type="http://schemas.openxmlformats.org/officeDocument/2006/relationships/hyperlink" Target="https://pubmed.ncbi.nlm.nih.gov/?term=Danks%2BRR&amp;cauthor_id=21464271" TargetMode="External"/><Relationship Id="rId510" Type="http://schemas.openxmlformats.org/officeDocument/2006/relationships/hyperlink" Target="https://www.ncbi.nlm.nih.gov/pubmed/?term=Bertozzi%20S%5BAuthor%5D&amp;cauthor=true&amp;cauthor_uid=26576331" TargetMode="External"/><Relationship Id="rId511" Type="http://schemas.openxmlformats.org/officeDocument/2006/relationships/hyperlink" Target="https://www.ncbi.nlm.nih.gov/pubmed/?term=Londero%20AP%5BAuthor%5D&amp;cauthor=true&amp;cauthor_uid=26576331" TargetMode="External"/><Relationship Id="rId512" Type="http://schemas.openxmlformats.org/officeDocument/2006/relationships/hyperlink" Target="https://www.ncbi.nlm.nih.gov/pubmed/?term=Cedolini%20C%5BAuthor%5D&amp;cauthor=true&amp;cauthor_uid=26576331" TargetMode="External"/><Relationship Id="rId513" Type="http://schemas.openxmlformats.org/officeDocument/2006/relationships/header" Target="header28.xml"/><Relationship Id="rId514" Type="http://schemas.openxmlformats.org/officeDocument/2006/relationships/header" Target="header29.xml"/><Relationship Id="rId515" Type="http://schemas.openxmlformats.org/officeDocument/2006/relationships/hyperlink" Target="mailto:purrini.r@gmail.com" TargetMode="External"/><Relationship Id="rId516" Type="http://schemas.openxmlformats.org/officeDocument/2006/relationships/header" Target="header30.xml"/><Relationship Id="rId517" Type="http://schemas.openxmlformats.org/officeDocument/2006/relationships/header" Target="header31.xml"/><Relationship Id="rId518" Type="http://schemas.openxmlformats.org/officeDocument/2006/relationships/hyperlink" Target="mailto:kvlidija@yahoo.com" TargetMode="External"/><Relationship Id="rId519" Type="http://schemas.openxmlformats.org/officeDocument/2006/relationships/header" Target="header32.xml"/><Relationship Id="rId520" Type="http://schemas.openxmlformats.org/officeDocument/2006/relationships/image" Target="media/image452.jpeg"/><Relationship Id="rId521" Type="http://schemas.openxmlformats.org/officeDocument/2006/relationships/image" Target="media/image453.jpeg"/><Relationship Id="rId522" Type="http://schemas.openxmlformats.org/officeDocument/2006/relationships/header" Target="header33.xml"/><Relationship Id="rId523" Type="http://schemas.openxmlformats.org/officeDocument/2006/relationships/header" Target="header34.xml"/><Relationship Id="rId524" Type="http://schemas.openxmlformats.org/officeDocument/2006/relationships/header" Target="header35.xml"/><Relationship Id="rId525" Type="http://schemas.openxmlformats.org/officeDocument/2006/relationships/hyperlink" Target="mailto:hbicevska@yahoo.com" TargetMode="External"/><Relationship Id="rId526" Type="http://schemas.openxmlformats.org/officeDocument/2006/relationships/header" Target="header36.xml"/><Relationship Id="rId527" Type="http://schemas.openxmlformats.org/officeDocument/2006/relationships/header" Target="header37.xml"/><Relationship Id="rId528" Type="http://schemas.openxmlformats.org/officeDocument/2006/relationships/hyperlink" Target="https://www.sciencedirect.com/science/article/pii/S2213576619301903#!" TargetMode="External"/><Relationship Id="rId529" Type="http://schemas.openxmlformats.org/officeDocument/2006/relationships/header" Target="header38.xml"/><Relationship Id="rId530" Type="http://schemas.openxmlformats.org/officeDocument/2006/relationships/header" Target="header39.xml"/><Relationship Id="rId531" Type="http://schemas.openxmlformats.org/officeDocument/2006/relationships/hyperlink" Target="mailto:n_trpevska@yahoo.com" TargetMode="External"/><Relationship Id="rId532" Type="http://schemas.openxmlformats.org/officeDocument/2006/relationships/image" Target="media/image454.jpeg"/><Relationship Id="rId533" Type="http://schemas.openxmlformats.org/officeDocument/2006/relationships/image" Target="media/image455.jpeg"/><Relationship Id="rId534" Type="http://schemas.openxmlformats.org/officeDocument/2006/relationships/header" Target="header40.xml"/><Relationship Id="rId535" Type="http://schemas.openxmlformats.org/officeDocument/2006/relationships/header" Target="header41.xml"/><Relationship Id="rId536" Type="http://schemas.openxmlformats.org/officeDocument/2006/relationships/image" Target="media/image456.jpeg"/><Relationship Id="rId537" Type="http://schemas.openxmlformats.org/officeDocument/2006/relationships/image" Target="media/image457.jpeg"/><Relationship Id="rId538" Type="http://schemas.openxmlformats.org/officeDocument/2006/relationships/image" Target="media/image458.jpeg"/><Relationship Id="rId539" Type="http://schemas.openxmlformats.org/officeDocument/2006/relationships/image" Target="media/image459.jpeg"/><Relationship Id="rId540" Type="http://schemas.openxmlformats.org/officeDocument/2006/relationships/image" Target="media/image460.jpeg"/><Relationship Id="rId541" Type="http://schemas.openxmlformats.org/officeDocument/2006/relationships/hyperlink" Target="https://www.ncbi.nlm.nih.gov/pubmed/?term=Wang%20NK%5BAuthor%5D&amp;cauthor=true&amp;cauthor_uid=25999676" TargetMode="External"/><Relationship Id="rId542" Type="http://schemas.openxmlformats.org/officeDocument/2006/relationships/hyperlink" Target="https://www.ncbi.nlm.nih.gov/pubmed/?term=Liu%20L%5BAuthor%5D&amp;cauthor=true&amp;cauthor_uid=25999676" TargetMode="External"/><Relationship Id="rId543" Type="http://schemas.openxmlformats.org/officeDocument/2006/relationships/hyperlink" Target="https://www.ncbi.nlm.nih.gov/pubmed/?term=Chen%20HM%5BAuthor%5D&amp;cauthor=true&amp;cauthor_uid=25999676" TargetMode="External"/><Relationship Id="rId544" Type="http://schemas.openxmlformats.org/officeDocument/2006/relationships/hyperlink" Target="https://www.ncbi.nlm.nih.gov/pmc/articles/PMC4415592/" TargetMode="External"/><Relationship Id="rId545" Type="http://schemas.openxmlformats.org/officeDocument/2006/relationships/hyperlink" Target="https://pubmed.ncbi.nlm.nih.gov/?term=Sieving%2BPA&amp;cauthor_id=20301401" TargetMode="External"/><Relationship Id="rId546" Type="http://schemas.openxmlformats.org/officeDocument/2006/relationships/hyperlink" Target="https://pubmed.ncbi.nlm.nih.gov/?term=MacDonald%2BIM&amp;cauthor_id=20301401" TargetMode="External"/><Relationship Id="rId547" Type="http://schemas.openxmlformats.org/officeDocument/2006/relationships/hyperlink" Target="https://pubmed.ncbi.nlm.nih.gov/?term=Chan%2BS&amp;cauthor_id=20301401" TargetMode="External"/><Relationship Id="rId548" Type="http://schemas.openxmlformats.org/officeDocument/2006/relationships/header" Target="header42.xml"/><Relationship Id="rId549" Type="http://schemas.openxmlformats.org/officeDocument/2006/relationships/image" Target="media/image461.png"/><Relationship Id="rId550" Type="http://schemas.openxmlformats.org/officeDocument/2006/relationships/header" Target="header43.xml"/><Relationship Id="rId551" Type="http://schemas.openxmlformats.org/officeDocument/2006/relationships/header" Target="header44.xml"/><Relationship Id="rId552" Type="http://schemas.openxmlformats.org/officeDocument/2006/relationships/header" Target="header45.xml"/><Relationship Id="rId5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2022-07-21T19:53:07Z</dcterms:created>
  <dcterms:modified xsi:type="dcterms:W3CDTF">2022-07-21T19:53:07Z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10</vt:lpwstr>
  </property>
  <property fmtid="{D5CDD505-2E9C-101B-9397-08002B2CF9AE}" pid="3" name="LastSaved">
    <vt:filetime>2022-07-21T00:00:00Z</vt:filetime>
  </property>
</Properties>
</file>