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4CF0" w:rsidRPr="002547AB" w:rsidRDefault="00E54CF0" w:rsidP="00E54CF0">
      <w:pPr>
        <w:spacing w:after="0"/>
        <w:ind w:firstLine="720"/>
        <w:jc w:val="center"/>
        <w:rPr>
          <w:rFonts w:ascii="Times New Roman" w:hAnsi="Times New Roman" w:cs="Times New Roman"/>
          <w:sz w:val="24"/>
          <w:szCs w:val="24"/>
          <w:lang w:val="en-US"/>
        </w:rPr>
      </w:pPr>
      <w:r w:rsidRPr="002547AB">
        <w:rPr>
          <w:rFonts w:ascii="Times New Roman" w:hAnsi="Times New Roman" w:cs="Times New Roman"/>
          <w:sz w:val="24"/>
          <w:szCs w:val="24"/>
          <w:lang w:val="en-US"/>
        </w:rPr>
        <w:t xml:space="preserve">THE HOLY SACRAMENT OF CONFESSION AND THE ECCLESIAL PRACTICE OF SPIRITUAL </w:t>
      </w:r>
      <w:proofErr w:type="gramStart"/>
      <w:r w:rsidRPr="002547AB">
        <w:rPr>
          <w:rFonts w:ascii="Times New Roman" w:hAnsi="Times New Roman" w:cs="Times New Roman"/>
          <w:sz w:val="24"/>
          <w:szCs w:val="24"/>
          <w:lang w:val="en-US"/>
        </w:rPr>
        <w:t>GUIDENCE  -</w:t>
      </w:r>
      <w:proofErr w:type="gramEnd"/>
      <w:r w:rsidRPr="002547AB">
        <w:rPr>
          <w:rFonts w:ascii="Times New Roman" w:hAnsi="Times New Roman" w:cs="Times New Roman"/>
          <w:sz w:val="24"/>
          <w:szCs w:val="24"/>
          <w:lang w:val="en-US"/>
        </w:rPr>
        <w:t xml:space="preserve"> PART  1</w:t>
      </w:r>
    </w:p>
    <w:p w:rsidR="00E54CF0" w:rsidRPr="002547AB" w:rsidRDefault="00E54CF0" w:rsidP="00E54CF0">
      <w:pPr>
        <w:spacing w:after="0"/>
        <w:ind w:firstLine="720"/>
        <w:jc w:val="center"/>
        <w:rPr>
          <w:rFonts w:ascii="Times New Roman" w:hAnsi="Times New Roman" w:cs="Times New Roman"/>
          <w:sz w:val="24"/>
          <w:szCs w:val="24"/>
          <w:lang w:val="en-US"/>
        </w:rPr>
      </w:pPr>
    </w:p>
    <w:p w:rsidR="00E54CF0" w:rsidRPr="002547AB" w:rsidRDefault="00E54CF0" w:rsidP="00E54CF0">
      <w:pPr>
        <w:spacing w:after="0"/>
        <w:jc w:val="both"/>
        <w:rPr>
          <w:rFonts w:ascii="Times New Roman" w:hAnsi="Times New Roman" w:cs="Times New Roman"/>
          <w:sz w:val="24"/>
          <w:szCs w:val="24"/>
          <w:lang w:val="en-US"/>
        </w:rPr>
      </w:pPr>
      <w:r w:rsidRPr="002547AB">
        <w:rPr>
          <w:rFonts w:ascii="Times New Roman" w:hAnsi="Times New Roman" w:cs="Times New Roman"/>
          <w:sz w:val="24"/>
          <w:szCs w:val="24"/>
          <w:lang w:val="en-US"/>
        </w:rPr>
        <w:t xml:space="preserve">The subject of </w:t>
      </w:r>
      <w:r w:rsidRPr="002547AB">
        <w:rPr>
          <w:rFonts w:ascii="Times New Roman" w:hAnsi="Times New Roman" w:cs="Times New Roman"/>
          <w:sz w:val="24"/>
          <w:szCs w:val="24"/>
        </w:rPr>
        <w:t>analysis in this paper are certain aspects of the historical development of the penitential practice in the Church, the ecclesiological significance of the Holy Sacrament of Confession, and its synthesis with</w:t>
      </w:r>
      <w:r w:rsidRPr="002547AB">
        <w:rPr>
          <w:rFonts w:ascii="Times New Roman" w:hAnsi="Times New Roman" w:cs="Times New Roman"/>
          <w:sz w:val="24"/>
          <w:szCs w:val="24"/>
          <w:lang w:val="en-US"/>
        </w:rPr>
        <w:t>the</w:t>
      </w:r>
      <w:r w:rsidRPr="002547AB">
        <w:rPr>
          <w:rFonts w:ascii="Times New Roman" w:hAnsi="Times New Roman" w:cs="Times New Roman"/>
          <w:sz w:val="24"/>
          <w:szCs w:val="24"/>
        </w:rPr>
        <w:t xml:space="preserve"> spiritual guidance developed in monastic </w:t>
      </w:r>
      <w:r w:rsidRPr="002547AB">
        <w:rPr>
          <w:rFonts w:ascii="Times New Roman" w:hAnsi="Times New Roman" w:cs="Times New Roman"/>
          <w:sz w:val="24"/>
          <w:szCs w:val="24"/>
          <w:lang w:val="en-US"/>
        </w:rPr>
        <w:t>settings</w:t>
      </w:r>
      <w:r w:rsidRPr="002547AB">
        <w:rPr>
          <w:rFonts w:ascii="Times New Roman" w:hAnsi="Times New Roman" w:cs="Times New Roman"/>
          <w:sz w:val="24"/>
          <w:szCs w:val="24"/>
        </w:rPr>
        <w:t>.</w:t>
      </w:r>
      <w:r>
        <w:rPr>
          <w:rFonts w:ascii="Times New Roman" w:hAnsi="Times New Roman" w:cs="Times New Roman"/>
          <w:sz w:val="24"/>
          <w:szCs w:val="24"/>
        </w:rPr>
        <w:t xml:space="preserve"> </w:t>
      </w:r>
      <w:r w:rsidRPr="002547AB">
        <w:rPr>
          <w:rFonts w:ascii="Times New Roman" w:hAnsi="Times New Roman" w:cs="Times New Roman"/>
          <w:sz w:val="24"/>
          <w:szCs w:val="24"/>
          <w:lang w:val="en-US"/>
        </w:rPr>
        <w:t>Particular emphasis is placed on the role of the spiritual father as a distinct charismatic ministry,</w:t>
      </w:r>
      <w:r>
        <w:rPr>
          <w:rFonts w:ascii="Times New Roman" w:hAnsi="Times New Roman" w:cs="Times New Roman"/>
          <w:sz w:val="24"/>
          <w:szCs w:val="24"/>
          <w:lang w:val="en-US"/>
        </w:rPr>
        <w:t xml:space="preserve"> </w:t>
      </w:r>
      <w:r w:rsidRPr="002547AB">
        <w:rPr>
          <w:rFonts w:ascii="Times New Roman" w:hAnsi="Times New Roman" w:cs="Times New Roman"/>
          <w:sz w:val="24"/>
          <w:szCs w:val="24"/>
          <w:lang w:val="en-US"/>
        </w:rPr>
        <w:t>through which spiritual guidance is actualized.</w:t>
      </w:r>
      <w:r>
        <w:rPr>
          <w:rFonts w:ascii="Times New Roman" w:hAnsi="Times New Roman" w:cs="Times New Roman"/>
          <w:sz w:val="24"/>
          <w:szCs w:val="24"/>
          <w:lang w:val="en-US"/>
        </w:rPr>
        <w:t xml:space="preserve"> </w:t>
      </w:r>
      <w:proofErr w:type="gramStart"/>
      <w:r w:rsidRPr="002547AB">
        <w:rPr>
          <w:rFonts w:ascii="Times New Roman" w:hAnsi="Times New Roman" w:cs="Times New Roman"/>
          <w:sz w:val="24"/>
          <w:szCs w:val="24"/>
          <w:lang w:val="en-US"/>
        </w:rPr>
        <w:t>Public</w:t>
      </w:r>
      <w:r>
        <w:rPr>
          <w:rFonts w:ascii="Times New Roman" w:hAnsi="Times New Roman" w:cs="Times New Roman"/>
          <w:sz w:val="24"/>
          <w:szCs w:val="24"/>
          <w:lang w:val="en-US"/>
        </w:rPr>
        <w:t xml:space="preserve"> </w:t>
      </w:r>
      <w:r w:rsidRPr="002547AB">
        <w:rPr>
          <w:rFonts w:ascii="Times New Roman" w:hAnsi="Times New Roman" w:cs="Times New Roman"/>
          <w:sz w:val="24"/>
          <w:szCs w:val="24"/>
          <w:lang w:val="en-US"/>
        </w:rPr>
        <w:t>penances, as stipulated in the Church canons, clearly and unambiguously highlights</w:t>
      </w:r>
      <w:proofErr w:type="gramEnd"/>
      <w:r w:rsidRPr="002547AB">
        <w:rPr>
          <w:rFonts w:ascii="Times New Roman" w:hAnsi="Times New Roman" w:cs="Times New Roman"/>
          <w:sz w:val="24"/>
          <w:szCs w:val="24"/>
          <w:lang w:val="en-US"/>
        </w:rPr>
        <w:t xml:space="preserve"> the </w:t>
      </w:r>
      <w:r w:rsidRPr="002547AB">
        <w:rPr>
          <w:rFonts w:ascii="Times New Roman" w:hAnsi="Times New Roman" w:cs="Times New Roman"/>
          <w:sz w:val="24"/>
          <w:szCs w:val="24"/>
        </w:rPr>
        <w:t xml:space="preserve">Eucharist-centered </w:t>
      </w:r>
      <w:r w:rsidRPr="002547AB">
        <w:rPr>
          <w:rFonts w:ascii="Times New Roman" w:hAnsi="Times New Roman" w:cs="Times New Roman"/>
          <w:sz w:val="24"/>
          <w:szCs w:val="24"/>
          <w:lang w:val="en-US"/>
        </w:rPr>
        <w:t>nature</w:t>
      </w:r>
      <w:r w:rsidRPr="002547AB">
        <w:rPr>
          <w:rFonts w:ascii="Times New Roman" w:hAnsi="Times New Roman" w:cs="Times New Roman"/>
          <w:sz w:val="24"/>
          <w:szCs w:val="24"/>
        </w:rPr>
        <w:t xml:space="preserve"> of confession.</w:t>
      </w:r>
      <w:r>
        <w:rPr>
          <w:rFonts w:ascii="Times New Roman" w:hAnsi="Times New Roman" w:cs="Times New Roman"/>
          <w:sz w:val="24"/>
          <w:szCs w:val="24"/>
        </w:rPr>
        <w:t xml:space="preserve"> </w:t>
      </w:r>
      <w:r w:rsidRPr="002547AB">
        <w:rPr>
          <w:rFonts w:ascii="Times New Roman" w:hAnsi="Times New Roman" w:cs="Times New Roman"/>
          <w:sz w:val="24"/>
          <w:szCs w:val="24"/>
          <w:lang w:val="en-US"/>
        </w:rPr>
        <w:t>By establishing the sacrament (personal) confession as (spiritual guidance or spiritual therapy</w:t>
      </w:r>
      <w:proofErr w:type="gramStart"/>
      <w:r w:rsidRPr="002547AB">
        <w:rPr>
          <w:rFonts w:ascii="Times New Roman" w:hAnsi="Times New Roman" w:cs="Times New Roman"/>
          <w:sz w:val="24"/>
          <w:szCs w:val="24"/>
          <w:lang w:val="en-US"/>
        </w:rPr>
        <w:t>)the</w:t>
      </w:r>
      <w:proofErr w:type="gramEnd"/>
      <w:r w:rsidRPr="002547AB">
        <w:rPr>
          <w:rFonts w:ascii="Times New Roman" w:hAnsi="Times New Roman" w:cs="Times New Roman"/>
          <w:sz w:val="24"/>
          <w:szCs w:val="24"/>
          <w:lang w:val="en-US"/>
        </w:rPr>
        <w:t xml:space="preserve">  </w:t>
      </w:r>
      <w:r w:rsidRPr="002547AB">
        <w:rPr>
          <w:rFonts w:ascii="Times New Roman" w:hAnsi="Times New Roman" w:cs="Times New Roman"/>
          <w:sz w:val="24"/>
          <w:szCs w:val="24"/>
        </w:rPr>
        <w:t>ecclesiological</w:t>
      </w:r>
      <w:r w:rsidRPr="002547AB">
        <w:rPr>
          <w:rFonts w:ascii="Times New Roman" w:hAnsi="Times New Roman" w:cs="Times New Roman"/>
          <w:sz w:val="24"/>
          <w:szCs w:val="24"/>
          <w:lang w:val="en-US"/>
        </w:rPr>
        <w:t xml:space="preserve"> context of the penitence is considerably diminished. Namely,</w:t>
      </w:r>
      <w:r>
        <w:rPr>
          <w:rFonts w:ascii="Times New Roman" w:hAnsi="Times New Roman" w:cs="Times New Roman"/>
          <w:sz w:val="24"/>
          <w:szCs w:val="24"/>
          <w:lang w:val="en-US"/>
        </w:rPr>
        <w:t xml:space="preserve"> </w:t>
      </w:r>
      <w:r w:rsidRPr="002547AB">
        <w:rPr>
          <w:rFonts w:ascii="Times New Roman" w:hAnsi="Times New Roman" w:cs="Times New Roman"/>
          <w:sz w:val="24"/>
          <w:szCs w:val="24"/>
          <w:lang w:val="en-US"/>
        </w:rPr>
        <w:t>the c</w:t>
      </w:r>
      <w:r w:rsidRPr="002547AB">
        <w:rPr>
          <w:rFonts w:ascii="Times New Roman" w:hAnsi="Times New Roman" w:cs="Times New Roman"/>
          <w:sz w:val="24"/>
          <w:szCs w:val="24"/>
        </w:rPr>
        <w:t xml:space="preserve">onfession, originally a sacrament of reconciliation with the Church community, becomes a therapeutic act in which the spiritual father plays a central role, endowed with </w:t>
      </w:r>
      <w:r w:rsidRPr="002547AB">
        <w:rPr>
          <w:rFonts w:ascii="Times New Roman" w:hAnsi="Times New Roman" w:cs="Times New Roman"/>
          <w:sz w:val="24"/>
          <w:szCs w:val="24"/>
          <w:lang w:val="en-US"/>
        </w:rPr>
        <w:t xml:space="preserve">his </w:t>
      </w:r>
      <w:r w:rsidRPr="002547AB">
        <w:rPr>
          <w:rFonts w:ascii="Times New Roman" w:hAnsi="Times New Roman" w:cs="Times New Roman"/>
          <w:sz w:val="24"/>
          <w:szCs w:val="24"/>
        </w:rPr>
        <w:t>unique gifts of grace and ascetic-spiritual qualities</w:t>
      </w:r>
      <w:r w:rsidRPr="002547A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sidRPr="002547AB">
        <w:rPr>
          <w:rFonts w:ascii="Times New Roman" w:hAnsi="Times New Roman" w:cs="Times New Roman"/>
          <w:sz w:val="24"/>
          <w:szCs w:val="24"/>
          <w:lang w:val="en-US"/>
        </w:rPr>
        <w:t>i</w:t>
      </w:r>
      <w:proofErr w:type="spellEnd"/>
      <w:r w:rsidRPr="002547AB">
        <w:rPr>
          <w:rFonts w:ascii="Times New Roman" w:hAnsi="Times New Roman" w:cs="Times New Roman"/>
          <w:sz w:val="24"/>
          <w:szCs w:val="24"/>
        </w:rPr>
        <w:t>rrespective of his ecclesiastical rank</w:t>
      </w:r>
      <w:r w:rsidRPr="002547AB">
        <w:rPr>
          <w:rFonts w:ascii="Times New Roman" w:hAnsi="Times New Roman" w:cs="Times New Roman"/>
          <w:sz w:val="24"/>
          <w:szCs w:val="24"/>
          <w:lang w:val="en-US"/>
        </w:rPr>
        <w:t>.</w:t>
      </w:r>
      <w:r w:rsidRPr="002547AB">
        <w:rPr>
          <w:rFonts w:ascii="Times New Roman" w:hAnsi="Times New Roman" w:cs="Times New Roman"/>
          <w:sz w:val="24"/>
          <w:szCs w:val="24"/>
        </w:rPr>
        <w:t xml:space="preserve"> In Byzantium, in parallel with the sacramental confession administered by the clergy, there </w:t>
      </w:r>
      <w:r w:rsidRPr="002547AB">
        <w:rPr>
          <w:rFonts w:ascii="Times New Roman" w:hAnsi="Times New Roman" w:cs="Times New Roman"/>
          <w:sz w:val="24"/>
          <w:szCs w:val="24"/>
          <w:lang w:val="en-US"/>
        </w:rPr>
        <w:t xml:space="preserve">was also </w:t>
      </w:r>
      <w:r w:rsidRPr="002547AB">
        <w:rPr>
          <w:rFonts w:ascii="Times New Roman" w:hAnsi="Times New Roman" w:cs="Times New Roman"/>
          <w:sz w:val="24"/>
          <w:szCs w:val="24"/>
        </w:rPr>
        <w:t>a practice whereby non-ordained monks also conducted confession</w:t>
      </w:r>
      <w:r w:rsidRPr="002547AB">
        <w:rPr>
          <w:rFonts w:ascii="Times New Roman" w:hAnsi="Times New Roman" w:cs="Times New Roman"/>
          <w:sz w:val="24"/>
          <w:szCs w:val="24"/>
          <w:lang w:val="en-US"/>
        </w:rPr>
        <w:t>.</w:t>
      </w:r>
      <w:r w:rsidRPr="002547AB">
        <w:rPr>
          <w:rFonts w:ascii="Times New Roman" w:hAnsi="Times New Roman" w:cs="Times New Roman"/>
          <w:sz w:val="24"/>
          <w:szCs w:val="24"/>
        </w:rPr>
        <w:t xml:space="preserve"> Although the second type of confession did not have the status of a sacramental act, it was nevertheless regarded as a customary form of personal expression of </w:t>
      </w:r>
      <w:r w:rsidRPr="002547AB">
        <w:rPr>
          <w:rFonts w:ascii="Times New Roman" w:hAnsi="Times New Roman" w:cs="Times New Roman"/>
          <w:sz w:val="24"/>
          <w:szCs w:val="24"/>
          <w:lang w:val="en-US"/>
        </w:rPr>
        <w:t>penitence</w:t>
      </w:r>
      <w:r w:rsidRPr="002547AB">
        <w:rPr>
          <w:rFonts w:ascii="Times New Roman" w:hAnsi="Times New Roman" w:cs="Times New Roman"/>
          <w:sz w:val="24"/>
          <w:szCs w:val="24"/>
        </w:rPr>
        <w:t xml:space="preserve"> and of receiving forgiveness for sins. The synthesis realized between confession as a Holy Sacrament and spiritual guidance represents the outcome of a reciprocal affirmation and interpenetration of the charisms inherent in the ecclesiastical hierarchy and those manifested in the spiritual eldership</w:t>
      </w:r>
      <w:r w:rsidRPr="002547AB">
        <w:rPr>
          <w:rFonts w:ascii="Times New Roman" w:hAnsi="Times New Roman" w:cs="Times New Roman"/>
          <w:sz w:val="24"/>
          <w:szCs w:val="24"/>
          <w:lang w:val="en-US"/>
        </w:rPr>
        <w:t>.</w:t>
      </w:r>
    </w:p>
    <w:p w:rsidR="00A06C34" w:rsidRPr="00E54CF0" w:rsidRDefault="00E54CF0">
      <w:pPr>
        <w:rPr>
          <w:lang w:val="en-US"/>
        </w:rPr>
      </w:pPr>
    </w:p>
    <w:sectPr w:rsidR="00A06C34" w:rsidRPr="00E54CF0" w:rsidSect="00F528E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proofState w:spelling="clean" w:grammar="clean"/>
  <w:defaultTabStop w:val="720"/>
  <w:characterSpacingControl w:val="doNotCompress"/>
  <w:compat/>
  <w:rsids>
    <w:rsidRoot w:val="00E54CF0"/>
    <w:rsid w:val="0015469B"/>
    <w:rsid w:val="00E54CF0"/>
    <w:rsid w:val="00F528EC"/>
    <w:rsid w:val="00F91794"/>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CF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261</Words>
  <Characters>1488</Characters>
  <Application>Microsoft Office Word</Application>
  <DocSecurity>0</DocSecurity>
  <Lines>12</Lines>
  <Paragraphs>3</Paragraphs>
  <ScaleCrop>false</ScaleCrop>
  <Company/>
  <LinksUpToDate>false</LinksUpToDate>
  <CharactersWithSpaces>1746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Kire</dc:creator>
  <cp:lastModifiedBy>Kire</cp:lastModifiedBy>
  <cp:revision>1</cp:revision>
  <dcterms:created xsi:type="dcterms:W3CDTF">2026-07-11T16:08:00Z</dcterms:created>
  <dcterms:modified xsi:type="dcterms:W3CDTF">2026-07-11T16:08:00Z</dcterms:modified>
</cp:coreProperties>
</file>