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EE1B8" w14:textId="1531E652" w:rsidR="00DA0561" w:rsidRPr="00864726" w:rsidRDefault="00DA0561"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 xml:space="preserve">EXPERT BASED </w:t>
      </w:r>
      <w:r w:rsidR="00F35E7B" w:rsidRPr="00864726">
        <w:rPr>
          <w:rFonts w:ascii="Times New Roman" w:hAnsi="Times New Roman" w:cs="Times New Roman"/>
          <w:b/>
          <w:bCs/>
          <w:lang w:val="en-US"/>
        </w:rPr>
        <w:t xml:space="preserve">TAM–UTAUT–TOE </w:t>
      </w:r>
      <w:r w:rsidRPr="00864726">
        <w:rPr>
          <w:rFonts w:ascii="Times New Roman" w:hAnsi="Times New Roman" w:cs="Times New Roman"/>
          <w:b/>
          <w:bCs/>
          <w:lang w:val="en-US"/>
        </w:rPr>
        <w:t>FRAMEWORK FOR AI ADOPTION IN ACCOUNTING: A DELPHI STUDY WITH PRACTITIONERS</w:t>
      </w:r>
    </w:p>
    <w:p w14:paraId="69BA016D" w14:textId="77777777" w:rsidR="00350EA8" w:rsidRPr="00864726" w:rsidRDefault="00350EA8" w:rsidP="00864726">
      <w:pPr>
        <w:spacing w:after="0" w:line="240" w:lineRule="auto"/>
        <w:jc w:val="both"/>
        <w:rPr>
          <w:rFonts w:ascii="Times New Roman" w:hAnsi="Times New Roman" w:cs="Times New Roman"/>
          <w:sz w:val="24"/>
          <w:szCs w:val="24"/>
          <w:lang w:val="en-US"/>
        </w:rPr>
      </w:pPr>
    </w:p>
    <w:p w14:paraId="72AC2B29" w14:textId="77777777" w:rsidR="00AF21DB" w:rsidRPr="00864726" w:rsidRDefault="00AF21DB"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Todor Tocev</w:t>
      </w:r>
    </w:p>
    <w:p w14:paraId="5200B4F6" w14:textId="77777777" w:rsidR="00AF21DB" w:rsidRPr="00864726" w:rsidRDefault="00AF21DB" w:rsidP="00864726">
      <w:pPr>
        <w:spacing w:after="0" w:line="240" w:lineRule="auto"/>
        <w:jc w:val="center"/>
        <w:rPr>
          <w:rFonts w:ascii="Times New Roman" w:hAnsi="Times New Roman" w:cs="Times New Roman"/>
          <w:lang w:val="en-US"/>
        </w:rPr>
      </w:pPr>
      <w:r w:rsidRPr="00864726">
        <w:rPr>
          <w:rFonts w:ascii="Times New Roman" w:hAnsi="Times New Roman" w:cs="Times New Roman"/>
          <w:lang w:val="en-US"/>
        </w:rPr>
        <w:t>Ss. Cyril and Methodius University in Skopje, Faculty of Economics-Skopje todor.tocev@eccf.ukim.edu.mk</w:t>
      </w:r>
    </w:p>
    <w:p w14:paraId="002B2A7F" w14:textId="77777777" w:rsidR="00AF21DB" w:rsidRPr="00864726" w:rsidRDefault="00AF21DB" w:rsidP="00864726">
      <w:pPr>
        <w:spacing w:after="0" w:line="240" w:lineRule="auto"/>
        <w:jc w:val="both"/>
        <w:rPr>
          <w:rFonts w:ascii="Times New Roman" w:hAnsi="Times New Roman" w:cs="Times New Roman"/>
          <w:lang w:val="en-US"/>
        </w:rPr>
      </w:pPr>
    </w:p>
    <w:p w14:paraId="1309F78C" w14:textId="77777777" w:rsidR="00AF21DB" w:rsidRPr="00864726" w:rsidRDefault="00AF21DB"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Atanasko Atanasovski</w:t>
      </w:r>
    </w:p>
    <w:p w14:paraId="006A6C30" w14:textId="77777777" w:rsidR="00AF21DB" w:rsidRPr="00864726" w:rsidRDefault="00AF21DB" w:rsidP="00864726">
      <w:pPr>
        <w:spacing w:after="0" w:line="240" w:lineRule="auto"/>
        <w:jc w:val="center"/>
        <w:rPr>
          <w:rFonts w:ascii="Times New Roman" w:hAnsi="Times New Roman" w:cs="Times New Roman"/>
          <w:lang w:val="en-US"/>
        </w:rPr>
      </w:pPr>
      <w:r w:rsidRPr="00864726">
        <w:rPr>
          <w:rFonts w:ascii="Times New Roman" w:hAnsi="Times New Roman" w:cs="Times New Roman"/>
          <w:lang w:val="en-US"/>
        </w:rPr>
        <w:t>Ss. Cyril and Methodius University in Skopje, Faculty of Economics-Skopje atanasko@eccf.ukim.edu.mk</w:t>
      </w:r>
    </w:p>
    <w:p w14:paraId="0DC5235F" w14:textId="77777777" w:rsidR="00AF21DB" w:rsidRPr="00864726" w:rsidRDefault="00AF21DB" w:rsidP="00864726">
      <w:pPr>
        <w:spacing w:after="0" w:line="240" w:lineRule="auto"/>
        <w:jc w:val="both"/>
        <w:rPr>
          <w:rFonts w:ascii="Times New Roman" w:hAnsi="Times New Roman" w:cs="Times New Roman"/>
          <w:lang w:val="en-US"/>
        </w:rPr>
      </w:pPr>
    </w:p>
    <w:p w14:paraId="5EEAA672" w14:textId="77777777" w:rsidR="00AF21DB" w:rsidRPr="00864726" w:rsidRDefault="00AF21DB"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Ivan Dionisijev</w:t>
      </w:r>
    </w:p>
    <w:p w14:paraId="6B003E05" w14:textId="77777777" w:rsidR="00AF21DB" w:rsidRPr="00864726" w:rsidRDefault="00AF21DB" w:rsidP="00864726">
      <w:pPr>
        <w:spacing w:after="0" w:line="240" w:lineRule="auto"/>
        <w:jc w:val="center"/>
        <w:rPr>
          <w:rFonts w:ascii="Times New Roman" w:hAnsi="Times New Roman" w:cs="Times New Roman"/>
          <w:lang w:val="en-US"/>
        </w:rPr>
      </w:pPr>
      <w:r w:rsidRPr="00864726">
        <w:rPr>
          <w:rFonts w:ascii="Times New Roman" w:hAnsi="Times New Roman" w:cs="Times New Roman"/>
          <w:lang w:val="en-US"/>
        </w:rPr>
        <w:t>Ss. Cyril and Methodius University in Skopje, Faculty of Economics-Skopje ivan.d@eccf.ukim.edu.mk</w:t>
      </w:r>
    </w:p>
    <w:p w14:paraId="03582EF2" w14:textId="77777777" w:rsidR="00AF21DB" w:rsidRPr="00864726" w:rsidRDefault="00AF21DB" w:rsidP="00864726">
      <w:pPr>
        <w:spacing w:after="0" w:line="240" w:lineRule="auto"/>
        <w:jc w:val="center"/>
        <w:rPr>
          <w:rFonts w:ascii="Times New Roman" w:hAnsi="Times New Roman" w:cs="Times New Roman"/>
          <w:b/>
          <w:bCs/>
          <w:lang w:val="en-US"/>
        </w:rPr>
      </w:pPr>
    </w:p>
    <w:p w14:paraId="690DA765" w14:textId="77777777" w:rsidR="00AF21DB" w:rsidRPr="00864726" w:rsidRDefault="00AF21DB"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Bojan Malchev</w:t>
      </w:r>
    </w:p>
    <w:p w14:paraId="4BDBB158" w14:textId="77777777" w:rsidR="00AF21DB" w:rsidRPr="00864726" w:rsidRDefault="00AF21DB" w:rsidP="00864726">
      <w:pPr>
        <w:spacing w:after="0" w:line="240" w:lineRule="auto"/>
        <w:jc w:val="center"/>
        <w:rPr>
          <w:rFonts w:ascii="Times New Roman" w:hAnsi="Times New Roman" w:cs="Times New Roman"/>
          <w:lang w:val="en-US"/>
        </w:rPr>
      </w:pPr>
      <w:r w:rsidRPr="00864726">
        <w:rPr>
          <w:rFonts w:ascii="Times New Roman" w:hAnsi="Times New Roman" w:cs="Times New Roman"/>
          <w:lang w:val="en-US"/>
        </w:rPr>
        <w:t>Ss. Cyril and Methodius University in Skopje, Faculty of Economics-Skopje bojan.malcev@eccf.ukim.edu.mk</w:t>
      </w:r>
    </w:p>
    <w:p w14:paraId="0163F49F" w14:textId="77777777" w:rsidR="00AF21DB" w:rsidRPr="00864726" w:rsidRDefault="00AF21DB" w:rsidP="00864726">
      <w:pPr>
        <w:spacing w:after="0" w:line="240" w:lineRule="auto"/>
        <w:jc w:val="both"/>
        <w:rPr>
          <w:rFonts w:ascii="Times New Roman" w:hAnsi="Times New Roman" w:cs="Times New Roman"/>
          <w:sz w:val="24"/>
          <w:szCs w:val="24"/>
          <w:lang w:val="en-US"/>
        </w:rPr>
      </w:pPr>
    </w:p>
    <w:p w14:paraId="51908C4D" w14:textId="77777777" w:rsidR="000C76EE" w:rsidRPr="00864726" w:rsidRDefault="000C76EE" w:rsidP="00864726">
      <w:pPr>
        <w:spacing w:after="0" w:line="240" w:lineRule="auto"/>
        <w:jc w:val="both"/>
        <w:rPr>
          <w:rFonts w:ascii="Times New Roman" w:hAnsi="Times New Roman" w:cs="Times New Roman"/>
          <w:sz w:val="24"/>
          <w:szCs w:val="24"/>
          <w:lang w:val="en-US"/>
        </w:rPr>
      </w:pPr>
    </w:p>
    <w:p w14:paraId="74F9C416" w14:textId="77777777" w:rsidR="00AF21DB" w:rsidRPr="00864726" w:rsidRDefault="00AF21DB" w:rsidP="00864726">
      <w:pPr>
        <w:spacing w:after="0" w:line="240" w:lineRule="auto"/>
        <w:jc w:val="both"/>
        <w:rPr>
          <w:rFonts w:ascii="Times New Roman" w:hAnsi="Times New Roman" w:cs="Times New Roman"/>
          <w:b/>
          <w:bCs/>
          <w:lang w:val="en-US"/>
        </w:rPr>
      </w:pPr>
      <w:r w:rsidRPr="00864726">
        <w:rPr>
          <w:rFonts w:ascii="Times New Roman" w:hAnsi="Times New Roman" w:cs="Times New Roman"/>
          <w:b/>
          <w:bCs/>
          <w:lang w:val="en-US"/>
        </w:rPr>
        <w:t>ABSTRACT</w:t>
      </w:r>
    </w:p>
    <w:p w14:paraId="3868A007" w14:textId="0541C7BD" w:rsidR="00857AEF" w:rsidRPr="00864726" w:rsidRDefault="007F6F34" w:rsidP="00864726">
      <w:pPr>
        <w:spacing w:after="0" w:line="240" w:lineRule="auto"/>
        <w:jc w:val="both"/>
        <w:rPr>
          <w:rFonts w:ascii="Times New Roman" w:hAnsi="Times New Roman" w:cs="Times New Roman"/>
          <w:lang w:val="en-US"/>
        </w:rPr>
      </w:pPr>
      <w:r w:rsidRPr="00864726">
        <w:rPr>
          <w:rFonts w:ascii="Times New Roman" w:hAnsi="Times New Roman" w:cs="Times New Roman"/>
          <w:lang w:val="en-US"/>
        </w:rPr>
        <w:t>Artificial intelligence (AI) is increasingly embedded in accounting information systems, audit tools and reporting processes, yet its adoption in professional accounting practice remains uneven and context dependent. This study develops an expert-based framework for AI adoption in accounting by integrating the Technology Acceptance Model (TAM), the Unified Theory of Acceptance and Use of Technology (UTAUT) and the Technology–Organisation–Environment (TOE) framework. A two-round Delphi study was conducted with ten experts from Big Four firms, international audit and advisory networks, and an accounting/ERP software company. In the first round, semi-structured interviews were used to validate and refine an initial twelve-factor literature-based framework. In the second round, experts rated the refined factors and items using a five-point Likert scale, while consensus was assessed using median values, interquartile ranges, the percentage of ratings equal to or above four, and the within-group agreement index. The first round expanded the framework into 15 factors, while the second round showed that 13 factors achieved expert consensus. The retained framework confirms the relevance of perceived usefulness, perceived ease of use and attitude towards AI, while also highlighting organisational support, compatibility, trust, data quality, perceived risk, ethics, privacy and accountability as important adoption conditions.</w:t>
      </w:r>
    </w:p>
    <w:p w14:paraId="4DD6AC91" w14:textId="77777777" w:rsidR="007F6F34" w:rsidRPr="00864726" w:rsidRDefault="007F6F34" w:rsidP="00864726">
      <w:pPr>
        <w:spacing w:after="0" w:line="240" w:lineRule="auto"/>
        <w:jc w:val="both"/>
        <w:rPr>
          <w:rFonts w:ascii="Times New Roman" w:hAnsi="Times New Roman" w:cs="Times New Roman"/>
          <w:b/>
          <w:bCs/>
          <w:lang w:val="en-US"/>
        </w:rPr>
      </w:pPr>
    </w:p>
    <w:p w14:paraId="391C97E2" w14:textId="4B8C4E4E" w:rsidR="00AF21DB" w:rsidRPr="00864726" w:rsidRDefault="00AF21DB" w:rsidP="00864726">
      <w:pPr>
        <w:spacing w:after="0" w:line="240" w:lineRule="auto"/>
        <w:jc w:val="both"/>
        <w:rPr>
          <w:rFonts w:ascii="Times New Roman" w:hAnsi="Times New Roman" w:cs="Times New Roman"/>
          <w:b/>
          <w:bCs/>
          <w:lang w:val="en-US"/>
        </w:rPr>
      </w:pPr>
      <w:r w:rsidRPr="00864726">
        <w:rPr>
          <w:rFonts w:ascii="Times New Roman" w:hAnsi="Times New Roman" w:cs="Times New Roman"/>
          <w:b/>
          <w:bCs/>
          <w:lang w:val="en-US"/>
        </w:rPr>
        <w:t xml:space="preserve">Keywords: </w:t>
      </w:r>
      <w:r w:rsidRPr="00864726">
        <w:rPr>
          <w:rFonts w:ascii="Times New Roman" w:hAnsi="Times New Roman" w:cs="Times New Roman"/>
          <w:lang w:val="en-US"/>
        </w:rPr>
        <w:t xml:space="preserve">Artificial intelligence, Accounting, </w:t>
      </w:r>
      <w:r w:rsidR="00243193" w:rsidRPr="00864726">
        <w:rPr>
          <w:rFonts w:ascii="Times New Roman" w:hAnsi="Times New Roman" w:cs="Times New Roman"/>
          <w:lang w:val="en-US"/>
        </w:rPr>
        <w:t xml:space="preserve">Technology adoption, </w:t>
      </w:r>
      <w:r w:rsidRPr="00864726">
        <w:rPr>
          <w:rFonts w:ascii="Times New Roman" w:hAnsi="Times New Roman" w:cs="Times New Roman"/>
          <w:lang w:val="en-US"/>
        </w:rPr>
        <w:t xml:space="preserve">Delphi method </w:t>
      </w:r>
    </w:p>
    <w:p w14:paraId="18FB9258" w14:textId="77777777" w:rsidR="00AF21DB" w:rsidRPr="00864726" w:rsidRDefault="00AF21DB" w:rsidP="00864726">
      <w:pPr>
        <w:spacing w:after="0" w:line="240" w:lineRule="auto"/>
        <w:jc w:val="both"/>
        <w:rPr>
          <w:rFonts w:ascii="Times New Roman" w:hAnsi="Times New Roman" w:cs="Times New Roman"/>
          <w:b/>
          <w:bCs/>
          <w:lang w:val="en-US"/>
        </w:rPr>
      </w:pPr>
    </w:p>
    <w:p w14:paraId="51BCB116" w14:textId="77777777" w:rsidR="00891D6F" w:rsidRDefault="00891D6F" w:rsidP="00891D6F">
      <w:pPr>
        <w:spacing w:after="0" w:line="240" w:lineRule="auto"/>
        <w:jc w:val="both"/>
        <w:rPr>
          <w:rFonts w:ascii="Times New Roman" w:hAnsi="Times New Roman" w:cs="Times New Roman"/>
          <w:b/>
          <w:bCs/>
          <w:lang w:val="en-US"/>
        </w:rPr>
      </w:pPr>
    </w:p>
    <w:p w14:paraId="0D11D5A0" w14:textId="421BD553" w:rsidR="00891D6F" w:rsidRPr="00891D6F" w:rsidRDefault="00891D6F" w:rsidP="00891D6F">
      <w:pPr>
        <w:spacing w:after="0" w:line="240" w:lineRule="auto"/>
        <w:jc w:val="center"/>
        <w:rPr>
          <w:rFonts w:ascii="Times New Roman" w:hAnsi="Times New Roman" w:cs="Times New Roman"/>
          <w:lang w:val="en-US"/>
        </w:rPr>
      </w:pPr>
      <w:r w:rsidRPr="00891D6F">
        <w:rPr>
          <w:rFonts w:ascii="Times New Roman" w:hAnsi="Times New Roman" w:cs="Times New Roman"/>
          <w:b/>
          <w:bCs/>
          <w:lang w:val="en-US"/>
        </w:rPr>
        <w:t>EKSPERTSKI ZASNOVAN TAM–UTAUT–TOE OKVIR ZA PRIHVATANJE VI U RAČUNOVODSTVU: DELFI STUDIJA SA PRAKTIČARIMA</w:t>
      </w:r>
    </w:p>
    <w:p w14:paraId="63F2275C" w14:textId="77777777" w:rsidR="002F1F59" w:rsidRDefault="002F1F59" w:rsidP="00864726">
      <w:pPr>
        <w:spacing w:after="0" w:line="240" w:lineRule="auto"/>
        <w:jc w:val="both"/>
        <w:rPr>
          <w:rFonts w:ascii="Times New Roman" w:hAnsi="Times New Roman" w:cs="Times New Roman"/>
          <w:lang w:val="en-US"/>
        </w:rPr>
      </w:pPr>
    </w:p>
    <w:p w14:paraId="7925597F" w14:textId="3A7B27D6" w:rsidR="00891D6F" w:rsidRPr="00891D6F" w:rsidRDefault="00891D6F" w:rsidP="00864726">
      <w:pPr>
        <w:spacing w:after="0" w:line="240" w:lineRule="auto"/>
        <w:jc w:val="both"/>
        <w:rPr>
          <w:rFonts w:ascii="Times New Roman" w:hAnsi="Times New Roman" w:cs="Times New Roman"/>
          <w:b/>
          <w:bCs/>
          <w:lang w:val="en-US"/>
        </w:rPr>
      </w:pPr>
      <w:r w:rsidRPr="00891D6F">
        <w:rPr>
          <w:rFonts w:ascii="Times New Roman" w:hAnsi="Times New Roman" w:cs="Times New Roman"/>
          <w:b/>
          <w:bCs/>
        </w:rPr>
        <w:t>APSTRAKT</w:t>
      </w:r>
    </w:p>
    <w:p w14:paraId="5FEAAF2B" w14:textId="066598AD" w:rsidR="00891D6F" w:rsidRPr="00891D6F" w:rsidRDefault="00891D6F" w:rsidP="00864726">
      <w:pPr>
        <w:spacing w:after="0" w:line="240" w:lineRule="auto"/>
        <w:jc w:val="both"/>
        <w:rPr>
          <w:rFonts w:ascii="Times New Roman" w:hAnsi="Times New Roman" w:cs="Times New Roman"/>
          <w:lang w:val="en-US"/>
        </w:rPr>
      </w:pPr>
      <w:r w:rsidRPr="00891D6F">
        <w:rPr>
          <w:rFonts w:ascii="Times New Roman" w:hAnsi="Times New Roman" w:cs="Times New Roman"/>
        </w:rPr>
        <w:t>Veštačka inteligencija (VI) sve je više ugrađena u računovodstvene informacione sisteme, revizorske alate i procese izveštavanja, ali njeno prihvatanje u profesionalnoj računovodstvenoj praksi i dalje je neujednačeno i zavisi od konteksta. Ova studija razvija ekspertski zasnovan okvir za prihvatanje VI u računovodstvu integrisanjem Modela prihvatanja tehnologije (TAM), Ujedinjene teorije prihvatanja i korišćenja tehnologije (UTAUT) i okvira Tehnologija–Organizacija–Okruženje (TOE). Sprovedena je Delfi studija u dve runde sa deset eksperata iz Big Four kompanija, međunarodnih revizorskih i savetodavnih mreža, kao i kompanije specijalizovane za računovodstveni/ERP softver. U prvoj rundi korišćeni su polustrukturisani intervjui radi validacije i unapređenja početnog okvira zasnovanog na literaturi, koji je obuhvatao dvanaest faktora. U drugoj rundi eksperti su ocenjivali unapređene faktore i stavke pomoću petostepene Likertove skale, dok je konsenzus procenjivan na osnovu medijane, interkvartilnog raspona, procenta ocena jednakih ili većih od četiri i indeksa saglasnosti unutar grupe. Prva runda proširila je okvir na 15 faktora, dok je druga runda pokazala da je za 13 faktora postignut ekspertski konsenzus. Zadržani okvir potvrđuje značaj percipirane korisnosti, percipirane lakoće korišćenja i stava prema VI, uz istovremeno naglašavanje organizacione podrške, kompatibilnosti, poverenja, kvaliteta podataka, percipiranog rizika, etike, privatnosti i odgovornosti kao važnih uslova za prihvatanje.</w:t>
      </w:r>
    </w:p>
    <w:p w14:paraId="4D7C1538" w14:textId="77777777" w:rsidR="00891D6F" w:rsidRPr="005C3693" w:rsidRDefault="00891D6F" w:rsidP="00864726">
      <w:pPr>
        <w:spacing w:after="0" w:line="240" w:lineRule="auto"/>
        <w:jc w:val="both"/>
        <w:rPr>
          <w:rFonts w:ascii="Times New Roman" w:hAnsi="Times New Roman" w:cs="Times New Roman"/>
          <w:lang w:val="sr-Latn-RS"/>
        </w:rPr>
      </w:pPr>
    </w:p>
    <w:p w14:paraId="1423FC33" w14:textId="77777777" w:rsidR="005C3693" w:rsidRPr="005C3693" w:rsidRDefault="005C3693" w:rsidP="005C3693">
      <w:pPr>
        <w:spacing w:after="0" w:line="240" w:lineRule="auto"/>
        <w:jc w:val="both"/>
        <w:rPr>
          <w:rFonts w:ascii="Times New Roman" w:hAnsi="Times New Roman" w:cs="Times New Roman"/>
          <w:lang w:val="sr-Latn-RS"/>
        </w:rPr>
      </w:pPr>
      <w:r w:rsidRPr="005C3693">
        <w:rPr>
          <w:rFonts w:ascii="Times New Roman" w:hAnsi="Times New Roman" w:cs="Times New Roman"/>
          <w:b/>
          <w:bCs/>
          <w:lang w:val="sr-Latn-RS"/>
        </w:rPr>
        <w:t>Ključne reči:</w:t>
      </w:r>
      <w:r w:rsidRPr="005C3693">
        <w:rPr>
          <w:rFonts w:ascii="Times New Roman" w:hAnsi="Times New Roman" w:cs="Times New Roman"/>
          <w:lang w:val="sr-Latn-RS"/>
        </w:rPr>
        <w:t xml:space="preserve"> Veštačka inteligencija, računovodstvo, prihvatanje tehnologije, Delfi metoda</w:t>
      </w:r>
    </w:p>
    <w:p w14:paraId="4A6E45DD" w14:textId="77777777" w:rsidR="00891D6F" w:rsidRDefault="00891D6F" w:rsidP="00864726">
      <w:pPr>
        <w:spacing w:after="0" w:line="240" w:lineRule="auto"/>
        <w:jc w:val="both"/>
        <w:rPr>
          <w:rFonts w:ascii="Times New Roman" w:hAnsi="Times New Roman" w:cs="Times New Roman"/>
          <w:lang w:val="en-US"/>
        </w:rPr>
      </w:pPr>
    </w:p>
    <w:p w14:paraId="3BF835E0" w14:textId="77777777" w:rsidR="00891D6F" w:rsidRPr="00864726" w:rsidRDefault="00891D6F" w:rsidP="00864726">
      <w:pPr>
        <w:spacing w:after="0" w:line="240" w:lineRule="auto"/>
        <w:jc w:val="both"/>
        <w:rPr>
          <w:rFonts w:ascii="Times New Roman" w:hAnsi="Times New Roman" w:cs="Times New Roman"/>
          <w:lang w:val="en-US"/>
        </w:rPr>
      </w:pPr>
    </w:p>
    <w:p w14:paraId="449EE6F2" w14:textId="77777777" w:rsidR="002F1F59" w:rsidRPr="00864726" w:rsidRDefault="002F1F59" w:rsidP="00864726">
      <w:pPr>
        <w:spacing w:after="0" w:line="240" w:lineRule="auto"/>
        <w:jc w:val="both"/>
        <w:rPr>
          <w:rFonts w:ascii="Times New Roman" w:hAnsi="Times New Roman" w:cs="Times New Roman"/>
          <w:lang w:val="en-US"/>
        </w:rPr>
      </w:pPr>
    </w:p>
    <w:p w14:paraId="77C401BB" w14:textId="79C2D93D" w:rsidR="002F1F59" w:rsidRPr="00864726" w:rsidRDefault="00CC18C2"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Introduction</w:t>
      </w:r>
    </w:p>
    <w:p w14:paraId="779F8DA9" w14:textId="5479F9F9" w:rsidR="002D7E19"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Artificial intelligence (AI) </w:t>
      </w:r>
      <w:r w:rsidR="000B02BF" w:rsidRPr="00864726">
        <w:rPr>
          <w:rFonts w:ascii="Times New Roman" w:hAnsi="Times New Roman" w:cs="Times New Roman"/>
          <w:lang w:val="en-US"/>
        </w:rPr>
        <w:t>changes</w:t>
      </w:r>
      <w:r w:rsidRPr="00864726">
        <w:rPr>
          <w:rFonts w:ascii="Times New Roman" w:hAnsi="Times New Roman" w:cs="Times New Roman"/>
          <w:lang w:val="en-US"/>
        </w:rPr>
        <w:t xml:space="preserve"> the way accounting information is produced, processed, verified and used for decision-making. In contemporary practice, AI tools are increasingly embedded in accounting information systems (AIS), enterprise resource planning (ERP) platforms, audit software, reporting workflows and data analytics environments. Their potential is visible in transaction processing, document recognition, automated classification, anomaly detection, forecasting, </w:t>
      </w:r>
      <w:r w:rsidRPr="00864726">
        <w:rPr>
          <w:rFonts w:ascii="Times New Roman" w:hAnsi="Times New Roman" w:cs="Times New Roman"/>
          <w:lang w:val="en-US"/>
        </w:rPr>
        <w:lastRenderedPageBreak/>
        <w:t>continuous monitoring and decision support (Wang</w:t>
      </w:r>
      <w:r w:rsidR="00864726" w:rsidRPr="00864726">
        <w:rPr>
          <w:rFonts w:ascii="Times New Roman" w:hAnsi="Times New Roman" w:cs="Times New Roman"/>
          <w:lang w:val="en-US"/>
        </w:rPr>
        <w:t xml:space="preserve"> et al.</w:t>
      </w:r>
      <w:r w:rsidRPr="00864726">
        <w:rPr>
          <w:rFonts w:ascii="Times New Roman" w:hAnsi="Times New Roman" w:cs="Times New Roman"/>
          <w:lang w:val="en-US"/>
        </w:rPr>
        <w:t xml:space="preserve">, 2025). </w:t>
      </w:r>
      <w:r w:rsidR="000B02BF" w:rsidRPr="00864726">
        <w:rPr>
          <w:rFonts w:ascii="Times New Roman" w:hAnsi="Times New Roman" w:cs="Times New Roman"/>
          <w:lang w:val="en-US"/>
        </w:rPr>
        <w:t>AI based</w:t>
      </w:r>
      <w:r w:rsidRPr="00864726">
        <w:rPr>
          <w:rFonts w:ascii="Times New Roman" w:hAnsi="Times New Roman" w:cs="Times New Roman"/>
          <w:lang w:val="en-US"/>
        </w:rPr>
        <w:t xml:space="preserve"> applications accelerate existing </w:t>
      </w:r>
      <w:r w:rsidR="000B02BF" w:rsidRPr="00864726">
        <w:rPr>
          <w:rFonts w:ascii="Times New Roman" w:hAnsi="Times New Roman" w:cs="Times New Roman"/>
          <w:lang w:val="en-US"/>
        </w:rPr>
        <w:t>routines and thus</w:t>
      </w:r>
      <w:r w:rsidRPr="00864726">
        <w:rPr>
          <w:rFonts w:ascii="Times New Roman" w:hAnsi="Times New Roman" w:cs="Times New Roman"/>
          <w:lang w:val="en-US"/>
        </w:rPr>
        <w:t xml:space="preserve"> affect the role of accountants by shifting attention from repetitive recording and checking activities towards analysis, interpretation, control and advisory judgement (</w:t>
      </w:r>
      <w:proofErr w:type="spellStart"/>
      <w:r w:rsidRPr="00864726">
        <w:rPr>
          <w:rFonts w:ascii="Times New Roman" w:hAnsi="Times New Roman" w:cs="Times New Roman"/>
          <w:lang w:val="en-US"/>
        </w:rPr>
        <w:t>Vărzaru</w:t>
      </w:r>
      <w:proofErr w:type="spellEnd"/>
      <w:r w:rsidRPr="00864726">
        <w:rPr>
          <w:rFonts w:ascii="Times New Roman" w:hAnsi="Times New Roman" w:cs="Times New Roman"/>
          <w:lang w:val="en-US"/>
        </w:rPr>
        <w:t>, 2022; Hossain et al., 2024; Bin-Nashwan et al., 2025).</w:t>
      </w:r>
    </w:p>
    <w:p w14:paraId="17022239" w14:textId="77777777" w:rsidR="000B02BF" w:rsidRPr="00864726" w:rsidRDefault="002D7E19" w:rsidP="00864726">
      <w:pPr>
        <w:spacing w:after="0" w:line="240" w:lineRule="auto"/>
        <w:ind w:firstLine="720"/>
        <w:jc w:val="both"/>
        <w:rPr>
          <w:lang w:val="en-US"/>
        </w:rPr>
      </w:pPr>
      <w:r w:rsidRPr="00864726">
        <w:rPr>
          <w:rFonts w:ascii="Times New Roman" w:hAnsi="Times New Roman" w:cs="Times New Roman"/>
          <w:lang w:val="en-US"/>
        </w:rPr>
        <w:t xml:space="preserve">Despite this potential, the practical adoption of AI in accounting is neither automatic nor uniform. Even when AI tools are technically available, their effective use depends on whether accountants perceive them as useful, understandable, reliable, compatible with existing systems and sufficiently supported by the organisation (Ho, 2024). This issue is particularly relevant in accounting because the outputs of accounting systems affect financial reporting, tax compliance, audit evidence, internal control and management decision-making. </w:t>
      </w:r>
      <w:r w:rsidR="000B02BF" w:rsidRPr="00864726">
        <w:rPr>
          <w:rFonts w:ascii="Times New Roman" w:hAnsi="Times New Roman" w:cs="Times New Roman"/>
          <w:lang w:val="en-US"/>
        </w:rPr>
        <w:t>Therefore, AI adoption should be understood as a process shaped by technological availability, professional trust, data quality, organisational readiness, ethical responsibility and the capacity to embed AI into regulated and control-sensitive accounting processes (Bin-Nashwan et al., 2025).</w:t>
      </w:r>
    </w:p>
    <w:p w14:paraId="13B21078" w14:textId="4D58EB2A" w:rsidR="002D7E19" w:rsidRPr="00864726" w:rsidRDefault="000B02B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One of the most common approaches for </w:t>
      </w:r>
      <w:proofErr w:type="gramStart"/>
      <w:r w:rsidRPr="00864726">
        <w:rPr>
          <w:rFonts w:ascii="Times New Roman" w:hAnsi="Times New Roman" w:cs="Times New Roman"/>
          <w:lang w:val="en-US"/>
        </w:rPr>
        <w:t>explaining technology</w:t>
      </w:r>
      <w:proofErr w:type="gramEnd"/>
      <w:r w:rsidRPr="00864726">
        <w:rPr>
          <w:rFonts w:ascii="Times New Roman" w:hAnsi="Times New Roman" w:cs="Times New Roman"/>
          <w:lang w:val="en-US"/>
        </w:rPr>
        <w:t xml:space="preserve"> adoption is the Technology Acceptance Model (TAM), which identifies perceived usefulness (PU) and perceived ease of use (PEOU) as key determinants of users’ attitudes and behavioural intention to use technology (Davis, 1989). </w:t>
      </w:r>
      <w:r w:rsidR="002D7E19" w:rsidRPr="00864726">
        <w:rPr>
          <w:rFonts w:ascii="Times New Roman" w:hAnsi="Times New Roman" w:cs="Times New Roman"/>
          <w:lang w:val="en-US"/>
        </w:rPr>
        <w:t xml:space="preserve">However, AI adoption in accounting requires a broader explanatory </w:t>
      </w:r>
      <w:r w:rsidRPr="00864726">
        <w:rPr>
          <w:rFonts w:ascii="Times New Roman" w:hAnsi="Times New Roman" w:cs="Times New Roman"/>
          <w:lang w:val="en-US"/>
        </w:rPr>
        <w:t xml:space="preserve">perspective </w:t>
      </w:r>
      <w:r w:rsidR="002D7E19" w:rsidRPr="00864726">
        <w:rPr>
          <w:rFonts w:ascii="Times New Roman" w:hAnsi="Times New Roman" w:cs="Times New Roman"/>
          <w:lang w:val="en-US"/>
        </w:rPr>
        <w:t>because accounting systems are embedded in organisational routines, ERP/</w:t>
      </w:r>
      <w:proofErr w:type="gramStart"/>
      <w:r w:rsidR="002D7E19" w:rsidRPr="00864726">
        <w:rPr>
          <w:rFonts w:ascii="Times New Roman" w:hAnsi="Times New Roman" w:cs="Times New Roman"/>
          <w:lang w:val="en-US"/>
        </w:rPr>
        <w:t>AIS</w:t>
      </w:r>
      <w:proofErr w:type="gramEnd"/>
      <w:r w:rsidR="002D7E19" w:rsidRPr="00864726">
        <w:rPr>
          <w:rFonts w:ascii="Times New Roman" w:hAnsi="Times New Roman" w:cs="Times New Roman"/>
          <w:lang w:val="en-US"/>
        </w:rPr>
        <w:t xml:space="preserve"> </w:t>
      </w:r>
      <w:proofErr w:type="gramStart"/>
      <w:r w:rsidR="002D7E19" w:rsidRPr="00864726">
        <w:rPr>
          <w:rFonts w:ascii="Times New Roman" w:hAnsi="Times New Roman" w:cs="Times New Roman"/>
          <w:lang w:val="en-US"/>
        </w:rPr>
        <w:t>architectures</w:t>
      </w:r>
      <w:proofErr w:type="gramEnd"/>
      <w:r w:rsidR="002D7E19" w:rsidRPr="00864726">
        <w:rPr>
          <w:rFonts w:ascii="Times New Roman" w:hAnsi="Times New Roman" w:cs="Times New Roman"/>
          <w:lang w:val="en-US"/>
        </w:rPr>
        <w:t>, professional standards, regulatory requirements and data governance structures. For this reason, individual acceptance factors need to be complemented with social, organisational, technological and environmental conditions.</w:t>
      </w:r>
    </w:p>
    <w:p w14:paraId="312E84B1" w14:textId="62DA12C2" w:rsidR="002D7E19"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This study therefore builds on an integrated theoretical approach combining TAM, the Unified Theory of Acceptance and Use of Technology (UTAUT) and the Technology–Organisation–Environment (TOE) framework. TAM provides the individual acceptance core, UTAUT contributes factors related to social influence and facilitating conditions</w:t>
      </w:r>
      <w:r w:rsidR="00EA0CF7" w:rsidRPr="00864726">
        <w:rPr>
          <w:rFonts w:ascii="Times New Roman" w:hAnsi="Times New Roman" w:cs="Times New Roman"/>
          <w:lang w:val="en-US"/>
        </w:rPr>
        <w:t xml:space="preserve"> (Venkatesh et al., 2003)</w:t>
      </w:r>
      <w:r w:rsidRPr="00864726">
        <w:rPr>
          <w:rFonts w:ascii="Times New Roman" w:hAnsi="Times New Roman" w:cs="Times New Roman"/>
          <w:lang w:val="en-US"/>
        </w:rPr>
        <w:t>, while TOE locates adoption within the technological, organisational and external environment (</w:t>
      </w:r>
      <w:proofErr w:type="spellStart"/>
      <w:r w:rsidRPr="00864726">
        <w:rPr>
          <w:rFonts w:ascii="Times New Roman" w:hAnsi="Times New Roman" w:cs="Times New Roman"/>
          <w:lang w:val="en-US"/>
        </w:rPr>
        <w:t>Tornatzky</w:t>
      </w:r>
      <w:proofErr w:type="spellEnd"/>
      <w:r w:rsidRPr="00864726">
        <w:rPr>
          <w:rFonts w:ascii="Times New Roman" w:hAnsi="Times New Roman" w:cs="Times New Roman"/>
          <w:lang w:val="en-US"/>
        </w:rPr>
        <w:t xml:space="preserve"> &amp; Fleischer, 1990). </w:t>
      </w:r>
      <w:r w:rsidR="00EA0CF7" w:rsidRPr="00864726">
        <w:rPr>
          <w:rFonts w:ascii="Times New Roman" w:hAnsi="Times New Roman" w:cs="Times New Roman"/>
          <w:lang w:val="en-US"/>
        </w:rPr>
        <w:t>AI adoption in accounting is therefore approached as a process that combines individual acceptance of technology with wider organisational changes in workflows, responsibilities, competencies, controls and professional judgement.</w:t>
      </w:r>
    </w:p>
    <w:p w14:paraId="60A53D83" w14:textId="5D2BA21F" w:rsidR="002D7E19"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Although empirical research on AI and digital technology adoption in accounting is growing, important theoretical and methodological gaps remain. Many studies test predefined models through cross-sectional surveys and often focus on students, academics, small businesses or general users of digital tools (Al-</w:t>
      </w:r>
      <w:proofErr w:type="spellStart"/>
      <w:r w:rsidRPr="00864726">
        <w:rPr>
          <w:rFonts w:ascii="Times New Roman" w:hAnsi="Times New Roman" w:cs="Times New Roman"/>
          <w:lang w:val="en-US"/>
        </w:rPr>
        <w:t>Okaily</w:t>
      </w:r>
      <w:proofErr w:type="spellEnd"/>
      <w:r w:rsidRPr="00864726">
        <w:rPr>
          <w:rFonts w:ascii="Times New Roman" w:hAnsi="Times New Roman" w:cs="Times New Roman"/>
          <w:lang w:val="en-US"/>
        </w:rPr>
        <w:t xml:space="preserve">, 2025; Bin-Nashwan et al., 2025; </w:t>
      </w:r>
      <w:proofErr w:type="spellStart"/>
      <w:r w:rsidRPr="00864726">
        <w:rPr>
          <w:rFonts w:ascii="Times New Roman" w:hAnsi="Times New Roman" w:cs="Times New Roman"/>
          <w:lang w:val="en-US"/>
        </w:rPr>
        <w:t>Dwianto</w:t>
      </w:r>
      <w:proofErr w:type="spellEnd"/>
      <w:r w:rsidRPr="00864726">
        <w:rPr>
          <w:rFonts w:ascii="Times New Roman" w:hAnsi="Times New Roman" w:cs="Times New Roman"/>
          <w:lang w:val="en-US"/>
        </w:rPr>
        <w:t xml:space="preserve"> et al., 2024; </w:t>
      </w:r>
      <w:proofErr w:type="spellStart"/>
      <w:r w:rsidRPr="00864726">
        <w:rPr>
          <w:rFonts w:ascii="Times New Roman" w:hAnsi="Times New Roman" w:cs="Times New Roman"/>
          <w:lang w:val="en-US"/>
        </w:rPr>
        <w:t>Vărzaru</w:t>
      </w:r>
      <w:proofErr w:type="spellEnd"/>
      <w:r w:rsidRPr="00864726">
        <w:rPr>
          <w:rFonts w:ascii="Times New Roman" w:hAnsi="Times New Roman" w:cs="Times New Roman"/>
          <w:lang w:val="en-US"/>
        </w:rPr>
        <w:t xml:space="preserve"> et al., 2022). </w:t>
      </w:r>
      <w:r w:rsidR="00EA0CF7" w:rsidRPr="00864726">
        <w:rPr>
          <w:rFonts w:ascii="Times New Roman" w:hAnsi="Times New Roman" w:cs="Times New Roman"/>
          <w:lang w:val="en-US"/>
        </w:rPr>
        <w:t xml:space="preserve">These studies provide important evidence, but they usually begin with predefined constructs, </w:t>
      </w:r>
      <w:r w:rsidR="00EA0CF7" w:rsidRPr="00864726">
        <w:rPr>
          <w:rFonts w:ascii="Times New Roman" w:hAnsi="Times New Roman" w:cs="Times New Roman"/>
          <w:lang w:val="en-US"/>
        </w:rPr>
        <w:lastRenderedPageBreak/>
        <w:t xml:space="preserve">leaving less space for practitioner input on which factors are most relevant in real accounting processes. </w:t>
      </w:r>
    </w:p>
    <w:p w14:paraId="3E35A1CF" w14:textId="2DAEC300" w:rsidR="002D7E19"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The need for expert input is especially relevant since AI adoption in accounting involves both opportunities and risks. AI can improve processing speed, reduce errors, strengthen analytical capacity, support continuous controls and enhance the quality of accounting information (CPA.com, 2025; Wang</w:t>
      </w:r>
      <w:r w:rsidR="00864726" w:rsidRPr="00864726">
        <w:rPr>
          <w:rFonts w:ascii="Times New Roman" w:hAnsi="Times New Roman" w:cs="Times New Roman"/>
          <w:lang w:val="en-US"/>
        </w:rPr>
        <w:t xml:space="preserve"> et al.</w:t>
      </w:r>
      <w:r w:rsidRPr="00864726">
        <w:rPr>
          <w:rFonts w:ascii="Times New Roman" w:hAnsi="Times New Roman" w:cs="Times New Roman"/>
          <w:lang w:val="en-US"/>
        </w:rPr>
        <w:t>, 2025). At the same time, its use may create concerns related to unreliable outputs, insufficient explainability, excessive dependence on automated recommendations, privacy, confidentiality and unclear accountability (Peng et al., 2023</w:t>
      </w:r>
      <w:r w:rsidR="00864726" w:rsidRPr="00864726">
        <w:rPr>
          <w:rFonts w:ascii="Times New Roman" w:hAnsi="Times New Roman" w:cs="Times New Roman"/>
          <w:lang w:val="en-US"/>
        </w:rPr>
        <w:t>).</w:t>
      </w:r>
    </w:p>
    <w:p w14:paraId="2A8D4629" w14:textId="22C7DAF5" w:rsidR="002D7E19"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Against this background, the objective of this study is to develop an expert-based framework for AI adoption in accounting by integrating TAM, UTAUT and TOE perspectives and validating the relevance of the proposed factors through a Delphi study with practitioners. The study uses a Delphi design to elicit, refine and evaluate expert judgements on the factors that influence AI adoption in accounting processes. Since AI adoption in accounting is still evolving, expert knowledge can help clarify which factors are theoretically relevant, practically meaningful and suitable for future empirical investigation.</w:t>
      </w:r>
    </w:p>
    <w:p w14:paraId="51014E31" w14:textId="77777777" w:rsidR="00E67607"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The paper contributes to the literature by developing an integrated TAM</w:t>
      </w:r>
      <w:r w:rsidR="00EA0CF7" w:rsidRPr="00864726">
        <w:rPr>
          <w:rFonts w:ascii="Times New Roman" w:hAnsi="Times New Roman" w:cs="Times New Roman"/>
          <w:lang w:val="en-US"/>
        </w:rPr>
        <w:t>-</w:t>
      </w:r>
      <w:r w:rsidRPr="00864726">
        <w:rPr>
          <w:rFonts w:ascii="Times New Roman" w:hAnsi="Times New Roman" w:cs="Times New Roman"/>
          <w:lang w:val="en-US"/>
        </w:rPr>
        <w:t>UTAUT</w:t>
      </w:r>
      <w:r w:rsidR="00EA0CF7" w:rsidRPr="00864726">
        <w:rPr>
          <w:rFonts w:ascii="Times New Roman" w:hAnsi="Times New Roman" w:cs="Times New Roman"/>
          <w:lang w:val="en-US"/>
        </w:rPr>
        <w:t>-</w:t>
      </w:r>
      <w:r w:rsidRPr="00864726">
        <w:rPr>
          <w:rFonts w:ascii="Times New Roman" w:hAnsi="Times New Roman" w:cs="Times New Roman"/>
          <w:lang w:val="en-US"/>
        </w:rPr>
        <w:t xml:space="preserve">TOE framework tailored to AI adoption in accounting, thereby moving the discussion beyond the classical focus on </w:t>
      </w:r>
      <w:r w:rsidR="00EA0CF7" w:rsidRPr="00864726">
        <w:rPr>
          <w:rFonts w:ascii="Times New Roman" w:hAnsi="Times New Roman" w:cs="Times New Roman"/>
          <w:lang w:val="en-US"/>
        </w:rPr>
        <w:t>PU</w:t>
      </w:r>
      <w:r w:rsidRPr="00864726">
        <w:rPr>
          <w:rFonts w:ascii="Times New Roman" w:hAnsi="Times New Roman" w:cs="Times New Roman"/>
          <w:lang w:val="en-US"/>
        </w:rPr>
        <w:t xml:space="preserve"> and </w:t>
      </w:r>
      <w:r w:rsidR="00EA0CF7" w:rsidRPr="00864726">
        <w:rPr>
          <w:rFonts w:ascii="Times New Roman" w:hAnsi="Times New Roman" w:cs="Times New Roman"/>
          <w:lang w:val="en-US"/>
        </w:rPr>
        <w:t>PEOU</w:t>
      </w:r>
      <w:r w:rsidRPr="00864726">
        <w:rPr>
          <w:rFonts w:ascii="Times New Roman" w:hAnsi="Times New Roman" w:cs="Times New Roman"/>
          <w:lang w:val="en-US"/>
        </w:rPr>
        <w:t xml:space="preserve">. It also provides expert-based evidence, drawing on the structured judgement of experienced practitioners from accounting, auditing, advisory and ERP-related environments. </w:t>
      </w:r>
      <w:r w:rsidR="00E73CFD" w:rsidRPr="00864726">
        <w:rPr>
          <w:rFonts w:ascii="Times New Roman" w:hAnsi="Times New Roman" w:cs="Times New Roman"/>
          <w:lang w:val="en-US"/>
        </w:rPr>
        <w:t xml:space="preserve">In this way, the study identifies the factors that should be retained as the most relevant determinants of AI adoption in accounting practice, covering acceptance, usability, organisational support, technological compatibility and governance-related dimensions. </w:t>
      </w:r>
    </w:p>
    <w:p w14:paraId="08C96312" w14:textId="1982FBC4" w:rsidR="002D7E19" w:rsidRPr="00864726" w:rsidRDefault="00E67607"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The remainder of the paper presents the theoretical background and framework development, followed by the research methodology, the results and discussion of the Delphi study, and the conclusion with the main implications, limitations and directions for future research.</w:t>
      </w:r>
    </w:p>
    <w:p w14:paraId="58F732BD" w14:textId="77777777" w:rsidR="00253FFE" w:rsidRPr="00864726" w:rsidRDefault="00253FFE" w:rsidP="00864726">
      <w:pPr>
        <w:spacing w:after="0" w:line="240" w:lineRule="auto"/>
        <w:jc w:val="both"/>
        <w:rPr>
          <w:rFonts w:ascii="Times New Roman" w:hAnsi="Times New Roman" w:cs="Times New Roman"/>
          <w:lang w:val="en-US"/>
        </w:rPr>
      </w:pPr>
    </w:p>
    <w:p w14:paraId="78368E31" w14:textId="4314EF19" w:rsidR="00CC18C2" w:rsidRPr="00864726" w:rsidRDefault="00CC18C2"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Theoretical background and framework development</w:t>
      </w:r>
    </w:p>
    <w:p w14:paraId="77F58662" w14:textId="774BB8A9" w:rsidR="002D7E19" w:rsidRPr="00864726" w:rsidRDefault="002D7E19" w:rsidP="00864726">
      <w:pPr>
        <w:spacing w:after="0" w:line="240" w:lineRule="auto"/>
        <w:ind w:firstLine="720"/>
        <w:jc w:val="both"/>
        <w:rPr>
          <w:lang w:val="en-US"/>
        </w:rPr>
      </w:pPr>
      <w:r w:rsidRPr="00864726">
        <w:rPr>
          <w:rFonts w:ascii="Times New Roman" w:hAnsi="Times New Roman" w:cs="Times New Roman"/>
          <w:lang w:val="en-US"/>
        </w:rPr>
        <w:t>Digital technologies have gradually moved accounting from a predominantly manual and retrospective recording function towards a more integrated, data-driven and analytical practice (</w:t>
      </w:r>
      <w:proofErr w:type="spellStart"/>
      <w:r w:rsidRPr="00864726">
        <w:rPr>
          <w:rFonts w:ascii="Times New Roman" w:hAnsi="Times New Roman" w:cs="Times New Roman"/>
          <w:lang w:val="en-US"/>
        </w:rPr>
        <w:t>Vărzaru</w:t>
      </w:r>
      <w:proofErr w:type="spellEnd"/>
      <w:r w:rsidRPr="00864726">
        <w:rPr>
          <w:rFonts w:ascii="Times New Roman" w:hAnsi="Times New Roman" w:cs="Times New Roman"/>
          <w:lang w:val="en-US"/>
        </w:rPr>
        <w:t xml:space="preserve">, 2022; Hossain et al., 2024). </w:t>
      </w:r>
      <w:r w:rsidR="006241EE" w:rsidRPr="00864726">
        <w:rPr>
          <w:rFonts w:ascii="Times New Roman" w:hAnsi="Times New Roman" w:cs="Times New Roman"/>
          <w:lang w:val="en-US"/>
        </w:rPr>
        <w:t>As AI becomes embedded in accounting processes, it reshapes work routines and professional judgement (Wang</w:t>
      </w:r>
      <w:r w:rsidR="00864726" w:rsidRPr="00864726">
        <w:rPr>
          <w:rFonts w:ascii="Times New Roman" w:hAnsi="Times New Roman" w:cs="Times New Roman"/>
          <w:lang w:val="en-US"/>
        </w:rPr>
        <w:t xml:space="preserve"> et al.</w:t>
      </w:r>
      <w:r w:rsidR="006241EE" w:rsidRPr="00864726">
        <w:rPr>
          <w:rFonts w:ascii="Times New Roman" w:hAnsi="Times New Roman" w:cs="Times New Roman"/>
          <w:lang w:val="en-US"/>
        </w:rPr>
        <w:t>, 2025), which raises the question of which conditions support its acceptance and use in practice.</w:t>
      </w:r>
    </w:p>
    <w:p w14:paraId="60AC8ED3" w14:textId="77777777" w:rsidR="003C1FF2"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TAM provides the individual-level core for understanding </w:t>
      </w:r>
      <w:r w:rsidR="00B00246" w:rsidRPr="00864726">
        <w:rPr>
          <w:rFonts w:ascii="Times New Roman" w:hAnsi="Times New Roman" w:cs="Times New Roman"/>
          <w:lang w:val="en-US"/>
        </w:rPr>
        <w:t>technology acceptance</w:t>
      </w:r>
      <w:r w:rsidRPr="00864726">
        <w:rPr>
          <w:rFonts w:ascii="Times New Roman" w:hAnsi="Times New Roman" w:cs="Times New Roman"/>
          <w:lang w:val="en-US"/>
        </w:rPr>
        <w:t xml:space="preserve">. According to Davis (1989), </w:t>
      </w:r>
      <w:r w:rsidR="00B00246" w:rsidRPr="00864726">
        <w:rPr>
          <w:rFonts w:ascii="Times New Roman" w:hAnsi="Times New Roman" w:cs="Times New Roman"/>
          <w:lang w:val="en-US"/>
        </w:rPr>
        <w:t xml:space="preserve">users’ </w:t>
      </w:r>
      <w:r w:rsidRPr="00864726">
        <w:rPr>
          <w:rFonts w:ascii="Times New Roman" w:hAnsi="Times New Roman" w:cs="Times New Roman"/>
          <w:lang w:val="en-US"/>
        </w:rPr>
        <w:t xml:space="preserve">behavioural intention to use a system is shaped mainly by </w:t>
      </w:r>
      <w:r w:rsidR="006241EE" w:rsidRPr="00864726">
        <w:rPr>
          <w:rFonts w:ascii="Times New Roman" w:hAnsi="Times New Roman" w:cs="Times New Roman"/>
          <w:lang w:val="en-US"/>
        </w:rPr>
        <w:t>PU</w:t>
      </w:r>
      <w:r w:rsidRPr="00864726">
        <w:rPr>
          <w:rFonts w:ascii="Times New Roman" w:hAnsi="Times New Roman" w:cs="Times New Roman"/>
          <w:lang w:val="en-US"/>
        </w:rPr>
        <w:t xml:space="preserve"> and </w:t>
      </w:r>
      <w:r w:rsidR="006241EE" w:rsidRPr="00864726">
        <w:rPr>
          <w:rFonts w:ascii="Times New Roman" w:hAnsi="Times New Roman" w:cs="Times New Roman"/>
          <w:lang w:val="en-US"/>
        </w:rPr>
        <w:t>PEOU</w:t>
      </w:r>
      <w:r w:rsidRPr="00864726">
        <w:rPr>
          <w:rFonts w:ascii="Times New Roman" w:hAnsi="Times New Roman" w:cs="Times New Roman"/>
          <w:lang w:val="en-US"/>
        </w:rPr>
        <w:t xml:space="preserve">. In accounting, </w:t>
      </w:r>
      <w:r w:rsidR="006241EE" w:rsidRPr="00864726">
        <w:rPr>
          <w:rFonts w:ascii="Times New Roman" w:hAnsi="Times New Roman" w:cs="Times New Roman"/>
          <w:lang w:val="en-US"/>
        </w:rPr>
        <w:t>PU</w:t>
      </w:r>
      <w:r w:rsidRPr="00864726">
        <w:rPr>
          <w:rFonts w:ascii="Times New Roman" w:hAnsi="Times New Roman" w:cs="Times New Roman"/>
          <w:lang w:val="en-US"/>
        </w:rPr>
        <w:t xml:space="preserve"> </w:t>
      </w:r>
      <w:r w:rsidR="00B00246" w:rsidRPr="00864726">
        <w:rPr>
          <w:rFonts w:ascii="Times New Roman" w:hAnsi="Times New Roman" w:cs="Times New Roman"/>
          <w:lang w:val="en-US"/>
        </w:rPr>
        <w:t xml:space="preserve">refers to the belief that a </w:t>
      </w:r>
      <w:r w:rsidR="00B00246" w:rsidRPr="00864726">
        <w:rPr>
          <w:rFonts w:ascii="Times New Roman" w:hAnsi="Times New Roman" w:cs="Times New Roman"/>
          <w:lang w:val="en-US"/>
        </w:rPr>
        <w:lastRenderedPageBreak/>
        <w:t xml:space="preserve">technology improves task performance, while PEOU refers to the belief that the technology can be used with limited effort </w:t>
      </w:r>
      <w:r w:rsidRPr="00864726">
        <w:rPr>
          <w:rFonts w:ascii="Times New Roman" w:hAnsi="Times New Roman" w:cs="Times New Roman"/>
          <w:lang w:val="en-US"/>
        </w:rPr>
        <w:t>(</w:t>
      </w:r>
      <w:proofErr w:type="spellStart"/>
      <w:r w:rsidRPr="00864726">
        <w:rPr>
          <w:rFonts w:ascii="Times New Roman" w:hAnsi="Times New Roman" w:cs="Times New Roman"/>
          <w:lang w:val="en-US"/>
        </w:rPr>
        <w:t>Vărzaru</w:t>
      </w:r>
      <w:proofErr w:type="spellEnd"/>
      <w:r w:rsidRPr="00864726">
        <w:rPr>
          <w:rFonts w:ascii="Times New Roman" w:hAnsi="Times New Roman" w:cs="Times New Roman"/>
          <w:lang w:val="en-US"/>
        </w:rPr>
        <w:t xml:space="preserve">, 2022; Al Najjar et al., 2024; Bin-Nashwan et al., 2025). </w:t>
      </w:r>
      <w:r w:rsidR="003C1FF2" w:rsidRPr="00864726">
        <w:rPr>
          <w:rFonts w:ascii="Times New Roman" w:hAnsi="Times New Roman" w:cs="Times New Roman"/>
          <w:lang w:val="en-US"/>
        </w:rPr>
        <w:t>In the accounting context, these constructs are particularly relevant because professionals are more likely to accept digital tools when they can clearly observe improvements in efficiency, accuracy, reporting quality and analytical support, and when the tools can be integrated into daily work without excessive complexity.</w:t>
      </w:r>
    </w:p>
    <w:p w14:paraId="7EFC6D2A" w14:textId="73BED092" w:rsidR="002D7E19"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However, TAM alone </w:t>
      </w:r>
      <w:r w:rsidR="006241EE" w:rsidRPr="00864726">
        <w:rPr>
          <w:rFonts w:ascii="Times New Roman" w:hAnsi="Times New Roman" w:cs="Times New Roman"/>
          <w:lang w:val="en-US"/>
        </w:rPr>
        <w:t>cannot be treated as</w:t>
      </w:r>
      <w:r w:rsidRPr="00864726">
        <w:rPr>
          <w:rFonts w:ascii="Times New Roman" w:hAnsi="Times New Roman" w:cs="Times New Roman"/>
          <w:lang w:val="en-US"/>
        </w:rPr>
        <w:t xml:space="preserve"> sufficient for explaining AI adoption in accounting. AI differs from many earlier information technologies because it can produce recommendations, classifications, forecasts and explanations that may influence professional judgement. Therefore, adoption also depends on </w:t>
      </w:r>
      <w:r w:rsidR="003C1FF2" w:rsidRPr="00864726">
        <w:rPr>
          <w:rFonts w:ascii="Times New Roman" w:hAnsi="Times New Roman" w:cs="Times New Roman"/>
          <w:lang w:val="en-US"/>
        </w:rPr>
        <w:t xml:space="preserve">whether users trust the outputs, whether the underlying data are reliable, whether the system is compatible with existing workflows, and whether the organisation provides sufficient support, guidance and control mechanisms </w:t>
      </w:r>
      <w:r w:rsidRPr="00864726">
        <w:rPr>
          <w:rFonts w:ascii="Times New Roman" w:hAnsi="Times New Roman" w:cs="Times New Roman"/>
          <w:lang w:val="en-US"/>
        </w:rPr>
        <w:t xml:space="preserve">(Bin-Nashwan et al., 2025; Peng et al., 2023). </w:t>
      </w:r>
      <w:r w:rsidR="003C1FF2" w:rsidRPr="00864726">
        <w:rPr>
          <w:rFonts w:ascii="Times New Roman" w:hAnsi="Times New Roman" w:cs="Times New Roman"/>
          <w:lang w:val="en-US"/>
        </w:rPr>
        <w:t>This makes AI adoption in accounting an individual acceptance issue and an organisational implementation issue.</w:t>
      </w:r>
    </w:p>
    <w:p w14:paraId="2F413934" w14:textId="17DDCFE9" w:rsidR="003C1FF2"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For this reason, </w:t>
      </w:r>
      <w:r w:rsidR="003C1FF2" w:rsidRPr="00864726">
        <w:rPr>
          <w:rFonts w:ascii="Times New Roman" w:hAnsi="Times New Roman" w:cs="Times New Roman"/>
          <w:lang w:val="en-US"/>
        </w:rPr>
        <w:t xml:space="preserve">TAM is complemented by the </w:t>
      </w:r>
      <w:r w:rsidRPr="00864726">
        <w:rPr>
          <w:rFonts w:ascii="Times New Roman" w:hAnsi="Times New Roman" w:cs="Times New Roman"/>
          <w:lang w:val="en-US"/>
        </w:rPr>
        <w:t xml:space="preserve">UTAUT. UTAUT </w:t>
      </w:r>
      <w:r w:rsidR="003C1FF2" w:rsidRPr="00864726">
        <w:rPr>
          <w:rFonts w:ascii="Times New Roman" w:hAnsi="Times New Roman" w:cs="Times New Roman"/>
          <w:lang w:val="en-US"/>
        </w:rPr>
        <w:t>adds social influence and facilitating conditions as important determinants of technology acceptance and use (Venkatesh et al., 2003). Social influence is relevant because accountants usually work within teams, professional networks, client relationships and managerial structures (</w:t>
      </w:r>
      <w:proofErr w:type="spellStart"/>
      <w:r w:rsidR="003C1FF2" w:rsidRPr="00864726">
        <w:rPr>
          <w:rFonts w:ascii="Times New Roman" w:hAnsi="Times New Roman" w:cs="Times New Roman"/>
          <w:lang w:val="en-US"/>
        </w:rPr>
        <w:t>Dwianto</w:t>
      </w:r>
      <w:proofErr w:type="spellEnd"/>
      <w:r w:rsidR="003C1FF2" w:rsidRPr="00864726">
        <w:rPr>
          <w:rFonts w:ascii="Times New Roman" w:hAnsi="Times New Roman" w:cs="Times New Roman"/>
          <w:lang w:val="en-US"/>
        </w:rPr>
        <w:t xml:space="preserve"> et al., 2024). Their willingness to use AI may be shaped by expectations from colleagues, supervisors, clients and the wider profession. Facilitating conditions are equally important because AI adoption requires more than access to software (</w:t>
      </w:r>
      <w:proofErr w:type="spellStart"/>
      <w:r w:rsidR="003C1FF2" w:rsidRPr="00864726">
        <w:rPr>
          <w:rFonts w:ascii="Times New Roman" w:hAnsi="Times New Roman" w:cs="Times New Roman"/>
          <w:lang w:val="en-US"/>
        </w:rPr>
        <w:t>Vărzaru</w:t>
      </w:r>
      <w:proofErr w:type="spellEnd"/>
      <w:r w:rsidR="003C1FF2" w:rsidRPr="00864726">
        <w:rPr>
          <w:rFonts w:ascii="Times New Roman" w:hAnsi="Times New Roman" w:cs="Times New Roman"/>
          <w:lang w:val="en-US"/>
        </w:rPr>
        <w:t xml:space="preserve"> et al., 2022). Users need training, technical support, internal guidance, time for learning and clear procedures for verifying uncertain outputs (Benzine &amp; Tiar, 2022; Ho, 2024).</w:t>
      </w:r>
    </w:p>
    <w:p w14:paraId="311B7E22" w14:textId="5D67C8C0" w:rsidR="002D7E19" w:rsidRPr="00864726" w:rsidRDefault="002D7E19"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TOE framework adds </w:t>
      </w:r>
      <w:r w:rsidR="003C1FF2" w:rsidRPr="00864726">
        <w:rPr>
          <w:rFonts w:ascii="Times New Roman" w:hAnsi="Times New Roman" w:cs="Times New Roman"/>
          <w:lang w:val="en-US"/>
        </w:rPr>
        <w:t>broader organisational and contextual perspective</w:t>
      </w:r>
      <w:r w:rsidRPr="00864726">
        <w:rPr>
          <w:rFonts w:ascii="Times New Roman" w:hAnsi="Times New Roman" w:cs="Times New Roman"/>
          <w:lang w:val="en-US"/>
        </w:rPr>
        <w:t xml:space="preserve">. According to Tornatzky </w:t>
      </w:r>
      <w:r w:rsidR="003C1FF2" w:rsidRPr="00864726">
        <w:rPr>
          <w:rFonts w:ascii="Times New Roman" w:hAnsi="Times New Roman" w:cs="Times New Roman"/>
          <w:lang w:val="en-US"/>
        </w:rPr>
        <w:t>&amp;</w:t>
      </w:r>
      <w:r w:rsidRPr="00864726">
        <w:rPr>
          <w:rFonts w:ascii="Times New Roman" w:hAnsi="Times New Roman" w:cs="Times New Roman"/>
          <w:lang w:val="en-US"/>
        </w:rPr>
        <w:t xml:space="preserve"> Fleischer (1990), technology adoption is shaped by the technological, organisational and environmental context. In accounting, the technological context includes compatibility with </w:t>
      </w:r>
      <w:r w:rsidR="00B00246" w:rsidRPr="00864726">
        <w:rPr>
          <w:rFonts w:ascii="Times New Roman" w:hAnsi="Times New Roman" w:cs="Times New Roman"/>
          <w:lang w:val="en-US"/>
        </w:rPr>
        <w:t xml:space="preserve">existing </w:t>
      </w:r>
      <w:r w:rsidR="003C1FF2" w:rsidRPr="00864726">
        <w:rPr>
          <w:rFonts w:ascii="Times New Roman" w:hAnsi="Times New Roman" w:cs="Times New Roman"/>
          <w:lang w:val="en-US"/>
        </w:rPr>
        <w:t>AIS and ERP</w:t>
      </w:r>
      <w:r w:rsidRPr="00864726">
        <w:rPr>
          <w:rFonts w:ascii="Times New Roman" w:hAnsi="Times New Roman" w:cs="Times New Roman"/>
          <w:lang w:val="en-US"/>
        </w:rPr>
        <w:t xml:space="preserve"> platforms, interoperability with databases, data security, output reliability, explainability and audit trails</w:t>
      </w:r>
      <w:r w:rsidR="00B00246" w:rsidRPr="00864726">
        <w:rPr>
          <w:rFonts w:ascii="Times New Roman" w:hAnsi="Times New Roman" w:cs="Times New Roman"/>
          <w:lang w:val="en-US"/>
        </w:rPr>
        <w:t xml:space="preserve"> (Benzine &amp; Tiar, 2022)</w:t>
      </w:r>
      <w:r w:rsidRPr="00864726">
        <w:rPr>
          <w:rFonts w:ascii="Times New Roman" w:hAnsi="Times New Roman" w:cs="Times New Roman"/>
          <w:lang w:val="en-US"/>
        </w:rPr>
        <w:t>. The organisational context includes resources, leadership, culture, training, internal policies, role allocation and readiness for change</w:t>
      </w:r>
      <w:r w:rsidR="00B00246" w:rsidRPr="00864726">
        <w:rPr>
          <w:rFonts w:ascii="Times New Roman" w:hAnsi="Times New Roman" w:cs="Times New Roman"/>
          <w:lang w:val="en-US"/>
        </w:rPr>
        <w:t xml:space="preserve"> (Bin-Nashwan et al., 2025)</w:t>
      </w:r>
      <w:r w:rsidRPr="00864726">
        <w:rPr>
          <w:rFonts w:ascii="Times New Roman" w:hAnsi="Times New Roman" w:cs="Times New Roman"/>
          <w:lang w:val="en-US"/>
        </w:rPr>
        <w:t>. The environmental context includes regulatory expectations, professional standards, competitive pressure, vendor ecosystems and client expectations (</w:t>
      </w:r>
      <w:proofErr w:type="spellStart"/>
      <w:r w:rsidRPr="00864726">
        <w:rPr>
          <w:rFonts w:ascii="Times New Roman" w:hAnsi="Times New Roman" w:cs="Times New Roman"/>
          <w:lang w:val="en-US"/>
        </w:rPr>
        <w:t>Tornatzky</w:t>
      </w:r>
      <w:proofErr w:type="spellEnd"/>
      <w:r w:rsidRPr="00864726">
        <w:rPr>
          <w:rFonts w:ascii="Times New Roman" w:hAnsi="Times New Roman" w:cs="Times New Roman"/>
          <w:lang w:val="en-US"/>
        </w:rPr>
        <w:t xml:space="preserve"> &amp; Fleischer, 1990; Bin-Nashwan et al., 2025). This perspective is relevant </w:t>
      </w:r>
      <w:r w:rsidR="00B00246" w:rsidRPr="00864726">
        <w:rPr>
          <w:rFonts w:ascii="Times New Roman" w:hAnsi="Times New Roman" w:cs="Times New Roman"/>
          <w:lang w:val="en-US"/>
        </w:rPr>
        <w:t>to</w:t>
      </w:r>
      <w:r w:rsidRPr="00864726">
        <w:rPr>
          <w:rFonts w:ascii="Times New Roman" w:hAnsi="Times New Roman" w:cs="Times New Roman"/>
          <w:lang w:val="en-US"/>
        </w:rPr>
        <w:t xml:space="preserve"> accounting, where AI use must be aligned with reporting standards, tax rules, audit requirements, data protection obligations and professional ethics.</w:t>
      </w:r>
    </w:p>
    <w:p w14:paraId="457FDBBB" w14:textId="539A052F" w:rsidR="00253FFE" w:rsidRPr="00864726" w:rsidRDefault="003C1FF2"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lastRenderedPageBreak/>
        <w:t>Based on this theoretical position, the study develops an integrated TAM-UTAUT-TOE approach for examining AI adoption in accounting. The purpose is to use them as complementary perspectives for identifying factors that may influence adoption in real accounting processes.</w:t>
      </w:r>
    </w:p>
    <w:p w14:paraId="17B96124" w14:textId="77777777" w:rsidR="00FE411F" w:rsidRPr="00864726" w:rsidRDefault="00FE411F" w:rsidP="00864726">
      <w:pPr>
        <w:spacing w:after="0" w:line="240" w:lineRule="auto"/>
        <w:jc w:val="center"/>
        <w:rPr>
          <w:rFonts w:ascii="Times New Roman" w:hAnsi="Times New Roman" w:cs="Times New Roman"/>
          <w:b/>
          <w:bCs/>
          <w:lang w:val="en-US"/>
        </w:rPr>
      </w:pPr>
    </w:p>
    <w:p w14:paraId="49856DF4" w14:textId="72EF6A82" w:rsidR="00C948FF" w:rsidRPr="00864726" w:rsidRDefault="00C948FF"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Literature review</w:t>
      </w:r>
    </w:p>
    <w:p w14:paraId="1FC652C8" w14:textId="270749F3" w:rsidR="00C948FF" w:rsidRPr="00864726" w:rsidRDefault="00C948FF" w:rsidP="00864726">
      <w:pPr>
        <w:spacing w:after="0" w:line="240" w:lineRule="auto"/>
        <w:ind w:firstLine="720"/>
        <w:jc w:val="both"/>
        <w:rPr>
          <w:rFonts w:ascii="Times New Roman" w:hAnsi="Times New Roman" w:cs="Times New Roman"/>
          <w:lang w:val="en-US"/>
        </w:rPr>
      </w:pPr>
      <w:proofErr w:type="spellStart"/>
      <w:r w:rsidRPr="00864726">
        <w:rPr>
          <w:rFonts w:ascii="Times New Roman" w:hAnsi="Times New Roman" w:cs="Times New Roman"/>
          <w:lang w:val="en-US"/>
        </w:rPr>
        <w:t>Vărzaru</w:t>
      </w:r>
      <w:proofErr w:type="spellEnd"/>
      <w:r w:rsidRPr="00864726">
        <w:rPr>
          <w:rFonts w:ascii="Times New Roman" w:hAnsi="Times New Roman" w:cs="Times New Roman"/>
          <w:lang w:val="en-US"/>
        </w:rPr>
        <w:t xml:space="preserve"> (2022) examined AI technology acceptance among management accountants and confirmed the importance of </w:t>
      </w:r>
      <w:r w:rsidR="00CD4E3A" w:rsidRPr="00864726">
        <w:rPr>
          <w:rFonts w:ascii="Times New Roman" w:hAnsi="Times New Roman" w:cs="Times New Roman"/>
          <w:lang w:val="en-US"/>
        </w:rPr>
        <w:t>PU</w:t>
      </w:r>
      <w:r w:rsidRPr="00864726">
        <w:rPr>
          <w:rFonts w:ascii="Times New Roman" w:hAnsi="Times New Roman" w:cs="Times New Roman"/>
          <w:lang w:val="en-US"/>
        </w:rPr>
        <w:t xml:space="preserve"> and </w:t>
      </w:r>
      <w:r w:rsidR="00CD4E3A" w:rsidRPr="00864726">
        <w:rPr>
          <w:rFonts w:ascii="Times New Roman" w:hAnsi="Times New Roman" w:cs="Times New Roman"/>
          <w:lang w:val="en-US"/>
        </w:rPr>
        <w:t>PEOU</w:t>
      </w:r>
      <w:r w:rsidRPr="00864726">
        <w:rPr>
          <w:rFonts w:ascii="Times New Roman" w:hAnsi="Times New Roman" w:cs="Times New Roman"/>
          <w:lang w:val="en-US"/>
        </w:rPr>
        <w:t xml:space="preserve"> for the intention to use AI. In this context, </w:t>
      </w:r>
      <w:r w:rsidR="00CD4E3A" w:rsidRPr="00864726">
        <w:rPr>
          <w:rFonts w:ascii="Times New Roman" w:hAnsi="Times New Roman" w:cs="Times New Roman"/>
          <w:lang w:val="en-US"/>
        </w:rPr>
        <w:t>PU</w:t>
      </w:r>
      <w:r w:rsidRPr="00864726">
        <w:rPr>
          <w:rFonts w:ascii="Times New Roman" w:hAnsi="Times New Roman" w:cs="Times New Roman"/>
          <w:lang w:val="en-US"/>
        </w:rPr>
        <w:t xml:space="preserve"> was connected to improved information quality, timeliness and decision support, while </w:t>
      </w:r>
      <w:r w:rsidR="00CD4E3A" w:rsidRPr="00864726">
        <w:rPr>
          <w:rFonts w:ascii="Times New Roman" w:hAnsi="Times New Roman" w:cs="Times New Roman"/>
          <w:lang w:val="en-US"/>
        </w:rPr>
        <w:t>PEOU</w:t>
      </w:r>
      <w:r w:rsidRPr="00864726">
        <w:rPr>
          <w:rFonts w:ascii="Times New Roman" w:hAnsi="Times New Roman" w:cs="Times New Roman"/>
          <w:lang w:val="en-US"/>
        </w:rPr>
        <w:t xml:space="preserve"> reflected the effort required to learn and integrate AI into existing tasks. The study also identified barriers such as resistance to change, organisational culture, lack of trust and the cost of technology</w:t>
      </w:r>
      <w:r w:rsidR="00CD4E3A" w:rsidRPr="00864726">
        <w:rPr>
          <w:rFonts w:ascii="Times New Roman" w:hAnsi="Times New Roman" w:cs="Times New Roman"/>
          <w:lang w:val="en-US"/>
        </w:rPr>
        <w:t xml:space="preserve"> (</w:t>
      </w:r>
      <w:proofErr w:type="spellStart"/>
      <w:r w:rsidR="00CD4E3A" w:rsidRPr="00864726">
        <w:rPr>
          <w:rFonts w:ascii="Times New Roman" w:hAnsi="Times New Roman" w:cs="Times New Roman"/>
          <w:lang w:val="en-US"/>
        </w:rPr>
        <w:t>Vărzaru</w:t>
      </w:r>
      <w:proofErr w:type="spellEnd"/>
      <w:r w:rsidR="00CD4E3A" w:rsidRPr="00864726">
        <w:rPr>
          <w:rFonts w:ascii="Times New Roman" w:hAnsi="Times New Roman" w:cs="Times New Roman"/>
          <w:lang w:val="en-US"/>
        </w:rPr>
        <w:t>, 2022)</w:t>
      </w:r>
      <w:r w:rsidRPr="00864726">
        <w:rPr>
          <w:rFonts w:ascii="Times New Roman" w:hAnsi="Times New Roman" w:cs="Times New Roman"/>
          <w:lang w:val="en-US"/>
        </w:rPr>
        <w:t>.</w:t>
      </w:r>
    </w:p>
    <w:p w14:paraId="1662792B" w14:textId="05967EFF" w:rsidR="00C948FF" w:rsidRPr="00864726" w:rsidRDefault="00C948F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Similar conclusions are provided by </w:t>
      </w:r>
      <w:proofErr w:type="spellStart"/>
      <w:r w:rsidRPr="00864726">
        <w:rPr>
          <w:rFonts w:ascii="Times New Roman" w:hAnsi="Times New Roman" w:cs="Times New Roman"/>
          <w:lang w:val="en-US"/>
        </w:rPr>
        <w:t>Vărzaru</w:t>
      </w:r>
      <w:proofErr w:type="spellEnd"/>
      <w:r w:rsidRPr="00864726">
        <w:rPr>
          <w:rFonts w:ascii="Times New Roman" w:hAnsi="Times New Roman" w:cs="Times New Roman"/>
          <w:lang w:val="en-US"/>
        </w:rPr>
        <w:t xml:space="preserve"> et al. (2022), who </w:t>
      </w:r>
      <w:proofErr w:type="spellStart"/>
      <w:r w:rsidRPr="00864726">
        <w:rPr>
          <w:rFonts w:ascii="Times New Roman" w:hAnsi="Times New Roman" w:cs="Times New Roman"/>
          <w:lang w:val="en-US"/>
        </w:rPr>
        <w:t>analysed</w:t>
      </w:r>
      <w:proofErr w:type="spellEnd"/>
      <w:r w:rsidRPr="00864726">
        <w:rPr>
          <w:rFonts w:ascii="Times New Roman" w:hAnsi="Times New Roman" w:cs="Times New Roman"/>
          <w:lang w:val="en-US"/>
        </w:rPr>
        <w:t xml:space="preserve"> users’ </w:t>
      </w:r>
      <w:proofErr w:type="spellStart"/>
      <w:r w:rsidRPr="00864726">
        <w:rPr>
          <w:rFonts w:ascii="Times New Roman" w:hAnsi="Times New Roman" w:cs="Times New Roman"/>
          <w:lang w:val="en-US"/>
        </w:rPr>
        <w:t>behaviour</w:t>
      </w:r>
      <w:proofErr w:type="spellEnd"/>
      <w:r w:rsidRPr="00864726">
        <w:rPr>
          <w:rFonts w:ascii="Times New Roman" w:hAnsi="Times New Roman" w:cs="Times New Roman"/>
          <w:lang w:val="en-US"/>
        </w:rPr>
        <w:t xml:space="preserve"> regarding the adoption of digital technologies in management</w:t>
      </w:r>
      <w:r w:rsidR="00CD4E3A" w:rsidRPr="00864726">
        <w:rPr>
          <w:rFonts w:ascii="Times New Roman" w:hAnsi="Times New Roman" w:cs="Times New Roman"/>
          <w:lang w:val="en-US"/>
        </w:rPr>
        <w:t xml:space="preserve"> information systems (MIS)</w:t>
      </w:r>
      <w:r w:rsidRPr="00864726">
        <w:rPr>
          <w:rFonts w:ascii="Times New Roman" w:hAnsi="Times New Roman" w:cs="Times New Roman"/>
          <w:lang w:val="en-US"/>
        </w:rPr>
        <w:t xml:space="preserve"> and </w:t>
      </w:r>
      <w:r w:rsidR="00CD4E3A" w:rsidRPr="00864726">
        <w:rPr>
          <w:rFonts w:ascii="Times New Roman" w:hAnsi="Times New Roman" w:cs="Times New Roman"/>
          <w:lang w:val="en-US"/>
        </w:rPr>
        <w:t>AIS</w:t>
      </w:r>
      <w:r w:rsidRPr="00864726">
        <w:rPr>
          <w:rFonts w:ascii="Times New Roman" w:hAnsi="Times New Roman" w:cs="Times New Roman"/>
          <w:lang w:val="en-US"/>
        </w:rPr>
        <w:t xml:space="preserve">. Their findings confirm the relevance of </w:t>
      </w:r>
      <w:r w:rsidR="00CD4E3A" w:rsidRPr="00864726">
        <w:rPr>
          <w:rFonts w:ascii="Times New Roman" w:hAnsi="Times New Roman" w:cs="Times New Roman"/>
          <w:lang w:val="en-US"/>
        </w:rPr>
        <w:t>PU</w:t>
      </w:r>
      <w:r w:rsidRPr="00864726">
        <w:rPr>
          <w:rFonts w:ascii="Times New Roman" w:hAnsi="Times New Roman" w:cs="Times New Roman"/>
          <w:lang w:val="en-US"/>
        </w:rPr>
        <w:t xml:space="preserve"> and </w:t>
      </w:r>
      <w:proofErr w:type="gramStart"/>
      <w:r w:rsidR="00CD4E3A" w:rsidRPr="00864726">
        <w:rPr>
          <w:rFonts w:ascii="Times New Roman" w:hAnsi="Times New Roman" w:cs="Times New Roman"/>
          <w:lang w:val="en-US"/>
        </w:rPr>
        <w:t>PEOU</w:t>
      </w:r>
      <w:r w:rsidRPr="00864726">
        <w:rPr>
          <w:rFonts w:ascii="Times New Roman" w:hAnsi="Times New Roman" w:cs="Times New Roman"/>
          <w:lang w:val="en-US"/>
        </w:rPr>
        <w:t>, but</w:t>
      </w:r>
      <w:proofErr w:type="gramEnd"/>
      <w:r w:rsidRPr="00864726">
        <w:rPr>
          <w:rFonts w:ascii="Times New Roman" w:hAnsi="Times New Roman" w:cs="Times New Roman"/>
          <w:lang w:val="en-US"/>
        </w:rPr>
        <w:t xml:space="preserve"> also </w:t>
      </w:r>
      <w:proofErr w:type="spellStart"/>
      <w:r w:rsidRPr="00864726">
        <w:rPr>
          <w:rFonts w:ascii="Times New Roman" w:hAnsi="Times New Roman" w:cs="Times New Roman"/>
          <w:lang w:val="en-US"/>
        </w:rPr>
        <w:t>emphasise</w:t>
      </w:r>
      <w:proofErr w:type="spellEnd"/>
      <w:r w:rsidRPr="00864726">
        <w:rPr>
          <w:rFonts w:ascii="Times New Roman" w:hAnsi="Times New Roman" w:cs="Times New Roman"/>
          <w:lang w:val="en-US"/>
        </w:rPr>
        <w:t xml:space="preserve"> the importance of organisational support and training. The adoption of new systems also requires users’ confidence, organisational readiness, supportive culture and adequate learning mechanisms</w:t>
      </w:r>
      <w:r w:rsidR="00CD4E3A" w:rsidRPr="00864726">
        <w:rPr>
          <w:rFonts w:ascii="Times New Roman" w:hAnsi="Times New Roman" w:cs="Times New Roman"/>
          <w:lang w:val="en-US"/>
        </w:rPr>
        <w:t xml:space="preserve"> (</w:t>
      </w:r>
      <w:proofErr w:type="spellStart"/>
      <w:r w:rsidR="00CD4E3A" w:rsidRPr="00864726">
        <w:rPr>
          <w:rFonts w:ascii="Times New Roman" w:hAnsi="Times New Roman" w:cs="Times New Roman"/>
          <w:lang w:val="en-US"/>
        </w:rPr>
        <w:t>Vărzaru</w:t>
      </w:r>
      <w:proofErr w:type="spellEnd"/>
      <w:r w:rsidR="00CD4E3A" w:rsidRPr="00864726">
        <w:rPr>
          <w:rFonts w:ascii="Times New Roman" w:hAnsi="Times New Roman" w:cs="Times New Roman"/>
          <w:lang w:val="en-US"/>
        </w:rPr>
        <w:t xml:space="preserve"> et al., 2022)</w:t>
      </w:r>
      <w:r w:rsidRPr="00864726">
        <w:rPr>
          <w:rFonts w:ascii="Times New Roman" w:hAnsi="Times New Roman" w:cs="Times New Roman"/>
          <w:lang w:val="en-US"/>
        </w:rPr>
        <w:t>.</w:t>
      </w:r>
    </w:p>
    <w:p w14:paraId="5ACF32C9" w14:textId="5E069416" w:rsidR="00C948FF" w:rsidRPr="00864726" w:rsidRDefault="00C948F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A broader organisational perspective is provided by Bin-Nashwan et al. (2025), who developed an integrated TOE–TAM–resource dependence model to explain AI adoption in accounting and auditing firms. Their findings show that AI adoption is influenced by </w:t>
      </w:r>
      <w:r w:rsidR="00CD4E3A" w:rsidRPr="00864726">
        <w:rPr>
          <w:rFonts w:ascii="Times New Roman" w:hAnsi="Times New Roman" w:cs="Times New Roman"/>
          <w:lang w:val="en-US"/>
        </w:rPr>
        <w:t>(</w:t>
      </w:r>
      <w:proofErr w:type="spellStart"/>
      <w:r w:rsidR="00CD4E3A" w:rsidRPr="00864726">
        <w:rPr>
          <w:rFonts w:ascii="Times New Roman" w:hAnsi="Times New Roman" w:cs="Times New Roman"/>
          <w:lang w:val="en-US"/>
        </w:rPr>
        <w:t>i</w:t>
      </w:r>
      <w:proofErr w:type="spellEnd"/>
      <w:r w:rsidR="00CD4E3A" w:rsidRPr="00864726">
        <w:rPr>
          <w:rFonts w:ascii="Times New Roman" w:hAnsi="Times New Roman" w:cs="Times New Roman"/>
          <w:lang w:val="en-US"/>
        </w:rPr>
        <w:t xml:space="preserve">) </w:t>
      </w:r>
      <w:r w:rsidRPr="00864726">
        <w:rPr>
          <w:rFonts w:ascii="Times New Roman" w:hAnsi="Times New Roman" w:cs="Times New Roman"/>
          <w:lang w:val="en-US"/>
        </w:rPr>
        <w:t>technological factors, such as relative advantage, compatibility and AI readiness</w:t>
      </w:r>
      <w:r w:rsidR="00CD4E3A" w:rsidRPr="00864726">
        <w:rPr>
          <w:rFonts w:ascii="Times New Roman" w:hAnsi="Times New Roman" w:cs="Times New Roman"/>
          <w:lang w:val="en-US"/>
        </w:rPr>
        <w:t>, (ii)</w:t>
      </w:r>
      <w:r w:rsidRPr="00864726">
        <w:rPr>
          <w:rFonts w:ascii="Times New Roman" w:hAnsi="Times New Roman" w:cs="Times New Roman"/>
          <w:lang w:val="en-US"/>
        </w:rPr>
        <w:t xml:space="preserve"> organisational factors, such as top management support, financial and human resources and innovation climate and </w:t>
      </w:r>
      <w:r w:rsidR="00CD4E3A" w:rsidRPr="00864726">
        <w:rPr>
          <w:rFonts w:ascii="Times New Roman" w:hAnsi="Times New Roman" w:cs="Times New Roman"/>
          <w:lang w:val="en-US"/>
        </w:rPr>
        <w:t xml:space="preserve">(iii) </w:t>
      </w:r>
      <w:r w:rsidRPr="00864726">
        <w:rPr>
          <w:rFonts w:ascii="Times New Roman" w:hAnsi="Times New Roman" w:cs="Times New Roman"/>
          <w:lang w:val="en-US"/>
        </w:rPr>
        <w:t>environmental factors, such as competitive pressure and vendor ecosystems. The study also shows that AI adoption can improve financial reporting accuracy, auditing efficiency and information asymmetry, which confirms the importance of linking adoption factors with concrete accounting outcomes</w:t>
      </w:r>
      <w:r w:rsidR="00CD4E3A" w:rsidRPr="00864726">
        <w:rPr>
          <w:rFonts w:ascii="Times New Roman" w:hAnsi="Times New Roman" w:cs="Times New Roman"/>
          <w:lang w:val="en-US"/>
        </w:rPr>
        <w:t xml:space="preserve"> (Bin-Nashwan et al., 2025)</w:t>
      </w:r>
      <w:r w:rsidRPr="00864726">
        <w:rPr>
          <w:rFonts w:ascii="Times New Roman" w:hAnsi="Times New Roman" w:cs="Times New Roman"/>
          <w:lang w:val="en-US"/>
        </w:rPr>
        <w:t>.</w:t>
      </w:r>
    </w:p>
    <w:p w14:paraId="59DC2824" w14:textId="45EA3BEE" w:rsidR="00C948FF" w:rsidRPr="00864726" w:rsidRDefault="00C948F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Anh et al. (2024)</w:t>
      </w:r>
      <w:r w:rsidR="00CD4E3A" w:rsidRPr="00864726">
        <w:rPr>
          <w:rFonts w:ascii="Times New Roman" w:hAnsi="Times New Roman" w:cs="Times New Roman"/>
          <w:lang w:val="en-US"/>
        </w:rPr>
        <w:t xml:space="preserve"> </w:t>
      </w:r>
      <w:r w:rsidRPr="00864726">
        <w:rPr>
          <w:rFonts w:ascii="Times New Roman" w:hAnsi="Times New Roman" w:cs="Times New Roman"/>
          <w:lang w:val="en-US"/>
        </w:rPr>
        <w:t>found that technology readiness positively affects AI adoption. This suggests that professionals who feel more confident and prepared to use technology are more likely to evaluate AI as useful and manageable</w:t>
      </w:r>
      <w:r w:rsidR="00CD4E3A" w:rsidRPr="00864726">
        <w:rPr>
          <w:rFonts w:ascii="Times New Roman" w:hAnsi="Times New Roman" w:cs="Times New Roman"/>
          <w:lang w:val="en-US"/>
        </w:rPr>
        <w:t xml:space="preserve"> (Anh et al., 2024)</w:t>
      </w:r>
      <w:r w:rsidRPr="00864726">
        <w:rPr>
          <w:rFonts w:ascii="Times New Roman" w:hAnsi="Times New Roman" w:cs="Times New Roman"/>
          <w:lang w:val="en-US"/>
        </w:rPr>
        <w:t>. However, other studies report weaker or non-significant effects of technology readiness, which indicates that its role may depend on the type of users, organisational context and maturity of digital systems (</w:t>
      </w:r>
      <w:proofErr w:type="spellStart"/>
      <w:r w:rsidRPr="00864726">
        <w:rPr>
          <w:rFonts w:ascii="Times New Roman" w:hAnsi="Times New Roman" w:cs="Times New Roman"/>
          <w:lang w:val="en-US"/>
        </w:rPr>
        <w:t>Dwianto</w:t>
      </w:r>
      <w:proofErr w:type="spellEnd"/>
      <w:r w:rsidRPr="00864726">
        <w:rPr>
          <w:rFonts w:ascii="Times New Roman" w:hAnsi="Times New Roman" w:cs="Times New Roman"/>
          <w:lang w:val="en-US"/>
        </w:rPr>
        <w:t xml:space="preserve"> et al., 2024; Sudaryanto et al., 2023).</w:t>
      </w:r>
    </w:p>
    <w:p w14:paraId="6DFCCA70" w14:textId="70FCB94A" w:rsidR="00C948FF" w:rsidRPr="00864726" w:rsidRDefault="00C948F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Benzine and Tiar (2022) found that training, prior experience and organisational support influence </w:t>
      </w:r>
      <w:r w:rsidR="00CD4E3A" w:rsidRPr="00864726">
        <w:rPr>
          <w:rFonts w:ascii="Times New Roman" w:hAnsi="Times New Roman" w:cs="Times New Roman"/>
          <w:lang w:val="en-US"/>
        </w:rPr>
        <w:t>PU</w:t>
      </w:r>
      <w:r w:rsidRPr="00864726">
        <w:rPr>
          <w:rFonts w:ascii="Times New Roman" w:hAnsi="Times New Roman" w:cs="Times New Roman"/>
          <w:lang w:val="en-US"/>
        </w:rPr>
        <w:t xml:space="preserve"> and </w:t>
      </w:r>
      <w:r w:rsidR="00CD4E3A" w:rsidRPr="00864726">
        <w:rPr>
          <w:rFonts w:ascii="Times New Roman" w:hAnsi="Times New Roman" w:cs="Times New Roman"/>
          <w:lang w:val="en-US"/>
        </w:rPr>
        <w:t>PEOU</w:t>
      </w:r>
      <w:r w:rsidRPr="00864726">
        <w:rPr>
          <w:rFonts w:ascii="Times New Roman" w:hAnsi="Times New Roman" w:cs="Times New Roman"/>
          <w:lang w:val="en-US"/>
        </w:rPr>
        <w:t xml:space="preserve">, which then affect </w:t>
      </w:r>
      <w:r w:rsidR="00CD4E3A" w:rsidRPr="00864726">
        <w:rPr>
          <w:rFonts w:ascii="Times New Roman" w:hAnsi="Times New Roman" w:cs="Times New Roman"/>
          <w:lang w:val="en-US"/>
        </w:rPr>
        <w:t xml:space="preserve">new digital </w:t>
      </w:r>
      <w:r w:rsidRPr="00864726">
        <w:rPr>
          <w:rFonts w:ascii="Times New Roman" w:hAnsi="Times New Roman" w:cs="Times New Roman"/>
          <w:lang w:val="en-US"/>
        </w:rPr>
        <w:t>system use. Qader et al. (2022) emphasis</w:t>
      </w:r>
      <w:r w:rsidR="00CD4E3A" w:rsidRPr="00864726">
        <w:rPr>
          <w:rFonts w:ascii="Times New Roman" w:hAnsi="Times New Roman" w:cs="Times New Roman"/>
          <w:lang w:val="en-US"/>
        </w:rPr>
        <w:t>ed</w:t>
      </w:r>
      <w:r w:rsidRPr="00864726">
        <w:rPr>
          <w:rFonts w:ascii="Times New Roman" w:hAnsi="Times New Roman" w:cs="Times New Roman"/>
          <w:lang w:val="en-US"/>
        </w:rPr>
        <w:t xml:space="preserve"> that successful adoption requires adequate training, support and alignment with existing processes. These findings are relevant for AI adoption because accountants are more likely to use technology when it fits their established workflows and when they receive practical support for its use.</w:t>
      </w:r>
    </w:p>
    <w:p w14:paraId="15EF10F8" w14:textId="1CACFAC0" w:rsidR="00C948FF" w:rsidRPr="00864726" w:rsidRDefault="00C948FF" w:rsidP="00864726">
      <w:pPr>
        <w:spacing w:after="0" w:line="240" w:lineRule="auto"/>
        <w:ind w:firstLine="720"/>
        <w:jc w:val="both"/>
        <w:rPr>
          <w:rFonts w:ascii="Times New Roman" w:hAnsi="Times New Roman" w:cs="Times New Roman"/>
          <w:lang w:val="en-US"/>
        </w:rPr>
      </w:pPr>
      <w:proofErr w:type="spellStart"/>
      <w:r w:rsidRPr="00864726">
        <w:rPr>
          <w:rFonts w:ascii="Times New Roman" w:hAnsi="Times New Roman" w:cs="Times New Roman"/>
          <w:lang w:val="en-US"/>
        </w:rPr>
        <w:lastRenderedPageBreak/>
        <w:t>Musyaffi</w:t>
      </w:r>
      <w:proofErr w:type="spellEnd"/>
      <w:r w:rsidRPr="00864726">
        <w:rPr>
          <w:rFonts w:ascii="Times New Roman" w:hAnsi="Times New Roman" w:cs="Times New Roman"/>
          <w:lang w:val="en-US"/>
        </w:rPr>
        <w:t xml:space="preserve"> et al. (2025)</w:t>
      </w:r>
      <w:r w:rsidR="00CD4E3A" w:rsidRPr="00864726">
        <w:rPr>
          <w:rFonts w:ascii="Times New Roman" w:hAnsi="Times New Roman" w:cs="Times New Roman"/>
          <w:lang w:val="en-US"/>
        </w:rPr>
        <w:t xml:space="preserve"> </w:t>
      </w:r>
      <w:r w:rsidRPr="00864726">
        <w:rPr>
          <w:rFonts w:ascii="Times New Roman" w:hAnsi="Times New Roman" w:cs="Times New Roman"/>
          <w:lang w:val="en-US"/>
        </w:rPr>
        <w:t xml:space="preserve">showed that digital literacy and compatibility have strong effects. Their findings also indicate that relative </w:t>
      </w:r>
      <w:proofErr w:type="gramStart"/>
      <w:r w:rsidRPr="00864726">
        <w:rPr>
          <w:rFonts w:ascii="Times New Roman" w:hAnsi="Times New Roman" w:cs="Times New Roman"/>
          <w:lang w:val="en-US"/>
        </w:rPr>
        <w:t>advantage</w:t>
      </w:r>
      <w:proofErr w:type="gramEnd"/>
      <w:r w:rsidRPr="00864726">
        <w:rPr>
          <w:rFonts w:ascii="Times New Roman" w:hAnsi="Times New Roman" w:cs="Times New Roman"/>
          <w:lang w:val="en-US"/>
        </w:rPr>
        <w:t xml:space="preserve"> and technological complexity influence adoption intentions. </w:t>
      </w:r>
    </w:p>
    <w:p w14:paraId="0F6AAB53" w14:textId="331C4BFA" w:rsidR="00C948FF" w:rsidRPr="00864726" w:rsidRDefault="00C948F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Research focusing more directly on AI in accounting also points to the importance of accuracy, efficiency, internal control and governance. Al Najjar et al. (2024) found that AI contributes to reducing accounting errors, improving tax reporting and strengthening internal control. At the same time, they </w:t>
      </w:r>
      <w:proofErr w:type="spellStart"/>
      <w:r w:rsidRPr="00864726">
        <w:rPr>
          <w:rFonts w:ascii="Times New Roman" w:hAnsi="Times New Roman" w:cs="Times New Roman"/>
          <w:lang w:val="en-US"/>
        </w:rPr>
        <w:t>emphasise</w:t>
      </w:r>
      <w:proofErr w:type="spellEnd"/>
      <w:r w:rsidRPr="00864726">
        <w:rPr>
          <w:rFonts w:ascii="Times New Roman" w:hAnsi="Times New Roman" w:cs="Times New Roman"/>
          <w:lang w:val="en-US"/>
        </w:rPr>
        <w:t xml:space="preserve"> that effective AI use requires organisational investment, training and appropriate governance structures. Hossain et al. (2024) similarly argue that AI and related technologies can transform the accounting profession by creating efficiency gains and new value-added services, but they also highlight challenges related to skills, ethics and implementation costs. </w:t>
      </w:r>
    </w:p>
    <w:p w14:paraId="0A3B4F98" w14:textId="695AEDA3" w:rsidR="00C948FF" w:rsidRPr="00864726" w:rsidRDefault="00C948F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Sudaryanto et al. (2023) found that digital competence, </w:t>
      </w:r>
      <w:r w:rsidR="00CD4E3A" w:rsidRPr="00864726">
        <w:rPr>
          <w:rFonts w:ascii="Times New Roman" w:hAnsi="Times New Roman" w:cs="Times New Roman"/>
          <w:lang w:val="en-US"/>
        </w:rPr>
        <w:t>PU</w:t>
      </w:r>
      <w:r w:rsidRPr="00864726">
        <w:rPr>
          <w:rFonts w:ascii="Times New Roman" w:hAnsi="Times New Roman" w:cs="Times New Roman"/>
          <w:lang w:val="en-US"/>
        </w:rPr>
        <w:t xml:space="preserve"> and </w:t>
      </w:r>
      <w:r w:rsidR="00CD4E3A" w:rsidRPr="00864726">
        <w:rPr>
          <w:rFonts w:ascii="Times New Roman" w:hAnsi="Times New Roman" w:cs="Times New Roman"/>
          <w:lang w:val="en-US"/>
        </w:rPr>
        <w:t>PEOU</w:t>
      </w:r>
      <w:r w:rsidRPr="00864726">
        <w:rPr>
          <w:rFonts w:ascii="Times New Roman" w:hAnsi="Times New Roman" w:cs="Times New Roman"/>
          <w:lang w:val="en-US"/>
        </w:rPr>
        <w:t xml:space="preserve"> are important for accounting students’ intention to adopt AI technology. Taib et al. (2022) also emphasised that technology knowledge and readiness are necessary for future </w:t>
      </w:r>
      <w:proofErr w:type="gramStart"/>
      <w:r w:rsidRPr="00864726">
        <w:rPr>
          <w:rFonts w:ascii="Times New Roman" w:hAnsi="Times New Roman" w:cs="Times New Roman"/>
          <w:lang w:val="en-US"/>
        </w:rPr>
        <w:t>accountants, but</w:t>
      </w:r>
      <w:proofErr w:type="gramEnd"/>
      <w:r w:rsidRPr="00864726">
        <w:rPr>
          <w:rFonts w:ascii="Times New Roman" w:hAnsi="Times New Roman" w:cs="Times New Roman"/>
          <w:lang w:val="en-US"/>
        </w:rPr>
        <w:t xml:space="preserve"> are not sufficient without positive attitudes and perceived benefits. </w:t>
      </w:r>
    </w:p>
    <w:p w14:paraId="206935CA" w14:textId="190F8960" w:rsidR="00C948FF" w:rsidRPr="00864726" w:rsidRDefault="00C948F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In addition to accounting-specific studies, research on related contexts contributes to the understanding of </w:t>
      </w:r>
      <w:r w:rsidR="00CD4E3A" w:rsidRPr="00864726">
        <w:rPr>
          <w:rFonts w:ascii="Times New Roman" w:hAnsi="Times New Roman" w:cs="Times New Roman"/>
          <w:lang w:val="en-US"/>
        </w:rPr>
        <w:t>specific aspects for technology adoption</w:t>
      </w:r>
      <w:r w:rsidRPr="00864726">
        <w:rPr>
          <w:rFonts w:ascii="Times New Roman" w:hAnsi="Times New Roman" w:cs="Times New Roman"/>
          <w:lang w:val="en-US"/>
        </w:rPr>
        <w:t xml:space="preserve">. Alshammari </w:t>
      </w:r>
      <w:r w:rsidR="00736D24" w:rsidRPr="00864726">
        <w:rPr>
          <w:rFonts w:ascii="Times New Roman" w:hAnsi="Times New Roman" w:cs="Times New Roman"/>
          <w:lang w:val="en-US"/>
        </w:rPr>
        <w:t>&amp;</w:t>
      </w:r>
      <w:r w:rsidRPr="00864726">
        <w:rPr>
          <w:rFonts w:ascii="Times New Roman" w:hAnsi="Times New Roman" w:cs="Times New Roman"/>
          <w:lang w:val="en-US"/>
        </w:rPr>
        <w:t xml:space="preserve"> Al-Mamary (2025) extended TAM to examine acceptance of AI-powered cybersecurity training tools and found that trust in AI and perceived risk play important roles in shaping behavioural intention. Although this study is not in accounting, its findings are relevant because accounting also involves sensitive data, professional responsibility and potential consequences from incorrect outputs. </w:t>
      </w:r>
    </w:p>
    <w:p w14:paraId="7F41495D" w14:textId="78EDDF9F" w:rsidR="00C948FF" w:rsidRPr="00864726" w:rsidRDefault="00736D24"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w:t>
      </w:r>
      <w:r w:rsidR="00C948FF" w:rsidRPr="00864726">
        <w:rPr>
          <w:rFonts w:ascii="Times New Roman" w:hAnsi="Times New Roman" w:cs="Times New Roman"/>
          <w:lang w:val="en-US"/>
        </w:rPr>
        <w:t xml:space="preserve">he literature shows that </w:t>
      </w:r>
      <w:r w:rsidRPr="00864726">
        <w:rPr>
          <w:rFonts w:ascii="Times New Roman" w:hAnsi="Times New Roman" w:cs="Times New Roman"/>
          <w:lang w:val="en-US"/>
        </w:rPr>
        <w:t>PU</w:t>
      </w:r>
      <w:r w:rsidR="00C948FF" w:rsidRPr="00864726">
        <w:rPr>
          <w:rFonts w:ascii="Times New Roman" w:hAnsi="Times New Roman" w:cs="Times New Roman"/>
          <w:lang w:val="en-US"/>
        </w:rPr>
        <w:t xml:space="preserve"> and </w:t>
      </w:r>
      <w:r w:rsidRPr="00864726">
        <w:rPr>
          <w:rFonts w:ascii="Times New Roman" w:hAnsi="Times New Roman" w:cs="Times New Roman"/>
          <w:lang w:val="en-US"/>
        </w:rPr>
        <w:t>PEOU</w:t>
      </w:r>
      <w:r w:rsidR="00C948FF" w:rsidRPr="00864726">
        <w:rPr>
          <w:rFonts w:ascii="Times New Roman" w:hAnsi="Times New Roman" w:cs="Times New Roman"/>
          <w:lang w:val="en-US"/>
        </w:rPr>
        <w:t xml:space="preserve"> remain central to technology adoption in accounting, but they do not fully explain AI adoption in professional accounting environments. Existing studies support the inclusion of additional factors related to attitude, self-efficacy, social influence, technology readiness, digital literacy, compatibility, perceived complexity, relative advantage, training and organisational support, and costs and visible return on investment. Based on this focused </w:t>
      </w:r>
      <w:r w:rsidRPr="00864726">
        <w:rPr>
          <w:rFonts w:ascii="Times New Roman" w:hAnsi="Times New Roman" w:cs="Times New Roman"/>
          <w:lang w:val="en-US"/>
        </w:rPr>
        <w:t xml:space="preserve">literature </w:t>
      </w:r>
      <w:r w:rsidR="00C948FF" w:rsidRPr="00864726">
        <w:rPr>
          <w:rFonts w:ascii="Times New Roman" w:hAnsi="Times New Roman" w:cs="Times New Roman"/>
          <w:lang w:val="en-US"/>
        </w:rPr>
        <w:t>review, twelve recurring factors were identified as the initial literature-based framework for the Delphi study.</w:t>
      </w:r>
    </w:p>
    <w:p w14:paraId="64BAF599" w14:textId="77777777" w:rsidR="00736D24" w:rsidRPr="00864726" w:rsidRDefault="00736D24" w:rsidP="00864726">
      <w:pPr>
        <w:spacing w:after="0" w:line="240" w:lineRule="auto"/>
        <w:jc w:val="both"/>
        <w:rPr>
          <w:rFonts w:ascii="Times New Roman" w:hAnsi="Times New Roman" w:cs="Times New Roman"/>
          <w:lang w:val="en-US"/>
        </w:rPr>
      </w:pPr>
    </w:p>
    <w:p w14:paraId="06A883D4" w14:textId="2FFF2183" w:rsidR="00C948FF" w:rsidRPr="00864726" w:rsidRDefault="00C948FF" w:rsidP="00864726">
      <w:pPr>
        <w:spacing w:after="0" w:line="240" w:lineRule="auto"/>
        <w:jc w:val="center"/>
        <w:rPr>
          <w:rFonts w:ascii="Times New Roman" w:hAnsi="Times New Roman" w:cs="Times New Roman"/>
          <w:lang w:val="en-US"/>
        </w:rPr>
      </w:pPr>
      <w:r w:rsidRPr="00864726">
        <w:rPr>
          <w:rFonts w:ascii="Times New Roman" w:hAnsi="Times New Roman" w:cs="Times New Roman"/>
          <w:lang w:val="en-US"/>
        </w:rPr>
        <w:t>Table 1</w:t>
      </w:r>
      <w:r w:rsidR="00864726" w:rsidRPr="00864726">
        <w:rPr>
          <w:rFonts w:ascii="Times New Roman" w:hAnsi="Times New Roman" w:cs="Times New Roman"/>
          <w:lang w:val="en-US"/>
        </w:rPr>
        <w:t>:</w:t>
      </w:r>
      <w:r w:rsidRPr="00864726">
        <w:rPr>
          <w:rFonts w:ascii="Times New Roman" w:hAnsi="Times New Roman" w:cs="Times New Roman"/>
          <w:lang w:val="en-US"/>
        </w:rPr>
        <w:t xml:space="preserve"> Initial extended framework of factors for AI adoption in accounting processes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8"/>
        <w:gridCol w:w="4696"/>
      </w:tblGrid>
      <w:tr w:rsidR="00C948FF" w:rsidRPr="00864726" w14:paraId="56B09E94" w14:textId="77777777" w:rsidTr="00864726">
        <w:tc>
          <w:tcPr>
            <w:tcW w:w="0" w:type="auto"/>
            <w:tcBorders>
              <w:top w:val="single" w:sz="18" w:space="0" w:color="auto"/>
              <w:bottom w:val="single" w:sz="18" w:space="0" w:color="auto"/>
              <w:right w:val="single" w:sz="18" w:space="0" w:color="auto"/>
            </w:tcBorders>
            <w:hideMark/>
          </w:tcPr>
          <w:p w14:paraId="09D6060E" w14:textId="77777777" w:rsidR="00C948FF" w:rsidRPr="00864726" w:rsidRDefault="00C948FF" w:rsidP="00864726">
            <w:pPr>
              <w:jc w:val="both"/>
              <w:rPr>
                <w:rFonts w:ascii="Times New Roman" w:hAnsi="Times New Roman" w:cs="Times New Roman"/>
                <w:b/>
                <w:bCs/>
                <w:sz w:val="20"/>
                <w:szCs w:val="20"/>
                <w:lang w:val="en-US"/>
              </w:rPr>
            </w:pPr>
            <w:r w:rsidRPr="00864726">
              <w:rPr>
                <w:rFonts w:ascii="Times New Roman" w:hAnsi="Times New Roman" w:cs="Times New Roman"/>
                <w:b/>
                <w:bCs/>
                <w:sz w:val="20"/>
                <w:szCs w:val="20"/>
                <w:lang w:val="en-US"/>
              </w:rPr>
              <w:t>Factor</w:t>
            </w:r>
          </w:p>
        </w:tc>
        <w:tc>
          <w:tcPr>
            <w:tcW w:w="0" w:type="auto"/>
            <w:tcBorders>
              <w:top w:val="single" w:sz="18" w:space="0" w:color="auto"/>
              <w:left w:val="single" w:sz="18" w:space="0" w:color="auto"/>
              <w:bottom w:val="single" w:sz="18" w:space="0" w:color="auto"/>
            </w:tcBorders>
            <w:hideMark/>
          </w:tcPr>
          <w:p w14:paraId="72B2F6BD" w14:textId="77777777" w:rsidR="00C948FF" w:rsidRPr="00864726" w:rsidRDefault="00C948FF" w:rsidP="00864726">
            <w:pPr>
              <w:jc w:val="both"/>
              <w:rPr>
                <w:rFonts w:ascii="Times New Roman" w:hAnsi="Times New Roman" w:cs="Times New Roman"/>
                <w:b/>
                <w:bCs/>
                <w:sz w:val="20"/>
                <w:szCs w:val="20"/>
                <w:lang w:val="en-US"/>
              </w:rPr>
            </w:pPr>
            <w:r w:rsidRPr="00864726">
              <w:rPr>
                <w:rFonts w:ascii="Times New Roman" w:hAnsi="Times New Roman" w:cs="Times New Roman"/>
                <w:b/>
                <w:bCs/>
                <w:sz w:val="20"/>
                <w:szCs w:val="20"/>
                <w:lang w:val="en-US"/>
              </w:rPr>
              <w:t>Description</w:t>
            </w:r>
          </w:p>
        </w:tc>
      </w:tr>
      <w:tr w:rsidR="00C948FF" w:rsidRPr="00864726" w14:paraId="7D7E5054" w14:textId="77777777" w:rsidTr="00864726">
        <w:tc>
          <w:tcPr>
            <w:tcW w:w="0" w:type="auto"/>
            <w:tcBorders>
              <w:top w:val="single" w:sz="18" w:space="0" w:color="auto"/>
              <w:right w:val="single" w:sz="18" w:space="0" w:color="auto"/>
            </w:tcBorders>
            <w:hideMark/>
          </w:tcPr>
          <w:p w14:paraId="50C07F96"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Perceived usefulness</w:t>
            </w:r>
          </w:p>
        </w:tc>
        <w:tc>
          <w:tcPr>
            <w:tcW w:w="0" w:type="auto"/>
            <w:tcBorders>
              <w:top w:val="single" w:sz="18" w:space="0" w:color="auto"/>
              <w:left w:val="single" w:sz="18" w:space="0" w:color="auto"/>
            </w:tcBorders>
            <w:hideMark/>
          </w:tcPr>
          <w:p w14:paraId="03EB85F2"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Belief that the use of AI improves the effectiveness and quality of accounting tasks.</w:t>
            </w:r>
          </w:p>
        </w:tc>
      </w:tr>
      <w:tr w:rsidR="00C948FF" w:rsidRPr="00864726" w14:paraId="2A37FB20" w14:textId="77777777" w:rsidTr="00864726">
        <w:tc>
          <w:tcPr>
            <w:tcW w:w="0" w:type="auto"/>
            <w:tcBorders>
              <w:right w:val="single" w:sz="18" w:space="0" w:color="auto"/>
            </w:tcBorders>
            <w:hideMark/>
          </w:tcPr>
          <w:p w14:paraId="71DCA84A"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Perceived ease of use</w:t>
            </w:r>
          </w:p>
        </w:tc>
        <w:tc>
          <w:tcPr>
            <w:tcW w:w="0" w:type="auto"/>
            <w:tcBorders>
              <w:left w:val="single" w:sz="18" w:space="0" w:color="auto"/>
            </w:tcBorders>
            <w:hideMark/>
          </w:tcPr>
          <w:p w14:paraId="39310FCD"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Belief that AI tools are easy to learn and use in daily accounting work.</w:t>
            </w:r>
          </w:p>
        </w:tc>
      </w:tr>
      <w:tr w:rsidR="00C948FF" w:rsidRPr="00864726" w14:paraId="4DD13A96" w14:textId="77777777" w:rsidTr="00864726">
        <w:tc>
          <w:tcPr>
            <w:tcW w:w="0" w:type="auto"/>
            <w:tcBorders>
              <w:right w:val="single" w:sz="18" w:space="0" w:color="auto"/>
            </w:tcBorders>
            <w:hideMark/>
          </w:tcPr>
          <w:p w14:paraId="40A9B153"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Attitude towards using AI</w:t>
            </w:r>
          </w:p>
        </w:tc>
        <w:tc>
          <w:tcPr>
            <w:tcW w:w="0" w:type="auto"/>
            <w:tcBorders>
              <w:left w:val="single" w:sz="18" w:space="0" w:color="auto"/>
            </w:tcBorders>
            <w:hideMark/>
          </w:tcPr>
          <w:p w14:paraId="4904878E" w14:textId="77777777" w:rsidR="00C948FF" w:rsidRPr="00864726" w:rsidRDefault="00C948FF" w:rsidP="00864726">
            <w:pPr>
              <w:jc w:val="both"/>
              <w:rPr>
                <w:rFonts w:ascii="Times New Roman" w:hAnsi="Times New Roman" w:cs="Times New Roman"/>
                <w:sz w:val="20"/>
                <w:szCs w:val="20"/>
                <w:lang w:val="en-US"/>
              </w:rPr>
            </w:pPr>
            <w:proofErr w:type="gramStart"/>
            <w:r w:rsidRPr="00864726">
              <w:rPr>
                <w:rFonts w:ascii="Times New Roman" w:hAnsi="Times New Roman" w:cs="Times New Roman"/>
                <w:sz w:val="20"/>
                <w:szCs w:val="20"/>
                <w:lang w:val="en-US"/>
              </w:rPr>
              <w:t>General</w:t>
            </w:r>
            <w:proofErr w:type="gramEnd"/>
            <w:r w:rsidRPr="00864726">
              <w:rPr>
                <w:rFonts w:ascii="Times New Roman" w:hAnsi="Times New Roman" w:cs="Times New Roman"/>
                <w:sz w:val="20"/>
                <w:szCs w:val="20"/>
                <w:lang w:val="en-US"/>
              </w:rPr>
              <w:t xml:space="preserve"> positive or negative evaluation of using AI in accounting.</w:t>
            </w:r>
          </w:p>
        </w:tc>
      </w:tr>
      <w:tr w:rsidR="00C948FF" w:rsidRPr="00864726" w14:paraId="6F267833" w14:textId="77777777" w:rsidTr="00864726">
        <w:tc>
          <w:tcPr>
            <w:tcW w:w="0" w:type="auto"/>
            <w:tcBorders>
              <w:right w:val="single" w:sz="18" w:space="0" w:color="auto"/>
            </w:tcBorders>
            <w:hideMark/>
          </w:tcPr>
          <w:p w14:paraId="6EC16AD3"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lastRenderedPageBreak/>
              <w:t>Self-efficacy for using information technologies</w:t>
            </w:r>
          </w:p>
        </w:tc>
        <w:tc>
          <w:tcPr>
            <w:tcW w:w="0" w:type="auto"/>
            <w:tcBorders>
              <w:left w:val="single" w:sz="18" w:space="0" w:color="auto"/>
            </w:tcBorders>
            <w:hideMark/>
          </w:tcPr>
          <w:p w14:paraId="0D2C14CB"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Confidence in one’s own ability to use IT/AI tools when performing accounting tasks.</w:t>
            </w:r>
          </w:p>
        </w:tc>
      </w:tr>
      <w:tr w:rsidR="00C948FF" w:rsidRPr="00864726" w14:paraId="0EEA2C3C" w14:textId="77777777" w:rsidTr="00864726">
        <w:tc>
          <w:tcPr>
            <w:tcW w:w="0" w:type="auto"/>
            <w:tcBorders>
              <w:right w:val="single" w:sz="18" w:space="0" w:color="auto"/>
            </w:tcBorders>
            <w:hideMark/>
          </w:tcPr>
          <w:p w14:paraId="31DE2F2B"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Social influence</w:t>
            </w:r>
          </w:p>
        </w:tc>
        <w:tc>
          <w:tcPr>
            <w:tcW w:w="0" w:type="auto"/>
            <w:tcBorders>
              <w:left w:val="single" w:sz="18" w:space="0" w:color="auto"/>
            </w:tcBorders>
            <w:hideMark/>
          </w:tcPr>
          <w:p w14:paraId="33C45B2A"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Perceived expectations or pressure from colleagues, supervisors or the profession to use AI.</w:t>
            </w:r>
          </w:p>
        </w:tc>
      </w:tr>
      <w:tr w:rsidR="00C948FF" w:rsidRPr="00864726" w14:paraId="5BC1E2CC" w14:textId="77777777" w:rsidTr="00864726">
        <w:tc>
          <w:tcPr>
            <w:tcW w:w="0" w:type="auto"/>
            <w:tcBorders>
              <w:right w:val="single" w:sz="18" w:space="0" w:color="auto"/>
            </w:tcBorders>
            <w:hideMark/>
          </w:tcPr>
          <w:p w14:paraId="48AFA255"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Technology readiness</w:t>
            </w:r>
          </w:p>
        </w:tc>
        <w:tc>
          <w:tcPr>
            <w:tcW w:w="0" w:type="auto"/>
            <w:tcBorders>
              <w:left w:val="single" w:sz="18" w:space="0" w:color="auto"/>
            </w:tcBorders>
            <w:hideMark/>
          </w:tcPr>
          <w:p w14:paraId="14F37AFC"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Personal tendency to accept new technologies and perceived readiness to use AI.</w:t>
            </w:r>
          </w:p>
        </w:tc>
      </w:tr>
      <w:tr w:rsidR="00C948FF" w:rsidRPr="00864726" w14:paraId="6C809E77" w14:textId="77777777" w:rsidTr="00864726">
        <w:tc>
          <w:tcPr>
            <w:tcW w:w="0" w:type="auto"/>
            <w:tcBorders>
              <w:right w:val="single" w:sz="18" w:space="0" w:color="auto"/>
            </w:tcBorders>
            <w:hideMark/>
          </w:tcPr>
          <w:p w14:paraId="3826905D"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Digital literacy</w:t>
            </w:r>
          </w:p>
        </w:tc>
        <w:tc>
          <w:tcPr>
            <w:tcW w:w="0" w:type="auto"/>
            <w:tcBorders>
              <w:left w:val="single" w:sz="18" w:space="0" w:color="auto"/>
            </w:tcBorders>
            <w:hideMark/>
          </w:tcPr>
          <w:p w14:paraId="3A7D1AF9"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Level of knowledge and skills required to use digital tools, systems and data.</w:t>
            </w:r>
          </w:p>
        </w:tc>
      </w:tr>
      <w:tr w:rsidR="00C948FF" w:rsidRPr="00864726" w14:paraId="31179ED6" w14:textId="77777777" w:rsidTr="00864726">
        <w:tc>
          <w:tcPr>
            <w:tcW w:w="0" w:type="auto"/>
            <w:tcBorders>
              <w:right w:val="single" w:sz="18" w:space="0" w:color="auto"/>
            </w:tcBorders>
            <w:hideMark/>
          </w:tcPr>
          <w:p w14:paraId="1D4C3D89"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Compatibility with existing processes/ERP/AIS</w:t>
            </w:r>
          </w:p>
        </w:tc>
        <w:tc>
          <w:tcPr>
            <w:tcW w:w="0" w:type="auto"/>
            <w:tcBorders>
              <w:left w:val="single" w:sz="18" w:space="0" w:color="auto"/>
            </w:tcBorders>
            <w:hideMark/>
          </w:tcPr>
          <w:p w14:paraId="10E15F74"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Alignment between AI tools and existing accounting processes, ERP/AIS and workflows.</w:t>
            </w:r>
          </w:p>
        </w:tc>
      </w:tr>
      <w:tr w:rsidR="00C948FF" w:rsidRPr="00864726" w14:paraId="7ED6A783" w14:textId="77777777" w:rsidTr="00864726">
        <w:tc>
          <w:tcPr>
            <w:tcW w:w="0" w:type="auto"/>
            <w:tcBorders>
              <w:right w:val="single" w:sz="18" w:space="0" w:color="auto"/>
            </w:tcBorders>
            <w:hideMark/>
          </w:tcPr>
          <w:p w14:paraId="72354C55"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Perceived complexity</w:t>
            </w:r>
          </w:p>
        </w:tc>
        <w:tc>
          <w:tcPr>
            <w:tcW w:w="0" w:type="auto"/>
            <w:tcBorders>
              <w:left w:val="single" w:sz="18" w:space="0" w:color="auto"/>
            </w:tcBorders>
            <w:hideMark/>
          </w:tcPr>
          <w:p w14:paraId="01BE5BDC"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Perceived difficulty of understanding, configuring and working with AI tools.</w:t>
            </w:r>
          </w:p>
        </w:tc>
      </w:tr>
      <w:tr w:rsidR="00C948FF" w:rsidRPr="00864726" w14:paraId="4066F4AA" w14:textId="77777777" w:rsidTr="00864726">
        <w:tc>
          <w:tcPr>
            <w:tcW w:w="0" w:type="auto"/>
            <w:tcBorders>
              <w:right w:val="single" w:sz="18" w:space="0" w:color="auto"/>
            </w:tcBorders>
            <w:hideMark/>
          </w:tcPr>
          <w:p w14:paraId="0BE54D53"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Relative advantage</w:t>
            </w:r>
          </w:p>
        </w:tc>
        <w:tc>
          <w:tcPr>
            <w:tcW w:w="0" w:type="auto"/>
            <w:tcBorders>
              <w:left w:val="single" w:sz="18" w:space="0" w:color="auto"/>
            </w:tcBorders>
            <w:hideMark/>
          </w:tcPr>
          <w:p w14:paraId="76D40F96"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Perceived superiority of AI compared with current methods and systems.</w:t>
            </w:r>
          </w:p>
        </w:tc>
      </w:tr>
      <w:tr w:rsidR="00C948FF" w:rsidRPr="00864726" w14:paraId="765212EE" w14:textId="77777777" w:rsidTr="00864726">
        <w:tc>
          <w:tcPr>
            <w:tcW w:w="0" w:type="auto"/>
            <w:tcBorders>
              <w:right w:val="single" w:sz="18" w:space="0" w:color="auto"/>
            </w:tcBorders>
            <w:hideMark/>
          </w:tcPr>
          <w:p w14:paraId="48C4EB4F"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Training and organisational support</w:t>
            </w:r>
          </w:p>
        </w:tc>
        <w:tc>
          <w:tcPr>
            <w:tcW w:w="0" w:type="auto"/>
            <w:tcBorders>
              <w:left w:val="single" w:sz="18" w:space="0" w:color="auto"/>
            </w:tcBorders>
            <w:hideMark/>
          </w:tcPr>
          <w:p w14:paraId="45840F77"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Availability of training, resources and managerial support for using AI.</w:t>
            </w:r>
          </w:p>
        </w:tc>
      </w:tr>
      <w:tr w:rsidR="00C948FF" w:rsidRPr="00864726" w14:paraId="2304ACFF" w14:textId="77777777" w:rsidTr="00864726">
        <w:tc>
          <w:tcPr>
            <w:tcW w:w="0" w:type="auto"/>
            <w:tcBorders>
              <w:bottom w:val="single" w:sz="18" w:space="0" w:color="auto"/>
              <w:right w:val="single" w:sz="18" w:space="0" w:color="auto"/>
            </w:tcBorders>
            <w:hideMark/>
          </w:tcPr>
          <w:p w14:paraId="45AD3856"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Costs and visible return on investment</w:t>
            </w:r>
          </w:p>
        </w:tc>
        <w:tc>
          <w:tcPr>
            <w:tcW w:w="0" w:type="auto"/>
            <w:tcBorders>
              <w:left w:val="single" w:sz="18" w:space="0" w:color="auto"/>
              <w:bottom w:val="single" w:sz="18" w:space="0" w:color="auto"/>
            </w:tcBorders>
            <w:hideMark/>
          </w:tcPr>
          <w:p w14:paraId="21570918" w14:textId="77777777" w:rsidR="00C948FF" w:rsidRPr="00864726" w:rsidRDefault="00C948FF" w:rsidP="00864726">
            <w:pPr>
              <w:jc w:val="both"/>
              <w:rPr>
                <w:rFonts w:ascii="Times New Roman" w:hAnsi="Times New Roman" w:cs="Times New Roman"/>
                <w:sz w:val="20"/>
                <w:szCs w:val="20"/>
                <w:lang w:val="en-US"/>
              </w:rPr>
            </w:pPr>
            <w:r w:rsidRPr="00864726">
              <w:rPr>
                <w:rFonts w:ascii="Times New Roman" w:hAnsi="Times New Roman" w:cs="Times New Roman"/>
                <w:sz w:val="20"/>
                <w:szCs w:val="20"/>
                <w:lang w:val="en-US"/>
              </w:rPr>
              <w:t>Perception of financial and time costs in relation to the visible benefits of AI adoption.</w:t>
            </w:r>
          </w:p>
        </w:tc>
      </w:tr>
    </w:tbl>
    <w:p w14:paraId="056D6CDC" w14:textId="77777777" w:rsidR="00C948FF" w:rsidRPr="00864726" w:rsidRDefault="00C948FF" w:rsidP="00864726">
      <w:pPr>
        <w:spacing w:after="0" w:line="240" w:lineRule="auto"/>
        <w:jc w:val="center"/>
        <w:rPr>
          <w:rFonts w:ascii="Times New Roman" w:hAnsi="Times New Roman" w:cs="Times New Roman"/>
          <w:i/>
          <w:iCs/>
          <w:lang w:val="en-US"/>
        </w:rPr>
      </w:pPr>
      <w:r w:rsidRPr="00864726">
        <w:rPr>
          <w:rFonts w:ascii="Times New Roman" w:hAnsi="Times New Roman" w:cs="Times New Roman"/>
          <w:i/>
          <w:iCs/>
          <w:lang w:val="en-US"/>
        </w:rPr>
        <w:t xml:space="preserve">Source: Created by the authors based on prior studies by Davis (1989), Venkatesh et al. (2003), </w:t>
      </w:r>
      <w:proofErr w:type="spellStart"/>
      <w:r w:rsidRPr="00864726">
        <w:rPr>
          <w:rFonts w:ascii="Times New Roman" w:hAnsi="Times New Roman" w:cs="Times New Roman"/>
          <w:i/>
          <w:iCs/>
          <w:lang w:val="en-US"/>
        </w:rPr>
        <w:t>Tornatzky</w:t>
      </w:r>
      <w:proofErr w:type="spellEnd"/>
      <w:r w:rsidRPr="00864726">
        <w:rPr>
          <w:rFonts w:ascii="Times New Roman" w:hAnsi="Times New Roman" w:cs="Times New Roman"/>
          <w:i/>
          <w:iCs/>
          <w:lang w:val="en-US"/>
        </w:rPr>
        <w:t xml:space="preserve"> and Fleischer (1990), </w:t>
      </w:r>
      <w:proofErr w:type="spellStart"/>
      <w:r w:rsidRPr="00864726">
        <w:rPr>
          <w:rFonts w:ascii="Times New Roman" w:hAnsi="Times New Roman" w:cs="Times New Roman"/>
          <w:i/>
          <w:iCs/>
          <w:lang w:val="en-US"/>
        </w:rPr>
        <w:t>Vărzaru</w:t>
      </w:r>
      <w:proofErr w:type="spellEnd"/>
      <w:r w:rsidRPr="00864726">
        <w:rPr>
          <w:rFonts w:ascii="Times New Roman" w:hAnsi="Times New Roman" w:cs="Times New Roman"/>
          <w:i/>
          <w:iCs/>
          <w:lang w:val="en-US"/>
        </w:rPr>
        <w:t xml:space="preserve"> (2022), Qader et al. (2022), </w:t>
      </w:r>
      <w:proofErr w:type="spellStart"/>
      <w:r w:rsidRPr="00864726">
        <w:rPr>
          <w:rFonts w:ascii="Times New Roman" w:hAnsi="Times New Roman" w:cs="Times New Roman"/>
          <w:i/>
          <w:iCs/>
          <w:lang w:val="en-US"/>
        </w:rPr>
        <w:t>Almgrashi</w:t>
      </w:r>
      <w:proofErr w:type="spellEnd"/>
      <w:r w:rsidRPr="00864726">
        <w:rPr>
          <w:rFonts w:ascii="Times New Roman" w:hAnsi="Times New Roman" w:cs="Times New Roman"/>
          <w:i/>
          <w:iCs/>
          <w:lang w:val="en-US"/>
        </w:rPr>
        <w:t xml:space="preserve"> and Mujalli (2025), and Bin-Nashwan et al. (2025).</w:t>
      </w:r>
    </w:p>
    <w:p w14:paraId="30659C7E" w14:textId="77777777" w:rsidR="00736D24" w:rsidRPr="00864726" w:rsidRDefault="00736D24" w:rsidP="00864726">
      <w:pPr>
        <w:spacing w:after="0" w:line="240" w:lineRule="auto"/>
        <w:jc w:val="both"/>
        <w:rPr>
          <w:rFonts w:ascii="Times New Roman" w:hAnsi="Times New Roman" w:cs="Times New Roman"/>
          <w:lang w:val="en-US"/>
        </w:rPr>
      </w:pPr>
    </w:p>
    <w:p w14:paraId="51F5EC91" w14:textId="45315B53" w:rsidR="00C948FF" w:rsidRPr="00864726" w:rsidRDefault="00C948FF"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These twelve factors combine the main individual, social, technological and organisational determinants identified in the literature and provide the starting point for the empirical part of the study. They were not treated as a final framework, but as a literature-based structure to be evaluated through expert judgement. </w:t>
      </w:r>
    </w:p>
    <w:p w14:paraId="17EF03B4" w14:textId="77777777" w:rsidR="00C948FF" w:rsidRPr="00864726" w:rsidRDefault="00C948FF" w:rsidP="00864726">
      <w:pPr>
        <w:spacing w:after="0" w:line="240" w:lineRule="auto"/>
        <w:jc w:val="both"/>
        <w:rPr>
          <w:rFonts w:ascii="Times New Roman" w:hAnsi="Times New Roman" w:cs="Times New Roman"/>
          <w:lang w:val="en-US"/>
        </w:rPr>
      </w:pPr>
    </w:p>
    <w:p w14:paraId="5D8F13EF" w14:textId="77777777" w:rsidR="00C948FF" w:rsidRPr="00864726" w:rsidRDefault="00C948FF" w:rsidP="00864726">
      <w:pPr>
        <w:spacing w:after="0" w:line="240" w:lineRule="auto"/>
        <w:jc w:val="center"/>
        <w:rPr>
          <w:rFonts w:ascii="Times New Roman" w:hAnsi="Times New Roman" w:cs="Times New Roman"/>
          <w:b/>
          <w:bCs/>
          <w:lang w:val="en-US"/>
        </w:rPr>
      </w:pPr>
    </w:p>
    <w:p w14:paraId="6469188D" w14:textId="51CE7DE3" w:rsidR="00CC18C2" w:rsidRPr="00864726" w:rsidRDefault="00CC18C2"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Research methodology</w:t>
      </w:r>
    </w:p>
    <w:p w14:paraId="22619BED" w14:textId="10D46913" w:rsidR="00253FFE" w:rsidRPr="00864726" w:rsidRDefault="009538DA"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This study </w:t>
      </w:r>
      <w:proofErr w:type="gramStart"/>
      <w:r w:rsidRPr="00864726">
        <w:rPr>
          <w:rFonts w:ascii="Times New Roman" w:hAnsi="Times New Roman" w:cs="Times New Roman"/>
          <w:lang w:val="en-US"/>
        </w:rPr>
        <w:t>applies</w:t>
      </w:r>
      <w:proofErr w:type="gramEnd"/>
      <w:r w:rsidRPr="00864726">
        <w:rPr>
          <w:rFonts w:ascii="Times New Roman" w:hAnsi="Times New Roman" w:cs="Times New Roman"/>
          <w:lang w:val="en-US"/>
        </w:rPr>
        <w:t xml:space="preserve"> the Delphi method to develop and validate an expert-based framework for AI adoption in accounting. The method is appropriate because the topic is still evolving, while its practical implications depend on expert judgement from professionals who understand accounting processes, digital systems and organisational constraints. The research design was structured in three phases</w:t>
      </w:r>
      <w:r w:rsidR="00130EF9" w:rsidRPr="00864726">
        <w:rPr>
          <w:rFonts w:ascii="Times New Roman" w:hAnsi="Times New Roman" w:cs="Times New Roman"/>
          <w:lang w:val="en-US"/>
        </w:rPr>
        <w:t xml:space="preserve"> (</w:t>
      </w:r>
      <w:proofErr w:type="spellStart"/>
      <w:r w:rsidR="00130EF9" w:rsidRPr="00864726">
        <w:rPr>
          <w:rFonts w:ascii="Times New Roman" w:hAnsi="Times New Roman" w:cs="Times New Roman"/>
          <w:lang w:val="en-US"/>
        </w:rPr>
        <w:t>i</w:t>
      </w:r>
      <w:proofErr w:type="spellEnd"/>
      <w:r w:rsidR="00130EF9" w:rsidRPr="00864726">
        <w:rPr>
          <w:rFonts w:ascii="Times New Roman" w:hAnsi="Times New Roman" w:cs="Times New Roman"/>
          <w:lang w:val="en-US"/>
        </w:rPr>
        <w:t xml:space="preserve">) </w:t>
      </w:r>
      <w:r w:rsidRPr="00864726">
        <w:rPr>
          <w:rFonts w:ascii="Times New Roman" w:hAnsi="Times New Roman" w:cs="Times New Roman"/>
          <w:lang w:val="en-US"/>
        </w:rPr>
        <w:t xml:space="preserve">conceptual scoping and instrument design, </w:t>
      </w:r>
      <w:r w:rsidR="00130EF9" w:rsidRPr="00864726">
        <w:rPr>
          <w:rFonts w:ascii="Times New Roman" w:hAnsi="Times New Roman" w:cs="Times New Roman"/>
          <w:lang w:val="en-US"/>
        </w:rPr>
        <w:t xml:space="preserve">(ii) </w:t>
      </w:r>
      <w:r w:rsidRPr="00864726">
        <w:rPr>
          <w:rFonts w:ascii="Times New Roman" w:hAnsi="Times New Roman" w:cs="Times New Roman"/>
          <w:lang w:val="en-US"/>
        </w:rPr>
        <w:t xml:space="preserve">Delphi iteration, and </w:t>
      </w:r>
      <w:r w:rsidR="00130EF9" w:rsidRPr="00864726">
        <w:rPr>
          <w:rFonts w:ascii="Times New Roman" w:hAnsi="Times New Roman" w:cs="Times New Roman"/>
          <w:lang w:val="en-US"/>
        </w:rPr>
        <w:t xml:space="preserve">(iii) </w:t>
      </w:r>
      <w:r w:rsidRPr="00864726">
        <w:rPr>
          <w:rFonts w:ascii="Times New Roman" w:hAnsi="Times New Roman" w:cs="Times New Roman"/>
          <w:lang w:val="en-US"/>
        </w:rPr>
        <w:t>consensus analysis. This structure is presented in Figure 1.</w:t>
      </w:r>
    </w:p>
    <w:p w14:paraId="7AD1BDBB" w14:textId="77777777" w:rsidR="009538DA" w:rsidRPr="00864726" w:rsidRDefault="009538DA" w:rsidP="00864726">
      <w:pPr>
        <w:spacing w:after="0" w:line="240" w:lineRule="auto"/>
        <w:jc w:val="both"/>
        <w:rPr>
          <w:rFonts w:ascii="Times New Roman" w:hAnsi="Times New Roman" w:cs="Times New Roman"/>
          <w:lang w:val="en-US"/>
        </w:rPr>
      </w:pPr>
    </w:p>
    <w:p w14:paraId="251AB584" w14:textId="5E747EB2" w:rsidR="009538DA" w:rsidRPr="00864726" w:rsidRDefault="00736B0C" w:rsidP="00864726">
      <w:pPr>
        <w:spacing w:after="0" w:line="240" w:lineRule="auto"/>
        <w:jc w:val="both"/>
        <w:rPr>
          <w:rFonts w:ascii="Times New Roman" w:hAnsi="Times New Roman" w:cs="Times New Roman"/>
          <w:lang w:val="en-US"/>
        </w:rPr>
      </w:pPr>
      <w:r>
        <w:rPr>
          <w:rFonts w:ascii="Times New Roman" w:hAnsi="Times New Roman" w:cs="Times New Roman"/>
          <w:i/>
          <w:iCs/>
          <w:noProof/>
          <w:sz w:val="21"/>
          <w:szCs w:val="21"/>
          <w:lang w:val="en-US"/>
        </w:rPr>
        <w:lastRenderedPageBreak/>
        <mc:AlternateContent>
          <mc:Choice Requires="wps">
            <w:drawing>
              <wp:anchor distT="0" distB="0" distL="114300" distR="114300" simplePos="0" relativeHeight="251661312" behindDoc="0" locked="0" layoutInCell="1" allowOverlap="1" wp14:anchorId="362D666E" wp14:editId="6332C750">
                <wp:simplePos x="0" y="0"/>
                <wp:positionH relativeFrom="column">
                  <wp:posOffset>3271520</wp:posOffset>
                </wp:positionH>
                <wp:positionV relativeFrom="paragraph">
                  <wp:posOffset>1359535</wp:posOffset>
                </wp:positionV>
                <wp:extent cx="182880" cy="0"/>
                <wp:effectExtent l="0" t="76200" r="26670" b="114300"/>
                <wp:wrapNone/>
                <wp:docPr id="1053408661" name="Straight Arrow Connector 1"/>
                <wp:cNvGraphicFramePr/>
                <a:graphic xmlns:a="http://schemas.openxmlformats.org/drawingml/2006/main">
                  <a:graphicData uri="http://schemas.microsoft.com/office/word/2010/wordprocessingShape">
                    <wps:wsp>
                      <wps:cNvCnPr/>
                      <wps:spPr>
                        <a:xfrm>
                          <a:off x="0" y="0"/>
                          <a:ext cx="182880" cy="0"/>
                        </a:xfrm>
                        <a:prstGeom prst="straightConnector1">
                          <a:avLst/>
                        </a:prstGeom>
                        <a:ln w="19050" cap="flat" cmpd="sng" algn="ctr">
                          <a:solidFill>
                            <a:schemeClr val="accent1">
                              <a:lumMod val="50000"/>
                            </a:schemeClr>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shapetype w14:anchorId="729BA94E" id="_x0000_t32" coordsize="21600,21600" o:spt="32" o:oned="t" path="m,l21600,21600e" filled="f">
                <v:path arrowok="t" fillok="f" o:connecttype="none"/>
                <o:lock v:ext="edit" shapetype="t"/>
              </v:shapetype>
              <v:shape id="Straight Arrow Connector 1" o:spid="_x0000_s1026" type="#_x0000_t32" style="position:absolute;margin-left:257.6pt;margin-top:107.05pt;width:14.4pt;height: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" strokecolor="#1f3763 [1604]" strokeweight="1.5pt">
                <v:stroke endarrow="open"/>
              </v:shape>
            </w:pict>
          </mc:Fallback>
        </mc:AlternateContent>
      </w:r>
      <w:r>
        <w:rPr>
          <w:rFonts w:ascii="Times New Roman" w:hAnsi="Times New Roman" w:cs="Times New Roman"/>
          <w:i/>
          <w:iCs/>
          <w:noProof/>
          <w:sz w:val="21"/>
          <w:szCs w:val="21"/>
          <w:lang w:val="en-US"/>
        </w:rPr>
        <mc:AlternateContent>
          <mc:Choice Requires="wps">
            <w:drawing>
              <wp:anchor distT="0" distB="0" distL="114300" distR="114300" simplePos="0" relativeHeight="251659264" behindDoc="0" locked="0" layoutInCell="1" allowOverlap="1" wp14:anchorId="3CC7CF1C" wp14:editId="5115EBEA">
                <wp:simplePos x="0" y="0"/>
                <wp:positionH relativeFrom="column">
                  <wp:posOffset>1576070</wp:posOffset>
                </wp:positionH>
                <wp:positionV relativeFrom="paragraph">
                  <wp:posOffset>1365885</wp:posOffset>
                </wp:positionV>
                <wp:extent cx="182880" cy="0"/>
                <wp:effectExtent l="0" t="76200" r="26670" b="114300"/>
                <wp:wrapNone/>
                <wp:docPr id="1843103720" name="Straight Arrow Connector 1"/>
                <wp:cNvGraphicFramePr/>
                <a:graphic xmlns:a="http://schemas.openxmlformats.org/drawingml/2006/main">
                  <a:graphicData uri="http://schemas.microsoft.com/office/word/2010/wordprocessingShape">
                    <wps:wsp>
                      <wps:cNvCnPr/>
                      <wps:spPr>
                        <a:xfrm>
                          <a:off x="0" y="0"/>
                          <a:ext cx="182880" cy="0"/>
                        </a:xfrm>
                        <a:prstGeom prst="straightConnector1">
                          <a:avLst/>
                        </a:prstGeom>
                        <a:ln w="19050" cap="flat" cmpd="sng" algn="ctr">
                          <a:solidFill>
                            <a:schemeClr val="accent1">
                              <a:lumMod val="50000"/>
                            </a:schemeClr>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shape w14:anchorId="749D8C1E" id="Straight Arrow Connector 1" o:spid="_x0000_s1026" type="#_x0000_t32" style="position:absolute;margin-left:124.1pt;margin-top:107.55pt;width:14.4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" strokecolor="#1f3763 [1604]" strokeweight="1.5pt">
                <v:stroke endarrow="open"/>
              </v:shape>
            </w:pict>
          </mc:Fallback>
        </mc:AlternateContent>
      </w:r>
      <w:r w:rsidR="009538DA" w:rsidRPr="00864726">
        <w:rPr>
          <w:rFonts w:ascii="Times New Roman" w:hAnsi="Times New Roman" w:cs="Times New Roman"/>
          <w:i/>
          <w:iCs/>
          <w:noProof/>
          <w:sz w:val="21"/>
          <w:szCs w:val="21"/>
          <w:lang w:val="en-US"/>
        </w:rPr>
        <w:drawing>
          <wp:inline distT="0" distB="0" distL="0" distR="0" wp14:anchorId="7BA2B1FB" wp14:editId="719DC3D1">
            <wp:extent cx="4892040" cy="2755900"/>
            <wp:effectExtent l="0" t="0" r="0" b="25400"/>
            <wp:docPr id="101961342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20F47AC0" w14:textId="77777777" w:rsidR="00864726" w:rsidRPr="00864726" w:rsidRDefault="00864726" w:rsidP="00864726">
      <w:pPr>
        <w:spacing w:after="0" w:line="240" w:lineRule="auto"/>
        <w:jc w:val="center"/>
        <w:rPr>
          <w:rFonts w:ascii="Times New Roman" w:hAnsi="Times New Roman" w:cs="Times New Roman"/>
          <w:lang w:val="en-US"/>
        </w:rPr>
      </w:pPr>
      <w:r w:rsidRPr="00864726">
        <w:rPr>
          <w:rFonts w:ascii="Times New Roman" w:hAnsi="Times New Roman" w:cs="Times New Roman"/>
          <w:lang w:val="en-US"/>
        </w:rPr>
        <w:t>Figure 1</w:t>
      </w:r>
      <w:r>
        <w:rPr>
          <w:rFonts w:ascii="Times New Roman" w:hAnsi="Times New Roman" w:cs="Times New Roman"/>
          <w:lang w:val="en-US"/>
        </w:rPr>
        <w:t>:</w:t>
      </w:r>
      <w:r w:rsidRPr="00864726">
        <w:rPr>
          <w:rFonts w:ascii="Times New Roman" w:hAnsi="Times New Roman" w:cs="Times New Roman"/>
          <w:lang w:val="en-US"/>
        </w:rPr>
        <w:t xml:space="preserve"> Research design of the Delphi study</w:t>
      </w:r>
    </w:p>
    <w:p w14:paraId="2DF00C2F" w14:textId="48A486D5" w:rsidR="009538DA" w:rsidRPr="00844040" w:rsidRDefault="00844040" w:rsidP="00844040">
      <w:pPr>
        <w:spacing w:after="0" w:line="240" w:lineRule="auto"/>
        <w:jc w:val="center"/>
        <w:rPr>
          <w:rFonts w:ascii="Times New Roman" w:hAnsi="Times New Roman" w:cs="Times New Roman"/>
          <w:i/>
          <w:iCs/>
          <w:lang w:val="en-US"/>
        </w:rPr>
      </w:pPr>
      <w:r w:rsidRPr="00844040">
        <w:rPr>
          <w:rFonts w:ascii="Times New Roman" w:hAnsi="Times New Roman" w:cs="Times New Roman"/>
          <w:i/>
          <w:iCs/>
          <w:lang w:val="en-US"/>
        </w:rPr>
        <w:t>Source: Authors’ research design</w:t>
      </w:r>
    </w:p>
    <w:p w14:paraId="1802D06B" w14:textId="77777777" w:rsidR="00844040" w:rsidRPr="00864726" w:rsidRDefault="00844040" w:rsidP="00864726">
      <w:pPr>
        <w:spacing w:after="0" w:line="240" w:lineRule="auto"/>
        <w:jc w:val="both"/>
        <w:rPr>
          <w:rFonts w:ascii="Times New Roman" w:hAnsi="Times New Roman" w:cs="Times New Roman"/>
          <w:lang w:val="en-US"/>
        </w:rPr>
      </w:pPr>
    </w:p>
    <w:p w14:paraId="44AA00F2" w14:textId="2F55F088" w:rsidR="009538DA" w:rsidRPr="00864726" w:rsidRDefault="009538DA"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In the first phase, the study focused on conceptual scoping and instrument design. A focused </w:t>
      </w:r>
      <w:r w:rsidR="00130EF9" w:rsidRPr="00864726">
        <w:rPr>
          <w:rFonts w:ascii="Times New Roman" w:hAnsi="Times New Roman" w:cs="Times New Roman"/>
          <w:lang w:val="en-US"/>
        </w:rPr>
        <w:t xml:space="preserve">literature </w:t>
      </w:r>
      <w:r w:rsidRPr="00864726">
        <w:rPr>
          <w:rFonts w:ascii="Times New Roman" w:hAnsi="Times New Roman" w:cs="Times New Roman"/>
          <w:lang w:val="en-US"/>
        </w:rPr>
        <w:t xml:space="preserve">review was conducted </w:t>
      </w:r>
      <w:proofErr w:type="gramStart"/>
      <w:r w:rsidRPr="00864726">
        <w:rPr>
          <w:rFonts w:ascii="Times New Roman" w:hAnsi="Times New Roman" w:cs="Times New Roman"/>
          <w:lang w:val="en-US"/>
        </w:rPr>
        <w:t>in order to</w:t>
      </w:r>
      <w:proofErr w:type="gramEnd"/>
      <w:r w:rsidRPr="00864726">
        <w:rPr>
          <w:rFonts w:ascii="Times New Roman" w:hAnsi="Times New Roman" w:cs="Times New Roman"/>
          <w:lang w:val="en-US"/>
        </w:rPr>
        <w:t xml:space="preserve"> identify the main determinants of technology acceptance relevant to accounting and related professional settings. Drawing on TAM, UTAUT and TOE, twelve initial factors were identified as the starting point for the study</w:t>
      </w:r>
      <w:r w:rsidR="001E2B8E" w:rsidRPr="00864726">
        <w:rPr>
          <w:rFonts w:ascii="Times New Roman" w:hAnsi="Times New Roman" w:cs="Times New Roman"/>
          <w:lang w:val="en-US"/>
        </w:rPr>
        <w:t xml:space="preserve">. </w:t>
      </w:r>
      <w:r w:rsidRPr="00864726">
        <w:rPr>
          <w:rFonts w:ascii="Times New Roman" w:hAnsi="Times New Roman" w:cs="Times New Roman"/>
          <w:lang w:val="en-US"/>
        </w:rPr>
        <w:t xml:space="preserve">At this stage, the expert panel was defined, and a semi-structured interview instrument for the first Delphi round was prepared. </w:t>
      </w:r>
    </w:p>
    <w:p w14:paraId="48F32732" w14:textId="11FE7CC7" w:rsidR="009538DA" w:rsidRPr="00864726" w:rsidRDefault="009538DA"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In the second phase, the Delphi process was implemented through two iterative rounds with the same panel of ten experts. The experts were selected through purposive sampling based on their professional experience in accounting, auditing, advisory services and ERP-related environments, as well as their familiarity with digital tools and process transformation. The panel included experts from Big Four firms, international audit and advisory networks, and a company </w:t>
      </w:r>
      <w:proofErr w:type="spellStart"/>
      <w:r w:rsidRPr="00864726">
        <w:rPr>
          <w:rFonts w:ascii="Times New Roman" w:hAnsi="Times New Roman" w:cs="Times New Roman"/>
          <w:lang w:val="en-US"/>
        </w:rPr>
        <w:t>specialising</w:t>
      </w:r>
      <w:proofErr w:type="spellEnd"/>
      <w:r w:rsidRPr="00864726">
        <w:rPr>
          <w:rFonts w:ascii="Times New Roman" w:hAnsi="Times New Roman" w:cs="Times New Roman"/>
          <w:lang w:val="en-US"/>
        </w:rPr>
        <w:t xml:space="preserve"> in accounting and ERP software solutions. This composition ensured that the assessment of the framework was grounded in practical accounting experience</w:t>
      </w:r>
      <w:r w:rsidR="001E2B8E" w:rsidRPr="00864726">
        <w:rPr>
          <w:rFonts w:ascii="Times New Roman" w:hAnsi="Times New Roman" w:cs="Times New Roman"/>
          <w:lang w:val="en-US"/>
        </w:rPr>
        <w:t>.</w:t>
      </w:r>
    </w:p>
    <w:p w14:paraId="3333767E" w14:textId="77777777" w:rsidR="009538DA" w:rsidRPr="00864726" w:rsidRDefault="009538DA"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first Delphi round was conducted through semi-structured interviews. Experts were asked to assess the relevance of the twelve initial factors, explain their practical meaning and suggest refinements or additional conditions that may influence adoption in accounting practice. The interview material was </w:t>
      </w:r>
      <w:proofErr w:type="spellStart"/>
      <w:r w:rsidRPr="00864726">
        <w:rPr>
          <w:rFonts w:ascii="Times New Roman" w:hAnsi="Times New Roman" w:cs="Times New Roman"/>
          <w:lang w:val="en-US"/>
        </w:rPr>
        <w:t>analysed</w:t>
      </w:r>
      <w:proofErr w:type="spellEnd"/>
      <w:r w:rsidRPr="00864726">
        <w:rPr>
          <w:rFonts w:ascii="Times New Roman" w:hAnsi="Times New Roman" w:cs="Times New Roman"/>
          <w:lang w:val="en-US"/>
        </w:rPr>
        <w:t xml:space="preserve"> using thematic analysis, with the aim of identifying recurring themes, clarifying factor meanings and </w:t>
      </w:r>
      <w:r w:rsidRPr="00864726">
        <w:rPr>
          <w:rFonts w:ascii="Times New Roman" w:hAnsi="Times New Roman" w:cs="Times New Roman"/>
          <w:lang w:val="en-US"/>
        </w:rPr>
        <w:lastRenderedPageBreak/>
        <w:t>refining the preliminary framework. Based on this analysis, a more precise set of factors and items was developed for the second Delphi round.</w:t>
      </w:r>
    </w:p>
    <w:p w14:paraId="585584A2" w14:textId="4FCA2355" w:rsidR="009538DA" w:rsidRPr="00864726" w:rsidRDefault="009538DA"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second Delphi round was conducted </w:t>
      </w:r>
      <w:r w:rsidR="000F336C" w:rsidRPr="00864726">
        <w:rPr>
          <w:rFonts w:ascii="Times New Roman" w:hAnsi="Times New Roman" w:cs="Times New Roman"/>
          <w:lang w:val="en-US"/>
        </w:rPr>
        <w:t>through</w:t>
      </w:r>
      <w:r w:rsidRPr="00864726">
        <w:rPr>
          <w:rFonts w:ascii="Times New Roman" w:hAnsi="Times New Roman" w:cs="Times New Roman"/>
          <w:lang w:val="en-US"/>
        </w:rPr>
        <w:t xml:space="preserve"> a structured online questionnaire. The questionnaire was prepared </w:t>
      </w:r>
      <w:proofErr w:type="gramStart"/>
      <w:r w:rsidRPr="00864726">
        <w:rPr>
          <w:rFonts w:ascii="Times New Roman" w:hAnsi="Times New Roman" w:cs="Times New Roman"/>
          <w:lang w:val="en-US"/>
        </w:rPr>
        <w:t>on the basis of</w:t>
      </w:r>
      <w:proofErr w:type="gramEnd"/>
      <w:r w:rsidRPr="00864726">
        <w:rPr>
          <w:rFonts w:ascii="Times New Roman" w:hAnsi="Times New Roman" w:cs="Times New Roman"/>
          <w:lang w:val="en-US"/>
        </w:rPr>
        <w:t xml:space="preserve"> the first-round results, and anonymous feedback from Round 1 was shared with the experts before they completed the second-round evaluation. This step is consistent with the logic of the Delphi method, which relies on iteration, controlled feedback and independent judgement </w:t>
      </w:r>
      <w:proofErr w:type="gramStart"/>
      <w:r w:rsidRPr="00864726">
        <w:rPr>
          <w:rFonts w:ascii="Times New Roman" w:hAnsi="Times New Roman" w:cs="Times New Roman"/>
          <w:lang w:val="en-US"/>
        </w:rPr>
        <w:t>in order to</w:t>
      </w:r>
      <w:proofErr w:type="gramEnd"/>
      <w:r w:rsidRPr="00864726">
        <w:rPr>
          <w:rFonts w:ascii="Times New Roman" w:hAnsi="Times New Roman" w:cs="Times New Roman"/>
          <w:lang w:val="en-US"/>
        </w:rPr>
        <w:t xml:space="preserve"> move towards expert consensus (Hsu &amp; Sandford, 2007). The result of the second phase was a refined set of items assessed quantitatively by the expert panel.</w:t>
      </w:r>
    </w:p>
    <w:p w14:paraId="63CE11EB" w14:textId="1C3B1660" w:rsidR="009538DA" w:rsidRPr="00864726" w:rsidRDefault="009538DA"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third phase focused on consensus analysis. The responses from the second Delphi round were </w:t>
      </w:r>
      <w:proofErr w:type="spellStart"/>
      <w:r w:rsidRPr="00864726">
        <w:rPr>
          <w:rFonts w:ascii="Times New Roman" w:hAnsi="Times New Roman" w:cs="Times New Roman"/>
          <w:lang w:val="en-US"/>
        </w:rPr>
        <w:t>analysed</w:t>
      </w:r>
      <w:proofErr w:type="spellEnd"/>
      <w:r w:rsidRPr="00864726">
        <w:rPr>
          <w:rFonts w:ascii="Times New Roman" w:hAnsi="Times New Roman" w:cs="Times New Roman"/>
          <w:lang w:val="en-US"/>
        </w:rPr>
        <w:t xml:space="preserve"> using the median, first and third quartiles (Q1 and Q3), interquartile range (IQR), the percentage of ratings equal to or above 4, and the within-group agreement index (</w:t>
      </w:r>
      <w:proofErr w:type="spellStart"/>
      <w:r w:rsidRPr="00864726">
        <w:rPr>
          <w:rFonts w:ascii="Times New Roman" w:hAnsi="Times New Roman" w:cs="Times New Roman"/>
          <w:lang w:val="en-US"/>
        </w:rPr>
        <w:t>rWG</w:t>
      </w:r>
      <w:proofErr w:type="spellEnd"/>
      <w:r w:rsidRPr="00864726">
        <w:rPr>
          <w:rFonts w:ascii="Times New Roman" w:hAnsi="Times New Roman" w:cs="Times New Roman"/>
          <w:lang w:val="en-US"/>
        </w:rPr>
        <w:t xml:space="preserve">). Following common Delphi practice, an item was considered to have achieved consensus if it met </w:t>
      </w:r>
      <w:r w:rsidR="001E2B8E" w:rsidRPr="00864726">
        <w:rPr>
          <w:rFonts w:ascii="Times New Roman" w:hAnsi="Times New Roman" w:cs="Times New Roman"/>
          <w:lang w:val="en-US"/>
        </w:rPr>
        <w:t>the set</w:t>
      </w:r>
      <w:r w:rsidRPr="00864726">
        <w:rPr>
          <w:rFonts w:ascii="Times New Roman" w:hAnsi="Times New Roman" w:cs="Times New Roman"/>
          <w:lang w:val="en-US"/>
        </w:rPr>
        <w:t xml:space="preserve"> conditions</w:t>
      </w:r>
      <w:r w:rsidR="001E2B8E" w:rsidRPr="00864726">
        <w:rPr>
          <w:rFonts w:ascii="Times New Roman" w:hAnsi="Times New Roman" w:cs="Times New Roman"/>
          <w:lang w:val="en-US"/>
        </w:rPr>
        <w:t>, including</w:t>
      </w:r>
      <w:r w:rsidRPr="00864726">
        <w:rPr>
          <w:rFonts w:ascii="Times New Roman" w:hAnsi="Times New Roman" w:cs="Times New Roman"/>
          <w:lang w:val="en-US"/>
        </w:rPr>
        <w:t xml:space="preserve"> median ≥ 4 and IQR ≤ 1. The percentage of ratings equal to or above 4 was used as an additional indicator of support, while </w:t>
      </w:r>
      <w:proofErr w:type="spellStart"/>
      <w:r w:rsidRPr="00864726">
        <w:rPr>
          <w:rFonts w:ascii="Times New Roman" w:hAnsi="Times New Roman" w:cs="Times New Roman"/>
          <w:lang w:val="en-US"/>
        </w:rPr>
        <w:t>rWG</w:t>
      </w:r>
      <w:proofErr w:type="spellEnd"/>
      <w:r w:rsidRPr="00864726">
        <w:rPr>
          <w:rFonts w:ascii="Times New Roman" w:hAnsi="Times New Roman" w:cs="Times New Roman"/>
          <w:lang w:val="en-US"/>
        </w:rPr>
        <w:t xml:space="preserve"> was used to assess the strength of within-group agreement, with values of 0.70 or above considered acceptable (James et al., 1984). </w:t>
      </w:r>
    </w:p>
    <w:p w14:paraId="739240C1" w14:textId="67613B2B" w:rsidR="009538DA" w:rsidRPr="00864726" w:rsidRDefault="001E2B8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w:t>
      </w:r>
      <w:r w:rsidR="009538DA" w:rsidRPr="00864726">
        <w:rPr>
          <w:rFonts w:ascii="Times New Roman" w:hAnsi="Times New Roman" w:cs="Times New Roman"/>
          <w:lang w:val="en-US"/>
        </w:rPr>
        <w:t>he methodological design allowed the study to move systematically from a literature-based framework towards an expert-validated set of adoption factors. The first phase established the conceptual and procedural basis of the study, the second phase generated and refined expert input through iterative Delphi rounds, and the third phase provided the statistical basis for determining consensus. In this way, the Delphi method served as the central empirical approach for validating the proposed framework for AI adoption in accounting.</w:t>
      </w:r>
    </w:p>
    <w:p w14:paraId="1D164044" w14:textId="77777777" w:rsidR="009538DA" w:rsidRPr="00864726" w:rsidRDefault="009538DA" w:rsidP="00864726">
      <w:pPr>
        <w:spacing w:after="0" w:line="240" w:lineRule="auto"/>
        <w:jc w:val="both"/>
        <w:rPr>
          <w:rFonts w:ascii="Times New Roman" w:hAnsi="Times New Roman" w:cs="Times New Roman"/>
          <w:lang w:val="en-US"/>
        </w:rPr>
      </w:pPr>
    </w:p>
    <w:p w14:paraId="3CE1E00F" w14:textId="77777777" w:rsidR="009538DA" w:rsidRPr="00864726" w:rsidRDefault="009538DA" w:rsidP="00864726">
      <w:pPr>
        <w:spacing w:after="0" w:line="240" w:lineRule="auto"/>
        <w:jc w:val="both"/>
        <w:rPr>
          <w:rFonts w:ascii="Times New Roman" w:hAnsi="Times New Roman" w:cs="Times New Roman"/>
          <w:lang w:val="en-US"/>
        </w:rPr>
      </w:pPr>
    </w:p>
    <w:p w14:paraId="0F68312A" w14:textId="5050F5D9" w:rsidR="00CC18C2" w:rsidRPr="00864726" w:rsidRDefault="00CC18C2"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Results</w:t>
      </w:r>
      <w:r w:rsidR="00472F64" w:rsidRPr="00864726">
        <w:rPr>
          <w:rFonts w:ascii="Times New Roman" w:hAnsi="Times New Roman" w:cs="Times New Roman"/>
          <w:b/>
          <w:bCs/>
          <w:lang w:val="en-US"/>
        </w:rPr>
        <w:t xml:space="preserve"> and Discussion</w:t>
      </w:r>
    </w:p>
    <w:p w14:paraId="28B57E14" w14:textId="77777777"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expert panel consisted of ten practitioners with substantial experience in accounting, auditing, advisory services and the implementation or use of advanced digital tools. The panel was suitable for the purpose of the study because it combined accounting expertise with practical exposure to digital systems, ERP environments and technology-enabled accounting processes. Six experts were male and four were female. Most experts had between 15 and 20 years of professional experience, while all experts held professional accounting certification. The demographic and professional characteristics of the panel are presented in Table 2. </w:t>
      </w:r>
    </w:p>
    <w:p w14:paraId="0B08BAF7" w14:textId="77777777" w:rsidR="0067314E" w:rsidRPr="00864726" w:rsidRDefault="0067314E" w:rsidP="00864726">
      <w:pPr>
        <w:spacing w:after="0" w:line="240" w:lineRule="auto"/>
        <w:jc w:val="both"/>
        <w:rPr>
          <w:rFonts w:ascii="Times New Roman" w:hAnsi="Times New Roman" w:cs="Times New Roman"/>
          <w:lang w:val="en-US"/>
        </w:rPr>
      </w:pPr>
    </w:p>
    <w:p w14:paraId="55B29151" w14:textId="56CD3D47" w:rsidR="0047589E" w:rsidRPr="00864726" w:rsidRDefault="0047589E" w:rsidP="00864726">
      <w:pPr>
        <w:spacing w:after="0" w:line="240" w:lineRule="auto"/>
        <w:jc w:val="center"/>
        <w:rPr>
          <w:rFonts w:ascii="Times New Roman" w:hAnsi="Times New Roman" w:cs="Times New Roman"/>
          <w:lang w:val="en-US"/>
        </w:rPr>
      </w:pPr>
      <w:r w:rsidRPr="00864726">
        <w:rPr>
          <w:rFonts w:ascii="Times New Roman" w:hAnsi="Times New Roman" w:cs="Times New Roman"/>
          <w:lang w:val="en-US"/>
        </w:rPr>
        <w:t>Table 2</w:t>
      </w:r>
      <w:r w:rsidR="00844040">
        <w:rPr>
          <w:rFonts w:ascii="Times New Roman" w:hAnsi="Times New Roman" w:cs="Times New Roman"/>
          <w:lang w:val="en-US"/>
        </w:rPr>
        <w:t>:</w:t>
      </w:r>
      <w:r w:rsidRPr="00864726">
        <w:rPr>
          <w:rFonts w:ascii="Times New Roman" w:hAnsi="Times New Roman" w:cs="Times New Roman"/>
          <w:lang w:val="en-US"/>
        </w:rPr>
        <w:t xml:space="preserve"> Demographic profile of the expert panel (n = 10)</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99"/>
        <w:gridCol w:w="2194"/>
        <w:gridCol w:w="416"/>
        <w:gridCol w:w="683"/>
      </w:tblGrid>
      <w:tr w:rsidR="0047589E" w:rsidRPr="0081002F" w14:paraId="566AFE37" w14:textId="77777777" w:rsidTr="0081002F">
        <w:trPr>
          <w:jc w:val="center"/>
        </w:trPr>
        <w:tc>
          <w:tcPr>
            <w:tcW w:w="0" w:type="auto"/>
            <w:tcBorders>
              <w:top w:val="single" w:sz="18" w:space="0" w:color="auto"/>
              <w:bottom w:val="single" w:sz="18" w:space="0" w:color="auto"/>
              <w:right w:val="single" w:sz="18" w:space="0" w:color="auto"/>
            </w:tcBorders>
            <w:hideMark/>
          </w:tcPr>
          <w:p w14:paraId="3E7DB847" w14:textId="77777777" w:rsidR="0047589E" w:rsidRPr="0081002F" w:rsidRDefault="0047589E"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Characteristic</w:t>
            </w:r>
          </w:p>
        </w:tc>
        <w:tc>
          <w:tcPr>
            <w:tcW w:w="0" w:type="auto"/>
            <w:tcBorders>
              <w:top w:val="single" w:sz="18" w:space="0" w:color="auto"/>
              <w:left w:val="single" w:sz="18" w:space="0" w:color="auto"/>
              <w:bottom w:val="single" w:sz="18" w:space="0" w:color="auto"/>
              <w:right w:val="single" w:sz="18" w:space="0" w:color="auto"/>
            </w:tcBorders>
            <w:hideMark/>
          </w:tcPr>
          <w:p w14:paraId="78134C30" w14:textId="77777777" w:rsidR="0047589E" w:rsidRPr="0081002F" w:rsidRDefault="0047589E"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Category</w:t>
            </w:r>
          </w:p>
        </w:tc>
        <w:tc>
          <w:tcPr>
            <w:tcW w:w="0" w:type="auto"/>
            <w:tcBorders>
              <w:top w:val="single" w:sz="18" w:space="0" w:color="auto"/>
              <w:left w:val="single" w:sz="18" w:space="0" w:color="auto"/>
              <w:bottom w:val="single" w:sz="18" w:space="0" w:color="auto"/>
              <w:right w:val="single" w:sz="18" w:space="0" w:color="auto"/>
            </w:tcBorders>
            <w:hideMark/>
          </w:tcPr>
          <w:p w14:paraId="175EC9D2" w14:textId="77777777" w:rsidR="0047589E" w:rsidRPr="0081002F" w:rsidRDefault="0047589E"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n</w:t>
            </w:r>
          </w:p>
        </w:tc>
        <w:tc>
          <w:tcPr>
            <w:tcW w:w="0" w:type="auto"/>
            <w:tcBorders>
              <w:top w:val="single" w:sz="18" w:space="0" w:color="auto"/>
              <w:left w:val="single" w:sz="18" w:space="0" w:color="auto"/>
              <w:bottom w:val="single" w:sz="18" w:space="0" w:color="auto"/>
            </w:tcBorders>
            <w:hideMark/>
          </w:tcPr>
          <w:p w14:paraId="2A7144D9" w14:textId="77777777" w:rsidR="0047589E" w:rsidRPr="0081002F" w:rsidRDefault="0047589E"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w:t>
            </w:r>
          </w:p>
        </w:tc>
      </w:tr>
      <w:tr w:rsidR="0081002F" w:rsidRPr="0081002F" w14:paraId="281014A7" w14:textId="77777777" w:rsidTr="0081002F">
        <w:trPr>
          <w:jc w:val="center"/>
        </w:trPr>
        <w:tc>
          <w:tcPr>
            <w:tcW w:w="0" w:type="auto"/>
            <w:vMerge w:val="restart"/>
            <w:tcBorders>
              <w:top w:val="single" w:sz="18" w:space="0" w:color="auto"/>
              <w:right w:val="single" w:sz="18" w:space="0" w:color="auto"/>
            </w:tcBorders>
            <w:vAlign w:val="center"/>
            <w:hideMark/>
          </w:tcPr>
          <w:p w14:paraId="61A76576"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Gender</w:t>
            </w:r>
          </w:p>
        </w:tc>
        <w:tc>
          <w:tcPr>
            <w:tcW w:w="0" w:type="auto"/>
            <w:tcBorders>
              <w:top w:val="single" w:sz="18" w:space="0" w:color="auto"/>
              <w:left w:val="single" w:sz="18" w:space="0" w:color="auto"/>
              <w:right w:val="single" w:sz="18" w:space="0" w:color="auto"/>
            </w:tcBorders>
            <w:hideMark/>
          </w:tcPr>
          <w:p w14:paraId="6DEC45C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Male</w:t>
            </w:r>
          </w:p>
        </w:tc>
        <w:tc>
          <w:tcPr>
            <w:tcW w:w="0" w:type="auto"/>
            <w:tcBorders>
              <w:top w:val="single" w:sz="18" w:space="0" w:color="auto"/>
              <w:left w:val="single" w:sz="18" w:space="0" w:color="auto"/>
              <w:right w:val="single" w:sz="18" w:space="0" w:color="auto"/>
            </w:tcBorders>
            <w:hideMark/>
          </w:tcPr>
          <w:p w14:paraId="1C3D719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6</w:t>
            </w:r>
          </w:p>
        </w:tc>
        <w:tc>
          <w:tcPr>
            <w:tcW w:w="0" w:type="auto"/>
            <w:tcBorders>
              <w:top w:val="single" w:sz="18" w:space="0" w:color="auto"/>
              <w:left w:val="single" w:sz="18" w:space="0" w:color="auto"/>
            </w:tcBorders>
            <w:hideMark/>
          </w:tcPr>
          <w:p w14:paraId="7C3C157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60%</w:t>
            </w:r>
          </w:p>
        </w:tc>
      </w:tr>
      <w:tr w:rsidR="0081002F" w:rsidRPr="0081002F" w14:paraId="35FBBB9A" w14:textId="77777777" w:rsidTr="0081002F">
        <w:trPr>
          <w:jc w:val="center"/>
        </w:trPr>
        <w:tc>
          <w:tcPr>
            <w:tcW w:w="0" w:type="auto"/>
            <w:vMerge/>
            <w:tcBorders>
              <w:right w:val="single" w:sz="18" w:space="0" w:color="auto"/>
            </w:tcBorders>
            <w:hideMark/>
          </w:tcPr>
          <w:p w14:paraId="0BF51AEB" w14:textId="77777777" w:rsidR="0081002F" w:rsidRPr="0081002F" w:rsidRDefault="0081002F" w:rsidP="00864726">
            <w:pPr>
              <w:jc w:val="both"/>
              <w:rPr>
                <w:rFonts w:ascii="Times New Roman" w:hAnsi="Times New Roman" w:cs="Times New Roman"/>
                <w:sz w:val="20"/>
                <w:szCs w:val="20"/>
                <w:lang w:val="en-US"/>
              </w:rPr>
            </w:pPr>
          </w:p>
        </w:tc>
        <w:tc>
          <w:tcPr>
            <w:tcW w:w="0" w:type="auto"/>
            <w:tcBorders>
              <w:left w:val="single" w:sz="18" w:space="0" w:color="auto"/>
              <w:right w:val="single" w:sz="18" w:space="0" w:color="auto"/>
            </w:tcBorders>
            <w:hideMark/>
          </w:tcPr>
          <w:p w14:paraId="5516717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Female</w:t>
            </w:r>
          </w:p>
        </w:tc>
        <w:tc>
          <w:tcPr>
            <w:tcW w:w="0" w:type="auto"/>
            <w:tcBorders>
              <w:left w:val="single" w:sz="18" w:space="0" w:color="auto"/>
              <w:right w:val="single" w:sz="18" w:space="0" w:color="auto"/>
            </w:tcBorders>
            <w:hideMark/>
          </w:tcPr>
          <w:p w14:paraId="590B3EF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w:t>
            </w:r>
          </w:p>
        </w:tc>
        <w:tc>
          <w:tcPr>
            <w:tcW w:w="0" w:type="auto"/>
            <w:tcBorders>
              <w:left w:val="single" w:sz="18" w:space="0" w:color="auto"/>
            </w:tcBorders>
            <w:hideMark/>
          </w:tcPr>
          <w:p w14:paraId="1F7A683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40%</w:t>
            </w:r>
          </w:p>
        </w:tc>
      </w:tr>
      <w:tr w:rsidR="0081002F" w:rsidRPr="0081002F" w14:paraId="09AE1B4E" w14:textId="77777777" w:rsidTr="0081002F">
        <w:trPr>
          <w:jc w:val="center"/>
        </w:trPr>
        <w:tc>
          <w:tcPr>
            <w:tcW w:w="0" w:type="auto"/>
            <w:vMerge w:val="restart"/>
            <w:tcBorders>
              <w:right w:val="single" w:sz="18" w:space="0" w:color="auto"/>
            </w:tcBorders>
            <w:vAlign w:val="center"/>
            <w:hideMark/>
          </w:tcPr>
          <w:p w14:paraId="1558C556"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Years of experience</w:t>
            </w:r>
          </w:p>
        </w:tc>
        <w:tc>
          <w:tcPr>
            <w:tcW w:w="0" w:type="auto"/>
            <w:tcBorders>
              <w:left w:val="single" w:sz="18" w:space="0" w:color="auto"/>
              <w:right w:val="single" w:sz="18" w:space="0" w:color="auto"/>
            </w:tcBorders>
            <w:hideMark/>
          </w:tcPr>
          <w:p w14:paraId="0997252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10–15 years</w:t>
            </w:r>
          </w:p>
        </w:tc>
        <w:tc>
          <w:tcPr>
            <w:tcW w:w="0" w:type="auto"/>
            <w:tcBorders>
              <w:left w:val="single" w:sz="18" w:space="0" w:color="auto"/>
              <w:right w:val="single" w:sz="18" w:space="0" w:color="auto"/>
            </w:tcBorders>
            <w:hideMark/>
          </w:tcPr>
          <w:p w14:paraId="0679D3E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w:t>
            </w:r>
          </w:p>
        </w:tc>
        <w:tc>
          <w:tcPr>
            <w:tcW w:w="0" w:type="auto"/>
            <w:tcBorders>
              <w:left w:val="single" w:sz="18" w:space="0" w:color="auto"/>
            </w:tcBorders>
            <w:hideMark/>
          </w:tcPr>
          <w:p w14:paraId="0AC3841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30%</w:t>
            </w:r>
          </w:p>
        </w:tc>
      </w:tr>
      <w:tr w:rsidR="0081002F" w:rsidRPr="0081002F" w14:paraId="5A3F7A04" w14:textId="77777777" w:rsidTr="0081002F">
        <w:trPr>
          <w:jc w:val="center"/>
        </w:trPr>
        <w:tc>
          <w:tcPr>
            <w:tcW w:w="0" w:type="auto"/>
            <w:vMerge/>
            <w:tcBorders>
              <w:right w:val="single" w:sz="18" w:space="0" w:color="auto"/>
            </w:tcBorders>
            <w:hideMark/>
          </w:tcPr>
          <w:p w14:paraId="775A295E" w14:textId="77777777" w:rsidR="0081002F" w:rsidRPr="0081002F" w:rsidRDefault="0081002F" w:rsidP="00864726">
            <w:pPr>
              <w:jc w:val="both"/>
              <w:rPr>
                <w:rFonts w:ascii="Times New Roman" w:hAnsi="Times New Roman" w:cs="Times New Roman"/>
                <w:sz w:val="20"/>
                <w:szCs w:val="20"/>
                <w:lang w:val="en-US"/>
              </w:rPr>
            </w:pPr>
          </w:p>
        </w:tc>
        <w:tc>
          <w:tcPr>
            <w:tcW w:w="0" w:type="auto"/>
            <w:tcBorders>
              <w:left w:val="single" w:sz="18" w:space="0" w:color="auto"/>
              <w:right w:val="single" w:sz="18" w:space="0" w:color="auto"/>
            </w:tcBorders>
            <w:hideMark/>
          </w:tcPr>
          <w:p w14:paraId="58F1F78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15–20 years</w:t>
            </w:r>
          </w:p>
        </w:tc>
        <w:tc>
          <w:tcPr>
            <w:tcW w:w="0" w:type="auto"/>
            <w:tcBorders>
              <w:left w:val="single" w:sz="18" w:space="0" w:color="auto"/>
              <w:right w:val="single" w:sz="18" w:space="0" w:color="auto"/>
            </w:tcBorders>
            <w:hideMark/>
          </w:tcPr>
          <w:p w14:paraId="55B1E3F6"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6</w:t>
            </w:r>
          </w:p>
        </w:tc>
        <w:tc>
          <w:tcPr>
            <w:tcW w:w="0" w:type="auto"/>
            <w:tcBorders>
              <w:left w:val="single" w:sz="18" w:space="0" w:color="auto"/>
            </w:tcBorders>
            <w:hideMark/>
          </w:tcPr>
          <w:p w14:paraId="2483401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60%</w:t>
            </w:r>
          </w:p>
        </w:tc>
      </w:tr>
      <w:tr w:rsidR="0081002F" w:rsidRPr="0081002F" w14:paraId="78160055" w14:textId="77777777" w:rsidTr="0081002F">
        <w:trPr>
          <w:jc w:val="center"/>
        </w:trPr>
        <w:tc>
          <w:tcPr>
            <w:tcW w:w="0" w:type="auto"/>
            <w:vMerge/>
            <w:tcBorders>
              <w:right w:val="single" w:sz="18" w:space="0" w:color="auto"/>
            </w:tcBorders>
            <w:hideMark/>
          </w:tcPr>
          <w:p w14:paraId="5038D15B" w14:textId="77777777" w:rsidR="0081002F" w:rsidRPr="0081002F" w:rsidRDefault="0081002F" w:rsidP="00864726">
            <w:pPr>
              <w:jc w:val="both"/>
              <w:rPr>
                <w:rFonts w:ascii="Times New Roman" w:hAnsi="Times New Roman" w:cs="Times New Roman"/>
                <w:sz w:val="20"/>
                <w:szCs w:val="20"/>
                <w:lang w:val="en-US"/>
              </w:rPr>
            </w:pPr>
          </w:p>
        </w:tc>
        <w:tc>
          <w:tcPr>
            <w:tcW w:w="0" w:type="auto"/>
            <w:tcBorders>
              <w:left w:val="single" w:sz="18" w:space="0" w:color="auto"/>
              <w:right w:val="single" w:sz="18" w:space="0" w:color="auto"/>
            </w:tcBorders>
            <w:hideMark/>
          </w:tcPr>
          <w:p w14:paraId="2EC46B1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20–25 years</w:t>
            </w:r>
          </w:p>
        </w:tc>
        <w:tc>
          <w:tcPr>
            <w:tcW w:w="0" w:type="auto"/>
            <w:tcBorders>
              <w:left w:val="single" w:sz="18" w:space="0" w:color="auto"/>
              <w:right w:val="single" w:sz="18" w:space="0" w:color="auto"/>
            </w:tcBorders>
            <w:hideMark/>
          </w:tcPr>
          <w:p w14:paraId="404D6C28"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1</w:t>
            </w:r>
          </w:p>
        </w:tc>
        <w:tc>
          <w:tcPr>
            <w:tcW w:w="0" w:type="auto"/>
            <w:tcBorders>
              <w:left w:val="single" w:sz="18" w:space="0" w:color="auto"/>
            </w:tcBorders>
            <w:hideMark/>
          </w:tcPr>
          <w:p w14:paraId="753B1EB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10%</w:t>
            </w:r>
          </w:p>
        </w:tc>
      </w:tr>
      <w:tr w:rsidR="0081002F" w:rsidRPr="0081002F" w14:paraId="334284EF" w14:textId="77777777" w:rsidTr="0081002F">
        <w:trPr>
          <w:jc w:val="center"/>
        </w:trPr>
        <w:tc>
          <w:tcPr>
            <w:tcW w:w="0" w:type="auto"/>
            <w:vMerge w:val="restart"/>
            <w:tcBorders>
              <w:right w:val="single" w:sz="18" w:space="0" w:color="auto"/>
            </w:tcBorders>
            <w:vAlign w:val="center"/>
            <w:hideMark/>
          </w:tcPr>
          <w:p w14:paraId="7F17C35F"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Academic background</w:t>
            </w:r>
          </w:p>
        </w:tc>
        <w:tc>
          <w:tcPr>
            <w:tcW w:w="0" w:type="auto"/>
            <w:tcBorders>
              <w:left w:val="single" w:sz="18" w:space="0" w:color="auto"/>
              <w:right w:val="single" w:sz="18" w:space="0" w:color="auto"/>
            </w:tcBorders>
            <w:hideMark/>
          </w:tcPr>
          <w:p w14:paraId="4DAF158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Accounting and auditing</w:t>
            </w:r>
          </w:p>
        </w:tc>
        <w:tc>
          <w:tcPr>
            <w:tcW w:w="0" w:type="auto"/>
            <w:tcBorders>
              <w:left w:val="single" w:sz="18" w:space="0" w:color="auto"/>
              <w:right w:val="single" w:sz="18" w:space="0" w:color="auto"/>
            </w:tcBorders>
            <w:hideMark/>
          </w:tcPr>
          <w:p w14:paraId="50D9221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8</w:t>
            </w:r>
          </w:p>
        </w:tc>
        <w:tc>
          <w:tcPr>
            <w:tcW w:w="0" w:type="auto"/>
            <w:tcBorders>
              <w:left w:val="single" w:sz="18" w:space="0" w:color="auto"/>
            </w:tcBorders>
            <w:hideMark/>
          </w:tcPr>
          <w:p w14:paraId="34FEEFC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80%</w:t>
            </w:r>
          </w:p>
        </w:tc>
      </w:tr>
      <w:tr w:rsidR="0081002F" w:rsidRPr="0081002F" w14:paraId="192CCA96" w14:textId="77777777" w:rsidTr="0081002F">
        <w:trPr>
          <w:jc w:val="center"/>
        </w:trPr>
        <w:tc>
          <w:tcPr>
            <w:tcW w:w="0" w:type="auto"/>
            <w:vMerge/>
            <w:tcBorders>
              <w:right w:val="single" w:sz="18" w:space="0" w:color="auto"/>
            </w:tcBorders>
            <w:hideMark/>
          </w:tcPr>
          <w:p w14:paraId="19F28929" w14:textId="77777777" w:rsidR="0081002F" w:rsidRPr="0081002F" w:rsidRDefault="0081002F" w:rsidP="00864726">
            <w:pPr>
              <w:jc w:val="both"/>
              <w:rPr>
                <w:rFonts w:ascii="Times New Roman" w:hAnsi="Times New Roman" w:cs="Times New Roman"/>
                <w:sz w:val="20"/>
                <w:szCs w:val="20"/>
                <w:lang w:val="en-US"/>
              </w:rPr>
            </w:pPr>
          </w:p>
        </w:tc>
        <w:tc>
          <w:tcPr>
            <w:tcW w:w="0" w:type="auto"/>
            <w:tcBorders>
              <w:left w:val="single" w:sz="18" w:space="0" w:color="auto"/>
              <w:right w:val="single" w:sz="18" w:space="0" w:color="auto"/>
            </w:tcBorders>
            <w:hideMark/>
          </w:tcPr>
          <w:p w14:paraId="0884B68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IT/ICT</w:t>
            </w:r>
          </w:p>
        </w:tc>
        <w:tc>
          <w:tcPr>
            <w:tcW w:w="0" w:type="auto"/>
            <w:tcBorders>
              <w:left w:val="single" w:sz="18" w:space="0" w:color="auto"/>
              <w:right w:val="single" w:sz="18" w:space="0" w:color="auto"/>
            </w:tcBorders>
            <w:hideMark/>
          </w:tcPr>
          <w:p w14:paraId="665BEBB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2</w:t>
            </w:r>
          </w:p>
        </w:tc>
        <w:tc>
          <w:tcPr>
            <w:tcW w:w="0" w:type="auto"/>
            <w:tcBorders>
              <w:left w:val="single" w:sz="18" w:space="0" w:color="auto"/>
            </w:tcBorders>
            <w:hideMark/>
          </w:tcPr>
          <w:p w14:paraId="6F6F3AB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20%</w:t>
            </w:r>
          </w:p>
        </w:tc>
      </w:tr>
      <w:tr w:rsidR="0081002F" w:rsidRPr="0081002F" w14:paraId="5F2E813D" w14:textId="77777777" w:rsidTr="0081002F">
        <w:trPr>
          <w:jc w:val="center"/>
        </w:trPr>
        <w:tc>
          <w:tcPr>
            <w:tcW w:w="0" w:type="auto"/>
            <w:vMerge w:val="restart"/>
            <w:tcBorders>
              <w:right w:val="single" w:sz="18" w:space="0" w:color="auto"/>
            </w:tcBorders>
            <w:vAlign w:val="center"/>
            <w:hideMark/>
          </w:tcPr>
          <w:p w14:paraId="6664AE3D"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Professional certifications*</w:t>
            </w:r>
          </w:p>
        </w:tc>
        <w:tc>
          <w:tcPr>
            <w:tcW w:w="0" w:type="auto"/>
            <w:tcBorders>
              <w:left w:val="single" w:sz="18" w:space="0" w:color="auto"/>
              <w:right w:val="single" w:sz="18" w:space="0" w:color="auto"/>
            </w:tcBorders>
            <w:hideMark/>
          </w:tcPr>
          <w:p w14:paraId="3F7D3A8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Certified auditor</w:t>
            </w:r>
          </w:p>
        </w:tc>
        <w:tc>
          <w:tcPr>
            <w:tcW w:w="0" w:type="auto"/>
            <w:tcBorders>
              <w:left w:val="single" w:sz="18" w:space="0" w:color="auto"/>
              <w:right w:val="single" w:sz="18" w:space="0" w:color="auto"/>
            </w:tcBorders>
            <w:hideMark/>
          </w:tcPr>
          <w:p w14:paraId="423ACA6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9</w:t>
            </w:r>
          </w:p>
        </w:tc>
        <w:tc>
          <w:tcPr>
            <w:tcW w:w="0" w:type="auto"/>
            <w:tcBorders>
              <w:left w:val="single" w:sz="18" w:space="0" w:color="auto"/>
            </w:tcBorders>
            <w:hideMark/>
          </w:tcPr>
          <w:p w14:paraId="64745D5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90%</w:t>
            </w:r>
          </w:p>
        </w:tc>
      </w:tr>
      <w:tr w:rsidR="0081002F" w:rsidRPr="0081002F" w14:paraId="5B3A90E9" w14:textId="77777777" w:rsidTr="0081002F">
        <w:trPr>
          <w:jc w:val="center"/>
        </w:trPr>
        <w:tc>
          <w:tcPr>
            <w:tcW w:w="0" w:type="auto"/>
            <w:vMerge/>
            <w:tcBorders>
              <w:right w:val="single" w:sz="18" w:space="0" w:color="auto"/>
            </w:tcBorders>
            <w:hideMark/>
          </w:tcPr>
          <w:p w14:paraId="1620F3CE" w14:textId="77777777" w:rsidR="0081002F" w:rsidRPr="0081002F" w:rsidRDefault="0081002F" w:rsidP="00864726">
            <w:pPr>
              <w:jc w:val="both"/>
              <w:rPr>
                <w:rFonts w:ascii="Times New Roman" w:hAnsi="Times New Roman" w:cs="Times New Roman"/>
                <w:sz w:val="20"/>
                <w:szCs w:val="20"/>
                <w:lang w:val="en-US"/>
              </w:rPr>
            </w:pPr>
          </w:p>
        </w:tc>
        <w:tc>
          <w:tcPr>
            <w:tcW w:w="0" w:type="auto"/>
            <w:tcBorders>
              <w:left w:val="single" w:sz="18" w:space="0" w:color="auto"/>
              <w:right w:val="single" w:sz="18" w:space="0" w:color="auto"/>
            </w:tcBorders>
            <w:hideMark/>
          </w:tcPr>
          <w:p w14:paraId="0935D5D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Certified accountant</w:t>
            </w:r>
          </w:p>
        </w:tc>
        <w:tc>
          <w:tcPr>
            <w:tcW w:w="0" w:type="auto"/>
            <w:tcBorders>
              <w:left w:val="single" w:sz="18" w:space="0" w:color="auto"/>
              <w:right w:val="single" w:sz="18" w:space="0" w:color="auto"/>
            </w:tcBorders>
            <w:hideMark/>
          </w:tcPr>
          <w:p w14:paraId="715A69A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10</w:t>
            </w:r>
          </w:p>
        </w:tc>
        <w:tc>
          <w:tcPr>
            <w:tcW w:w="0" w:type="auto"/>
            <w:tcBorders>
              <w:left w:val="single" w:sz="18" w:space="0" w:color="auto"/>
            </w:tcBorders>
            <w:hideMark/>
          </w:tcPr>
          <w:p w14:paraId="349535B8"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100%</w:t>
            </w:r>
          </w:p>
        </w:tc>
      </w:tr>
      <w:tr w:rsidR="0081002F" w:rsidRPr="0081002F" w14:paraId="3B0F51D6" w14:textId="77777777" w:rsidTr="0081002F">
        <w:trPr>
          <w:jc w:val="center"/>
        </w:trPr>
        <w:tc>
          <w:tcPr>
            <w:tcW w:w="0" w:type="auto"/>
            <w:vMerge/>
            <w:tcBorders>
              <w:bottom w:val="single" w:sz="18" w:space="0" w:color="auto"/>
              <w:right w:val="single" w:sz="18" w:space="0" w:color="auto"/>
            </w:tcBorders>
            <w:hideMark/>
          </w:tcPr>
          <w:p w14:paraId="70D615E8" w14:textId="77777777" w:rsidR="0081002F" w:rsidRPr="0081002F" w:rsidRDefault="0081002F" w:rsidP="00864726">
            <w:pPr>
              <w:jc w:val="both"/>
              <w:rPr>
                <w:rFonts w:ascii="Times New Roman" w:hAnsi="Times New Roman" w:cs="Times New Roman"/>
                <w:i/>
                <w:iCs/>
                <w:sz w:val="20"/>
                <w:szCs w:val="20"/>
                <w:lang w:val="en-US"/>
              </w:rPr>
            </w:pPr>
          </w:p>
        </w:tc>
        <w:tc>
          <w:tcPr>
            <w:tcW w:w="0" w:type="auto"/>
            <w:tcBorders>
              <w:left w:val="single" w:sz="18" w:space="0" w:color="auto"/>
              <w:bottom w:val="single" w:sz="18" w:space="0" w:color="auto"/>
              <w:right w:val="single" w:sz="18" w:space="0" w:color="auto"/>
            </w:tcBorders>
            <w:hideMark/>
          </w:tcPr>
          <w:p w14:paraId="6013484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ACCA</w:t>
            </w:r>
          </w:p>
        </w:tc>
        <w:tc>
          <w:tcPr>
            <w:tcW w:w="0" w:type="auto"/>
            <w:tcBorders>
              <w:left w:val="single" w:sz="18" w:space="0" w:color="auto"/>
              <w:bottom w:val="single" w:sz="18" w:space="0" w:color="auto"/>
              <w:right w:val="single" w:sz="18" w:space="0" w:color="auto"/>
            </w:tcBorders>
            <w:hideMark/>
          </w:tcPr>
          <w:p w14:paraId="5EC80A3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w:t>
            </w:r>
          </w:p>
        </w:tc>
        <w:tc>
          <w:tcPr>
            <w:tcW w:w="0" w:type="auto"/>
            <w:tcBorders>
              <w:left w:val="single" w:sz="18" w:space="0" w:color="auto"/>
              <w:bottom w:val="single" w:sz="18" w:space="0" w:color="auto"/>
            </w:tcBorders>
            <w:hideMark/>
          </w:tcPr>
          <w:p w14:paraId="3B3D55B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40%</w:t>
            </w:r>
          </w:p>
        </w:tc>
      </w:tr>
    </w:tbl>
    <w:p w14:paraId="299D5DF4" w14:textId="0A8DBAD5" w:rsidR="003E6DA4" w:rsidRPr="0081002F" w:rsidRDefault="0047589E" w:rsidP="00864726">
      <w:pPr>
        <w:spacing w:after="0" w:line="240" w:lineRule="auto"/>
        <w:rPr>
          <w:rFonts w:ascii="Times New Roman" w:hAnsi="Times New Roman" w:cs="Times New Roman"/>
          <w:i/>
          <w:iCs/>
          <w:lang w:val="en-US"/>
        </w:rPr>
      </w:pPr>
      <w:r w:rsidRPr="0081002F">
        <w:rPr>
          <w:rFonts w:ascii="Times New Roman" w:hAnsi="Times New Roman" w:cs="Times New Roman"/>
          <w:i/>
          <w:iCs/>
          <w:sz w:val="20"/>
          <w:szCs w:val="20"/>
          <w:lang w:val="en-US"/>
        </w:rPr>
        <w:t>*Experts may hold more than one professional certification</w:t>
      </w:r>
    </w:p>
    <w:p w14:paraId="3E382AE7" w14:textId="047F7AF9" w:rsidR="0067314E" w:rsidRPr="0081002F" w:rsidRDefault="0047589E" w:rsidP="00864726">
      <w:pPr>
        <w:spacing w:after="0" w:line="240" w:lineRule="auto"/>
        <w:jc w:val="center"/>
        <w:rPr>
          <w:rFonts w:ascii="Times New Roman" w:hAnsi="Times New Roman" w:cs="Times New Roman"/>
          <w:i/>
          <w:iCs/>
          <w:lang w:val="en-US"/>
        </w:rPr>
      </w:pPr>
      <w:r w:rsidRPr="0081002F">
        <w:rPr>
          <w:rFonts w:ascii="Times New Roman" w:hAnsi="Times New Roman" w:cs="Times New Roman"/>
          <w:i/>
          <w:iCs/>
          <w:lang w:val="en-US"/>
        </w:rPr>
        <w:t>Source: Authors’ calculations</w:t>
      </w:r>
    </w:p>
    <w:p w14:paraId="7E375A65" w14:textId="77777777" w:rsidR="003E6DA4" w:rsidRPr="00864726" w:rsidRDefault="003E6DA4" w:rsidP="00864726">
      <w:pPr>
        <w:spacing w:after="0" w:line="240" w:lineRule="auto"/>
        <w:rPr>
          <w:rFonts w:ascii="Times New Roman" w:hAnsi="Times New Roman" w:cs="Times New Roman"/>
          <w:lang w:val="en-US"/>
        </w:rPr>
      </w:pPr>
    </w:p>
    <w:p w14:paraId="3EF6E2A9" w14:textId="2D0A55CE"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All experts were employed in international accounting, auditing and consulting environments, including two Big Four firms, two international professional networks and one company </w:t>
      </w:r>
      <w:proofErr w:type="spellStart"/>
      <w:r w:rsidRPr="00864726">
        <w:rPr>
          <w:rFonts w:ascii="Times New Roman" w:hAnsi="Times New Roman" w:cs="Times New Roman"/>
          <w:lang w:val="en-US"/>
        </w:rPr>
        <w:t>specialising</w:t>
      </w:r>
      <w:proofErr w:type="spellEnd"/>
      <w:r w:rsidRPr="00864726">
        <w:rPr>
          <w:rFonts w:ascii="Times New Roman" w:hAnsi="Times New Roman" w:cs="Times New Roman"/>
          <w:lang w:val="en-US"/>
        </w:rPr>
        <w:t xml:space="preserve"> in the development of accounting and ERP software. This profile enabled the panel to evaluate AI adoption from several relevant perspectives</w:t>
      </w:r>
      <w:r w:rsidR="003E6DA4" w:rsidRPr="00864726">
        <w:rPr>
          <w:rFonts w:ascii="Times New Roman" w:hAnsi="Times New Roman" w:cs="Times New Roman"/>
          <w:lang w:val="en-US"/>
        </w:rPr>
        <w:t>, including</w:t>
      </w:r>
      <w:r w:rsidRPr="00864726">
        <w:rPr>
          <w:rFonts w:ascii="Times New Roman" w:hAnsi="Times New Roman" w:cs="Times New Roman"/>
          <w:lang w:val="en-US"/>
        </w:rPr>
        <w:t xml:space="preserve"> financial reporting, auditing, taxation, advisory work, ERP implementation, process </w:t>
      </w:r>
      <w:proofErr w:type="spellStart"/>
      <w:r w:rsidRPr="00864726">
        <w:rPr>
          <w:rFonts w:ascii="Times New Roman" w:hAnsi="Times New Roman" w:cs="Times New Roman"/>
          <w:lang w:val="en-US"/>
        </w:rPr>
        <w:t>digitalisation</w:t>
      </w:r>
      <w:proofErr w:type="spellEnd"/>
      <w:r w:rsidRPr="00864726">
        <w:rPr>
          <w:rFonts w:ascii="Times New Roman" w:hAnsi="Times New Roman" w:cs="Times New Roman"/>
          <w:lang w:val="en-US"/>
        </w:rPr>
        <w:t xml:space="preserve"> and software development.</w:t>
      </w:r>
    </w:p>
    <w:p w14:paraId="20623806" w14:textId="77777777"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first Delphi round was used to examine whether the twelve literature-based factors identified in the theoretical framework were relevant in accounting practice and whether they needed further refinement. The qualitative analysis showed that the experts largely confirmed the theoretical </w:t>
      </w:r>
      <w:proofErr w:type="gramStart"/>
      <w:r w:rsidRPr="00864726">
        <w:rPr>
          <w:rFonts w:ascii="Times New Roman" w:hAnsi="Times New Roman" w:cs="Times New Roman"/>
          <w:lang w:val="en-US"/>
        </w:rPr>
        <w:t>factors, but</w:t>
      </w:r>
      <w:proofErr w:type="gramEnd"/>
      <w:r w:rsidRPr="00864726">
        <w:rPr>
          <w:rFonts w:ascii="Times New Roman" w:hAnsi="Times New Roman" w:cs="Times New Roman"/>
          <w:lang w:val="en-US"/>
        </w:rPr>
        <w:t xml:space="preserve"> also indicated that AI adoption in accounting is a more complex practical issue than a direct application of general technology acceptance models. Several initial factors were confirmed without major changes, while some were reformulated to better reflect organisational and professional realities. In addition, the experts identified new themes that required separate treatment in the framework.</w:t>
      </w:r>
    </w:p>
    <w:p w14:paraId="730C14B8" w14:textId="3117FE22"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A significant part of the initial framework remained substantively unchanged. The experts confirmed the relevance of </w:t>
      </w:r>
      <w:r w:rsidR="003E6DA4" w:rsidRPr="00864726">
        <w:rPr>
          <w:rFonts w:ascii="Times New Roman" w:hAnsi="Times New Roman" w:cs="Times New Roman"/>
          <w:lang w:val="en-US"/>
        </w:rPr>
        <w:t>PU</w:t>
      </w:r>
      <w:r w:rsidRPr="00864726">
        <w:rPr>
          <w:rFonts w:ascii="Times New Roman" w:hAnsi="Times New Roman" w:cs="Times New Roman"/>
          <w:lang w:val="en-US"/>
        </w:rPr>
        <w:t xml:space="preserve">, </w:t>
      </w:r>
      <w:r w:rsidR="003E6DA4" w:rsidRPr="00864726">
        <w:rPr>
          <w:rFonts w:ascii="Times New Roman" w:hAnsi="Times New Roman" w:cs="Times New Roman"/>
          <w:lang w:val="en-US"/>
        </w:rPr>
        <w:t>PEOU</w:t>
      </w:r>
      <w:r w:rsidRPr="00864726">
        <w:rPr>
          <w:rFonts w:ascii="Times New Roman" w:hAnsi="Times New Roman" w:cs="Times New Roman"/>
          <w:lang w:val="en-US"/>
        </w:rPr>
        <w:t>, attitude towards using AI, self-efficacy, training and organisational support, compatibility with current accounting software and/or ERP processes, perceived complexity, technology readiness and digital literacy. This indicates that the main assumptions derived from TAM, UTAUT and related adoption literature are also relevant in the practical accounting context.</w:t>
      </w:r>
    </w:p>
    <w:p w14:paraId="3183CF2E" w14:textId="77777777"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At the same time, several factors were retained but further specified. The initial factor of social influence was expanded into social and managerial influence, because experts emphasised not only the role of colleagues and the wider professional environment, but also the role of management in encouraging or limiting AI adoption. Relative advantage was reformulated as relative advantage and performance benefits, </w:t>
      </w:r>
      <w:proofErr w:type="gramStart"/>
      <w:r w:rsidRPr="00864726">
        <w:rPr>
          <w:rFonts w:ascii="Times New Roman" w:hAnsi="Times New Roman" w:cs="Times New Roman"/>
          <w:lang w:val="en-US"/>
        </w:rPr>
        <w:t>in order to</w:t>
      </w:r>
      <w:proofErr w:type="gramEnd"/>
      <w:r w:rsidRPr="00864726">
        <w:rPr>
          <w:rFonts w:ascii="Times New Roman" w:hAnsi="Times New Roman" w:cs="Times New Roman"/>
          <w:lang w:val="en-US"/>
        </w:rPr>
        <w:t xml:space="preserve"> express more clearly the expected contribution of AI to efficiency, productivity, quality and work outcomes.</w:t>
      </w:r>
    </w:p>
    <w:p w14:paraId="28AFE6C3" w14:textId="77777777"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lastRenderedPageBreak/>
        <w:t>Unlike the other initial factors, costs and visible return on investment was not retained as a separate factor in the revised framework. The experts considered that this factor overlaps with other dimensions, particularly relative advantage and performance benefits, technology readiness, and organisational support. This does not mean that cost considerations are irrelevant. Rather, the experts viewed them as indirectly reflected through the broader evaluation of whether AI produces visible and practically justified benefits.</w:t>
      </w:r>
    </w:p>
    <w:p w14:paraId="7F349284" w14:textId="22DD6958"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first round also led to the identification of four additional factors that were considered necessary for a more complete modelling of AI adoption in accounting. Data quality discipline was introduced to reflect the fact that effective AI use does not depend only on the tool itself, but also on the quality, structure, accuracy and availability of input data used by accounting systems. Trust in AI results was identified as a separate factor because experts emphasised that confidence in AI-generated outputs is a key precondition for real use, especially in tasks requiring accuracy, professional judgement and responsibility. Perceived risk and concerns was added to capture fears related to possible errors, inaccuracies, overreliance on technology and the professional or organisational consequences of inappropriate use. </w:t>
      </w:r>
      <w:r w:rsidR="003E6DA4" w:rsidRPr="00864726">
        <w:rPr>
          <w:rFonts w:ascii="Times New Roman" w:hAnsi="Times New Roman" w:cs="Times New Roman"/>
          <w:lang w:val="en-US"/>
        </w:rPr>
        <w:t>E</w:t>
      </w:r>
      <w:r w:rsidRPr="00864726">
        <w:rPr>
          <w:rFonts w:ascii="Times New Roman" w:hAnsi="Times New Roman" w:cs="Times New Roman"/>
          <w:lang w:val="en-US"/>
        </w:rPr>
        <w:t>thics, privacy and accountability w</w:t>
      </w:r>
      <w:r w:rsidR="003E6DA4" w:rsidRPr="00864726">
        <w:rPr>
          <w:rFonts w:ascii="Times New Roman" w:hAnsi="Times New Roman" w:cs="Times New Roman"/>
          <w:lang w:val="en-US"/>
        </w:rPr>
        <w:t>ere</w:t>
      </w:r>
      <w:r w:rsidRPr="00864726">
        <w:rPr>
          <w:rFonts w:ascii="Times New Roman" w:hAnsi="Times New Roman" w:cs="Times New Roman"/>
          <w:lang w:val="en-US"/>
        </w:rPr>
        <w:t xml:space="preserve"> introduced to cover issues related to confidentiality, ethical use, regulatory and professional compliance, and the allocation of responsibility when advanced technologies are used in accounting.</w:t>
      </w:r>
    </w:p>
    <w:p w14:paraId="1EE5BD54" w14:textId="77777777"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As a result of the thematic analysis of the first-round interviews, the initial twelve-factor framework was not reduced. Instead, it was refined, restructured and expanded into a revised framework of 15 factors. These factors were </w:t>
      </w:r>
      <w:proofErr w:type="spellStart"/>
      <w:r w:rsidRPr="00864726">
        <w:rPr>
          <w:rFonts w:ascii="Times New Roman" w:hAnsi="Times New Roman" w:cs="Times New Roman"/>
          <w:lang w:val="en-US"/>
        </w:rPr>
        <w:t>operationalised</w:t>
      </w:r>
      <w:proofErr w:type="spellEnd"/>
      <w:r w:rsidRPr="00864726">
        <w:rPr>
          <w:rFonts w:ascii="Times New Roman" w:hAnsi="Times New Roman" w:cs="Times New Roman"/>
          <w:lang w:val="en-US"/>
        </w:rPr>
        <w:t xml:space="preserve"> through 60 items, with four items assigned to each factor, and were used to prepare the questionnaire for the second Delphi round.</w:t>
      </w:r>
    </w:p>
    <w:p w14:paraId="6E9CFE3A" w14:textId="231F1A48"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second Delphi round focused on quantifying the level of expert consensus. The experts rated each item using a five-point Likert scale. The results were then aggregated at the factor level. Consensus was assessed using the median, first and third quartiles, interquartile range, percentage of ratings equal to or above 4, mean, standard deviation, variance and the within-group agreement index. The aggregated results are presented in Table 3. </w:t>
      </w:r>
    </w:p>
    <w:p w14:paraId="2B10DCF9" w14:textId="77777777" w:rsidR="0067314E" w:rsidRPr="00864726" w:rsidRDefault="0067314E" w:rsidP="00864726">
      <w:pPr>
        <w:spacing w:after="0" w:line="240" w:lineRule="auto"/>
        <w:jc w:val="both"/>
        <w:rPr>
          <w:rFonts w:ascii="Times New Roman" w:hAnsi="Times New Roman" w:cs="Times New Roman"/>
          <w:lang w:val="en-US"/>
        </w:rPr>
      </w:pPr>
    </w:p>
    <w:p w14:paraId="17D1F88D" w14:textId="6628124F" w:rsidR="0047589E" w:rsidRPr="00864726" w:rsidRDefault="0047589E" w:rsidP="00864726">
      <w:pPr>
        <w:spacing w:after="0" w:line="240" w:lineRule="auto"/>
        <w:jc w:val="center"/>
        <w:rPr>
          <w:rFonts w:ascii="Times New Roman" w:hAnsi="Times New Roman" w:cs="Times New Roman"/>
          <w:lang w:val="en-US"/>
        </w:rPr>
      </w:pPr>
      <w:r w:rsidRPr="00864726">
        <w:rPr>
          <w:rFonts w:ascii="Times New Roman" w:hAnsi="Times New Roman" w:cs="Times New Roman"/>
          <w:lang w:val="en-US"/>
        </w:rPr>
        <w:t>Table 3</w:t>
      </w:r>
      <w:r w:rsidR="0081002F">
        <w:rPr>
          <w:rFonts w:ascii="Times New Roman" w:hAnsi="Times New Roman" w:cs="Times New Roman"/>
          <w:lang w:val="en-US"/>
        </w:rPr>
        <w:t>:</w:t>
      </w:r>
      <w:r w:rsidRPr="00864726">
        <w:rPr>
          <w:rFonts w:ascii="Times New Roman" w:hAnsi="Times New Roman" w:cs="Times New Roman"/>
          <w:lang w:val="en-US"/>
        </w:rPr>
        <w:t xml:space="preserve"> Aggregated Delphi consensus results by factor</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34"/>
        <w:gridCol w:w="649"/>
        <w:gridCol w:w="561"/>
        <w:gridCol w:w="561"/>
        <w:gridCol w:w="589"/>
        <w:gridCol w:w="660"/>
        <w:gridCol w:w="698"/>
        <w:gridCol w:w="561"/>
        <w:gridCol w:w="595"/>
        <w:gridCol w:w="655"/>
        <w:gridCol w:w="841"/>
      </w:tblGrid>
      <w:tr w:rsidR="0081002F" w:rsidRPr="0081002F" w14:paraId="46FC9133" w14:textId="77777777" w:rsidTr="0081002F">
        <w:tc>
          <w:tcPr>
            <w:tcW w:w="0" w:type="auto"/>
            <w:tcBorders>
              <w:top w:val="single" w:sz="18" w:space="0" w:color="auto"/>
              <w:bottom w:val="single" w:sz="18" w:space="0" w:color="auto"/>
            </w:tcBorders>
            <w:hideMark/>
          </w:tcPr>
          <w:p w14:paraId="6D38E7E7" w14:textId="77777777"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Factor</w:t>
            </w:r>
          </w:p>
        </w:tc>
        <w:tc>
          <w:tcPr>
            <w:tcW w:w="0" w:type="auto"/>
            <w:tcBorders>
              <w:top w:val="single" w:sz="18" w:space="0" w:color="auto"/>
              <w:bottom w:val="single" w:sz="18" w:space="0" w:color="auto"/>
            </w:tcBorders>
            <w:hideMark/>
          </w:tcPr>
          <w:p w14:paraId="25391391" w14:textId="317182D6"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 xml:space="preserve">Med. </w:t>
            </w:r>
          </w:p>
        </w:tc>
        <w:tc>
          <w:tcPr>
            <w:tcW w:w="0" w:type="auto"/>
            <w:tcBorders>
              <w:top w:val="single" w:sz="18" w:space="0" w:color="auto"/>
              <w:bottom w:val="single" w:sz="18" w:space="0" w:color="auto"/>
            </w:tcBorders>
            <w:hideMark/>
          </w:tcPr>
          <w:p w14:paraId="19B065DD" w14:textId="77777777"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Q1</w:t>
            </w:r>
          </w:p>
        </w:tc>
        <w:tc>
          <w:tcPr>
            <w:tcW w:w="0" w:type="auto"/>
            <w:tcBorders>
              <w:top w:val="single" w:sz="18" w:space="0" w:color="auto"/>
              <w:bottom w:val="single" w:sz="18" w:space="0" w:color="auto"/>
            </w:tcBorders>
            <w:hideMark/>
          </w:tcPr>
          <w:p w14:paraId="1F408E01" w14:textId="77777777"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Q3</w:t>
            </w:r>
          </w:p>
        </w:tc>
        <w:tc>
          <w:tcPr>
            <w:tcW w:w="0" w:type="auto"/>
            <w:tcBorders>
              <w:top w:val="single" w:sz="18" w:space="0" w:color="auto"/>
              <w:bottom w:val="single" w:sz="18" w:space="0" w:color="auto"/>
            </w:tcBorders>
            <w:hideMark/>
          </w:tcPr>
          <w:p w14:paraId="0A94711E" w14:textId="77777777"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IQR</w:t>
            </w:r>
          </w:p>
        </w:tc>
        <w:tc>
          <w:tcPr>
            <w:tcW w:w="0" w:type="auto"/>
            <w:tcBorders>
              <w:top w:val="single" w:sz="18" w:space="0" w:color="auto"/>
              <w:bottom w:val="single" w:sz="18" w:space="0" w:color="auto"/>
            </w:tcBorders>
            <w:hideMark/>
          </w:tcPr>
          <w:p w14:paraId="7BC43A93" w14:textId="77777777"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 ≥ 4</w:t>
            </w:r>
          </w:p>
        </w:tc>
        <w:tc>
          <w:tcPr>
            <w:tcW w:w="0" w:type="auto"/>
            <w:tcBorders>
              <w:top w:val="single" w:sz="18" w:space="0" w:color="auto"/>
              <w:bottom w:val="single" w:sz="18" w:space="0" w:color="auto"/>
            </w:tcBorders>
            <w:hideMark/>
          </w:tcPr>
          <w:p w14:paraId="32081FD3" w14:textId="77777777"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Mean</w:t>
            </w:r>
          </w:p>
        </w:tc>
        <w:tc>
          <w:tcPr>
            <w:tcW w:w="0" w:type="auto"/>
            <w:tcBorders>
              <w:top w:val="single" w:sz="18" w:space="0" w:color="auto"/>
              <w:bottom w:val="single" w:sz="18" w:space="0" w:color="auto"/>
            </w:tcBorders>
            <w:hideMark/>
          </w:tcPr>
          <w:p w14:paraId="7CB9B665" w14:textId="77777777"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SD</w:t>
            </w:r>
          </w:p>
        </w:tc>
        <w:tc>
          <w:tcPr>
            <w:tcW w:w="0" w:type="auto"/>
            <w:tcBorders>
              <w:top w:val="single" w:sz="18" w:space="0" w:color="auto"/>
              <w:bottom w:val="single" w:sz="18" w:space="0" w:color="auto"/>
            </w:tcBorders>
            <w:hideMark/>
          </w:tcPr>
          <w:p w14:paraId="7B972B3C" w14:textId="77777777"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Var.</w:t>
            </w:r>
          </w:p>
        </w:tc>
        <w:tc>
          <w:tcPr>
            <w:tcW w:w="0" w:type="auto"/>
            <w:tcBorders>
              <w:top w:val="single" w:sz="18" w:space="0" w:color="auto"/>
              <w:bottom w:val="single" w:sz="18" w:space="0" w:color="auto"/>
            </w:tcBorders>
            <w:hideMark/>
          </w:tcPr>
          <w:p w14:paraId="7162A863" w14:textId="77777777" w:rsidR="0081002F" w:rsidRPr="0081002F" w:rsidRDefault="0081002F" w:rsidP="00864726">
            <w:pPr>
              <w:jc w:val="both"/>
              <w:rPr>
                <w:rFonts w:ascii="Times New Roman" w:hAnsi="Times New Roman" w:cs="Times New Roman"/>
                <w:b/>
                <w:bCs/>
                <w:sz w:val="20"/>
                <w:szCs w:val="20"/>
                <w:lang w:val="en-US"/>
              </w:rPr>
            </w:pPr>
            <w:proofErr w:type="spellStart"/>
            <w:r w:rsidRPr="0081002F">
              <w:rPr>
                <w:rFonts w:ascii="Times New Roman" w:hAnsi="Times New Roman" w:cs="Times New Roman"/>
                <w:b/>
                <w:bCs/>
                <w:sz w:val="20"/>
                <w:szCs w:val="20"/>
                <w:lang w:val="en-US"/>
              </w:rPr>
              <w:t>rWG</w:t>
            </w:r>
            <w:proofErr w:type="spellEnd"/>
          </w:p>
        </w:tc>
        <w:tc>
          <w:tcPr>
            <w:tcW w:w="0" w:type="auto"/>
            <w:tcBorders>
              <w:top w:val="single" w:sz="18" w:space="0" w:color="auto"/>
              <w:bottom w:val="single" w:sz="18" w:space="0" w:color="auto"/>
            </w:tcBorders>
            <w:hideMark/>
          </w:tcPr>
          <w:p w14:paraId="70E2C716" w14:textId="40371759" w:rsidR="0081002F" w:rsidRPr="0081002F" w:rsidRDefault="0081002F" w:rsidP="00864726">
            <w:pPr>
              <w:jc w:val="both"/>
              <w:rPr>
                <w:rFonts w:ascii="Times New Roman" w:hAnsi="Times New Roman" w:cs="Times New Roman"/>
                <w:b/>
                <w:bCs/>
                <w:sz w:val="20"/>
                <w:szCs w:val="20"/>
                <w:lang w:val="en-US"/>
              </w:rPr>
            </w:pPr>
            <w:r w:rsidRPr="0081002F">
              <w:rPr>
                <w:rFonts w:ascii="Times New Roman" w:hAnsi="Times New Roman" w:cs="Times New Roman"/>
                <w:b/>
                <w:bCs/>
                <w:sz w:val="20"/>
                <w:szCs w:val="20"/>
                <w:lang w:val="en-US"/>
              </w:rPr>
              <w:t>Status*</w:t>
            </w:r>
          </w:p>
        </w:tc>
      </w:tr>
      <w:tr w:rsidR="0081002F" w:rsidRPr="0081002F" w14:paraId="2FD83BC2" w14:textId="77777777" w:rsidTr="0081002F">
        <w:tc>
          <w:tcPr>
            <w:tcW w:w="0" w:type="auto"/>
            <w:tcBorders>
              <w:top w:val="single" w:sz="18" w:space="0" w:color="auto"/>
            </w:tcBorders>
            <w:hideMark/>
          </w:tcPr>
          <w:p w14:paraId="625B3541"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Perceived usefulness</w:t>
            </w:r>
          </w:p>
        </w:tc>
        <w:tc>
          <w:tcPr>
            <w:tcW w:w="0" w:type="auto"/>
            <w:tcBorders>
              <w:top w:val="single" w:sz="18" w:space="0" w:color="auto"/>
            </w:tcBorders>
            <w:hideMark/>
          </w:tcPr>
          <w:p w14:paraId="6BDE993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4.62</w:t>
            </w:r>
          </w:p>
        </w:tc>
        <w:tc>
          <w:tcPr>
            <w:tcW w:w="0" w:type="auto"/>
            <w:tcBorders>
              <w:top w:val="single" w:sz="18" w:space="0" w:color="auto"/>
            </w:tcBorders>
            <w:hideMark/>
          </w:tcPr>
          <w:p w14:paraId="55A9DF3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4.25</w:t>
            </w:r>
          </w:p>
        </w:tc>
        <w:tc>
          <w:tcPr>
            <w:tcW w:w="0" w:type="auto"/>
            <w:tcBorders>
              <w:top w:val="single" w:sz="18" w:space="0" w:color="auto"/>
            </w:tcBorders>
            <w:hideMark/>
          </w:tcPr>
          <w:p w14:paraId="70E4952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4.88</w:t>
            </w:r>
          </w:p>
        </w:tc>
        <w:tc>
          <w:tcPr>
            <w:tcW w:w="0" w:type="auto"/>
            <w:tcBorders>
              <w:top w:val="single" w:sz="18" w:space="0" w:color="auto"/>
            </w:tcBorders>
            <w:hideMark/>
          </w:tcPr>
          <w:p w14:paraId="0C3AA2A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0.62</w:t>
            </w:r>
          </w:p>
        </w:tc>
        <w:tc>
          <w:tcPr>
            <w:tcW w:w="0" w:type="auto"/>
            <w:tcBorders>
              <w:top w:val="single" w:sz="18" w:space="0" w:color="auto"/>
            </w:tcBorders>
            <w:hideMark/>
          </w:tcPr>
          <w:p w14:paraId="407FB8F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97.5</w:t>
            </w:r>
          </w:p>
        </w:tc>
        <w:tc>
          <w:tcPr>
            <w:tcW w:w="0" w:type="auto"/>
            <w:tcBorders>
              <w:top w:val="single" w:sz="18" w:space="0" w:color="auto"/>
            </w:tcBorders>
            <w:hideMark/>
          </w:tcPr>
          <w:p w14:paraId="7EE7A7B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4.53</w:t>
            </w:r>
          </w:p>
        </w:tc>
        <w:tc>
          <w:tcPr>
            <w:tcW w:w="0" w:type="auto"/>
            <w:tcBorders>
              <w:top w:val="single" w:sz="18" w:space="0" w:color="auto"/>
            </w:tcBorders>
            <w:hideMark/>
          </w:tcPr>
          <w:p w14:paraId="1819ABA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0.50</w:t>
            </w:r>
          </w:p>
        </w:tc>
        <w:tc>
          <w:tcPr>
            <w:tcW w:w="0" w:type="auto"/>
            <w:tcBorders>
              <w:top w:val="single" w:sz="18" w:space="0" w:color="auto"/>
            </w:tcBorders>
            <w:hideMark/>
          </w:tcPr>
          <w:p w14:paraId="2BDA60C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0.25</w:t>
            </w:r>
          </w:p>
        </w:tc>
        <w:tc>
          <w:tcPr>
            <w:tcW w:w="0" w:type="auto"/>
            <w:tcBorders>
              <w:top w:val="single" w:sz="18" w:space="0" w:color="auto"/>
            </w:tcBorders>
            <w:hideMark/>
          </w:tcPr>
          <w:p w14:paraId="73C0C1C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0.87</w:t>
            </w:r>
          </w:p>
        </w:tc>
        <w:tc>
          <w:tcPr>
            <w:tcW w:w="0" w:type="auto"/>
            <w:tcBorders>
              <w:top w:val="single" w:sz="18" w:space="0" w:color="auto"/>
            </w:tcBorders>
            <w:hideMark/>
          </w:tcPr>
          <w:p w14:paraId="44D80F85" w14:textId="6DC2A684"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60D61B0C" w14:textId="77777777" w:rsidTr="0081002F">
        <w:tc>
          <w:tcPr>
            <w:tcW w:w="0" w:type="auto"/>
            <w:hideMark/>
          </w:tcPr>
          <w:p w14:paraId="15793E2C"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Perceived ease of use</w:t>
            </w:r>
          </w:p>
        </w:tc>
        <w:tc>
          <w:tcPr>
            <w:tcW w:w="0" w:type="auto"/>
            <w:hideMark/>
          </w:tcPr>
          <w:p w14:paraId="6FF8250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4.75</w:t>
            </w:r>
          </w:p>
        </w:tc>
        <w:tc>
          <w:tcPr>
            <w:tcW w:w="0" w:type="auto"/>
            <w:hideMark/>
          </w:tcPr>
          <w:p w14:paraId="1DB06D4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4.38</w:t>
            </w:r>
          </w:p>
        </w:tc>
        <w:tc>
          <w:tcPr>
            <w:tcW w:w="0" w:type="auto"/>
            <w:hideMark/>
          </w:tcPr>
          <w:p w14:paraId="145E305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4.88</w:t>
            </w:r>
          </w:p>
        </w:tc>
        <w:tc>
          <w:tcPr>
            <w:tcW w:w="0" w:type="auto"/>
            <w:hideMark/>
          </w:tcPr>
          <w:p w14:paraId="7C723041"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0.50</w:t>
            </w:r>
          </w:p>
        </w:tc>
        <w:tc>
          <w:tcPr>
            <w:tcW w:w="0" w:type="auto"/>
            <w:hideMark/>
          </w:tcPr>
          <w:p w14:paraId="43B230F6"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97.5</w:t>
            </w:r>
          </w:p>
        </w:tc>
        <w:tc>
          <w:tcPr>
            <w:tcW w:w="0" w:type="auto"/>
            <w:hideMark/>
          </w:tcPr>
          <w:p w14:paraId="260D373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4.58</w:t>
            </w:r>
          </w:p>
        </w:tc>
        <w:tc>
          <w:tcPr>
            <w:tcW w:w="0" w:type="auto"/>
            <w:hideMark/>
          </w:tcPr>
          <w:p w14:paraId="640D124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0.49</w:t>
            </w:r>
          </w:p>
        </w:tc>
        <w:tc>
          <w:tcPr>
            <w:tcW w:w="0" w:type="auto"/>
            <w:hideMark/>
          </w:tcPr>
          <w:p w14:paraId="6481FB16"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0.24</w:t>
            </w:r>
          </w:p>
        </w:tc>
        <w:tc>
          <w:tcPr>
            <w:tcW w:w="0" w:type="auto"/>
            <w:hideMark/>
          </w:tcPr>
          <w:p w14:paraId="698A7306"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0.88</w:t>
            </w:r>
          </w:p>
        </w:tc>
        <w:tc>
          <w:tcPr>
            <w:tcW w:w="0" w:type="auto"/>
            <w:hideMark/>
          </w:tcPr>
          <w:p w14:paraId="7F6BACEE" w14:textId="04E95BD1"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4745FBE0" w14:textId="77777777" w:rsidTr="0081002F">
        <w:tc>
          <w:tcPr>
            <w:tcW w:w="0" w:type="auto"/>
            <w:hideMark/>
          </w:tcPr>
          <w:p w14:paraId="10D88D7A"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 xml:space="preserve">Attitude </w:t>
            </w:r>
            <w:r w:rsidRPr="0081002F">
              <w:rPr>
                <w:rFonts w:ascii="Times New Roman" w:hAnsi="Times New Roman" w:cs="Times New Roman"/>
                <w:sz w:val="20"/>
                <w:szCs w:val="20"/>
                <w:lang w:val="en-US"/>
              </w:rPr>
              <w:lastRenderedPageBreak/>
              <w:t>towards using AI</w:t>
            </w:r>
          </w:p>
        </w:tc>
        <w:tc>
          <w:tcPr>
            <w:tcW w:w="0" w:type="auto"/>
            <w:hideMark/>
          </w:tcPr>
          <w:p w14:paraId="5F7A3D7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lastRenderedPageBreak/>
              <w:t>4.75</w:t>
            </w:r>
          </w:p>
        </w:tc>
        <w:tc>
          <w:tcPr>
            <w:tcW w:w="0" w:type="auto"/>
            <w:hideMark/>
          </w:tcPr>
          <w:p w14:paraId="6F95DF4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4.38</w:t>
            </w:r>
          </w:p>
        </w:tc>
        <w:tc>
          <w:tcPr>
            <w:tcW w:w="0" w:type="auto"/>
            <w:hideMark/>
          </w:tcPr>
          <w:p w14:paraId="63A415E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5.00</w:t>
            </w:r>
          </w:p>
        </w:tc>
        <w:tc>
          <w:tcPr>
            <w:tcW w:w="0" w:type="auto"/>
            <w:hideMark/>
          </w:tcPr>
          <w:p w14:paraId="28E896F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0.62</w:t>
            </w:r>
          </w:p>
        </w:tc>
        <w:tc>
          <w:tcPr>
            <w:tcW w:w="0" w:type="auto"/>
            <w:hideMark/>
          </w:tcPr>
          <w:p w14:paraId="7DF4FC2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100.0</w:t>
            </w:r>
          </w:p>
        </w:tc>
        <w:tc>
          <w:tcPr>
            <w:tcW w:w="0" w:type="auto"/>
            <w:hideMark/>
          </w:tcPr>
          <w:p w14:paraId="3A79CC91"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4.62</w:t>
            </w:r>
          </w:p>
        </w:tc>
        <w:tc>
          <w:tcPr>
            <w:tcW w:w="0" w:type="auto"/>
            <w:hideMark/>
          </w:tcPr>
          <w:p w14:paraId="6DA9A84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0.46</w:t>
            </w:r>
          </w:p>
        </w:tc>
        <w:tc>
          <w:tcPr>
            <w:tcW w:w="0" w:type="auto"/>
            <w:hideMark/>
          </w:tcPr>
          <w:p w14:paraId="20A957D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0.22</w:t>
            </w:r>
          </w:p>
        </w:tc>
        <w:tc>
          <w:tcPr>
            <w:tcW w:w="0" w:type="auto"/>
            <w:hideMark/>
          </w:tcPr>
          <w:p w14:paraId="1B9C188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0.89</w:t>
            </w:r>
          </w:p>
        </w:tc>
        <w:tc>
          <w:tcPr>
            <w:tcW w:w="0" w:type="auto"/>
            <w:hideMark/>
          </w:tcPr>
          <w:p w14:paraId="4E6657E0" w14:textId="4DEA01BB"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1D8D4D7F" w14:textId="77777777" w:rsidTr="0081002F">
        <w:tc>
          <w:tcPr>
            <w:tcW w:w="0" w:type="auto"/>
            <w:hideMark/>
          </w:tcPr>
          <w:p w14:paraId="62DC8F7F"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Self-efficacy</w:t>
            </w:r>
          </w:p>
        </w:tc>
        <w:tc>
          <w:tcPr>
            <w:tcW w:w="0" w:type="auto"/>
            <w:hideMark/>
          </w:tcPr>
          <w:p w14:paraId="5B9816B1"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4.38</w:t>
            </w:r>
          </w:p>
        </w:tc>
        <w:tc>
          <w:tcPr>
            <w:tcW w:w="0" w:type="auto"/>
            <w:hideMark/>
          </w:tcPr>
          <w:p w14:paraId="74AB69A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4.12</w:t>
            </w:r>
          </w:p>
        </w:tc>
        <w:tc>
          <w:tcPr>
            <w:tcW w:w="0" w:type="auto"/>
            <w:hideMark/>
          </w:tcPr>
          <w:p w14:paraId="6F0208D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4.62</w:t>
            </w:r>
          </w:p>
        </w:tc>
        <w:tc>
          <w:tcPr>
            <w:tcW w:w="0" w:type="auto"/>
            <w:hideMark/>
          </w:tcPr>
          <w:p w14:paraId="3C19BE4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0.50</w:t>
            </w:r>
          </w:p>
        </w:tc>
        <w:tc>
          <w:tcPr>
            <w:tcW w:w="0" w:type="auto"/>
            <w:hideMark/>
          </w:tcPr>
          <w:p w14:paraId="42A6719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85.0</w:t>
            </w:r>
          </w:p>
        </w:tc>
        <w:tc>
          <w:tcPr>
            <w:tcW w:w="0" w:type="auto"/>
            <w:hideMark/>
          </w:tcPr>
          <w:p w14:paraId="066114C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4.30</w:t>
            </w:r>
          </w:p>
        </w:tc>
        <w:tc>
          <w:tcPr>
            <w:tcW w:w="0" w:type="auto"/>
            <w:hideMark/>
          </w:tcPr>
          <w:p w14:paraId="556735D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0.57</w:t>
            </w:r>
          </w:p>
        </w:tc>
        <w:tc>
          <w:tcPr>
            <w:tcW w:w="0" w:type="auto"/>
            <w:hideMark/>
          </w:tcPr>
          <w:p w14:paraId="738861B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0.34</w:t>
            </w:r>
          </w:p>
        </w:tc>
        <w:tc>
          <w:tcPr>
            <w:tcW w:w="0" w:type="auto"/>
            <w:hideMark/>
          </w:tcPr>
          <w:p w14:paraId="521ADFE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0.83</w:t>
            </w:r>
          </w:p>
        </w:tc>
        <w:tc>
          <w:tcPr>
            <w:tcW w:w="0" w:type="auto"/>
            <w:hideMark/>
          </w:tcPr>
          <w:p w14:paraId="6C0BD8E9" w14:textId="37089B73"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7D0032DA" w14:textId="77777777" w:rsidTr="0081002F">
        <w:tc>
          <w:tcPr>
            <w:tcW w:w="0" w:type="auto"/>
            <w:hideMark/>
          </w:tcPr>
          <w:p w14:paraId="50E2B583"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Social and managerial influence</w:t>
            </w:r>
          </w:p>
        </w:tc>
        <w:tc>
          <w:tcPr>
            <w:tcW w:w="0" w:type="auto"/>
            <w:hideMark/>
          </w:tcPr>
          <w:p w14:paraId="349C3BD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4.12</w:t>
            </w:r>
          </w:p>
        </w:tc>
        <w:tc>
          <w:tcPr>
            <w:tcW w:w="0" w:type="auto"/>
            <w:hideMark/>
          </w:tcPr>
          <w:p w14:paraId="68B02D1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3.88</w:t>
            </w:r>
          </w:p>
        </w:tc>
        <w:tc>
          <w:tcPr>
            <w:tcW w:w="0" w:type="auto"/>
            <w:hideMark/>
          </w:tcPr>
          <w:p w14:paraId="49BF064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4.50</w:t>
            </w:r>
          </w:p>
        </w:tc>
        <w:tc>
          <w:tcPr>
            <w:tcW w:w="0" w:type="auto"/>
            <w:hideMark/>
          </w:tcPr>
          <w:p w14:paraId="4061993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0.62</w:t>
            </w:r>
          </w:p>
        </w:tc>
        <w:tc>
          <w:tcPr>
            <w:tcW w:w="0" w:type="auto"/>
            <w:hideMark/>
          </w:tcPr>
          <w:p w14:paraId="7B403D6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85.0</w:t>
            </w:r>
          </w:p>
        </w:tc>
        <w:tc>
          <w:tcPr>
            <w:tcW w:w="0" w:type="auto"/>
            <w:hideMark/>
          </w:tcPr>
          <w:p w14:paraId="6A818C5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4.17</w:t>
            </w:r>
          </w:p>
        </w:tc>
        <w:tc>
          <w:tcPr>
            <w:tcW w:w="0" w:type="auto"/>
            <w:hideMark/>
          </w:tcPr>
          <w:p w14:paraId="06F298B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0.58</w:t>
            </w:r>
          </w:p>
        </w:tc>
        <w:tc>
          <w:tcPr>
            <w:tcW w:w="0" w:type="auto"/>
            <w:hideMark/>
          </w:tcPr>
          <w:p w14:paraId="23DA530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0.36</w:t>
            </w:r>
          </w:p>
        </w:tc>
        <w:tc>
          <w:tcPr>
            <w:tcW w:w="0" w:type="auto"/>
            <w:hideMark/>
          </w:tcPr>
          <w:p w14:paraId="09B0924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0.82</w:t>
            </w:r>
          </w:p>
        </w:tc>
        <w:tc>
          <w:tcPr>
            <w:tcW w:w="0" w:type="auto"/>
            <w:hideMark/>
          </w:tcPr>
          <w:p w14:paraId="55E994D9" w14:textId="204CDF7D"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71E13827" w14:textId="77777777" w:rsidTr="0081002F">
        <w:tc>
          <w:tcPr>
            <w:tcW w:w="0" w:type="auto"/>
            <w:hideMark/>
          </w:tcPr>
          <w:p w14:paraId="0BABD63A"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Technology readiness</w:t>
            </w:r>
          </w:p>
        </w:tc>
        <w:tc>
          <w:tcPr>
            <w:tcW w:w="0" w:type="auto"/>
            <w:hideMark/>
          </w:tcPr>
          <w:p w14:paraId="4E71B47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3.75</w:t>
            </w:r>
          </w:p>
        </w:tc>
        <w:tc>
          <w:tcPr>
            <w:tcW w:w="0" w:type="auto"/>
            <w:hideMark/>
          </w:tcPr>
          <w:p w14:paraId="7B265C9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3.50</w:t>
            </w:r>
          </w:p>
        </w:tc>
        <w:tc>
          <w:tcPr>
            <w:tcW w:w="0" w:type="auto"/>
            <w:hideMark/>
          </w:tcPr>
          <w:p w14:paraId="09BB727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4.25</w:t>
            </w:r>
          </w:p>
        </w:tc>
        <w:tc>
          <w:tcPr>
            <w:tcW w:w="0" w:type="auto"/>
            <w:hideMark/>
          </w:tcPr>
          <w:p w14:paraId="7721FB2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0.75</w:t>
            </w:r>
          </w:p>
        </w:tc>
        <w:tc>
          <w:tcPr>
            <w:tcW w:w="0" w:type="auto"/>
            <w:hideMark/>
          </w:tcPr>
          <w:p w14:paraId="6DAC86B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70.0</w:t>
            </w:r>
          </w:p>
        </w:tc>
        <w:tc>
          <w:tcPr>
            <w:tcW w:w="0" w:type="auto"/>
            <w:hideMark/>
          </w:tcPr>
          <w:p w14:paraId="0EB9176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3.85</w:t>
            </w:r>
          </w:p>
        </w:tc>
        <w:tc>
          <w:tcPr>
            <w:tcW w:w="0" w:type="auto"/>
            <w:hideMark/>
          </w:tcPr>
          <w:p w14:paraId="6DC30302"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0.70</w:t>
            </w:r>
          </w:p>
        </w:tc>
        <w:tc>
          <w:tcPr>
            <w:tcW w:w="0" w:type="auto"/>
            <w:hideMark/>
          </w:tcPr>
          <w:p w14:paraId="6D575FF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0.51</w:t>
            </w:r>
          </w:p>
        </w:tc>
        <w:tc>
          <w:tcPr>
            <w:tcW w:w="0" w:type="auto"/>
            <w:hideMark/>
          </w:tcPr>
          <w:p w14:paraId="4C091A2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0.75</w:t>
            </w:r>
          </w:p>
        </w:tc>
        <w:tc>
          <w:tcPr>
            <w:tcW w:w="0" w:type="auto"/>
            <w:hideMark/>
          </w:tcPr>
          <w:p w14:paraId="143C8C5B" w14:textId="56D6A04D"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R</w:t>
            </w:r>
          </w:p>
        </w:tc>
      </w:tr>
      <w:tr w:rsidR="0081002F" w:rsidRPr="0081002F" w14:paraId="303836C3" w14:textId="77777777" w:rsidTr="0081002F">
        <w:tc>
          <w:tcPr>
            <w:tcW w:w="0" w:type="auto"/>
            <w:hideMark/>
          </w:tcPr>
          <w:p w14:paraId="683419BD"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Digital literacy</w:t>
            </w:r>
          </w:p>
        </w:tc>
        <w:tc>
          <w:tcPr>
            <w:tcW w:w="0" w:type="auto"/>
            <w:hideMark/>
          </w:tcPr>
          <w:p w14:paraId="09579F5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3.75</w:t>
            </w:r>
          </w:p>
        </w:tc>
        <w:tc>
          <w:tcPr>
            <w:tcW w:w="0" w:type="auto"/>
            <w:hideMark/>
          </w:tcPr>
          <w:p w14:paraId="0189321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3.50</w:t>
            </w:r>
          </w:p>
        </w:tc>
        <w:tc>
          <w:tcPr>
            <w:tcW w:w="0" w:type="auto"/>
            <w:hideMark/>
          </w:tcPr>
          <w:p w14:paraId="0754440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4.25</w:t>
            </w:r>
          </w:p>
        </w:tc>
        <w:tc>
          <w:tcPr>
            <w:tcW w:w="0" w:type="auto"/>
            <w:hideMark/>
          </w:tcPr>
          <w:p w14:paraId="46C26A9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0.75</w:t>
            </w:r>
          </w:p>
        </w:tc>
        <w:tc>
          <w:tcPr>
            <w:tcW w:w="0" w:type="auto"/>
            <w:hideMark/>
          </w:tcPr>
          <w:p w14:paraId="2B7F914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72.5</w:t>
            </w:r>
          </w:p>
        </w:tc>
        <w:tc>
          <w:tcPr>
            <w:tcW w:w="0" w:type="auto"/>
            <w:hideMark/>
          </w:tcPr>
          <w:p w14:paraId="57F573B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3.88</w:t>
            </w:r>
          </w:p>
        </w:tc>
        <w:tc>
          <w:tcPr>
            <w:tcW w:w="0" w:type="auto"/>
            <w:hideMark/>
          </w:tcPr>
          <w:p w14:paraId="7E63FC6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0.67</w:t>
            </w:r>
          </w:p>
        </w:tc>
        <w:tc>
          <w:tcPr>
            <w:tcW w:w="0" w:type="auto"/>
            <w:hideMark/>
          </w:tcPr>
          <w:p w14:paraId="5CD7EB7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0.47</w:t>
            </w:r>
          </w:p>
        </w:tc>
        <w:tc>
          <w:tcPr>
            <w:tcW w:w="0" w:type="auto"/>
            <w:hideMark/>
          </w:tcPr>
          <w:p w14:paraId="62711676"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0.77</w:t>
            </w:r>
          </w:p>
        </w:tc>
        <w:tc>
          <w:tcPr>
            <w:tcW w:w="0" w:type="auto"/>
            <w:hideMark/>
          </w:tcPr>
          <w:p w14:paraId="27778BBA" w14:textId="1371DED8"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R</w:t>
            </w:r>
          </w:p>
        </w:tc>
      </w:tr>
      <w:tr w:rsidR="0081002F" w:rsidRPr="0081002F" w14:paraId="5A4A41A2" w14:textId="77777777" w:rsidTr="0081002F">
        <w:tc>
          <w:tcPr>
            <w:tcW w:w="0" w:type="auto"/>
            <w:hideMark/>
          </w:tcPr>
          <w:p w14:paraId="7799A8A9"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Compatibility with current accounting software and/or ERP processes</w:t>
            </w:r>
          </w:p>
        </w:tc>
        <w:tc>
          <w:tcPr>
            <w:tcW w:w="0" w:type="auto"/>
            <w:hideMark/>
          </w:tcPr>
          <w:p w14:paraId="5554794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4.25</w:t>
            </w:r>
          </w:p>
        </w:tc>
        <w:tc>
          <w:tcPr>
            <w:tcW w:w="0" w:type="auto"/>
            <w:hideMark/>
          </w:tcPr>
          <w:p w14:paraId="24BCF92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4.00</w:t>
            </w:r>
          </w:p>
        </w:tc>
        <w:tc>
          <w:tcPr>
            <w:tcW w:w="0" w:type="auto"/>
            <w:hideMark/>
          </w:tcPr>
          <w:p w14:paraId="00AFF42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4.62</w:t>
            </w:r>
          </w:p>
        </w:tc>
        <w:tc>
          <w:tcPr>
            <w:tcW w:w="0" w:type="auto"/>
            <w:hideMark/>
          </w:tcPr>
          <w:p w14:paraId="7936A74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0.62</w:t>
            </w:r>
          </w:p>
        </w:tc>
        <w:tc>
          <w:tcPr>
            <w:tcW w:w="0" w:type="auto"/>
            <w:hideMark/>
          </w:tcPr>
          <w:p w14:paraId="40BD301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95.0</w:t>
            </w:r>
          </w:p>
        </w:tc>
        <w:tc>
          <w:tcPr>
            <w:tcW w:w="0" w:type="auto"/>
            <w:hideMark/>
          </w:tcPr>
          <w:p w14:paraId="34EA656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4.33</w:t>
            </w:r>
          </w:p>
        </w:tc>
        <w:tc>
          <w:tcPr>
            <w:tcW w:w="0" w:type="auto"/>
            <w:hideMark/>
          </w:tcPr>
          <w:p w14:paraId="1F41F19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0.54</w:t>
            </w:r>
          </w:p>
        </w:tc>
        <w:tc>
          <w:tcPr>
            <w:tcW w:w="0" w:type="auto"/>
            <w:hideMark/>
          </w:tcPr>
          <w:p w14:paraId="3FDE3CB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0.29</w:t>
            </w:r>
          </w:p>
        </w:tc>
        <w:tc>
          <w:tcPr>
            <w:tcW w:w="0" w:type="auto"/>
            <w:hideMark/>
          </w:tcPr>
          <w:p w14:paraId="4BCD2DC6"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0.85</w:t>
            </w:r>
          </w:p>
        </w:tc>
        <w:tc>
          <w:tcPr>
            <w:tcW w:w="0" w:type="auto"/>
            <w:hideMark/>
          </w:tcPr>
          <w:p w14:paraId="1961DC39" w14:textId="1FA68F39"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7C6F98FB" w14:textId="77777777" w:rsidTr="0081002F">
        <w:tc>
          <w:tcPr>
            <w:tcW w:w="0" w:type="auto"/>
            <w:hideMark/>
          </w:tcPr>
          <w:p w14:paraId="6DC4D644"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Relative advantage and performance benefits</w:t>
            </w:r>
          </w:p>
        </w:tc>
        <w:tc>
          <w:tcPr>
            <w:tcW w:w="0" w:type="auto"/>
            <w:hideMark/>
          </w:tcPr>
          <w:p w14:paraId="0B9FD62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4.50</w:t>
            </w:r>
          </w:p>
        </w:tc>
        <w:tc>
          <w:tcPr>
            <w:tcW w:w="0" w:type="auto"/>
            <w:hideMark/>
          </w:tcPr>
          <w:p w14:paraId="0DE6BA4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4.00</w:t>
            </w:r>
          </w:p>
        </w:tc>
        <w:tc>
          <w:tcPr>
            <w:tcW w:w="0" w:type="auto"/>
            <w:hideMark/>
          </w:tcPr>
          <w:p w14:paraId="6786280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4.75</w:t>
            </w:r>
          </w:p>
        </w:tc>
        <w:tc>
          <w:tcPr>
            <w:tcW w:w="0" w:type="auto"/>
            <w:hideMark/>
          </w:tcPr>
          <w:p w14:paraId="20B9E79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0.75</w:t>
            </w:r>
          </w:p>
        </w:tc>
        <w:tc>
          <w:tcPr>
            <w:tcW w:w="0" w:type="auto"/>
            <w:hideMark/>
          </w:tcPr>
          <w:p w14:paraId="16F63FE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87.5</w:t>
            </w:r>
          </w:p>
        </w:tc>
        <w:tc>
          <w:tcPr>
            <w:tcW w:w="0" w:type="auto"/>
            <w:hideMark/>
          </w:tcPr>
          <w:p w14:paraId="7FFF708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4.35</w:t>
            </w:r>
          </w:p>
        </w:tc>
        <w:tc>
          <w:tcPr>
            <w:tcW w:w="0" w:type="auto"/>
            <w:hideMark/>
          </w:tcPr>
          <w:p w14:paraId="058C56B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0.55</w:t>
            </w:r>
          </w:p>
        </w:tc>
        <w:tc>
          <w:tcPr>
            <w:tcW w:w="0" w:type="auto"/>
            <w:hideMark/>
          </w:tcPr>
          <w:p w14:paraId="73E861F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0.32</w:t>
            </w:r>
          </w:p>
        </w:tc>
        <w:tc>
          <w:tcPr>
            <w:tcW w:w="0" w:type="auto"/>
            <w:hideMark/>
          </w:tcPr>
          <w:p w14:paraId="3502D0E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0.84</w:t>
            </w:r>
          </w:p>
        </w:tc>
        <w:tc>
          <w:tcPr>
            <w:tcW w:w="0" w:type="auto"/>
            <w:hideMark/>
          </w:tcPr>
          <w:p w14:paraId="481583D7" w14:textId="03EB86A8"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0F19B97F" w14:textId="77777777" w:rsidTr="0081002F">
        <w:tc>
          <w:tcPr>
            <w:tcW w:w="0" w:type="auto"/>
            <w:hideMark/>
          </w:tcPr>
          <w:p w14:paraId="604CD921"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Training and organisational support</w:t>
            </w:r>
          </w:p>
        </w:tc>
        <w:tc>
          <w:tcPr>
            <w:tcW w:w="0" w:type="auto"/>
            <w:hideMark/>
          </w:tcPr>
          <w:p w14:paraId="5952BD02"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4.62</w:t>
            </w:r>
          </w:p>
        </w:tc>
        <w:tc>
          <w:tcPr>
            <w:tcW w:w="0" w:type="auto"/>
            <w:hideMark/>
          </w:tcPr>
          <w:p w14:paraId="5629D29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4.00</w:t>
            </w:r>
          </w:p>
        </w:tc>
        <w:tc>
          <w:tcPr>
            <w:tcW w:w="0" w:type="auto"/>
            <w:hideMark/>
          </w:tcPr>
          <w:p w14:paraId="1D7FBA2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4.88</w:t>
            </w:r>
          </w:p>
        </w:tc>
        <w:tc>
          <w:tcPr>
            <w:tcW w:w="0" w:type="auto"/>
            <w:hideMark/>
          </w:tcPr>
          <w:p w14:paraId="48161E5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0.88</w:t>
            </w:r>
          </w:p>
        </w:tc>
        <w:tc>
          <w:tcPr>
            <w:tcW w:w="0" w:type="auto"/>
            <w:hideMark/>
          </w:tcPr>
          <w:p w14:paraId="1397198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100.0</w:t>
            </w:r>
          </w:p>
        </w:tc>
        <w:tc>
          <w:tcPr>
            <w:tcW w:w="0" w:type="auto"/>
            <w:hideMark/>
          </w:tcPr>
          <w:p w14:paraId="26BBC1D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4.50</w:t>
            </w:r>
          </w:p>
        </w:tc>
        <w:tc>
          <w:tcPr>
            <w:tcW w:w="0" w:type="auto"/>
            <w:hideMark/>
          </w:tcPr>
          <w:p w14:paraId="0C080E81"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0.48</w:t>
            </w:r>
          </w:p>
        </w:tc>
        <w:tc>
          <w:tcPr>
            <w:tcW w:w="0" w:type="auto"/>
            <w:hideMark/>
          </w:tcPr>
          <w:p w14:paraId="2C212396"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0.23</w:t>
            </w:r>
          </w:p>
        </w:tc>
        <w:tc>
          <w:tcPr>
            <w:tcW w:w="0" w:type="auto"/>
            <w:hideMark/>
          </w:tcPr>
          <w:p w14:paraId="0E5EF83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0.88</w:t>
            </w:r>
          </w:p>
        </w:tc>
        <w:tc>
          <w:tcPr>
            <w:tcW w:w="0" w:type="auto"/>
            <w:hideMark/>
          </w:tcPr>
          <w:p w14:paraId="6C658E87" w14:textId="051FB85F"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00643807" w14:textId="77777777" w:rsidTr="0081002F">
        <w:tc>
          <w:tcPr>
            <w:tcW w:w="0" w:type="auto"/>
            <w:hideMark/>
          </w:tcPr>
          <w:p w14:paraId="68EDF8B4"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Perceived complexity</w:t>
            </w:r>
          </w:p>
        </w:tc>
        <w:tc>
          <w:tcPr>
            <w:tcW w:w="0" w:type="auto"/>
            <w:hideMark/>
          </w:tcPr>
          <w:p w14:paraId="7F220D5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4.12</w:t>
            </w:r>
          </w:p>
        </w:tc>
        <w:tc>
          <w:tcPr>
            <w:tcW w:w="0" w:type="auto"/>
            <w:hideMark/>
          </w:tcPr>
          <w:p w14:paraId="58666C9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3.75</w:t>
            </w:r>
          </w:p>
        </w:tc>
        <w:tc>
          <w:tcPr>
            <w:tcW w:w="0" w:type="auto"/>
            <w:hideMark/>
          </w:tcPr>
          <w:p w14:paraId="6C5FC5B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4.50</w:t>
            </w:r>
          </w:p>
        </w:tc>
        <w:tc>
          <w:tcPr>
            <w:tcW w:w="0" w:type="auto"/>
            <w:hideMark/>
          </w:tcPr>
          <w:p w14:paraId="31313C4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0.75</w:t>
            </w:r>
          </w:p>
        </w:tc>
        <w:tc>
          <w:tcPr>
            <w:tcW w:w="0" w:type="auto"/>
            <w:hideMark/>
          </w:tcPr>
          <w:p w14:paraId="48E1286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85.0</w:t>
            </w:r>
          </w:p>
        </w:tc>
        <w:tc>
          <w:tcPr>
            <w:tcW w:w="0" w:type="auto"/>
            <w:hideMark/>
          </w:tcPr>
          <w:p w14:paraId="00D810B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4.15</w:t>
            </w:r>
          </w:p>
        </w:tc>
        <w:tc>
          <w:tcPr>
            <w:tcW w:w="0" w:type="auto"/>
            <w:hideMark/>
          </w:tcPr>
          <w:p w14:paraId="7C06551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0.59</w:t>
            </w:r>
          </w:p>
        </w:tc>
        <w:tc>
          <w:tcPr>
            <w:tcW w:w="0" w:type="auto"/>
            <w:hideMark/>
          </w:tcPr>
          <w:p w14:paraId="19FBED1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0.36</w:t>
            </w:r>
          </w:p>
        </w:tc>
        <w:tc>
          <w:tcPr>
            <w:tcW w:w="0" w:type="auto"/>
            <w:hideMark/>
          </w:tcPr>
          <w:p w14:paraId="70C3492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0.82</w:t>
            </w:r>
          </w:p>
        </w:tc>
        <w:tc>
          <w:tcPr>
            <w:tcW w:w="0" w:type="auto"/>
            <w:hideMark/>
          </w:tcPr>
          <w:p w14:paraId="0EDAF135" w14:textId="2B2C927B"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42F12CC3" w14:textId="77777777" w:rsidTr="0081002F">
        <w:tc>
          <w:tcPr>
            <w:tcW w:w="0" w:type="auto"/>
            <w:hideMark/>
          </w:tcPr>
          <w:p w14:paraId="1FC619BF"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Data quality discipline</w:t>
            </w:r>
          </w:p>
        </w:tc>
        <w:tc>
          <w:tcPr>
            <w:tcW w:w="0" w:type="auto"/>
            <w:hideMark/>
          </w:tcPr>
          <w:p w14:paraId="7527ABA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4.62</w:t>
            </w:r>
          </w:p>
        </w:tc>
        <w:tc>
          <w:tcPr>
            <w:tcW w:w="0" w:type="auto"/>
            <w:hideMark/>
          </w:tcPr>
          <w:p w14:paraId="0DF1B78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4.12</w:t>
            </w:r>
          </w:p>
        </w:tc>
        <w:tc>
          <w:tcPr>
            <w:tcW w:w="0" w:type="auto"/>
            <w:hideMark/>
          </w:tcPr>
          <w:p w14:paraId="0D1AB25A"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4.88</w:t>
            </w:r>
          </w:p>
        </w:tc>
        <w:tc>
          <w:tcPr>
            <w:tcW w:w="0" w:type="auto"/>
            <w:hideMark/>
          </w:tcPr>
          <w:p w14:paraId="5438E748"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0.75</w:t>
            </w:r>
          </w:p>
        </w:tc>
        <w:tc>
          <w:tcPr>
            <w:tcW w:w="0" w:type="auto"/>
            <w:hideMark/>
          </w:tcPr>
          <w:p w14:paraId="260DA50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97.5</w:t>
            </w:r>
          </w:p>
        </w:tc>
        <w:tc>
          <w:tcPr>
            <w:tcW w:w="0" w:type="auto"/>
            <w:hideMark/>
          </w:tcPr>
          <w:p w14:paraId="7480B84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4.50</w:t>
            </w:r>
          </w:p>
        </w:tc>
        <w:tc>
          <w:tcPr>
            <w:tcW w:w="0" w:type="auto"/>
            <w:hideMark/>
          </w:tcPr>
          <w:p w14:paraId="092AB1F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0.51</w:t>
            </w:r>
          </w:p>
        </w:tc>
        <w:tc>
          <w:tcPr>
            <w:tcW w:w="0" w:type="auto"/>
            <w:hideMark/>
          </w:tcPr>
          <w:p w14:paraId="45F95A4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0.27</w:t>
            </w:r>
          </w:p>
        </w:tc>
        <w:tc>
          <w:tcPr>
            <w:tcW w:w="0" w:type="auto"/>
            <w:hideMark/>
          </w:tcPr>
          <w:p w14:paraId="0A08DC3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0.87</w:t>
            </w:r>
          </w:p>
        </w:tc>
        <w:tc>
          <w:tcPr>
            <w:tcW w:w="0" w:type="auto"/>
            <w:hideMark/>
          </w:tcPr>
          <w:p w14:paraId="10F5DB77" w14:textId="5538F8E3"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044F2C25" w14:textId="77777777" w:rsidTr="0081002F">
        <w:tc>
          <w:tcPr>
            <w:tcW w:w="0" w:type="auto"/>
            <w:hideMark/>
          </w:tcPr>
          <w:p w14:paraId="394F0816"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Trust in AI results</w:t>
            </w:r>
          </w:p>
        </w:tc>
        <w:tc>
          <w:tcPr>
            <w:tcW w:w="0" w:type="auto"/>
            <w:hideMark/>
          </w:tcPr>
          <w:p w14:paraId="245B231D"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4.12</w:t>
            </w:r>
          </w:p>
        </w:tc>
        <w:tc>
          <w:tcPr>
            <w:tcW w:w="0" w:type="auto"/>
            <w:hideMark/>
          </w:tcPr>
          <w:p w14:paraId="575EE32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4.00</w:t>
            </w:r>
          </w:p>
        </w:tc>
        <w:tc>
          <w:tcPr>
            <w:tcW w:w="0" w:type="auto"/>
            <w:hideMark/>
          </w:tcPr>
          <w:p w14:paraId="6E3D4447"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4.62</w:t>
            </w:r>
          </w:p>
        </w:tc>
        <w:tc>
          <w:tcPr>
            <w:tcW w:w="0" w:type="auto"/>
            <w:hideMark/>
          </w:tcPr>
          <w:p w14:paraId="3F71545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0.62</w:t>
            </w:r>
          </w:p>
        </w:tc>
        <w:tc>
          <w:tcPr>
            <w:tcW w:w="0" w:type="auto"/>
            <w:hideMark/>
          </w:tcPr>
          <w:p w14:paraId="79BCC9C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95.0</w:t>
            </w:r>
          </w:p>
        </w:tc>
        <w:tc>
          <w:tcPr>
            <w:tcW w:w="0" w:type="auto"/>
            <w:hideMark/>
          </w:tcPr>
          <w:p w14:paraId="5A96623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4.30</w:t>
            </w:r>
          </w:p>
        </w:tc>
        <w:tc>
          <w:tcPr>
            <w:tcW w:w="0" w:type="auto"/>
            <w:hideMark/>
          </w:tcPr>
          <w:p w14:paraId="5641A59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0.54</w:t>
            </w:r>
          </w:p>
        </w:tc>
        <w:tc>
          <w:tcPr>
            <w:tcW w:w="0" w:type="auto"/>
            <w:hideMark/>
          </w:tcPr>
          <w:p w14:paraId="2F79E5F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0.29</w:t>
            </w:r>
          </w:p>
        </w:tc>
        <w:tc>
          <w:tcPr>
            <w:tcW w:w="0" w:type="auto"/>
            <w:hideMark/>
          </w:tcPr>
          <w:p w14:paraId="7277642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0.85</w:t>
            </w:r>
          </w:p>
        </w:tc>
        <w:tc>
          <w:tcPr>
            <w:tcW w:w="0" w:type="auto"/>
            <w:hideMark/>
          </w:tcPr>
          <w:p w14:paraId="694B2ECC" w14:textId="7158DAD5"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3E0067DB" w14:textId="77777777" w:rsidTr="0081002F">
        <w:tc>
          <w:tcPr>
            <w:tcW w:w="0" w:type="auto"/>
            <w:hideMark/>
          </w:tcPr>
          <w:p w14:paraId="6C5D275C"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Perceived risk and concerns</w:t>
            </w:r>
          </w:p>
        </w:tc>
        <w:tc>
          <w:tcPr>
            <w:tcW w:w="0" w:type="auto"/>
            <w:hideMark/>
          </w:tcPr>
          <w:p w14:paraId="5E1258FF"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4.12</w:t>
            </w:r>
          </w:p>
        </w:tc>
        <w:tc>
          <w:tcPr>
            <w:tcW w:w="0" w:type="auto"/>
            <w:hideMark/>
          </w:tcPr>
          <w:p w14:paraId="00ED1525"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3.75</w:t>
            </w:r>
          </w:p>
        </w:tc>
        <w:tc>
          <w:tcPr>
            <w:tcW w:w="0" w:type="auto"/>
            <w:hideMark/>
          </w:tcPr>
          <w:p w14:paraId="2250CC23"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4.50</w:t>
            </w:r>
          </w:p>
        </w:tc>
        <w:tc>
          <w:tcPr>
            <w:tcW w:w="0" w:type="auto"/>
            <w:hideMark/>
          </w:tcPr>
          <w:p w14:paraId="10B42E3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0.75</w:t>
            </w:r>
          </w:p>
        </w:tc>
        <w:tc>
          <w:tcPr>
            <w:tcW w:w="0" w:type="auto"/>
            <w:hideMark/>
          </w:tcPr>
          <w:p w14:paraId="6B5CB3C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85.0</w:t>
            </w:r>
          </w:p>
        </w:tc>
        <w:tc>
          <w:tcPr>
            <w:tcW w:w="0" w:type="auto"/>
            <w:hideMark/>
          </w:tcPr>
          <w:p w14:paraId="5E68B9C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4.15</w:t>
            </w:r>
          </w:p>
        </w:tc>
        <w:tc>
          <w:tcPr>
            <w:tcW w:w="0" w:type="auto"/>
            <w:hideMark/>
          </w:tcPr>
          <w:p w14:paraId="72AD0F6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0.59</w:t>
            </w:r>
          </w:p>
        </w:tc>
        <w:tc>
          <w:tcPr>
            <w:tcW w:w="0" w:type="auto"/>
            <w:hideMark/>
          </w:tcPr>
          <w:p w14:paraId="74345D52"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0.36</w:t>
            </w:r>
          </w:p>
        </w:tc>
        <w:tc>
          <w:tcPr>
            <w:tcW w:w="0" w:type="auto"/>
            <w:hideMark/>
          </w:tcPr>
          <w:p w14:paraId="17ED0582"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0.82</w:t>
            </w:r>
          </w:p>
        </w:tc>
        <w:tc>
          <w:tcPr>
            <w:tcW w:w="0" w:type="auto"/>
            <w:hideMark/>
          </w:tcPr>
          <w:p w14:paraId="7AF9034C" w14:textId="6145834F"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r w:rsidR="0081002F" w:rsidRPr="0081002F" w14:paraId="79E738E1" w14:textId="77777777" w:rsidTr="0081002F">
        <w:tc>
          <w:tcPr>
            <w:tcW w:w="0" w:type="auto"/>
            <w:tcBorders>
              <w:bottom w:val="single" w:sz="18" w:space="0" w:color="auto"/>
            </w:tcBorders>
            <w:hideMark/>
          </w:tcPr>
          <w:p w14:paraId="309D101B" w14:textId="77777777" w:rsidR="0081002F" w:rsidRPr="0081002F" w:rsidRDefault="0081002F" w:rsidP="0081002F">
            <w:pPr>
              <w:rPr>
                <w:rFonts w:ascii="Times New Roman" w:hAnsi="Times New Roman" w:cs="Times New Roman"/>
                <w:sz w:val="20"/>
                <w:szCs w:val="20"/>
                <w:lang w:val="en-US"/>
              </w:rPr>
            </w:pPr>
            <w:r w:rsidRPr="0081002F">
              <w:rPr>
                <w:rFonts w:ascii="Times New Roman" w:hAnsi="Times New Roman" w:cs="Times New Roman"/>
                <w:sz w:val="20"/>
                <w:szCs w:val="20"/>
                <w:lang w:val="en-US"/>
              </w:rPr>
              <w:t>Ethics, privacy and accountability</w:t>
            </w:r>
          </w:p>
        </w:tc>
        <w:tc>
          <w:tcPr>
            <w:tcW w:w="0" w:type="auto"/>
            <w:tcBorders>
              <w:bottom w:val="single" w:sz="18" w:space="0" w:color="auto"/>
            </w:tcBorders>
            <w:hideMark/>
          </w:tcPr>
          <w:p w14:paraId="7FB3B224"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4.38</w:t>
            </w:r>
          </w:p>
        </w:tc>
        <w:tc>
          <w:tcPr>
            <w:tcW w:w="0" w:type="auto"/>
            <w:tcBorders>
              <w:bottom w:val="single" w:sz="18" w:space="0" w:color="auto"/>
            </w:tcBorders>
            <w:hideMark/>
          </w:tcPr>
          <w:p w14:paraId="2BC60A90"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4.00</w:t>
            </w:r>
          </w:p>
        </w:tc>
        <w:tc>
          <w:tcPr>
            <w:tcW w:w="0" w:type="auto"/>
            <w:tcBorders>
              <w:bottom w:val="single" w:sz="18" w:space="0" w:color="auto"/>
            </w:tcBorders>
            <w:hideMark/>
          </w:tcPr>
          <w:p w14:paraId="678FF6F9"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4.75</w:t>
            </w:r>
          </w:p>
        </w:tc>
        <w:tc>
          <w:tcPr>
            <w:tcW w:w="0" w:type="auto"/>
            <w:tcBorders>
              <w:bottom w:val="single" w:sz="18" w:space="0" w:color="auto"/>
            </w:tcBorders>
            <w:hideMark/>
          </w:tcPr>
          <w:p w14:paraId="1902A54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0.75</w:t>
            </w:r>
          </w:p>
        </w:tc>
        <w:tc>
          <w:tcPr>
            <w:tcW w:w="0" w:type="auto"/>
            <w:tcBorders>
              <w:bottom w:val="single" w:sz="18" w:space="0" w:color="auto"/>
            </w:tcBorders>
            <w:hideMark/>
          </w:tcPr>
          <w:p w14:paraId="158C0B3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97.5</w:t>
            </w:r>
          </w:p>
        </w:tc>
        <w:tc>
          <w:tcPr>
            <w:tcW w:w="0" w:type="auto"/>
            <w:tcBorders>
              <w:bottom w:val="single" w:sz="18" w:space="0" w:color="auto"/>
            </w:tcBorders>
            <w:hideMark/>
          </w:tcPr>
          <w:p w14:paraId="3897C03C"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4.40</w:t>
            </w:r>
          </w:p>
        </w:tc>
        <w:tc>
          <w:tcPr>
            <w:tcW w:w="0" w:type="auto"/>
            <w:tcBorders>
              <w:bottom w:val="single" w:sz="18" w:space="0" w:color="auto"/>
            </w:tcBorders>
            <w:hideMark/>
          </w:tcPr>
          <w:p w14:paraId="30B6838E"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0.51</w:t>
            </w:r>
          </w:p>
        </w:tc>
        <w:tc>
          <w:tcPr>
            <w:tcW w:w="0" w:type="auto"/>
            <w:tcBorders>
              <w:bottom w:val="single" w:sz="18" w:space="0" w:color="auto"/>
            </w:tcBorders>
            <w:hideMark/>
          </w:tcPr>
          <w:p w14:paraId="64E1BC8B"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0.27</w:t>
            </w:r>
          </w:p>
        </w:tc>
        <w:tc>
          <w:tcPr>
            <w:tcW w:w="0" w:type="auto"/>
            <w:tcBorders>
              <w:bottom w:val="single" w:sz="18" w:space="0" w:color="auto"/>
            </w:tcBorders>
            <w:hideMark/>
          </w:tcPr>
          <w:p w14:paraId="430B1828" w14:textId="77777777"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0.87</w:t>
            </w:r>
          </w:p>
        </w:tc>
        <w:tc>
          <w:tcPr>
            <w:tcW w:w="0" w:type="auto"/>
            <w:tcBorders>
              <w:bottom w:val="single" w:sz="18" w:space="0" w:color="auto"/>
            </w:tcBorders>
            <w:hideMark/>
          </w:tcPr>
          <w:p w14:paraId="1BAA9372" w14:textId="0C59013D" w:rsidR="0081002F" w:rsidRPr="0081002F" w:rsidRDefault="0081002F" w:rsidP="00864726">
            <w:pPr>
              <w:jc w:val="both"/>
              <w:rPr>
                <w:rFonts w:ascii="Times New Roman" w:hAnsi="Times New Roman" w:cs="Times New Roman"/>
                <w:sz w:val="20"/>
                <w:szCs w:val="20"/>
                <w:lang w:val="en-US"/>
              </w:rPr>
            </w:pPr>
            <w:r w:rsidRPr="0081002F">
              <w:rPr>
                <w:rFonts w:ascii="Times New Roman" w:hAnsi="Times New Roman" w:cs="Times New Roman"/>
                <w:sz w:val="20"/>
                <w:szCs w:val="20"/>
                <w:lang w:val="en-US"/>
              </w:rPr>
              <w:t>A</w:t>
            </w:r>
          </w:p>
        </w:tc>
      </w:tr>
    </w:tbl>
    <w:p w14:paraId="60B95E38" w14:textId="4C34E9C7" w:rsidR="00254561" w:rsidRPr="00864726" w:rsidRDefault="00254561" w:rsidP="00864726">
      <w:pPr>
        <w:spacing w:after="0" w:line="240" w:lineRule="auto"/>
        <w:jc w:val="both"/>
        <w:rPr>
          <w:rFonts w:ascii="Times New Roman" w:hAnsi="Times New Roman" w:cs="Times New Roman"/>
          <w:sz w:val="18"/>
          <w:szCs w:val="18"/>
          <w:lang w:val="en-US"/>
        </w:rPr>
      </w:pPr>
      <w:r w:rsidRPr="00864726">
        <w:rPr>
          <w:rFonts w:ascii="Times New Roman" w:hAnsi="Times New Roman" w:cs="Times New Roman"/>
          <w:sz w:val="18"/>
          <w:szCs w:val="18"/>
          <w:lang w:val="en-US"/>
        </w:rPr>
        <w:t>*A = accepted; R = rejected</w:t>
      </w:r>
    </w:p>
    <w:p w14:paraId="367DFFFB" w14:textId="6AB519E4" w:rsidR="0047589E" w:rsidRPr="0081002F" w:rsidRDefault="0047589E" w:rsidP="00864726">
      <w:pPr>
        <w:spacing w:after="0" w:line="240" w:lineRule="auto"/>
        <w:jc w:val="center"/>
        <w:rPr>
          <w:rFonts w:ascii="Times New Roman" w:hAnsi="Times New Roman" w:cs="Times New Roman"/>
          <w:i/>
          <w:iCs/>
          <w:lang w:val="en-US"/>
        </w:rPr>
      </w:pPr>
      <w:r w:rsidRPr="0081002F">
        <w:rPr>
          <w:rFonts w:ascii="Times New Roman" w:hAnsi="Times New Roman" w:cs="Times New Roman"/>
          <w:i/>
          <w:iCs/>
          <w:lang w:val="en-US"/>
        </w:rPr>
        <w:t>Source: Authors’ calculations</w:t>
      </w:r>
    </w:p>
    <w:p w14:paraId="3D120086" w14:textId="77777777" w:rsidR="0067314E" w:rsidRPr="00864726" w:rsidRDefault="0067314E" w:rsidP="00864726">
      <w:pPr>
        <w:spacing w:after="0" w:line="240" w:lineRule="auto"/>
        <w:jc w:val="both"/>
        <w:rPr>
          <w:rFonts w:ascii="Times New Roman" w:hAnsi="Times New Roman" w:cs="Times New Roman"/>
          <w:lang w:val="en-US"/>
        </w:rPr>
      </w:pPr>
    </w:p>
    <w:p w14:paraId="1AD21DEC" w14:textId="2D51FADF"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The consensus analysis shows that the expert panel largely confirmed the proposed framework. Thirteen of the fifteen factors met the predefined conditions for further inclusion. This result indicates that technology acceptance models remain relevant in the context of AI, but their application in accounting requires extension with dimensions that reflect the professional, organisational and control-sensitive character of accounting work.</w:t>
      </w:r>
    </w:p>
    <w:p w14:paraId="09D2A321" w14:textId="60152AFC"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lastRenderedPageBreak/>
        <w:t xml:space="preserve">Strong support was obtained for factors directly related to the core logic of TAM and UTAUT. </w:t>
      </w:r>
      <w:r w:rsidR="003E6DA4" w:rsidRPr="00864726">
        <w:rPr>
          <w:rFonts w:ascii="Times New Roman" w:hAnsi="Times New Roman" w:cs="Times New Roman"/>
          <w:lang w:val="en-US"/>
        </w:rPr>
        <w:t>PU</w:t>
      </w:r>
      <w:r w:rsidRPr="00864726">
        <w:rPr>
          <w:rFonts w:ascii="Times New Roman" w:hAnsi="Times New Roman" w:cs="Times New Roman"/>
          <w:lang w:val="en-US"/>
        </w:rPr>
        <w:t xml:space="preserve">, </w:t>
      </w:r>
      <w:r w:rsidR="003E6DA4" w:rsidRPr="00864726">
        <w:rPr>
          <w:rFonts w:ascii="Times New Roman" w:hAnsi="Times New Roman" w:cs="Times New Roman"/>
          <w:lang w:val="en-US"/>
        </w:rPr>
        <w:t>PEOU</w:t>
      </w:r>
      <w:r w:rsidRPr="00864726">
        <w:rPr>
          <w:rFonts w:ascii="Times New Roman" w:hAnsi="Times New Roman" w:cs="Times New Roman"/>
          <w:lang w:val="en-US"/>
        </w:rPr>
        <w:t xml:space="preserve">, attitude towards using AI, relative advantage and performance benefits, and training and organisational support all reached consensus. This suggests that experts are more likely to support AI adoption when </w:t>
      </w:r>
      <w:proofErr w:type="gramStart"/>
      <w:r w:rsidRPr="00864726">
        <w:rPr>
          <w:rFonts w:ascii="Times New Roman" w:hAnsi="Times New Roman" w:cs="Times New Roman"/>
          <w:lang w:val="en-US"/>
        </w:rPr>
        <w:t>the technology</w:t>
      </w:r>
      <w:proofErr w:type="gramEnd"/>
      <w:r w:rsidRPr="00864726">
        <w:rPr>
          <w:rFonts w:ascii="Times New Roman" w:hAnsi="Times New Roman" w:cs="Times New Roman"/>
          <w:lang w:val="en-US"/>
        </w:rPr>
        <w:t xml:space="preserve"> creates clear practical value, is understandable for users and is supported by the organisation. At the level of practical interpretation, this means that AI adoption is strengthened when accountants can see time savings, faster task execution, capacity to process larger volumes of data, and improvements in analytics and reporting.</w:t>
      </w:r>
    </w:p>
    <w:p w14:paraId="70C8EBE6" w14:textId="473DF640"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high level of consensus for </w:t>
      </w:r>
      <w:r w:rsidR="003E6DA4" w:rsidRPr="00864726">
        <w:rPr>
          <w:rFonts w:ascii="Times New Roman" w:hAnsi="Times New Roman" w:cs="Times New Roman"/>
          <w:lang w:val="en-US"/>
        </w:rPr>
        <w:t>PU</w:t>
      </w:r>
      <w:r w:rsidRPr="00864726">
        <w:rPr>
          <w:rFonts w:ascii="Times New Roman" w:hAnsi="Times New Roman" w:cs="Times New Roman"/>
          <w:lang w:val="en-US"/>
        </w:rPr>
        <w:t xml:space="preserve"> and </w:t>
      </w:r>
      <w:r w:rsidR="003E6DA4" w:rsidRPr="00864726">
        <w:rPr>
          <w:rFonts w:ascii="Times New Roman" w:hAnsi="Times New Roman" w:cs="Times New Roman"/>
          <w:lang w:val="en-US"/>
        </w:rPr>
        <w:t>PEOU</w:t>
      </w:r>
      <w:r w:rsidRPr="00864726">
        <w:rPr>
          <w:rFonts w:ascii="Times New Roman" w:hAnsi="Times New Roman" w:cs="Times New Roman"/>
          <w:lang w:val="en-US"/>
        </w:rPr>
        <w:t xml:space="preserve"> confirms that the core TAM constructs remain central, but the Delphi results also show that these constructs must be interpreted in an accounting-specific way. Usefulness is not only a general belief that the tool is beneficial. It is connected to accuracy, reporting quality, analytical value, efficiency and reduced manual workload. Ease of use is linked to whether the AI tool can be understood, controlled and applied within existing accounting routines, deadlines and reporting responsibilities.</w:t>
      </w:r>
    </w:p>
    <w:p w14:paraId="670EB842" w14:textId="2F1CBD55"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Training and organisational support also received strong expert support, with all experts rating the factor at 4 or above. This finding confirms that AI adoption in accounting is also an organisational process. Accountants need structured training, internal guidance, management support and time to learn how to use AI tools properly. In a professional field where errors may have financial, tax or audit consequences, training should not be limited to general software demonstrations. It should be role-based, process-oriented and connected to verification, documentation, internal controls and escalation of uncertain outputs.</w:t>
      </w:r>
    </w:p>
    <w:p w14:paraId="3ABFB6C9" w14:textId="7C9835AD"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Compatibility with current accounting software and/or ERP processes also achieved consensus. This result confirms the importance of the TOE perspective. Accounting work is based on structured processes, </w:t>
      </w:r>
      <w:proofErr w:type="spellStart"/>
      <w:r w:rsidRPr="00864726">
        <w:rPr>
          <w:rFonts w:ascii="Times New Roman" w:hAnsi="Times New Roman" w:cs="Times New Roman"/>
          <w:lang w:val="en-US"/>
        </w:rPr>
        <w:t>authorisation</w:t>
      </w:r>
      <w:proofErr w:type="spellEnd"/>
      <w:r w:rsidRPr="00864726">
        <w:rPr>
          <w:rFonts w:ascii="Times New Roman" w:hAnsi="Times New Roman" w:cs="Times New Roman"/>
          <w:lang w:val="en-US"/>
        </w:rPr>
        <w:t xml:space="preserve"> rules, documentation requirements and audit trails. If AI tools are not integrated into existing ERP/</w:t>
      </w:r>
      <w:proofErr w:type="gramStart"/>
      <w:r w:rsidRPr="00864726">
        <w:rPr>
          <w:rFonts w:ascii="Times New Roman" w:hAnsi="Times New Roman" w:cs="Times New Roman"/>
          <w:lang w:val="en-US"/>
        </w:rPr>
        <w:t>AIS</w:t>
      </w:r>
      <w:proofErr w:type="gramEnd"/>
      <w:r w:rsidRPr="00864726">
        <w:rPr>
          <w:rFonts w:ascii="Times New Roman" w:hAnsi="Times New Roman" w:cs="Times New Roman"/>
          <w:lang w:val="en-US"/>
        </w:rPr>
        <w:t xml:space="preserve"> environments, their practical use may remain limited, regardless of their technical potential. </w:t>
      </w:r>
    </w:p>
    <w:p w14:paraId="67D40BB1" w14:textId="0CD921A9"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retention of data quality discipline, trust in AI results, perceived risk and concerns, and ethics, privacy and accountability is particularly important. These factors show that experts did not evaluate AI adoption only through efficiency, productivity or usability. They also emphasised the need to extend adoption models with dimensions that are especially relevant for professions with high </w:t>
      </w:r>
      <w:proofErr w:type="gramStart"/>
      <w:r w:rsidRPr="00864726">
        <w:rPr>
          <w:rFonts w:ascii="Times New Roman" w:hAnsi="Times New Roman" w:cs="Times New Roman"/>
          <w:lang w:val="en-US"/>
        </w:rPr>
        <w:t>regulatory</w:t>
      </w:r>
      <w:proofErr w:type="gramEnd"/>
      <w:r w:rsidRPr="00864726">
        <w:rPr>
          <w:rFonts w:ascii="Times New Roman" w:hAnsi="Times New Roman" w:cs="Times New Roman"/>
          <w:lang w:val="en-US"/>
        </w:rPr>
        <w:t xml:space="preserve">, control and ethical sensitivity. In accounting, AI-supported </w:t>
      </w:r>
      <w:proofErr w:type="gramStart"/>
      <w:r w:rsidRPr="00864726">
        <w:rPr>
          <w:rFonts w:ascii="Times New Roman" w:hAnsi="Times New Roman" w:cs="Times New Roman"/>
          <w:lang w:val="en-US"/>
        </w:rPr>
        <w:t>outputs</w:t>
      </w:r>
      <w:proofErr w:type="gramEnd"/>
      <w:r w:rsidRPr="00864726">
        <w:rPr>
          <w:rFonts w:ascii="Times New Roman" w:hAnsi="Times New Roman" w:cs="Times New Roman"/>
          <w:lang w:val="en-US"/>
        </w:rPr>
        <w:t xml:space="preserve"> must be reliable, </w:t>
      </w:r>
      <w:r w:rsidR="003E6DA4" w:rsidRPr="00864726">
        <w:rPr>
          <w:rFonts w:ascii="Times New Roman" w:hAnsi="Times New Roman" w:cs="Times New Roman"/>
          <w:lang w:val="en-US"/>
        </w:rPr>
        <w:t xml:space="preserve">suitable for </w:t>
      </w:r>
      <w:r w:rsidRPr="00864726">
        <w:rPr>
          <w:rFonts w:ascii="Times New Roman" w:hAnsi="Times New Roman" w:cs="Times New Roman"/>
          <w:lang w:val="en-US"/>
        </w:rPr>
        <w:t>verifi</w:t>
      </w:r>
      <w:r w:rsidR="003E6DA4" w:rsidRPr="00864726">
        <w:rPr>
          <w:rFonts w:ascii="Times New Roman" w:hAnsi="Times New Roman" w:cs="Times New Roman"/>
          <w:lang w:val="en-US"/>
        </w:rPr>
        <w:t>cation</w:t>
      </w:r>
      <w:r w:rsidRPr="00864726">
        <w:rPr>
          <w:rFonts w:ascii="Times New Roman" w:hAnsi="Times New Roman" w:cs="Times New Roman"/>
          <w:lang w:val="en-US"/>
        </w:rPr>
        <w:t xml:space="preserve"> and consistent with professional judgement. Data quality directly affects whether AI-generated classifications, forecasts or reports can be trusted. Similarly, trust in AI results does not mean replacing professional judgement with automated </w:t>
      </w:r>
      <w:proofErr w:type="gramStart"/>
      <w:r w:rsidRPr="00864726">
        <w:rPr>
          <w:rFonts w:ascii="Times New Roman" w:hAnsi="Times New Roman" w:cs="Times New Roman"/>
          <w:lang w:val="en-US"/>
        </w:rPr>
        <w:t>outputs, but</w:t>
      </w:r>
      <w:proofErr w:type="gramEnd"/>
      <w:r w:rsidRPr="00864726">
        <w:rPr>
          <w:rFonts w:ascii="Times New Roman" w:hAnsi="Times New Roman" w:cs="Times New Roman"/>
          <w:lang w:val="en-US"/>
        </w:rPr>
        <w:t xml:space="preserve"> using AI as decision support under human review and responsibility.</w:t>
      </w:r>
    </w:p>
    <w:p w14:paraId="4CD17ADD" w14:textId="77777777"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lastRenderedPageBreak/>
        <w:t>The acceptance of perceived risk and concerns also shows that experts do not view AI adoption as a one-dimensional positive process. AI may reduce workload and improve analysis, but it may also create new risks if outputs are inaccurate, users become overdependent on the tool, or responsibility for decisions becomes unclear. For this reason, AI adoption requires safeguards such as validation procedures, documentation, access controls, human review and clear accountability. The strong support for ethics, privacy and accountability confirms that confidentiality, regulatory compliance and responsible use are central adoption conditions in accounting.</w:t>
      </w:r>
    </w:p>
    <w:p w14:paraId="1B6349E7" w14:textId="22C952A2" w:rsidR="0047589E" w:rsidRPr="00864726" w:rsidRDefault="0047589E"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Two factors did not meet the required factor-level consensus threshold</w:t>
      </w:r>
      <w:r w:rsidR="00B310DB" w:rsidRPr="00864726">
        <w:rPr>
          <w:rFonts w:ascii="Times New Roman" w:hAnsi="Times New Roman" w:cs="Times New Roman"/>
          <w:lang w:val="en-US"/>
        </w:rPr>
        <w:t>, i.e.,</w:t>
      </w:r>
      <w:r w:rsidRPr="00864726">
        <w:rPr>
          <w:rFonts w:ascii="Times New Roman" w:hAnsi="Times New Roman" w:cs="Times New Roman"/>
          <w:lang w:val="en-US"/>
        </w:rPr>
        <w:t xml:space="preserve"> technology readiness and digital literacy. Both factors had median values below 4, although their IQR and </w:t>
      </w:r>
      <w:proofErr w:type="spellStart"/>
      <w:r w:rsidRPr="00864726">
        <w:rPr>
          <w:rFonts w:ascii="Times New Roman" w:hAnsi="Times New Roman" w:cs="Times New Roman"/>
          <w:lang w:val="en-US"/>
        </w:rPr>
        <w:t>rWG</w:t>
      </w:r>
      <w:proofErr w:type="spellEnd"/>
      <w:r w:rsidRPr="00864726">
        <w:rPr>
          <w:rFonts w:ascii="Times New Roman" w:hAnsi="Times New Roman" w:cs="Times New Roman"/>
          <w:lang w:val="en-US"/>
        </w:rPr>
        <w:t xml:space="preserve"> values indicate some level of agreement. This result should not be interpreted as evidence that these dimensions are irrelevant. Rather, it suggests that the experts viewed them as variable prerequisites that differ across professionals and organisations, instead of stable determinants to be retained. In this context, the key issue is whether the organisation creates specific process-level and control-level conditions for responsible AI use. This explains why the expert panel placed stronger emphasis on compatibility, training, data quality, trust, risk and accountability.</w:t>
      </w:r>
    </w:p>
    <w:p w14:paraId="114F5B7A" w14:textId="77777777" w:rsidR="00253FFE" w:rsidRPr="00864726" w:rsidRDefault="00253FFE" w:rsidP="00864726">
      <w:pPr>
        <w:spacing w:after="0" w:line="240" w:lineRule="auto"/>
        <w:jc w:val="both"/>
        <w:rPr>
          <w:rFonts w:ascii="Times New Roman" w:hAnsi="Times New Roman" w:cs="Times New Roman"/>
          <w:lang w:val="en-US"/>
        </w:rPr>
      </w:pPr>
    </w:p>
    <w:p w14:paraId="2CF2C831" w14:textId="71511E4B" w:rsidR="00CC18C2" w:rsidRPr="00864726" w:rsidRDefault="00CC18C2" w:rsidP="00864726">
      <w:pPr>
        <w:spacing w:after="0" w:line="240" w:lineRule="auto"/>
        <w:jc w:val="center"/>
        <w:rPr>
          <w:rFonts w:ascii="Times New Roman" w:hAnsi="Times New Roman" w:cs="Times New Roman"/>
          <w:b/>
          <w:bCs/>
          <w:lang w:val="en-US"/>
        </w:rPr>
      </w:pPr>
      <w:r w:rsidRPr="00864726">
        <w:rPr>
          <w:rFonts w:ascii="Times New Roman" w:hAnsi="Times New Roman" w:cs="Times New Roman"/>
          <w:b/>
          <w:bCs/>
          <w:lang w:val="en-US"/>
        </w:rPr>
        <w:t>Conclusion</w:t>
      </w:r>
    </w:p>
    <w:p w14:paraId="517CE391" w14:textId="77777777" w:rsidR="00296BF7" w:rsidRPr="00864726" w:rsidRDefault="00296BF7"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This study developed an expert-based framework for AI adoption in accounting by integrating TAM, UTAUT and TOE. Instead of testing a predefined model on a broad sample, the study used a two-round Delphi method to identify which theoretically derived factors are considered relevant by experienced practitioners from accounting, auditing, advisory and ERP-related environments.</w:t>
      </w:r>
    </w:p>
    <w:p w14:paraId="3F331D20" w14:textId="1092F93B" w:rsidR="00296BF7" w:rsidRPr="00864726" w:rsidRDefault="00296BF7"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findings confirm that AI adoption in accounting cannot be explained only through the classical TAM constructs of </w:t>
      </w:r>
      <w:r w:rsidR="00B310DB" w:rsidRPr="00864726">
        <w:rPr>
          <w:rFonts w:ascii="Times New Roman" w:hAnsi="Times New Roman" w:cs="Times New Roman"/>
          <w:lang w:val="en-US"/>
        </w:rPr>
        <w:t>PU</w:t>
      </w:r>
      <w:r w:rsidRPr="00864726">
        <w:rPr>
          <w:rFonts w:ascii="Times New Roman" w:hAnsi="Times New Roman" w:cs="Times New Roman"/>
          <w:lang w:val="en-US"/>
        </w:rPr>
        <w:t xml:space="preserve"> and </w:t>
      </w:r>
      <w:r w:rsidR="00B310DB" w:rsidRPr="00864726">
        <w:rPr>
          <w:rFonts w:ascii="Times New Roman" w:hAnsi="Times New Roman" w:cs="Times New Roman"/>
          <w:lang w:val="en-US"/>
        </w:rPr>
        <w:t>PEOU</w:t>
      </w:r>
      <w:r w:rsidRPr="00864726">
        <w:rPr>
          <w:rFonts w:ascii="Times New Roman" w:hAnsi="Times New Roman" w:cs="Times New Roman"/>
          <w:lang w:val="en-US"/>
        </w:rPr>
        <w:t>, although both remain important. Experts confirmed that AI is more likely to be adopted when it provides visible performance benefits, is easy to understand and use, and is compatible with existing accounting workflows. However, the results also show that adoption depends on broader organisational, technological and governance-related conditions.</w:t>
      </w:r>
    </w:p>
    <w:p w14:paraId="26F11A3C" w14:textId="5E61C555" w:rsidR="00296BF7" w:rsidRPr="00864726" w:rsidRDefault="00296BF7"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 xml:space="preserve">The Delphi results confirmed 13 of the 15 proposed factors. In addition to </w:t>
      </w:r>
      <w:r w:rsidR="00B310DB" w:rsidRPr="00864726">
        <w:rPr>
          <w:rFonts w:ascii="Times New Roman" w:hAnsi="Times New Roman" w:cs="Times New Roman"/>
          <w:lang w:val="en-US"/>
        </w:rPr>
        <w:t>PU, PEOU</w:t>
      </w:r>
      <w:r w:rsidRPr="00864726">
        <w:rPr>
          <w:rFonts w:ascii="Times New Roman" w:hAnsi="Times New Roman" w:cs="Times New Roman"/>
          <w:lang w:val="en-US"/>
        </w:rPr>
        <w:t xml:space="preserve"> and attitude towards AI, the retained framework includes self-efficacy, social and managerial influence, compatibility with existing accounting software and ERP processes, relative advantage and performance benefits, training and organisational support, perceived complexity, data quality discipline, trust in AI results, perceived risk and concerns, and ethics, privacy and accountability. Technology readiness and digital literacy did not reach the required factor-level consensus. This does not mean that they are </w:t>
      </w:r>
      <w:proofErr w:type="gramStart"/>
      <w:r w:rsidRPr="00864726">
        <w:rPr>
          <w:rFonts w:ascii="Times New Roman" w:hAnsi="Times New Roman" w:cs="Times New Roman"/>
          <w:lang w:val="en-US"/>
        </w:rPr>
        <w:t>irrelevant, but</w:t>
      </w:r>
      <w:proofErr w:type="gramEnd"/>
      <w:r w:rsidRPr="00864726">
        <w:rPr>
          <w:rFonts w:ascii="Times New Roman" w:hAnsi="Times New Roman" w:cs="Times New Roman"/>
          <w:lang w:val="en-US"/>
        </w:rPr>
        <w:t xml:space="preserve"> suggests that experts perceived them </w:t>
      </w:r>
      <w:proofErr w:type="gramStart"/>
      <w:r w:rsidRPr="00864726">
        <w:rPr>
          <w:rFonts w:ascii="Times New Roman" w:hAnsi="Times New Roman" w:cs="Times New Roman"/>
          <w:lang w:val="en-US"/>
        </w:rPr>
        <w:t>more as</w:t>
      </w:r>
      <w:proofErr w:type="gramEnd"/>
      <w:r w:rsidRPr="00864726">
        <w:rPr>
          <w:rFonts w:ascii="Times New Roman" w:hAnsi="Times New Roman" w:cs="Times New Roman"/>
          <w:lang w:val="en-US"/>
        </w:rPr>
        <w:t xml:space="preserve"> variable background conditions than as stable determinants of AI adoption in accounting.</w:t>
      </w:r>
    </w:p>
    <w:p w14:paraId="0A883FD3" w14:textId="4CF3A369" w:rsidR="00296BF7" w:rsidRPr="00864726" w:rsidRDefault="00296BF7"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lastRenderedPageBreak/>
        <w:t>The study contributes to the literature by extending the traditional TAM</w:t>
      </w:r>
      <w:r w:rsidR="00B310DB" w:rsidRPr="00864726">
        <w:rPr>
          <w:rFonts w:ascii="Times New Roman" w:hAnsi="Times New Roman" w:cs="Times New Roman"/>
          <w:lang w:val="en-US"/>
        </w:rPr>
        <w:t xml:space="preserve"> </w:t>
      </w:r>
      <w:r w:rsidRPr="00864726">
        <w:rPr>
          <w:rFonts w:ascii="Times New Roman" w:hAnsi="Times New Roman" w:cs="Times New Roman"/>
          <w:lang w:val="en-US"/>
        </w:rPr>
        <w:t xml:space="preserve">based explanation of technology adoption with UTAUT and TOE dimensions, while also showing that AI adoption in accounting must be </w:t>
      </w:r>
      <w:proofErr w:type="spellStart"/>
      <w:r w:rsidRPr="00864726">
        <w:rPr>
          <w:rFonts w:ascii="Times New Roman" w:hAnsi="Times New Roman" w:cs="Times New Roman"/>
          <w:lang w:val="en-US"/>
        </w:rPr>
        <w:t>analysed</w:t>
      </w:r>
      <w:proofErr w:type="spellEnd"/>
      <w:r w:rsidRPr="00864726">
        <w:rPr>
          <w:rFonts w:ascii="Times New Roman" w:hAnsi="Times New Roman" w:cs="Times New Roman"/>
          <w:lang w:val="en-US"/>
        </w:rPr>
        <w:t xml:space="preserve"> through the lenses of data quality, trust, risk, ethics and accountability. From a practical perspective, the findings suggest that organisations should not treat AI implementation only as a software investment. Successful adoption requires integration with ERP/AIS processes, role-based training, reliable data governance, clear procedures for human review, and defined rules for confidentiality, documentation and responsibility.</w:t>
      </w:r>
    </w:p>
    <w:p w14:paraId="280534D5" w14:textId="77777777" w:rsidR="00296BF7" w:rsidRPr="00864726" w:rsidRDefault="00296BF7"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The study has several limitations. The Delphi panel included ten experts, which is suitable for an expert-consensus design, but the findings should not be interpreted as statistically generalisable to all accounting professionals or organisational settings. The panel was composed mainly of experienced professionals from international audit, advisory and ERP-related environments, which strengthens the quality of expert judgement, but may also reflect the perspective of more digitally advanced organisations. Future research may operationalise the retained factors in a broader survey of accounting practitioners and test the framework using quantitative methods, as well as compare adoption conditions across accounting roles, firm sizes and institutional contexts.</w:t>
      </w:r>
    </w:p>
    <w:p w14:paraId="4A7C95EB" w14:textId="4905DF38" w:rsidR="00253FFE" w:rsidRPr="00864726" w:rsidRDefault="00B310DB" w:rsidP="00864726">
      <w:pPr>
        <w:spacing w:after="0" w:line="240" w:lineRule="auto"/>
        <w:ind w:firstLine="720"/>
        <w:jc w:val="both"/>
        <w:rPr>
          <w:rFonts w:ascii="Times New Roman" w:hAnsi="Times New Roman" w:cs="Times New Roman"/>
          <w:lang w:val="en-US"/>
        </w:rPr>
      </w:pPr>
      <w:r w:rsidRPr="00864726">
        <w:rPr>
          <w:rFonts w:ascii="Times New Roman" w:hAnsi="Times New Roman" w:cs="Times New Roman"/>
          <w:lang w:val="en-US"/>
        </w:rPr>
        <w:t>The study shows that AI adoption in accounting depends on a broader set of conditions including PU, PEOU, trust, integration with existing processes, organisational support, proper governance and alignment with the professional responsibilities of accounting.</w:t>
      </w:r>
    </w:p>
    <w:p w14:paraId="5A272C29" w14:textId="77777777" w:rsidR="00253FFE" w:rsidRPr="00864726" w:rsidRDefault="00253FFE" w:rsidP="00864726">
      <w:pPr>
        <w:spacing w:after="0" w:line="240" w:lineRule="auto"/>
        <w:jc w:val="both"/>
        <w:rPr>
          <w:rFonts w:ascii="Times New Roman" w:hAnsi="Times New Roman" w:cs="Times New Roman"/>
          <w:lang w:val="en-US"/>
        </w:rPr>
      </w:pPr>
    </w:p>
    <w:p w14:paraId="50B82B13" w14:textId="77777777" w:rsidR="0067314E" w:rsidRPr="00864726" w:rsidRDefault="0067314E" w:rsidP="00864726">
      <w:pPr>
        <w:spacing w:after="0" w:line="240" w:lineRule="auto"/>
        <w:jc w:val="both"/>
        <w:rPr>
          <w:rFonts w:ascii="Times New Roman" w:hAnsi="Times New Roman" w:cs="Times New Roman"/>
          <w:lang w:val="en-US"/>
        </w:rPr>
      </w:pPr>
    </w:p>
    <w:p w14:paraId="018F6797" w14:textId="2C72F1EF" w:rsidR="00CC18C2" w:rsidRPr="00864726" w:rsidRDefault="00CC18C2" w:rsidP="00864726">
      <w:pPr>
        <w:spacing w:after="0" w:line="240" w:lineRule="auto"/>
        <w:jc w:val="both"/>
        <w:rPr>
          <w:rFonts w:ascii="Times New Roman" w:hAnsi="Times New Roman" w:cs="Times New Roman"/>
          <w:b/>
          <w:bCs/>
          <w:lang w:val="en-US"/>
        </w:rPr>
      </w:pPr>
      <w:r w:rsidRPr="00864726">
        <w:rPr>
          <w:rFonts w:ascii="Times New Roman" w:hAnsi="Times New Roman" w:cs="Times New Roman"/>
          <w:b/>
          <w:bCs/>
          <w:lang w:val="en-US"/>
        </w:rPr>
        <w:t>References</w:t>
      </w:r>
    </w:p>
    <w:p w14:paraId="5E787247"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Al Najjar, M., Ghanem, M. G., Mahboub, R., &amp; </w:t>
      </w:r>
      <w:proofErr w:type="spellStart"/>
      <w:r w:rsidRPr="006805F3">
        <w:rPr>
          <w:rFonts w:ascii="Times New Roman" w:hAnsi="Times New Roman" w:cs="Times New Roman"/>
          <w:lang w:val="en-US"/>
        </w:rPr>
        <w:t>Nakhal</w:t>
      </w:r>
      <w:proofErr w:type="spellEnd"/>
      <w:r w:rsidRPr="006805F3">
        <w:rPr>
          <w:rFonts w:ascii="Times New Roman" w:hAnsi="Times New Roman" w:cs="Times New Roman"/>
          <w:lang w:val="en-US"/>
        </w:rPr>
        <w:t xml:space="preserve">, B. (2024). The role of artificial intelligence in eliminating accounting errors. </w:t>
      </w:r>
      <w:r w:rsidRPr="006805F3">
        <w:rPr>
          <w:rFonts w:ascii="Times New Roman" w:hAnsi="Times New Roman" w:cs="Times New Roman"/>
          <w:i/>
          <w:iCs/>
          <w:lang w:val="en-US"/>
        </w:rPr>
        <w:t>Journal of Risk and Financial Management, 17</w:t>
      </w:r>
      <w:r w:rsidRPr="006805F3">
        <w:rPr>
          <w:rFonts w:ascii="Times New Roman" w:hAnsi="Times New Roman" w:cs="Times New Roman"/>
          <w:lang w:val="en-US"/>
        </w:rPr>
        <w:t xml:space="preserve">(8), Article 353. </w:t>
      </w:r>
      <w:hyperlink r:id="rId10" w:tgtFrame="_new" w:history="1">
        <w:r w:rsidRPr="006805F3">
          <w:rPr>
            <w:rStyle w:val="Hyperlink"/>
            <w:rFonts w:ascii="Times New Roman" w:hAnsi="Times New Roman" w:cs="Times New Roman"/>
            <w:lang w:val="en-US"/>
          </w:rPr>
          <w:t>https://doi.org/10.3390/jrfm17080353</w:t>
        </w:r>
      </w:hyperlink>
    </w:p>
    <w:p w14:paraId="4DC4EDED" w14:textId="77777777" w:rsidR="006805F3" w:rsidRPr="006805F3" w:rsidRDefault="006805F3" w:rsidP="006805F3">
      <w:pPr>
        <w:spacing w:after="0" w:line="240" w:lineRule="auto"/>
        <w:ind w:left="288" w:hanging="288"/>
        <w:jc w:val="both"/>
        <w:rPr>
          <w:rFonts w:ascii="Times New Roman" w:hAnsi="Times New Roman" w:cs="Times New Roman"/>
          <w:lang w:val="en-US"/>
        </w:rPr>
      </w:pPr>
      <w:proofErr w:type="spellStart"/>
      <w:r w:rsidRPr="006805F3">
        <w:rPr>
          <w:rFonts w:ascii="Times New Roman" w:hAnsi="Times New Roman" w:cs="Times New Roman"/>
          <w:lang w:val="en-US"/>
        </w:rPr>
        <w:t>Almgrashi</w:t>
      </w:r>
      <w:proofErr w:type="spellEnd"/>
      <w:r w:rsidRPr="006805F3">
        <w:rPr>
          <w:rFonts w:ascii="Times New Roman" w:hAnsi="Times New Roman" w:cs="Times New Roman"/>
          <w:lang w:val="en-US"/>
        </w:rPr>
        <w:t xml:space="preserve">, A., &amp; Mujalli, A. (2025). Sustainable transformation of the accounting and auditing profession: Readiness for blockchain technology adoption through UTAUT and TAM3 frameworks. </w:t>
      </w:r>
      <w:r w:rsidRPr="006805F3">
        <w:rPr>
          <w:rFonts w:ascii="Times New Roman" w:hAnsi="Times New Roman" w:cs="Times New Roman"/>
          <w:i/>
          <w:iCs/>
          <w:lang w:val="en-US"/>
        </w:rPr>
        <w:t>Sustainability, 17</w:t>
      </w:r>
      <w:r w:rsidRPr="006805F3">
        <w:rPr>
          <w:rFonts w:ascii="Times New Roman" w:hAnsi="Times New Roman" w:cs="Times New Roman"/>
          <w:lang w:val="en-US"/>
        </w:rPr>
        <w:t xml:space="preserve">(23), Article 10811. </w:t>
      </w:r>
      <w:hyperlink r:id="rId11" w:tgtFrame="_new" w:history="1">
        <w:r w:rsidRPr="006805F3">
          <w:rPr>
            <w:rStyle w:val="Hyperlink"/>
            <w:rFonts w:ascii="Times New Roman" w:hAnsi="Times New Roman" w:cs="Times New Roman"/>
            <w:lang w:val="en-US"/>
          </w:rPr>
          <w:t>https://doi.org/10.3390/su172310811</w:t>
        </w:r>
      </w:hyperlink>
    </w:p>
    <w:p w14:paraId="16E878AA"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Al-</w:t>
      </w:r>
      <w:proofErr w:type="spellStart"/>
      <w:r w:rsidRPr="006805F3">
        <w:rPr>
          <w:rFonts w:ascii="Times New Roman" w:hAnsi="Times New Roman" w:cs="Times New Roman"/>
          <w:lang w:val="en-US"/>
        </w:rPr>
        <w:t>Okaily</w:t>
      </w:r>
      <w:proofErr w:type="spellEnd"/>
      <w:r w:rsidRPr="006805F3">
        <w:rPr>
          <w:rFonts w:ascii="Times New Roman" w:hAnsi="Times New Roman" w:cs="Times New Roman"/>
          <w:lang w:val="en-US"/>
        </w:rPr>
        <w:t xml:space="preserve">, M. (2025). Attitudes toward the adoption of accounting analytics technology in the digital transformation landscape. </w:t>
      </w:r>
      <w:r w:rsidRPr="006805F3">
        <w:rPr>
          <w:rFonts w:ascii="Times New Roman" w:hAnsi="Times New Roman" w:cs="Times New Roman"/>
          <w:i/>
          <w:iCs/>
          <w:lang w:val="en-US"/>
        </w:rPr>
        <w:t>Journal of Accounting &amp; Organizational Change, 21</w:t>
      </w:r>
      <w:r w:rsidRPr="006805F3">
        <w:rPr>
          <w:rFonts w:ascii="Times New Roman" w:hAnsi="Times New Roman" w:cs="Times New Roman"/>
          <w:lang w:val="en-US"/>
        </w:rPr>
        <w:t xml:space="preserve">(3), 593–613. </w:t>
      </w:r>
      <w:hyperlink r:id="rId12" w:tgtFrame="_new" w:history="1">
        <w:r w:rsidRPr="006805F3">
          <w:rPr>
            <w:rStyle w:val="Hyperlink"/>
            <w:rFonts w:ascii="Times New Roman" w:hAnsi="Times New Roman" w:cs="Times New Roman"/>
            <w:lang w:val="en-US"/>
          </w:rPr>
          <w:t>https://doi.org/10.1108/JAOC-04-2024-0127</w:t>
        </w:r>
      </w:hyperlink>
    </w:p>
    <w:p w14:paraId="6F69C3E2"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Alshammari, M. M., &amp; Al-Mamary, Y. H. (2025). User acceptance of AI-powered training: Extending the Technology Acceptance Model (TAM). </w:t>
      </w:r>
      <w:r w:rsidRPr="006805F3">
        <w:rPr>
          <w:rFonts w:ascii="Times New Roman" w:hAnsi="Times New Roman" w:cs="Times New Roman"/>
          <w:i/>
          <w:iCs/>
          <w:lang w:val="en-US"/>
        </w:rPr>
        <w:t>Future Business Journal, 11</w:t>
      </w:r>
      <w:r w:rsidRPr="006805F3">
        <w:rPr>
          <w:rFonts w:ascii="Times New Roman" w:hAnsi="Times New Roman" w:cs="Times New Roman"/>
          <w:lang w:val="en-US"/>
        </w:rPr>
        <w:t xml:space="preserve">, Article 239. </w:t>
      </w:r>
      <w:hyperlink r:id="rId13" w:tgtFrame="_new" w:history="1">
        <w:r w:rsidRPr="006805F3">
          <w:rPr>
            <w:rStyle w:val="Hyperlink"/>
            <w:rFonts w:ascii="Times New Roman" w:hAnsi="Times New Roman" w:cs="Times New Roman"/>
            <w:lang w:val="en-US"/>
          </w:rPr>
          <w:t>https://doi.org/10.1186/s43093-025-00665-w</w:t>
        </w:r>
      </w:hyperlink>
    </w:p>
    <w:p w14:paraId="478CA2CC"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lastRenderedPageBreak/>
        <w:t xml:space="preserve">Anh, N. T. M., Le, T. K. H., Lai, P. T., Duong, A. N., Nguyen, T. L., Nguyen, T. T., &amp; Vu, N. X. (2024). The effect of technology readiness on adopting artificial intelligence in accounting and auditing in Vietnam. </w:t>
      </w:r>
      <w:r w:rsidRPr="006805F3">
        <w:rPr>
          <w:rFonts w:ascii="Times New Roman" w:hAnsi="Times New Roman" w:cs="Times New Roman"/>
          <w:i/>
          <w:iCs/>
          <w:lang w:val="en-US"/>
        </w:rPr>
        <w:t>Journal of Risk and Financial Management, 17</w:t>
      </w:r>
      <w:r w:rsidRPr="006805F3">
        <w:rPr>
          <w:rFonts w:ascii="Times New Roman" w:hAnsi="Times New Roman" w:cs="Times New Roman"/>
          <w:lang w:val="en-US"/>
        </w:rPr>
        <w:t xml:space="preserve">(1), Article 27. </w:t>
      </w:r>
      <w:hyperlink r:id="rId14" w:tgtFrame="_new" w:history="1">
        <w:r w:rsidRPr="006805F3">
          <w:rPr>
            <w:rStyle w:val="Hyperlink"/>
            <w:rFonts w:ascii="Times New Roman" w:hAnsi="Times New Roman" w:cs="Times New Roman"/>
            <w:lang w:val="en-US"/>
          </w:rPr>
          <w:t>https://doi.org/10.3390/jrfm17010027</w:t>
        </w:r>
      </w:hyperlink>
    </w:p>
    <w:p w14:paraId="794E42F3"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Benzine, W., &amp; Tiar, A. (2022). Evaluation of factors affecting the use of the accounting information system using the TAM model: A field study in Algerian firms. </w:t>
      </w:r>
      <w:r w:rsidRPr="006805F3">
        <w:rPr>
          <w:rFonts w:ascii="Times New Roman" w:hAnsi="Times New Roman" w:cs="Times New Roman"/>
          <w:i/>
          <w:iCs/>
          <w:lang w:val="en-US"/>
        </w:rPr>
        <w:t>Asia Pacific Journal of Information Systems, 32</w:t>
      </w:r>
      <w:r w:rsidRPr="006805F3">
        <w:rPr>
          <w:rFonts w:ascii="Times New Roman" w:hAnsi="Times New Roman" w:cs="Times New Roman"/>
          <w:lang w:val="en-US"/>
        </w:rPr>
        <w:t xml:space="preserve">(2), 435–459. </w:t>
      </w:r>
      <w:hyperlink r:id="rId15" w:tgtFrame="_new" w:history="1">
        <w:r w:rsidRPr="006805F3">
          <w:rPr>
            <w:rStyle w:val="Hyperlink"/>
            <w:rFonts w:ascii="Times New Roman" w:hAnsi="Times New Roman" w:cs="Times New Roman"/>
            <w:lang w:val="en-US"/>
          </w:rPr>
          <w:t>https://doi.org/10.14329/apjis.2022.32.2.435</w:t>
        </w:r>
      </w:hyperlink>
    </w:p>
    <w:p w14:paraId="4A6B521F"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Bin-Nashwan, S. A., Li, J. Z., Jiang, H., </w:t>
      </w:r>
      <w:proofErr w:type="spellStart"/>
      <w:r w:rsidRPr="006805F3">
        <w:rPr>
          <w:rFonts w:ascii="Times New Roman" w:hAnsi="Times New Roman" w:cs="Times New Roman"/>
          <w:lang w:val="en-US"/>
        </w:rPr>
        <w:t>Bajary</w:t>
      </w:r>
      <w:proofErr w:type="spellEnd"/>
      <w:r w:rsidRPr="006805F3">
        <w:rPr>
          <w:rFonts w:ascii="Times New Roman" w:hAnsi="Times New Roman" w:cs="Times New Roman"/>
          <w:lang w:val="en-US"/>
        </w:rPr>
        <w:t xml:space="preserve">, A. R., &amp; Ma’aji, M. M. (2025). Does AI adoption redefine financial reporting accuracy, auditing efficiency, and information asymmetry? An integrated model of TOE–TAM–RDT and big data governance. </w:t>
      </w:r>
      <w:r w:rsidRPr="006805F3">
        <w:rPr>
          <w:rFonts w:ascii="Times New Roman" w:hAnsi="Times New Roman" w:cs="Times New Roman"/>
          <w:i/>
          <w:iCs/>
          <w:lang w:val="en-US"/>
        </w:rPr>
        <w:t>Computers in Human Behavior Reports, 17</w:t>
      </w:r>
      <w:r w:rsidRPr="006805F3">
        <w:rPr>
          <w:rFonts w:ascii="Times New Roman" w:hAnsi="Times New Roman" w:cs="Times New Roman"/>
          <w:lang w:val="en-US"/>
        </w:rPr>
        <w:t xml:space="preserve">, Article 100572. </w:t>
      </w:r>
      <w:hyperlink r:id="rId16" w:tgtFrame="_new" w:history="1">
        <w:r w:rsidRPr="006805F3">
          <w:rPr>
            <w:rStyle w:val="Hyperlink"/>
            <w:rFonts w:ascii="Times New Roman" w:hAnsi="Times New Roman" w:cs="Times New Roman"/>
            <w:lang w:val="en-US"/>
          </w:rPr>
          <w:t>https://doi.org/10.1016/j.chbr.2024.100572</w:t>
        </w:r>
      </w:hyperlink>
    </w:p>
    <w:p w14:paraId="123A5431"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CPA.com. (2025). </w:t>
      </w:r>
      <w:r w:rsidRPr="006805F3">
        <w:rPr>
          <w:rFonts w:ascii="Times New Roman" w:hAnsi="Times New Roman" w:cs="Times New Roman"/>
          <w:i/>
          <w:iCs/>
          <w:lang w:val="en-US"/>
        </w:rPr>
        <w:t>CPA.com 2025 AI in accounting report</w:t>
      </w:r>
      <w:r w:rsidRPr="006805F3">
        <w:rPr>
          <w:rFonts w:ascii="Times New Roman" w:hAnsi="Times New Roman" w:cs="Times New Roman"/>
          <w:lang w:val="en-US"/>
        </w:rPr>
        <w:t xml:space="preserve">. </w:t>
      </w:r>
      <w:hyperlink r:id="rId17" w:tgtFrame="_new" w:history="1">
        <w:r w:rsidRPr="006805F3">
          <w:rPr>
            <w:rStyle w:val="Hyperlink"/>
            <w:rFonts w:ascii="Times New Roman" w:hAnsi="Times New Roman" w:cs="Times New Roman"/>
            <w:lang w:val="en-US"/>
          </w:rPr>
          <w:t>https://www.cpa.com/sites/cpa/files/2025-06/2025_AI_in_Accounting_Report.pdf</w:t>
        </w:r>
      </w:hyperlink>
    </w:p>
    <w:p w14:paraId="62BCA8FA"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Davis, F. D. (1989). Perceived usefulness, perceived ease of use, and user acceptance of information technology. </w:t>
      </w:r>
      <w:r w:rsidRPr="006805F3">
        <w:rPr>
          <w:rFonts w:ascii="Times New Roman" w:hAnsi="Times New Roman" w:cs="Times New Roman"/>
          <w:i/>
          <w:iCs/>
          <w:lang w:val="en-US"/>
        </w:rPr>
        <w:t>MIS Quarterly, 13</w:t>
      </w:r>
      <w:r w:rsidRPr="006805F3">
        <w:rPr>
          <w:rFonts w:ascii="Times New Roman" w:hAnsi="Times New Roman" w:cs="Times New Roman"/>
          <w:lang w:val="en-US"/>
        </w:rPr>
        <w:t xml:space="preserve">(3), 319–340. </w:t>
      </w:r>
      <w:hyperlink r:id="rId18" w:tgtFrame="_new" w:history="1">
        <w:r w:rsidRPr="006805F3">
          <w:rPr>
            <w:rStyle w:val="Hyperlink"/>
            <w:rFonts w:ascii="Times New Roman" w:hAnsi="Times New Roman" w:cs="Times New Roman"/>
            <w:lang w:val="en-US"/>
          </w:rPr>
          <w:t>https://doi.org/10.2307/249008</w:t>
        </w:r>
      </w:hyperlink>
    </w:p>
    <w:p w14:paraId="7AAB5C1A" w14:textId="77777777" w:rsidR="006805F3" w:rsidRPr="006805F3" w:rsidRDefault="006805F3" w:rsidP="006805F3">
      <w:pPr>
        <w:spacing w:after="0" w:line="240" w:lineRule="auto"/>
        <w:ind w:left="288" w:hanging="288"/>
        <w:jc w:val="both"/>
        <w:rPr>
          <w:rFonts w:ascii="Times New Roman" w:hAnsi="Times New Roman" w:cs="Times New Roman"/>
          <w:lang w:val="en-US"/>
        </w:rPr>
      </w:pPr>
      <w:proofErr w:type="spellStart"/>
      <w:r w:rsidRPr="006805F3">
        <w:rPr>
          <w:rFonts w:ascii="Times New Roman" w:hAnsi="Times New Roman" w:cs="Times New Roman"/>
          <w:lang w:val="en-US"/>
        </w:rPr>
        <w:t>Dwianto</w:t>
      </w:r>
      <w:proofErr w:type="spellEnd"/>
      <w:r w:rsidRPr="006805F3">
        <w:rPr>
          <w:rFonts w:ascii="Times New Roman" w:hAnsi="Times New Roman" w:cs="Times New Roman"/>
          <w:lang w:val="en-US"/>
        </w:rPr>
        <w:t xml:space="preserve">, A., Rahman, A. N., </w:t>
      </w:r>
      <w:proofErr w:type="spellStart"/>
      <w:r w:rsidRPr="006805F3">
        <w:rPr>
          <w:rFonts w:ascii="Times New Roman" w:hAnsi="Times New Roman" w:cs="Times New Roman"/>
          <w:lang w:val="en-US"/>
        </w:rPr>
        <w:t>Ulynnuha</w:t>
      </w:r>
      <w:proofErr w:type="spellEnd"/>
      <w:r w:rsidRPr="006805F3">
        <w:rPr>
          <w:rFonts w:ascii="Times New Roman" w:hAnsi="Times New Roman" w:cs="Times New Roman"/>
          <w:lang w:val="en-US"/>
        </w:rPr>
        <w:t xml:space="preserve">, O. I., Anam, K., &amp; Saif, G. M. S. (2024). The impact of technology readiness, usefulness, and ease of use on AI-based accounting software adoption. </w:t>
      </w:r>
      <w:r w:rsidRPr="006805F3">
        <w:rPr>
          <w:rFonts w:ascii="Times New Roman" w:hAnsi="Times New Roman" w:cs="Times New Roman"/>
          <w:i/>
          <w:iCs/>
          <w:lang w:val="en-US"/>
        </w:rPr>
        <w:t>Advances in Accounting Innovation, 1</w:t>
      </w:r>
      <w:r w:rsidRPr="006805F3">
        <w:rPr>
          <w:rFonts w:ascii="Times New Roman" w:hAnsi="Times New Roman" w:cs="Times New Roman"/>
          <w:lang w:val="en-US"/>
        </w:rPr>
        <w:t xml:space="preserve">(1), 10–11. </w:t>
      </w:r>
      <w:hyperlink r:id="rId19" w:tgtFrame="_new" w:history="1">
        <w:r w:rsidRPr="006805F3">
          <w:rPr>
            <w:rStyle w:val="Hyperlink"/>
            <w:rFonts w:ascii="Times New Roman" w:hAnsi="Times New Roman" w:cs="Times New Roman"/>
            <w:lang w:val="en-US"/>
          </w:rPr>
          <w:t>https://doi.org/10.69725/aai.v1i1.87</w:t>
        </w:r>
      </w:hyperlink>
    </w:p>
    <w:p w14:paraId="1AF9571F"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Ho, Y. K. (2024). Incorporating digital skills in accounting education. In A. Perdana &amp; T. Wang (Eds.), </w:t>
      </w:r>
      <w:r w:rsidRPr="006805F3">
        <w:rPr>
          <w:rFonts w:ascii="Times New Roman" w:hAnsi="Times New Roman" w:cs="Times New Roman"/>
          <w:i/>
          <w:iCs/>
          <w:lang w:val="en-US"/>
        </w:rPr>
        <w:t>Digital transformation in accounting and auditing</w:t>
      </w:r>
      <w:r w:rsidRPr="006805F3">
        <w:rPr>
          <w:rFonts w:ascii="Times New Roman" w:hAnsi="Times New Roman" w:cs="Times New Roman"/>
          <w:lang w:val="en-US"/>
        </w:rPr>
        <w:t xml:space="preserve"> (pp. 3–27). Springer. </w:t>
      </w:r>
      <w:hyperlink r:id="rId20" w:tgtFrame="_new" w:history="1">
        <w:r w:rsidRPr="006805F3">
          <w:rPr>
            <w:rStyle w:val="Hyperlink"/>
            <w:rFonts w:ascii="Times New Roman" w:hAnsi="Times New Roman" w:cs="Times New Roman"/>
            <w:lang w:val="en-US"/>
          </w:rPr>
          <w:t>https://doi.org/10.1007/978-3-031-46209-2_1</w:t>
        </w:r>
      </w:hyperlink>
    </w:p>
    <w:p w14:paraId="6A8FF589"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Hossain, M. Z., </w:t>
      </w:r>
      <w:proofErr w:type="spellStart"/>
      <w:r w:rsidRPr="006805F3">
        <w:rPr>
          <w:rFonts w:ascii="Times New Roman" w:hAnsi="Times New Roman" w:cs="Times New Roman"/>
          <w:lang w:val="en-US"/>
        </w:rPr>
        <w:t>Johora</w:t>
      </w:r>
      <w:proofErr w:type="spellEnd"/>
      <w:r w:rsidRPr="006805F3">
        <w:rPr>
          <w:rFonts w:ascii="Times New Roman" w:hAnsi="Times New Roman" w:cs="Times New Roman"/>
          <w:lang w:val="en-US"/>
        </w:rPr>
        <w:t xml:space="preserve">, F. T., Raja, M. R., &amp; Hasan, L. (2024). Transformative impact of artificial intelligence and blockchain on the accounting profession. </w:t>
      </w:r>
      <w:r w:rsidRPr="006805F3">
        <w:rPr>
          <w:rFonts w:ascii="Times New Roman" w:hAnsi="Times New Roman" w:cs="Times New Roman"/>
          <w:i/>
          <w:iCs/>
          <w:lang w:val="en-US"/>
        </w:rPr>
        <w:t>European Journal of Theoretical and Applied Sciences, 2</w:t>
      </w:r>
      <w:r w:rsidRPr="006805F3">
        <w:rPr>
          <w:rFonts w:ascii="Times New Roman" w:hAnsi="Times New Roman" w:cs="Times New Roman"/>
          <w:lang w:val="en-US"/>
        </w:rPr>
        <w:t xml:space="preserve">(6), 144–159. </w:t>
      </w:r>
      <w:hyperlink r:id="rId21" w:tgtFrame="_new" w:history="1">
        <w:r w:rsidRPr="006805F3">
          <w:rPr>
            <w:rStyle w:val="Hyperlink"/>
            <w:rFonts w:ascii="Times New Roman" w:hAnsi="Times New Roman" w:cs="Times New Roman"/>
            <w:lang w:val="en-US"/>
          </w:rPr>
          <w:t>https://doi.org/10.59324/ejtas.2024.2(6).11</w:t>
        </w:r>
      </w:hyperlink>
    </w:p>
    <w:p w14:paraId="2FCB683B"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Hsu, C.-C., &amp; Sandford, B. A. (2007). The Delphi technique: Making sense of consensus. </w:t>
      </w:r>
      <w:r w:rsidRPr="006805F3">
        <w:rPr>
          <w:rFonts w:ascii="Times New Roman" w:hAnsi="Times New Roman" w:cs="Times New Roman"/>
          <w:i/>
          <w:iCs/>
          <w:lang w:val="en-US"/>
        </w:rPr>
        <w:t>Practical Assessment, Research &amp; Evaluation, 12</w:t>
      </w:r>
      <w:r w:rsidRPr="006805F3">
        <w:rPr>
          <w:rFonts w:ascii="Times New Roman" w:hAnsi="Times New Roman" w:cs="Times New Roman"/>
          <w:lang w:val="en-US"/>
        </w:rPr>
        <w:t xml:space="preserve">(10), 1–8. </w:t>
      </w:r>
      <w:hyperlink r:id="rId22" w:tgtFrame="_new" w:history="1">
        <w:r w:rsidRPr="006805F3">
          <w:rPr>
            <w:rStyle w:val="Hyperlink"/>
            <w:rFonts w:ascii="Times New Roman" w:hAnsi="Times New Roman" w:cs="Times New Roman"/>
            <w:lang w:val="en-US"/>
          </w:rPr>
          <w:t>https://doi.org/10.7275/pdz9-th90</w:t>
        </w:r>
      </w:hyperlink>
    </w:p>
    <w:p w14:paraId="296A62A5"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James, L. R., Demaree, R. G., &amp; Wolf, G. (1984). Estimating within-group interrater reliability with and without response bias. </w:t>
      </w:r>
      <w:r w:rsidRPr="006805F3">
        <w:rPr>
          <w:rFonts w:ascii="Times New Roman" w:hAnsi="Times New Roman" w:cs="Times New Roman"/>
          <w:i/>
          <w:iCs/>
          <w:lang w:val="en-US"/>
        </w:rPr>
        <w:t>Journal of Applied Psychology, 69</w:t>
      </w:r>
      <w:r w:rsidRPr="006805F3">
        <w:rPr>
          <w:rFonts w:ascii="Times New Roman" w:hAnsi="Times New Roman" w:cs="Times New Roman"/>
          <w:lang w:val="en-US"/>
        </w:rPr>
        <w:t xml:space="preserve">(1), 85–98. </w:t>
      </w:r>
      <w:hyperlink r:id="rId23" w:tgtFrame="_new" w:history="1">
        <w:r w:rsidRPr="006805F3">
          <w:rPr>
            <w:rStyle w:val="Hyperlink"/>
            <w:rFonts w:ascii="Times New Roman" w:hAnsi="Times New Roman" w:cs="Times New Roman"/>
            <w:lang w:val="en-US"/>
          </w:rPr>
          <w:t>https://doi.org/10.1037/0021-9010.69.1.85</w:t>
        </w:r>
      </w:hyperlink>
    </w:p>
    <w:p w14:paraId="71572B28"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Musyaffi, A. M., Johari, R. J., </w:t>
      </w:r>
      <w:proofErr w:type="spellStart"/>
      <w:r w:rsidRPr="006805F3">
        <w:rPr>
          <w:rFonts w:ascii="Times New Roman" w:hAnsi="Times New Roman" w:cs="Times New Roman"/>
          <w:lang w:val="en-US"/>
        </w:rPr>
        <w:t>Hendrayati</w:t>
      </w:r>
      <w:proofErr w:type="spellEnd"/>
      <w:r w:rsidRPr="006805F3">
        <w:rPr>
          <w:rFonts w:ascii="Times New Roman" w:hAnsi="Times New Roman" w:cs="Times New Roman"/>
          <w:lang w:val="en-US"/>
        </w:rPr>
        <w:t xml:space="preserve">, H., Wolor, C. W., </w:t>
      </w:r>
      <w:proofErr w:type="spellStart"/>
      <w:r w:rsidRPr="006805F3">
        <w:rPr>
          <w:rFonts w:ascii="Times New Roman" w:hAnsi="Times New Roman" w:cs="Times New Roman"/>
          <w:lang w:val="en-US"/>
        </w:rPr>
        <w:t>Armeliza</w:t>
      </w:r>
      <w:proofErr w:type="spellEnd"/>
      <w:r w:rsidRPr="006805F3">
        <w:rPr>
          <w:rFonts w:ascii="Times New Roman" w:hAnsi="Times New Roman" w:cs="Times New Roman"/>
          <w:lang w:val="en-US"/>
        </w:rPr>
        <w:t xml:space="preserve">, D., </w:t>
      </w:r>
      <w:proofErr w:type="spellStart"/>
      <w:r w:rsidRPr="006805F3">
        <w:rPr>
          <w:rFonts w:ascii="Times New Roman" w:hAnsi="Times New Roman" w:cs="Times New Roman"/>
          <w:lang w:val="en-US"/>
        </w:rPr>
        <w:t>Mukhibad</w:t>
      </w:r>
      <w:proofErr w:type="spellEnd"/>
      <w:r w:rsidRPr="006805F3">
        <w:rPr>
          <w:rFonts w:ascii="Times New Roman" w:hAnsi="Times New Roman" w:cs="Times New Roman"/>
          <w:lang w:val="en-US"/>
        </w:rPr>
        <w:t xml:space="preserve">, H., &amp; </w:t>
      </w:r>
      <w:proofErr w:type="spellStart"/>
      <w:r w:rsidRPr="006805F3">
        <w:rPr>
          <w:rFonts w:ascii="Times New Roman" w:hAnsi="Times New Roman" w:cs="Times New Roman"/>
          <w:lang w:val="en-US"/>
        </w:rPr>
        <w:t>Izwandi</w:t>
      </w:r>
      <w:proofErr w:type="spellEnd"/>
      <w:r w:rsidRPr="006805F3">
        <w:rPr>
          <w:rFonts w:ascii="Times New Roman" w:hAnsi="Times New Roman" w:cs="Times New Roman"/>
          <w:lang w:val="en-US"/>
        </w:rPr>
        <w:t xml:space="preserve">, H. S. C. (2025). Exploring technological factors and cloud accounting adoption in MSMEs: A comprehensive TAM framework. </w:t>
      </w:r>
      <w:r w:rsidRPr="006805F3">
        <w:rPr>
          <w:rFonts w:ascii="Times New Roman" w:hAnsi="Times New Roman" w:cs="Times New Roman"/>
          <w:i/>
          <w:iCs/>
          <w:lang w:val="en-US"/>
        </w:rPr>
        <w:t>International Review of Management and Marketing, 15</w:t>
      </w:r>
      <w:r w:rsidRPr="006805F3">
        <w:rPr>
          <w:rFonts w:ascii="Times New Roman" w:hAnsi="Times New Roman" w:cs="Times New Roman"/>
          <w:lang w:val="en-US"/>
        </w:rPr>
        <w:t xml:space="preserve">(1), 283–292. </w:t>
      </w:r>
      <w:hyperlink r:id="rId24" w:tgtFrame="_new" w:history="1">
        <w:r w:rsidRPr="006805F3">
          <w:rPr>
            <w:rStyle w:val="Hyperlink"/>
            <w:rFonts w:ascii="Times New Roman" w:hAnsi="Times New Roman" w:cs="Times New Roman"/>
            <w:lang w:val="en-US"/>
          </w:rPr>
          <w:t>https://doi.org/10.32479/irmm.17451</w:t>
        </w:r>
      </w:hyperlink>
    </w:p>
    <w:p w14:paraId="381F87DB"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lastRenderedPageBreak/>
        <w:t xml:space="preserve">Peng, B., Galley, M., He, P., Cheng, H., Xie, Y., Hu, Y., Huang, Q., Liden, L., Yu, Z., Chen, W., &amp; Gao, J. (2023). </w:t>
      </w:r>
      <w:r w:rsidRPr="006805F3">
        <w:rPr>
          <w:rFonts w:ascii="Times New Roman" w:hAnsi="Times New Roman" w:cs="Times New Roman"/>
          <w:i/>
          <w:iCs/>
          <w:lang w:val="en-US"/>
        </w:rPr>
        <w:t>Check your facts and try again: Improving large language models with external knowledge and automated feedback</w:t>
      </w:r>
      <w:r w:rsidRPr="006805F3">
        <w:rPr>
          <w:rFonts w:ascii="Times New Roman" w:hAnsi="Times New Roman" w:cs="Times New Roman"/>
          <w:lang w:val="en-US"/>
        </w:rPr>
        <w:t xml:space="preserve">. </w:t>
      </w:r>
      <w:proofErr w:type="spellStart"/>
      <w:r w:rsidRPr="006805F3">
        <w:rPr>
          <w:rFonts w:ascii="Times New Roman" w:hAnsi="Times New Roman" w:cs="Times New Roman"/>
          <w:lang w:val="en-US"/>
        </w:rPr>
        <w:t>arXiv</w:t>
      </w:r>
      <w:proofErr w:type="spellEnd"/>
      <w:r w:rsidRPr="006805F3">
        <w:rPr>
          <w:rFonts w:ascii="Times New Roman" w:hAnsi="Times New Roman" w:cs="Times New Roman"/>
          <w:lang w:val="en-US"/>
        </w:rPr>
        <w:t xml:space="preserve">. </w:t>
      </w:r>
      <w:hyperlink r:id="rId25" w:tgtFrame="_new" w:history="1">
        <w:r w:rsidRPr="006805F3">
          <w:rPr>
            <w:rStyle w:val="Hyperlink"/>
            <w:rFonts w:ascii="Times New Roman" w:hAnsi="Times New Roman" w:cs="Times New Roman"/>
            <w:lang w:val="en-US"/>
          </w:rPr>
          <w:t>https://arxiv.org/abs/2302.12813</w:t>
        </w:r>
      </w:hyperlink>
    </w:p>
    <w:p w14:paraId="2CABACCF"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Qader, K. S., Jamil, D. A., Sabah, K. K., Anwer, S. A., Mohammad, A. J., Gardi, B., &amp; Abdulrahman, B. S. (2022). The impact of Technological Acceptance Model (TAM) outcome on implementing accounting software. </w:t>
      </w:r>
      <w:r w:rsidRPr="006805F3">
        <w:rPr>
          <w:rFonts w:ascii="Times New Roman" w:hAnsi="Times New Roman" w:cs="Times New Roman"/>
          <w:i/>
          <w:iCs/>
          <w:lang w:val="en-US"/>
        </w:rPr>
        <w:t>International Journal of Engineering, Business and Management, 6</w:t>
      </w:r>
      <w:r w:rsidRPr="006805F3">
        <w:rPr>
          <w:rFonts w:ascii="Times New Roman" w:hAnsi="Times New Roman" w:cs="Times New Roman"/>
          <w:lang w:val="en-US"/>
        </w:rPr>
        <w:t xml:space="preserve">(6), 14–24. </w:t>
      </w:r>
      <w:hyperlink r:id="rId26" w:tgtFrame="_new" w:history="1">
        <w:r w:rsidRPr="006805F3">
          <w:rPr>
            <w:rStyle w:val="Hyperlink"/>
            <w:rFonts w:ascii="Times New Roman" w:hAnsi="Times New Roman" w:cs="Times New Roman"/>
            <w:lang w:val="en-US"/>
          </w:rPr>
          <w:t>https://doi.org/10.22161/ijebm.6.6.3</w:t>
        </w:r>
      </w:hyperlink>
    </w:p>
    <w:p w14:paraId="51114948"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Sudaryanto, M. R., </w:t>
      </w:r>
      <w:proofErr w:type="spellStart"/>
      <w:r w:rsidRPr="006805F3">
        <w:rPr>
          <w:rFonts w:ascii="Times New Roman" w:hAnsi="Times New Roman" w:cs="Times New Roman"/>
          <w:lang w:val="en-US"/>
        </w:rPr>
        <w:t>Hendrawan</w:t>
      </w:r>
      <w:proofErr w:type="spellEnd"/>
      <w:r w:rsidRPr="006805F3">
        <w:rPr>
          <w:rFonts w:ascii="Times New Roman" w:hAnsi="Times New Roman" w:cs="Times New Roman"/>
          <w:lang w:val="en-US"/>
        </w:rPr>
        <w:t xml:space="preserve">, S. A., &amp; Andrian, T. (2023). The effect of technology readiness, digital competence, perceived usefulness, and ease of use on accounting students’ artificial intelligence technology adoption. </w:t>
      </w:r>
      <w:r w:rsidRPr="006805F3">
        <w:rPr>
          <w:rFonts w:ascii="Times New Roman" w:hAnsi="Times New Roman" w:cs="Times New Roman"/>
          <w:i/>
          <w:iCs/>
          <w:lang w:val="en-US"/>
        </w:rPr>
        <w:t>E3S Web of Conferences, 388</w:t>
      </w:r>
      <w:r w:rsidRPr="006805F3">
        <w:rPr>
          <w:rFonts w:ascii="Times New Roman" w:hAnsi="Times New Roman" w:cs="Times New Roman"/>
          <w:lang w:val="en-US"/>
        </w:rPr>
        <w:t xml:space="preserve">, Article 04055. </w:t>
      </w:r>
      <w:hyperlink r:id="rId27" w:tgtFrame="_new" w:history="1">
        <w:r w:rsidRPr="006805F3">
          <w:rPr>
            <w:rStyle w:val="Hyperlink"/>
            <w:rFonts w:ascii="Times New Roman" w:hAnsi="Times New Roman" w:cs="Times New Roman"/>
            <w:lang w:val="en-US"/>
          </w:rPr>
          <w:t>https://doi.org/10.1051/e3sconf/202338804055</w:t>
        </w:r>
      </w:hyperlink>
    </w:p>
    <w:p w14:paraId="1F351EF5"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Taib, A., Awang, Y., </w:t>
      </w:r>
      <w:proofErr w:type="spellStart"/>
      <w:r w:rsidRPr="006805F3">
        <w:rPr>
          <w:rFonts w:ascii="Times New Roman" w:hAnsi="Times New Roman" w:cs="Times New Roman"/>
          <w:lang w:val="en-US"/>
        </w:rPr>
        <w:t>Shuhidan</w:t>
      </w:r>
      <w:proofErr w:type="spellEnd"/>
      <w:r w:rsidRPr="006805F3">
        <w:rPr>
          <w:rFonts w:ascii="Times New Roman" w:hAnsi="Times New Roman" w:cs="Times New Roman"/>
          <w:lang w:val="en-US"/>
        </w:rPr>
        <w:t xml:space="preserve">, S. M., Rashid, N., &amp; Hasan, M. S. (2022). Digitalization in accounting: Technology knowledge and readiness of future accountants. </w:t>
      </w:r>
      <w:r w:rsidRPr="006805F3">
        <w:rPr>
          <w:rFonts w:ascii="Times New Roman" w:hAnsi="Times New Roman" w:cs="Times New Roman"/>
          <w:i/>
          <w:iCs/>
          <w:lang w:val="en-US"/>
        </w:rPr>
        <w:t>Universal Journal of Accounting and Finance, 10</w:t>
      </w:r>
      <w:r w:rsidRPr="006805F3">
        <w:rPr>
          <w:rFonts w:ascii="Times New Roman" w:hAnsi="Times New Roman" w:cs="Times New Roman"/>
          <w:lang w:val="en-US"/>
        </w:rPr>
        <w:t>(1), 348–357. https://doi.org/10.13189/ujaf.2022.100135</w:t>
      </w:r>
    </w:p>
    <w:p w14:paraId="53F161A3"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Tornatzky, L. G., &amp; Fleischer, M. (1990). </w:t>
      </w:r>
      <w:r w:rsidRPr="006805F3">
        <w:rPr>
          <w:rFonts w:ascii="Times New Roman" w:hAnsi="Times New Roman" w:cs="Times New Roman"/>
          <w:i/>
          <w:iCs/>
          <w:lang w:val="en-US"/>
        </w:rPr>
        <w:t>The processes of technological innovation</w:t>
      </w:r>
      <w:r w:rsidRPr="006805F3">
        <w:rPr>
          <w:rFonts w:ascii="Times New Roman" w:hAnsi="Times New Roman" w:cs="Times New Roman"/>
          <w:lang w:val="en-US"/>
        </w:rPr>
        <w:t>. Lexington Books.</w:t>
      </w:r>
    </w:p>
    <w:p w14:paraId="6E3B92BD" w14:textId="77777777" w:rsidR="006805F3" w:rsidRPr="006805F3" w:rsidRDefault="006805F3" w:rsidP="006805F3">
      <w:pPr>
        <w:spacing w:after="0" w:line="240" w:lineRule="auto"/>
        <w:ind w:left="288" w:hanging="288"/>
        <w:jc w:val="both"/>
        <w:rPr>
          <w:rFonts w:ascii="Times New Roman" w:hAnsi="Times New Roman" w:cs="Times New Roman"/>
          <w:lang w:val="en-US"/>
        </w:rPr>
      </w:pPr>
      <w:proofErr w:type="spellStart"/>
      <w:r w:rsidRPr="006805F3">
        <w:rPr>
          <w:rFonts w:ascii="Times New Roman" w:hAnsi="Times New Roman" w:cs="Times New Roman"/>
          <w:lang w:val="en-US"/>
        </w:rPr>
        <w:t>Vărzaru</w:t>
      </w:r>
      <w:proofErr w:type="spellEnd"/>
      <w:r w:rsidRPr="006805F3">
        <w:rPr>
          <w:rFonts w:ascii="Times New Roman" w:hAnsi="Times New Roman" w:cs="Times New Roman"/>
          <w:lang w:val="en-US"/>
        </w:rPr>
        <w:t xml:space="preserve">, A. A. (2022). Assessing artificial intelligence technology acceptance in managerial accounting. </w:t>
      </w:r>
      <w:r w:rsidRPr="006805F3">
        <w:rPr>
          <w:rFonts w:ascii="Times New Roman" w:hAnsi="Times New Roman" w:cs="Times New Roman"/>
          <w:i/>
          <w:iCs/>
          <w:lang w:val="en-US"/>
        </w:rPr>
        <w:t>Electronics, 11</w:t>
      </w:r>
      <w:r w:rsidRPr="006805F3">
        <w:rPr>
          <w:rFonts w:ascii="Times New Roman" w:hAnsi="Times New Roman" w:cs="Times New Roman"/>
          <w:lang w:val="en-US"/>
        </w:rPr>
        <w:t xml:space="preserve">(14), Article 2256. </w:t>
      </w:r>
      <w:hyperlink r:id="rId28" w:tgtFrame="_new" w:history="1">
        <w:r w:rsidRPr="006805F3">
          <w:rPr>
            <w:rStyle w:val="Hyperlink"/>
            <w:rFonts w:ascii="Times New Roman" w:hAnsi="Times New Roman" w:cs="Times New Roman"/>
            <w:lang w:val="en-US"/>
          </w:rPr>
          <w:t>https://doi.org/10.3390/electronics11142256</w:t>
        </w:r>
      </w:hyperlink>
    </w:p>
    <w:p w14:paraId="7E794568" w14:textId="77777777" w:rsidR="006805F3" w:rsidRPr="006805F3" w:rsidRDefault="006805F3" w:rsidP="006805F3">
      <w:pPr>
        <w:spacing w:after="0" w:line="240" w:lineRule="auto"/>
        <w:ind w:left="288" w:hanging="288"/>
        <w:jc w:val="both"/>
        <w:rPr>
          <w:rFonts w:ascii="Times New Roman" w:hAnsi="Times New Roman" w:cs="Times New Roman"/>
          <w:lang w:val="en-US"/>
        </w:rPr>
      </w:pPr>
      <w:proofErr w:type="spellStart"/>
      <w:r w:rsidRPr="006805F3">
        <w:rPr>
          <w:rFonts w:ascii="Times New Roman" w:hAnsi="Times New Roman" w:cs="Times New Roman"/>
          <w:lang w:val="en-US"/>
        </w:rPr>
        <w:t>Vărzaru</w:t>
      </w:r>
      <w:proofErr w:type="spellEnd"/>
      <w:r w:rsidRPr="006805F3">
        <w:rPr>
          <w:rFonts w:ascii="Times New Roman" w:hAnsi="Times New Roman" w:cs="Times New Roman"/>
          <w:lang w:val="en-US"/>
        </w:rPr>
        <w:t xml:space="preserve">, A. A., </w:t>
      </w:r>
      <w:proofErr w:type="spellStart"/>
      <w:r w:rsidRPr="006805F3">
        <w:rPr>
          <w:rFonts w:ascii="Times New Roman" w:hAnsi="Times New Roman" w:cs="Times New Roman"/>
          <w:lang w:val="en-US"/>
        </w:rPr>
        <w:t>Bocean</w:t>
      </w:r>
      <w:proofErr w:type="spellEnd"/>
      <w:r w:rsidRPr="006805F3">
        <w:rPr>
          <w:rFonts w:ascii="Times New Roman" w:hAnsi="Times New Roman" w:cs="Times New Roman"/>
          <w:lang w:val="en-US"/>
        </w:rPr>
        <w:t xml:space="preserve">, C. G., Mangra, M. G., &amp; Simion, D. (2022). Assessing users’ behavior on the adoption of digital technologies in management and accounting information systems. </w:t>
      </w:r>
      <w:r w:rsidRPr="006805F3">
        <w:rPr>
          <w:rFonts w:ascii="Times New Roman" w:hAnsi="Times New Roman" w:cs="Times New Roman"/>
          <w:i/>
          <w:iCs/>
          <w:lang w:val="en-US"/>
        </w:rPr>
        <w:t>Electronics, 11</w:t>
      </w:r>
      <w:r w:rsidRPr="006805F3">
        <w:rPr>
          <w:rFonts w:ascii="Times New Roman" w:hAnsi="Times New Roman" w:cs="Times New Roman"/>
          <w:lang w:val="en-US"/>
        </w:rPr>
        <w:t xml:space="preserve">(21), Article 3613. </w:t>
      </w:r>
      <w:hyperlink r:id="rId29" w:tgtFrame="_new" w:history="1">
        <w:r w:rsidRPr="006805F3">
          <w:rPr>
            <w:rStyle w:val="Hyperlink"/>
            <w:rFonts w:ascii="Times New Roman" w:hAnsi="Times New Roman" w:cs="Times New Roman"/>
            <w:lang w:val="en-US"/>
          </w:rPr>
          <w:t>https://doi.org/10.3390/electronics11213613</w:t>
        </w:r>
      </w:hyperlink>
    </w:p>
    <w:p w14:paraId="0D68A497" w14:textId="77777777" w:rsidR="006805F3" w:rsidRPr="006805F3"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Venkatesh, V., Morris, M. G., Davis, G. B., &amp; Davis, F. D. (2003). User acceptance of information technology: Toward a unified view. </w:t>
      </w:r>
      <w:r w:rsidRPr="006805F3">
        <w:rPr>
          <w:rFonts w:ascii="Times New Roman" w:hAnsi="Times New Roman" w:cs="Times New Roman"/>
          <w:i/>
          <w:iCs/>
          <w:lang w:val="en-US"/>
        </w:rPr>
        <w:t>MIS Quarterly, 27</w:t>
      </w:r>
      <w:r w:rsidRPr="006805F3">
        <w:rPr>
          <w:rFonts w:ascii="Times New Roman" w:hAnsi="Times New Roman" w:cs="Times New Roman"/>
          <w:lang w:val="en-US"/>
        </w:rPr>
        <w:t xml:space="preserve">(3), 425–478. </w:t>
      </w:r>
      <w:hyperlink r:id="rId30" w:tgtFrame="_new" w:history="1">
        <w:r w:rsidRPr="006805F3">
          <w:rPr>
            <w:rStyle w:val="Hyperlink"/>
            <w:rFonts w:ascii="Times New Roman" w:hAnsi="Times New Roman" w:cs="Times New Roman"/>
            <w:lang w:val="en-US"/>
          </w:rPr>
          <w:t>https://doi.org/10.2307/30036540</w:t>
        </w:r>
      </w:hyperlink>
    </w:p>
    <w:p w14:paraId="53D7EA7D" w14:textId="7B2D86FB" w:rsidR="00CC18C2" w:rsidRPr="00864726" w:rsidRDefault="006805F3" w:rsidP="006805F3">
      <w:pPr>
        <w:spacing w:after="0" w:line="240" w:lineRule="auto"/>
        <w:ind w:left="288" w:hanging="288"/>
        <w:jc w:val="both"/>
        <w:rPr>
          <w:rFonts w:ascii="Times New Roman" w:hAnsi="Times New Roman" w:cs="Times New Roman"/>
          <w:lang w:val="en-US"/>
        </w:rPr>
      </w:pPr>
      <w:r w:rsidRPr="006805F3">
        <w:rPr>
          <w:rFonts w:ascii="Times New Roman" w:hAnsi="Times New Roman" w:cs="Times New Roman"/>
          <w:lang w:val="en-US"/>
        </w:rPr>
        <w:t xml:space="preserve">Wang, M., Zhang, X., &amp; Han, X. (2025). AI driven systems for improving accounting accuracy, fraud detection and financial transparency. </w:t>
      </w:r>
      <w:r w:rsidRPr="006805F3">
        <w:rPr>
          <w:rFonts w:ascii="Times New Roman" w:hAnsi="Times New Roman" w:cs="Times New Roman"/>
          <w:i/>
          <w:iCs/>
          <w:lang w:val="en-US"/>
        </w:rPr>
        <w:t>Frontiers in Artificial Intelligence Research, 2</w:t>
      </w:r>
      <w:r w:rsidRPr="006805F3">
        <w:rPr>
          <w:rFonts w:ascii="Times New Roman" w:hAnsi="Times New Roman" w:cs="Times New Roman"/>
          <w:lang w:val="en-US"/>
        </w:rPr>
        <w:t>(3), 403–421.</w:t>
      </w:r>
    </w:p>
    <w:sectPr w:rsidR="00CC18C2" w:rsidRPr="00864726" w:rsidSect="000978E6">
      <w:pgSz w:w="12240" w:h="15840"/>
      <w:pgMar w:top="2835" w:right="2268" w:bottom="2835"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3107A"/>
    <w:multiLevelType w:val="hybridMultilevel"/>
    <w:tmpl w:val="FDF43760"/>
    <w:lvl w:ilvl="0" w:tplc="55BC626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FF14C18"/>
    <w:multiLevelType w:val="hybridMultilevel"/>
    <w:tmpl w:val="AB6CC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4673683">
    <w:abstractNumId w:val="1"/>
  </w:num>
  <w:num w:numId="2" w16cid:durableId="9182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2E3"/>
    <w:rsid w:val="00003B89"/>
    <w:rsid w:val="000079D7"/>
    <w:rsid w:val="0001415A"/>
    <w:rsid w:val="000729DE"/>
    <w:rsid w:val="000978E6"/>
    <w:rsid w:val="000B02BF"/>
    <w:rsid w:val="000C76EE"/>
    <w:rsid w:val="000F336C"/>
    <w:rsid w:val="00106F1A"/>
    <w:rsid w:val="00130EF9"/>
    <w:rsid w:val="0013445E"/>
    <w:rsid w:val="0019376B"/>
    <w:rsid w:val="00197031"/>
    <w:rsid w:val="001E2B8E"/>
    <w:rsid w:val="00243193"/>
    <w:rsid w:val="00253FFE"/>
    <w:rsid w:val="00254561"/>
    <w:rsid w:val="00296BF7"/>
    <w:rsid w:val="002D7E19"/>
    <w:rsid w:val="002F1F59"/>
    <w:rsid w:val="003232E3"/>
    <w:rsid w:val="00350EA8"/>
    <w:rsid w:val="003C1FF2"/>
    <w:rsid w:val="003E6DA4"/>
    <w:rsid w:val="004468A3"/>
    <w:rsid w:val="0045771B"/>
    <w:rsid w:val="004655AA"/>
    <w:rsid w:val="0046780F"/>
    <w:rsid w:val="00472F64"/>
    <w:rsid w:val="0047589E"/>
    <w:rsid w:val="0048479D"/>
    <w:rsid w:val="004C499C"/>
    <w:rsid w:val="00546A3B"/>
    <w:rsid w:val="005670A3"/>
    <w:rsid w:val="00597061"/>
    <w:rsid w:val="005C3693"/>
    <w:rsid w:val="005F2345"/>
    <w:rsid w:val="005F308A"/>
    <w:rsid w:val="006241EE"/>
    <w:rsid w:val="0067314E"/>
    <w:rsid w:val="006805F3"/>
    <w:rsid w:val="006A3B01"/>
    <w:rsid w:val="006B0958"/>
    <w:rsid w:val="006D1B8C"/>
    <w:rsid w:val="006D71D7"/>
    <w:rsid w:val="007236F1"/>
    <w:rsid w:val="00730987"/>
    <w:rsid w:val="00736B0C"/>
    <w:rsid w:val="00736D24"/>
    <w:rsid w:val="00767548"/>
    <w:rsid w:val="007A136B"/>
    <w:rsid w:val="007F6F34"/>
    <w:rsid w:val="007F7D48"/>
    <w:rsid w:val="0081002F"/>
    <w:rsid w:val="00844040"/>
    <w:rsid w:val="00857AEF"/>
    <w:rsid w:val="00864726"/>
    <w:rsid w:val="00887D76"/>
    <w:rsid w:val="00891D6F"/>
    <w:rsid w:val="008A122D"/>
    <w:rsid w:val="008A6355"/>
    <w:rsid w:val="009538DA"/>
    <w:rsid w:val="00956F71"/>
    <w:rsid w:val="00984995"/>
    <w:rsid w:val="009B72D6"/>
    <w:rsid w:val="00A912AD"/>
    <w:rsid w:val="00AD1EF4"/>
    <w:rsid w:val="00AD2E45"/>
    <w:rsid w:val="00AF21DB"/>
    <w:rsid w:val="00B00246"/>
    <w:rsid w:val="00B310DB"/>
    <w:rsid w:val="00B47E84"/>
    <w:rsid w:val="00C24449"/>
    <w:rsid w:val="00C32061"/>
    <w:rsid w:val="00C72F68"/>
    <w:rsid w:val="00C948FF"/>
    <w:rsid w:val="00CB58CC"/>
    <w:rsid w:val="00CB6B01"/>
    <w:rsid w:val="00CC18C2"/>
    <w:rsid w:val="00CD4E3A"/>
    <w:rsid w:val="00D07BD1"/>
    <w:rsid w:val="00D8069D"/>
    <w:rsid w:val="00DA0561"/>
    <w:rsid w:val="00DC3581"/>
    <w:rsid w:val="00E67607"/>
    <w:rsid w:val="00E73CFD"/>
    <w:rsid w:val="00E964AC"/>
    <w:rsid w:val="00EA0CF7"/>
    <w:rsid w:val="00EA135C"/>
    <w:rsid w:val="00EA7708"/>
    <w:rsid w:val="00ED7547"/>
    <w:rsid w:val="00EE2D65"/>
    <w:rsid w:val="00F0069A"/>
    <w:rsid w:val="00F35E7B"/>
    <w:rsid w:val="00F747BF"/>
    <w:rsid w:val="00F85014"/>
    <w:rsid w:val="00FE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0EC6"/>
  <w15:docId w15:val="{DECF83FE-30DB-4F80-AFC9-A428E4C4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E3"/>
    <w:rPr>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8C2"/>
    <w:pPr>
      <w:ind w:left="720"/>
      <w:contextualSpacing/>
    </w:pPr>
  </w:style>
  <w:style w:type="table" w:styleId="TableGrid">
    <w:name w:val="Table Grid"/>
    <w:basedOn w:val="TableNormal"/>
    <w:uiPriority w:val="39"/>
    <w:rsid w:val="00253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1EF4"/>
    <w:rPr>
      <w:color w:val="0563C1" w:themeColor="hyperlink"/>
      <w:u w:val="single"/>
    </w:rPr>
  </w:style>
  <w:style w:type="character" w:styleId="UnresolvedMention">
    <w:name w:val="Unresolved Mention"/>
    <w:basedOn w:val="DefaultParagraphFont"/>
    <w:uiPriority w:val="99"/>
    <w:semiHidden/>
    <w:unhideWhenUsed/>
    <w:rsid w:val="00AD1EF4"/>
    <w:rPr>
      <w:color w:val="605E5C"/>
      <w:shd w:val="clear" w:color="auto" w:fill="E1DFDD"/>
    </w:rPr>
  </w:style>
  <w:style w:type="paragraph" w:styleId="NormalWeb">
    <w:name w:val="Normal (Web)"/>
    <w:basedOn w:val="Normal"/>
    <w:uiPriority w:val="99"/>
    <w:semiHidden/>
    <w:unhideWhenUsed/>
    <w:rsid w:val="00F85014"/>
    <w:rPr>
      <w:rFonts w:ascii="Times New Roman" w:hAnsi="Times New Roman" w:cs="Times New Roman"/>
      <w:sz w:val="24"/>
      <w:szCs w:val="24"/>
    </w:rPr>
  </w:style>
  <w:style w:type="character" w:styleId="Emphasis">
    <w:name w:val="Emphasis"/>
    <w:basedOn w:val="DefaultParagraphFont"/>
    <w:uiPriority w:val="20"/>
    <w:qFormat/>
    <w:rsid w:val="00864726"/>
    <w:rPr>
      <w:i/>
      <w:iCs/>
    </w:rPr>
  </w:style>
  <w:style w:type="character" w:styleId="FollowedHyperlink">
    <w:name w:val="FollowedHyperlink"/>
    <w:basedOn w:val="DefaultParagraphFont"/>
    <w:uiPriority w:val="99"/>
    <w:semiHidden/>
    <w:unhideWhenUsed/>
    <w:rsid w:val="006805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hyperlink" Target="https://doi.org/10.1186/s43093-025-00665-w" TargetMode="External"/><Relationship Id="rId18" Type="http://schemas.openxmlformats.org/officeDocument/2006/relationships/hyperlink" Target="https://doi.org/10.2307/249008" TargetMode="External"/><Relationship Id="rId26" Type="http://schemas.openxmlformats.org/officeDocument/2006/relationships/hyperlink" Target="https://doi.org/10.22161/ijebm.6.6.3" TargetMode="External"/><Relationship Id="rId3" Type="http://schemas.openxmlformats.org/officeDocument/2006/relationships/settings" Target="settings.xml"/><Relationship Id="rId21" Type="http://schemas.openxmlformats.org/officeDocument/2006/relationships/hyperlink" Target="https://doi.org/10.59324/ejtas.2024.2(6).11" TargetMode="External"/><Relationship Id="rId7" Type="http://schemas.openxmlformats.org/officeDocument/2006/relationships/diagramQuickStyle" Target="diagrams/quickStyle1.xml"/><Relationship Id="rId12" Type="http://schemas.openxmlformats.org/officeDocument/2006/relationships/hyperlink" Target="https://doi.org/10.1108/JAOC-04-2024-0127" TargetMode="External"/><Relationship Id="rId17" Type="http://schemas.openxmlformats.org/officeDocument/2006/relationships/hyperlink" Target="https://www.cpa.com/sites/cpa/files/2025-06/2025_AI_in_Accounting_Report.pdf" TargetMode="External"/><Relationship Id="rId25" Type="http://schemas.openxmlformats.org/officeDocument/2006/relationships/hyperlink" Target="https://arxiv.org/abs/2302.12813?utm_source=chatgpt.com" TargetMode="External"/><Relationship Id="rId2" Type="http://schemas.openxmlformats.org/officeDocument/2006/relationships/styles" Target="styles.xml"/><Relationship Id="rId16" Type="http://schemas.openxmlformats.org/officeDocument/2006/relationships/hyperlink" Target="https://doi.org/10.1016/j.chbr.2024.100572" TargetMode="External"/><Relationship Id="rId20" Type="http://schemas.openxmlformats.org/officeDocument/2006/relationships/hyperlink" Target="https://doi.org/10.1007/978-3-031-46209-2_1" TargetMode="External"/><Relationship Id="rId29" Type="http://schemas.openxmlformats.org/officeDocument/2006/relationships/hyperlink" Target="https://doi.org/10.3390/electronics11213613" TargetMode="Externa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s://doi.org/10.3390/su172310811" TargetMode="External"/><Relationship Id="rId24" Type="http://schemas.openxmlformats.org/officeDocument/2006/relationships/hyperlink" Target="https://doi.org/10.32479/irmm.17451" TargetMode="External"/><Relationship Id="rId32" Type="http://schemas.openxmlformats.org/officeDocument/2006/relationships/theme" Target="theme/theme1.xml"/><Relationship Id="rId5" Type="http://schemas.openxmlformats.org/officeDocument/2006/relationships/diagramData" Target="diagrams/data1.xml"/><Relationship Id="rId15" Type="http://schemas.openxmlformats.org/officeDocument/2006/relationships/hyperlink" Target="https://doi.org/10.14329/apjis.2022.32.2.435" TargetMode="External"/><Relationship Id="rId23" Type="http://schemas.openxmlformats.org/officeDocument/2006/relationships/hyperlink" Target="https://doi.org/10.1037/0021-9010.69.1.85" TargetMode="External"/><Relationship Id="rId28" Type="http://schemas.openxmlformats.org/officeDocument/2006/relationships/hyperlink" Target="https://doi.org/10.3390/electronics11142256" TargetMode="External"/><Relationship Id="rId10" Type="http://schemas.openxmlformats.org/officeDocument/2006/relationships/hyperlink" Target="https://doi.org/10.3390/jrfm17080353" TargetMode="External"/><Relationship Id="rId19" Type="http://schemas.openxmlformats.org/officeDocument/2006/relationships/hyperlink" Target="https://doi.org/10.69725/aai.v1i1.87"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hyperlink" Target="https://doi.org/10.3390/jrfm17010027" TargetMode="External"/><Relationship Id="rId22" Type="http://schemas.openxmlformats.org/officeDocument/2006/relationships/hyperlink" Target="https://doi.org/10.7275/pdz9-th90" TargetMode="External"/><Relationship Id="rId27" Type="http://schemas.openxmlformats.org/officeDocument/2006/relationships/hyperlink" Target="https://doi.org/10.1051/e3sconf/202338804055" TargetMode="External"/><Relationship Id="rId30" Type="http://schemas.openxmlformats.org/officeDocument/2006/relationships/hyperlink" Target="https://doi.org/10.2307/30036540"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1B745D-DC2B-47EF-9E09-BC563ADAE81A}" type="doc">
      <dgm:prSet loTypeId="urn:microsoft.com/office/officeart/2005/8/layout/bProcess3" loCatId="process" qsTypeId="urn:microsoft.com/office/officeart/2005/8/quickstyle/simple1" qsCatId="simple" csTypeId="urn:microsoft.com/office/officeart/2005/8/colors/accent0_3" csCatId="mainScheme" phldr="1"/>
      <dgm:spPr/>
      <dgm:t>
        <a:bodyPr/>
        <a:lstStyle/>
        <a:p>
          <a:endParaRPr lang="en-US"/>
        </a:p>
      </dgm:t>
    </dgm:pt>
    <dgm:pt modelId="{9547CD15-94AB-4898-B49A-C8E2CC161F3E}">
      <dgm:prSet phldrT="[Text]" custT="1"/>
      <dgm:spPr/>
      <dgm:t>
        <a:bodyPr/>
        <a:lstStyle/>
        <a:p>
          <a:pPr algn="ctr"/>
          <a:r>
            <a:rPr lang="en-US" sz="900" b="1">
              <a:latin typeface="Times New Roman" panose="02020603050405020304" pitchFamily="18" charset="0"/>
              <a:cs typeface="Times New Roman" panose="02020603050405020304" pitchFamily="18" charset="0"/>
            </a:rPr>
            <a:t>Phase</a:t>
          </a:r>
          <a:r>
            <a:rPr lang="mk-MK" sz="900" b="1">
              <a:latin typeface="Times New Roman" panose="02020603050405020304" pitchFamily="18" charset="0"/>
              <a:cs typeface="Times New Roman" panose="02020603050405020304" pitchFamily="18" charset="0"/>
            </a:rPr>
            <a:t> 1: </a:t>
          </a:r>
          <a:br>
            <a:rPr lang="mk-MK" sz="900" b="1">
              <a:latin typeface="Times New Roman" panose="02020603050405020304" pitchFamily="18" charset="0"/>
              <a:cs typeface="Times New Roman" panose="02020603050405020304" pitchFamily="18" charset="0"/>
            </a:rPr>
          </a:br>
          <a:r>
            <a:rPr lang="en-US" sz="900" b="1">
              <a:latin typeface="Times New Roman" panose="02020603050405020304" pitchFamily="18" charset="0"/>
              <a:cs typeface="Times New Roman" panose="02020603050405020304" pitchFamily="18" charset="0"/>
            </a:rPr>
            <a:t>Scoping and instrument design </a:t>
          </a:r>
        </a:p>
        <a:p>
          <a:pPr algn="ctr"/>
          <a:endParaRPr lang="en-US" sz="900" b="1">
            <a:latin typeface="Times New Roman" panose="02020603050405020304" pitchFamily="18" charset="0"/>
            <a:cs typeface="Times New Roman" panose="02020603050405020304" pitchFamily="18" charset="0"/>
          </a:endParaRPr>
        </a:p>
        <a:p>
          <a:pPr algn="l"/>
          <a:r>
            <a:rPr lang="en-US" sz="900">
              <a:latin typeface="Times New Roman" panose="02020603050405020304" pitchFamily="18" charset="0"/>
              <a:cs typeface="Times New Roman" panose="02020603050405020304" pitchFamily="18" charset="0"/>
            </a:rPr>
            <a:t>- Focused literature review 
- Identification of key TAM-UTAUT-TOE factors</a:t>
          </a:r>
        </a:p>
        <a:p>
          <a:pPr algn="l"/>
          <a:r>
            <a:rPr lang="en-US" sz="900">
              <a:latin typeface="Times New Roman" panose="02020603050405020304" pitchFamily="18" charset="0"/>
              <a:cs typeface="Times New Roman" panose="02020603050405020304" pitchFamily="18" charset="0"/>
            </a:rPr>
            <a:t>- Selection of expert panel 
- Drafting the Round 1 survey </a:t>
          </a:r>
        </a:p>
        <a:p>
          <a:pPr algn="l"/>
          <a:r>
            <a:rPr lang="en-US" sz="900">
              <a:latin typeface="Times New Roman" panose="02020603050405020304" pitchFamily="18" charset="0"/>
              <a:cs typeface="Times New Roman" panose="02020603050405020304" pitchFamily="18" charset="0"/>
            </a:rPr>
            <a:t>- Drafting the interview protocol </a:t>
          </a:r>
        </a:p>
        <a:p>
          <a:pPr algn="l"/>
          <a:r>
            <a:rPr lang="en-US" sz="900" b="1">
              <a:latin typeface="Times New Roman" panose="02020603050405020304" pitchFamily="18" charset="0"/>
              <a:cs typeface="Times New Roman" panose="02020603050405020304" pitchFamily="18" charset="0"/>
            </a:rPr>
            <a:t>Output: </a:t>
          </a:r>
          <a:r>
            <a:rPr lang="en-US" sz="900">
              <a:latin typeface="Times New Roman" panose="02020603050405020304" pitchFamily="18" charset="0"/>
              <a:cs typeface="Times New Roman" panose="02020603050405020304" pitchFamily="18" charset="0"/>
            </a:rPr>
            <a:t>Round 1 survey and interview protocol</a:t>
          </a:r>
          <a:endParaRPr lang="en-US" sz="900" b="0">
            <a:latin typeface="Times New Roman" panose="02020603050405020304" pitchFamily="18" charset="0"/>
            <a:cs typeface="Times New Roman" panose="02020603050405020304" pitchFamily="18" charset="0"/>
          </a:endParaRPr>
        </a:p>
      </dgm:t>
    </dgm:pt>
    <dgm:pt modelId="{AE1CB7B0-5B38-4199-AA41-479F3A73E82E}" type="sibTrans" cxnId="{C1FC6C18-BD60-4F72-88CC-F21C8FABA7AB}">
      <dgm:prSet>
        <dgm:style>
          <a:lnRef idx="0">
            <a:scrgbClr r="0" g="0" b="0"/>
          </a:lnRef>
          <a:fillRef idx="0">
            <a:scrgbClr r="0" g="0" b="0"/>
          </a:fillRef>
          <a:effectRef idx="0">
            <a:scrgbClr r="0" g="0" b="0"/>
          </a:effectRef>
          <a:fontRef idx="minor">
            <a:schemeClr val="tx1"/>
          </a:fontRef>
        </dgm:style>
      </dgm:prSet>
      <dgm:spPr/>
      <dgm:t>
        <a:bodyPr/>
        <a:lstStyle/>
        <a:p>
          <a:pPr algn="ctr"/>
          <a:endParaRPr lang="en-US"/>
        </a:p>
      </dgm:t>
    </dgm:pt>
    <dgm:pt modelId="{B8D661D1-7074-4D64-820E-82C866B4C8BA}" type="parTrans" cxnId="{C1FC6C18-BD60-4F72-88CC-F21C8FABA7AB}">
      <dgm:prSet/>
      <dgm:spPr/>
      <dgm:t>
        <a:bodyPr/>
        <a:lstStyle/>
        <a:p>
          <a:pPr algn="ctr"/>
          <a:endParaRPr lang="en-US"/>
        </a:p>
      </dgm:t>
    </dgm:pt>
    <dgm:pt modelId="{FCBFEDD5-E531-48B1-BA28-2AD0CC72F20E}">
      <dgm:prSet phldrT="[Text]" custT="1"/>
      <dgm:spPr/>
      <dgm:t>
        <a:bodyPr/>
        <a:lstStyle/>
        <a:p>
          <a:pPr algn="ctr"/>
          <a:r>
            <a:rPr lang="en-US" sz="900" b="1">
              <a:latin typeface="Times New Roman" panose="02020603050405020304" pitchFamily="18" charset="0"/>
              <a:cs typeface="Times New Roman" panose="02020603050405020304" pitchFamily="18" charset="0"/>
            </a:rPr>
            <a:t>Phase 3:</a:t>
          </a:r>
          <a:br>
            <a:rPr lang="en-US" sz="900" b="1">
              <a:latin typeface="Times New Roman" panose="02020603050405020304" pitchFamily="18" charset="0"/>
              <a:cs typeface="Times New Roman" panose="02020603050405020304" pitchFamily="18" charset="0"/>
            </a:rPr>
          </a:br>
          <a:r>
            <a:rPr lang="en-US" sz="900" b="1">
              <a:latin typeface="Times New Roman" panose="02020603050405020304" pitchFamily="18" charset="0"/>
              <a:cs typeface="Times New Roman" panose="02020603050405020304" pitchFamily="18" charset="0"/>
            </a:rPr>
            <a:t>Consensus analysis</a:t>
          </a:r>
        </a:p>
        <a:p>
          <a:pPr algn="ctr"/>
          <a:endParaRPr lang="en-US" sz="900" b="1">
            <a:latin typeface="Times New Roman" panose="02020603050405020304" pitchFamily="18" charset="0"/>
            <a:cs typeface="Times New Roman" panose="02020603050405020304" pitchFamily="18" charset="0"/>
          </a:endParaRPr>
        </a:p>
        <a:p>
          <a:pPr algn="l">
            <a:buNone/>
          </a:pPr>
          <a:r>
            <a:rPr lang="en-US" sz="900" b="0">
              <a:latin typeface="Times New Roman" panose="02020603050405020304" pitchFamily="18" charset="0"/>
              <a:cs typeface="Times New Roman" panose="02020603050405020304" pitchFamily="18" charset="0"/>
            </a:rPr>
            <a:t>- Summarising Round 2 ratings per item: Median, Q1/Q3, IQR, and Consensus % (ratings ≥ 4), rWG.</a:t>
          </a:r>
        </a:p>
        <a:p>
          <a:pPr algn="l">
            <a:buNone/>
          </a:pPr>
          <a:r>
            <a:rPr lang="en-US" sz="900">
              <a:latin typeface="Times New Roman" panose="02020603050405020304" pitchFamily="18" charset="0"/>
              <a:cs typeface="Times New Roman" panose="02020603050405020304" pitchFamily="18" charset="0"/>
            </a:rPr>
            <a:t>- </a:t>
          </a:r>
          <a:r>
            <a:rPr lang="en-US" sz="900" b="0">
              <a:latin typeface="Times New Roman" panose="02020603050405020304" pitchFamily="18" charset="0"/>
              <a:cs typeface="Times New Roman" panose="02020603050405020304" pitchFamily="18" charset="0"/>
            </a:rPr>
            <a:t>Applying consensus rule: Median ≥ 4 and IQR ≤ 1; reporting Consensus % and rWG for accepted items.</a:t>
          </a:r>
        </a:p>
        <a:p>
          <a:pPr algn="l">
            <a:buNone/>
          </a:pPr>
          <a:r>
            <a:rPr lang="en-US" sz="900" b="0">
              <a:latin typeface="Times New Roman" panose="02020603050405020304" pitchFamily="18" charset="0"/>
              <a:cs typeface="Times New Roman" panose="02020603050405020304" pitchFamily="18" charset="0"/>
            </a:rPr>
            <a:t>- Identifying final consensus factors/items </a:t>
          </a:r>
        </a:p>
        <a:p>
          <a:pPr algn="l">
            <a:buNone/>
          </a:pPr>
          <a:r>
            <a:rPr lang="en-US" sz="900" b="1">
              <a:latin typeface="Times New Roman" panose="02020603050405020304" pitchFamily="18" charset="0"/>
              <a:cs typeface="Times New Roman" panose="02020603050405020304" pitchFamily="18" charset="0"/>
            </a:rPr>
            <a:t>Output</a:t>
          </a:r>
          <a:r>
            <a:rPr lang="en-US" sz="900" b="0">
              <a:latin typeface="Times New Roman" panose="02020603050405020304" pitchFamily="18" charset="0"/>
              <a:cs typeface="Times New Roman" panose="02020603050405020304" pitchFamily="18" charset="0"/>
            </a:rPr>
            <a:t>: Consensus-based set of items for AI adoption in accounting processes</a:t>
          </a:r>
        </a:p>
      </dgm:t>
    </dgm:pt>
    <dgm:pt modelId="{8F8573AA-DAE0-4B24-A0AF-65DFA480E501}" type="sibTrans" cxnId="{A33CE14E-83A6-4DE4-A348-355E0011D389}">
      <dgm:prSet/>
      <dgm:spPr/>
      <dgm:t>
        <a:bodyPr/>
        <a:lstStyle/>
        <a:p>
          <a:pPr algn="ctr"/>
          <a:endParaRPr lang="en-US"/>
        </a:p>
      </dgm:t>
    </dgm:pt>
    <dgm:pt modelId="{7B38CAF5-CA30-4EC5-A36D-5D683CCFEDAE}" type="parTrans" cxnId="{A33CE14E-83A6-4DE4-A348-355E0011D389}">
      <dgm:prSet/>
      <dgm:spPr/>
      <dgm:t>
        <a:bodyPr/>
        <a:lstStyle/>
        <a:p>
          <a:pPr algn="ctr"/>
          <a:endParaRPr lang="en-US"/>
        </a:p>
      </dgm:t>
    </dgm:pt>
    <dgm:pt modelId="{2466D91E-04A6-45C2-89BD-6BC6A01EC541}">
      <dgm:prSet phldrT="[Text]" custT="1"/>
      <dgm:spPr/>
      <dgm:t>
        <a:bodyPr/>
        <a:lstStyle/>
        <a:p>
          <a:pPr algn="ctr"/>
          <a:r>
            <a:rPr lang="en-US" sz="900" b="1">
              <a:latin typeface="Times New Roman" panose="02020603050405020304" pitchFamily="18" charset="0"/>
              <a:cs typeface="Times New Roman" panose="02020603050405020304" pitchFamily="18" charset="0"/>
            </a:rPr>
            <a:t>Phase 2:</a:t>
          </a:r>
          <a:br>
            <a:rPr lang="en-US" sz="900" b="1">
              <a:latin typeface="Times New Roman" panose="02020603050405020304" pitchFamily="18" charset="0"/>
              <a:cs typeface="Times New Roman" panose="02020603050405020304" pitchFamily="18" charset="0"/>
            </a:rPr>
          </a:br>
          <a:r>
            <a:rPr lang="en-US" sz="900" b="1">
              <a:latin typeface="Times New Roman" panose="02020603050405020304" pitchFamily="18" charset="0"/>
              <a:cs typeface="Times New Roman" panose="02020603050405020304" pitchFamily="18" charset="0"/>
            </a:rPr>
            <a:t>Iteration - Delphi (n=10)</a:t>
          </a:r>
        </a:p>
        <a:p>
          <a:pPr algn="l"/>
          <a:endParaRPr lang="en-US" sz="900" b="0">
            <a:latin typeface="Times New Roman" panose="02020603050405020304" pitchFamily="18" charset="0"/>
            <a:cs typeface="Times New Roman" panose="02020603050405020304" pitchFamily="18" charset="0"/>
          </a:endParaRPr>
        </a:p>
        <a:p>
          <a:pPr algn="l"/>
          <a:r>
            <a:rPr lang="en-US" sz="900" b="0">
              <a:latin typeface="Times New Roman" panose="02020603050405020304" pitchFamily="18" charset="0"/>
              <a:cs typeface="Times New Roman" panose="02020603050405020304" pitchFamily="18" charset="0"/>
            </a:rPr>
            <a:t>-  Administering Round 1 (interview)</a:t>
          </a:r>
        </a:p>
        <a:p>
          <a:pPr algn="l"/>
          <a:r>
            <a:rPr lang="en-US" sz="900" b="1">
              <a:latin typeface="Times New Roman" panose="02020603050405020304" pitchFamily="18" charset="0"/>
              <a:cs typeface="Times New Roman" panose="02020603050405020304" pitchFamily="18" charset="0"/>
            </a:rPr>
            <a:t>- </a:t>
          </a:r>
          <a:r>
            <a:rPr lang="en-US" sz="900" b="0">
              <a:latin typeface="Times New Roman" panose="02020603050405020304" pitchFamily="18" charset="0"/>
              <a:cs typeface="Times New Roman" panose="02020603050405020304" pitchFamily="18" charset="0"/>
            </a:rPr>
            <a:t>Analyzing Round 1 responses
- Creating Round 2 structured questionnaire and providing controlled, anonymised Round 1 feedback to experts</a:t>
          </a:r>
        </a:p>
        <a:p>
          <a:pPr algn="l"/>
          <a:r>
            <a:rPr lang="en-US" sz="900" b="0">
              <a:latin typeface="Times New Roman" panose="02020603050405020304" pitchFamily="18" charset="0"/>
              <a:cs typeface="Times New Roman" panose="02020603050405020304" pitchFamily="18" charset="0"/>
            </a:rPr>
            <a:t>- Administering Round 2 (online survey questionnaire)</a:t>
          </a:r>
        </a:p>
        <a:p>
          <a:pPr algn="l"/>
          <a:r>
            <a:rPr lang="en-US" sz="900" b="1">
              <a:latin typeface="Times New Roman" panose="02020603050405020304" pitchFamily="18" charset="0"/>
              <a:cs typeface="Times New Roman" panose="02020603050405020304" pitchFamily="18" charset="0"/>
            </a:rPr>
            <a:t>Output: </a:t>
          </a:r>
          <a:r>
            <a:rPr lang="en-US" sz="900" b="0">
              <a:latin typeface="Times New Roman" panose="02020603050405020304" pitchFamily="18" charset="0"/>
              <a:cs typeface="Times New Roman" panose="02020603050405020304" pitchFamily="18" charset="0"/>
            </a:rPr>
            <a:t>Delphi Round 2 online survey and refined item set</a:t>
          </a:r>
        </a:p>
      </dgm:t>
    </dgm:pt>
    <dgm:pt modelId="{34DF2C43-A1C6-44CF-ACD1-D2F42E0E1AAB}" type="sibTrans" cxnId="{7657241E-2298-4CAC-BA3E-A8106F90DD96}">
      <dgm:prSet>
        <dgm:style>
          <a:lnRef idx="0">
            <a:scrgbClr r="0" g="0" b="0"/>
          </a:lnRef>
          <a:fillRef idx="0">
            <a:scrgbClr r="0" g="0" b="0"/>
          </a:fillRef>
          <a:effectRef idx="0">
            <a:scrgbClr r="0" g="0" b="0"/>
          </a:effectRef>
          <a:fontRef idx="minor">
            <a:schemeClr val="tx1"/>
          </a:fontRef>
        </dgm:style>
      </dgm:prSet>
      <dgm:spPr/>
      <dgm:t>
        <a:bodyPr/>
        <a:lstStyle/>
        <a:p>
          <a:pPr algn="ctr"/>
          <a:endParaRPr lang="en-US"/>
        </a:p>
      </dgm:t>
    </dgm:pt>
    <dgm:pt modelId="{B4707933-55D3-4A79-A6E9-FC05AFB282E7}" type="parTrans" cxnId="{7657241E-2298-4CAC-BA3E-A8106F90DD96}">
      <dgm:prSet/>
      <dgm:spPr/>
      <dgm:t>
        <a:bodyPr/>
        <a:lstStyle/>
        <a:p>
          <a:pPr algn="ctr"/>
          <a:endParaRPr lang="en-US"/>
        </a:p>
      </dgm:t>
    </dgm:pt>
    <dgm:pt modelId="{80C1BF79-D73E-42C4-A0E6-79D7AEB213DE}" type="pres">
      <dgm:prSet presAssocID="{D01B745D-DC2B-47EF-9E09-BC563ADAE81A}" presName="Name0" presStyleCnt="0">
        <dgm:presLayoutVars>
          <dgm:dir/>
          <dgm:resizeHandles val="exact"/>
        </dgm:presLayoutVars>
      </dgm:prSet>
      <dgm:spPr/>
    </dgm:pt>
    <dgm:pt modelId="{5692223C-310A-4019-A81F-0E4668B14F2C}" type="pres">
      <dgm:prSet presAssocID="{9547CD15-94AB-4898-B49A-C8E2CC161F3E}" presName="node" presStyleLbl="node1" presStyleIdx="0" presStyleCnt="3" custScaleX="157620" custScaleY="466654">
        <dgm:presLayoutVars>
          <dgm:bulletEnabled val="1"/>
        </dgm:presLayoutVars>
      </dgm:prSet>
      <dgm:spPr/>
    </dgm:pt>
    <dgm:pt modelId="{AC8E3E77-F523-4C2F-B882-41DB45603340}" type="pres">
      <dgm:prSet presAssocID="{AE1CB7B0-5B38-4199-AA41-479F3A73E82E}" presName="sibTrans" presStyleLbl="sibTrans1D1" presStyleIdx="0" presStyleCnt="2"/>
      <dgm:spPr/>
    </dgm:pt>
    <dgm:pt modelId="{6EEFE5DD-400D-4411-8399-B28F4FA54DA0}" type="pres">
      <dgm:prSet presAssocID="{AE1CB7B0-5B38-4199-AA41-479F3A73E82E}" presName="connectorText" presStyleLbl="sibTrans1D1" presStyleIdx="0" presStyleCnt="2"/>
      <dgm:spPr/>
    </dgm:pt>
    <dgm:pt modelId="{1FBAEF48-C1CD-4404-9DA6-FFD90E0F580B}" type="pres">
      <dgm:prSet presAssocID="{2466D91E-04A6-45C2-89BD-6BC6A01EC541}" presName="node" presStyleLbl="node1" presStyleIdx="1" presStyleCnt="3" custScaleX="152996" custScaleY="470415" custLinFactNeighborX="-4120" custLinFactNeighborY="-2691">
        <dgm:presLayoutVars>
          <dgm:bulletEnabled val="1"/>
        </dgm:presLayoutVars>
      </dgm:prSet>
      <dgm:spPr/>
    </dgm:pt>
    <dgm:pt modelId="{5B6886A3-6849-4F25-8E06-6E4370B9FD04}" type="pres">
      <dgm:prSet presAssocID="{34DF2C43-A1C6-44CF-ACD1-D2F42E0E1AAB}" presName="sibTrans" presStyleLbl="sibTrans1D1" presStyleIdx="1" presStyleCnt="2"/>
      <dgm:spPr/>
    </dgm:pt>
    <dgm:pt modelId="{48E38CDB-53EA-431B-A064-E2AFE28C2047}" type="pres">
      <dgm:prSet presAssocID="{34DF2C43-A1C6-44CF-ACD1-D2F42E0E1AAB}" presName="connectorText" presStyleLbl="sibTrans1D1" presStyleIdx="1" presStyleCnt="2"/>
      <dgm:spPr/>
    </dgm:pt>
    <dgm:pt modelId="{A1846A08-8B2E-45ED-BD51-2864F613DFA6}" type="pres">
      <dgm:prSet presAssocID="{FCBFEDD5-E531-48B1-BA28-2AD0CC72F20E}" presName="node" presStyleLbl="node1" presStyleIdx="2" presStyleCnt="3" custScaleX="138700" custScaleY="470985" custLinFactNeighborX="-5749" custLinFactNeighborY="3194">
        <dgm:presLayoutVars>
          <dgm:bulletEnabled val="1"/>
        </dgm:presLayoutVars>
      </dgm:prSet>
      <dgm:spPr/>
    </dgm:pt>
  </dgm:ptLst>
  <dgm:cxnLst>
    <dgm:cxn modelId="{AB607C12-455A-454B-A482-7BB7313E7F6A}" type="presOf" srcId="{2466D91E-04A6-45C2-89BD-6BC6A01EC541}" destId="{1FBAEF48-C1CD-4404-9DA6-FFD90E0F580B}" srcOrd="0" destOrd="0" presId="urn:microsoft.com/office/officeart/2005/8/layout/bProcess3"/>
    <dgm:cxn modelId="{C1FC6C18-BD60-4F72-88CC-F21C8FABA7AB}" srcId="{D01B745D-DC2B-47EF-9E09-BC563ADAE81A}" destId="{9547CD15-94AB-4898-B49A-C8E2CC161F3E}" srcOrd="0" destOrd="0" parTransId="{B8D661D1-7074-4D64-820E-82C866B4C8BA}" sibTransId="{AE1CB7B0-5B38-4199-AA41-479F3A73E82E}"/>
    <dgm:cxn modelId="{7657241E-2298-4CAC-BA3E-A8106F90DD96}" srcId="{D01B745D-DC2B-47EF-9E09-BC563ADAE81A}" destId="{2466D91E-04A6-45C2-89BD-6BC6A01EC541}" srcOrd="1" destOrd="0" parTransId="{B4707933-55D3-4A79-A6E9-FC05AFB282E7}" sibTransId="{34DF2C43-A1C6-44CF-ACD1-D2F42E0E1AAB}"/>
    <dgm:cxn modelId="{AB264833-77AC-4D2C-8051-A9D704F7F821}" type="presOf" srcId="{34DF2C43-A1C6-44CF-ACD1-D2F42E0E1AAB}" destId="{5B6886A3-6849-4F25-8E06-6E4370B9FD04}" srcOrd="0" destOrd="0" presId="urn:microsoft.com/office/officeart/2005/8/layout/bProcess3"/>
    <dgm:cxn modelId="{A33CE14E-83A6-4DE4-A348-355E0011D389}" srcId="{D01B745D-DC2B-47EF-9E09-BC563ADAE81A}" destId="{FCBFEDD5-E531-48B1-BA28-2AD0CC72F20E}" srcOrd="2" destOrd="0" parTransId="{7B38CAF5-CA30-4EC5-A36D-5D683CCFEDAE}" sibTransId="{8F8573AA-DAE0-4B24-A0AF-65DFA480E501}"/>
    <dgm:cxn modelId="{38B9BA7A-A4F3-4406-AFB1-509F09B07EBF}" type="presOf" srcId="{34DF2C43-A1C6-44CF-ACD1-D2F42E0E1AAB}" destId="{48E38CDB-53EA-431B-A064-E2AFE28C2047}" srcOrd="1" destOrd="0" presId="urn:microsoft.com/office/officeart/2005/8/layout/bProcess3"/>
    <dgm:cxn modelId="{E2EF947F-02AD-4726-ACEA-A72D086EF78F}" type="presOf" srcId="{AE1CB7B0-5B38-4199-AA41-479F3A73E82E}" destId="{AC8E3E77-F523-4C2F-B882-41DB45603340}" srcOrd="0" destOrd="0" presId="urn:microsoft.com/office/officeart/2005/8/layout/bProcess3"/>
    <dgm:cxn modelId="{33A9DD88-E8A7-4086-ACEB-C16F165A7D28}" type="presOf" srcId="{AE1CB7B0-5B38-4199-AA41-479F3A73E82E}" destId="{6EEFE5DD-400D-4411-8399-B28F4FA54DA0}" srcOrd="1" destOrd="0" presId="urn:microsoft.com/office/officeart/2005/8/layout/bProcess3"/>
    <dgm:cxn modelId="{C745C0B2-0969-4458-9891-ADC4207C0557}" type="presOf" srcId="{FCBFEDD5-E531-48B1-BA28-2AD0CC72F20E}" destId="{A1846A08-8B2E-45ED-BD51-2864F613DFA6}" srcOrd="0" destOrd="0" presId="urn:microsoft.com/office/officeart/2005/8/layout/bProcess3"/>
    <dgm:cxn modelId="{649D6CE5-C256-459E-B768-0A29A79A48C6}" type="presOf" srcId="{9547CD15-94AB-4898-B49A-C8E2CC161F3E}" destId="{5692223C-310A-4019-A81F-0E4668B14F2C}" srcOrd="0" destOrd="0" presId="urn:microsoft.com/office/officeart/2005/8/layout/bProcess3"/>
    <dgm:cxn modelId="{6C7745FF-E1C7-415E-9F7A-67981AFCB3FE}" type="presOf" srcId="{D01B745D-DC2B-47EF-9E09-BC563ADAE81A}" destId="{80C1BF79-D73E-42C4-A0E6-79D7AEB213DE}" srcOrd="0" destOrd="0" presId="urn:microsoft.com/office/officeart/2005/8/layout/bProcess3"/>
    <dgm:cxn modelId="{88C2CBC0-47A3-4B96-833E-AECCACE5DB6A}" type="presParOf" srcId="{80C1BF79-D73E-42C4-A0E6-79D7AEB213DE}" destId="{5692223C-310A-4019-A81F-0E4668B14F2C}" srcOrd="0" destOrd="0" presId="urn:microsoft.com/office/officeart/2005/8/layout/bProcess3"/>
    <dgm:cxn modelId="{E2A02F40-FB41-46C2-8306-50EA99D8AAD5}" type="presParOf" srcId="{80C1BF79-D73E-42C4-A0E6-79D7AEB213DE}" destId="{AC8E3E77-F523-4C2F-B882-41DB45603340}" srcOrd="1" destOrd="0" presId="urn:microsoft.com/office/officeart/2005/8/layout/bProcess3"/>
    <dgm:cxn modelId="{A7DAE032-17AC-40A1-870D-6248E334BC92}" type="presParOf" srcId="{AC8E3E77-F523-4C2F-B882-41DB45603340}" destId="{6EEFE5DD-400D-4411-8399-B28F4FA54DA0}" srcOrd="0" destOrd="0" presId="urn:microsoft.com/office/officeart/2005/8/layout/bProcess3"/>
    <dgm:cxn modelId="{C027B675-C0AB-41EA-97D6-B7C5E7A83035}" type="presParOf" srcId="{80C1BF79-D73E-42C4-A0E6-79D7AEB213DE}" destId="{1FBAEF48-C1CD-4404-9DA6-FFD90E0F580B}" srcOrd="2" destOrd="0" presId="urn:microsoft.com/office/officeart/2005/8/layout/bProcess3"/>
    <dgm:cxn modelId="{D3596438-7336-4566-BA1D-8235797AF56D}" type="presParOf" srcId="{80C1BF79-D73E-42C4-A0E6-79D7AEB213DE}" destId="{5B6886A3-6849-4F25-8E06-6E4370B9FD04}" srcOrd="3" destOrd="0" presId="urn:microsoft.com/office/officeart/2005/8/layout/bProcess3"/>
    <dgm:cxn modelId="{FB37FF82-754B-4B3F-9C8B-BBD6627DB0A1}" type="presParOf" srcId="{5B6886A3-6849-4F25-8E06-6E4370B9FD04}" destId="{48E38CDB-53EA-431B-A064-E2AFE28C2047}" srcOrd="0" destOrd="0" presId="urn:microsoft.com/office/officeart/2005/8/layout/bProcess3"/>
    <dgm:cxn modelId="{39E2CAA6-46D6-4931-BA60-9CC6E30C9811}" type="presParOf" srcId="{80C1BF79-D73E-42C4-A0E6-79D7AEB213DE}" destId="{A1846A08-8B2E-45ED-BD51-2864F613DFA6}" srcOrd="4" destOrd="0" presId="urn:microsoft.com/office/officeart/2005/8/layout/bProcess3"/>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8E3E77-F523-4C2F-B882-41DB45603340}">
      <dsp:nvSpPr>
        <dsp:cNvPr id="0" name=""/>
        <dsp:cNvSpPr/>
      </dsp:nvSpPr>
      <dsp:spPr>
        <a:xfrm>
          <a:off x="1567579" y="1328316"/>
          <a:ext cx="153222" cy="91440"/>
        </a:xfrm>
        <a:custGeom>
          <a:avLst/>
          <a:gdLst/>
          <a:ahLst/>
          <a:cxnLst/>
          <a:rect l="0" t="0" r="0" b="0"/>
          <a:pathLst>
            <a:path>
              <a:moveTo>
                <a:pt x="0" y="49633"/>
              </a:moveTo>
              <a:lnTo>
                <a:pt x="93711" y="49633"/>
              </a:lnTo>
              <a:lnTo>
                <a:pt x="93711" y="45720"/>
              </a:lnTo>
              <a:lnTo>
                <a:pt x="153222" y="45720"/>
              </a:lnTo>
            </a:path>
          </a:pathLst>
        </a:custGeom>
        <a:noFill/>
        <a:ln>
          <a:noFill/>
          <a:tailEnd type="arrow"/>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639593" y="1372915"/>
        <a:ext cx="9193" cy="2241"/>
      </dsp:txXfrm>
    </dsp:sp>
    <dsp:sp modelId="{5692223C-310A-4019-A81F-0E4668B14F2C}">
      <dsp:nvSpPr>
        <dsp:cNvPr id="0" name=""/>
        <dsp:cNvSpPr/>
      </dsp:nvSpPr>
      <dsp:spPr>
        <a:xfrm>
          <a:off x="34736" y="14898"/>
          <a:ext cx="1534642" cy="2726102"/>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cs typeface="Times New Roman" panose="02020603050405020304" pitchFamily="18" charset="0"/>
            </a:rPr>
            <a:t>Phase</a:t>
          </a:r>
          <a:r>
            <a:rPr lang="mk-MK" sz="900" b="1" kern="1200">
              <a:latin typeface="Times New Roman" panose="02020603050405020304" pitchFamily="18" charset="0"/>
              <a:cs typeface="Times New Roman" panose="02020603050405020304" pitchFamily="18" charset="0"/>
            </a:rPr>
            <a:t> 1: </a:t>
          </a:r>
          <a:br>
            <a:rPr lang="mk-MK" sz="900" b="1" kern="1200">
              <a:latin typeface="Times New Roman" panose="02020603050405020304" pitchFamily="18" charset="0"/>
              <a:cs typeface="Times New Roman" panose="02020603050405020304" pitchFamily="18" charset="0"/>
            </a:rPr>
          </a:br>
          <a:r>
            <a:rPr lang="en-US" sz="900" b="1" kern="1200">
              <a:latin typeface="Times New Roman" panose="02020603050405020304" pitchFamily="18" charset="0"/>
              <a:cs typeface="Times New Roman" panose="02020603050405020304" pitchFamily="18" charset="0"/>
            </a:rPr>
            <a:t>Scoping and instrument design </a:t>
          </a:r>
        </a:p>
        <a:p>
          <a:pPr marL="0" lvl="0" indent="0" algn="ctr" defTabSz="400050">
            <a:lnSpc>
              <a:spcPct val="90000"/>
            </a:lnSpc>
            <a:spcBef>
              <a:spcPct val="0"/>
            </a:spcBef>
            <a:spcAft>
              <a:spcPct val="35000"/>
            </a:spcAft>
            <a:buNone/>
          </a:pPr>
          <a:endParaRPr lang="en-US" sz="900" b="1" kern="1200">
            <a:latin typeface="Times New Roman" panose="02020603050405020304" pitchFamily="18" charset="0"/>
            <a:cs typeface="Times New Roman" panose="02020603050405020304" pitchFamily="18" charset="0"/>
          </a:endParaRPr>
        </a:p>
        <a:p>
          <a:pPr marL="0" lvl="0" indent="0" algn="l"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 Focused literature review 
- Identification of key TAM-UTAUT-TOE factors</a:t>
          </a:r>
        </a:p>
        <a:p>
          <a:pPr marL="0" lvl="0" indent="0" algn="l"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 Selection of expert panel 
- Drafting the Round 1 survey </a:t>
          </a:r>
        </a:p>
        <a:p>
          <a:pPr marL="0" lvl="0" indent="0" algn="l"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 Drafting the interview protocol </a:t>
          </a:r>
        </a:p>
        <a:p>
          <a:pPr marL="0" lvl="0" indent="0" algn="l" defTabSz="400050">
            <a:lnSpc>
              <a:spcPct val="90000"/>
            </a:lnSpc>
            <a:spcBef>
              <a:spcPct val="0"/>
            </a:spcBef>
            <a:spcAft>
              <a:spcPct val="35000"/>
            </a:spcAft>
            <a:buNone/>
          </a:pPr>
          <a:r>
            <a:rPr lang="en-US" sz="900" b="1" kern="1200">
              <a:latin typeface="Times New Roman" panose="02020603050405020304" pitchFamily="18" charset="0"/>
              <a:cs typeface="Times New Roman" panose="02020603050405020304" pitchFamily="18" charset="0"/>
            </a:rPr>
            <a:t>Output: </a:t>
          </a:r>
          <a:r>
            <a:rPr lang="en-US" sz="900" kern="1200">
              <a:latin typeface="Times New Roman" panose="02020603050405020304" pitchFamily="18" charset="0"/>
              <a:cs typeface="Times New Roman" panose="02020603050405020304" pitchFamily="18" charset="0"/>
            </a:rPr>
            <a:t>Round 1 survey and interview protocol</a:t>
          </a:r>
          <a:endParaRPr lang="en-US" sz="900" b="0" kern="1200">
            <a:latin typeface="Times New Roman" panose="02020603050405020304" pitchFamily="18" charset="0"/>
            <a:cs typeface="Times New Roman" panose="02020603050405020304" pitchFamily="18" charset="0"/>
          </a:endParaRPr>
        </a:p>
      </dsp:txBody>
      <dsp:txXfrm>
        <a:off x="34736" y="14898"/>
        <a:ext cx="1534642" cy="2726102"/>
      </dsp:txXfrm>
    </dsp:sp>
    <dsp:sp modelId="{5B6886A3-6849-4F25-8E06-6E4370B9FD04}">
      <dsp:nvSpPr>
        <dsp:cNvPr id="0" name=""/>
        <dsp:cNvSpPr/>
      </dsp:nvSpPr>
      <dsp:spPr>
        <a:xfrm>
          <a:off x="3241022" y="1328316"/>
          <a:ext cx="177475" cy="91440"/>
        </a:xfrm>
        <a:custGeom>
          <a:avLst/>
          <a:gdLst/>
          <a:ahLst/>
          <a:cxnLst/>
          <a:rect l="0" t="0" r="0" b="0"/>
          <a:pathLst>
            <a:path>
              <a:moveTo>
                <a:pt x="0" y="45720"/>
              </a:moveTo>
              <a:lnTo>
                <a:pt x="105837" y="45720"/>
              </a:lnTo>
              <a:lnTo>
                <a:pt x="105837" y="51881"/>
              </a:lnTo>
              <a:lnTo>
                <a:pt x="177475" y="51881"/>
              </a:lnTo>
            </a:path>
          </a:pathLst>
        </a:custGeom>
        <a:noFill/>
        <a:ln>
          <a:noFill/>
          <a:tailEnd type="arrow"/>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324556" y="1372915"/>
        <a:ext cx="10408" cy="2241"/>
      </dsp:txXfrm>
    </dsp:sp>
    <dsp:sp modelId="{1FBAEF48-C1CD-4404-9DA6-FFD90E0F580B}">
      <dsp:nvSpPr>
        <dsp:cNvPr id="0" name=""/>
        <dsp:cNvSpPr/>
      </dsp:nvSpPr>
      <dsp:spPr>
        <a:xfrm>
          <a:off x="1753201" y="0"/>
          <a:ext cx="1489621" cy="274807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cs typeface="Times New Roman" panose="02020603050405020304" pitchFamily="18" charset="0"/>
            </a:rPr>
            <a:t>Phase 2:</a:t>
          </a:r>
          <a:br>
            <a:rPr lang="en-US" sz="900" b="1" kern="1200">
              <a:latin typeface="Times New Roman" panose="02020603050405020304" pitchFamily="18" charset="0"/>
              <a:cs typeface="Times New Roman" panose="02020603050405020304" pitchFamily="18" charset="0"/>
            </a:rPr>
          </a:br>
          <a:r>
            <a:rPr lang="en-US" sz="900" b="1" kern="1200">
              <a:latin typeface="Times New Roman" panose="02020603050405020304" pitchFamily="18" charset="0"/>
              <a:cs typeface="Times New Roman" panose="02020603050405020304" pitchFamily="18" charset="0"/>
            </a:rPr>
            <a:t>Iteration - Delphi (n=10)</a:t>
          </a:r>
        </a:p>
        <a:p>
          <a:pPr marL="0" lvl="0" indent="0" algn="l" defTabSz="400050">
            <a:lnSpc>
              <a:spcPct val="90000"/>
            </a:lnSpc>
            <a:spcBef>
              <a:spcPct val="0"/>
            </a:spcBef>
            <a:spcAft>
              <a:spcPct val="35000"/>
            </a:spcAft>
            <a:buNone/>
          </a:pPr>
          <a:endParaRPr lang="en-US" sz="900" b="0" kern="1200">
            <a:latin typeface="Times New Roman" panose="02020603050405020304" pitchFamily="18" charset="0"/>
            <a:cs typeface="Times New Roman" panose="02020603050405020304" pitchFamily="18" charset="0"/>
          </a:endParaRPr>
        </a:p>
        <a:p>
          <a:pPr marL="0" lvl="0" indent="0" algn="l" defTabSz="400050">
            <a:lnSpc>
              <a:spcPct val="90000"/>
            </a:lnSpc>
            <a:spcBef>
              <a:spcPct val="0"/>
            </a:spcBef>
            <a:spcAft>
              <a:spcPct val="35000"/>
            </a:spcAft>
            <a:buNone/>
          </a:pPr>
          <a:r>
            <a:rPr lang="en-US" sz="900" b="0" kern="1200">
              <a:latin typeface="Times New Roman" panose="02020603050405020304" pitchFamily="18" charset="0"/>
              <a:cs typeface="Times New Roman" panose="02020603050405020304" pitchFamily="18" charset="0"/>
            </a:rPr>
            <a:t>-  Administering Round 1 (interview)</a:t>
          </a:r>
        </a:p>
        <a:p>
          <a:pPr marL="0" lvl="0" indent="0" algn="l" defTabSz="400050">
            <a:lnSpc>
              <a:spcPct val="90000"/>
            </a:lnSpc>
            <a:spcBef>
              <a:spcPct val="0"/>
            </a:spcBef>
            <a:spcAft>
              <a:spcPct val="35000"/>
            </a:spcAft>
            <a:buNone/>
          </a:pPr>
          <a:r>
            <a:rPr lang="en-US" sz="900" b="1" kern="1200">
              <a:latin typeface="Times New Roman" panose="02020603050405020304" pitchFamily="18" charset="0"/>
              <a:cs typeface="Times New Roman" panose="02020603050405020304" pitchFamily="18" charset="0"/>
            </a:rPr>
            <a:t>- </a:t>
          </a:r>
          <a:r>
            <a:rPr lang="en-US" sz="900" b="0" kern="1200">
              <a:latin typeface="Times New Roman" panose="02020603050405020304" pitchFamily="18" charset="0"/>
              <a:cs typeface="Times New Roman" panose="02020603050405020304" pitchFamily="18" charset="0"/>
            </a:rPr>
            <a:t>Analyzing Round 1 responses
- Creating Round 2 structured questionnaire and providing controlled, anonymised Round 1 feedback to experts</a:t>
          </a:r>
        </a:p>
        <a:p>
          <a:pPr marL="0" lvl="0" indent="0" algn="l" defTabSz="400050">
            <a:lnSpc>
              <a:spcPct val="90000"/>
            </a:lnSpc>
            <a:spcBef>
              <a:spcPct val="0"/>
            </a:spcBef>
            <a:spcAft>
              <a:spcPct val="35000"/>
            </a:spcAft>
            <a:buNone/>
          </a:pPr>
          <a:r>
            <a:rPr lang="en-US" sz="900" b="0" kern="1200">
              <a:latin typeface="Times New Roman" panose="02020603050405020304" pitchFamily="18" charset="0"/>
              <a:cs typeface="Times New Roman" panose="02020603050405020304" pitchFamily="18" charset="0"/>
            </a:rPr>
            <a:t>- Administering Round 2 (online survey questionnaire)</a:t>
          </a:r>
        </a:p>
        <a:p>
          <a:pPr marL="0" lvl="0" indent="0" algn="l" defTabSz="400050">
            <a:lnSpc>
              <a:spcPct val="90000"/>
            </a:lnSpc>
            <a:spcBef>
              <a:spcPct val="0"/>
            </a:spcBef>
            <a:spcAft>
              <a:spcPct val="35000"/>
            </a:spcAft>
            <a:buNone/>
          </a:pPr>
          <a:r>
            <a:rPr lang="en-US" sz="900" b="1" kern="1200">
              <a:latin typeface="Times New Roman" panose="02020603050405020304" pitchFamily="18" charset="0"/>
              <a:cs typeface="Times New Roman" panose="02020603050405020304" pitchFamily="18" charset="0"/>
            </a:rPr>
            <a:t>Output: </a:t>
          </a:r>
          <a:r>
            <a:rPr lang="en-US" sz="900" b="0" kern="1200">
              <a:latin typeface="Times New Roman" panose="02020603050405020304" pitchFamily="18" charset="0"/>
              <a:cs typeface="Times New Roman" panose="02020603050405020304" pitchFamily="18" charset="0"/>
            </a:rPr>
            <a:t>Delphi Round 2 online survey and refined item set</a:t>
          </a:r>
        </a:p>
      </dsp:txBody>
      <dsp:txXfrm>
        <a:off x="1753201" y="0"/>
        <a:ext cx="1489621" cy="2748073"/>
      </dsp:txXfrm>
    </dsp:sp>
    <dsp:sp modelId="{A1846A08-8B2E-45ED-BD51-2864F613DFA6}">
      <dsp:nvSpPr>
        <dsp:cNvPr id="0" name=""/>
        <dsp:cNvSpPr/>
      </dsp:nvSpPr>
      <dsp:spPr>
        <a:xfrm>
          <a:off x="3450898" y="4496"/>
          <a:ext cx="1350430" cy="275140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cs typeface="Times New Roman" panose="02020603050405020304" pitchFamily="18" charset="0"/>
            </a:rPr>
            <a:t>Phase 3:</a:t>
          </a:r>
          <a:br>
            <a:rPr lang="en-US" sz="900" b="1" kern="1200">
              <a:latin typeface="Times New Roman" panose="02020603050405020304" pitchFamily="18" charset="0"/>
              <a:cs typeface="Times New Roman" panose="02020603050405020304" pitchFamily="18" charset="0"/>
            </a:rPr>
          </a:br>
          <a:r>
            <a:rPr lang="en-US" sz="900" b="1" kern="1200">
              <a:latin typeface="Times New Roman" panose="02020603050405020304" pitchFamily="18" charset="0"/>
              <a:cs typeface="Times New Roman" panose="02020603050405020304" pitchFamily="18" charset="0"/>
            </a:rPr>
            <a:t>Consensus analysis</a:t>
          </a:r>
        </a:p>
        <a:p>
          <a:pPr marL="0" lvl="0" indent="0" algn="ctr" defTabSz="400050">
            <a:lnSpc>
              <a:spcPct val="90000"/>
            </a:lnSpc>
            <a:spcBef>
              <a:spcPct val="0"/>
            </a:spcBef>
            <a:spcAft>
              <a:spcPct val="35000"/>
            </a:spcAft>
            <a:buNone/>
          </a:pPr>
          <a:endParaRPr lang="en-US" sz="900" b="1" kern="1200">
            <a:latin typeface="Times New Roman" panose="02020603050405020304" pitchFamily="18" charset="0"/>
            <a:cs typeface="Times New Roman" panose="02020603050405020304" pitchFamily="18" charset="0"/>
          </a:endParaRPr>
        </a:p>
        <a:p>
          <a:pPr marL="0" lvl="0" indent="0" algn="l" defTabSz="400050">
            <a:lnSpc>
              <a:spcPct val="90000"/>
            </a:lnSpc>
            <a:spcBef>
              <a:spcPct val="0"/>
            </a:spcBef>
            <a:spcAft>
              <a:spcPct val="35000"/>
            </a:spcAft>
            <a:buNone/>
          </a:pPr>
          <a:r>
            <a:rPr lang="en-US" sz="900" b="0" kern="1200">
              <a:latin typeface="Times New Roman" panose="02020603050405020304" pitchFamily="18" charset="0"/>
              <a:cs typeface="Times New Roman" panose="02020603050405020304" pitchFamily="18" charset="0"/>
            </a:rPr>
            <a:t>- Summarising Round 2 ratings per item: Median, Q1/Q3, IQR, and Consensus % (ratings ≥ 4), rWG.</a:t>
          </a:r>
        </a:p>
        <a:p>
          <a:pPr marL="0" lvl="0" indent="0" algn="l"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 </a:t>
          </a:r>
          <a:r>
            <a:rPr lang="en-US" sz="900" b="0" kern="1200">
              <a:latin typeface="Times New Roman" panose="02020603050405020304" pitchFamily="18" charset="0"/>
              <a:cs typeface="Times New Roman" panose="02020603050405020304" pitchFamily="18" charset="0"/>
            </a:rPr>
            <a:t>Applying consensus rule: Median ≥ 4 and IQR ≤ 1; reporting Consensus % and rWG for accepted items.</a:t>
          </a:r>
        </a:p>
        <a:p>
          <a:pPr marL="0" lvl="0" indent="0" algn="l" defTabSz="400050">
            <a:lnSpc>
              <a:spcPct val="90000"/>
            </a:lnSpc>
            <a:spcBef>
              <a:spcPct val="0"/>
            </a:spcBef>
            <a:spcAft>
              <a:spcPct val="35000"/>
            </a:spcAft>
            <a:buNone/>
          </a:pPr>
          <a:r>
            <a:rPr lang="en-US" sz="900" b="0" kern="1200">
              <a:latin typeface="Times New Roman" panose="02020603050405020304" pitchFamily="18" charset="0"/>
              <a:cs typeface="Times New Roman" panose="02020603050405020304" pitchFamily="18" charset="0"/>
            </a:rPr>
            <a:t>- Identifying final consensus factors/items </a:t>
          </a:r>
        </a:p>
        <a:p>
          <a:pPr marL="0" lvl="0" indent="0" algn="l" defTabSz="400050">
            <a:lnSpc>
              <a:spcPct val="90000"/>
            </a:lnSpc>
            <a:spcBef>
              <a:spcPct val="0"/>
            </a:spcBef>
            <a:spcAft>
              <a:spcPct val="35000"/>
            </a:spcAft>
            <a:buNone/>
          </a:pPr>
          <a:r>
            <a:rPr lang="en-US" sz="900" b="1" kern="1200">
              <a:latin typeface="Times New Roman" panose="02020603050405020304" pitchFamily="18" charset="0"/>
              <a:cs typeface="Times New Roman" panose="02020603050405020304" pitchFamily="18" charset="0"/>
            </a:rPr>
            <a:t>Output</a:t>
          </a:r>
          <a:r>
            <a:rPr lang="en-US" sz="900" b="0" kern="1200">
              <a:latin typeface="Times New Roman" panose="02020603050405020304" pitchFamily="18" charset="0"/>
              <a:cs typeface="Times New Roman" panose="02020603050405020304" pitchFamily="18" charset="0"/>
            </a:rPr>
            <a:t>: Consensus-based set of items for AI adoption in accounting processes</a:t>
          </a:r>
        </a:p>
      </dsp:txBody>
      <dsp:txXfrm>
        <a:off x="3450898" y="4496"/>
        <a:ext cx="1350430" cy="275140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7049</Words>
  <Characters>40180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Dionisijev</dc:creator>
  <cp:keywords/>
  <dc:description/>
  <cp:lastModifiedBy>Atanasko Atanasovski</cp:lastModifiedBy>
  <cp:revision>2</cp:revision>
  <dcterms:created xsi:type="dcterms:W3CDTF">2026-06-19T08:26:00Z</dcterms:created>
  <dcterms:modified xsi:type="dcterms:W3CDTF">2026-06-19T08:26:00Z</dcterms:modified>
</cp:coreProperties>
</file>