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0FF3" w:rsidRPr="002A60FF" w:rsidRDefault="00C33B61" w:rsidP="008C0FF3">
      <w:pPr>
        <w:tabs>
          <w:tab w:val="left" w:pos="900"/>
        </w:tabs>
        <w:ind w:firstLineChars="257" w:firstLine="516"/>
        <w:jc w:val="center"/>
        <w:rPr>
          <w:b/>
          <w:sz w:val="20"/>
          <w:szCs w:val="20"/>
          <w:lang w:val="sr-Latn-CS"/>
        </w:rPr>
      </w:pPr>
      <w:r w:rsidRPr="002A60FF">
        <w:rPr>
          <w:b/>
          <w:sz w:val="20"/>
          <w:szCs w:val="20"/>
          <w:lang w:val="sr-Latn-CS"/>
        </w:rPr>
        <w:t>INSTRUMENTATION IN SEISMOLOGICAL OBSERVATORY – SKOPJE MONITORING AND DATA PROCESSING</w:t>
      </w:r>
    </w:p>
    <w:p w:rsidR="00C33B61" w:rsidRPr="002A60FF" w:rsidRDefault="00C33B61" w:rsidP="00C33B61">
      <w:pPr>
        <w:tabs>
          <w:tab w:val="left" w:pos="900"/>
        </w:tabs>
        <w:ind w:firstLineChars="257" w:firstLine="516"/>
        <w:jc w:val="center"/>
        <w:rPr>
          <w:b/>
          <w:sz w:val="20"/>
          <w:szCs w:val="20"/>
          <w:lang w:val="sr-Latn-CS"/>
        </w:rPr>
      </w:pPr>
      <w:r w:rsidRPr="002A60FF">
        <w:rPr>
          <w:b/>
          <w:sz w:val="20"/>
          <w:szCs w:val="20"/>
          <w:lang w:val="sr-Latn-CS"/>
        </w:rPr>
        <w:t>Jasmina Najdovska</w:t>
      </w:r>
    </w:p>
    <w:p w:rsidR="00C33B61" w:rsidRPr="002A60FF" w:rsidRDefault="00C33B61" w:rsidP="00C33B61">
      <w:pPr>
        <w:tabs>
          <w:tab w:val="left" w:pos="900"/>
        </w:tabs>
        <w:ind w:firstLineChars="257" w:firstLine="514"/>
        <w:jc w:val="center"/>
        <w:rPr>
          <w:sz w:val="20"/>
          <w:szCs w:val="20"/>
          <w:lang w:val="sr-Latn-CS"/>
        </w:rPr>
      </w:pPr>
      <w:r w:rsidRPr="002A60FF">
        <w:rPr>
          <w:sz w:val="20"/>
          <w:szCs w:val="20"/>
          <w:lang w:val="sr-Latn-CS"/>
        </w:rPr>
        <w:t>Seismological Observatory of the Faculty of Natural Sciences and Mathematics, Ss. Cyril and Methodius University, Skopje, Macedonia, najdovskaj@yahoo.com</w:t>
      </w:r>
    </w:p>
    <w:p w:rsidR="00C33B61" w:rsidRPr="002A60FF" w:rsidRDefault="00C33B61" w:rsidP="00C33B61">
      <w:pPr>
        <w:tabs>
          <w:tab w:val="left" w:pos="900"/>
        </w:tabs>
        <w:ind w:firstLineChars="257" w:firstLine="516"/>
        <w:jc w:val="center"/>
        <w:rPr>
          <w:b/>
          <w:sz w:val="20"/>
          <w:szCs w:val="20"/>
          <w:lang w:val="sr-Latn-CS"/>
        </w:rPr>
      </w:pPr>
      <w:r w:rsidRPr="002A60FF">
        <w:rPr>
          <w:b/>
          <w:sz w:val="20"/>
          <w:szCs w:val="20"/>
          <w:lang w:val="sr-Latn-CS"/>
        </w:rPr>
        <w:t xml:space="preserve">Katerina Drogreshka </w:t>
      </w:r>
    </w:p>
    <w:p w:rsidR="00C33B61" w:rsidRPr="002A60FF" w:rsidRDefault="00C33B61" w:rsidP="00C33B61">
      <w:pPr>
        <w:tabs>
          <w:tab w:val="left" w:pos="900"/>
        </w:tabs>
        <w:ind w:firstLineChars="257" w:firstLine="514"/>
        <w:jc w:val="center"/>
        <w:rPr>
          <w:sz w:val="20"/>
          <w:szCs w:val="20"/>
          <w:lang w:val="sr-Latn-CS"/>
        </w:rPr>
      </w:pPr>
      <w:r w:rsidRPr="002A60FF">
        <w:rPr>
          <w:sz w:val="20"/>
          <w:szCs w:val="20"/>
          <w:lang w:val="sr-Latn-CS"/>
        </w:rPr>
        <w:t>Seismological Observatory of the Faculty of Natural Sciences and Mathematics, Ss. Cyril and Methodius University, Skopje, Macedonia, katerinadrogreska@yahoo.com</w:t>
      </w:r>
    </w:p>
    <w:p w:rsidR="00C33B61" w:rsidRPr="002A60FF" w:rsidRDefault="00C33B61" w:rsidP="00C33B61">
      <w:pPr>
        <w:tabs>
          <w:tab w:val="left" w:pos="900"/>
        </w:tabs>
        <w:ind w:firstLineChars="257" w:firstLine="516"/>
        <w:jc w:val="center"/>
        <w:rPr>
          <w:b/>
          <w:sz w:val="20"/>
          <w:szCs w:val="20"/>
          <w:lang w:val="sr-Latn-CS"/>
        </w:rPr>
      </w:pPr>
      <w:r w:rsidRPr="002A60FF">
        <w:rPr>
          <w:b/>
          <w:sz w:val="20"/>
          <w:szCs w:val="20"/>
          <w:lang w:val="sr-Latn-CS"/>
        </w:rPr>
        <w:t>Dragana Chernih-Anastasovska</w:t>
      </w:r>
    </w:p>
    <w:p w:rsidR="00C33B61" w:rsidRPr="002A60FF" w:rsidRDefault="00C33B61" w:rsidP="00C33B61">
      <w:pPr>
        <w:tabs>
          <w:tab w:val="left" w:pos="900"/>
        </w:tabs>
        <w:ind w:firstLineChars="257" w:firstLine="514"/>
        <w:jc w:val="center"/>
        <w:rPr>
          <w:sz w:val="20"/>
          <w:szCs w:val="20"/>
        </w:rPr>
      </w:pPr>
      <w:r w:rsidRPr="002A60FF">
        <w:rPr>
          <w:sz w:val="20"/>
          <w:szCs w:val="20"/>
          <w:lang w:val="sr-Latn-CS"/>
        </w:rPr>
        <w:t>Seismological Observatory of the Faculty of Natural Sciences and Mathematics, Ss. Cyril and Methodius University, Skopje, Macedonia, dcernih@yahoo.com</w:t>
      </w:r>
      <w:r w:rsidRPr="002A60FF">
        <w:rPr>
          <w:sz w:val="20"/>
          <w:szCs w:val="20"/>
        </w:rPr>
        <w:t xml:space="preserve"> </w:t>
      </w:r>
    </w:p>
    <w:p w:rsidR="008C0FF3" w:rsidRPr="002A60FF" w:rsidRDefault="008C0FF3" w:rsidP="008C0FF3">
      <w:pPr>
        <w:tabs>
          <w:tab w:val="left" w:pos="900"/>
        </w:tabs>
        <w:ind w:firstLineChars="257" w:firstLine="514"/>
        <w:jc w:val="center"/>
        <w:rPr>
          <w:sz w:val="20"/>
          <w:szCs w:val="20"/>
        </w:rPr>
      </w:pPr>
      <w:r w:rsidRPr="002A60FF">
        <w:rPr>
          <w:sz w:val="20"/>
          <w:szCs w:val="20"/>
          <w:lang w:val="sr-Latn-CS"/>
        </w:rPr>
        <w:t xml:space="preserve"> </w:t>
      </w:r>
      <w:r w:rsidRPr="002A60FF">
        <w:rPr>
          <w:sz w:val="20"/>
          <w:szCs w:val="20"/>
        </w:rPr>
        <w:t xml:space="preserve"> </w:t>
      </w:r>
    </w:p>
    <w:p w:rsidR="00A73399" w:rsidRPr="002A60FF" w:rsidRDefault="00A73399" w:rsidP="00551AC7">
      <w:pPr>
        <w:tabs>
          <w:tab w:val="left" w:pos="900"/>
        </w:tabs>
        <w:rPr>
          <w:color w:val="FF0000"/>
          <w:sz w:val="20"/>
          <w:szCs w:val="20"/>
          <w:lang w:val="en-GB"/>
        </w:rPr>
      </w:pPr>
    </w:p>
    <w:p w:rsidR="00F84F3D" w:rsidRPr="002A60FF" w:rsidRDefault="00F84F3D" w:rsidP="00C33B61">
      <w:pPr>
        <w:tabs>
          <w:tab w:val="left" w:pos="900"/>
        </w:tabs>
        <w:jc w:val="both"/>
        <w:rPr>
          <w:color w:val="FF0000"/>
          <w:sz w:val="20"/>
          <w:szCs w:val="20"/>
          <w:lang w:val="mk-MK"/>
        </w:rPr>
      </w:pPr>
      <w:r w:rsidRPr="002A60FF">
        <w:rPr>
          <w:b/>
          <w:sz w:val="20"/>
          <w:szCs w:val="20"/>
        </w:rPr>
        <w:t xml:space="preserve">Abstract: </w:t>
      </w:r>
      <w:r w:rsidRPr="002A60FF">
        <w:rPr>
          <w:b/>
          <w:sz w:val="20"/>
          <w:szCs w:val="20"/>
          <w:lang w:val="mk-MK"/>
        </w:rPr>
        <w:t xml:space="preserve"> </w:t>
      </w:r>
      <w:r w:rsidR="00C33B61" w:rsidRPr="002A60FF">
        <w:rPr>
          <w:sz w:val="20"/>
          <w:szCs w:val="20"/>
          <w:lang w:val="mk-MK"/>
        </w:rPr>
        <w:t>The present activities in the field of earthquake seismology in Republic of North Macedonia are carried out by the Seismological Observatory at the Faculty of Natural Sciences and Mathematics, University "Sts. Cyril and Methodius" - Skopje, founded in 1957. Seismological Observatory in Skopje with telemetric network of digital seismological stations systematically monitors the seismic activity in the territory of Republic of North Macedonia and the bordering areas and also records the regional and teleseismic earthquakes. The instrumental seismological data at the Seismological Observatory in Skopje and at stations of its network have been always obtained by instrumentation which had followed the world trends. Actual scientific methods and, lately, the most sophisticated computer softwares have been used in analyses. Earthquakes with local magnitudes down to zero can be recorded and analyzed with the latest instrumentation by real time telemetric network data exchange and used softwares. The predominant hypocentral depths are less than 15 km. These data give opportunity for epicentral areas predefinition of the on the territory of Republic of North Macedonia, calculation of many source parameters and the mean velocity of the relative tectonic movement of the fault blocks, as well.</w:t>
      </w:r>
      <w:r w:rsidRPr="002A60FF">
        <w:rPr>
          <w:color w:val="FF0000"/>
          <w:sz w:val="20"/>
          <w:szCs w:val="20"/>
          <w:lang w:val="mk-MK"/>
        </w:rPr>
        <w:t xml:space="preserve">  </w:t>
      </w:r>
    </w:p>
    <w:p w:rsidR="00C33B61" w:rsidRPr="002A60FF" w:rsidRDefault="00C33B61" w:rsidP="00C33B61">
      <w:pPr>
        <w:tabs>
          <w:tab w:val="left" w:pos="900"/>
        </w:tabs>
        <w:jc w:val="both"/>
        <w:rPr>
          <w:sz w:val="20"/>
          <w:szCs w:val="20"/>
          <w:lang w:val="en-GB"/>
        </w:rPr>
      </w:pPr>
      <w:r w:rsidRPr="002A60FF">
        <w:rPr>
          <w:b/>
          <w:sz w:val="20"/>
          <w:szCs w:val="20"/>
          <w:lang w:val="en-GB"/>
        </w:rPr>
        <w:t>Keywords: S</w:t>
      </w:r>
      <w:r w:rsidRPr="002A60FF">
        <w:rPr>
          <w:sz w:val="20"/>
          <w:szCs w:val="20"/>
          <w:lang w:val="en-GB"/>
        </w:rPr>
        <w:t xml:space="preserve">eismicity, earthquake.  </w:t>
      </w:r>
    </w:p>
    <w:p w:rsidR="00C33B61" w:rsidRPr="002A60FF" w:rsidRDefault="00C33B61" w:rsidP="00C33B61">
      <w:pPr>
        <w:tabs>
          <w:tab w:val="left" w:pos="900"/>
        </w:tabs>
        <w:jc w:val="both"/>
        <w:rPr>
          <w:sz w:val="20"/>
          <w:szCs w:val="20"/>
          <w:lang w:val="mk-MK"/>
        </w:rPr>
      </w:pPr>
      <w:r w:rsidRPr="002A60FF">
        <w:rPr>
          <w:sz w:val="20"/>
          <w:szCs w:val="20"/>
          <w:lang w:val="en-GB"/>
        </w:rPr>
        <w:t>Field: Natural Sciences, Geophysics, Physics of Earth Interior</w:t>
      </w:r>
    </w:p>
    <w:p w:rsidR="008C0FF3" w:rsidRPr="002A60FF" w:rsidRDefault="008C0FF3" w:rsidP="008C0FF3">
      <w:pPr>
        <w:tabs>
          <w:tab w:val="left" w:pos="900"/>
        </w:tabs>
        <w:jc w:val="both"/>
        <w:rPr>
          <w:sz w:val="20"/>
          <w:szCs w:val="20"/>
          <w:lang w:val="mk-MK"/>
        </w:rPr>
      </w:pPr>
    </w:p>
    <w:p w:rsidR="0086191C" w:rsidRPr="002A60FF" w:rsidRDefault="0086191C" w:rsidP="00551AC7">
      <w:pPr>
        <w:tabs>
          <w:tab w:val="left" w:pos="810"/>
          <w:tab w:val="left" w:pos="990"/>
        </w:tabs>
        <w:jc w:val="both"/>
        <w:rPr>
          <w:b/>
          <w:color w:val="FF0000"/>
          <w:sz w:val="20"/>
          <w:szCs w:val="20"/>
        </w:rPr>
      </w:pPr>
      <w:r w:rsidRPr="002A60FF">
        <w:rPr>
          <w:b/>
          <w:sz w:val="20"/>
          <w:szCs w:val="20"/>
          <w:lang w:val="en-GB"/>
        </w:rPr>
        <w:t xml:space="preserve">1. </w:t>
      </w:r>
      <w:r w:rsidR="00C33B61" w:rsidRPr="002A60FF">
        <w:rPr>
          <w:b/>
          <w:sz w:val="20"/>
          <w:szCs w:val="20"/>
          <w:lang w:val="mk-MK"/>
        </w:rPr>
        <w:t>INTRODUCTION</w:t>
      </w:r>
      <w:r w:rsidR="00805BE2" w:rsidRPr="002A60FF">
        <w:rPr>
          <w:b/>
          <w:sz w:val="20"/>
          <w:szCs w:val="20"/>
        </w:rPr>
        <w:t xml:space="preserve"> </w:t>
      </w:r>
    </w:p>
    <w:p w:rsidR="00C33B61" w:rsidRPr="002A60FF" w:rsidRDefault="00C33B61" w:rsidP="004B0F22">
      <w:pPr>
        <w:spacing w:after="120"/>
        <w:jc w:val="both"/>
        <w:rPr>
          <w:sz w:val="20"/>
          <w:szCs w:val="20"/>
        </w:rPr>
      </w:pPr>
      <w:r w:rsidRPr="002A60FF">
        <w:rPr>
          <w:sz w:val="20"/>
          <w:szCs w:val="20"/>
        </w:rPr>
        <w:t>The first independent seismological monitoring in Republic of Macedonia started on 1 July 1957, with foundation of the Seismological Station of the University in Skopje (SKO), Fig. 1.</w:t>
      </w:r>
    </w:p>
    <w:tbl>
      <w:tblPr>
        <w:tblW w:w="0" w:type="auto"/>
        <w:jc w:val="center"/>
        <w:tblLook w:val="04A0" w:firstRow="1" w:lastRow="0" w:firstColumn="1" w:lastColumn="0" w:noHBand="0" w:noVBand="1"/>
      </w:tblPr>
      <w:tblGrid>
        <w:gridCol w:w="4643"/>
        <w:gridCol w:w="4761"/>
      </w:tblGrid>
      <w:tr w:rsidR="00C33B61" w:rsidRPr="002A60FF" w:rsidTr="001F715D">
        <w:trPr>
          <w:jc w:val="center"/>
        </w:trPr>
        <w:tc>
          <w:tcPr>
            <w:tcW w:w="4788" w:type="dxa"/>
          </w:tcPr>
          <w:p w:rsidR="00C33B61" w:rsidRPr="002A60FF" w:rsidRDefault="00B63C13" w:rsidP="001F715D">
            <w:pPr>
              <w:jc w:val="center"/>
              <w:rPr>
                <w:sz w:val="20"/>
                <w:szCs w:val="20"/>
              </w:rPr>
            </w:pPr>
            <w:r w:rsidRPr="002A60FF">
              <w:rPr>
                <w:noProof/>
                <w:sz w:val="20"/>
                <w:szCs w:val="20"/>
                <w:lang w:eastAsia="en-US"/>
              </w:rPr>
              <w:drawing>
                <wp:inline distT="0" distB="0" distL="0" distR="0">
                  <wp:extent cx="2821305" cy="1848485"/>
                  <wp:effectExtent l="19050" t="19050" r="17145" b="18415"/>
                  <wp:docPr id="1" name="Picture 1" descr="seizm_stanica_B&amp;W%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izm_stanica_B&amp;W%20copy"/>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21305" cy="1848485"/>
                          </a:xfrm>
                          <a:prstGeom prst="rect">
                            <a:avLst/>
                          </a:prstGeom>
                          <a:noFill/>
                          <a:ln w="12700" cmpd="sng">
                            <a:solidFill>
                              <a:srgbClr val="000000"/>
                            </a:solidFill>
                            <a:miter lim="800000"/>
                            <a:headEnd/>
                            <a:tailEnd/>
                          </a:ln>
                          <a:effectLst/>
                        </pic:spPr>
                      </pic:pic>
                    </a:graphicData>
                  </a:graphic>
                </wp:inline>
              </w:drawing>
            </w:r>
          </w:p>
          <w:p w:rsidR="00C33B61" w:rsidRPr="002A60FF" w:rsidRDefault="00C33B61" w:rsidP="001F715D">
            <w:pPr>
              <w:jc w:val="center"/>
              <w:rPr>
                <w:sz w:val="20"/>
                <w:szCs w:val="20"/>
              </w:rPr>
            </w:pPr>
            <w:r w:rsidRPr="002A60FF">
              <w:rPr>
                <w:sz w:val="20"/>
                <w:szCs w:val="20"/>
              </w:rPr>
              <w:t>(a)</w:t>
            </w:r>
          </w:p>
        </w:tc>
        <w:tc>
          <w:tcPr>
            <w:tcW w:w="4788" w:type="dxa"/>
          </w:tcPr>
          <w:p w:rsidR="00C33B61" w:rsidRPr="002A60FF" w:rsidRDefault="00B63C13" w:rsidP="001F715D">
            <w:pPr>
              <w:jc w:val="center"/>
              <w:rPr>
                <w:sz w:val="20"/>
                <w:szCs w:val="20"/>
              </w:rPr>
            </w:pPr>
            <w:r w:rsidRPr="002A60FF">
              <w:rPr>
                <w:noProof/>
                <w:sz w:val="20"/>
                <w:szCs w:val="20"/>
                <w:lang w:eastAsia="en-US"/>
              </w:rPr>
              <w:drawing>
                <wp:inline distT="0" distB="0" distL="0" distR="0">
                  <wp:extent cx="2898775" cy="1848485"/>
                  <wp:effectExtent l="19050" t="19050" r="15875" b="18415"/>
                  <wp:docPr id="2" name="Picture 2" descr="20180625_10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180625_10102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98775" cy="1848485"/>
                          </a:xfrm>
                          <a:prstGeom prst="rect">
                            <a:avLst/>
                          </a:prstGeom>
                          <a:noFill/>
                          <a:ln w="12700" cmpd="sng">
                            <a:solidFill>
                              <a:srgbClr val="000000"/>
                            </a:solidFill>
                            <a:miter lim="800000"/>
                            <a:headEnd/>
                            <a:tailEnd/>
                          </a:ln>
                          <a:effectLst/>
                        </pic:spPr>
                      </pic:pic>
                    </a:graphicData>
                  </a:graphic>
                </wp:inline>
              </w:drawing>
            </w:r>
          </w:p>
          <w:p w:rsidR="00C33B61" w:rsidRPr="002A60FF" w:rsidRDefault="00C33B61" w:rsidP="001F715D">
            <w:pPr>
              <w:jc w:val="center"/>
              <w:rPr>
                <w:sz w:val="20"/>
                <w:szCs w:val="20"/>
              </w:rPr>
            </w:pPr>
            <w:r w:rsidRPr="002A60FF">
              <w:rPr>
                <w:sz w:val="20"/>
                <w:szCs w:val="20"/>
              </w:rPr>
              <w:t>(b)</w:t>
            </w:r>
          </w:p>
        </w:tc>
      </w:tr>
    </w:tbl>
    <w:p w:rsidR="00C33B61" w:rsidRPr="002A60FF" w:rsidRDefault="002A60FF" w:rsidP="00C33B61">
      <w:pPr>
        <w:jc w:val="center"/>
        <w:rPr>
          <w:i/>
          <w:sz w:val="20"/>
          <w:szCs w:val="20"/>
        </w:rPr>
      </w:pPr>
      <w:r w:rsidRPr="002A60FF">
        <w:rPr>
          <w:i/>
          <w:sz w:val="20"/>
          <w:szCs w:val="20"/>
        </w:rPr>
        <w:t>Figure 1.</w:t>
      </w:r>
      <w:r w:rsidR="00C33B61" w:rsidRPr="002A60FF">
        <w:rPr>
          <w:i/>
          <w:sz w:val="20"/>
          <w:szCs w:val="20"/>
        </w:rPr>
        <w:t xml:space="preserve"> Seismological S</w:t>
      </w:r>
      <w:r>
        <w:rPr>
          <w:i/>
          <w:sz w:val="20"/>
          <w:szCs w:val="20"/>
        </w:rPr>
        <w:t>tation in Skopje;</w:t>
      </w:r>
      <w:r w:rsidR="00C33B61" w:rsidRPr="002A60FF">
        <w:rPr>
          <w:i/>
          <w:sz w:val="20"/>
          <w:szCs w:val="20"/>
        </w:rPr>
        <w:t xml:space="preserve"> (a) Seismological Station in 1957</w:t>
      </w:r>
      <w:r>
        <w:rPr>
          <w:i/>
          <w:sz w:val="20"/>
          <w:szCs w:val="20"/>
        </w:rPr>
        <w:t>;</w:t>
      </w:r>
      <w:r w:rsidR="00C33B61" w:rsidRPr="002A60FF">
        <w:rPr>
          <w:i/>
          <w:sz w:val="20"/>
          <w:szCs w:val="20"/>
        </w:rPr>
        <w:t xml:space="preserve"> (b) Seismological Station in 2019</w:t>
      </w:r>
    </w:p>
    <w:p w:rsidR="00C33B61" w:rsidRPr="002A60FF" w:rsidRDefault="00C33B61" w:rsidP="00C33B61">
      <w:pPr>
        <w:jc w:val="both"/>
        <w:rPr>
          <w:sz w:val="20"/>
          <w:szCs w:val="20"/>
        </w:rPr>
      </w:pPr>
    </w:p>
    <w:p w:rsidR="00C33B61" w:rsidRPr="002A60FF" w:rsidRDefault="00C33B61" w:rsidP="004B0F22">
      <w:pPr>
        <w:spacing w:after="120"/>
        <w:jc w:val="both"/>
        <w:rPr>
          <w:sz w:val="20"/>
          <w:szCs w:val="20"/>
        </w:rPr>
      </w:pPr>
      <w:r w:rsidRPr="002A60FF">
        <w:rPr>
          <w:sz w:val="20"/>
          <w:szCs w:val="20"/>
        </w:rPr>
        <w:t>The Seismological Observatory at the Faculty of Natural Sciences and Mathematics in Skopje is the only institution authorized and obliged to perform the Seismological service in Republic of North Macedonia. Earlier in 1957, the building of the station was completed and the first instruments, two mechanical seismographs MAINKA (midlle-period, EW and NS components, pendulum mass of 450 kg, contact timing device WIECHERT), were mounted. The mechanical seismograph CONRAD (midlle-period, NS component, pendulum mass 25 kg), was installed in February 1963, for recording of near strong earthquakes, Fig. 2.</w:t>
      </w:r>
    </w:p>
    <w:tbl>
      <w:tblPr>
        <w:tblpPr w:leftFromText="180" w:rightFromText="180" w:vertAnchor="text" w:tblpXSpec="center" w:tblpY="1"/>
        <w:tblOverlap w:val="never"/>
        <w:tblW w:w="0" w:type="auto"/>
        <w:tblLook w:val="04A0" w:firstRow="1" w:lastRow="0" w:firstColumn="1" w:lastColumn="0" w:noHBand="0" w:noVBand="1"/>
      </w:tblPr>
      <w:tblGrid>
        <w:gridCol w:w="4365"/>
        <w:gridCol w:w="5026"/>
      </w:tblGrid>
      <w:tr w:rsidR="00C33B61" w:rsidRPr="002A60FF" w:rsidTr="001F715D">
        <w:trPr>
          <w:trHeight w:val="4959"/>
        </w:trPr>
        <w:tc>
          <w:tcPr>
            <w:tcW w:w="4365" w:type="dxa"/>
          </w:tcPr>
          <w:p w:rsidR="00C33B61" w:rsidRPr="002A60FF" w:rsidRDefault="00B63C13" w:rsidP="001F715D">
            <w:pPr>
              <w:jc w:val="center"/>
              <w:rPr>
                <w:sz w:val="20"/>
                <w:szCs w:val="20"/>
              </w:rPr>
            </w:pPr>
            <w:r w:rsidRPr="002A60FF">
              <w:rPr>
                <w:noProof/>
                <w:sz w:val="20"/>
                <w:szCs w:val="20"/>
                <w:bdr w:val="single" w:sz="8" w:space="0" w:color="000000"/>
                <w:lang w:eastAsia="en-US"/>
              </w:rPr>
              <w:lastRenderedPageBreak/>
              <w:drawing>
                <wp:inline distT="0" distB="0" distL="0" distR="0">
                  <wp:extent cx="1653540" cy="3054350"/>
                  <wp:effectExtent l="19050" t="19050" r="22860" b="12700"/>
                  <wp:docPr id="5" name="Picture 5" descr="MAI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INK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53540" cy="3054350"/>
                          </a:xfrm>
                          <a:prstGeom prst="rect">
                            <a:avLst/>
                          </a:prstGeom>
                          <a:noFill/>
                          <a:ln w="12700" cmpd="sng">
                            <a:solidFill>
                              <a:schemeClr val="tx1">
                                <a:lumMod val="100000"/>
                                <a:lumOff val="0"/>
                              </a:schemeClr>
                            </a:solidFill>
                            <a:miter lim="800000"/>
                            <a:headEnd/>
                            <a:tailEnd/>
                          </a:ln>
                          <a:effectLst/>
                        </pic:spPr>
                      </pic:pic>
                    </a:graphicData>
                  </a:graphic>
                </wp:inline>
              </w:drawing>
            </w:r>
          </w:p>
          <w:p w:rsidR="00C33B61" w:rsidRPr="002A60FF" w:rsidRDefault="00C33B61" w:rsidP="001F715D">
            <w:pPr>
              <w:jc w:val="center"/>
              <w:rPr>
                <w:sz w:val="20"/>
                <w:szCs w:val="20"/>
              </w:rPr>
            </w:pPr>
            <w:r w:rsidRPr="002A60FF">
              <w:rPr>
                <w:sz w:val="20"/>
                <w:szCs w:val="20"/>
              </w:rPr>
              <w:t>(a)</w:t>
            </w:r>
          </w:p>
        </w:tc>
        <w:tc>
          <w:tcPr>
            <w:tcW w:w="4953" w:type="dxa"/>
          </w:tcPr>
          <w:p w:rsidR="00C33B61" w:rsidRPr="002A60FF" w:rsidRDefault="00B63C13" w:rsidP="001F715D">
            <w:pPr>
              <w:jc w:val="center"/>
              <w:rPr>
                <w:sz w:val="20"/>
                <w:szCs w:val="20"/>
              </w:rPr>
            </w:pPr>
            <w:r w:rsidRPr="002A60FF">
              <w:rPr>
                <w:noProof/>
                <w:sz w:val="20"/>
                <w:szCs w:val="20"/>
                <w:lang w:eastAsia="en-US"/>
              </w:rPr>
              <w:drawing>
                <wp:inline distT="0" distB="0" distL="0" distR="0">
                  <wp:extent cx="3054350" cy="3054350"/>
                  <wp:effectExtent l="0" t="0" r="0" b="0"/>
                  <wp:docPr id="6" name="Picture 6" descr="CONR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NRA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54350" cy="3054350"/>
                          </a:xfrm>
                          <a:prstGeom prst="rect">
                            <a:avLst/>
                          </a:prstGeom>
                          <a:noFill/>
                          <a:ln>
                            <a:noFill/>
                          </a:ln>
                        </pic:spPr>
                      </pic:pic>
                    </a:graphicData>
                  </a:graphic>
                </wp:inline>
              </w:drawing>
            </w:r>
          </w:p>
          <w:p w:rsidR="00031C85" w:rsidRPr="002A60FF" w:rsidRDefault="00C33B61" w:rsidP="00031C85">
            <w:pPr>
              <w:jc w:val="center"/>
              <w:rPr>
                <w:sz w:val="20"/>
                <w:szCs w:val="20"/>
              </w:rPr>
            </w:pPr>
            <w:r w:rsidRPr="002A60FF">
              <w:rPr>
                <w:sz w:val="20"/>
                <w:szCs w:val="20"/>
              </w:rPr>
              <w:t>(b)</w:t>
            </w:r>
          </w:p>
        </w:tc>
      </w:tr>
    </w:tbl>
    <w:p w:rsidR="00031C85" w:rsidRDefault="00C33B61" w:rsidP="004B0F22">
      <w:pPr>
        <w:spacing w:after="120"/>
        <w:jc w:val="both"/>
        <w:rPr>
          <w:sz w:val="20"/>
          <w:szCs w:val="20"/>
        </w:rPr>
      </w:pPr>
      <w:r w:rsidRPr="002A60FF">
        <w:rPr>
          <w:sz w:val="20"/>
          <w:szCs w:val="20"/>
        </w:rPr>
        <w:t xml:space="preserve">The electromagnetic seismometers VEGIK (short-period) and SKD (middle-period), with galvanometric registration, were installed, after the devastating Skopje earthquake of 26.6.1963. Second generation of electromagnetic </w:t>
      </w:r>
    </w:p>
    <w:p w:rsidR="00031C85" w:rsidRPr="002A60FF" w:rsidRDefault="00031C85" w:rsidP="00031C85">
      <w:pPr>
        <w:jc w:val="center"/>
        <w:rPr>
          <w:sz w:val="20"/>
          <w:szCs w:val="20"/>
        </w:rPr>
      </w:pPr>
      <w:r w:rsidRPr="002A60FF">
        <w:rPr>
          <w:i/>
          <w:sz w:val="20"/>
          <w:szCs w:val="20"/>
        </w:rPr>
        <w:lastRenderedPageBreak/>
        <w:t>Figure 2. (a) Mechanical seismograph MAINKA</w:t>
      </w:r>
      <w:r>
        <w:rPr>
          <w:i/>
          <w:sz w:val="20"/>
          <w:szCs w:val="20"/>
        </w:rPr>
        <w:t>;</w:t>
      </w:r>
      <w:r w:rsidRPr="002A60FF">
        <w:rPr>
          <w:i/>
          <w:sz w:val="20"/>
          <w:szCs w:val="20"/>
        </w:rPr>
        <w:t xml:space="preserve"> (b) Mechanical seismograph CONRAD</w:t>
      </w:r>
    </w:p>
    <w:p w:rsidR="00031C85" w:rsidRDefault="00031C85" w:rsidP="004B0F22">
      <w:pPr>
        <w:spacing w:after="120"/>
        <w:jc w:val="both"/>
        <w:rPr>
          <w:sz w:val="20"/>
          <w:szCs w:val="20"/>
        </w:rPr>
      </w:pPr>
    </w:p>
    <w:p w:rsidR="00C33B61" w:rsidRPr="002A60FF" w:rsidRDefault="00C33B61" w:rsidP="004B0F22">
      <w:pPr>
        <w:spacing w:after="120"/>
        <w:jc w:val="both"/>
        <w:rPr>
          <w:sz w:val="20"/>
          <w:szCs w:val="20"/>
        </w:rPr>
      </w:pPr>
      <w:bookmarkStart w:id="0" w:name="_GoBack"/>
      <w:bookmarkEnd w:id="0"/>
      <w:r w:rsidRPr="002A60FF">
        <w:rPr>
          <w:sz w:val="20"/>
          <w:szCs w:val="20"/>
        </w:rPr>
        <w:t>seismometers with galvanometric registration: LEHNER-GRIFFITH (short-period), WILLMORE (short-period), PRESS-EWING (long-period) and STRONG-MOTION RECORDER AR-240 were mouted in March 1966, Fig. 3.</w:t>
      </w:r>
    </w:p>
    <w:tbl>
      <w:tblPr>
        <w:tblW w:w="0" w:type="auto"/>
        <w:tblLook w:val="04A0" w:firstRow="1" w:lastRow="0" w:firstColumn="1" w:lastColumn="0" w:noHBand="0" w:noVBand="1"/>
      </w:tblPr>
      <w:tblGrid>
        <w:gridCol w:w="5046"/>
        <w:gridCol w:w="4206"/>
      </w:tblGrid>
      <w:tr w:rsidR="00C33B61" w:rsidRPr="002A60FF" w:rsidTr="001F715D">
        <w:trPr>
          <w:trHeight w:val="2473"/>
        </w:trPr>
        <w:tc>
          <w:tcPr>
            <w:tcW w:w="5025" w:type="dxa"/>
          </w:tcPr>
          <w:p w:rsidR="00C33B61" w:rsidRPr="002A60FF" w:rsidRDefault="00B63C13" w:rsidP="001F715D">
            <w:pPr>
              <w:jc w:val="center"/>
              <w:rPr>
                <w:sz w:val="20"/>
                <w:szCs w:val="20"/>
              </w:rPr>
            </w:pPr>
            <w:r w:rsidRPr="002A60FF">
              <w:rPr>
                <w:noProof/>
                <w:sz w:val="20"/>
                <w:szCs w:val="20"/>
                <w:lang w:eastAsia="en-US"/>
              </w:rPr>
              <w:drawing>
                <wp:inline distT="0" distB="0" distL="0" distR="0">
                  <wp:extent cx="3035300" cy="1848485"/>
                  <wp:effectExtent l="19050" t="19050" r="12700" b="18415"/>
                  <wp:docPr id="3" name="Picture 3" descr="LG, 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G, P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35300" cy="1848485"/>
                          </a:xfrm>
                          <a:prstGeom prst="rect">
                            <a:avLst/>
                          </a:prstGeom>
                          <a:noFill/>
                          <a:ln w="12700" cmpd="sng">
                            <a:solidFill>
                              <a:srgbClr val="000000"/>
                            </a:solidFill>
                            <a:miter lim="800000"/>
                            <a:headEnd/>
                            <a:tailEnd/>
                          </a:ln>
                          <a:effectLst/>
                        </pic:spPr>
                      </pic:pic>
                    </a:graphicData>
                  </a:graphic>
                </wp:inline>
              </w:drawing>
            </w:r>
          </w:p>
          <w:p w:rsidR="00C33B61" w:rsidRPr="002A60FF" w:rsidRDefault="00C33B61" w:rsidP="001F715D">
            <w:pPr>
              <w:jc w:val="center"/>
              <w:rPr>
                <w:sz w:val="20"/>
                <w:szCs w:val="20"/>
              </w:rPr>
            </w:pPr>
            <w:r w:rsidRPr="002A60FF">
              <w:rPr>
                <w:sz w:val="20"/>
                <w:szCs w:val="20"/>
              </w:rPr>
              <w:t>(a)</w:t>
            </w:r>
          </w:p>
        </w:tc>
        <w:tc>
          <w:tcPr>
            <w:tcW w:w="4159" w:type="dxa"/>
          </w:tcPr>
          <w:p w:rsidR="00C33B61" w:rsidRPr="002A60FF" w:rsidRDefault="00B63C13" w:rsidP="001F715D">
            <w:pPr>
              <w:jc w:val="center"/>
              <w:rPr>
                <w:sz w:val="20"/>
                <w:szCs w:val="20"/>
              </w:rPr>
            </w:pPr>
            <w:r w:rsidRPr="002A60FF">
              <w:rPr>
                <w:noProof/>
                <w:sz w:val="20"/>
                <w:szCs w:val="20"/>
                <w:lang w:eastAsia="en-US"/>
              </w:rPr>
              <w:drawing>
                <wp:inline distT="0" distB="0" distL="0" distR="0">
                  <wp:extent cx="2490470" cy="1867535"/>
                  <wp:effectExtent l="19050" t="19050" r="24130" b="18415"/>
                  <wp:docPr id="4" name="Picture 4" descr="VEgik_Seizmogr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Egik_Seizmogra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90470" cy="1867535"/>
                          </a:xfrm>
                          <a:prstGeom prst="rect">
                            <a:avLst/>
                          </a:prstGeom>
                          <a:noFill/>
                          <a:ln w="12700" cmpd="sng">
                            <a:solidFill>
                              <a:srgbClr val="000000"/>
                            </a:solidFill>
                            <a:miter lim="800000"/>
                            <a:headEnd/>
                            <a:tailEnd/>
                          </a:ln>
                          <a:effectLst/>
                        </pic:spPr>
                      </pic:pic>
                    </a:graphicData>
                  </a:graphic>
                </wp:inline>
              </w:drawing>
            </w:r>
          </w:p>
          <w:p w:rsidR="00C33B61" w:rsidRPr="002A60FF" w:rsidRDefault="00C33B61" w:rsidP="001F715D">
            <w:pPr>
              <w:jc w:val="center"/>
              <w:rPr>
                <w:sz w:val="20"/>
                <w:szCs w:val="20"/>
              </w:rPr>
            </w:pPr>
            <w:r w:rsidRPr="002A60FF">
              <w:rPr>
                <w:sz w:val="20"/>
                <w:szCs w:val="20"/>
              </w:rPr>
              <w:t>(b)</w:t>
            </w:r>
          </w:p>
        </w:tc>
      </w:tr>
    </w:tbl>
    <w:p w:rsidR="00C33B61" w:rsidRPr="002A60FF" w:rsidRDefault="002A60FF" w:rsidP="00C33B61">
      <w:pPr>
        <w:jc w:val="center"/>
        <w:rPr>
          <w:i/>
          <w:sz w:val="20"/>
          <w:szCs w:val="20"/>
        </w:rPr>
      </w:pPr>
      <w:r w:rsidRPr="002A60FF">
        <w:rPr>
          <w:i/>
          <w:sz w:val="20"/>
          <w:szCs w:val="20"/>
        </w:rPr>
        <w:t>Figure 3.</w:t>
      </w:r>
      <w:r w:rsidR="00C33B61" w:rsidRPr="002A60FF">
        <w:rPr>
          <w:i/>
          <w:sz w:val="20"/>
          <w:szCs w:val="20"/>
        </w:rPr>
        <w:t xml:space="preserve"> (a) Electromagnetic seismometers: LEHNER-GRIFFITH, PRESS-EWING, SKD</w:t>
      </w:r>
      <w:r>
        <w:rPr>
          <w:i/>
          <w:sz w:val="20"/>
          <w:szCs w:val="20"/>
        </w:rPr>
        <w:t>;</w:t>
      </w:r>
      <w:r w:rsidR="00C33B61" w:rsidRPr="002A60FF">
        <w:rPr>
          <w:i/>
          <w:sz w:val="20"/>
          <w:szCs w:val="20"/>
        </w:rPr>
        <w:t xml:space="preserve"> (b) Galvanometric registration</w:t>
      </w:r>
    </w:p>
    <w:p w:rsidR="00C33B61" w:rsidRPr="002A60FF" w:rsidRDefault="00C33B61" w:rsidP="00C33B61">
      <w:pPr>
        <w:jc w:val="both"/>
        <w:rPr>
          <w:sz w:val="20"/>
          <w:szCs w:val="20"/>
        </w:rPr>
      </w:pPr>
    </w:p>
    <w:p w:rsidR="00C33B61" w:rsidRPr="002A60FF" w:rsidRDefault="00C33B61" w:rsidP="00C33B61">
      <w:pPr>
        <w:jc w:val="both"/>
        <w:rPr>
          <w:sz w:val="20"/>
          <w:szCs w:val="20"/>
        </w:rPr>
      </w:pPr>
      <w:r w:rsidRPr="002A60FF">
        <w:rPr>
          <w:sz w:val="20"/>
          <w:szCs w:val="20"/>
        </w:rPr>
        <w:t>Seismological station in Skopje become Seismological Observatory with installation of two more stations: Valandovo (VAY) – February 1966 and  Ohrid (OHR) – September 1967, equipped with short-period electromagnetic seismometers LEHNER-GRIFFITH with galvanometric registration, Fig. 4.</w:t>
      </w:r>
    </w:p>
    <w:tbl>
      <w:tblPr>
        <w:tblW w:w="0" w:type="auto"/>
        <w:jc w:val="center"/>
        <w:tblLook w:val="04A0" w:firstRow="1" w:lastRow="0" w:firstColumn="1" w:lastColumn="0" w:noHBand="0" w:noVBand="1"/>
      </w:tblPr>
      <w:tblGrid>
        <w:gridCol w:w="4717"/>
        <w:gridCol w:w="4687"/>
      </w:tblGrid>
      <w:tr w:rsidR="00C33B61" w:rsidRPr="002A60FF" w:rsidTr="001F715D">
        <w:trPr>
          <w:jc w:val="center"/>
        </w:trPr>
        <w:tc>
          <w:tcPr>
            <w:tcW w:w="4788" w:type="dxa"/>
            <w:vAlign w:val="center"/>
          </w:tcPr>
          <w:p w:rsidR="00C33B61" w:rsidRPr="002A60FF" w:rsidRDefault="00B63C13" w:rsidP="001F715D">
            <w:pPr>
              <w:jc w:val="center"/>
              <w:rPr>
                <w:sz w:val="20"/>
                <w:szCs w:val="20"/>
              </w:rPr>
            </w:pPr>
            <w:r w:rsidRPr="002A60FF">
              <w:rPr>
                <w:noProof/>
                <w:sz w:val="20"/>
                <w:szCs w:val="20"/>
                <w:lang w:eastAsia="en-US"/>
              </w:rPr>
              <w:lastRenderedPageBreak/>
              <w:drawing>
                <wp:inline distT="0" distB="0" distL="0" distR="0">
                  <wp:extent cx="2918460" cy="2178685"/>
                  <wp:effectExtent l="19050" t="19050" r="15240" b="12065"/>
                  <wp:docPr id="163" name="Picture 1" descr="943282_363758903751574_746284445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43282_363758903751574_746284445_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18460" cy="2178685"/>
                          </a:xfrm>
                          <a:prstGeom prst="rect">
                            <a:avLst/>
                          </a:prstGeom>
                          <a:noFill/>
                          <a:ln w="6350" cmpd="sng">
                            <a:solidFill>
                              <a:srgbClr val="000000"/>
                            </a:solidFill>
                            <a:miter lim="800000"/>
                            <a:headEnd/>
                            <a:tailEnd/>
                          </a:ln>
                          <a:effectLst/>
                        </pic:spPr>
                      </pic:pic>
                    </a:graphicData>
                  </a:graphic>
                </wp:inline>
              </w:drawing>
            </w:r>
          </w:p>
        </w:tc>
        <w:tc>
          <w:tcPr>
            <w:tcW w:w="4788" w:type="dxa"/>
            <w:vAlign w:val="center"/>
          </w:tcPr>
          <w:p w:rsidR="00C33B61" w:rsidRPr="002A60FF" w:rsidRDefault="00B63C13" w:rsidP="001F715D">
            <w:pPr>
              <w:jc w:val="center"/>
              <w:rPr>
                <w:sz w:val="20"/>
                <w:szCs w:val="20"/>
              </w:rPr>
            </w:pPr>
            <w:r w:rsidRPr="002A60FF">
              <w:rPr>
                <w:noProof/>
                <w:sz w:val="20"/>
                <w:szCs w:val="20"/>
                <w:lang w:eastAsia="en-US"/>
              </w:rPr>
              <w:drawing>
                <wp:inline distT="0" distB="0" distL="0" distR="0">
                  <wp:extent cx="2898775" cy="2178685"/>
                  <wp:effectExtent l="19050" t="19050" r="15875" b="12065"/>
                  <wp:docPr id="162" name="Picture 2" descr="IMG_20130710_094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_20130710_09463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98775" cy="2178685"/>
                          </a:xfrm>
                          <a:prstGeom prst="rect">
                            <a:avLst/>
                          </a:prstGeom>
                          <a:noFill/>
                          <a:ln w="6350" cmpd="sng">
                            <a:solidFill>
                              <a:srgbClr val="000000"/>
                            </a:solidFill>
                            <a:miter lim="800000"/>
                            <a:headEnd/>
                            <a:tailEnd/>
                          </a:ln>
                          <a:effectLst/>
                        </pic:spPr>
                      </pic:pic>
                    </a:graphicData>
                  </a:graphic>
                </wp:inline>
              </w:drawing>
            </w:r>
          </w:p>
        </w:tc>
      </w:tr>
      <w:tr w:rsidR="00C33B61" w:rsidRPr="002A60FF" w:rsidTr="001F715D">
        <w:trPr>
          <w:jc w:val="center"/>
        </w:trPr>
        <w:tc>
          <w:tcPr>
            <w:tcW w:w="4788" w:type="dxa"/>
            <w:vAlign w:val="center"/>
          </w:tcPr>
          <w:p w:rsidR="00C33B61" w:rsidRPr="002A60FF" w:rsidRDefault="00C33B61" w:rsidP="001F715D">
            <w:pPr>
              <w:jc w:val="center"/>
              <w:rPr>
                <w:sz w:val="20"/>
                <w:szCs w:val="20"/>
              </w:rPr>
            </w:pPr>
            <w:r w:rsidRPr="002A60FF">
              <w:rPr>
                <w:sz w:val="20"/>
                <w:szCs w:val="20"/>
              </w:rPr>
              <w:t>(a)</w:t>
            </w:r>
          </w:p>
        </w:tc>
        <w:tc>
          <w:tcPr>
            <w:tcW w:w="4788" w:type="dxa"/>
            <w:vAlign w:val="center"/>
          </w:tcPr>
          <w:p w:rsidR="00C33B61" w:rsidRPr="002A60FF" w:rsidRDefault="00C33B61" w:rsidP="001F715D">
            <w:pPr>
              <w:jc w:val="center"/>
              <w:rPr>
                <w:noProof/>
                <w:sz w:val="20"/>
                <w:szCs w:val="20"/>
              </w:rPr>
            </w:pPr>
            <w:r w:rsidRPr="002A60FF">
              <w:rPr>
                <w:noProof/>
                <w:sz w:val="20"/>
                <w:szCs w:val="20"/>
              </w:rPr>
              <w:t>(b)</w:t>
            </w:r>
          </w:p>
        </w:tc>
      </w:tr>
    </w:tbl>
    <w:p w:rsidR="00C33B61" w:rsidRPr="002A60FF" w:rsidRDefault="002A60FF" w:rsidP="00C33B61">
      <w:pPr>
        <w:jc w:val="center"/>
        <w:rPr>
          <w:i/>
          <w:sz w:val="20"/>
          <w:szCs w:val="20"/>
        </w:rPr>
      </w:pPr>
      <w:r w:rsidRPr="002A60FF">
        <w:rPr>
          <w:i/>
          <w:sz w:val="20"/>
          <w:szCs w:val="20"/>
        </w:rPr>
        <w:t>Figure 4.</w:t>
      </w:r>
      <w:r w:rsidR="00C33B61" w:rsidRPr="002A60FF">
        <w:rPr>
          <w:i/>
          <w:sz w:val="20"/>
          <w:szCs w:val="20"/>
        </w:rPr>
        <w:t xml:space="preserve"> (a) Seismological Station in Valandovo/VAY</w:t>
      </w:r>
      <w:r w:rsidRPr="002A60FF">
        <w:rPr>
          <w:i/>
          <w:sz w:val="20"/>
          <w:szCs w:val="20"/>
        </w:rPr>
        <w:t>;</w:t>
      </w:r>
      <w:r w:rsidR="00C33B61" w:rsidRPr="002A60FF">
        <w:rPr>
          <w:i/>
          <w:sz w:val="20"/>
          <w:szCs w:val="20"/>
        </w:rPr>
        <w:t xml:space="preserve"> (b) Seismological Station in Ohrid/OHR</w:t>
      </w:r>
    </w:p>
    <w:p w:rsidR="00C33B61" w:rsidRPr="002A60FF" w:rsidRDefault="00C33B61" w:rsidP="00C33B61">
      <w:pPr>
        <w:jc w:val="both"/>
        <w:rPr>
          <w:sz w:val="20"/>
          <w:szCs w:val="20"/>
        </w:rPr>
      </w:pPr>
    </w:p>
    <w:p w:rsidR="00C33B61" w:rsidRPr="002A60FF" w:rsidRDefault="00C33B61" w:rsidP="00C33B61">
      <w:pPr>
        <w:jc w:val="both"/>
        <w:rPr>
          <w:sz w:val="20"/>
          <w:szCs w:val="20"/>
        </w:rPr>
      </w:pPr>
      <w:r w:rsidRPr="002A60FF">
        <w:rPr>
          <w:sz w:val="20"/>
          <w:szCs w:val="20"/>
        </w:rPr>
        <w:t>The observatory systematically instrumentally monitors the seismic activity in the territory of Republic of North Macedonia and the bordering areas (40.7 N - 42.4 N, 20.3 E - 23.2 E), and also records the regional and teleseismic earthquakes. In cases of felt earthquakes in the territory of Republic of North Macedonia, the observatory compiles and processes the data on the macroseismic effect of earthquakes</w:t>
      </w:r>
      <w:r w:rsidR="00860F54" w:rsidRPr="002A60FF">
        <w:rPr>
          <w:sz w:val="20"/>
          <w:szCs w:val="20"/>
        </w:rPr>
        <w:t xml:space="preserve"> [2, 3]</w:t>
      </w:r>
      <w:r w:rsidRPr="002A60FF">
        <w:rPr>
          <w:sz w:val="20"/>
          <w:szCs w:val="20"/>
        </w:rPr>
        <w:t>. The instrumental and macroseismic data are compiled, stored, analyzed and published in seismological bulletins and catalogues for scientific, teaching and civil engineering purposes. The exchange of the data with regional and international seismological institutions via Internet is regularly performed.</w:t>
      </w:r>
    </w:p>
    <w:p w:rsidR="00C33B61" w:rsidRPr="002A60FF" w:rsidRDefault="00C33B61" w:rsidP="004B0F22">
      <w:pPr>
        <w:spacing w:after="120"/>
        <w:jc w:val="both"/>
        <w:rPr>
          <w:sz w:val="20"/>
          <w:szCs w:val="20"/>
        </w:rPr>
      </w:pPr>
      <w:r w:rsidRPr="002A60FF">
        <w:rPr>
          <w:sz w:val="20"/>
          <w:szCs w:val="20"/>
        </w:rPr>
        <w:t>The Seismological observatory following the new worldwide trends of development of instrumental seismology in 1990 started to build a telemetric network of seismological stations with SS</w:t>
      </w:r>
      <w:r w:rsidRPr="002A60FF">
        <w:rPr>
          <w:sz w:val="20"/>
          <w:szCs w:val="20"/>
        </w:rPr>
        <w:noBreakHyphen/>
        <w:t>1 (short-period) and WR-1 (wide-range period) seismometers (Kinemetrics, Inc.) with digital recorders SSR</w:t>
      </w:r>
      <w:r w:rsidRPr="002A60FF">
        <w:rPr>
          <w:sz w:val="20"/>
          <w:szCs w:val="20"/>
        </w:rPr>
        <w:noBreakHyphen/>
        <w:t>1.  Seismological equipment in telemetric network were replaced with up-to-date instrumentation Wave 24 and Quantera Q330HRS recorders and seismometer EpiSensor ES-T (Microstep-Miss and Kinemetrics, Inc.), Fig. 5.</w:t>
      </w:r>
    </w:p>
    <w:tbl>
      <w:tblPr>
        <w:tblW w:w="0" w:type="auto"/>
        <w:tblLook w:val="04A0" w:firstRow="1" w:lastRow="0" w:firstColumn="1" w:lastColumn="0" w:noHBand="0" w:noVBand="1"/>
      </w:tblPr>
      <w:tblGrid>
        <w:gridCol w:w="3646"/>
        <w:gridCol w:w="3200"/>
        <w:gridCol w:w="2558"/>
      </w:tblGrid>
      <w:tr w:rsidR="00C33B61" w:rsidRPr="002A60FF" w:rsidTr="001F715D">
        <w:tc>
          <w:tcPr>
            <w:tcW w:w="3623" w:type="dxa"/>
            <w:vAlign w:val="center"/>
          </w:tcPr>
          <w:p w:rsidR="00C33B61" w:rsidRPr="002A60FF" w:rsidRDefault="00B63C13" w:rsidP="001F715D">
            <w:pPr>
              <w:jc w:val="center"/>
              <w:rPr>
                <w:sz w:val="20"/>
                <w:szCs w:val="20"/>
              </w:rPr>
            </w:pPr>
            <w:r w:rsidRPr="002A60FF">
              <w:rPr>
                <w:noProof/>
                <w:sz w:val="20"/>
                <w:szCs w:val="20"/>
                <w:bdr w:val="single" w:sz="8" w:space="0" w:color="000000"/>
                <w:lang w:eastAsia="en-US"/>
              </w:rPr>
              <w:drawing>
                <wp:inline distT="0" distB="0" distL="0" distR="0">
                  <wp:extent cx="2120900" cy="1381125"/>
                  <wp:effectExtent l="19050" t="19050" r="12700" b="28575"/>
                  <wp:docPr id="9" name="Picture 9" descr="SS1,W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S1,WR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20900" cy="1381125"/>
                          </a:xfrm>
                          <a:prstGeom prst="rect">
                            <a:avLst/>
                          </a:prstGeom>
                          <a:noFill/>
                          <a:ln w="12700" cmpd="sng">
                            <a:solidFill>
                              <a:schemeClr val="tx1">
                                <a:lumMod val="100000"/>
                                <a:lumOff val="0"/>
                              </a:schemeClr>
                            </a:solidFill>
                            <a:miter lim="800000"/>
                            <a:headEnd/>
                            <a:tailEnd/>
                          </a:ln>
                          <a:effectLst/>
                        </pic:spPr>
                      </pic:pic>
                    </a:graphicData>
                  </a:graphic>
                </wp:inline>
              </w:drawing>
            </w:r>
          </w:p>
        </w:tc>
        <w:tc>
          <w:tcPr>
            <w:tcW w:w="3339" w:type="dxa"/>
            <w:vAlign w:val="center"/>
          </w:tcPr>
          <w:p w:rsidR="00C33B61" w:rsidRPr="002A60FF" w:rsidRDefault="00B63C13" w:rsidP="001F715D">
            <w:pPr>
              <w:jc w:val="center"/>
              <w:rPr>
                <w:sz w:val="20"/>
                <w:szCs w:val="20"/>
              </w:rPr>
            </w:pPr>
            <w:r w:rsidRPr="002A60FF">
              <w:rPr>
                <w:noProof/>
                <w:sz w:val="20"/>
                <w:szCs w:val="20"/>
                <w:lang w:eastAsia="en-US"/>
              </w:rPr>
              <w:drawing>
                <wp:inline distT="0" distB="0" distL="0" distR="0">
                  <wp:extent cx="1711960" cy="1400810"/>
                  <wp:effectExtent l="19050" t="19050" r="21590" b="27940"/>
                  <wp:docPr id="10" name="Picture 10" descr="Skopje_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kopje_site"/>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l="8145" t="61598"/>
                          <a:stretch>
                            <a:fillRect/>
                          </a:stretch>
                        </pic:blipFill>
                        <pic:spPr bwMode="auto">
                          <a:xfrm>
                            <a:off x="0" y="0"/>
                            <a:ext cx="1711960" cy="1400810"/>
                          </a:xfrm>
                          <a:prstGeom prst="rect">
                            <a:avLst/>
                          </a:prstGeom>
                          <a:noFill/>
                          <a:ln w="12700" cmpd="sng">
                            <a:solidFill>
                              <a:srgbClr val="000000"/>
                            </a:solidFill>
                            <a:miter lim="800000"/>
                            <a:headEnd/>
                            <a:tailEnd/>
                          </a:ln>
                          <a:effectLst/>
                        </pic:spPr>
                      </pic:pic>
                    </a:graphicData>
                  </a:graphic>
                </wp:inline>
              </w:drawing>
            </w:r>
          </w:p>
        </w:tc>
        <w:tc>
          <w:tcPr>
            <w:tcW w:w="2614" w:type="dxa"/>
            <w:vAlign w:val="center"/>
          </w:tcPr>
          <w:p w:rsidR="00C33B61" w:rsidRPr="002A60FF" w:rsidRDefault="00B63C13" w:rsidP="001F715D">
            <w:pPr>
              <w:jc w:val="center"/>
              <w:rPr>
                <w:sz w:val="20"/>
                <w:szCs w:val="20"/>
              </w:rPr>
            </w:pPr>
            <w:r w:rsidRPr="002A60FF">
              <w:rPr>
                <w:noProof/>
                <w:sz w:val="20"/>
                <w:szCs w:val="20"/>
                <w:lang w:eastAsia="en-US"/>
              </w:rPr>
              <w:drawing>
                <wp:inline distT="0" distB="0" distL="0" distR="0">
                  <wp:extent cx="1381125" cy="1400810"/>
                  <wp:effectExtent l="19050" t="19050" r="28575" b="27940"/>
                  <wp:docPr id="11" name="Picture 11" descr="Microst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icrostep"/>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81125" cy="1400810"/>
                          </a:xfrm>
                          <a:prstGeom prst="rect">
                            <a:avLst/>
                          </a:prstGeom>
                          <a:noFill/>
                          <a:ln w="12700" cmpd="sng">
                            <a:solidFill>
                              <a:srgbClr val="000000"/>
                            </a:solidFill>
                            <a:miter lim="800000"/>
                            <a:headEnd/>
                            <a:tailEnd/>
                          </a:ln>
                          <a:effectLst/>
                        </pic:spPr>
                      </pic:pic>
                    </a:graphicData>
                  </a:graphic>
                </wp:inline>
              </w:drawing>
            </w:r>
          </w:p>
        </w:tc>
      </w:tr>
      <w:tr w:rsidR="00C33B61" w:rsidRPr="002A60FF" w:rsidTr="001F715D">
        <w:tc>
          <w:tcPr>
            <w:tcW w:w="3623" w:type="dxa"/>
            <w:vAlign w:val="center"/>
          </w:tcPr>
          <w:p w:rsidR="00C33B61" w:rsidRPr="002A60FF" w:rsidRDefault="00C33B61" w:rsidP="001F715D">
            <w:pPr>
              <w:jc w:val="center"/>
              <w:rPr>
                <w:sz w:val="20"/>
                <w:szCs w:val="20"/>
              </w:rPr>
            </w:pPr>
            <w:r w:rsidRPr="002A60FF">
              <w:rPr>
                <w:sz w:val="20"/>
                <w:szCs w:val="20"/>
              </w:rPr>
              <w:t>(a)</w:t>
            </w:r>
          </w:p>
        </w:tc>
        <w:tc>
          <w:tcPr>
            <w:tcW w:w="3339" w:type="dxa"/>
            <w:vAlign w:val="center"/>
          </w:tcPr>
          <w:p w:rsidR="00C33B61" w:rsidRPr="002A60FF" w:rsidRDefault="00C33B61" w:rsidP="001F715D">
            <w:pPr>
              <w:jc w:val="center"/>
              <w:rPr>
                <w:sz w:val="20"/>
                <w:szCs w:val="20"/>
              </w:rPr>
            </w:pPr>
            <w:r w:rsidRPr="002A60FF">
              <w:rPr>
                <w:sz w:val="20"/>
                <w:szCs w:val="20"/>
              </w:rPr>
              <w:t>(b)</w:t>
            </w:r>
          </w:p>
        </w:tc>
        <w:tc>
          <w:tcPr>
            <w:tcW w:w="2614" w:type="dxa"/>
            <w:vAlign w:val="center"/>
          </w:tcPr>
          <w:p w:rsidR="00C33B61" w:rsidRPr="002A60FF" w:rsidRDefault="00C33B61" w:rsidP="001F715D">
            <w:pPr>
              <w:jc w:val="center"/>
              <w:rPr>
                <w:sz w:val="20"/>
                <w:szCs w:val="20"/>
              </w:rPr>
            </w:pPr>
            <w:r w:rsidRPr="002A60FF">
              <w:rPr>
                <w:sz w:val="20"/>
                <w:szCs w:val="20"/>
              </w:rPr>
              <w:t>(c)</w:t>
            </w:r>
          </w:p>
        </w:tc>
      </w:tr>
      <w:tr w:rsidR="00C33B61" w:rsidRPr="002A60FF" w:rsidTr="001F715D">
        <w:tc>
          <w:tcPr>
            <w:tcW w:w="3623" w:type="dxa"/>
            <w:vAlign w:val="center"/>
          </w:tcPr>
          <w:p w:rsidR="00C33B61" w:rsidRPr="002A60FF" w:rsidRDefault="00C33B61" w:rsidP="001F715D">
            <w:pPr>
              <w:jc w:val="center"/>
              <w:rPr>
                <w:sz w:val="20"/>
                <w:szCs w:val="20"/>
              </w:rPr>
            </w:pPr>
          </w:p>
        </w:tc>
        <w:tc>
          <w:tcPr>
            <w:tcW w:w="3339" w:type="dxa"/>
            <w:vAlign w:val="center"/>
          </w:tcPr>
          <w:p w:rsidR="00C33B61" w:rsidRPr="002A60FF" w:rsidRDefault="00C33B61" w:rsidP="001F715D">
            <w:pPr>
              <w:jc w:val="center"/>
              <w:rPr>
                <w:sz w:val="20"/>
                <w:szCs w:val="20"/>
              </w:rPr>
            </w:pPr>
          </w:p>
        </w:tc>
        <w:tc>
          <w:tcPr>
            <w:tcW w:w="2614" w:type="dxa"/>
            <w:vAlign w:val="center"/>
          </w:tcPr>
          <w:p w:rsidR="00C33B61" w:rsidRPr="002A60FF" w:rsidRDefault="00C33B61" w:rsidP="001F715D">
            <w:pPr>
              <w:jc w:val="center"/>
              <w:rPr>
                <w:sz w:val="20"/>
                <w:szCs w:val="20"/>
              </w:rPr>
            </w:pPr>
          </w:p>
        </w:tc>
      </w:tr>
      <w:tr w:rsidR="00C33B61" w:rsidRPr="002A60FF" w:rsidTr="001F715D">
        <w:tc>
          <w:tcPr>
            <w:tcW w:w="3623" w:type="dxa"/>
            <w:vAlign w:val="center"/>
          </w:tcPr>
          <w:p w:rsidR="00C33B61" w:rsidRPr="002A60FF" w:rsidRDefault="00B63C13" w:rsidP="001F715D">
            <w:pPr>
              <w:jc w:val="center"/>
              <w:rPr>
                <w:sz w:val="20"/>
                <w:szCs w:val="20"/>
              </w:rPr>
            </w:pPr>
            <w:r w:rsidRPr="002A60FF">
              <w:rPr>
                <w:noProof/>
                <w:sz w:val="20"/>
                <w:szCs w:val="20"/>
                <w:lang w:eastAsia="en-US"/>
              </w:rPr>
              <w:drawing>
                <wp:inline distT="0" distB="0" distL="0" distR="0">
                  <wp:extent cx="1789889" cy="1240889"/>
                  <wp:effectExtent l="19050" t="19050" r="20320" b="16510"/>
                  <wp:docPr id="12" name="Picture 12" descr="QuanteraQ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QuanteraQ33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90348" cy="1241207"/>
                          </a:xfrm>
                          <a:prstGeom prst="rect">
                            <a:avLst/>
                          </a:prstGeom>
                          <a:noFill/>
                          <a:ln w="12700" cmpd="sng">
                            <a:solidFill>
                              <a:srgbClr val="000000"/>
                            </a:solidFill>
                            <a:miter lim="800000"/>
                            <a:headEnd/>
                            <a:tailEnd/>
                          </a:ln>
                          <a:effectLst/>
                        </pic:spPr>
                      </pic:pic>
                    </a:graphicData>
                  </a:graphic>
                </wp:inline>
              </w:drawing>
            </w:r>
          </w:p>
        </w:tc>
        <w:tc>
          <w:tcPr>
            <w:tcW w:w="3339" w:type="dxa"/>
            <w:vAlign w:val="center"/>
          </w:tcPr>
          <w:p w:rsidR="00C33B61" w:rsidRPr="002A60FF" w:rsidRDefault="00B63C13" w:rsidP="001F715D">
            <w:pPr>
              <w:jc w:val="center"/>
              <w:rPr>
                <w:sz w:val="20"/>
                <w:szCs w:val="20"/>
              </w:rPr>
            </w:pPr>
            <w:r w:rsidRPr="002A60FF">
              <w:rPr>
                <w:noProof/>
                <w:sz w:val="20"/>
                <w:szCs w:val="20"/>
                <w:lang w:eastAsia="en-US"/>
              </w:rPr>
              <w:drawing>
                <wp:inline distT="0" distB="0" distL="0" distR="0">
                  <wp:extent cx="1575881" cy="1212434"/>
                  <wp:effectExtent l="19050" t="19050" r="24765" b="26035"/>
                  <wp:docPr id="13" name="Picture 13" descr="Q330H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330HR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577075" cy="1213353"/>
                          </a:xfrm>
                          <a:prstGeom prst="rect">
                            <a:avLst/>
                          </a:prstGeom>
                          <a:noFill/>
                          <a:ln w="6350" cmpd="sng">
                            <a:solidFill>
                              <a:srgbClr val="000000"/>
                            </a:solidFill>
                            <a:miter lim="800000"/>
                            <a:headEnd/>
                            <a:tailEnd/>
                          </a:ln>
                          <a:effectLst/>
                        </pic:spPr>
                      </pic:pic>
                    </a:graphicData>
                  </a:graphic>
                </wp:inline>
              </w:drawing>
            </w:r>
          </w:p>
        </w:tc>
        <w:tc>
          <w:tcPr>
            <w:tcW w:w="2614" w:type="dxa"/>
            <w:vAlign w:val="center"/>
          </w:tcPr>
          <w:p w:rsidR="00C33B61" w:rsidRPr="002A60FF" w:rsidRDefault="00B63C13" w:rsidP="001F715D">
            <w:pPr>
              <w:jc w:val="center"/>
              <w:rPr>
                <w:sz w:val="20"/>
                <w:szCs w:val="20"/>
              </w:rPr>
            </w:pPr>
            <w:r w:rsidRPr="002A60FF">
              <w:rPr>
                <w:noProof/>
                <w:sz w:val="20"/>
                <w:szCs w:val="20"/>
                <w:lang w:eastAsia="en-US"/>
              </w:rPr>
              <w:drawing>
                <wp:inline distT="0" distB="0" distL="0" distR="0">
                  <wp:extent cx="778212" cy="1183065"/>
                  <wp:effectExtent l="19050" t="19050" r="22225" b="17145"/>
                  <wp:docPr id="14" name="Picture 14" descr="Episen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pisenso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778549" cy="1183578"/>
                          </a:xfrm>
                          <a:prstGeom prst="rect">
                            <a:avLst/>
                          </a:prstGeom>
                          <a:noFill/>
                          <a:ln w="6350" cmpd="sng">
                            <a:solidFill>
                              <a:srgbClr val="000000"/>
                            </a:solidFill>
                            <a:miter lim="800000"/>
                            <a:headEnd/>
                            <a:tailEnd/>
                          </a:ln>
                          <a:effectLst/>
                        </pic:spPr>
                      </pic:pic>
                    </a:graphicData>
                  </a:graphic>
                </wp:inline>
              </w:drawing>
            </w:r>
          </w:p>
        </w:tc>
      </w:tr>
      <w:tr w:rsidR="00C33B61" w:rsidRPr="002A60FF" w:rsidTr="001F715D">
        <w:tc>
          <w:tcPr>
            <w:tcW w:w="3623" w:type="dxa"/>
            <w:vAlign w:val="center"/>
          </w:tcPr>
          <w:p w:rsidR="00C33B61" w:rsidRPr="002A60FF" w:rsidRDefault="00C33B61" w:rsidP="001F715D">
            <w:pPr>
              <w:jc w:val="center"/>
              <w:rPr>
                <w:sz w:val="20"/>
                <w:szCs w:val="20"/>
              </w:rPr>
            </w:pPr>
            <w:r w:rsidRPr="002A60FF">
              <w:rPr>
                <w:sz w:val="20"/>
                <w:szCs w:val="20"/>
              </w:rPr>
              <w:t>(d)</w:t>
            </w:r>
          </w:p>
        </w:tc>
        <w:tc>
          <w:tcPr>
            <w:tcW w:w="3339" w:type="dxa"/>
            <w:vAlign w:val="center"/>
          </w:tcPr>
          <w:p w:rsidR="00C33B61" w:rsidRPr="002A60FF" w:rsidRDefault="00C33B61" w:rsidP="001F715D">
            <w:pPr>
              <w:jc w:val="center"/>
              <w:rPr>
                <w:sz w:val="20"/>
                <w:szCs w:val="20"/>
              </w:rPr>
            </w:pPr>
            <w:r w:rsidRPr="002A60FF">
              <w:rPr>
                <w:sz w:val="20"/>
                <w:szCs w:val="20"/>
              </w:rPr>
              <w:t>(e)</w:t>
            </w:r>
          </w:p>
        </w:tc>
        <w:tc>
          <w:tcPr>
            <w:tcW w:w="2614" w:type="dxa"/>
            <w:vAlign w:val="center"/>
          </w:tcPr>
          <w:p w:rsidR="00C33B61" w:rsidRPr="002A60FF" w:rsidRDefault="00C33B61" w:rsidP="001F715D">
            <w:pPr>
              <w:jc w:val="center"/>
              <w:rPr>
                <w:sz w:val="20"/>
                <w:szCs w:val="20"/>
              </w:rPr>
            </w:pPr>
            <w:r w:rsidRPr="002A60FF">
              <w:rPr>
                <w:sz w:val="20"/>
                <w:szCs w:val="20"/>
              </w:rPr>
              <w:t>(f)</w:t>
            </w:r>
          </w:p>
        </w:tc>
      </w:tr>
    </w:tbl>
    <w:p w:rsidR="00C33B61" w:rsidRPr="002A60FF" w:rsidRDefault="00C33B61" w:rsidP="00C33B61">
      <w:pPr>
        <w:ind w:right="-138"/>
        <w:jc w:val="center"/>
        <w:rPr>
          <w:sz w:val="20"/>
          <w:szCs w:val="20"/>
        </w:rPr>
      </w:pPr>
      <w:r w:rsidRPr="002A60FF">
        <w:rPr>
          <w:i/>
          <w:sz w:val="20"/>
          <w:szCs w:val="20"/>
        </w:rPr>
        <w:t>F</w:t>
      </w:r>
      <w:r w:rsidR="002A60FF" w:rsidRPr="002A60FF">
        <w:rPr>
          <w:i/>
          <w:sz w:val="20"/>
          <w:szCs w:val="20"/>
        </w:rPr>
        <w:t>igure</w:t>
      </w:r>
      <w:r w:rsidRPr="002A60FF">
        <w:rPr>
          <w:i/>
          <w:sz w:val="20"/>
          <w:szCs w:val="20"/>
        </w:rPr>
        <w:t xml:space="preserve"> 5. (a) Electromagnetic seismometers: SS</w:t>
      </w:r>
      <w:r w:rsidRPr="002A60FF">
        <w:rPr>
          <w:i/>
          <w:sz w:val="20"/>
          <w:szCs w:val="20"/>
        </w:rPr>
        <w:noBreakHyphen/>
        <w:t>1 (short-period) and WR</w:t>
      </w:r>
      <w:r w:rsidRPr="002A60FF">
        <w:rPr>
          <w:i/>
          <w:sz w:val="20"/>
          <w:szCs w:val="20"/>
        </w:rPr>
        <w:noBreakHyphen/>
        <w:t>1 (wide-range period)</w:t>
      </w:r>
      <w:r w:rsidR="002A60FF" w:rsidRPr="002A60FF">
        <w:rPr>
          <w:i/>
          <w:sz w:val="20"/>
          <w:szCs w:val="20"/>
        </w:rPr>
        <w:t>;</w:t>
      </w:r>
      <w:r w:rsidRPr="002A60FF">
        <w:rPr>
          <w:i/>
          <w:sz w:val="20"/>
          <w:szCs w:val="20"/>
        </w:rPr>
        <w:t xml:space="preserve"> (b) Digital recorder SSR-1</w:t>
      </w:r>
      <w:r w:rsidR="002A60FF" w:rsidRPr="002A60FF">
        <w:rPr>
          <w:i/>
          <w:sz w:val="20"/>
          <w:szCs w:val="20"/>
        </w:rPr>
        <w:t>;</w:t>
      </w:r>
      <w:r w:rsidRPr="002A60FF">
        <w:rPr>
          <w:i/>
          <w:sz w:val="20"/>
          <w:szCs w:val="20"/>
        </w:rPr>
        <w:t xml:space="preserve"> (c) Digital recorder Wave-24</w:t>
      </w:r>
      <w:r w:rsidR="002A60FF" w:rsidRPr="002A60FF">
        <w:rPr>
          <w:i/>
          <w:sz w:val="20"/>
          <w:szCs w:val="20"/>
        </w:rPr>
        <w:t>;</w:t>
      </w:r>
      <w:r w:rsidRPr="002A60FF">
        <w:rPr>
          <w:i/>
          <w:sz w:val="20"/>
          <w:szCs w:val="20"/>
        </w:rPr>
        <w:t xml:space="preserve"> (d) Digital recorder Quantera–Q330</w:t>
      </w:r>
      <w:r w:rsidR="002A60FF" w:rsidRPr="002A60FF">
        <w:rPr>
          <w:i/>
          <w:sz w:val="20"/>
          <w:szCs w:val="20"/>
        </w:rPr>
        <w:t>;</w:t>
      </w:r>
      <w:r w:rsidRPr="002A60FF">
        <w:rPr>
          <w:i/>
          <w:sz w:val="20"/>
          <w:szCs w:val="20"/>
        </w:rPr>
        <w:t xml:space="preserve"> (e) Di</w:t>
      </w:r>
      <w:r w:rsidR="002A60FF" w:rsidRPr="002A60FF">
        <w:rPr>
          <w:i/>
          <w:sz w:val="20"/>
          <w:szCs w:val="20"/>
        </w:rPr>
        <w:t>gital recorder Quantera–Q330HRS;</w:t>
      </w:r>
      <w:r w:rsidRPr="002A60FF">
        <w:rPr>
          <w:i/>
          <w:sz w:val="20"/>
          <w:szCs w:val="20"/>
        </w:rPr>
        <w:t xml:space="preserve"> (f) EpiSensor ES</w:t>
      </w:r>
      <w:r w:rsidRPr="002A60FF">
        <w:rPr>
          <w:i/>
          <w:sz w:val="20"/>
          <w:szCs w:val="20"/>
        </w:rPr>
        <w:noBreakHyphen/>
        <w:t>T</w:t>
      </w:r>
    </w:p>
    <w:p w:rsidR="00054C4A" w:rsidRPr="002A60FF" w:rsidRDefault="00054C4A" w:rsidP="00551AC7">
      <w:pPr>
        <w:tabs>
          <w:tab w:val="left" w:pos="810"/>
          <w:tab w:val="left" w:pos="990"/>
        </w:tabs>
        <w:jc w:val="both"/>
        <w:rPr>
          <w:rFonts w:eastAsia="Arial Unicode MS"/>
          <w:b/>
          <w:sz w:val="20"/>
          <w:szCs w:val="20"/>
        </w:rPr>
      </w:pPr>
    </w:p>
    <w:p w:rsidR="00C26A24" w:rsidRPr="002A60FF" w:rsidRDefault="00C26A24" w:rsidP="00551AC7">
      <w:pPr>
        <w:tabs>
          <w:tab w:val="left" w:pos="810"/>
          <w:tab w:val="left" w:pos="990"/>
        </w:tabs>
        <w:jc w:val="both"/>
        <w:rPr>
          <w:rFonts w:eastAsia="Arial Unicode MS"/>
          <w:b/>
          <w:color w:val="FF0000"/>
          <w:sz w:val="20"/>
          <w:szCs w:val="20"/>
          <w:lang w:val="ru-RU"/>
        </w:rPr>
      </w:pPr>
      <w:r w:rsidRPr="002A60FF">
        <w:rPr>
          <w:rFonts w:eastAsia="Arial Unicode MS"/>
          <w:b/>
          <w:sz w:val="20"/>
          <w:szCs w:val="20"/>
          <w:lang w:val="mk-MK"/>
        </w:rPr>
        <w:lastRenderedPageBreak/>
        <w:t>2.</w:t>
      </w:r>
      <w:r w:rsidR="00C33B61" w:rsidRPr="002A60FF">
        <w:rPr>
          <w:sz w:val="20"/>
          <w:szCs w:val="20"/>
        </w:rPr>
        <w:t xml:space="preserve"> </w:t>
      </w:r>
      <w:r w:rsidR="00C33B61" w:rsidRPr="002A60FF">
        <w:rPr>
          <w:rFonts w:eastAsia="Arial Unicode MS"/>
          <w:b/>
          <w:sz w:val="20"/>
          <w:szCs w:val="20"/>
          <w:lang w:val="mk-MK"/>
        </w:rPr>
        <w:t>MONITORING AND DATA PROCESSING</w:t>
      </w:r>
    </w:p>
    <w:p w:rsidR="00417FA7" w:rsidRPr="002A60FF" w:rsidRDefault="00417FA7" w:rsidP="00417FA7">
      <w:pPr>
        <w:jc w:val="both"/>
        <w:rPr>
          <w:sz w:val="20"/>
          <w:szCs w:val="20"/>
        </w:rPr>
      </w:pPr>
      <w:r w:rsidRPr="002A60FF">
        <w:rPr>
          <w:sz w:val="20"/>
          <w:szCs w:val="20"/>
        </w:rPr>
        <w:t>Present seismic network is consisted of seismic stations, some connected in real</w:t>
      </w:r>
      <w:r w:rsidRPr="002A60FF">
        <w:rPr>
          <w:sz w:val="20"/>
          <w:szCs w:val="20"/>
        </w:rPr>
        <w:noBreakHyphen/>
        <w:t>time with seedlink protocol, some working off-line, some will be equiped with up-to-date instrumentation in near future and some are in constraction Fig. 6.</w:t>
      </w:r>
    </w:p>
    <w:p w:rsidR="00417FA7" w:rsidRPr="002A60FF" w:rsidRDefault="00B63C13" w:rsidP="00417FA7">
      <w:pPr>
        <w:jc w:val="center"/>
        <w:rPr>
          <w:sz w:val="20"/>
          <w:szCs w:val="20"/>
        </w:rPr>
      </w:pPr>
      <w:r w:rsidRPr="002A60FF">
        <w:rPr>
          <w:noProof/>
          <w:sz w:val="20"/>
          <w:szCs w:val="20"/>
          <w:lang w:eastAsia="en-US"/>
        </w:rPr>
        <w:drawing>
          <wp:inline distT="0" distB="0" distL="0" distR="0">
            <wp:extent cx="3968750" cy="3618865"/>
            <wp:effectExtent l="0" t="0" r="0" b="635"/>
            <wp:docPr id="29" name="Picture 29" descr="C:\2019_Knowledge_Special edition\2019_Stanici_MK_Balk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2019_Knowledge_Special edition\2019_Stanici_MK_Balkan.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68750" cy="3618865"/>
                    </a:xfrm>
                    <a:prstGeom prst="rect">
                      <a:avLst/>
                    </a:prstGeom>
                    <a:noFill/>
                    <a:ln>
                      <a:noFill/>
                    </a:ln>
                  </pic:spPr>
                </pic:pic>
              </a:graphicData>
            </a:graphic>
          </wp:inline>
        </w:drawing>
      </w:r>
    </w:p>
    <w:p w:rsidR="00417FA7" w:rsidRPr="00F6046D" w:rsidRDefault="00F6046D" w:rsidP="00417FA7">
      <w:pPr>
        <w:jc w:val="center"/>
        <w:rPr>
          <w:i/>
          <w:sz w:val="20"/>
          <w:szCs w:val="20"/>
          <w:lang w:val="en-GB"/>
        </w:rPr>
      </w:pPr>
      <w:r w:rsidRPr="00F6046D">
        <w:rPr>
          <w:i/>
          <w:sz w:val="20"/>
          <w:szCs w:val="20"/>
        </w:rPr>
        <w:t xml:space="preserve">Figure 6. </w:t>
      </w:r>
      <w:r w:rsidR="00417FA7" w:rsidRPr="00F6046D">
        <w:rPr>
          <w:bCs/>
          <w:i/>
          <w:sz w:val="20"/>
          <w:szCs w:val="20"/>
        </w:rPr>
        <w:t>Seismological stations on the territory of the Republic of North Macedonia</w:t>
      </w:r>
    </w:p>
    <w:p w:rsidR="00417FA7" w:rsidRPr="002A60FF" w:rsidRDefault="00417FA7" w:rsidP="00417FA7">
      <w:pPr>
        <w:jc w:val="both"/>
        <w:rPr>
          <w:sz w:val="20"/>
          <w:szCs w:val="20"/>
        </w:rPr>
      </w:pPr>
    </w:p>
    <w:p w:rsidR="00417FA7" w:rsidRPr="002A60FF" w:rsidRDefault="00417FA7" w:rsidP="004B0F22">
      <w:pPr>
        <w:spacing w:after="120"/>
        <w:jc w:val="both"/>
        <w:rPr>
          <w:sz w:val="20"/>
          <w:szCs w:val="20"/>
        </w:rPr>
      </w:pPr>
      <w:r w:rsidRPr="002A60FF">
        <w:rPr>
          <w:sz w:val="20"/>
          <w:szCs w:val="20"/>
        </w:rPr>
        <w:t>With the real</w:t>
      </w:r>
      <w:r w:rsidRPr="002A60FF">
        <w:rPr>
          <w:sz w:val="20"/>
          <w:szCs w:val="20"/>
        </w:rPr>
        <w:noBreakHyphen/>
        <w:t>time data exchange and used software (Seismic Handler, SeisComp3), earthquakes with local magnitudes down to zero can be recorded and analyzed Fig. 7</w:t>
      </w:r>
      <w:r w:rsidR="00F6046D">
        <w:rPr>
          <w:sz w:val="20"/>
          <w:szCs w:val="20"/>
        </w:rPr>
        <w:t>a,b</w:t>
      </w:r>
      <w:r w:rsidR="00860F54" w:rsidRPr="002A60FF">
        <w:rPr>
          <w:sz w:val="20"/>
          <w:szCs w:val="20"/>
        </w:rPr>
        <w:t xml:space="preserve"> [4]</w:t>
      </w:r>
      <w:r w:rsidRPr="002A60FF">
        <w:rPr>
          <w:sz w:val="20"/>
          <w:szCs w:val="20"/>
        </w:rPr>
        <w:t>.</w:t>
      </w:r>
    </w:p>
    <w:p w:rsidR="00417FA7" w:rsidRPr="002A60FF" w:rsidRDefault="00B63C13" w:rsidP="00417FA7">
      <w:pPr>
        <w:jc w:val="both"/>
        <w:rPr>
          <w:sz w:val="20"/>
          <w:szCs w:val="20"/>
        </w:rPr>
      </w:pPr>
      <w:r w:rsidRPr="002A60FF">
        <w:rPr>
          <w:noProof/>
          <w:sz w:val="20"/>
          <w:szCs w:val="20"/>
          <w:lang w:eastAsia="en-US"/>
        </w:rPr>
        <w:drawing>
          <wp:inline distT="0" distB="0" distL="0" distR="0">
            <wp:extent cx="5778500" cy="2801620"/>
            <wp:effectExtent l="19050" t="19050" r="12700" b="17780"/>
            <wp:docPr id="33" name="Picture 33" descr="sh real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h real tim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78500" cy="2801620"/>
                    </a:xfrm>
                    <a:prstGeom prst="rect">
                      <a:avLst/>
                    </a:prstGeom>
                    <a:noFill/>
                    <a:ln w="6350" cmpd="sng">
                      <a:solidFill>
                        <a:srgbClr val="000000"/>
                      </a:solidFill>
                      <a:miter lim="800000"/>
                      <a:headEnd/>
                      <a:tailEnd/>
                    </a:ln>
                    <a:effectLst/>
                  </pic:spPr>
                </pic:pic>
              </a:graphicData>
            </a:graphic>
          </wp:inline>
        </w:drawing>
      </w:r>
    </w:p>
    <w:p w:rsidR="002A60FF" w:rsidRPr="002A60FF" w:rsidRDefault="002A60FF" w:rsidP="002A60FF">
      <w:pPr>
        <w:jc w:val="center"/>
        <w:rPr>
          <w:i/>
          <w:sz w:val="20"/>
          <w:szCs w:val="20"/>
        </w:rPr>
      </w:pPr>
      <w:r w:rsidRPr="002A60FF">
        <w:rPr>
          <w:i/>
          <w:sz w:val="20"/>
          <w:szCs w:val="20"/>
        </w:rPr>
        <w:t>Figure 7a. Real-time data exchange and earthquake data processing (Seismic Handler software)</w:t>
      </w:r>
    </w:p>
    <w:p w:rsidR="00417FA7" w:rsidRPr="002A60FF" w:rsidRDefault="00B63C13" w:rsidP="00417FA7">
      <w:pPr>
        <w:jc w:val="center"/>
        <w:rPr>
          <w:sz w:val="20"/>
          <w:szCs w:val="20"/>
        </w:rPr>
      </w:pPr>
      <w:r w:rsidRPr="002A60FF">
        <w:rPr>
          <w:noProof/>
          <w:sz w:val="20"/>
          <w:szCs w:val="20"/>
          <w:lang w:eastAsia="en-US"/>
        </w:rPr>
        <w:lastRenderedPageBreak/>
        <w:drawing>
          <wp:inline distT="0" distB="0" distL="0" distR="0">
            <wp:extent cx="4980305" cy="2626360"/>
            <wp:effectExtent l="0" t="0" r="0" b="2540"/>
            <wp:docPr id="32" name="Picture 32" descr="Seiscomp3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Seiscomp3_1.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80305" cy="2626360"/>
                    </a:xfrm>
                    <a:prstGeom prst="rect">
                      <a:avLst/>
                    </a:prstGeom>
                    <a:noFill/>
                    <a:ln>
                      <a:noFill/>
                    </a:ln>
                  </pic:spPr>
                </pic:pic>
              </a:graphicData>
            </a:graphic>
          </wp:inline>
        </w:drawing>
      </w:r>
    </w:p>
    <w:p w:rsidR="00417FA7" w:rsidRPr="002A60FF" w:rsidRDefault="00417FA7" w:rsidP="00417FA7">
      <w:pPr>
        <w:jc w:val="both"/>
        <w:rPr>
          <w:sz w:val="20"/>
          <w:szCs w:val="20"/>
        </w:rPr>
      </w:pPr>
    </w:p>
    <w:p w:rsidR="00417FA7" w:rsidRPr="002A60FF" w:rsidRDefault="00B63C13" w:rsidP="00417FA7">
      <w:pPr>
        <w:jc w:val="both"/>
        <w:rPr>
          <w:sz w:val="20"/>
          <w:szCs w:val="20"/>
        </w:rPr>
      </w:pPr>
      <w:r w:rsidRPr="002A60FF">
        <w:rPr>
          <w:noProof/>
          <w:sz w:val="20"/>
          <w:szCs w:val="20"/>
          <w:lang w:eastAsia="en-US"/>
        </w:rPr>
        <w:drawing>
          <wp:inline distT="0" distB="0" distL="0" distR="0">
            <wp:extent cx="2256790" cy="1576070"/>
            <wp:effectExtent l="0" t="0" r="0" b="5080"/>
            <wp:docPr id="30" name="Picture 30" descr="Seiscomp3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Seiscomp3_2.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56790" cy="1576070"/>
                    </a:xfrm>
                    <a:prstGeom prst="rect">
                      <a:avLst/>
                    </a:prstGeom>
                    <a:noFill/>
                    <a:ln>
                      <a:noFill/>
                    </a:ln>
                  </pic:spPr>
                </pic:pic>
              </a:graphicData>
            </a:graphic>
          </wp:inline>
        </w:drawing>
      </w:r>
      <w:r w:rsidRPr="002A60FF">
        <w:rPr>
          <w:noProof/>
          <w:sz w:val="20"/>
          <w:szCs w:val="20"/>
          <w:lang w:eastAsia="en-US"/>
        </w:rPr>
        <w:drawing>
          <wp:inline distT="0" distB="0" distL="0" distR="0">
            <wp:extent cx="3657600" cy="1595120"/>
            <wp:effectExtent l="0" t="0" r="0" b="5080"/>
            <wp:docPr id="31" name="Picture 31" descr="Seiscomp3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eiscomp3_3.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657600" cy="1595120"/>
                    </a:xfrm>
                    <a:prstGeom prst="rect">
                      <a:avLst/>
                    </a:prstGeom>
                    <a:noFill/>
                    <a:ln>
                      <a:noFill/>
                    </a:ln>
                  </pic:spPr>
                </pic:pic>
              </a:graphicData>
            </a:graphic>
          </wp:inline>
        </w:drawing>
      </w:r>
    </w:p>
    <w:p w:rsidR="00417FA7" w:rsidRPr="002A60FF" w:rsidRDefault="002A60FF" w:rsidP="00417FA7">
      <w:pPr>
        <w:jc w:val="center"/>
        <w:rPr>
          <w:i/>
          <w:sz w:val="20"/>
          <w:szCs w:val="20"/>
        </w:rPr>
      </w:pPr>
      <w:r w:rsidRPr="002A60FF">
        <w:rPr>
          <w:i/>
          <w:sz w:val="20"/>
          <w:szCs w:val="20"/>
        </w:rPr>
        <w:t>Figure 7</w:t>
      </w:r>
      <w:r w:rsidR="00F6046D">
        <w:rPr>
          <w:i/>
          <w:sz w:val="20"/>
          <w:szCs w:val="20"/>
        </w:rPr>
        <w:t>b</w:t>
      </w:r>
      <w:r w:rsidRPr="002A60FF">
        <w:rPr>
          <w:i/>
          <w:sz w:val="20"/>
          <w:szCs w:val="20"/>
        </w:rPr>
        <w:t>.</w:t>
      </w:r>
      <w:r w:rsidR="00417FA7" w:rsidRPr="002A60FF">
        <w:rPr>
          <w:b/>
          <w:i/>
          <w:sz w:val="20"/>
          <w:szCs w:val="20"/>
        </w:rPr>
        <w:t xml:space="preserve"> </w:t>
      </w:r>
      <w:r w:rsidR="00417FA7" w:rsidRPr="002A60FF">
        <w:rPr>
          <w:i/>
          <w:sz w:val="20"/>
          <w:szCs w:val="20"/>
        </w:rPr>
        <w:t>Real-time data exchange and earthquake data processing (SeisComp3 software)</w:t>
      </w:r>
    </w:p>
    <w:p w:rsidR="00CA34C5" w:rsidRPr="002A60FF" w:rsidRDefault="006C044C" w:rsidP="00551AC7">
      <w:pPr>
        <w:pStyle w:val="Style5"/>
        <w:widowControl/>
        <w:tabs>
          <w:tab w:val="left" w:pos="710"/>
        </w:tabs>
        <w:ind w:firstLine="567"/>
        <w:jc w:val="both"/>
        <w:rPr>
          <w:rFonts w:ascii="Times New Roman" w:hAnsi="Times New Roman"/>
          <w:sz w:val="20"/>
          <w:szCs w:val="20"/>
          <w:lang w:val="mk-MK"/>
        </w:rPr>
      </w:pPr>
      <w:r w:rsidRPr="002A60FF">
        <w:rPr>
          <w:rStyle w:val="hps"/>
          <w:rFonts w:ascii="Times New Roman" w:hAnsi="Times New Roman"/>
          <w:sz w:val="20"/>
          <w:szCs w:val="20"/>
          <w:lang w:val="mk-MK"/>
        </w:rPr>
        <w:t xml:space="preserve"> </w:t>
      </w:r>
    </w:p>
    <w:p w:rsidR="004B0F22" w:rsidRDefault="004B0F22" w:rsidP="00551AC7">
      <w:pPr>
        <w:rPr>
          <w:b/>
          <w:sz w:val="20"/>
          <w:szCs w:val="20"/>
          <w:lang w:val="ru-RU"/>
        </w:rPr>
      </w:pPr>
    </w:p>
    <w:p w:rsidR="00614D07" w:rsidRPr="002A60FF" w:rsidRDefault="00433128" w:rsidP="00551AC7">
      <w:pPr>
        <w:rPr>
          <w:b/>
          <w:color w:val="FF0000"/>
          <w:sz w:val="20"/>
          <w:szCs w:val="20"/>
          <w:lang w:val="en-GB"/>
        </w:rPr>
      </w:pPr>
      <w:r w:rsidRPr="002A60FF">
        <w:rPr>
          <w:b/>
          <w:sz w:val="20"/>
          <w:szCs w:val="20"/>
          <w:lang w:val="ru-RU"/>
        </w:rPr>
        <w:t>3.</w:t>
      </w:r>
      <w:r w:rsidR="00417FA7" w:rsidRPr="002A60FF">
        <w:rPr>
          <w:sz w:val="20"/>
          <w:szCs w:val="20"/>
        </w:rPr>
        <w:t xml:space="preserve"> </w:t>
      </w:r>
      <w:r w:rsidR="00417FA7" w:rsidRPr="002A60FF">
        <w:rPr>
          <w:b/>
          <w:sz w:val="20"/>
          <w:szCs w:val="20"/>
          <w:lang w:val="ru-RU"/>
        </w:rPr>
        <w:t>OBSERVED SEISMICITY IN THE PERIOD 1901-2018</w:t>
      </w:r>
    </w:p>
    <w:p w:rsidR="002A60FF" w:rsidRPr="002A60FF" w:rsidRDefault="00417FA7" w:rsidP="002A60FF">
      <w:pPr>
        <w:pStyle w:val="Default"/>
        <w:jc w:val="both"/>
        <w:rPr>
          <w:rFonts w:ascii="Times New Roman" w:hAnsi="Times New Roman" w:cs="Times New Roman"/>
          <w:sz w:val="20"/>
          <w:szCs w:val="20"/>
        </w:rPr>
      </w:pPr>
      <w:r w:rsidRPr="002A60FF">
        <w:rPr>
          <w:rFonts w:ascii="Times New Roman" w:hAnsi="Times New Roman" w:cs="Times New Roman"/>
          <w:sz w:val="20"/>
          <w:szCs w:val="20"/>
        </w:rPr>
        <w:t>The epicentral map of the earthquakes in the territory of the Republic of North Macedonia and neighboring regions for the period 1901–2018, the neotectonic faults and the stations of the present seismological telemetric network are presented in Fig. 8.</w:t>
      </w:r>
      <w:r w:rsidR="002A60FF" w:rsidRPr="002A60FF">
        <w:rPr>
          <w:rFonts w:ascii="Times New Roman" w:hAnsi="Times New Roman" w:cs="Times New Roman"/>
          <w:sz w:val="20"/>
          <w:szCs w:val="20"/>
        </w:rPr>
        <w:t xml:space="preserve"> </w:t>
      </w:r>
    </w:p>
    <w:p w:rsidR="002A60FF" w:rsidRPr="002A60FF" w:rsidRDefault="002A60FF" w:rsidP="002A60FF">
      <w:pPr>
        <w:pStyle w:val="Default"/>
        <w:jc w:val="both"/>
        <w:rPr>
          <w:rFonts w:ascii="Times New Roman" w:hAnsi="Times New Roman" w:cs="Times New Roman"/>
          <w:sz w:val="20"/>
          <w:szCs w:val="20"/>
        </w:rPr>
      </w:pPr>
      <w:r w:rsidRPr="002A60FF">
        <w:rPr>
          <w:rFonts w:ascii="Times New Roman" w:hAnsi="Times New Roman" w:cs="Times New Roman"/>
          <w:sz w:val="20"/>
          <w:szCs w:val="20"/>
        </w:rPr>
        <w:t xml:space="preserve">The seismicity of the Republic of North Macedonia and neighboring regions is characterized by very frequent seismic microactivity (1.0 &lt; </w:t>
      </w:r>
      <w:r w:rsidRPr="002A60FF">
        <w:rPr>
          <w:rFonts w:ascii="Times New Roman" w:hAnsi="Times New Roman" w:cs="Times New Roman"/>
          <w:i/>
          <w:sz w:val="20"/>
          <w:szCs w:val="20"/>
        </w:rPr>
        <w:t>M</w:t>
      </w:r>
      <w:r w:rsidRPr="002A60FF">
        <w:rPr>
          <w:rFonts w:ascii="Times New Roman" w:hAnsi="Times New Roman" w:cs="Times New Roman"/>
          <w:sz w:val="20"/>
          <w:szCs w:val="20"/>
          <w:vertAlign w:val="subscript"/>
        </w:rPr>
        <w:t>L</w:t>
      </w:r>
      <w:r w:rsidRPr="002A60FF">
        <w:rPr>
          <w:rFonts w:ascii="Times New Roman" w:hAnsi="Times New Roman" w:cs="Times New Roman"/>
          <w:sz w:val="20"/>
          <w:szCs w:val="20"/>
        </w:rPr>
        <w:t xml:space="preserve"> &lt;3.0) a lot of earthquakes with magnitudes 3.0 &lt; </w:t>
      </w:r>
      <w:r w:rsidRPr="002A60FF">
        <w:rPr>
          <w:rFonts w:ascii="Times New Roman" w:hAnsi="Times New Roman" w:cs="Times New Roman"/>
          <w:i/>
          <w:sz w:val="20"/>
          <w:szCs w:val="20"/>
        </w:rPr>
        <w:t>M</w:t>
      </w:r>
      <w:r w:rsidRPr="002A60FF">
        <w:rPr>
          <w:rFonts w:ascii="Times New Roman" w:hAnsi="Times New Roman" w:cs="Times New Roman"/>
          <w:sz w:val="20"/>
          <w:szCs w:val="20"/>
          <w:vertAlign w:val="subscript"/>
        </w:rPr>
        <w:t>L</w:t>
      </w:r>
      <w:r w:rsidRPr="002A60FF">
        <w:rPr>
          <w:rFonts w:ascii="Times New Roman" w:hAnsi="Times New Roman" w:cs="Times New Roman"/>
          <w:sz w:val="20"/>
          <w:szCs w:val="20"/>
        </w:rPr>
        <w:t xml:space="preserve"> &lt; 5.0 and a few earthquakes with magnitude 5.0 &lt; </w:t>
      </w:r>
      <w:r w:rsidRPr="002A60FF">
        <w:rPr>
          <w:rFonts w:ascii="Times New Roman" w:hAnsi="Times New Roman" w:cs="Times New Roman"/>
          <w:i/>
          <w:sz w:val="20"/>
          <w:szCs w:val="20"/>
        </w:rPr>
        <w:t>M</w:t>
      </w:r>
      <w:r w:rsidRPr="002A60FF">
        <w:rPr>
          <w:rFonts w:ascii="Times New Roman" w:hAnsi="Times New Roman" w:cs="Times New Roman"/>
          <w:sz w:val="20"/>
          <w:szCs w:val="20"/>
          <w:vertAlign w:val="subscript"/>
        </w:rPr>
        <w:t>L</w:t>
      </w:r>
      <w:r w:rsidRPr="002A60FF">
        <w:rPr>
          <w:rFonts w:ascii="Times New Roman" w:hAnsi="Times New Roman" w:cs="Times New Roman"/>
          <w:sz w:val="20"/>
          <w:szCs w:val="20"/>
        </w:rPr>
        <w:t xml:space="preserve"> ≤7.0 happened in the past. All this can be connected and is in good agreement with the tectonic activity in the region  [4].</w:t>
      </w:r>
    </w:p>
    <w:p w:rsidR="002A60FF" w:rsidRPr="002A60FF" w:rsidRDefault="002A60FF" w:rsidP="002A60FF">
      <w:pPr>
        <w:pStyle w:val="Default"/>
        <w:jc w:val="both"/>
        <w:rPr>
          <w:rFonts w:ascii="Times New Roman" w:hAnsi="Times New Roman" w:cs="Times New Roman"/>
          <w:sz w:val="20"/>
          <w:szCs w:val="20"/>
        </w:rPr>
      </w:pPr>
      <w:r w:rsidRPr="002A60FF">
        <w:rPr>
          <w:rFonts w:ascii="Times New Roman" w:hAnsi="Times New Roman" w:cs="Times New Roman"/>
          <w:sz w:val="20"/>
          <w:szCs w:val="20"/>
        </w:rPr>
        <w:t>Strong earthquakes are rare (recurrence period equal to 500 years). The predominant hypocentral depths are less than 15 km (upper granite layer of the Earth crust). These data give opportunity to predefinition of the epicentral areas on the territory of Republic of North Macedonia, calculation of many source parameters and the mean velocity of the relative tectonic movement of the fault blocks, as well.</w:t>
      </w:r>
    </w:p>
    <w:p w:rsidR="002A60FF" w:rsidRPr="002A60FF" w:rsidRDefault="002A60FF" w:rsidP="002A60FF">
      <w:pPr>
        <w:pStyle w:val="Default"/>
        <w:jc w:val="both"/>
        <w:rPr>
          <w:rFonts w:ascii="Times New Roman" w:hAnsi="Times New Roman" w:cs="Times New Roman"/>
          <w:sz w:val="20"/>
          <w:szCs w:val="20"/>
        </w:rPr>
      </w:pPr>
      <w:r w:rsidRPr="002A60FF">
        <w:rPr>
          <w:rFonts w:ascii="Times New Roman" w:hAnsi="Times New Roman" w:cs="Times New Roman"/>
          <w:sz w:val="20"/>
          <w:szCs w:val="20"/>
        </w:rPr>
        <w:t xml:space="preserve">It is observed that weak seismic activity was present in the epicentral area Kratovo (a part of the East Macedonia seismic zone), in the epicentral area Kumanovo (a part f the Vardar seismic zone), as well as in the epicentral area of the Pelagonia Anticlinorium (which is a part of the </w:t>
      </w:r>
      <w:r w:rsidRPr="002A60FF">
        <w:rPr>
          <w:rFonts w:ascii="Times New Roman" w:hAnsi="Times New Roman" w:cs="Times New Roman"/>
          <w:iCs/>
          <w:sz w:val="20"/>
          <w:szCs w:val="20"/>
        </w:rPr>
        <w:t xml:space="preserve">West Macedonia seismic zone). As known, the reason for weak seismic activity of this anticlinorium is that it has been being a consolidated block with only oscillatory movement since the Precambrian times (starting 800 to 1,000 millions years ago), and still keeps the structure consisted of relicts of the Earth’s Precambrian crust </w:t>
      </w:r>
      <w:r w:rsidRPr="002A60FF">
        <w:rPr>
          <w:rFonts w:ascii="Times New Roman" w:hAnsi="Times New Roman" w:cs="Times New Roman"/>
          <w:sz w:val="20"/>
          <w:szCs w:val="20"/>
        </w:rPr>
        <w:t xml:space="preserve"> [1]</w:t>
      </w:r>
      <w:r w:rsidRPr="002A60FF">
        <w:rPr>
          <w:rFonts w:ascii="Times New Roman" w:hAnsi="Times New Roman" w:cs="Times New Roman"/>
          <w:iCs/>
          <w:sz w:val="20"/>
          <w:szCs w:val="20"/>
        </w:rPr>
        <w:t>.</w:t>
      </w:r>
    </w:p>
    <w:p w:rsidR="00417FA7" w:rsidRPr="002A60FF" w:rsidRDefault="00417FA7" w:rsidP="00417FA7">
      <w:pPr>
        <w:pStyle w:val="Default"/>
        <w:jc w:val="both"/>
        <w:rPr>
          <w:rFonts w:ascii="Times New Roman" w:hAnsi="Times New Roman" w:cs="Times New Roman"/>
          <w:sz w:val="20"/>
          <w:szCs w:val="20"/>
        </w:rPr>
      </w:pPr>
    </w:p>
    <w:p w:rsidR="00417FA7" w:rsidRPr="002A60FF" w:rsidRDefault="00B63C13" w:rsidP="00417FA7">
      <w:pPr>
        <w:pStyle w:val="Default"/>
        <w:jc w:val="both"/>
        <w:rPr>
          <w:rFonts w:ascii="Times New Roman" w:hAnsi="Times New Roman" w:cs="Times New Roman"/>
          <w:sz w:val="20"/>
          <w:szCs w:val="20"/>
        </w:rPr>
      </w:pPr>
      <w:r w:rsidRPr="002A60FF">
        <w:rPr>
          <w:rFonts w:ascii="Times New Roman" w:hAnsi="Times New Roman" w:cs="Times New Roman"/>
          <w:noProof/>
          <w:sz w:val="20"/>
          <w:szCs w:val="20"/>
          <w:lang w:val="en-US" w:eastAsia="en-US"/>
        </w:rPr>
        <w:lastRenderedPageBreak/>
        <w:drawing>
          <wp:inline distT="0" distB="0" distL="0" distR="0">
            <wp:extent cx="5934075" cy="4338320"/>
            <wp:effectExtent l="0" t="0" r="9525" b="5080"/>
            <wp:docPr id="45" name="Picture 45" descr="EUROCODE8_rand_1901_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EUROCODE8_rand_1901_2018.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4075" cy="4338320"/>
                    </a:xfrm>
                    <a:prstGeom prst="rect">
                      <a:avLst/>
                    </a:prstGeom>
                    <a:noFill/>
                    <a:ln>
                      <a:noFill/>
                    </a:ln>
                  </pic:spPr>
                </pic:pic>
              </a:graphicData>
            </a:graphic>
          </wp:inline>
        </w:drawing>
      </w:r>
    </w:p>
    <w:p w:rsidR="00417FA7" w:rsidRPr="00F6046D" w:rsidRDefault="00F6046D" w:rsidP="00417FA7">
      <w:pPr>
        <w:pStyle w:val="Default"/>
        <w:jc w:val="center"/>
        <w:rPr>
          <w:rFonts w:ascii="Times New Roman" w:hAnsi="Times New Roman" w:cs="Times New Roman"/>
          <w:i/>
          <w:sz w:val="20"/>
          <w:szCs w:val="20"/>
        </w:rPr>
      </w:pPr>
      <w:r w:rsidRPr="00F6046D">
        <w:rPr>
          <w:rFonts w:ascii="Times New Roman" w:hAnsi="Times New Roman" w:cs="Times New Roman"/>
          <w:i/>
          <w:sz w:val="20"/>
          <w:szCs w:val="20"/>
        </w:rPr>
        <w:t>Figure 8.</w:t>
      </w:r>
      <w:r w:rsidR="00417FA7" w:rsidRPr="00F6046D">
        <w:rPr>
          <w:rFonts w:ascii="Times New Roman" w:hAnsi="Times New Roman" w:cs="Times New Roman"/>
          <w:i/>
          <w:sz w:val="20"/>
          <w:szCs w:val="20"/>
        </w:rPr>
        <w:t xml:space="preserve"> Epicentral map of the earthquakes in the territory of the Republic of North Macedonia and neighbouring regions for the period 1901–2018</w:t>
      </w:r>
    </w:p>
    <w:p w:rsidR="004B0F22" w:rsidRDefault="004B0F22" w:rsidP="00551AC7">
      <w:pPr>
        <w:tabs>
          <w:tab w:val="left" w:pos="810"/>
        </w:tabs>
        <w:suppressAutoHyphens w:val="0"/>
        <w:jc w:val="both"/>
        <w:rPr>
          <w:b/>
          <w:sz w:val="20"/>
          <w:szCs w:val="20"/>
          <w:lang w:val="mk-MK"/>
        </w:rPr>
      </w:pPr>
    </w:p>
    <w:p w:rsidR="003D46D8" w:rsidRPr="002A60FF" w:rsidRDefault="003D46D8" w:rsidP="00551AC7">
      <w:pPr>
        <w:tabs>
          <w:tab w:val="left" w:pos="810"/>
        </w:tabs>
        <w:suppressAutoHyphens w:val="0"/>
        <w:jc w:val="both"/>
        <w:rPr>
          <w:b/>
          <w:color w:val="FF0000"/>
          <w:sz w:val="20"/>
          <w:szCs w:val="20"/>
          <w:lang w:val="ru-RU"/>
        </w:rPr>
      </w:pPr>
      <w:r w:rsidRPr="002A60FF">
        <w:rPr>
          <w:b/>
          <w:sz w:val="20"/>
          <w:szCs w:val="20"/>
          <w:lang w:val="mk-MK"/>
        </w:rPr>
        <w:t>4.</w:t>
      </w:r>
      <w:r w:rsidR="00417FA7" w:rsidRPr="002A60FF">
        <w:rPr>
          <w:b/>
          <w:sz w:val="20"/>
          <w:szCs w:val="20"/>
          <w:lang w:val="mk-MK"/>
        </w:rPr>
        <w:t xml:space="preserve"> </w:t>
      </w:r>
      <w:r w:rsidR="00417FA7" w:rsidRPr="002A60FF">
        <w:rPr>
          <w:b/>
          <w:sz w:val="20"/>
          <w:szCs w:val="20"/>
        </w:rPr>
        <w:t>CONCLUSION</w:t>
      </w:r>
      <w:r w:rsidR="00417FA7" w:rsidRPr="002A60FF">
        <w:rPr>
          <w:b/>
          <w:sz w:val="20"/>
          <w:szCs w:val="20"/>
          <w:lang w:val="ru-RU"/>
        </w:rPr>
        <w:t xml:space="preserve"> </w:t>
      </w:r>
    </w:p>
    <w:p w:rsidR="003D46D8" w:rsidRPr="002A60FF" w:rsidRDefault="00417FA7" w:rsidP="008C0FF3">
      <w:pPr>
        <w:tabs>
          <w:tab w:val="left" w:pos="810"/>
        </w:tabs>
        <w:suppressAutoHyphens w:val="0"/>
        <w:jc w:val="both"/>
        <w:rPr>
          <w:sz w:val="20"/>
          <w:szCs w:val="20"/>
          <w:lang w:val="mk-MK"/>
        </w:rPr>
      </w:pPr>
      <w:r w:rsidRPr="002A60FF">
        <w:rPr>
          <w:sz w:val="20"/>
          <w:szCs w:val="20"/>
        </w:rPr>
        <w:t>The seismicity of the Republic of North Macedonia is characterized by the occurrence of earthquakes of low magnitudes and rare occurrence of earthquakes with moderate to moderately strong magnitudes. The earthquakes that occurred were with depths less than 15 km. Present seismic network equiped with up-to-date instrumentation and obtained data give opportunity to predefinition of the epicentral areas on the territory of Republic of North Macedonia, calculation of many source parameters and the mean velocity of the relative tectonic movement of the fault blocks, as well. The results are expected to be important in hazard and risk assessment for the Balkan Peninsula.</w:t>
      </w:r>
    </w:p>
    <w:p w:rsidR="0086191C" w:rsidRPr="002A60FF" w:rsidRDefault="0086191C" w:rsidP="00551AC7">
      <w:pPr>
        <w:tabs>
          <w:tab w:val="left" w:pos="810"/>
        </w:tabs>
        <w:suppressAutoHyphens w:val="0"/>
        <w:ind w:firstLine="600"/>
        <w:jc w:val="both"/>
        <w:rPr>
          <w:b/>
          <w:sz w:val="20"/>
          <w:szCs w:val="20"/>
          <w:lang w:val="en-GB"/>
        </w:rPr>
      </w:pPr>
    </w:p>
    <w:p w:rsidR="003D46D8" w:rsidRPr="002A60FF" w:rsidRDefault="00860F54" w:rsidP="00551AC7">
      <w:pPr>
        <w:tabs>
          <w:tab w:val="left" w:pos="810"/>
        </w:tabs>
        <w:suppressAutoHyphens w:val="0"/>
        <w:jc w:val="both"/>
        <w:rPr>
          <w:sz w:val="20"/>
          <w:szCs w:val="20"/>
        </w:rPr>
      </w:pPr>
      <w:r w:rsidRPr="002A60FF">
        <w:rPr>
          <w:b/>
          <w:sz w:val="20"/>
          <w:szCs w:val="20"/>
          <w:lang w:val="mk-MK"/>
        </w:rPr>
        <w:t>REFERENCES</w:t>
      </w:r>
      <w:r w:rsidR="003D5BC6" w:rsidRPr="002A60FF">
        <w:rPr>
          <w:b/>
          <w:sz w:val="20"/>
          <w:szCs w:val="20"/>
        </w:rPr>
        <w:t xml:space="preserve"> </w:t>
      </w:r>
      <w:r w:rsidR="003D46D8" w:rsidRPr="002A60FF">
        <w:rPr>
          <w:rStyle w:val="FootnoteReference"/>
          <w:sz w:val="20"/>
          <w:szCs w:val="20"/>
          <w:lang w:val="mk-MK"/>
        </w:rPr>
        <w:t xml:space="preserve"> </w:t>
      </w:r>
    </w:p>
    <w:p w:rsidR="00860F54" w:rsidRPr="002A60FF" w:rsidRDefault="00860F54" w:rsidP="00860F54">
      <w:pPr>
        <w:tabs>
          <w:tab w:val="left" w:pos="426"/>
        </w:tabs>
        <w:ind w:left="426" w:right="-198" w:hanging="426"/>
        <w:jc w:val="both"/>
        <w:rPr>
          <w:sz w:val="20"/>
          <w:szCs w:val="20"/>
          <w:highlight w:val="yellow"/>
        </w:rPr>
      </w:pPr>
    </w:p>
    <w:p w:rsidR="00860F54" w:rsidRPr="002A60FF" w:rsidRDefault="00860F54" w:rsidP="00860F54">
      <w:pPr>
        <w:pStyle w:val="ReferencesText"/>
        <w:numPr>
          <w:ilvl w:val="0"/>
          <w:numId w:val="12"/>
        </w:numPr>
        <w:ind w:left="426" w:hanging="426"/>
        <w:jc w:val="both"/>
        <w:rPr>
          <w:lang w:val="en-US"/>
        </w:rPr>
      </w:pPr>
      <w:r w:rsidRPr="002A60FF">
        <w:rPr>
          <w:lang w:val="mk-MK"/>
        </w:rPr>
        <w:t>Арсовски, М. (1997),</w:t>
      </w:r>
      <w:r w:rsidRPr="002A60FF">
        <w:rPr>
          <w:lang w:val="en-US"/>
        </w:rPr>
        <w:t xml:space="preserve"> </w:t>
      </w:r>
      <w:r w:rsidRPr="002A60FF">
        <w:rPr>
          <w:lang w:val="ru-RU"/>
        </w:rPr>
        <w:t>Тектоника</w:t>
      </w:r>
      <w:r w:rsidRPr="002A60FF">
        <w:rPr>
          <w:lang w:val="en-US"/>
        </w:rPr>
        <w:t xml:space="preserve"> </w:t>
      </w:r>
      <w:r w:rsidRPr="002A60FF">
        <w:rPr>
          <w:lang w:val="ru-RU"/>
        </w:rPr>
        <w:t>на</w:t>
      </w:r>
      <w:r w:rsidRPr="002A60FF">
        <w:rPr>
          <w:lang w:val="mk-MK"/>
        </w:rPr>
        <w:t xml:space="preserve"> Македонија, Рударско-геолошки факултет, Штип.</w:t>
      </w:r>
    </w:p>
    <w:p w:rsidR="00860F54" w:rsidRPr="002A60FF" w:rsidRDefault="00860F54" w:rsidP="00860F54">
      <w:pPr>
        <w:pStyle w:val="ReferencesText"/>
        <w:numPr>
          <w:ilvl w:val="0"/>
          <w:numId w:val="12"/>
        </w:numPr>
        <w:ind w:left="426" w:hanging="426"/>
        <w:jc w:val="both"/>
        <w:rPr>
          <w:iCs/>
          <w:lang w:val="mk-MK"/>
        </w:rPr>
      </w:pPr>
      <w:r w:rsidRPr="002A60FF">
        <w:rPr>
          <w:iCs/>
          <w:lang w:val="mk-MK"/>
        </w:rPr>
        <w:t>Хаџиевски, Д. (1976б), Сеизмичност на територијата на С. Р. Македонија, Сеизмолошка опсерваторија на Универзитетот "Кирил и Методиј", Скопје.</w:t>
      </w:r>
    </w:p>
    <w:p w:rsidR="00860F54" w:rsidRPr="002A60FF" w:rsidRDefault="00860F54" w:rsidP="00860F54">
      <w:pPr>
        <w:pStyle w:val="ReferencesText"/>
        <w:numPr>
          <w:ilvl w:val="0"/>
          <w:numId w:val="12"/>
        </w:numPr>
        <w:ind w:left="426" w:hanging="426"/>
        <w:jc w:val="both"/>
        <w:rPr>
          <w:lang w:val="ru-RU"/>
        </w:rPr>
      </w:pPr>
      <w:r w:rsidRPr="002A60FF">
        <w:rPr>
          <w:lang w:val="mk-MK"/>
        </w:rPr>
        <w:t>Ј</w:t>
      </w:r>
      <w:r w:rsidRPr="002A60FF">
        <w:rPr>
          <w:lang w:val="ru-RU"/>
        </w:rPr>
        <w:t xml:space="preserve">ордановски, </w:t>
      </w:r>
      <w:r w:rsidRPr="002A60FF">
        <w:rPr>
          <w:lang w:val="mk-MK"/>
        </w:rPr>
        <w:t>Љ</w:t>
      </w:r>
      <w:r w:rsidRPr="002A60FF">
        <w:rPr>
          <w:lang w:val="ru-RU"/>
        </w:rPr>
        <w:t xml:space="preserve">., </w:t>
      </w:r>
      <w:r w:rsidRPr="002A60FF">
        <w:rPr>
          <w:lang w:val="mk-MK"/>
        </w:rPr>
        <w:t>П</w:t>
      </w:r>
      <w:r w:rsidRPr="002A60FF">
        <w:rPr>
          <w:lang w:val="ru-RU"/>
        </w:rPr>
        <w:t xml:space="preserve">екевски, </w:t>
      </w:r>
      <w:r w:rsidRPr="002A60FF">
        <w:rPr>
          <w:lang w:val="mk-MK"/>
        </w:rPr>
        <w:t>Л</w:t>
      </w:r>
      <w:r w:rsidRPr="002A60FF">
        <w:rPr>
          <w:lang w:val="ru-RU"/>
        </w:rPr>
        <w:t xml:space="preserve">., </w:t>
      </w:r>
      <w:r w:rsidRPr="002A60FF">
        <w:rPr>
          <w:lang w:val="mk-MK"/>
        </w:rPr>
        <w:t>Ч</w:t>
      </w:r>
      <w:r w:rsidRPr="002A60FF">
        <w:rPr>
          <w:lang w:val="ru-RU"/>
        </w:rPr>
        <w:t xml:space="preserve">ејковска, </w:t>
      </w:r>
      <w:r w:rsidRPr="002A60FF">
        <w:rPr>
          <w:lang w:val="mk-MK"/>
        </w:rPr>
        <w:t>В</w:t>
      </w:r>
      <w:r w:rsidRPr="002A60FF">
        <w:rPr>
          <w:lang w:val="ru-RU"/>
        </w:rPr>
        <w:t xml:space="preserve">., </w:t>
      </w:r>
      <w:r w:rsidRPr="002A60FF">
        <w:rPr>
          <w:lang w:val="mk-MK"/>
        </w:rPr>
        <w:t>Ч</w:t>
      </w:r>
      <w:r w:rsidRPr="002A60FF">
        <w:rPr>
          <w:lang w:val="ru-RU"/>
        </w:rPr>
        <w:t xml:space="preserve">ерних, </w:t>
      </w:r>
      <w:r w:rsidRPr="002A60FF">
        <w:rPr>
          <w:lang w:val="mk-MK"/>
        </w:rPr>
        <w:t>Д</w:t>
      </w:r>
      <w:r w:rsidRPr="002A60FF">
        <w:rPr>
          <w:lang w:val="ru-RU"/>
        </w:rPr>
        <w:t xml:space="preserve">., </w:t>
      </w:r>
      <w:r w:rsidRPr="002A60FF">
        <w:rPr>
          <w:lang w:val="mk-MK"/>
        </w:rPr>
        <w:t>Х</w:t>
      </w:r>
      <w:r w:rsidRPr="002A60FF">
        <w:rPr>
          <w:lang w:val="ru-RU"/>
        </w:rPr>
        <w:t xml:space="preserve">ристовски, </w:t>
      </w:r>
      <w:r w:rsidRPr="002A60FF">
        <w:rPr>
          <w:lang w:val="mk-MK"/>
        </w:rPr>
        <w:t>Б</w:t>
      </w:r>
      <w:r w:rsidRPr="002A60FF">
        <w:rPr>
          <w:lang w:val="ru-RU"/>
        </w:rPr>
        <w:t xml:space="preserve">. и </w:t>
      </w:r>
      <w:r w:rsidRPr="002A60FF">
        <w:rPr>
          <w:lang w:val="mk-MK"/>
        </w:rPr>
        <w:t>В</w:t>
      </w:r>
      <w:r w:rsidRPr="002A60FF">
        <w:rPr>
          <w:lang w:val="ru-RU"/>
        </w:rPr>
        <w:t xml:space="preserve">асилевски, </w:t>
      </w:r>
      <w:r w:rsidRPr="002A60FF">
        <w:rPr>
          <w:lang w:val="mk-MK"/>
        </w:rPr>
        <w:t>Н</w:t>
      </w:r>
      <w:r w:rsidRPr="002A60FF">
        <w:rPr>
          <w:lang w:val="ru-RU"/>
        </w:rPr>
        <w:t xml:space="preserve">. (1998), </w:t>
      </w:r>
      <w:r w:rsidRPr="002A60FF">
        <w:rPr>
          <w:lang w:val="mk-MK"/>
        </w:rPr>
        <w:t>О</w:t>
      </w:r>
      <w:r w:rsidRPr="002A60FF">
        <w:rPr>
          <w:lang w:val="ru-RU"/>
        </w:rPr>
        <w:t xml:space="preserve">сновни карактеристики на сеизмичноста на територијата на </w:t>
      </w:r>
      <w:r w:rsidRPr="002A60FF">
        <w:rPr>
          <w:lang w:val="mk-MK"/>
        </w:rPr>
        <w:t>Р</w:t>
      </w:r>
      <w:r w:rsidRPr="002A60FF">
        <w:rPr>
          <w:lang w:val="ru-RU"/>
        </w:rPr>
        <w:t xml:space="preserve">епублика </w:t>
      </w:r>
      <w:r w:rsidRPr="002A60FF">
        <w:rPr>
          <w:lang w:val="mk-MK"/>
        </w:rPr>
        <w:t>М</w:t>
      </w:r>
      <w:r w:rsidRPr="002A60FF">
        <w:rPr>
          <w:lang w:val="ru-RU"/>
        </w:rPr>
        <w:t xml:space="preserve">акедонија. </w:t>
      </w:r>
      <w:r w:rsidRPr="002A60FF">
        <w:rPr>
          <w:lang w:val="mk-MK"/>
        </w:rPr>
        <w:t>У</w:t>
      </w:r>
      <w:r w:rsidRPr="002A60FF">
        <w:rPr>
          <w:lang w:val="ru-RU"/>
        </w:rPr>
        <w:t>ниверзитет “</w:t>
      </w:r>
      <w:r w:rsidRPr="002A60FF">
        <w:rPr>
          <w:lang w:val="mk-MK"/>
        </w:rPr>
        <w:t>Св. Кирил и Методиј”, Природно-математички факултет, Сеизмолошка опсерваторија</w:t>
      </w:r>
      <w:r w:rsidRPr="002A60FF">
        <w:rPr>
          <w:lang w:val="ru-RU"/>
        </w:rPr>
        <w:t>,</w:t>
      </w:r>
      <w:r w:rsidRPr="002A60FF">
        <w:rPr>
          <w:lang w:val="mk-MK"/>
        </w:rPr>
        <w:t xml:space="preserve"> Скопје</w:t>
      </w:r>
      <w:r w:rsidRPr="002A60FF">
        <w:rPr>
          <w:lang w:val="ru-RU"/>
        </w:rPr>
        <w:t>.</w:t>
      </w:r>
    </w:p>
    <w:p w:rsidR="00860F54" w:rsidRPr="002A60FF" w:rsidRDefault="00860F54" w:rsidP="00860F54">
      <w:pPr>
        <w:pStyle w:val="ReferencesText"/>
        <w:numPr>
          <w:ilvl w:val="0"/>
          <w:numId w:val="12"/>
        </w:numPr>
        <w:ind w:left="426" w:hanging="426"/>
        <w:jc w:val="both"/>
        <w:rPr>
          <w:lang w:val="en-US"/>
        </w:rPr>
      </w:pPr>
      <w:r w:rsidRPr="002A60FF">
        <w:rPr>
          <w:lang w:val="en-US"/>
        </w:rPr>
        <w:t>SORM</w:t>
      </w:r>
      <w:r w:rsidRPr="002A60FF">
        <w:rPr>
          <w:lang w:val="ru-RU"/>
        </w:rPr>
        <w:t xml:space="preserve"> – </w:t>
      </w:r>
      <w:r w:rsidRPr="002A60FF">
        <w:rPr>
          <w:lang w:val="mk-MK"/>
        </w:rPr>
        <w:t>Сеизмолошка опсерваторија во Скопје (1991–201</w:t>
      </w:r>
      <w:r w:rsidRPr="002A60FF">
        <w:rPr>
          <w:lang w:val="en-US"/>
        </w:rPr>
        <w:t>8</w:t>
      </w:r>
      <w:r w:rsidRPr="002A60FF">
        <w:rPr>
          <w:lang w:val="mk-MK"/>
        </w:rPr>
        <w:t xml:space="preserve">), Каталози </w:t>
      </w:r>
      <w:r w:rsidRPr="002A60FF">
        <w:rPr>
          <w:lang w:val="ru-RU"/>
        </w:rPr>
        <w:t xml:space="preserve">на земјотресите во Република Македонија и пограничните подрачја за годините </w:t>
      </w:r>
      <w:r w:rsidRPr="002A60FF">
        <w:rPr>
          <w:lang w:val="mk-MK"/>
        </w:rPr>
        <w:t>1991–201</w:t>
      </w:r>
      <w:r w:rsidRPr="002A60FF">
        <w:rPr>
          <w:lang w:val="en-US"/>
        </w:rPr>
        <w:t>8</w:t>
      </w:r>
      <w:r w:rsidRPr="002A60FF">
        <w:rPr>
          <w:lang w:val="mk-MK"/>
        </w:rPr>
        <w:t xml:space="preserve">, Фонд на </w:t>
      </w:r>
      <w:r w:rsidRPr="002A60FF">
        <w:rPr>
          <w:lang w:val="ru-RU"/>
        </w:rPr>
        <w:t>Сеизмолошката опсерваторија при Природно-математичкиот факултет – Скопје.</w:t>
      </w:r>
    </w:p>
    <w:p w:rsidR="008C0FF3" w:rsidRPr="002A60FF" w:rsidRDefault="008C0FF3" w:rsidP="00551AC7">
      <w:pPr>
        <w:autoSpaceDE w:val="0"/>
        <w:autoSpaceDN w:val="0"/>
        <w:adjustRightInd w:val="0"/>
        <w:rPr>
          <w:sz w:val="20"/>
          <w:szCs w:val="20"/>
        </w:rPr>
      </w:pPr>
    </w:p>
    <w:sectPr w:rsidR="008C0FF3" w:rsidRPr="002A60FF" w:rsidSect="00AE7A82">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1DD5" w:rsidRDefault="00DD1DD5" w:rsidP="006C044C">
      <w:r>
        <w:separator/>
      </w:r>
    </w:p>
  </w:endnote>
  <w:endnote w:type="continuationSeparator" w:id="0">
    <w:p w:rsidR="00DD1DD5" w:rsidRDefault="00DD1DD5" w:rsidP="006C04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CC"/>
    <w:family w:val="swiss"/>
    <w:pitch w:val="variable"/>
    <w:sig w:usb0="00000287" w:usb1="00000003"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w:altName w:val="Times New Roman"/>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1DD5" w:rsidRDefault="00DD1DD5" w:rsidP="006C044C">
      <w:r>
        <w:separator/>
      </w:r>
    </w:p>
  </w:footnote>
  <w:footnote w:type="continuationSeparator" w:id="0">
    <w:p w:rsidR="00DD1DD5" w:rsidRDefault="00DD1DD5" w:rsidP="006C04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1"/>
    <w:lvl w:ilvl="0">
      <w:start w:val="1"/>
      <w:numFmt w:val="bullet"/>
      <w:lvlText w:val=""/>
      <w:lvlJc w:val="left"/>
      <w:pPr>
        <w:tabs>
          <w:tab w:val="num" w:pos="644"/>
        </w:tabs>
        <w:ind w:left="644" w:hanging="360"/>
      </w:pPr>
      <w:rPr>
        <w:rFonts w:ascii="Symbol" w:hAnsi="Symbol"/>
      </w:rPr>
    </w:lvl>
  </w:abstractNum>
  <w:abstractNum w:abstractNumId="1">
    <w:nsid w:val="000F7750"/>
    <w:multiLevelType w:val="hybridMultilevel"/>
    <w:tmpl w:val="AFC46106"/>
    <w:lvl w:ilvl="0" w:tplc="40F2D316">
      <w:start w:val="6"/>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
    <w:nsid w:val="041B3BAA"/>
    <w:multiLevelType w:val="hybridMultilevel"/>
    <w:tmpl w:val="4332676C"/>
    <w:lvl w:ilvl="0" w:tplc="0FAEFD4A">
      <w:start w:val="1"/>
      <w:numFmt w:val="decimal"/>
      <w:pStyle w:val="a"/>
      <w:lvlText w:val="[%1]"/>
      <w:lvlJc w:val="left"/>
      <w:pPr>
        <w:ind w:left="420" w:hanging="420"/>
      </w:pPr>
      <w:rPr>
        <w:rFonts w:cs="Times New Roman"/>
        <w:color w:val="00000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831674B"/>
    <w:multiLevelType w:val="hybridMultilevel"/>
    <w:tmpl w:val="1C009808"/>
    <w:lvl w:ilvl="0" w:tplc="95D44EF2">
      <w:start w:val="1"/>
      <w:numFmt w:val="decimal"/>
      <w:lvlText w:val="%1."/>
      <w:lvlJc w:val="left"/>
      <w:pPr>
        <w:tabs>
          <w:tab w:val="num" w:pos="960"/>
        </w:tabs>
        <w:ind w:left="960" w:hanging="360"/>
      </w:pPr>
      <w:rPr>
        <w:rFonts w:hint="default"/>
      </w:rPr>
    </w:lvl>
    <w:lvl w:ilvl="1" w:tplc="08090019" w:tentative="1">
      <w:start w:val="1"/>
      <w:numFmt w:val="lowerLetter"/>
      <w:lvlText w:val="%2."/>
      <w:lvlJc w:val="left"/>
      <w:pPr>
        <w:tabs>
          <w:tab w:val="num" w:pos="1680"/>
        </w:tabs>
        <w:ind w:left="1680" w:hanging="360"/>
      </w:pPr>
    </w:lvl>
    <w:lvl w:ilvl="2" w:tplc="0809001B" w:tentative="1">
      <w:start w:val="1"/>
      <w:numFmt w:val="lowerRoman"/>
      <w:lvlText w:val="%3."/>
      <w:lvlJc w:val="right"/>
      <w:pPr>
        <w:tabs>
          <w:tab w:val="num" w:pos="2400"/>
        </w:tabs>
        <w:ind w:left="2400" w:hanging="180"/>
      </w:pPr>
    </w:lvl>
    <w:lvl w:ilvl="3" w:tplc="0809000F" w:tentative="1">
      <w:start w:val="1"/>
      <w:numFmt w:val="decimal"/>
      <w:lvlText w:val="%4."/>
      <w:lvlJc w:val="left"/>
      <w:pPr>
        <w:tabs>
          <w:tab w:val="num" w:pos="3120"/>
        </w:tabs>
        <w:ind w:left="3120" w:hanging="360"/>
      </w:pPr>
    </w:lvl>
    <w:lvl w:ilvl="4" w:tplc="08090019" w:tentative="1">
      <w:start w:val="1"/>
      <w:numFmt w:val="lowerLetter"/>
      <w:lvlText w:val="%5."/>
      <w:lvlJc w:val="left"/>
      <w:pPr>
        <w:tabs>
          <w:tab w:val="num" w:pos="3840"/>
        </w:tabs>
        <w:ind w:left="3840" w:hanging="360"/>
      </w:pPr>
    </w:lvl>
    <w:lvl w:ilvl="5" w:tplc="0809001B" w:tentative="1">
      <w:start w:val="1"/>
      <w:numFmt w:val="lowerRoman"/>
      <w:lvlText w:val="%6."/>
      <w:lvlJc w:val="right"/>
      <w:pPr>
        <w:tabs>
          <w:tab w:val="num" w:pos="4560"/>
        </w:tabs>
        <w:ind w:left="4560" w:hanging="180"/>
      </w:pPr>
    </w:lvl>
    <w:lvl w:ilvl="6" w:tplc="0809000F" w:tentative="1">
      <w:start w:val="1"/>
      <w:numFmt w:val="decimal"/>
      <w:lvlText w:val="%7."/>
      <w:lvlJc w:val="left"/>
      <w:pPr>
        <w:tabs>
          <w:tab w:val="num" w:pos="5280"/>
        </w:tabs>
        <w:ind w:left="5280" w:hanging="360"/>
      </w:pPr>
    </w:lvl>
    <w:lvl w:ilvl="7" w:tplc="08090019" w:tentative="1">
      <w:start w:val="1"/>
      <w:numFmt w:val="lowerLetter"/>
      <w:lvlText w:val="%8."/>
      <w:lvlJc w:val="left"/>
      <w:pPr>
        <w:tabs>
          <w:tab w:val="num" w:pos="6000"/>
        </w:tabs>
        <w:ind w:left="6000" w:hanging="360"/>
      </w:pPr>
    </w:lvl>
    <w:lvl w:ilvl="8" w:tplc="0809001B" w:tentative="1">
      <w:start w:val="1"/>
      <w:numFmt w:val="lowerRoman"/>
      <w:lvlText w:val="%9."/>
      <w:lvlJc w:val="right"/>
      <w:pPr>
        <w:tabs>
          <w:tab w:val="num" w:pos="6720"/>
        </w:tabs>
        <w:ind w:left="6720" w:hanging="180"/>
      </w:pPr>
    </w:lvl>
  </w:abstractNum>
  <w:abstractNum w:abstractNumId="4">
    <w:nsid w:val="1F6B7E25"/>
    <w:multiLevelType w:val="hybridMultilevel"/>
    <w:tmpl w:val="3D728E06"/>
    <w:lvl w:ilvl="0" w:tplc="75387F1E">
      <w:start w:val="1"/>
      <w:numFmt w:val="decimal"/>
      <w:lvlText w:val="%1."/>
      <w:lvlJc w:val="left"/>
      <w:pPr>
        <w:tabs>
          <w:tab w:val="num" w:pos="960"/>
        </w:tabs>
        <w:ind w:left="960" w:hanging="36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5">
    <w:nsid w:val="1FF00291"/>
    <w:multiLevelType w:val="hybridMultilevel"/>
    <w:tmpl w:val="75526D84"/>
    <w:lvl w:ilvl="0" w:tplc="B44EC3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BB15FF6"/>
    <w:multiLevelType w:val="hybridMultilevel"/>
    <w:tmpl w:val="57A4983C"/>
    <w:lvl w:ilvl="0" w:tplc="79D09A0C">
      <w:start w:val="3"/>
      <w:numFmt w:val="decimal"/>
      <w:lvlText w:val="%1."/>
      <w:lvlJc w:val="left"/>
      <w:pPr>
        <w:ind w:left="960" w:hanging="360"/>
      </w:pPr>
      <w:rPr>
        <w:rFonts w:hint="default"/>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7">
    <w:nsid w:val="38FF5796"/>
    <w:multiLevelType w:val="hybridMultilevel"/>
    <w:tmpl w:val="B2FE39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622F6"/>
    <w:multiLevelType w:val="hybridMultilevel"/>
    <w:tmpl w:val="9FACF488"/>
    <w:lvl w:ilvl="0" w:tplc="0E202794">
      <w:start w:val="5"/>
      <w:numFmt w:val="decimal"/>
      <w:lvlText w:val="%1"/>
      <w:lvlJc w:val="left"/>
      <w:pPr>
        <w:tabs>
          <w:tab w:val="num" w:pos="600"/>
        </w:tabs>
        <w:ind w:left="600" w:hanging="360"/>
      </w:pPr>
      <w:rPr>
        <w:rFonts w:hint="default"/>
        <w:sz w:val="26"/>
      </w:rPr>
    </w:lvl>
    <w:lvl w:ilvl="1" w:tplc="08090019" w:tentative="1">
      <w:start w:val="1"/>
      <w:numFmt w:val="lowerLetter"/>
      <w:lvlText w:val="%2."/>
      <w:lvlJc w:val="left"/>
      <w:pPr>
        <w:tabs>
          <w:tab w:val="num" w:pos="1320"/>
        </w:tabs>
        <w:ind w:left="1320" w:hanging="360"/>
      </w:pPr>
    </w:lvl>
    <w:lvl w:ilvl="2" w:tplc="0809001B" w:tentative="1">
      <w:start w:val="1"/>
      <w:numFmt w:val="lowerRoman"/>
      <w:lvlText w:val="%3."/>
      <w:lvlJc w:val="right"/>
      <w:pPr>
        <w:tabs>
          <w:tab w:val="num" w:pos="2040"/>
        </w:tabs>
        <w:ind w:left="2040" w:hanging="180"/>
      </w:pPr>
    </w:lvl>
    <w:lvl w:ilvl="3" w:tplc="0809000F" w:tentative="1">
      <w:start w:val="1"/>
      <w:numFmt w:val="decimal"/>
      <w:lvlText w:val="%4."/>
      <w:lvlJc w:val="left"/>
      <w:pPr>
        <w:tabs>
          <w:tab w:val="num" w:pos="2760"/>
        </w:tabs>
        <w:ind w:left="2760" w:hanging="360"/>
      </w:pPr>
    </w:lvl>
    <w:lvl w:ilvl="4" w:tplc="08090019" w:tentative="1">
      <w:start w:val="1"/>
      <w:numFmt w:val="lowerLetter"/>
      <w:lvlText w:val="%5."/>
      <w:lvlJc w:val="left"/>
      <w:pPr>
        <w:tabs>
          <w:tab w:val="num" w:pos="3480"/>
        </w:tabs>
        <w:ind w:left="3480" w:hanging="360"/>
      </w:pPr>
    </w:lvl>
    <w:lvl w:ilvl="5" w:tplc="0809001B" w:tentative="1">
      <w:start w:val="1"/>
      <w:numFmt w:val="lowerRoman"/>
      <w:lvlText w:val="%6."/>
      <w:lvlJc w:val="right"/>
      <w:pPr>
        <w:tabs>
          <w:tab w:val="num" w:pos="4200"/>
        </w:tabs>
        <w:ind w:left="4200" w:hanging="180"/>
      </w:pPr>
    </w:lvl>
    <w:lvl w:ilvl="6" w:tplc="0809000F" w:tentative="1">
      <w:start w:val="1"/>
      <w:numFmt w:val="decimal"/>
      <w:lvlText w:val="%7."/>
      <w:lvlJc w:val="left"/>
      <w:pPr>
        <w:tabs>
          <w:tab w:val="num" w:pos="4920"/>
        </w:tabs>
        <w:ind w:left="4920" w:hanging="360"/>
      </w:pPr>
    </w:lvl>
    <w:lvl w:ilvl="7" w:tplc="08090019" w:tentative="1">
      <w:start w:val="1"/>
      <w:numFmt w:val="lowerLetter"/>
      <w:lvlText w:val="%8."/>
      <w:lvlJc w:val="left"/>
      <w:pPr>
        <w:tabs>
          <w:tab w:val="num" w:pos="5640"/>
        </w:tabs>
        <w:ind w:left="5640" w:hanging="360"/>
      </w:pPr>
    </w:lvl>
    <w:lvl w:ilvl="8" w:tplc="0809001B" w:tentative="1">
      <w:start w:val="1"/>
      <w:numFmt w:val="lowerRoman"/>
      <w:lvlText w:val="%9."/>
      <w:lvlJc w:val="right"/>
      <w:pPr>
        <w:tabs>
          <w:tab w:val="num" w:pos="6360"/>
        </w:tabs>
        <w:ind w:left="6360" w:hanging="180"/>
      </w:pPr>
    </w:lvl>
  </w:abstractNum>
  <w:abstractNum w:abstractNumId="9">
    <w:nsid w:val="4D992785"/>
    <w:multiLevelType w:val="hybridMultilevel"/>
    <w:tmpl w:val="E1D40CC6"/>
    <w:lvl w:ilvl="0" w:tplc="4A749CA4">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79C2865"/>
    <w:multiLevelType w:val="hybridMultilevel"/>
    <w:tmpl w:val="DF52E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E557646"/>
    <w:multiLevelType w:val="hybridMultilevel"/>
    <w:tmpl w:val="507AA8EE"/>
    <w:lvl w:ilvl="0" w:tplc="4E1281D6">
      <w:start w:val="5"/>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4"/>
  </w:num>
  <w:num w:numId="3">
    <w:abstractNumId w:val="6"/>
  </w:num>
  <w:num w:numId="4">
    <w:abstractNumId w:val="7"/>
  </w:num>
  <w:num w:numId="5">
    <w:abstractNumId w:val="3"/>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8"/>
  </w:num>
  <w:num w:numId="9">
    <w:abstractNumId w:val="1"/>
  </w:num>
  <w:num w:numId="10">
    <w:abstractNumId w:val="9"/>
  </w:num>
  <w:num w:numId="11">
    <w:abstractNumId w:val="1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44C"/>
    <w:rsid w:val="00031C85"/>
    <w:rsid w:val="0003515C"/>
    <w:rsid w:val="000379E9"/>
    <w:rsid w:val="000463DA"/>
    <w:rsid w:val="00054C4A"/>
    <w:rsid w:val="0006036B"/>
    <w:rsid w:val="00107186"/>
    <w:rsid w:val="00114740"/>
    <w:rsid w:val="001218F1"/>
    <w:rsid w:val="001328C3"/>
    <w:rsid w:val="001644EE"/>
    <w:rsid w:val="00181E35"/>
    <w:rsid w:val="00182A2E"/>
    <w:rsid w:val="001C1778"/>
    <w:rsid w:val="001F4750"/>
    <w:rsid w:val="00226CC1"/>
    <w:rsid w:val="0023616B"/>
    <w:rsid w:val="00237520"/>
    <w:rsid w:val="00246828"/>
    <w:rsid w:val="002A60FF"/>
    <w:rsid w:val="002D75CA"/>
    <w:rsid w:val="002E2001"/>
    <w:rsid w:val="002F7C94"/>
    <w:rsid w:val="00300B32"/>
    <w:rsid w:val="00323B77"/>
    <w:rsid w:val="00374466"/>
    <w:rsid w:val="003D46D8"/>
    <w:rsid w:val="003D5BC6"/>
    <w:rsid w:val="00401FC9"/>
    <w:rsid w:val="00417FA7"/>
    <w:rsid w:val="00433128"/>
    <w:rsid w:val="004B0F22"/>
    <w:rsid w:val="004C4E2B"/>
    <w:rsid w:val="004C6F47"/>
    <w:rsid w:val="004D06B1"/>
    <w:rsid w:val="00542EF6"/>
    <w:rsid w:val="00551AC7"/>
    <w:rsid w:val="0055576A"/>
    <w:rsid w:val="005C7330"/>
    <w:rsid w:val="005E50FA"/>
    <w:rsid w:val="00614D07"/>
    <w:rsid w:val="006224B7"/>
    <w:rsid w:val="00623189"/>
    <w:rsid w:val="00641DA2"/>
    <w:rsid w:val="006A0374"/>
    <w:rsid w:val="006C044C"/>
    <w:rsid w:val="006D7C0C"/>
    <w:rsid w:val="006E55D0"/>
    <w:rsid w:val="006E7487"/>
    <w:rsid w:val="00745D0B"/>
    <w:rsid w:val="00762C80"/>
    <w:rsid w:val="007B3E27"/>
    <w:rsid w:val="007D5027"/>
    <w:rsid w:val="007E0C65"/>
    <w:rsid w:val="00801278"/>
    <w:rsid w:val="00805BE2"/>
    <w:rsid w:val="00812CB3"/>
    <w:rsid w:val="00860F54"/>
    <w:rsid w:val="0086191C"/>
    <w:rsid w:val="00883CCD"/>
    <w:rsid w:val="00893E92"/>
    <w:rsid w:val="008C0FF3"/>
    <w:rsid w:val="008E319A"/>
    <w:rsid w:val="008F7A81"/>
    <w:rsid w:val="00996D51"/>
    <w:rsid w:val="009A2B6E"/>
    <w:rsid w:val="009E425E"/>
    <w:rsid w:val="00A20E61"/>
    <w:rsid w:val="00A73399"/>
    <w:rsid w:val="00A80E55"/>
    <w:rsid w:val="00A81E03"/>
    <w:rsid w:val="00A83C47"/>
    <w:rsid w:val="00A9429A"/>
    <w:rsid w:val="00AE7A82"/>
    <w:rsid w:val="00B04B81"/>
    <w:rsid w:val="00B20C93"/>
    <w:rsid w:val="00B63C13"/>
    <w:rsid w:val="00B956A3"/>
    <w:rsid w:val="00BB4050"/>
    <w:rsid w:val="00BC4575"/>
    <w:rsid w:val="00BD6C74"/>
    <w:rsid w:val="00BF56C8"/>
    <w:rsid w:val="00C26A24"/>
    <w:rsid w:val="00C33B61"/>
    <w:rsid w:val="00CA204F"/>
    <w:rsid w:val="00CA34C5"/>
    <w:rsid w:val="00CC37E2"/>
    <w:rsid w:val="00CF15B1"/>
    <w:rsid w:val="00CF3D71"/>
    <w:rsid w:val="00D069A2"/>
    <w:rsid w:val="00D2467B"/>
    <w:rsid w:val="00D514E6"/>
    <w:rsid w:val="00D652AE"/>
    <w:rsid w:val="00D7297C"/>
    <w:rsid w:val="00DD1DD5"/>
    <w:rsid w:val="00DE23C0"/>
    <w:rsid w:val="00DF2A60"/>
    <w:rsid w:val="00E00064"/>
    <w:rsid w:val="00E91A31"/>
    <w:rsid w:val="00F2153C"/>
    <w:rsid w:val="00F44071"/>
    <w:rsid w:val="00F5562A"/>
    <w:rsid w:val="00F6046D"/>
    <w:rsid w:val="00F73696"/>
    <w:rsid w:val="00F84F3D"/>
    <w:rsid w:val="00FB4ADA"/>
    <w:rsid w:val="00FD7A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EA2E59-9983-4558-B842-6CA3AFE81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044C"/>
    <w:pPr>
      <w:suppressAutoHyphens/>
    </w:pPr>
    <w:rPr>
      <w:rFonts w:ascii="Times New Roman" w:eastAsia="Times New Roman" w:hAnsi="Times New Roman"/>
      <w:sz w:val="24"/>
      <w:szCs w:val="24"/>
      <w:lang w:eastAsia="ar-SA"/>
    </w:rPr>
  </w:style>
  <w:style w:type="paragraph" w:styleId="Heading2">
    <w:name w:val="heading 2"/>
    <w:basedOn w:val="Normal"/>
    <w:link w:val="Heading2Char"/>
    <w:qFormat/>
    <w:rsid w:val="006C044C"/>
    <w:pPr>
      <w:suppressAutoHyphens w:val="0"/>
      <w:spacing w:before="100" w:beforeAutospacing="1" w:after="100" w:afterAutospacing="1"/>
      <w:outlineLvl w:val="1"/>
    </w:pPr>
    <w:rPr>
      <w:b/>
      <w:bCs/>
      <w:sz w:val="36"/>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ongtext">
    <w:name w:val="long_text"/>
    <w:basedOn w:val="DefaultParagraphFont"/>
    <w:rsid w:val="006C044C"/>
  </w:style>
  <w:style w:type="character" w:customStyle="1" w:styleId="Heading2Char">
    <w:name w:val="Heading 2 Char"/>
    <w:link w:val="Heading2"/>
    <w:rsid w:val="006C044C"/>
    <w:rPr>
      <w:rFonts w:ascii="Times New Roman" w:eastAsia="Times New Roman" w:hAnsi="Times New Roman" w:cs="Times New Roman"/>
      <w:b/>
      <w:bCs/>
      <w:sz w:val="36"/>
      <w:szCs w:val="36"/>
      <w:lang w:val="en-GB" w:eastAsia="en-GB"/>
    </w:rPr>
  </w:style>
  <w:style w:type="character" w:customStyle="1" w:styleId="FootnoteTextChar">
    <w:name w:val="Footnote Text Char"/>
    <w:link w:val="FootnoteText"/>
    <w:semiHidden/>
    <w:rsid w:val="006C044C"/>
    <w:rPr>
      <w:rFonts w:ascii="Times New Roman" w:eastAsia="Times New Roman" w:hAnsi="Times New Roman" w:cs="Times New Roman"/>
      <w:sz w:val="20"/>
      <w:szCs w:val="20"/>
    </w:rPr>
  </w:style>
  <w:style w:type="paragraph" w:styleId="FootnoteText">
    <w:name w:val="footnote text"/>
    <w:basedOn w:val="Normal"/>
    <w:link w:val="FootnoteTextChar"/>
    <w:semiHidden/>
    <w:rsid w:val="006C044C"/>
    <w:pPr>
      <w:suppressAutoHyphens w:val="0"/>
    </w:pPr>
    <w:rPr>
      <w:sz w:val="20"/>
      <w:szCs w:val="20"/>
      <w:lang w:val="x-none" w:eastAsia="x-none"/>
    </w:rPr>
  </w:style>
  <w:style w:type="character" w:customStyle="1" w:styleId="FootnoteTextChar1">
    <w:name w:val="Footnote Text Char1"/>
    <w:uiPriority w:val="99"/>
    <w:semiHidden/>
    <w:rsid w:val="006C044C"/>
    <w:rPr>
      <w:rFonts w:ascii="Times New Roman" w:eastAsia="Times New Roman" w:hAnsi="Times New Roman" w:cs="Times New Roman"/>
      <w:sz w:val="20"/>
      <w:szCs w:val="20"/>
      <w:lang w:eastAsia="ar-SA"/>
    </w:rPr>
  </w:style>
  <w:style w:type="character" w:styleId="FootnoteReference">
    <w:name w:val="footnote reference"/>
    <w:semiHidden/>
    <w:rsid w:val="006C044C"/>
    <w:rPr>
      <w:vertAlign w:val="superscript"/>
    </w:rPr>
  </w:style>
  <w:style w:type="character" w:customStyle="1" w:styleId="hps">
    <w:name w:val="hps"/>
    <w:basedOn w:val="DefaultParagraphFont"/>
    <w:rsid w:val="006C044C"/>
  </w:style>
  <w:style w:type="paragraph" w:customStyle="1" w:styleId="Style2">
    <w:name w:val="Style2"/>
    <w:basedOn w:val="Normal"/>
    <w:rsid w:val="006C044C"/>
    <w:pPr>
      <w:widowControl w:val="0"/>
      <w:suppressAutoHyphens w:val="0"/>
      <w:autoSpaceDE w:val="0"/>
      <w:autoSpaceDN w:val="0"/>
      <w:adjustRightInd w:val="0"/>
      <w:spacing w:line="371" w:lineRule="exact"/>
      <w:jc w:val="center"/>
    </w:pPr>
    <w:rPr>
      <w:lang w:val="en-GB" w:eastAsia="en-GB"/>
    </w:rPr>
  </w:style>
  <w:style w:type="character" w:customStyle="1" w:styleId="FontStyle12">
    <w:name w:val="Font Style12"/>
    <w:rsid w:val="006C044C"/>
    <w:rPr>
      <w:rFonts w:ascii="Times New Roman" w:hAnsi="Times New Roman" w:cs="Times New Roman"/>
      <w:sz w:val="14"/>
      <w:szCs w:val="14"/>
    </w:rPr>
  </w:style>
  <w:style w:type="paragraph" w:customStyle="1" w:styleId="Style4">
    <w:name w:val="Style4"/>
    <w:basedOn w:val="Normal"/>
    <w:rsid w:val="006C044C"/>
    <w:pPr>
      <w:widowControl w:val="0"/>
      <w:suppressAutoHyphens w:val="0"/>
      <w:autoSpaceDE w:val="0"/>
      <w:autoSpaceDN w:val="0"/>
      <w:adjustRightInd w:val="0"/>
    </w:pPr>
    <w:rPr>
      <w:rFonts w:ascii="Trebuchet MS" w:hAnsi="Trebuchet MS"/>
      <w:lang w:val="en-GB" w:eastAsia="en-GB"/>
    </w:rPr>
  </w:style>
  <w:style w:type="paragraph" w:customStyle="1" w:styleId="Style5">
    <w:name w:val="Style5"/>
    <w:basedOn w:val="Normal"/>
    <w:rsid w:val="006C044C"/>
    <w:pPr>
      <w:widowControl w:val="0"/>
      <w:suppressAutoHyphens w:val="0"/>
      <w:autoSpaceDE w:val="0"/>
      <w:autoSpaceDN w:val="0"/>
      <w:adjustRightInd w:val="0"/>
    </w:pPr>
    <w:rPr>
      <w:rFonts w:ascii="Trebuchet MS" w:hAnsi="Trebuchet MS"/>
      <w:lang w:val="en-GB" w:eastAsia="en-GB"/>
    </w:rPr>
  </w:style>
  <w:style w:type="character" w:customStyle="1" w:styleId="FontStyle13">
    <w:name w:val="Font Style13"/>
    <w:rsid w:val="006C044C"/>
    <w:rPr>
      <w:rFonts w:ascii="Trebuchet MS" w:hAnsi="Trebuchet MS" w:cs="Trebuchet MS"/>
      <w:b/>
      <w:bCs/>
      <w:sz w:val="14"/>
      <w:szCs w:val="14"/>
    </w:rPr>
  </w:style>
  <w:style w:type="character" w:customStyle="1" w:styleId="FontStyle15">
    <w:name w:val="Font Style15"/>
    <w:rsid w:val="006C044C"/>
    <w:rPr>
      <w:rFonts w:ascii="Arial" w:hAnsi="Arial" w:cs="Arial"/>
      <w:sz w:val="18"/>
      <w:szCs w:val="18"/>
    </w:rPr>
  </w:style>
  <w:style w:type="character" w:customStyle="1" w:styleId="FontStyle14">
    <w:name w:val="Font Style14"/>
    <w:rsid w:val="006C044C"/>
    <w:rPr>
      <w:rFonts w:ascii="Times New Roman" w:hAnsi="Times New Roman" w:cs="Times New Roman"/>
      <w:sz w:val="22"/>
      <w:szCs w:val="22"/>
    </w:rPr>
  </w:style>
  <w:style w:type="character" w:styleId="Hyperlink">
    <w:name w:val="Hyperlink"/>
    <w:uiPriority w:val="99"/>
    <w:unhideWhenUsed/>
    <w:rsid w:val="006C044C"/>
    <w:rPr>
      <w:color w:val="0000FF"/>
      <w:u w:val="single"/>
    </w:rPr>
  </w:style>
  <w:style w:type="paragraph" w:styleId="ListParagraph">
    <w:name w:val="List Paragraph"/>
    <w:basedOn w:val="Normal"/>
    <w:uiPriority w:val="34"/>
    <w:qFormat/>
    <w:rsid w:val="00433128"/>
    <w:pPr>
      <w:ind w:left="720"/>
      <w:contextualSpacing/>
    </w:pPr>
  </w:style>
  <w:style w:type="character" w:styleId="Emphasis">
    <w:name w:val="Emphasis"/>
    <w:qFormat/>
    <w:rsid w:val="003D46D8"/>
    <w:rPr>
      <w:i/>
      <w:iCs/>
    </w:rPr>
  </w:style>
  <w:style w:type="paragraph" w:customStyle="1" w:styleId="Default">
    <w:name w:val="Default"/>
    <w:qFormat/>
    <w:rsid w:val="003D46D8"/>
    <w:pPr>
      <w:autoSpaceDE w:val="0"/>
      <w:autoSpaceDN w:val="0"/>
      <w:adjustRightInd w:val="0"/>
    </w:pPr>
    <w:rPr>
      <w:rFonts w:ascii="Times" w:eastAsia="Times New Roman" w:hAnsi="Times" w:cs="Times"/>
      <w:color w:val="000000"/>
      <w:sz w:val="24"/>
      <w:szCs w:val="24"/>
      <w:lang w:val="en-GB" w:eastAsia="en-GB"/>
    </w:rPr>
  </w:style>
  <w:style w:type="character" w:customStyle="1" w:styleId="A0">
    <w:name w:val="A0"/>
    <w:rsid w:val="003D46D8"/>
    <w:rPr>
      <w:rFonts w:cs="Times"/>
      <w:color w:val="000000"/>
      <w:sz w:val="18"/>
      <w:szCs w:val="18"/>
    </w:rPr>
  </w:style>
  <w:style w:type="paragraph" w:customStyle="1" w:styleId="a">
    <w:name w:val="文献"/>
    <w:basedOn w:val="Normal"/>
    <w:autoRedefine/>
    <w:rsid w:val="003D5BC6"/>
    <w:pPr>
      <w:numPr>
        <w:numId w:val="6"/>
      </w:numPr>
      <w:shd w:val="clear" w:color="auto" w:fill="FFFFFF"/>
      <w:suppressAutoHyphens w:val="0"/>
      <w:spacing w:after="120" w:line="280" w:lineRule="exact"/>
      <w:jc w:val="both"/>
    </w:pPr>
    <w:rPr>
      <w:rFonts w:eastAsia="MS Mincho"/>
      <w:kern w:val="2"/>
      <w:lang w:eastAsia="ja-JP"/>
    </w:rPr>
  </w:style>
  <w:style w:type="paragraph" w:customStyle="1" w:styleId="SectionHeading">
    <w:name w:val="Section Heading"/>
    <w:basedOn w:val="Default"/>
    <w:next w:val="Default"/>
    <w:qFormat/>
    <w:rsid w:val="00417FA7"/>
    <w:pPr>
      <w:widowControl w:val="0"/>
    </w:pPr>
    <w:rPr>
      <w:rFonts w:ascii="Times New Roman" w:hAnsi="Times New Roman" w:cs="Times New Roman"/>
      <w:b/>
      <w:bCs/>
      <w:caps/>
      <w:color w:val="auto"/>
      <w:sz w:val="22"/>
      <w:szCs w:val="22"/>
      <w:lang w:eastAsia="en-US"/>
    </w:rPr>
  </w:style>
  <w:style w:type="paragraph" w:customStyle="1" w:styleId="ReferencesText">
    <w:name w:val="References Text"/>
    <w:basedOn w:val="Default"/>
    <w:link w:val="ReferencesTextChar"/>
    <w:qFormat/>
    <w:rsid w:val="00860F54"/>
    <w:pPr>
      <w:widowControl w:val="0"/>
      <w:ind w:left="397" w:hanging="397"/>
    </w:pPr>
    <w:rPr>
      <w:rFonts w:ascii="Times New Roman" w:hAnsi="Times New Roman" w:cs="Times New Roman"/>
      <w:sz w:val="20"/>
      <w:szCs w:val="20"/>
      <w:lang w:eastAsia="en-US"/>
    </w:rPr>
  </w:style>
  <w:style w:type="paragraph" w:customStyle="1" w:styleId="ReferencesTitle">
    <w:name w:val="References Title"/>
    <w:basedOn w:val="Default"/>
    <w:next w:val="ReferencesText"/>
    <w:qFormat/>
    <w:rsid w:val="00860F54"/>
    <w:pPr>
      <w:widowControl w:val="0"/>
    </w:pPr>
    <w:rPr>
      <w:rFonts w:ascii="Times New Roman" w:hAnsi="Times New Roman" w:cs="Times New Roman"/>
      <w:b/>
      <w:bCs/>
      <w:sz w:val="20"/>
      <w:szCs w:val="20"/>
      <w:lang w:eastAsia="en-US"/>
    </w:rPr>
  </w:style>
  <w:style w:type="character" w:customStyle="1" w:styleId="ReferencesTextChar">
    <w:name w:val="References Text Char"/>
    <w:basedOn w:val="DefaultParagraphFont"/>
    <w:link w:val="ReferencesText"/>
    <w:rsid w:val="00860F54"/>
    <w:rPr>
      <w:rFonts w:ascii="Times New Roman" w:eastAsia="Times New Roman" w:hAnsi="Times New Roman"/>
      <w:color w:val="00000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1563702">
      <w:bodyDiv w:val="1"/>
      <w:marLeft w:val="0"/>
      <w:marRight w:val="0"/>
      <w:marTop w:val="0"/>
      <w:marBottom w:val="0"/>
      <w:divBdr>
        <w:top w:val="none" w:sz="0" w:space="0" w:color="auto"/>
        <w:left w:val="none" w:sz="0" w:space="0" w:color="auto"/>
        <w:bottom w:val="none" w:sz="0" w:space="0" w:color="auto"/>
        <w:right w:val="none" w:sz="0" w:space="0" w:color="auto"/>
      </w:divBdr>
    </w:div>
    <w:div w:id="1837499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1423</Words>
  <Characters>8114</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PRINCIPLES OF CHANGE MANAGEMENT</vt:lpstr>
    </vt:vector>
  </TitlesOfParts>
  <Company>Hewlett-Packard</Company>
  <LinksUpToDate>false</LinksUpToDate>
  <CharactersWithSpaces>9518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PRINCIPLES OF CHANGE MANAGEMENT</dc:title>
  <dc:subject/>
  <dc:creator>Robert Dimitrovski</dc:creator>
  <cp:keywords/>
  <cp:lastModifiedBy>Jasmina Najdovska</cp:lastModifiedBy>
  <cp:revision>5</cp:revision>
  <dcterms:created xsi:type="dcterms:W3CDTF">2019-07-09T11:33:00Z</dcterms:created>
  <dcterms:modified xsi:type="dcterms:W3CDTF">2019-07-09T11:44:00Z</dcterms:modified>
</cp:coreProperties>
</file>