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3210AA" w14:textId="78C6A1E0" w:rsidR="003C1806" w:rsidRPr="003C1806" w:rsidRDefault="003C1806" w:rsidP="00CF40A3">
      <w:pPr>
        <w:jc w:val="center"/>
        <w:rPr>
          <w:b/>
          <w:bCs/>
          <w:szCs w:val="24"/>
        </w:rPr>
      </w:pPr>
      <w:bookmarkStart w:id="0" w:name="_Hlk105663863"/>
      <w:bookmarkEnd w:id="0"/>
      <w:r>
        <w:rPr>
          <w:b/>
          <w:bCs/>
          <w:szCs w:val="24"/>
        </w:rPr>
        <w:t xml:space="preserve">THE IMPACT OF </w:t>
      </w:r>
      <w:r w:rsidRPr="003C1806">
        <w:rPr>
          <w:b/>
          <w:bCs/>
          <w:szCs w:val="24"/>
        </w:rPr>
        <w:t xml:space="preserve">TRADE FACILITATION INDICATORS </w:t>
      </w:r>
      <w:r>
        <w:rPr>
          <w:b/>
          <w:bCs/>
          <w:szCs w:val="24"/>
        </w:rPr>
        <w:t xml:space="preserve">ON TRADE BETWEEN CEFTA-2006 </w:t>
      </w:r>
      <w:r w:rsidR="00823081">
        <w:rPr>
          <w:b/>
          <w:bCs/>
          <w:szCs w:val="24"/>
        </w:rPr>
        <w:t>MEMBERS</w:t>
      </w:r>
    </w:p>
    <w:p w14:paraId="224C8C82" w14:textId="77777777" w:rsidR="00A62013" w:rsidRPr="00814D11" w:rsidRDefault="00A62013" w:rsidP="00626AFA">
      <w:pPr>
        <w:rPr>
          <w:b/>
          <w:bCs/>
          <w:sz w:val="22"/>
          <w:lang w:val="en-GB"/>
        </w:rPr>
      </w:pPr>
    </w:p>
    <w:p w14:paraId="6DB7284C" w14:textId="3CF2100C" w:rsidR="00825C88" w:rsidRPr="000F7CE2" w:rsidRDefault="00894B46" w:rsidP="00825C88">
      <w:pPr>
        <w:jc w:val="center"/>
        <w:rPr>
          <w:b/>
          <w:szCs w:val="26"/>
          <w:lang w:val="en-GB"/>
        </w:rPr>
      </w:pPr>
      <w:r>
        <w:rPr>
          <w:szCs w:val="26"/>
          <w:lang w:val="en-GB"/>
        </w:rPr>
        <w:t xml:space="preserve">Katerina </w:t>
      </w:r>
      <w:proofErr w:type="spellStart"/>
      <w:r>
        <w:rPr>
          <w:szCs w:val="26"/>
          <w:lang w:val="en-GB"/>
        </w:rPr>
        <w:t>Toshevska-Trpcevska</w:t>
      </w:r>
      <w:proofErr w:type="spellEnd"/>
      <w:r w:rsidR="00825C88" w:rsidRPr="000F7CE2">
        <w:rPr>
          <w:szCs w:val="26"/>
          <w:lang w:val="en-GB"/>
        </w:rPr>
        <w:t xml:space="preserve"> (</w:t>
      </w:r>
      <w:r w:rsidR="00B26565">
        <w:rPr>
          <w:szCs w:val="26"/>
          <w:lang w:val="en-GB"/>
        </w:rPr>
        <w:t>Corresponding author</w:t>
      </w:r>
      <w:r w:rsidR="00825C88" w:rsidRPr="000F7CE2">
        <w:rPr>
          <w:szCs w:val="26"/>
          <w:lang w:val="en-GB"/>
        </w:rPr>
        <w:t>)</w:t>
      </w:r>
      <w:r w:rsidR="00825C88" w:rsidRPr="000F7CE2">
        <w:rPr>
          <w:rStyle w:val="FootnoteReference"/>
          <w:szCs w:val="26"/>
          <w:lang w:val="en-GB"/>
        </w:rPr>
        <w:footnoteReference w:id="1"/>
      </w:r>
      <w:r w:rsidR="00825C88" w:rsidRPr="000F7CE2">
        <w:rPr>
          <w:szCs w:val="26"/>
          <w:lang w:val="en-GB"/>
        </w:rPr>
        <w:tab/>
      </w:r>
      <w:r w:rsidR="00B26565">
        <w:rPr>
          <w:szCs w:val="26"/>
          <w:lang w:val="en-GB"/>
        </w:rPr>
        <w:tab/>
      </w:r>
      <w:r>
        <w:rPr>
          <w:szCs w:val="26"/>
          <w:lang w:val="en-GB"/>
        </w:rPr>
        <w:t xml:space="preserve">Elena Makrevska </w:t>
      </w:r>
      <w:proofErr w:type="spellStart"/>
      <w:r>
        <w:rPr>
          <w:szCs w:val="26"/>
          <w:lang w:val="en-GB"/>
        </w:rPr>
        <w:t>Disoska</w:t>
      </w:r>
      <w:proofErr w:type="spellEnd"/>
      <w:r w:rsidR="0021179D">
        <w:rPr>
          <w:rStyle w:val="FootnoteReference"/>
          <w:szCs w:val="26"/>
          <w:lang w:val="en-GB"/>
        </w:rPr>
        <w:footnoteReference w:id="2"/>
      </w:r>
      <w:r>
        <w:rPr>
          <w:szCs w:val="26"/>
          <w:lang w:val="en-GB"/>
        </w:rPr>
        <w:t xml:space="preserve">, Irena </w:t>
      </w:r>
      <w:proofErr w:type="spellStart"/>
      <w:r>
        <w:rPr>
          <w:szCs w:val="26"/>
          <w:lang w:val="en-GB"/>
        </w:rPr>
        <w:t>Kikerkova</w:t>
      </w:r>
      <w:proofErr w:type="spellEnd"/>
      <w:r w:rsidR="00E12589">
        <w:rPr>
          <w:rStyle w:val="FootnoteReference"/>
          <w:szCs w:val="26"/>
          <w:lang w:val="en-GB"/>
        </w:rPr>
        <w:footnoteReference w:id="3"/>
      </w:r>
      <w:r>
        <w:rPr>
          <w:szCs w:val="26"/>
          <w:lang w:val="en-GB"/>
        </w:rPr>
        <w:t xml:space="preserve">, </w:t>
      </w:r>
      <w:proofErr w:type="spellStart"/>
      <w:r>
        <w:rPr>
          <w:szCs w:val="26"/>
          <w:lang w:val="en-GB"/>
        </w:rPr>
        <w:t>Jasna</w:t>
      </w:r>
      <w:proofErr w:type="spellEnd"/>
      <w:r>
        <w:rPr>
          <w:szCs w:val="26"/>
          <w:lang w:val="en-GB"/>
        </w:rPr>
        <w:t xml:space="preserve"> </w:t>
      </w:r>
      <w:proofErr w:type="spellStart"/>
      <w:r>
        <w:rPr>
          <w:szCs w:val="26"/>
          <w:lang w:val="en-GB"/>
        </w:rPr>
        <w:t>Tonovska</w:t>
      </w:r>
      <w:proofErr w:type="spellEnd"/>
      <w:r w:rsidR="00825C88" w:rsidRPr="000F7CE2">
        <w:rPr>
          <w:rStyle w:val="FootnoteReference"/>
          <w:szCs w:val="26"/>
          <w:lang w:val="en-GB"/>
        </w:rPr>
        <w:footnoteReference w:id="4"/>
      </w:r>
    </w:p>
    <w:p w14:paraId="2691D9FB" w14:textId="77777777" w:rsidR="00825C88" w:rsidRPr="00D73BAF" w:rsidRDefault="00825C88" w:rsidP="00626AFA">
      <w:pPr>
        <w:rPr>
          <w:sz w:val="22"/>
          <w:lang w:val="en-GB"/>
        </w:rPr>
      </w:pPr>
    </w:p>
    <w:p w14:paraId="1105304C" w14:textId="0D544BEF" w:rsidR="00626AFA" w:rsidRPr="00823081" w:rsidRDefault="00496D2B" w:rsidP="00626AFA">
      <w:pPr>
        <w:rPr>
          <w:b/>
          <w:sz w:val="20"/>
          <w:szCs w:val="20"/>
          <w:lang w:val="en-GB"/>
        </w:rPr>
      </w:pPr>
      <w:r w:rsidRPr="00823081">
        <w:rPr>
          <w:b/>
          <w:sz w:val="20"/>
          <w:szCs w:val="20"/>
          <w:lang w:val="en-GB"/>
        </w:rPr>
        <w:t>Abstract</w:t>
      </w:r>
    </w:p>
    <w:p w14:paraId="75F1B5A9" w14:textId="77777777" w:rsidR="000569B0" w:rsidRPr="00823081" w:rsidRDefault="000569B0" w:rsidP="00626AFA">
      <w:pPr>
        <w:rPr>
          <w:b/>
          <w:sz w:val="20"/>
          <w:szCs w:val="20"/>
          <w:lang w:val="en-GB"/>
        </w:rPr>
      </w:pPr>
    </w:p>
    <w:p w14:paraId="683DAB1C" w14:textId="760044FA" w:rsidR="00556A7A" w:rsidRPr="00823081" w:rsidRDefault="00556A7A" w:rsidP="00BF2351">
      <w:pPr>
        <w:ind w:firstLine="567"/>
        <w:rPr>
          <w:iCs/>
          <w:sz w:val="20"/>
          <w:szCs w:val="20"/>
          <w:lang w:val="en-US"/>
        </w:rPr>
      </w:pPr>
      <w:r w:rsidRPr="00823081">
        <w:rPr>
          <w:iCs/>
          <w:sz w:val="20"/>
          <w:szCs w:val="20"/>
          <w:lang w:val="en-US"/>
        </w:rPr>
        <w:t>The European financial and economic cris</w:t>
      </w:r>
      <w:r w:rsidR="008B1347" w:rsidRPr="00823081">
        <w:rPr>
          <w:iCs/>
          <w:sz w:val="20"/>
          <w:szCs w:val="20"/>
          <w:lang w:val="en-US"/>
        </w:rPr>
        <w:t>is</w:t>
      </w:r>
      <w:r w:rsidRPr="00823081">
        <w:rPr>
          <w:iCs/>
          <w:sz w:val="20"/>
          <w:szCs w:val="20"/>
          <w:lang w:val="en-US"/>
        </w:rPr>
        <w:t xml:space="preserve"> interrupted the boost of trade within CEFTA-2006, and </w:t>
      </w:r>
      <w:r w:rsidR="006608C2" w:rsidRPr="00823081">
        <w:rPr>
          <w:iCs/>
          <w:sz w:val="20"/>
          <w:szCs w:val="20"/>
          <w:lang w:val="en-US"/>
        </w:rPr>
        <w:t>diverted</w:t>
      </w:r>
      <w:r w:rsidRPr="00823081">
        <w:rPr>
          <w:iCs/>
          <w:sz w:val="20"/>
          <w:szCs w:val="20"/>
          <w:lang w:val="en-US"/>
        </w:rPr>
        <w:t xml:space="preserve"> trade flows from within the region </w:t>
      </w:r>
      <w:r w:rsidR="00BD4CB1" w:rsidRPr="00823081">
        <w:rPr>
          <w:iCs/>
          <w:sz w:val="20"/>
          <w:szCs w:val="20"/>
          <w:lang w:val="en-US"/>
        </w:rPr>
        <w:t>toward</w:t>
      </w:r>
      <w:r w:rsidRPr="00823081">
        <w:rPr>
          <w:iCs/>
          <w:sz w:val="20"/>
          <w:szCs w:val="20"/>
          <w:lang w:val="en-US"/>
        </w:rPr>
        <w:t xml:space="preserve"> the EU market. Currently</w:t>
      </w:r>
      <w:r w:rsidR="006608C2" w:rsidRPr="00823081">
        <w:rPr>
          <w:iCs/>
          <w:sz w:val="20"/>
          <w:szCs w:val="20"/>
          <w:lang w:val="en-US"/>
        </w:rPr>
        <w:t>,</w:t>
      </w:r>
      <w:r w:rsidRPr="00823081">
        <w:rPr>
          <w:iCs/>
          <w:sz w:val="20"/>
          <w:szCs w:val="20"/>
          <w:lang w:val="en-US"/>
        </w:rPr>
        <w:t xml:space="preserve"> Western Balkan economies record </w:t>
      </w:r>
      <w:r w:rsidR="006608C2" w:rsidRPr="00823081">
        <w:rPr>
          <w:iCs/>
          <w:sz w:val="20"/>
          <w:szCs w:val="20"/>
          <w:lang w:val="en-US"/>
        </w:rPr>
        <w:t xml:space="preserve">a </w:t>
      </w:r>
      <w:r w:rsidRPr="00823081">
        <w:rPr>
          <w:iCs/>
          <w:sz w:val="20"/>
          <w:szCs w:val="20"/>
          <w:lang w:val="en-US"/>
        </w:rPr>
        <w:t xml:space="preserve">high level of economic integration with the EU which accounts for almost 2/3 of their total trade exchange of goods, while the trade exchange within CEFTA -2006 </w:t>
      </w:r>
      <w:r w:rsidR="006608C2" w:rsidRPr="00823081">
        <w:rPr>
          <w:iCs/>
          <w:sz w:val="20"/>
          <w:szCs w:val="20"/>
          <w:lang w:val="en-US"/>
        </w:rPr>
        <w:t>falls</w:t>
      </w:r>
      <w:r w:rsidRPr="00823081">
        <w:rPr>
          <w:iCs/>
          <w:sz w:val="20"/>
          <w:szCs w:val="20"/>
          <w:lang w:val="en-US"/>
        </w:rPr>
        <w:t xml:space="preserve"> </w:t>
      </w:r>
      <w:r w:rsidR="006608C2" w:rsidRPr="00823081">
        <w:rPr>
          <w:iCs/>
          <w:sz w:val="20"/>
          <w:szCs w:val="20"/>
          <w:lang w:val="en-US"/>
        </w:rPr>
        <w:t>between</w:t>
      </w:r>
      <w:r w:rsidRPr="00823081">
        <w:rPr>
          <w:iCs/>
          <w:sz w:val="20"/>
          <w:szCs w:val="20"/>
          <w:lang w:val="en-US"/>
        </w:rPr>
        <w:t xml:space="preserve"> 10-15% of the </w:t>
      </w:r>
      <w:r w:rsidR="006608C2" w:rsidRPr="00823081">
        <w:rPr>
          <w:iCs/>
          <w:sz w:val="20"/>
          <w:szCs w:val="20"/>
          <w:lang w:val="en-US"/>
        </w:rPr>
        <w:t>total</w:t>
      </w:r>
      <w:r w:rsidRPr="00823081">
        <w:rPr>
          <w:iCs/>
          <w:sz w:val="20"/>
          <w:szCs w:val="20"/>
          <w:lang w:val="en-US"/>
        </w:rPr>
        <w:t xml:space="preserve"> trade exchange of goods of its member-states.</w:t>
      </w:r>
    </w:p>
    <w:p w14:paraId="43D1D697" w14:textId="6A83297C" w:rsidR="00A325F2" w:rsidRPr="00823081" w:rsidRDefault="00A325F2" w:rsidP="00A325F2">
      <w:pPr>
        <w:ind w:firstLine="567"/>
        <w:rPr>
          <w:sz w:val="20"/>
          <w:szCs w:val="20"/>
        </w:rPr>
      </w:pPr>
      <w:r w:rsidRPr="00823081">
        <w:rPr>
          <w:iCs/>
          <w:sz w:val="20"/>
          <w:szCs w:val="20"/>
          <w:lang w:val="en-US"/>
        </w:rPr>
        <w:t>Changes in the legal texts of CEFTA-2006 initiated by the so-called B</w:t>
      </w:r>
      <w:r w:rsidR="00A70FAE" w:rsidRPr="00823081">
        <w:rPr>
          <w:iCs/>
          <w:sz w:val="20"/>
          <w:szCs w:val="20"/>
          <w:lang w:val="en-US"/>
        </w:rPr>
        <w:t>erlin Process, and the effort for deepening</w:t>
      </w:r>
      <w:r w:rsidRPr="00823081">
        <w:rPr>
          <w:iCs/>
          <w:sz w:val="20"/>
          <w:szCs w:val="20"/>
          <w:lang w:val="en-US"/>
        </w:rPr>
        <w:t xml:space="preserve"> regional integration according to the latest Action Plan (2020) envisaged the creation of a Common Regional Market based on EU rules by 2024. The impact of the creation of a Common Regional Market within CEFTA-2006 upon the economic welfare of each of the member-states is still unclear.</w:t>
      </w:r>
      <w:r w:rsidRPr="00823081">
        <w:rPr>
          <w:color w:val="000000"/>
          <w:sz w:val="20"/>
          <w:szCs w:val="20"/>
        </w:rPr>
        <w:t xml:space="preserve"> Thus all estimations provided vague, ambiguous and unclear results and recommendations which did not help overcome the already present reluctant attitude. The latest 2021 Open Balkan Initiative in which participate only Albania, Macedonia and Serbia brought even more confu</w:t>
      </w:r>
      <w:r w:rsidR="00814D11" w:rsidRPr="00823081">
        <w:rPr>
          <w:color w:val="000000"/>
          <w:sz w:val="20"/>
          <w:szCs w:val="20"/>
        </w:rPr>
        <w:t>sion and resentment by the other</w:t>
      </w:r>
      <w:r w:rsidRPr="00823081">
        <w:rPr>
          <w:color w:val="000000"/>
          <w:sz w:val="20"/>
          <w:szCs w:val="20"/>
        </w:rPr>
        <w:t xml:space="preserve"> four CEFTA-2006 member-states.</w:t>
      </w:r>
    </w:p>
    <w:p w14:paraId="2295B8C3" w14:textId="28706A8F" w:rsidR="009548FB" w:rsidRPr="00823081" w:rsidRDefault="003C1806" w:rsidP="009548FB">
      <w:pPr>
        <w:ind w:firstLine="720"/>
        <w:rPr>
          <w:iCs/>
          <w:sz w:val="20"/>
          <w:szCs w:val="20"/>
          <w:lang w:val="en-US"/>
        </w:rPr>
      </w:pPr>
      <w:r w:rsidRPr="00823081">
        <w:rPr>
          <w:iCs/>
          <w:sz w:val="20"/>
          <w:szCs w:val="20"/>
          <w:lang w:val="en-US"/>
        </w:rPr>
        <w:t xml:space="preserve">The aim </w:t>
      </w:r>
      <w:r w:rsidR="00A70FAE" w:rsidRPr="00823081">
        <w:rPr>
          <w:iCs/>
          <w:sz w:val="20"/>
          <w:szCs w:val="20"/>
          <w:lang w:val="en-US"/>
        </w:rPr>
        <w:t>of this paper is to elaborate</w:t>
      </w:r>
      <w:r w:rsidRPr="00823081">
        <w:rPr>
          <w:iCs/>
          <w:sz w:val="20"/>
          <w:szCs w:val="20"/>
          <w:lang w:val="en-US"/>
        </w:rPr>
        <w:t xml:space="preserve"> the possibilities that </w:t>
      </w:r>
      <w:r w:rsidR="00A70FAE" w:rsidRPr="00823081">
        <w:rPr>
          <w:iCs/>
          <w:sz w:val="20"/>
          <w:szCs w:val="20"/>
          <w:lang w:val="en-US"/>
        </w:rPr>
        <w:t>might be open by the latest</w:t>
      </w:r>
      <w:r w:rsidRPr="00823081">
        <w:rPr>
          <w:iCs/>
          <w:sz w:val="20"/>
          <w:szCs w:val="20"/>
          <w:lang w:val="en-US"/>
        </w:rPr>
        <w:t xml:space="preserve"> regi</w:t>
      </w:r>
      <w:r w:rsidR="00A70FAE" w:rsidRPr="00823081">
        <w:rPr>
          <w:iCs/>
          <w:sz w:val="20"/>
          <w:szCs w:val="20"/>
          <w:lang w:val="en-US"/>
        </w:rPr>
        <w:t xml:space="preserve">onal integration initiatives </w:t>
      </w:r>
      <w:r w:rsidR="00EB487C" w:rsidRPr="00823081">
        <w:rPr>
          <w:iCs/>
          <w:sz w:val="20"/>
          <w:szCs w:val="20"/>
          <w:lang w:val="en-US"/>
        </w:rPr>
        <w:t>in</w:t>
      </w:r>
      <w:r w:rsidR="00A70FAE" w:rsidRPr="00823081">
        <w:rPr>
          <w:iCs/>
          <w:sz w:val="20"/>
          <w:szCs w:val="20"/>
          <w:lang w:val="en-US"/>
        </w:rPr>
        <w:t xml:space="preserve"> regard of boosting regional </w:t>
      </w:r>
      <w:r w:rsidRPr="00823081">
        <w:rPr>
          <w:iCs/>
          <w:sz w:val="20"/>
          <w:szCs w:val="20"/>
          <w:lang w:val="en-US"/>
        </w:rPr>
        <w:t xml:space="preserve">trade </w:t>
      </w:r>
      <w:r w:rsidR="00A70FAE" w:rsidRPr="00823081">
        <w:rPr>
          <w:iCs/>
          <w:sz w:val="20"/>
          <w:szCs w:val="20"/>
          <w:lang w:val="en-US"/>
        </w:rPr>
        <w:t xml:space="preserve">exchange of goods. </w:t>
      </w:r>
      <w:r w:rsidR="009548FB" w:rsidRPr="00823081">
        <w:rPr>
          <w:sz w:val="20"/>
          <w:szCs w:val="20"/>
        </w:rPr>
        <w:t xml:space="preserve">In the last two decades, it </w:t>
      </w:r>
      <w:r w:rsidR="00814D11" w:rsidRPr="00823081">
        <w:rPr>
          <w:sz w:val="20"/>
          <w:szCs w:val="20"/>
        </w:rPr>
        <w:t>was</w:t>
      </w:r>
      <w:r w:rsidR="00A70FAE" w:rsidRPr="00823081">
        <w:rPr>
          <w:sz w:val="20"/>
          <w:szCs w:val="20"/>
        </w:rPr>
        <w:t xml:space="preserve"> recognized that enhanced trade</w:t>
      </w:r>
      <w:r w:rsidR="009548FB" w:rsidRPr="00823081">
        <w:rPr>
          <w:sz w:val="20"/>
          <w:szCs w:val="20"/>
        </w:rPr>
        <w:t xml:space="preserve"> liberalization </w:t>
      </w:r>
      <w:r w:rsidR="00A70FAE" w:rsidRPr="00823081">
        <w:rPr>
          <w:sz w:val="20"/>
          <w:szCs w:val="20"/>
        </w:rPr>
        <w:t xml:space="preserve">might be achieved </w:t>
      </w:r>
      <w:r w:rsidR="009548FB" w:rsidRPr="00823081">
        <w:rPr>
          <w:sz w:val="20"/>
          <w:szCs w:val="20"/>
        </w:rPr>
        <w:t>by undertaking trade facilitation measures. Th</w:t>
      </w:r>
      <w:r w:rsidR="00A70FAE" w:rsidRPr="00823081">
        <w:rPr>
          <w:sz w:val="20"/>
          <w:szCs w:val="20"/>
        </w:rPr>
        <w:t>e effects of</w:t>
      </w:r>
      <w:r w:rsidR="00814D11" w:rsidRPr="00823081">
        <w:rPr>
          <w:sz w:val="20"/>
          <w:szCs w:val="20"/>
        </w:rPr>
        <w:t xml:space="preserve"> the implementation of</w:t>
      </w:r>
      <w:r w:rsidR="009548FB" w:rsidRPr="00823081">
        <w:rPr>
          <w:sz w:val="20"/>
          <w:szCs w:val="20"/>
        </w:rPr>
        <w:t xml:space="preserve"> the</w:t>
      </w:r>
      <w:r w:rsidR="00814D11" w:rsidRPr="00823081">
        <w:rPr>
          <w:sz w:val="20"/>
          <w:szCs w:val="20"/>
        </w:rPr>
        <w:t>se measures</w:t>
      </w:r>
      <w:r w:rsidR="00A70FAE" w:rsidRPr="00823081">
        <w:rPr>
          <w:sz w:val="20"/>
          <w:szCs w:val="20"/>
        </w:rPr>
        <w:t xml:space="preserve"> are </w:t>
      </w:r>
      <w:r w:rsidR="00814D11" w:rsidRPr="00823081">
        <w:rPr>
          <w:sz w:val="20"/>
          <w:szCs w:val="20"/>
        </w:rPr>
        <w:t xml:space="preserve">expected to be of </w:t>
      </w:r>
      <w:r w:rsidR="009548FB" w:rsidRPr="00823081">
        <w:rPr>
          <w:sz w:val="20"/>
          <w:szCs w:val="20"/>
        </w:rPr>
        <w:t xml:space="preserve">greater </w:t>
      </w:r>
      <w:r w:rsidR="00814D11" w:rsidRPr="00823081">
        <w:rPr>
          <w:sz w:val="20"/>
          <w:szCs w:val="20"/>
        </w:rPr>
        <w:t xml:space="preserve">significance for increasing regional trade </w:t>
      </w:r>
      <w:r w:rsidR="00540161" w:rsidRPr="00823081">
        <w:rPr>
          <w:sz w:val="20"/>
          <w:szCs w:val="20"/>
        </w:rPr>
        <w:t>exchange</w:t>
      </w:r>
      <w:r w:rsidR="00A70FAE" w:rsidRPr="00823081">
        <w:rPr>
          <w:sz w:val="20"/>
          <w:szCs w:val="20"/>
        </w:rPr>
        <w:t xml:space="preserve"> in comparison to the elimination of </w:t>
      </w:r>
      <w:r w:rsidR="009548FB" w:rsidRPr="00823081">
        <w:rPr>
          <w:sz w:val="20"/>
          <w:szCs w:val="20"/>
        </w:rPr>
        <w:t>all other trade barriers, including tariffs. Previous research in t</w:t>
      </w:r>
      <w:r w:rsidR="00A70FAE" w:rsidRPr="00823081">
        <w:rPr>
          <w:sz w:val="20"/>
          <w:szCs w:val="20"/>
        </w:rPr>
        <w:t>his field confirmed</w:t>
      </w:r>
      <w:r w:rsidR="00814D11" w:rsidRPr="00823081">
        <w:rPr>
          <w:sz w:val="20"/>
          <w:szCs w:val="20"/>
        </w:rPr>
        <w:t xml:space="preserve"> that </w:t>
      </w:r>
      <w:r w:rsidR="00540161" w:rsidRPr="00823081">
        <w:rPr>
          <w:sz w:val="20"/>
          <w:szCs w:val="20"/>
        </w:rPr>
        <w:t xml:space="preserve">the </w:t>
      </w:r>
      <w:r w:rsidR="00814D11" w:rsidRPr="00823081">
        <w:rPr>
          <w:sz w:val="20"/>
          <w:szCs w:val="20"/>
        </w:rPr>
        <w:t>elimination of</w:t>
      </w:r>
      <w:r w:rsidR="009548FB" w:rsidRPr="00823081">
        <w:rPr>
          <w:sz w:val="20"/>
          <w:szCs w:val="20"/>
        </w:rPr>
        <w:t xml:space="preserve"> certain customs and administrative barriers </w:t>
      </w:r>
      <w:r w:rsidR="00814D11" w:rsidRPr="00823081">
        <w:rPr>
          <w:sz w:val="20"/>
          <w:szCs w:val="20"/>
        </w:rPr>
        <w:t>within the Western Balkan region</w:t>
      </w:r>
      <w:r w:rsidR="00A70FAE" w:rsidRPr="00823081">
        <w:rPr>
          <w:sz w:val="20"/>
          <w:szCs w:val="20"/>
        </w:rPr>
        <w:t xml:space="preserve"> </w:t>
      </w:r>
      <w:r w:rsidR="00814D11" w:rsidRPr="00823081">
        <w:rPr>
          <w:sz w:val="20"/>
          <w:szCs w:val="20"/>
        </w:rPr>
        <w:t>had</w:t>
      </w:r>
      <w:r w:rsidR="009548FB" w:rsidRPr="00823081">
        <w:rPr>
          <w:sz w:val="20"/>
          <w:szCs w:val="20"/>
        </w:rPr>
        <w:t xml:space="preserve"> a</w:t>
      </w:r>
      <w:r w:rsidR="00A70FAE" w:rsidRPr="00823081">
        <w:rPr>
          <w:sz w:val="20"/>
          <w:szCs w:val="20"/>
        </w:rPr>
        <w:t xml:space="preserve"> significant</w:t>
      </w:r>
      <w:r w:rsidR="009548FB" w:rsidRPr="00823081">
        <w:rPr>
          <w:sz w:val="20"/>
          <w:szCs w:val="20"/>
        </w:rPr>
        <w:t xml:space="preserve"> positive impact </w:t>
      </w:r>
      <w:r w:rsidR="00540161" w:rsidRPr="00823081">
        <w:rPr>
          <w:sz w:val="20"/>
          <w:szCs w:val="20"/>
        </w:rPr>
        <w:t>on</w:t>
      </w:r>
      <w:r w:rsidR="009548FB" w:rsidRPr="00823081">
        <w:rPr>
          <w:sz w:val="20"/>
          <w:szCs w:val="20"/>
        </w:rPr>
        <w:t xml:space="preserve"> trade.  </w:t>
      </w:r>
    </w:p>
    <w:p w14:paraId="4F43566C" w14:textId="7A0CEB95" w:rsidR="003C1806" w:rsidRPr="00823081" w:rsidRDefault="00A42569" w:rsidP="00204DBB">
      <w:pPr>
        <w:ind w:firstLine="720"/>
        <w:rPr>
          <w:iCs/>
          <w:sz w:val="20"/>
          <w:szCs w:val="20"/>
          <w:lang w:val="en-US"/>
        </w:rPr>
      </w:pPr>
      <w:r w:rsidRPr="00823081">
        <w:rPr>
          <w:iCs/>
          <w:sz w:val="20"/>
          <w:szCs w:val="20"/>
          <w:lang w:val="en-US"/>
        </w:rPr>
        <w:t xml:space="preserve">We </w:t>
      </w:r>
      <w:r w:rsidR="00AF68AE" w:rsidRPr="00823081">
        <w:rPr>
          <w:iCs/>
          <w:sz w:val="20"/>
          <w:szCs w:val="20"/>
          <w:lang w:val="en-US"/>
        </w:rPr>
        <w:t>apply</w:t>
      </w:r>
      <w:r w:rsidR="00A70FAE" w:rsidRPr="00823081">
        <w:rPr>
          <w:iCs/>
          <w:sz w:val="20"/>
          <w:szCs w:val="20"/>
          <w:lang w:val="en-US"/>
        </w:rPr>
        <w:t xml:space="preserve"> </w:t>
      </w:r>
      <w:r w:rsidR="00325A11">
        <w:rPr>
          <w:iCs/>
          <w:sz w:val="20"/>
          <w:szCs w:val="20"/>
          <w:lang w:val="en-US"/>
        </w:rPr>
        <w:t xml:space="preserve">the </w:t>
      </w:r>
      <w:r w:rsidR="00AF68AE" w:rsidRPr="00823081">
        <w:rPr>
          <w:iCs/>
          <w:sz w:val="20"/>
          <w:szCs w:val="20"/>
          <w:lang w:val="en-US"/>
        </w:rPr>
        <w:t>gravity model</w:t>
      </w:r>
      <w:r w:rsidRPr="00823081">
        <w:rPr>
          <w:iCs/>
          <w:sz w:val="20"/>
          <w:szCs w:val="20"/>
          <w:lang w:val="en-US"/>
        </w:rPr>
        <w:t xml:space="preserve"> of international trade</w:t>
      </w:r>
      <w:r w:rsidR="003C1806" w:rsidRPr="00823081">
        <w:rPr>
          <w:iCs/>
          <w:sz w:val="20"/>
          <w:szCs w:val="20"/>
          <w:lang w:val="en-US"/>
        </w:rPr>
        <w:t xml:space="preserve"> </w:t>
      </w:r>
      <w:r w:rsidR="00AF68AE" w:rsidRPr="00823081">
        <w:rPr>
          <w:iCs/>
          <w:sz w:val="20"/>
          <w:szCs w:val="20"/>
          <w:lang w:val="en-US"/>
        </w:rPr>
        <w:t>to estimate the impact of</w:t>
      </w:r>
      <w:r w:rsidR="003C1806" w:rsidRPr="00823081">
        <w:rPr>
          <w:iCs/>
          <w:sz w:val="20"/>
          <w:szCs w:val="20"/>
          <w:lang w:val="en-US"/>
        </w:rPr>
        <w:t xml:space="preserve"> OECD Trade Facilitation Indicators on trade a</w:t>
      </w:r>
      <w:r w:rsidR="00A70FAE" w:rsidRPr="00823081">
        <w:rPr>
          <w:iCs/>
          <w:sz w:val="20"/>
          <w:szCs w:val="20"/>
          <w:lang w:val="en-US"/>
        </w:rPr>
        <w:t>mong CEFTA-2006 member</w:t>
      </w:r>
      <w:r w:rsidR="00823081" w:rsidRPr="00823081">
        <w:rPr>
          <w:iCs/>
          <w:sz w:val="20"/>
          <w:szCs w:val="20"/>
          <w:lang w:val="en-US"/>
        </w:rPr>
        <w:t>s</w:t>
      </w:r>
      <w:r w:rsidR="00204DBB" w:rsidRPr="00823081">
        <w:rPr>
          <w:iCs/>
          <w:sz w:val="20"/>
          <w:szCs w:val="20"/>
          <w:lang w:val="en-US"/>
        </w:rPr>
        <w:t>: Albania, Bosnia and Hercegovina</w:t>
      </w:r>
      <w:r w:rsidR="00AF68AE" w:rsidRPr="00823081">
        <w:rPr>
          <w:iCs/>
          <w:sz w:val="20"/>
          <w:szCs w:val="20"/>
          <w:lang w:val="en-US"/>
        </w:rPr>
        <w:t xml:space="preserve">, </w:t>
      </w:r>
      <w:r w:rsidR="00204DBB" w:rsidRPr="00823081">
        <w:rPr>
          <w:iCs/>
          <w:sz w:val="20"/>
          <w:szCs w:val="20"/>
          <w:lang w:val="en-US"/>
        </w:rPr>
        <w:t xml:space="preserve">Montenegro, </w:t>
      </w:r>
      <w:r w:rsidR="00EB487C" w:rsidRPr="00823081">
        <w:rPr>
          <w:iCs/>
          <w:sz w:val="20"/>
          <w:szCs w:val="20"/>
          <w:lang w:val="en-US"/>
        </w:rPr>
        <w:t>Moldova,</w:t>
      </w:r>
      <w:r w:rsidR="00C624B5" w:rsidRPr="00823081">
        <w:rPr>
          <w:iCs/>
          <w:sz w:val="20"/>
          <w:szCs w:val="20"/>
          <w:lang w:val="en-US"/>
        </w:rPr>
        <w:t xml:space="preserve"> </w:t>
      </w:r>
      <w:r w:rsidR="00204DBB" w:rsidRPr="00823081">
        <w:rPr>
          <w:iCs/>
          <w:sz w:val="20"/>
          <w:szCs w:val="20"/>
          <w:lang w:val="en-US"/>
        </w:rPr>
        <w:t>North Macedonia</w:t>
      </w:r>
      <w:r w:rsidR="00EB487C" w:rsidRPr="00823081">
        <w:rPr>
          <w:iCs/>
          <w:sz w:val="20"/>
          <w:szCs w:val="20"/>
          <w:lang w:val="en-US"/>
        </w:rPr>
        <w:t>,</w:t>
      </w:r>
      <w:r w:rsidR="00204DBB" w:rsidRPr="00823081">
        <w:rPr>
          <w:iCs/>
          <w:sz w:val="20"/>
          <w:szCs w:val="20"/>
          <w:lang w:val="en-US"/>
        </w:rPr>
        <w:t xml:space="preserve"> and Serbia</w:t>
      </w:r>
      <w:r w:rsidR="00A70FAE" w:rsidRPr="00823081">
        <w:rPr>
          <w:iCs/>
          <w:sz w:val="20"/>
          <w:szCs w:val="20"/>
          <w:lang w:val="en-US"/>
        </w:rPr>
        <w:t>.</w:t>
      </w:r>
      <w:r w:rsidR="003C1806" w:rsidRPr="00823081">
        <w:rPr>
          <w:iCs/>
          <w:sz w:val="20"/>
          <w:szCs w:val="20"/>
          <w:lang w:val="en-US"/>
        </w:rPr>
        <w:t xml:space="preserve"> </w:t>
      </w:r>
      <w:r w:rsidR="00AF68AE" w:rsidRPr="00823081">
        <w:rPr>
          <w:iCs/>
          <w:sz w:val="20"/>
          <w:szCs w:val="20"/>
          <w:lang w:val="en-US"/>
        </w:rPr>
        <w:t>These i</w:t>
      </w:r>
      <w:r w:rsidR="00204DBB" w:rsidRPr="00823081">
        <w:rPr>
          <w:iCs/>
          <w:sz w:val="20"/>
          <w:szCs w:val="20"/>
          <w:lang w:val="en-US"/>
        </w:rPr>
        <w:t xml:space="preserve">ndicators cover </w:t>
      </w:r>
      <w:r w:rsidR="006439F6" w:rsidRPr="00823081">
        <w:rPr>
          <w:iCs/>
          <w:sz w:val="20"/>
          <w:szCs w:val="20"/>
          <w:lang w:val="en-US"/>
        </w:rPr>
        <w:t xml:space="preserve">a </w:t>
      </w:r>
      <w:r w:rsidR="00204DBB" w:rsidRPr="00823081">
        <w:rPr>
          <w:iCs/>
          <w:sz w:val="20"/>
          <w:szCs w:val="20"/>
          <w:lang w:val="en-US"/>
        </w:rPr>
        <w:t>great spectrum of border procedures for more than 160 economies across different income levels, geographical regions, and levels of development. Each Trade Facilitation Indicator is composed of several specific, precise</w:t>
      </w:r>
      <w:r w:rsidR="002A50FF" w:rsidRPr="00823081">
        <w:rPr>
          <w:iCs/>
          <w:sz w:val="20"/>
          <w:szCs w:val="20"/>
          <w:lang w:val="en-US"/>
        </w:rPr>
        <w:t>,</w:t>
      </w:r>
      <w:r w:rsidR="00204DBB" w:rsidRPr="00823081">
        <w:rPr>
          <w:iCs/>
          <w:sz w:val="20"/>
          <w:szCs w:val="20"/>
          <w:lang w:val="en-US"/>
        </w:rPr>
        <w:t xml:space="preserve"> and fact-based variables related to existing trade-related policies and regulations and their implementation in practice.</w:t>
      </w:r>
      <w:r w:rsidR="00814D11" w:rsidRPr="00823081">
        <w:rPr>
          <w:iCs/>
          <w:sz w:val="20"/>
          <w:szCs w:val="20"/>
          <w:lang w:val="en-US"/>
        </w:rPr>
        <w:t xml:space="preserve"> The analysis will be based upon twelve</w:t>
      </w:r>
      <w:r w:rsidR="00AF68AE" w:rsidRPr="00823081">
        <w:rPr>
          <w:iCs/>
          <w:sz w:val="20"/>
          <w:szCs w:val="20"/>
          <w:lang w:val="en-US"/>
        </w:rPr>
        <w:t xml:space="preserve"> Tr</w:t>
      </w:r>
      <w:r w:rsidR="00814D11" w:rsidRPr="00823081">
        <w:rPr>
          <w:iCs/>
          <w:sz w:val="20"/>
          <w:szCs w:val="20"/>
          <w:lang w:val="en-US"/>
        </w:rPr>
        <w:t xml:space="preserve">ade Facilitation Indicators, </w:t>
      </w:r>
      <w:r w:rsidR="00A70FAE" w:rsidRPr="00823081">
        <w:rPr>
          <w:iCs/>
          <w:sz w:val="20"/>
          <w:szCs w:val="20"/>
          <w:lang w:val="en-US"/>
        </w:rPr>
        <w:t xml:space="preserve">separately </w:t>
      </w:r>
      <w:r w:rsidR="00AF68AE" w:rsidRPr="00823081">
        <w:rPr>
          <w:iCs/>
          <w:sz w:val="20"/>
          <w:szCs w:val="20"/>
          <w:lang w:val="en-US"/>
        </w:rPr>
        <w:t>evaluate</w:t>
      </w:r>
      <w:r w:rsidR="00814D11" w:rsidRPr="00823081">
        <w:rPr>
          <w:iCs/>
          <w:sz w:val="20"/>
          <w:szCs w:val="20"/>
          <w:lang w:val="en-US"/>
        </w:rPr>
        <w:t>d by</w:t>
      </w:r>
      <w:r w:rsidR="00AF68AE" w:rsidRPr="00823081">
        <w:rPr>
          <w:iCs/>
          <w:sz w:val="20"/>
          <w:szCs w:val="20"/>
          <w:lang w:val="en-US"/>
        </w:rPr>
        <w:t xml:space="preserve"> </w:t>
      </w:r>
      <w:r w:rsidR="00A70FAE" w:rsidRPr="00823081">
        <w:rPr>
          <w:iCs/>
          <w:sz w:val="20"/>
          <w:szCs w:val="20"/>
          <w:lang w:val="en-US"/>
        </w:rPr>
        <w:t xml:space="preserve">the individual </w:t>
      </w:r>
      <w:r w:rsidR="00E06864" w:rsidRPr="00823081">
        <w:rPr>
          <w:iCs/>
          <w:sz w:val="20"/>
          <w:szCs w:val="20"/>
          <w:lang w:val="en-US"/>
        </w:rPr>
        <w:t>relevance</w:t>
      </w:r>
      <w:r w:rsidR="00A70FAE" w:rsidRPr="00823081">
        <w:rPr>
          <w:iCs/>
          <w:sz w:val="20"/>
          <w:szCs w:val="20"/>
          <w:lang w:val="en-US"/>
        </w:rPr>
        <w:t xml:space="preserve"> of each of them for the regional trade e</w:t>
      </w:r>
      <w:r w:rsidR="00814D11" w:rsidRPr="00823081">
        <w:rPr>
          <w:iCs/>
          <w:sz w:val="20"/>
          <w:szCs w:val="20"/>
          <w:lang w:val="en-US"/>
        </w:rPr>
        <w:t>x</w:t>
      </w:r>
      <w:r w:rsidR="00A70FAE" w:rsidRPr="00823081">
        <w:rPr>
          <w:iCs/>
          <w:sz w:val="20"/>
          <w:szCs w:val="20"/>
          <w:lang w:val="en-US"/>
        </w:rPr>
        <w:t>change.</w:t>
      </w:r>
    </w:p>
    <w:p w14:paraId="28644D75" w14:textId="77777777" w:rsidR="00BF2351" w:rsidRPr="00823081" w:rsidRDefault="00BF2351" w:rsidP="00204DBB">
      <w:pPr>
        <w:ind w:firstLine="720"/>
        <w:rPr>
          <w:sz w:val="20"/>
          <w:szCs w:val="20"/>
        </w:rPr>
      </w:pPr>
    </w:p>
    <w:p w14:paraId="762FB1EC" w14:textId="2B41330E" w:rsidR="00496D2B" w:rsidRPr="00823081" w:rsidRDefault="00496D2B" w:rsidP="00626AFA">
      <w:pPr>
        <w:rPr>
          <w:sz w:val="20"/>
          <w:szCs w:val="20"/>
          <w:lang w:val="en-GB"/>
        </w:rPr>
      </w:pPr>
      <w:r w:rsidRPr="00823081">
        <w:rPr>
          <w:b/>
          <w:sz w:val="20"/>
          <w:szCs w:val="20"/>
          <w:lang w:val="en-GB"/>
        </w:rPr>
        <w:t xml:space="preserve">Keywords: </w:t>
      </w:r>
      <w:r w:rsidR="0021179D" w:rsidRPr="00823081">
        <w:rPr>
          <w:bCs/>
          <w:sz w:val="20"/>
          <w:szCs w:val="20"/>
          <w:lang w:val="en-GB"/>
        </w:rPr>
        <w:t xml:space="preserve">CEFTA-2006, </w:t>
      </w:r>
      <w:r w:rsidR="00AF68AE" w:rsidRPr="00823081">
        <w:rPr>
          <w:bCs/>
          <w:sz w:val="20"/>
          <w:szCs w:val="20"/>
          <w:lang w:val="en-GB"/>
        </w:rPr>
        <w:t xml:space="preserve">OECD Trade Facilitation Indicators, trade facilitation, </w:t>
      </w:r>
      <w:r w:rsidR="00481F58" w:rsidRPr="00823081">
        <w:rPr>
          <w:bCs/>
          <w:sz w:val="20"/>
          <w:szCs w:val="20"/>
          <w:lang w:val="en-GB"/>
        </w:rPr>
        <w:t>gravity model</w:t>
      </w:r>
      <w:r w:rsidR="00AB1E71" w:rsidRPr="00823081">
        <w:rPr>
          <w:bCs/>
          <w:sz w:val="20"/>
          <w:szCs w:val="20"/>
          <w:lang w:val="en-GB"/>
        </w:rPr>
        <w:t>.</w:t>
      </w:r>
    </w:p>
    <w:p w14:paraId="4CB86BB1" w14:textId="48E76978" w:rsidR="000B7E71" w:rsidRPr="00823081" w:rsidRDefault="00496D2B" w:rsidP="008C335E">
      <w:pPr>
        <w:rPr>
          <w:sz w:val="20"/>
          <w:szCs w:val="20"/>
          <w:lang w:val="en-GB"/>
        </w:rPr>
      </w:pPr>
      <w:r w:rsidRPr="00823081">
        <w:rPr>
          <w:b/>
          <w:sz w:val="20"/>
          <w:szCs w:val="20"/>
          <w:lang w:val="en-GB"/>
        </w:rPr>
        <w:t xml:space="preserve">JEL Classification: </w:t>
      </w:r>
      <w:r w:rsidR="00CA0433" w:rsidRPr="00823081">
        <w:rPr>
          <w:sz w:val="20"/>
          <w:szCs w:val="20"/>
        </w:rPr>
        <w:t>F10; F14; C23</w:t>
      </w:r>
    </w:p>
    <w:p w14:paraId="5A0838EB" w14:textId="77777777" w:rsidR="00825C88" w:rsidRDefault="00825C88" w:rsidP="00626AFA">
      <w:pPr>
        <w:spacing w:after="60"/>
        <w:rPr>
          <w:szCs w:val="24"/>
          <w:lang w:val="en-GB"/>
        </w:rPr>
      </w:pPr>
    </w:p>
    <w:p w14:paraId="0A9969DA" w14:textId="77777777" w:rsidR="00823081" w:rsidRPr="00823081" w:rsidRDefault="00823081" w:rsidP="00823081">
      <w:pPr>
        <w:pStyle w:val="ListParagraph"/>
        <w:numPr>
          <w:ilvl w:val="0"/>
          <w:numId w:val="7"/>
        </w:numPr>
        <w:ind w:left="0" w:firstLine="0"/>
        <w:rPr>
          <w:b/>
          <w:bCs/>
          <w:lang w:val="en-GB"/>
        </w:rPr>
      </w:pPr>
      <w:r w:rsidRPr="00823081">
        <w:rPr>
          <w:b/>
          <w:bCs/>
          <w:lang w:val="en-GB"/>
        </w:rPr>
        <w:t>INTRODUCTION</w:t>
      </w:r>
    </w:p>
    <w:p w14:paraId="7594D8A6" w14:textId="77777777" w:rsidR="00823081" w:rsidRDefault="00823081" w:rsidP="00823081">
      <w:pPr>
        <w:rPr>
          <w:lang w:val="en-GB"/>
        </w:rPr>
      </w:pPr>
    </w:p>
    <w:p w14:paraId="68482DF5" w14:textId="7D542D1A" w:rsidR="00823081" w:rsidRDefault="00823081" w:rsidP="00823081">
      <w:pPr>
        <w:pStyle w:val="Default"/>
        <w:jc w:val="both"/>
      </w:pPr>
      <w:r>
        <w:rPr>
          <w:lang w:val="en-GB"/>
        </w:rPr>
        <w:t xml:space="preserve">Like never before in recent history, the COVID-19 pandemic, as well as the latest Ukrainian crises, pointed out to dysfunctional operational problems of global value chains, which suffer the more as they are spread over greater geographic distances. Taking in consideration these latest aspects of international trade, invigorating regional initiatives among </w:t>
      </w:r>
      <w:r w:rsidR="005902E3">
        <w:rPr>
          <w:lang w:val="en-GB"/>
        </w:rPr>
        <w:t>neighbouring</w:t>
      </w:r>
      <w:r>
        <w:rPr>
          <w:lang w:val="en-GB"/>
        </w:rPr>
        <w:t xml:space="preserve"> countries that all belong to a small, compact geographic space or region became even greater importance. Currently</w:t>
      </w:r>
      <w:r w:rsidR="00AB6D5A">
        <w:rPr>
          <w:lang w:val="en-GB"/>
        </w:rPr>
        <w:t>,</w:t>
      </w:r>
      <w:r>
        <w:rPr>
          <w:lang w:val="en-GB"/>
        </w:rPr>
        <w:t xml:space="preserve"> this also applies to CEFTA-2006 regional initiative, which should be transformed from a common Free Trade Area (FTA), as perceived back in 2006, into a Common </w:t>
      </w:r>
      <w:r>
        <w:rPr>
          <w:lang w:val="en-GB"/>
        </w:rPr>
        <w:lastRenderedPageBreak/>
        <w:t xml:space="preserve">Regional Market (CRM) based upon EU laws. To serve this purpose, in 2021, CEFTA member-states passed an Acton Plan for a CRM due to be fully enacted by the end of 2024. The creation of a CRM within CEFTA-2006 is supposed to enable companies from the region to get well </w:t>
      </w:r>
      <w:r w:rsidR="00AB6D5A">
        <w:rPr>
          <w:lang w:val="en-GB"/>
        </w:rPr>
        <w:t>embedded</w:t>
      </w:r>
      <w:r>
        <w:rPr>
          <w:lang w:val="en-GB"/>
        </w:rPr>
        <w:t xml:space="preserve"> into European value chains, thus strengthening their competitiveness both on the EU market and on the global market. By estimation of the World Bank, in case the integration level within CEFTA at a certain point reaches that of EFTA </w:t>
      </w:r>
      <w:r w:rsidR="00AB6D5A">
        <w:rPr>
          <w:lang w:val="en-GB"/>
        </w:rPr>
        <w:t>member-states</w:t>
      </w:r>
      <w:r>
        <w:rPr>
          <w:lang w:val="en-GB"/>
        </w:rPr>
        <w:t xml:space="preserve">, it would generate </w:t>
      </w:r>
      <w:r w:rsidR="00AB6D5A">
        <w:rPr>
          <w:lang w:val="en-GB"/>
        </w:rPr>
        <w:t xml:space="preserve">an </w:t>
      </w:r>
      <w:r>
        <w:rPr>
          <w:lang w:val="en-GB"/>
        </w:rPr>
        <w:t>increment of 2.5% of GDP in the region. If it occasionally reaches the EU level of integration, it will lead to an increment of 6.7% of the GDP annually (</w:t>
      </w:r>
      <w:r w:rsidRPr="008005BC">
        <w:t>World Bank, Western Balkans Regular Economic Report, fall</w:t>
      </w:r>
      <w:r>
        <w:t xml:space="preserve"> 20</w:t>
      </w:r>
      <w:r w:rsidR="00D715C3">
        <w:t>20</w:t>
      </w:r>
      <w:r>
        <w:t>).</w:t>
      </w:r>
      <w:r w:rsidRPr="008005BC">
        <w:t xml:space="preserve"> </w:t>
      </w:r>
    </w:p>
    <w:p w14:paraId="3418021F" w14:textId="77777777" w:rsidR="00823081" w:rsidRDefault="00823081" w:rsidP="00823081">
      <w:pPr>
        <w:pStyle w:val="Default"/>
        <w:jc w:val="both"/>
      </w:pPr>
      <w:r>
        <w:t>The Action Plan is focused on four key areas (CEFTA-2006 Secretariat, Brussels, 2021):</w:t>
      </w:r>
    </w:p>
    <w:p w14:paraId="18162B3E" w14:textId="3C90EE3E" w:rsidR="00823081" w:rsidRPr="00167DA1" w:rsidRDefault="00823081" w:rsidP="00823081">
      <w:pPr>
        <w:pStyle w:val="Default"/>
        <w:numPr>
          <w:ilvl w:val="0"/>
          <w:numId w:val="8"/>
        </w:numPr>
        <w:jc w:val="both"/>
        <w:rPr>
          <w:b/>
        </w:rPr>
      </w:pPr>
      <w:r w:rsidRPr="00823081">
        <w:rPr>
          <w:bCs/>
        </w:rPr>
        <w:t>Creation of a functional regional trade area enabling free movement of goods, services, capital and working force</w:t>
      </w:r>
      <w:r>
        <w:rPr>
          <w:b/>
        </w:rPr>
        <w:t xml:space="preserve"> </w:t>
      </w:r>
      <w:r>
        <w:t xml:space="preserve">by introducing a </w:t>
      </w:r>
      <w:r w:rsidR="00AB6D5A">
        <w:t>cross-cutting</w:t>
      </w:r>
      <w:r>
        <w:t xml:space="preserve"> measures in compliance with EU rules and standards, such as Green Lines which provide trade facilitation to benefit companies and </w:t>
      </w:r>
      <w:r w:rsidR="00367B90">
        <w:t>individuals.</w:t>
      </w:r>
    </w:p>
    <w:p w14:paraId="2585A40B" w14:textId="3B58C745" w:rsidR="00823081" w:rsidRDefault="00823081" w:rsidP="00823081">
      <w:pPr>
        <w:pStyle w:val="Default"/>
        <w:numPr>
          <w:ilvl w:val="0"/>
          <w:numId w:val="8"/>
        </w:numPr>
        <w:jc w:val="both"/>
      </w:pPr>
      <w:r w:rsidRPr="00367B90">
        <w:rPr>
          <w:bCs/>
        </w:rPr>
        <w:t>Creation of a regional investment area</w:t>
      </w:r>
      <w:r>
        <w:rPr>
          <w:b/>
        </w:rPr>
        <w:t xml:space="preserve"> </w:t>
      </w:r>
      <w:r w:rsidRPr="004F66AF">
        <w:t>compliant to the EU</w:t>
      </w:r>
      <w:r>
        <w:t xml:space="preserve"> investment policy, </w:t>
      </w:r>
      <w:proofErr w:type="gramStart"/>
      <w:r>
        <w:t>standards</w:t>
      </w:r>
      <w:proofErr w:type="gramEnd"/>
      <w:r>
        <w:t xml:space="preserve"> and best practices, that would increase the interest of foreign investors for the </w:t>
      </w:r>
      <w:r w:rsidR="00367B90">
        <w:t>region.</w:t>
      </w:r>
    </w:p>
    <w:p w14:paraId="12F30E85" w14:textId="77777777" w:rsidR="00823081" w:rsidRDefault="00823081" w:rsidP="00823081">
      <w:pPr>
        <w:pStyle w:val="Default"/>
        <w:numPr>
          <w:ilvl w:val="0"/>
          <w:numId w:val="8"/>
        </w:numPr>
        <w:jc w:val="both"/>
      </w:pPr>
      <w:r w:rsidRPr="00367B90">
        <w:rPr>
          <w:bCs/>
        </w:rPr>
        <w:t xml:space="preserve">Creation of a regional digital area </w:t>
      </w:r>
      <w:r>
        <w:t>by integrating the Western Balkan region into the European digital market; and</w:t>
      </w:r>
    </w:p>
    <w:p w14:paraId="1176BFAA" w14:textId="434AE80B" w:rsidR="00823081" w:rsidRDefault="00823081" w:rsidP="00367B90">
      <w:pPr>
        <w:pStyle w:val="Default"/>
        <w:numPr>
          <w:ilvl w:val="0"/>
          <w:numId w:val="8"/>
        </w:numPr>
        <w:jc w:val="both"/>
      </w:pPr>
      <w:r w:rsidRPr="00367B90">
        <w:rPr>
          <w:bCs/>
        </w:rPr>
        <w:t>Creation of a regional and industrial innovation area</w:t>
      </w:r>
      <w:r>
        <w:rPr>
          <w:b/>
        </w:rPr>
        <w:t xml:space="preserve"> </w:t>
      </w:r>
      <w:r>
        <w:t>which will support the transformation of the industrial sectors by shaping them to the value chains they belong to, thus helping them to adjust to the current and expected trends in near future.</w:t>
      </w:r>
    </w:p>
    <w:p w14:paraId="391A8D2E" w14:textId="6C586F93" w:rsidR="00823081" w:rsidRDefault="00823081" w:rsidP="00823081">
      <w:pPr>
        <w:pStyle w:val="Default"/>
        <w:jc w:val="both"/>
      </w:pPr>
      <w:r>
        <w:t xml:space="preserve">If one looks closer to each of the key areas the realization of most of the pointed goals is connected to the implementation of a whole set of trade facilitation measures, especially </w:t>
      </w:r>
      <w:r w:rsidR="00367B90">
        <w:t>in</w:t>
      </w:r>
      <w:r>
        <w:t xml:space="preserve"> the trade in goods. Economic literature broadly defines trade facilitation as a way of decrement of all delivery costs of a certain good calculated from the facility in which it is produced to its final consumer (the definition excludes production costs of the good</w:t>
      </w:r>
      <w:r w:rsidR="00367B90">
        <w:t>s</w:t>
      </w:r>
      <w:r>
        <w:t xml:space="preserve">). If trade and customs procedures are inefficient, they increase trading costs, thus making a pressure on importers to pay </w:t>
      </w:r>
      <w:r w:rsidR="004E6EDD">
        <w:t xml:space="preserve">a </w:t>
      </w:r>
      <w:r>
        <w:t xml:space="preserve">higher price for the imported good, on the one hand, and by forcing exporters to decrease sales prices </w:t>
      </w:r>
      <w:r w:rsidR="00367B90">
        <w:t>to</w:t>
      </w:r>
      <w:r>
        <w:t xml:space="preserve"> keep customers and market share, on the other hand. It is confirmed that inefficient cross-border procedures may have a stronger negative impact </w:t>
      </w:r>
      <w:r w:rsidR="004E6EDD">
        <w:t>on</w:t>
      </w:r>
      <w:r>
        <w:t xml:space="preserve"> trading costs in comparison to unfavorable tariff rates, as at the end pa</w:t>
      </w:r>
      <w:r w:rsidR="00367B90">
        <w:t>i</w:t>
      </w:r>
      <w:r>
        <w:t>d tariffs become an income to the Government of the national economy. Some measurements point out that trading costs in developed economies create the same effect upon the trade exchange in goods as tariff rates of 134% ad valorem, while in developing countries the effect equals to tariff rates of 219% ad valorem (WTO, 201</w:t>
      </w:r>
      <w:r w:rsidR="00730F69">
        <w:t>5</w:t>
      </w:r>
      <w:r>
        <w:t>). Elimination of inefficient cross-border procedures and decrement of trade costs is said to be a win-win situation for both importers and exporters – the first ones will import with lower prices, and the second ones will be able to cash in better prices for the traded goods. The trade facilitation model applied in different economic theories (</w:t>
      </w:r>
      <w:proofErr w:type="spellStart"/>
      <w:r>
        <w:t>Heksher</w:t>
      </w:r>
      <w:proofErr w:type="spellEnd"/>
      <w:r>
        <w:t>-Olin, Krugman) points out that although beneficial for all economies, positive</w:t>
      </w:r>
      <w:r w:rsidR="004E6EDD">
        <w:t xml:space="preserve"> </w:t>
      </w:r>
      <w:r>
        <w:t xml:space="preserve">effects by its implementation would be especially significant for the work-intensive industries and for less developed small economies. Also, due to the decrement of trade costs that cumulate along the value chain in the case of products with high level of finalization or sophistication, less developed countries could also </w:t>
      </w:r>
      <w:r w:rsidR="00367B90">
        <w:t>gain from</w:t>
      </w:r>
      <w:r>
        <w:t xml:space="preserve"> the decrement of both fixed and variable costs, which would ease their integration within the value chain of the certain industry. </w:t>
      </w:r>
    </w:p>
    <w:p w14:paraId="7F49125C" w14:textId="136F43E4" w:rsidR="00823081" w:rsidRPr="00823081" w:rsidRDefault="00823081" w:rsidP="00823081">
      <w:pPr>
        <w:pStyle w:val="Default"/>
        <w:jc w:val="both"/>
        <w:rPr>
          <w:color w:val="auto"/>
        </w:rPr>
      </w:pPr>
      <w:r>
        <w:rPr>
          <w:color w:val="auto"/>
        </w:rPr>
        <w:t xml:space="preserve">The trade facilitation process which started about 5 years ago based on the ratification of WTO’s Trade Facilitation Agreement, clearly apostrophizes the need of replacing trade documents in physical paper form with paperless trade. For that </w:t>
      </w:r>
      <w:r w:rsidR="00367B90">
        <w:rPr>
          <w:color w:val="auto"/>
        </w:rPr>
        <w:t>purpose,</w:t>
      </w:r>
      <w:r>
        <w:rPr>
          <w:color w:val="auto"/>
        </w:rPr>
        <w:t xml:space="preserve"> the focus of the most important international organizations and institutions involved in international trade in goods is especially directed to the possibility of full digitalization of the trade exchange of goods by the establishment of compatible digital platforms and standardization of the digital form of the </w:t>
      </w:r>
      <w:r>
        <w:rPr>
          <w:color w:val="auto"/>
        </w:rPr>
        <w:lastRenderedPageBreak/>
        <w:t>most important trade documents. Without compatibility and standardization of the processes and of digital documents, international trade would be burdened with additional barriers that would prevent liberal trade exchange of goods.</w:t>
      </w:r>
    </w:p>
    <w:p w14:paraId="1945923D" w14:textId="3DB9A7CD" w:rsidR="00055EEF" w:rsidRDefault="00FE77CF" w:rsidP="00823081">
      <w:pPr>
        <w:pStyle w:val="Default"/>
        <w:jc w:val="both"/>
        <w:rPr>
          <w:iCs/>
          <w:lang w:val="pl-PL"/>
        </w:rPr>
      </w:pPr>
      <w:r>
        <w:t xml:space="preserve">The aim of this paper is to define the impact of </w:t>
      </w:r>
      <w:r w:rsidR="00055EEF">
        <w:t xml:space="preserve">OECD Trade Facilitation Indicators (TFIs) on trade between CEFTA-2006 members for increasing regional trade integration. For this purpose, we apply </w:t>
      </w:r>
      <w:r w:rsidR="00823081">
        <w:t xml:space="preserve">gravity model upon </w:t>
      </w:r>
      <w:r w:rsidR="00367B90">
        <w:t>eleven</w:t>
      </w:r>
      <w:r w:rsidR="00823081">
        <w:t xml:space="preserve"> </w:t>
      </w:r>
      <w:r w:rsidR="00823081" w:rsidRPr="000569B0">
        <w:rPr>
          <w:iCs/>
        </w:rPr>
        <w:t>OECD Trade Facilitation Indicators</w:t>
      </w:r>
      <w:r w:rsidR="00823081">
        <w:rPr>
          <w:iCs/>
        </w:rPr>
        <w:t xml:space="preserve"> </w:t>
      </w:r>
      <w:r w:rsidR="00055EEF">
        <w:rPr>
          <w:iCs/>
        </w:rPr>
        <w:t>for six</w:t>
      </w:r>
      <w:r w:rsidR="00823081">
        <w:rPr>
          <w:iCs/>
        </w:rPr>
        <w:t xml:space="preserve"> CEFTA </w:t>
      </w:r>
      <w:r w:rsidR="004E6EDD">
        <w:rPr>
          <w:iCs/>
        </w:rPr>
        <w:t>member parties</w:t>
      </w:r>
      <w:r w:rsidR="00055EEF">
        <w:rPr>
          <w:iCs/>
        </w:rPr>
        <w:t>:</w:t>
      </w:r>
      <w:r w:rsidR="00055EEF" w:rsidRPr="00055EEF">
        <w:rPr>
          <w:rFonts w:ascii="Century Gothic" w:eastAsia="Calibri" w:hAnsi="Century Gothic" w:cstheme="minorBidi"/>
          <w:color w:val="000000" w:themeColor="text1"/>
          <w:kern w:val="24"/>
          <w:sz w:val="32"/>
          <w:szCs w:val="32"/>
          <w:lang w:val="pl-PL"/>
        </w:rPr>
        <w:t xml:space="preserve"> </w:t>
      </w:r>
      <w:r w:rsidR="00055EEF" w:rsidRPr="00055EEF">
        <w:rPr>
          <w:iCs/>
          <w:lang w:val="pl-PL"/>
        </w:rPr>
        <w:t>Albania, Bosnia and Hercegovina, Montenegro, Moldova, North Macedonia, and Serbia. For Kosovo there are no T</w:t>
      </w:r>
      <w:r w:rsidR="00055EEF">
        <w:rPr>
          <w:iCs/>
          <w:lang w:val="pl-PL"/>
        </w:rPr>
        <w:t>F</w:t>
      </w:r>
      <w:r w:rsidR="00055EEF" w:rsidRPr="00055EEF">
        <w:rPr>
          <w:iCs/>
          <w:lang w:val="pl-PL"/>
        </w:rPr>
        <w:t>Is</w:t>
      </w:r>
      <w:r w:rsidR="00055EEF">
        <w:rPr>
          <w:iCs/>
          <w:lang w:val="pl-PL"/>
        </w:rPr>
        <w:t xml:space="preserve">. </w:t>
      </w:r>
    </w:p>
    <w:p w14:paraId="31525E6A" w14:textId="106A9BEF" w:rsidR="00823081" w:rsidRDefault="00055EEF" w:rsidP="00823081">
      <w:pPr>
        <w:pStyle w:val="Default"/>
        <w:jc w:val="both"/>
        <w:rPr>
          <w:iCs/>
        </w:rPr>
      </w:pPr>
      <w:r>
        <w:rPr>
          <w:iCs/>
          <w:lang w:val="pl-PL"/>
        </w:rPr>
        <w:t>The structure of the paper i</w:t>
      </w:r>
      <w:r w:rsidR="00823081">
        <w:rPr>
          <w:iCs/>
        </w:rPr>
        <w:t>s</w:t>
      </w:r>
      <w:r>
        <w:rPr>
          <w:iCs/>
        </w:rPr>
        <w:t xml:space="preserve"> as follows: after the introduction in the second section</w:t>
      </w:r>
      <w:r w:rsidR="004E6EDD">
        <w:rPr>
          <w:iCs/>
        </w:rPr>
        <w:t>,</w:t>
      </w:r>
      <w:r>
        <w:rPr>
          <w:iCs/>
        </w:rPr>
        <w:t xml:space="preserve"> we provide </w:t>
      </w:r>
      <w:r w:rsidR="00823081">
        <w:rPr>
          <w:iCs/>
        </w:rPr>
        <w:t xml:space="preserve"> relevant literature review on </w:t>
      </w:r>
      <w:r w:rsidR="004E6EDD">
        <w:rPr>
          <w:iCs/>
        </w:rPr>
        <w:t xml:space="preserve">the </w:t>
      </w:r>
      <w:r w:rsidR="00823081">
        <w:rPr>
          <w:iCs/>
        </w:rPr>
        <w:t xml:space="preserve">implementation </w:t>
      </w:r>
      <w:r>
        <w:rPr>
          <w:iCs/>
        </w:rPr>
        <w:t xml:space="preserve">of </w:t>
      </w:r>
      <w:r w:rsidR="00823081">
        <w:rPr>
          <w:iCs/>
        </w:rPr>
        <w:t>TFA measures and the effects thereof</w:t>
      </w:r>
      <w:r>
        <w:rPr>
          <w:iCs/>
        </w:rPr>
        <w:t xml:space="preserve">. In the third section we provide stylized facts on the implementation of trade facilitation measures in CEFTA-2006 </w:t>
      </w:r>
      <w:r w:rsidR="004E6EDD">
        <w:rPr>
          <w:iCs/>
        </w:rPr>
        <w:t>member parties</w:t>
      </w:r>
      <w:r>
        <w:rPr>
          <w:iCs/>
        </w:rPr>
        <w:t xml:space="preserve">. The fourth section explains the model and the data applied. </w:t>
      </w:r>
      <w:r w:rsidR="00823081">
        <w:rPr>
          <w:iCs/>
        </w:rPr>
        <w:t xml:space="preserve"> </w:t>
      </w:r>
      <w:r>
        <w:rPr>
          <w:iCs/>
        </w:rPr>
        <w:t>In the fifth section we provide the results and in the last section we give conclusion and some recommendations.</w:t>
      </w:r>
    </w:p>
    <w:p w14:paraId="6D892D70" w14:textId="77777777" w:rsidR="00823081" w:rsidRDefault="00823081" w:rsidP="00823081">
      <w:pPr>
        <w:pStyle w:val="Default"/>
        <w:jc w:val="both"/>
        <w:rPr>
          <w:iCs/>
        </w:rPr>
      </w:pPr>
    </w:p>
    <w:p w14:paraId="13CC3561" w14:textId="77777777" w:rsidR="00823081" w:rsidRPr="00E67E1D" w:rsidRDefault="00823081" w:rsidP="00823081">
      <w:pPr>
        <w:pStyle w:val="ListParagraph"/>
        <w:numPr>
          <w:ilvl w:val="0"/>
          <w:numId w:val="9"/>
        </w:numPr>
        <w:ind w:left="0" w:firstLine="0"/>
        <w:rPr>
          <w:b/>
          <w:bCs/>
        </w:rPr>
      </w:pPr>
      <w:r w:rsidRPr="00E67E1D">
        <w:rPr>
          <w:b/>
          <w:bCs/>
        </w:rPr>
        <w:t>LITERATURE REVIEW</w:t>
      </w:r>
    </w:p>
    <w:p w14:paraId="1C2891DF" w14:textId="77777777" w:rsidR="00823081" w:rsidRPr="005E0706" w:rsidRDefault="00823081" w:rsidP="00823081">
      <w:pPr>
        <w:pStyle w:val="ListParagraph"/>
        <w:rPr>
          <w:b/>
          <w:bCs/>
        </w:rPr>
      </w:pPr>
    </w:p>
    <w:p w14:paraId="5B70E45D" w14:textId="77777777" w:rsidR="00823081" w:rsidRPr="00D058E9" w:rsidRDefault="00823081" w:rsidP="00823081">
      <w:pPr>
        <w:rPr>
          <w:szCs w:val="24"/>
        </w:rPr>
      </w:pPr>
      <w:r w:rsidRPr="00577FDE">
        <w:rPr>
          <w:szCs w:val="24"/>
        </w:rPr>
        <w:t xml:space="preserve">Trade facilitation </w:t>
      </w:r>
      <w:r>
        <w:rPr>
          <w:szCs w:val="24"/>
        </w:rPr>
        <w:t>refers to a set of</w:t>
      </w:r>
      <w:r w:rsidRPr="00577FDE">
        <w:rPr>
          <w:szCs w:val="24"/>
        </w:rPr>
        <w:t xml:space="preserve"> policy measures </w:t>
      </w:r>
      <w:r>
        <w:rPr>
          <w:szCs w:val="24"/>
        </w:rPr>
        <w:t>focused on</w:t>
      </w:r>
      <w:r w:rsidRPr="00577FDE">
        <w:rPr>
          <w:szCs w:val="24"/>
        </w:rPr>
        <w:t xml:space="preserve"> </w:t>
      </w:r>
      <w:r>
        <w:rPr>
          <w:szCs w:val="24"/>
        </w:rPr>
        <w:t xml:space="preserve">the </w:t>
      </w:r>
      <w:r w:rsidRPr="00577FDE">
        <w:rPr>
          <w:szCs w:val="24"/>
        </w:rPr>
        <w:t>reduc</w:t>
      </w:r>
      <w:r>
        <w:rPr>
          <w:szCs w:val="24"/>
        </w:rPr>
        <w:t>tion of</w:t>
      </w:r>
      <w:r w:rsidRPr="00577FDE">
        <w:rPr>
          <w:szCs w:val="24"/>
        </w:rPr>
        <w:t xml:space="preserve"> the costs of international trade </w:t>
      </w:r>
      <w:r>
        <w:rPr>
          <w:szCs w:val="24"/>
        </w:rPr>
        <w:t>exchange well beyond</w:t>
      </w:r>
      <w:r w:rsidRPr="00577FDE">
        <w:rPr>
          <w:szCs w:val="24"/>
        </w:rPr>
        <w:t xml:space="preserve"> </w:t>
      </w:r>
      <w:r>
        <w:rPr>
          <w:szCs w:val="24"/>
        </w:rPr>
        <w:t xml:space="preserve">the </w:t>
      </w:r>
      <w:r w:rsidRPr="00577FDE">
        <w:rPr>
          <w:szCs w:val="24"/>
        </w:rPr>
        <w:t>traditional market access policy tool</w:t>
      </w:r>
      <w:r>
        <w:rPr>
          <w:szCs w:val="24"/>
        </w:rPr>
        <w:t>kit</w:t>
      </w:r>
      <w:r w:rsidRPr="00577FDE">
        <w:rPr>
          <w:szCs w:val="24"/>
        </w:rPr>
        <w:t>.</w:t>
      </w:r>
      <w:r>
        <w:rPr>
          <w:szCs w:val="24"/>
        </w:rPr>
        <w:t xml:space="preserve"> In that sense, the empirical evidence points to the trade costs reduction and the increase in exports and imports as the most visible benefits of </w:t>
      </w:r>
      <w:r w:rsidRPr="00CA34CF">
        <w:rPr>
          <w:szCs w:val="24"/>
        </w:rPr>
        <w:t>trade facilitation</w:t>
      </w:r>
      <w:r>
        <w:rPr>
          <w:szCs w:val="24"/>
        </w:rPr>
        <w:t xml:space="preserve">. Even though the relevant literature </w:t>
      </w:r>
      <w:r w:rsidRPr="00FA2240">
        <w:rPr>
          <w:szCs w:val="24"/>
        </w:rPr>
        <w:t>predominantly measure</w:t>
      </w:r>
      <w:r>
        <w:rPr>
          <w:szCs w:val="24"/>
        </w:rPr>
        <w:t>s</w:t>
      </w:r>
      <w:r w:rsidRPr="00FA2240">
        <w:rPr>
          <w:szCs w:val="24"/>
        </w:rPr>
        <w:t xml:space="preserve"> </w:t>
      </w:r>
      <w:r>
        <w:rPr>
          <w:szCs w:val="24"/>
        </w:rPr>
        <w:t xml:space="preserve">the effects of trade facilitation in terms of trade costs and trade flows, other potential advantages may occur as well, such as an increase in </w:t>
      </w:r>
      <w:r w:rsidRPr="00FA2240">
        <w:rPr>
          <w:szCs w:val="24"/>
        </w:rPr>
        <w:t>export diversification</w:t>
      </w:r>
      <w:r>
        <w:rPr>
          <w:szCs w:val="24"/>
        </w:rPr>
        <w:t>,</w:t>
      </w:r>
      <w:r w:rsidRPr="00FA2240">
        <w:rPr>
          <w:szCs w:val="24"/>
        </w:rPr>
        <w:t xml:space="preserve"> productivity</w:t>
      </w:r>
      <w:r>
        <w:rPr>
          <w:szCs w:val="24"/>
        </w:rPr>
        <w:t>,</w:t>
      </w:r>
      <w:r w:rsidRPr="00FA2240">
        <w:rPr>
          <w:szCs w:val="24"/>
        </w:rPr>
        <w:t xml:space="preserve"> employment</w:t>
      </w:r>
      <w:r>
        <w:rPr>
          <w:szCs w:val="24"/>
        </w:rPr>
        <w:t>,</w:t>
      </w:r>
      <w:r w:rsidRPr="00FA2240">
        <w:rPr>
          <w:szCs w:val="24"/>
        </w:rPr>
        <w:t xml:space="preserve"> </w:t>
      </w:r>
      <w:r>
        <w:rPr>
          <w:szCs w:val="24"/>
        </w:rPr>
        <w:t xml:space="preserve">FDI inflows, etc. This section reviews the relevant literature and discusses the main findings on the impact of trade facilitation measures. </w:t>
      </w:r>
    </w:p>
    <w:p w14:paraId="14F5A126" w14:textId="77777777" w:rsidR="00823081" w:rsidRDefault="00823081" w:rsidP="00823081">
      <w:pPr>
        <w:rPr>
          <w:szCs w:val="24"/>
        </w:rPr>
      </w:pPr>
      <w:r w:rsidRPr="00425A88">
        <w:rPr>
          <w:szCs w:val="24"/>
        </w:rPr>
        <w:t xml:space="preserve">The first stream of research examines trade facilitation measures in general and estimates their influence on trade flows and trade costs. </w:t>
      </w:r>
      <w:r>
        <w:rPr>
          <w:szCs w:val="24"/>
        </w:rPr>
        <w:t xml:space="preserve">The first major study of the effects of the implementation of </w:t>
      </w:r>
      <w:r w:rsidRPr="00224719">
        <w:rPr>
          <w:szCs w:val="24"/>
        </w:rPr>
        <w:t>the WTO</w:t>
      </w:r>
      <w:r>
        <w:rPr>
          <w:szCs w:val="24"/>
        </w:rPr>
        <w:t xml:space="preserve"> </w:t>
      </w:r>
      <w:r w:rsidRPr="00224719">
        <w:rPr>
          <w:szCs w:val="24"/>
        </w:rPr>
        <w:t>Trade Facilitation Agreemen</w:t>
      </w:r>
      <w:r>
        <w:rPr>
          <w:szCs w:val="24"/>
        </w:rPr>
        <w:t xml:space="preserve">t </w:t>
      </w:r>
      <w:r w:rsidRPr="005C5403">
        <w:rPr>
          <w:szCs w:val="24"/>
        </w:rPr>
        <w:t>us</w:t>
      </w:r>
      <w:r>
        <w:rPr>
          <w:szCs w:val="24"/>
        </w:rPr>
        <w:t>es</w:t>
      </w:r>
      <w:r w:rsidRPr="005C5403">
        <w:rPr>
          <w:szCs w:val="24"/>
        </w:rPr>
        <w:t xml:space="preserve"> two </w:t>
      </w:r>
      <w:r>
        <w:rPr>
          <w:szCs w:val="24"/>
        </w:rPr>
        <w:t xml:space="preserve">distinct </w:t>
      </w:r>
      <w:r w:rsidRPr="005C5403">
        <w:rPr>
          <w:szCs w:val="24"/>
        </w:rPr>
        <w:t>methodological approaches</w:t>
      </w:r>
      <w:r>
        <w:rPr>
          <w:szCs w:val="24"/>
        </w:rPr>
        <w:t xml:space="preserve"> - a gravity model and a general equilibrium model and indicates substantial economic benefits (WTO, 2015). Under the conservative scenario, the gravity model predicts an increase in exports under the intensive margin of trade of at least 9.1%. Also, the estimates imply</w:t>
      </w:r>
      <w:r>
        <w:rPr>
          <w:szCs w:val="24"/>
          <w:lang w:val="mk-MK"/>
        </w:rPr>
        <w:t xml:space="preserve"> </w:t>
      </w:r>
      <w:r>
        <w:rPr>
          <w:szCs w:val="24"/>
        </w:rPr>
        <w:t xml:space="preserve">that the largest gains should be expected for the developing and low-income countries, with additional potential benefits in the form of increased FDI, larger government revenues and </w:t>
      </w:r>
      <w:r w:rsidRPr="008A34B6">
        <w:rPr>
          <w:szCs w:val="24"/>
        </w:rPr>
        <w:t>reduce</w:t>
      </w:r>
      <w:r>
        <w:rPr>
          <w:szCs w:val="24"/>
        </w:rPr>
        <w:t>d</w:t>
      </w:r>
      <w:r w:rsidRPr="008A34B6">
        <w:rPr>
          <w:szCs w:val="24"/>
        </w:rPr>
        <w:t xml:space="preserve"> customs fraud and corruption</w:t>
      </w:r>
      <w:r>
        <w:rPr>
          <w:szCs w:val="24"/>
        </w:rPr>
        <w:t xml:space="preserve">. In the paper by </w:t>
      </w:r>
      <w:r w:rsidRPr="00153DF0">
        <w:rPr>
          <w:szCs w:val="24"/>
        </w:rPr>
        <w:t>Beverelli et al. (2015)</w:t>
      </w:r>
      <w:r>
        <w:rPr>
          <w:szCs w:val="24"/>
        </w:rPr>
        <w:t xml:space="preserve">, the estimated impact </w:t>
      </w:r>
      <w:r w:rsidRPr="00153DF0">
        <w:rPr>
          <w:szCs w:val="24"/>
        </w:rPr>
        <w:t>of trade facilitation on export diversification as measured by extensive margins of trade</w:t>
      </w:r>
      <w:r>
        <w:rPr>
          <w:szCs w:val="24"/>
        </w:rPr>
        <w:t xml:space="preserve"> amounts to at least 0.23%. In addition, despite the fact that all countries </w:t>
      </w:r>
      <w:r w:rsidRPr="00100FFC">
        <w:rPr>
          <w:szCs w:val="24"/>
        </w:rPr>
        <w:t xml:space="preserve">and geographical regions </w:t>
      </w:r>
      <w:r>
        <w:rPr>
          <w:szCs w:val="24"/>
        </w:rPr>
        <w:t>are expected to reap the gains from trade facilitation measures</w:t>
      </w:r>
      <w:r w:rsidRPr="00100FFC">
        <w:t xml:space="preserve"> </w:t>
      </w:r>
      <w:r>
        <w:rPr>
          <w:szCs w:val="24"/>
        </w:rPr>
        <w:t>by</w:t>
      </w:r>
      <w:r w:rsidRPr="00100FFC">
        <w:rPr>
          <w:szCs w:val="24"/>
        </w:rPr>
        <w:t xml:space="preserve"> </w:t>
      </w:r>
      <w:r>
        <w:rPr>
          <w:szCs w:val="24"/>
        </w:rPr>
        <w:t xml:space="preserve">reducing </w:t>
      </w:r>
      <w:r w:rsidRPr="00100FFC">
        <w:rPr>
          <w:szCs w:val="24"/>
        </w:rPr>
        <w:t>trade costs</w:t>
      </w:r>
      <w:r>
        <w:rPr>
          <w:szCs w:val="24"/>
        </w:rPr>
        <w:t xml:space="preserve">, </w:t>
      </w:r>
      <w:r w:rsidRPr="00100FFC">
        <w:rPr>
          <w:szCs w:val="24"/>
        </w:rPr>
        <w:t>developing and least-developed countries</w:t>
      </w:r>
      <w:r>
        <w:rPr>
          <w:szCs w:val="24"/>
        </w:rPr>
        <w:t xml:space="preserve"> are considered to benefit the most.</w:t>
      </w:r>
    </w:p>
    <w:p w14:paraId="2E33EEB8" w14:textId="093B030E" w:rsidR="00823081" w:rsidRDefault="00823081" w:rsidP="00823081">
      <w:pPr>
        <w:rPr>
          <w:szCs w:val="24"/>
        </w:rPr>
      </w:pPr>
      <w:r w:rsidRPr="00C7448D">
        <w:rPr>
          <w:szCs w:val="24"/>
        </w:rPr>
        <w:t xml:space="preserve">The second </w:t>
      </w:r>
      <w:r>
        <w:rPr>
          <w:szCs w:val="24"/>
        </w:rPr>
        <w:t>stream of literature explores in detail</w:t>
      </w:r>
      <w:r w:rsidRPr="00C7448D">
        <w:rPr>
          <w:szCs w:val="24"/>
        </w:rPr>
        <w:t xml:space="preserve"> the contributions of </w:t>
      </w:r>
      <w:r>
        <w:rPr>
          <w:szCs w:val="24"/>
        </w:rPr>
        <w:t>the particular</w:t>
      </w:r>
      <w:r w:rsidRPr="00C7448D">
        <w:rPr>
          <w:szCs w:val="24"/>
        </w:rPr>
        <w:t xml:space="preserve"> kinds of trade facilitation measures </w:t>
      </w:r>
      <w:r>
        <w:rPr>
          <w:szCs w:val="24"/>
        </w:rPr>
        <w:t xml:space="preserve">to </w:t>
      </w:r>
      <w:r w:rsidRPr="00C7448D">
        <w:rPr>
          <w:szCs w:val="24"/>
        </w:rPr>
        <w:t>trade</w:t>
      </w:r>
      <w:r>
        <w:rPr>
          <w:szCs w:val="24"/>
        </w:rPr>
        <w:t xml:space="preserve"> flow increase and </w:t>
      </w:r>
      <w:r w:rsidRPr="00C7448D">
        <w:rPr>
          <w:szCs w:val="24"/>
        </w:rPr>
        <w:t xml:space="preserve">trade </w:t>
      </w:r>
      <w:r>
        <w:rPr>
          <w:szCs w:val="24"/>
        </w:rPr>
        <w:t>cost</w:t>
      </w:r>
      <w:r w:rsidRPr="00C7448D">
        <w:rPr>
          <w:szCs w:val="24"/>
        </w:rPr>
        <w:t xml:space="preserve"> reduction.</w:t>
      </w:r>
      <w:r>
        <w:rPr>
          <w:szCs w:val="24"/>
        </w:rPr>
        <w:t xml:space="preserve"> Extensive research </w:t>
      </w:r>
      <w:r w:rsidRPr="00D069B6">
        <w:rPr>
          <w:szCs w:val="24"/>
        </w:rPr>
        <w:t xml:space="preserve">by </w:t>
      </w:r>
      <w:r w:rsidRPr="00434CA9">
        <w:rPr>
          <w:szCs w:val="24"/>
        </w:rPr>
        <w:t xml:space="preserve">Moïsé </w:t>
      </w:r>
      <w:r>
        <w:rPr>
          <w:szCs w:val="24"/>
        </w:rPr>
        <w:t>et al.</w:t>
      </w:r>
      <w:r w:rsidRPr="00434CA9">
        <w:rPr>
          <w:szCs w:val="24"/>
        </w:rPr>
        <w:t xml:space="preserve"> (2013) incorporates the separate OECD trade facilitation indicators into a gravity model for a large sample of countries. The authors identify the formalities in border procedures</w:t>
      </w:r>
      <w:r w:rsidRPr="002D6262">
        <w:rPr>
          <w:szCs w:val="24"/>
        </w:rPr>
        <w:t xml:space="preserve"> and documents </w:t>
      </w:r>
      <w:r>
        <w:rPr>
          <w:szCs w:val="24"/>
        </w:rPr>
        <w:t xml:space="preserve">as some of </w:t>
      </w:r>
      <w:r w:rsidRPr="002D6262">
        <w:rPr>
          <w:szCs w:val="24"/>
        </w:rPr>
        <w:t>the</w:t>
      </w:r>
      <w:r>
        <w:rPr>
          <w:szCs w:val="24"/>
        </w:rPr>
        <w:t xml:space="preserve"> </w:t>
      </w:r>
      <w:r w:rsidRPr="002D6262">
        <w:rPr>
          <w:szCs w:val="24"/>
        </w:rPr>
        <w:t xml:space="preserve">most important factors for </w:t>
      </w:r>
      <w:r w:rsidRPr="00545AFE">
        <w:rPr>
          <w:szCs w:val="24"/>
        </w:rPr>
        <w:t>reducing trade costs</w:t>
      </w:r>
      <w:r>
        <w:rPr>
          <w:szCs w:val="24"/>
        </w:rPr>
        <w:t xml:space="preserve">, and simultaneously, as drivers for </w:t>
      </w:r>
      <w:r w:rsidRPr="00286E9C">
        <w:rPr>
          <w:szCs w:val="24"/>
        </w:rPr>
        <w:t>increasing the intensive margin of trade</w:t>
      </w:r>
      <w:r w:rsidRPr="00286E9C">
        <w:t xml:space="preserve"> </w:t>
      </w:r>
      <w:r>
        <w:rPr>
          <w:szCs w:val="24"/>
        </w:rPr>
        <w:t>in</w:t>
      </w:r>
      <w:r w:rsidRPr="00286E9C">
        <w:rPr>
          <w:szCs w:val="24"/>
        </w:rPr>
        <w:t xml:space="preserve"> developing countries</w:t>
      </w:r>
      <w:r>
        <w:rPr>
          <w:szCs w:val="24"/>
        </w:rPr>
        <w:t>. In addition</w:t>
      </w:r>
      <w:r w:rsidRPr="0006530F">
        <w:rPr>
          <w:szCs w:val="24"/>
        </w:rPr>
        <w:t>,</w:t>
      </w:r>
      <w:r>
        <w:rPr>
          <w:szCs w:val="24"/>
        </w:rPr>
        <w:t xml:space="preserve"> their analysis also proves that </w:t>
      </w:r>
      <w:r w:rsidRPr="0006530F">
        <w:rPr>
          <w:szCs w:val="24"/>
        </w:rPr>
        <w:t>information availability has</w:t>
      </w:r>
      <w:r w:rsidRPr="009B3CF0">
        <w:rPr>
          <w:szCs w:val="24"/>
        </w:rPr>
        <w:t xml:space="preserve"> one of the</w:t>
      </w:r>
      <w:r>
        <w:rPr>
          <w:szCs w:val="24"/>
        </w:rPr>
        <w:t xml:space="preserve"> </w:t>
      </w:r>
      <w:r w:rsidRPr="009B3CF0">
        <w:rPr>
          <w:szCs w:val="24"/>
        </w:rPr>
        <w:t xml:space="preserve">strongest </w:t>
      </w:r>
      <w:r>
        <w:rPr>
          <w:szCs w:val="24"/>
        </w:rPr>
        <w:t>impacts</w:t>
      </w:r>
      <w:r w:rsidRPr="009B3CF0">
        <w:rPr>
          <w:szCs w:val="24"/>
        </w:rPr>
        <w:t xml:space="preserve"> </w:t>
      </w:r>
      <w:r w:rsidRPr="00545AFE">
        <w:rPr>
          <w:szCs w:val="24"/>
        </w:rPr>
        <w:t>on exports of</w:t>
      </w:r>
      <w:r w:rsidRPr="009B3CF0">
        <w:rPr>
          <w:szCs w:val="24"/>
        </w:rPr>
        <w:t xml:space="preserve"> middle and low-income countries.</w:t>
      </w:r>
      <w:r>
        <w:rPr>
          <w:szCs w:val="24"/>
        </w:rPr>
        <w:t xml:space="preserve"> Further</w:t>
      </w:r>
      <w:r w:rsidRPr="0006530F">
        <w:rPr>
          <w:szCs w:val="24"/>
        </w:rPr>
        <w:t xml:space="preserve"> empirical evidence show</w:t>
      </w:r>
      <w:r>
        <w:rPr>
          <w:szCs w:val="24"/>
        </w:rPr>
        <w:t>ing</w:t>
      </w:r>
      <w:r w:rsidRPr="0006530F">
        <w:rPr>
          <w:szCs w:val="24"/>
        </w:rPr>
        <w:t xml:space="preserve"> that measures aimed at simplifying border procedures have positive effects on trade flows through </w:t>
      </w:r>
      <w:r>
        <w:rPr>
          <w:szCs w:val="24"/>
        </w:rPr>
        <w:t xml:space="preserve">a decrease in </w:t>
      </w:r>
      <w:r w:rsidRPr="0006530F">
        <w:rPr>
          <w:szCs w:val="24"/>
        </w:rPr>
        <w:t>trade costs</w:t>
      </w:r>
      <w:r>
        <w:rPr>
          <w:szCs w:val="24"/>
        </w:rPr>
        <w:t xml:space="preserve"> includes the studies by </w:t>
      </w:r>
      <w:r w:rsidRPr="0006530F">
        <w:rPr>
          <w:szCs w:val="24"/>
        </w:rPr>
        <w:t xml:space="preserve">Fernandes et al. </w:t>
      </w:r>
      <w:r>
        <w:rPr>
          <w:szCs w:val="24"/>
        </w:rPr>
        <w:t>(</w:t>
      </w:r>
      <w:r w:rsidRPr="0006530F">
        <w:rPr>
          <w:szCs w:val="24"/>
        </w:rPr>
        <w:t>2015</w:t>
      </w:r>
      <w:r>
        <w:rPr>
          <w:szCs w:val="24"/>
        </w:rPr>
        <w:t xml:space="preserve">) and </w:t>
      </w:r>
      <w:r w:rsidRPr="00D63A34">
        <w:rPr>
          <w:szCs w:val="24"/>
        </w:rPr>
        <w:t xml:space="preserve">Fernandes et al. </w:t>
      </w:r>
      <w:r>
        <w:rPr>
          <w:szCs w:val="24"/>
        </w:rPr>
        <w:t>(</w:t>
      </w:r>
      <w:r w:rsidRPr="00D63A34">
        <w:rPr>
          <w:szCs w:val="24"/>
        </w:rPr>
        <w:t>201</w:t>
      </w:r>
      <w:r>
        <w:rPr>
          <w:szCs w:val="24"/>
        </w:rPr>
        <w:t xml:space="preserve">6), </w:t>
      </w:r>
      <w:r w:rsidRPr="00D63A34">
        <w:rPr>
          <w:szCs w:val="24"/>
        </w:rPr>
        <w:t>Volpe Martincus et</w:t>
      </w:r>
      <w:r>
        <w:rPr>
          <w:szCs w:val="24"/>
        </w:rPr>
        <w:t xml:space="preserve"> </w:t>
      </w:r>
      <w:r w:rsidRPr="00D63A34">
        <w:rPr>
          <w:szCs w:val="24"/>
        </w:rPr>
        <w:t xml:space="preserve">al. </w:t>
      </w:r>
      <w:r>
        <w:rPr>
          <w:szCs w:val="24"/>
        </w:rPr>
        <w:t>(</w:t>
      </w:r>
      <w:r w:rsidRPr="00D63A34">
        <w:rPr>
          <w:szCs w:val="24"/>
        </w:rPr>
        <w:t>2015</w:t>
      </w:r>
      <w:r>
        <w:rPr>
          <w:szCs w:val="24"/>
        </w:rPr>
        <w:t>) and Persson (2013)</w:t>
      </w:r>
      <w:r w:rsidRPr="0006530F">
        <w:rPr>
          <w:szCs w:val="24"/>
        </w:rPr>
        <w:t>.</w:t>
      </w:r>
      <w:r>
        <w:rPr>
          <w:szCs w:val="24"/>
        </w:rPr>
        <w:t xml:space="preserve"> </w:t>
      </w:r>
      <w:r w:rsidRPr="00FD0B22">
        <w:rPr>
          <w:szCs w:val="24"/>
        </w:rPr>
        <w:t xml:space="preserve">Fernandes et al. </w:t>
      </w:r>
      <w:r>
        <w:rPr>
          <w:szCs w:val="24"/>
        </w:rPr>
        <w:t>(</w:t>
      </w:r>
      <w:r w:rsidRPr="00FD0B22">
        <w:rPr>
          <w:szCs w:val="24"/>
        </w:rPr>
        <w:t>2015)</w:t>
      </w:r>
      <w:r>
        <w:rPr>
          <w:szCs w:val="24"/>
        </w:rPr>
        <w:t xml:space="preserve"> investigate the manifold impacts of t</w:t>
      </w:r>
      <w:r w:rsidRPr="00E56D90">
        <w:rPr>
          <w:szCs w:val="24"/>
        </w:rPr>
        <w:t xml:space="preserve">he reduction of annual physical inspection rates </w:t>
      </w:r>
      <w:r>
        <w:rPr>
          <w:szCs w:val="24"/>
        </w:rPr>
        <w:t xml:space="preserve">on imports </w:t>
      </w:r>
      <w:r w:rsidRPr="00E56D90">
        <w:rPr>
          <w:szCs w:val="24"/>
        </w:rPr>
        <w:lastRenderedPageBreak/>
        <w:t>in</w:t>
      </w:r>
      <w:r>
        <w:rPr>
          <w:szCs w:val="24"/>
        </w:rPr>
        <w:t xml:space="preserve"> </w:t>
      </w:r>
      <w:r w:rsidRPr="00E56D90">
        <w:rPr>
          <w:szCs w:val="24"/>
        </w:rPr>
        <w:t>Albania</w:t>
      </w:r>
      <w:r>
        <w:rPr>
          <w:szCs w:val="24"/>
        </w:rPr>
        <w:t xml:space="preserve">. </w:t>
      </w:r>
      <w:r w:rsidRPr="00E56D90">
        <w:rPr>
          <w:szCs w:val="24"/>
        </w:rPr>
        <w:t xml:space="preserve"> </w:t>
      </w:r>
      <w:r>
        <w:rPr>
          <w:szCs w:val="24"/>
        </w:rPr>
        <w:t>Firstly, this has resulted in a reduction in the import clearing time, followed by positive effects on imports in Albania across the intensive margin of trade (</w:t>
      </w:r>
      <w:r w:rsidRPr="00305E86">
        <w:rPr>
          <w:szCs w:val="24"/>
        </w:rPr>
        <w:t xml:space="preserve">increased </w:t>
      </w:r>
      <w:r>
        <w:rPr>
          <w:szCs w:val="24"/>
        </w:rPr>
        <w:t xml:space="preserve">volume of </w:t>
      </w:r>
      <w:r w:rsidRPr="00305E86">
        <w:rPr>
          <w:szCs w:val="24"/>
        </w:rPr>
        <w:t>imports</w:t>
      </w:r>
      <w:r>
        <w:rPr>
          <w:szCs w:val="24"/>
        </w:rPr>
        <w:t xml:space="preserve">), as well as across the extensive margin (rise in the </w:t>
      </w:r>
      <w:r w:rsidRPr="00305E86">
        <w:rPr>
          <w:szCs w:val="24"/>
        </w:rPr>
        <w:t xml:space="preserve">number of importing firms </w:t>
      </w:r>
      <w:r>
        <w:rPr>
          <w:szCs w:val="24"/>
        </w:rPr>
        <w:t xml:space="preserve">and </w:t>
      </w:r>
      <w:r w:rsidRPr="00305E86">
        <w:rPr>
          <w:szCs w:val="24"/>
        </w:rPr>
        <w:t>the number of trading partners</w:t>
      </w:r>
      <w:r>
        <w:rPr>
          <w:szCs w:val="24"/>
        </w:rPr>
        <w:t xml:space="preserve">). Another paper by </w:t>
      </w:r>
      <w:r w:rsidRPr="00C631AF">
        <w:rPr>
          <w:szCs w:val="24"/>
        </w:rPr>
        <w:t>Fernandes et al. (2016)</w:t>
      </w:r>
      <w:r>
        <w:rPr>
          <w:szCs w:val="24"/>
        </w:rPr>
        <w:t xml:space="preserve"> is focused on the evaluation of the effects of</w:t>
      </w:r>
      <w:r w:rsidRPr="00D117C3">
        <w:rPr>
          <w:szCs w:val="24"/>
        </w:rPr>
        <w:t xml:space="preserve"> in-house clearance</w:t>
      </w:r>
      <w:r>
        <w:rPr>
          <w:szCs w:val="24"/>
        </w:rPr>
        <w:t xml:space="preserve"> in Serbia</w:t>
      </w:r>
      <w:r w:rsidRPr="00D117C3">
        <w:rPr>
          <w:szCs w:val="24"/>
        </w:rPr>
        <w:t>, a</w:t>
      </w:r>
      <w:r>
        <w:rPr>
          <w:szCs w:val="24"/>
        </w:rPr>
        <w:t xml:space="preserve"> </w:t>
      </w:r>
      <w:r w:rsidRPr="00D117C3">
        <w:rPr>
          <w:szCs w:val="24"/>
        </w:rPr>
        <w:t xml:space="preserve">reform that allows </w:t>
      </w:r>
      <w:r>
        <w:rPr>
          <w:szCs w:val="24"/>
        </w:rPr>
        <w:t>selected</w:t>
      </w:r>
      <w:r w:rsidRPr="00D117C3">
        <w:rPr>
          <w:szCs w:val="24"/>
        </w:rPr>
        <w:t xml:space="preserve"> firms in </w:t>
      </w:r>
      <w:r>
        <w:rPr>
          <w:szCs w:val="24"/>
        </w:rPr>
        <w:t>the county</w:t>
      </w:r>
      <w:r w:rsidRPr="00D117C3">
        <w:rPr>
          <w:szCs w:val="24"/>
        </w:rPr>
        <w:t xml:space="preserve"> to clear customs</w:t>
      </w:r>
      <w:r>
        <w:rPr>
          <w:szCs w:val="24"/>
        </w:rPr>
        <w:t xml:space="preserve"> </w:t>
      </w:r>
      <w:r w:rsidRPr="00D117C3">
        <w:rPr>
          <w:szCs w:val="24"/>
        </w:rPr>
        <w:t xml:space="preserve">in their own warehouse </w:t>
      </w:r>
      <w:r>
        <w:rPr>
          <w:szCs w:val="24"/>
        </w:rPr>
        <w:t>instead of</w:t>
      </w:r>
      <w:r w:rsidRPr="00D117C3">
        <w:rPr>
          <w:szCs w:val="24"/>
        </w:rPr>
        <w:t xml:space="preserve"> the customs</w:t>
      </w:r>
      <w:r>
        <w:rPr>
          <w:szCs w:val="24"/>
        </w:rPr>
        <w:t xml:space="preserve"> </w:t>
      </w:r>
      <w:r w:rsidRPr="00D117C3">
        <w:rPr>
          <w:szCs w:val="24"/>
        </w:rPr>
        <w:t>office.</w:t>
      </w:r>
      <w:r>
        <w:rPr>
          <w:szCs w:val="24"/>
        </w:rPr>
        <w:t xml:space="preserve"> The only statistically significant gain of the</w:t>
      </w:r>
      <w:r w:rsidRPr="00E56D90">
        <w:rPr>
          <w:szCs w:val="24"/>
        </w:rPr>
        <w:t xml:space="preserve"> in-house clearing program </w:t>
      </w:r>
      <w:r>
        <w:rPr>
          <w:szCs w:val="24"/>
        </w:rPr>
        <w:t xml:space="preserve">is the </w:t>
      </w:r>
      <w:r w:rsidRPr="00E56D90">
        <w:rPr>
          <w:szCs w:val="24"/>
        </w:rPr>
        <w:t>reduced variability</w:t>
      </w:r>
      <w:r>
        <w:rPr>
          <w:szCs w:val="24"/>
        </w:rPr>
        <w:t xml:space="preserve"> </w:t>
      </w:r>
      <w:r w:rsidRPr="00E56D90">
        <w:rPr>
          <w:szCs w:val="24"/>
        </w:rPr>
        <w:t xml:space="preserve">of clearance times, </w:t>
      </w:r>
      <w:r>
        <w:rPr>
          <w:szCs w:val="24"/>
        </w:rPr>
        <w:t>with a lack of visible benefits in terms of</w:t>
      </w:r>
      <w:r w:rsidRPr="00E56D90">
        <w:rPr>
          <w:szCs w:val="24"/>
        </w:rPr>
        <w:t xml:space="preserve"> clearance times, inspection</w:t>
      </w:r>
      <w:r>
        <w:rPr>
          <w:szCs w:val="24"/>
        </w:rPr>
        <w:t xml:space="preserve"> </w:t>
      </w:r>
      <w:r w:rsidRPr="00E56D90">
        <w:rPr>
          <w:szCs w:val="24"/>
        </w:rPr>
        <w:t>rates, and total imports.</w:t>
      </w:r>
      <w:r>
        <w:rPr>
          <w:szCs w:val="24"/>
        </w:rPr>
        <w:t xml:space="preserve"> </w:t>
      </w:r>
      <w:r w:rsidRPr="008A0A0A">
        <w:rPr>
          <w:szCs w:val="24"/>
        </w:rPr>
        <w:t xml:space="preserve">Volpe Martincus et al. </w:t>
      </w:r>
      <w:r>
        <w:rPr>
          <w:szCs w:val="24"/>
        </w:rPr>
        <w:t>(</w:t>
      </w:r>
      <w:r w:rsidRPr="008A0A0A">
        <w:rPr>
          <w:szCs w:val="24"/>
        </w:rPr>
        <w:t>2015)</w:t>
      </w:r>
      <w:r>
        <w:rPr>
          <w:szCs w:val="24"/>
        </w:rPr>
        <w:t xml:space="preserve"> </w:t>
      </w:r>
      <w:r w:rsidRPr="008A0A0A">
        <w:rPr>
          <w:szCs w:val="24"/>
        </w:rPr>
        <w:t>estimate the effects of custom-related delays on firms’</w:t>
      </w:r>
      <w:r>
        <w:rPr>
          <w:szCs w:val="24"/>
        </w:rPr>
        <w:t xml:space="preserve"> </w:t>
      </w:r>
      <w:r w:rsidRPr="008A0A0A">
        <w:rPr>
          <w:szCs w:val="24"/>
        </w:rPr>
        <w:t>exports</w:t>
      </w:r>
      <w:r>
        <w:rPr>
          <w:szCs w:val="24"/>
        </w:rPr>
        <w:t xml:space="preserve"> in</w:t>
      </w:r>
      <w:r w:rsidRPr="008A0A0A">
        <w:rPr>
          <w:szCs w:val="24"/>
        </w:rPr>
        <w:t xml:space="preserve"> Uruguay</w:t>
      </w:r>
      <w:r>
        <w:rPr>
          <w:szCs w:val="24"/>
        </w:rPr>
        <w:t xml:space="preserve"> and their r</w:t>
      </w:r>
      <w:r w:rsidRPr="008A0A0A">
        <w:rPr>
          <w:szCs w:val="24"/>
        </w:rPr>
        <w:t>esults suggest that delays have a significant</w:t>
      </w:r>
      <w:r>
        <w:rPr>
          <w:szCs w:val="24"/>
        </w:rPr>
        <w:t xml:space="preserve"> </w:t>
      </w:r>
      <w:r w:rsidRPr="008A0A0A">
        <w:rPr>
          <w:szCs w:val="24"/>
        </w:rPr>
        <w:t>negative impact on firms’ exports</w:t>
      </w:r>
      <w:r>
        <w:rPr>
          <w:szCs w:val="24"/>
        </w:rPr>
        <w:t xml:space="preserve">, especially </w:t>
      </w:r>
      <w:r w:rsidRPr="008A0A0A">
        <w:rPr>
          <w:szCs w:val="24"/>
        </w:rPr>
        <w:t>to newer buyers.</w:t>
      </w:r>
      <w:r>
        <w:rPr>
          <w:szCs w:val="24"/>
        </w:rPr>
        <w:t xml:space="preserve"> </w:t>
      </w:r>
      <w:r w:rsidRPr="00CA27B1">
        <w:rPr>
          <w:szCs w:val="24"/>
        </w:rPr>
        <w:t>Th</w:t>
      </w:r>
      <w:r>
        <w:rPr>
          <w:szCs w:val="24"/>
        </w:rPr>
        <w:t>e</w:t>
      </w:r>
      <w:r w:rsidRPr="00CA27B1">
        <w:rPr>
          <w:szCs w:val="24"/>
        </w:rPr>
        <w:t xml:space="preserve"> paper </w:t>
      </w:r>
      <w:r>
        <w:rPr>
          <w:szCs w:val="24"/>
        </w:rPr>
        <w:t xml:space="preserve">by </w:t>
      </w:r>
      <w:r w:rsidRPr="002D767D">
        <w:rPr>
          <w:szCs w:val="24"/>
        </w:rPr>
        <w:t xml:space="preserve">Persson </w:t>
      </w:r>
      <w:r>
        <w:rPr>
          <w:szCs w:val="24"/>
        </w:rPr>
        <w:t>(</w:t>
      </w:r>
      <w:r w:rsidRPr="002D767D">
        <w:rPr>
          <w:szCs w:val="24"/>
        </w:rPr>
        <w:t>2013)</w:t>
      </w:r>
      <w:r>
        <w:rPr>
          <w:szCs w:val="24"/>
        </w:rPr>
        <w:t xml:space="preserve"> </w:t>
      </w:r>
      <w:r w:rsidRPr="00CA27B1">
        <w:rPr>
          <w:szCs w:val="24"/>
        </w:rPr>
        <w:t xml:space="preserve">tests whether trade facilitation affects the extensive margin by counting the number of </w:t>
      </w:r>
      <w:r>
        <w:rPr>
          <w:szCs w:val="24"/>
        </w:rPr>
        <w:t xml:space="preserve">exported </w:t>
      </w:r>
      <w:r w:rsidRPr="00CA27B1">
        <w:rPr>
          <w:szCs w:val="24"/>
        </w:rPr>
        <w:t xml:space="preserve">products from developing </w:t>
      </w:r>
      <w:r w:rsidR="00730F69">
        <w:rPr>
          <w:szCs w:val="24"/>
        </w:rPr>
        <w:t xml:space="preserve">countries </w:t>
      </w:r>
      <w:r w:rsidRPr="00CA27B1">
        <w:rPr>
          <w:szCs w:val="24"/>
        </w:rPr>
        <w:t>to EU countries</w:t>
      </w:r>
      <w:r>
        <w:rPr>
          <w:szCs w:val="24"/>
        </w:rPr>
        <w:t>. Their</w:t>
      </w:r>
      <w:r w:rsidRPr="00CA27B1">
        <w:rPr>
          <w:szCs w:val="24"/>
        </w:rPr>
        <w:t xml:space="preserve"> results suggest that </w:t>
      </w:r>
      <w:r>
        <w:rPr>
          <w:szCs w:val="24"/>
        </w:rPr>
        <w:t>a decline in the</w:t>
      </w:r>
      <w:r w:rsidRPr="00CA27B1">
        <w:rPr>
          <w:szCs w:val="24"/>
        </w:rPr>
        <w:t xml:space="preserve"> number of days needed to export </w:t>
      </w:r>
      <w:r>
        <w:rPr>
          <w:szCs w:val="24"/>
        </w:rPr>
        <w:t xml:space="preserve">leads to an </w:t>
      </w:r>
      <w:r w:rsidRPr="002D767D">
        <w:rPr>
          <w:szCs w:val="24"/>
        </w:rPr>
        <w:t>increase</w:t>
      </w:r>
      <w:r>
        <w:rPr>
          <w:szCs w:val="24"/>
        </w:rPr>
        <w:t xml:space="preserve"> in</w:t>
      </w:r>
      <w:r w:rsidRPr="002D767D">
        <w:rPr>
          <w:szCs w:val="24"/>
        </w:rPr>
        <w:t xml:space="preserve"> the diversity of exported products, with </w:t>
      </w:r>
      <w:r>
        <w:rPr>
          <w:szCs w:val="24"/>
        </w:rPr>
        <w:t>more pronounced</w:t>
      </w:r>
      <w:r w:rsidRPr="002D767D">
        <w:rPr>
          <w:szCs w:val="24"/>
        </w:rPr>
        <w:t xml:space="preserve"> effects </w:t>
      </w:r>
      <w:r>
        <w:rPr>
          <w:szCs w:val="24"/>
        </w:rPr>
        <w:t>on</w:t>
      </w:r>
      <w:r w:rsidRPr="002D767D">
        <w:rPr>
          <w:szCs w:val="24"/>
        </w:rPr>
        <w:t xml:space="preserve"> differentiated products</w:t>
      </w:r>
      <w:r>
        <w:rPr>
          <w:szCs w:val="24"/>
        </w:rPr>
        <w:t>.</w:t>
      </w:r>
    </w:p>
    <w:p w14:paraId="1959E05D" w14:textId="00E92D7C" w:rsidR="00823081" w:rsidRDefault="00823081" w:rsidP="00823081">
      <w:pPr>
        <w:rPr>
          <w:szCs w:val="24"/>
        </w:rPr>
      </w:pPr>
      <w:r>
        <w:rPr>
          <w:szCs w:val="24"/>
        </w:rPr>
        <w:t>The empirical literature provides insights into another important dimension of trade facilitation, which is</w:t>
      </w:r>
      <w:r w:rsidRPr="0064477A">
        <w:rPr>
          <w:szCs w:val="24"/>
        </w:rPr>
        <w:t xml:space="preserve"> </w:t>
      </w:r>
      <w:r>
        <w:rPr>
          <w:szCs w:val="24"/>
        </w:rPr>
        <w:t xml:space="preserve">related to the </w:t>
      </w:r>
      <w:r w:rsidRPr="0064477A">
        <w:rPr>
          <w:szCs w:val="24"/>
        </w:rPr>
        <w:t>improve</w:t>
      </w:r>
      <w:r>
        <w:rPr>
          <w:szCs w:val="24"/>
        </w:rPr>
        <w:t xml:space="preserve">ment of </w:t>
      </w:r>
      <w:r w:rsidRPr="0064477A">
        <w:rPr>
          <w:szCs w:val="24"/>
        </w:rPr>
        <w:t>information availability</w:t>
      </w:r>
      <w:r>
        <w:rPr>
          <w:szCs w:val="24"/>
        </w:rPr>
        <w:t xml:space="preserve">, </w:t>
      </w:r>
      <w:r w:rsidRPr="0064477A">
        <w:rPr>
          <w:szCs w:val="24"/>
        </w:rPr>
        <w:t>harmonization and integratio</w:t>
      </w:r>
      <w:r>
        <w:rPr>
          <w:szCs w:val="24"/>
        </w:rPr>
        <w:t>n. The study by</w:t>
      </w:r>
      <w:r w:rsidRPr="0064477A">
        <w:rPr>
          <w:szCs w:val="24"/>
        </w:rPr>
        <w:t xml:space="preserve"> Fontagné et al. (2016)</w:t>
      </w:r>
      <w:r>
        <w:rPr>
          <w:szCs w:val="24"/>
        </w:rPr>
        <w:t xml:space="preserve"> analyzes French firm-level data</w:t>
      </w:r>
      <w:r w:rsidRPr="0064477A">
        <w:rPr>
          <w:szCs w:val="24"/>
        </w:rPr>
        <w:t xml:space="preserve"> </w:t>
      </w:r>
      <w:r>
        <w:rPr>
          <w:szCs w:val="24"/>
        </w:rPr>
        <w:t xml:space="preserve">and </w:t>
      </w:r>
      <w:r w:rsidRPr="0064477A">
        <w:rPr>
          <w:szCs w:val="24"/>
        </w:rPr>
        <w:t>show</w:t>
      </w:r>
      <w:r>
        <w:rPr>
          <w:szCs w:val="24"/>
        </w:rPr>
        <w:t xml:space="preserve">s </w:t>
      </w:r>
      <w:r w:rsidRPr="0064477A">
        <w:rPr>
          <w:szCs w:val="24"/>
        </w:rPr>
        <w:t xml:space="preserve">that information availability and </w:t>
      </w:r>
      <w:r w:rsidR="00D00A98">
        <w:rPr>
          <w:szCs w:val="24"/>
        </w:rPr>
        <w:t>advanced</w:t>
      </w:r>
      <w:r w:rsidRPr="0064477A">
        <w:rPr>
          <w:szCs w:val="24"/>
        </w:rPr>
        <w:t xml:space="preserve"> rulings on the product classification and</w:t>
      </w:r>
      <w:r>
        <w:rPr>
          <w:szCs w:val="24"/>
        </w:rPr>
        <w:t xml:space="preserve"> </w:t>
      </w:r>
      <w:r w:rsidRPr="0064477A">
        <w:rPr>
          <w:szCs w:val="24"/>
        </w:rPr>
        <w:t>origin of good</w:t>
      </w:r>
      <w:r>
        <w:rPr>
          <w:szCs w:val="24"/>
        </w:rPr>
        <w:t>s</w:t>
      </w:r>
      <w:r w:rsidRPr="0064477A">
        <w:rPr>
          <w:szCs w:val="24"/>
        </w:rPr>
        <w:t xml:space="preserve">, have </w:t>
      </w:r>
      <w:r>
        <w:rPr>
          <w:szCs w:val="24"/>
        </w:rPr>
        <w:t>a positive</w:t>
      </w:r>
      <w:r w:rsidRPr="0064477A">
        <w:rPr>
          <w:szCs w:val="24"/>
        </w:rPr>
        <w:t xml:space="preserve"> </w:t>
      </w:r>
      <w:r>
        <w:rPr>
          <w:szCs w:val="24"/>
        </w:rPr>
        <w:t>impact</w:t>
      </w:r>
      <w:r w:rsidRPr="0064477A">
        <w:rPr>
          <w:szCs w:val="24"/>
        </w:rPr>
        <w:t xml:space="preserve"> on the exports of small</w:t>
      </w:r>
      <w:r>
        <w:rPr>
          <w:szCs w:val="24"/>
        </w:rPr>
        <w:t xml:space="preserve"> </w:t>
      </w:r>
      <w:r w:rsidRPr="0064477A">
        <w:rPr>
          <w:szCs w:val="24"/>
        </w:rPr>
        <w:t xml:space="preserve">firms in both </w:t>
      </w:r>
      <w:r>
        <w:rPr>
          <w:szCs w:val="24"/>
        </w:rPr>
        <w:t xml:space="preserve">intensive and extensive margin of trade. In addition, the research by </w:t>
      </w:r>
      <w:r w:rsidRPr="00E60E2C">
        <w:rPr>
          <w:szCs w:val="24"/>
        </w:rPr>
        <w:t xml:space="preserve">Fernandes et al. </w:t>
      </w:r>
      <w:r>
        <w:rPr>
          <w:szCs w:val="24"/>
        </w:rPr>
        <w:t>(</w:t>
      </w:r>
      <w:r w:rsidRPr="00E60E2C">
        <w:rPr>
          <w:szCs w:val="24"/>
        </w:rPr>
        <w:t>2017)</w:t>
      </w:r>
      <w:r>
        <w:rPr>
          <w:szCs w:val="24"/>
        </w:rPr>
        <w:t xml:space="preserve"> </w:t>
      </w:r>
      <w:r w:rsidRPr="00012781">
        <w:rPr>
          <w:szCs w:val="24"/>
        </w:rPr>
        <w:t>shows that product standards significantly affect</w:t>
      </w:r>
      <w:r>
        <w:rPr>
          <w:szCs w:val="24"/>
        </w:rPr>
        <w:t xml:space="preserve"> access to </w:t>
      </w:r>
      <w:r w:rsidRPr="00012781">
        <w:rPr>
          <w:szCs w:val="24"/>
        </w:rPr>
        <w:t>foreign market</w:t>
      </w:r>
      <w:r>
        <w:rPr>
          <w:szCs w:val="24"/>
        </w:rPr>
        <w:t>s</w:t>
      </w:r>
      <w:r w:rsidRPr="00012781">
        <w:rPr>
          <w:szCs w:val="24"/>
        </w:rPr>
        <w:t xml:space="preserve">. </w:t>
      </w:r>
      <w:r>
        <w:rPr>
          <w:szCs w:val="24"/>
        </w:rPr>
        <w:t>In particular, the restrictiveness of the product standards results in</w:t>
      </w:r>
      <w:r w:rsidRPr="00012781">
        <w:rPr>
          <w:szCs w:val="24"/>
        </w:rPr>
        <w:t xml:space="preserve"> </w:t>
      </w:r>
      <w:r>
        <w:rPr>
          <w:szCs w:val="24"/>
        </w:rPr>
        <w:t xml:space="preserve">a </w:t>
      </w:r>
      <w:r w:rsidRPr="00012781">
        <w:rPr>
          <w:szCs w:val="24"/>
        </w:rPr>
        <w:t>lower</w:t>
      </w:r>
      <w:r>
        <w:rPr>
          <w:szCs w:val="24"/>
        </w:rPr>
        <w:t xml:space="preserve"> </w:t>
      </w:r>
      <w:r w:rsidRPr="00012781">
        <w:rPr>
          <w:szCs w:val="24"/>
        </w:rPr>
        <w:t xml:space="preserve">probability of </w:t>
      </w:r>
      <w:r>
        <w:rPr>
          <w:szCs w:val="24"/>
        </w:rPr>
        <w:t>firms exporting,</w:t>
      </w:r>
      <w:r w:rsidRPr="00012781">
        <w:rPr>
          <w:szCs w:val="24"/>
        </w:rPr>
        <w:t xml:space="preserve"> </w:t>
      </w:r>
      <w:r>
        <w:rPr>
          <w:szCs w:val="24"/>
        </w:rPr>
        <w:t>reduced values and quantity of</w:t>
      </w:r>
      <w:r w:rsidRPr="00012781">
        <w:rPr>
          <w:szCs w:val="24"/>
        </w:rPr>
        <w:t xml:space="preserve"> their export</w:t>
      </w:r>
      <w:r>
        <w:rPr>
          <w:szCs w:val="24"/>
        </w:rPr>
        <w:t xml:space="preserve">s, </w:t>
      </w:r>
      <w:r w:rsidRPr="00685FEE">
        <w:rPr>
          <w:szCs w:val="24"/>
        </w:rPr>
        <w:t>discourages firm</w:t>
      </w:r>
      <w:r>
        <w:rPr>
          <w:szCs w:val="24"/>
        </w:rPr>
        <w:t>s</w:t>
      </w:r>
      <w:r w:rsidRPr="00685FEE">
        <w:rPr>
          <w:szCs w:val="24"/>
        </w:rPr>
        <w:t xml:space="preserve"> from entering new market</w:t>
      </w:r>
      <w:r>
        <w:rPr>
          <w:szCs w:val="24"/>
        </w:rPr>
        <w:t>s</w:t>
      </w:r>
      <w:r w:rsidRPr="00685FEE">
        <w:rPr>
          <w:szCs w:val="24"/>
        </w:rPr>
        <w:t xml:space="preserve"> and increases</w:t>
      </w:r>
      <w:r>
        <w:rPr>
          <w:szCs w:val="24"/>
        </w:rPr>
        <w:t xml:space="preserve"> </w:t>
      </w:r>
      <w:r w:rsidRPr="00685FEE">
        <w:rPr>
          <w:szCs w:val="24"/>
        </w:rPr>
        <w:t xml:space="preserve">the probability of </w:t>
      </w:r>
      <w:r>
        <w:rPr>
          <w:szCs w:val="24"/>
        </w:rPr>
        <w:t xml:space="preserve">their </w:t>
      </w:r>
      <w:r w:rsidRPr="00685FEE">
        <w:rPr>
          <w:szCs w:val="24"/>
        </w:rPr>
        <w:t>exit.</w:t>
      </w:r>
    </w:p>
    <w:p w14:paraId="28010942" w14:textId="77777777" w:rsidR="00823081" w:rsidRDefault="00823081" w:rsidP="00823081">
      <w:pPr>
        <w:rPr>
          <w:szCs w:val="24"/>
        </w:rPr>
      </w:pPr>
      <w:r>
        <w:rPr>
          <w:szCs w:val="24"/>
        </w:rPr>
        <w:t>The m</w:t>
      </w:r>
      <w:r w:rsidRPr="000074A5">
        <w:rPr>
          <w:szCs w:val="24"/>
        </w:rPr>
        <w:t xml:space="preserve">odernization of border operations </w:t>
      </w:r>
      <w:r>
        <w:rPr>
          <w:szCs w:val="24"/>
        </w:rPr>
        <w:t>through</w:t>
      </w:r>
      <w:r w:rsidRPr="000074A5">
        <w:rPr>
          <w:szCs w:val="24"/>
        </w:rPr>
        <w:t xml:space="preserve"> automation</w:t>
      </w:r>
      <w:r>
        <w:rPr>
          <w:szCs w:val="24"/>
        </w:rPr>
        <w:t xml:space="preserve"> and ICT implementation is considered to bring many </w:t>
      </w:r>
      <w:r w:rsidRPr="007035D4">
        <w:rPr>
          <w:szCs w:val="24"/>
        </w:rPr>
        <w:t>advantages for trad</w:t>
      </w:r>
      <w:r>
        <w:rPr>
          <w:szCs w:val="24"/>
        </w:rPr>
        <w:t>e, but the empirical literature on this topic is still rather scarce</w:t>
      </w:r>
      <w:r w:rsidRPr="000074A5">
        <w:rPr>
          <w:szCs w:val="24"/>
        </w:rPr>
        <w:t>.</w:t>
      </w:r>
      <w:r>
        <w:rPr>
          <w:szCs w:val="24"/>
        </w:rPr>
        <w:t xml:space="preserve">  Still, some studies offer clear evidence of the benefits of a</w:t>
      </w:r>
      <w:r w:rsidRPr="009560ED">
        <w:rPr>
          <w:szCs w:val="24"/>
        </w:rPr>
        <w:t>utomation</w:t>
      </w:r>
      <w:r>
        <w:rPr>
          <w:szCs w:val="24"/>
        </w:rPr>
        <w:t xml:space="preserve"> in terms of the reduction of </w:t>
      </w:r>
      <w:r w:rsidRPr="009560ED">
        <w:rPr>
          <w:szCs w:val="24"/>
        </w:rPr>
        <w:t xml:space="preserve">the </w:t>
      </w:r>
      <w:r>
        <w:rPr>
          <w:szCs w:val="24"/>
        </w:rPr>
        <w:t xml:space="preserve">border </w:t>
      </w:r>
      <w:r w:rsidRPr="009560ED">
        <w:rPr>
          <w:szCs w:val="24"/>
        </w:rPr>
        <w:t>time</w:t>
      </w:r>
      <w:r>
        <w:rPr>
          <w:szCs w:val="24"/>
        </w:rPr>
        <w:t xml:space="preserve">, thereby reducing trade costs for developing countries </w:t>
      </w:r>
      <w:r w:rsidRPr="009560ED">
        <w:rPr>
          <w:szCs w:val="24"/>
        </w:rPr>
        <w:t xml:space="preserve">(Hillberry </w:t>
      </w:r>
      <w:r>
        <w:rPr>
          <w:szCs w:val="24"/>
        </w:rPr>
        <w:t>et al.,</w:t>
      </w:r>
      <w:r w:rsidRPr="009560ED">
        <w:rPr>
          <w:szCs w:val="24"/>
        </w:rPr>
        <w:t xml:space="preserve"> 2015</w:t>
      </w:r>
      <w:r>
        <w:rPr>
          <w:szCs w:val="24"/>
        </w:rPr>
        <w:t xml:space="preserve">, </w:t>
      </w:r>
      <w:r w:rsidRPr="00001A25">
        <w:rPr>
          <w:szCs w:val="24"/>
        </w:rPr>
        <w:t xml:space="preserve">Moïsé </w:t>
      </w:r>
      <w:r>
        <w:rPr>
          <w:szCs w:val="24"/>
        </w:rPr>
        <w:t xml:space="preserve">et al., </w:t>
      </w:r>
      <w:r w:rsidRPr="00001A25">
        <w:rPr>
          <w:szCs w:val="24"/>
        </w:rPr>
        <w:t>2013).</w:t>
      </w:r>
      <w:r>
        <w:rPr>
          <w:szCs w:val="24"/>
        </w:rPr>
        <w:t xml:space="preserve"> More recently, the UNECE report on</w:t>
      </w:r>
      <w:r w:rsidRPr="002E139E">
        <w:rPr>
          <w:szCs w:val="24"/>
        </w:rPr>
        <w:t xml:space="preserve"> the Global Survey on</w:t>
      </w:r>
      <w:r>
        <w:rPr>
          <w:szCs w:val="24"/>
        </w:rPr>
        <w:t xml:space="preserve"> </w:t>
      </w:r>
      <w:r w:rsidRPr="002E139E">
        <w:rPr>
          <w:szCs w:val="24"/>
        </w:rPr>
        <w:t xml:space="preserve">Digital and Sustainable Trade Facilitation </w:t>
      </w:r>
      <w:r>
        <w:rPr>
          <w:szCs w:val="24"/>
        </w:rPr>
        <w:t>shows that the average</w:t>
      </w:r>
      <w:r w:rsidRPr="00E80EC9">
        <w:rPr>
          <w:szCs w:val="24"/>
        </w:rPr>
        <w:t xml:space="preserve"> implementation rates</w:t>
      </w:r>
      <w:r>
        <w:rPr>
          <w:szCs w:val="24"/>
        </w:rPr>
        <w:t xml:space="preserve"> </w:t>
      </w:r>
      <w:r w:rsidRPr="00E80EC9">
        <w:rPr>
          <w:szCs w:val="24"/>
        </w:rPr>
        <w:t xml:space="preserve">of digital trade facilitation measures </w:t>
      </w:r>
      <w:r>
        <w:rPr>
          <w:szCs w:val="24"/>
        </w:rPr>
        <w:t>are</w:t>
      </w:r>
      <w:r w:rsidRPr="00E80EC9">
        <w:rPr>
          <w:szCs w:val="24"/>
        </w:rPr>
        <w:t xml:space="preserve"> </w:t>
      </w:r>
      <w:r>
        <w:rPr>
          <w:szCs w:val="24"/>
        </w:rPr>
        <w:t xml:space="preserve">still relatively </w:t>
      </w:r>
      <w:r w:rsidRPr="00E80EC9">
        <w:rPr>
          <w:szCs w:val="24"/>
        </w:rPr>
        <w:t>low</w:t>
      </w:r>
      <w:r>
        <w:rPr>
          <w:szCs w:val="24"/>
        </w:rPr>
        <w:t xml:space="preserve">.  According to the report, that </w:t>
      </w:r>
      <w:r w:rsidRPr="00E80EC9">
        <w:rPr>
          <w:szCs w:val="24"/>
        </w:rPr>
        <w:t>could be related to the</w:t>
      </w:r>
      <w:r>
        <w:rPr>
          <w:szCs w:val="24"/>
        </w:rPr>
        <w:t xml:space="preserve"> </w:t>
      </w:r>
      <w:r w:rsidRPr="00E80EC9">
        <w:rPr>
          <w:szCs w:val="24"/>
        </w:rPr>
        <w:t xml:space="preserve">low level of digitalization, the </w:t>
      </w:r>
      <w:r>
        <w:rPr>
          <w:szCs w:val="24"/>
        </w:rPr>
        <w:t>in</w:t>
      </w:r>
      <w:r w:rsidRPr="00E80EC9">
        <w:rPr>
          <w:szCs w:val="24"/>
        </w:rPr>
        <w:t>adequate ICT</w:t>
      </w:r>
      <w:r>
        <w:rPr>
          <w:szCs w:val="24"/>
        </w:rPr>
        <w:t xml:space="preserve"> </w:t>
      </w:r>
      <w:r w:rsidRPr="00E80EC9">
        <w:rPr>
          <w:szCs w:val="24"/>
        </w:rPr>
        <w:t>infrastructure, challenging regulatory environments</w:t>
      </w:r>
      <w:r>
        <w:rPr>
          <w:szCs w:val="24"/>
        </w:rPr>
        <w:t xml:space="preserve"> </w:t>
      </w:r>
      <w:r w:rsidRPr="00E80EC9">
        <w:rPr>
          <w:szCs w:val="24"/>
        </w:rPr>
        <w:t>or gaps in resources and skills</w:t>
      </w:r>
      <w:r>
        <w:rPr>
          <w:szCs w:val="24"/>
        </w:rPr>
        <w:t xml:space="preserve"> </w:t>
      </w:r>
      <w:r w:rsidRPr="000B4833">
        <w:rPr>
          <w:szCs w:val="24"/>
        </w:rPr>
        <w:t>(UNECE, 2021)</w:t>
      </w:r>
      <w:r w:rsidRPr="00E80EC9">
        <w:rPr>
          <w:szCs w:val="24"/>
        </w:rPr>
        <w:t>.</w:t>
      </w:r>
    </w:p>
    <w:p w14:paraId="4ACCE8AA" w14:textId="77777777" w:rsidR="00823081" w:rsidRDefault="00823081" w:rsidP="00823081">
      <w:pPr>
        <w:rPr>
          <w:szCs w:val="24"/>
        </w:rPr>
      </w:pPr>
    </w:p>
    <w:p w14:paraId="3206AABC" w14:textId="77777777" w:rsidR="00823081" w:rsidRPr="005E0706" w:rsidRDefault="00823081" w:rsidP="00823081">
      <w:pPr>
        <w:pStyle w:val="ListParagraph"/>
        <w:numPr>
          <w:ilvl w:val="0"/>
          <w:numId w:val="9"/>
        </w:numPr>
        <w:tabs>
          <w:tab w:val="left" w:pos="0"/>
        </w:tabs>
        <w:ind w:left="0" w:firstLine="0"/>
        <w:jc w:val="both"/>
        <w:rPr>
          <w:b/>
          <w:bCs/>
        </w:rPr>
      </w:pPr>
      <w:r w:rsidRPr="005E0706">
        <w:rPr>
          <w:b/>
          <w:bCs/>
        </w:rPr>
        <w:t>STYLIZED FACTS</w:t>
      </w:r>
    </w:p>
    <w:p w14:paraId="44D0B421" w14:textId="77777777" w:rsidR="00823081" w:rsidRDefault="00823081" w:rsidP="00823081">
      <w:pPr>
        <w:rPr>
          <w:szCs w:val="24"/>
        </w:rPr>
      </w:pPr>
    </w:p>
    <w:p w14:paraId="159B3AEB" w14:textId="082145FD" w:rsidR="00823081" w:rsidRDefault="00823081" w:rsidP="00823081">
      <w:pPr>
        <w:rPr>
          <w:szCs w:val="24"/>
        </w:rPr>
      </w:pPr>
      <w:r w:rsidRPr="00F60315">
        <w:rPr>
          <w:szCs w:val="24"/>
        </w:rPr>
        <w:t xml:space="preserve">This section presents </w:t>
      </w:r>
      <w:r>
        <w:rPr>
          <w:szCs w:val="24"/>
        </w:rPr>
        <w:t xml:space="preserve">some stylized facts about the implementation of trade facilitation measures in the CEFTA-2006 member </w:t>
      </w:r>
      <w:r w:rsidR="00710B1A">
        <w:rPr>
          <w:szCs w:val="24"/>
        </w:rPr>
        <w:t>parties</w:t>
      </w:r>
      <w:r>
        <w:rPr>
          <w:szCs w:val="24"/>
        </w:rPr>
        <w:t>, for which data from the OECD Trade Facilitation Indicators database are available</w:t>
      </w:r>
      <w:r>
        <w:rPr>
          <w:rStyle w:val="FootnoteReference"/>
          <w:szCs w:val="24"/>
        </w:rPr>
        <w:footnoteReference w:id="5"/>
      </w:r>
      <w:r>
        <w:rPr>
          <w:szCs w:val="24"/>
        </w:rPr>
        <w:t>. Separate</w:t>
      </w:r>
      <w:r w:rsidRPr="00F60315">
        <w:rPr>
          <w:szCs w:val="24"/>
        </w:rPr>
        <w:t xml:space="preserve"> trade facilitation areas covered by each</w:t>
      </w:r>
      <w:r>
        <w:rPr>
          <w:szCs w:val="24"/>
        </w:rPr>
        <w:t xml:space="preserve"> </w:t>
      </w:r>
      <w:r w:rsidRPr="00F60315">
        <w:rPr>
          <w:szCs w:val="24"/>
        </w:rPr>
        <w:t>of the indicators</w:t>
      </w:r>
      <w:r>
        <w:rPr>
          <w:szCs w:val="24"/>
        </w:rPr>
        <w:t xml:space="preserve"> are considered. </w:t>
      </w:r>
      <w:r w:rsidRPr="00F60315">
        <w:rPr>
          <w:szCs w:val="24"/>
        </w:rPr>
        <w:t>The</w:t>
      </w:r>
      <w:r>
        <w:rPr>
          <w:szCs w:val="24"/>
        </w:rPr>
        <w:t>refore, this</w:t>
      </w:r>
      <w:r w:rsidRPr="00F60315">
        <w:rPr>
          <w:szCs w:val="24"/>
        </w:rPr>
        <w:t xml:space="preserve"> section highlights the most important country variations</w:t>
      </w:r>
      <w:r>
        <w:rPr>
          <w:szCs w:val="24"/>
        </w:rPr>
        <w:t xml:space="preserve"> </w:t>
      </w:r>
      <w:r w:rsidRPr="00F60315">
        <w:rPr>
          <w:szCs w:val="24"/>
        </w:rPr>
        <w:t xml:space="preserve">and </w:t>
      </w:r>
      <w:r>
        <w:rPr>
          <w:szCs w:val="24"/>
        </w:rPr>
        <w:t>their implications for</w:t>
      </w:r>
      <w:r w:rsidRPr="00F60315">
        <w:rPr>
          <w:szCs w:val="24"/>
        </w:rPr>
        <w:t xml:space="preserve"> country performance.</w:t>
      </w:r>
    </w:p>
    <w:p w14:paraId="7F30168B" w14:textId="612ED8A1" w:rsidR="00823081" w:rsidRDefault="00823081" w:rsidP="00823081">
      <w:pPr>
        <w:rPr>
          <w:szCs w:val="24"/>
        </w:rPr>
      </w:pPr>
      <w:r w:rsidRPr="00F60315">
        <w:rPr>
          <w:szCs w:val="24"/>
        </w:rPr>
        <w:t xml:space="preserve">Figure </w:t>
      </w:r>
      <w:r>
        <w:rPr>
          <w:szCs w:val="24"/>
        </w:rPr>
        <w:t>1</w:t>
      </w:r>
      <w:r w:rsidRPr="00F60315">
        <w:rPr>
          <w:szCs w:val="24"/>
        </w:rPr>
        <w:t xml:space="preserve"> </w:t>
      </w:r>
      <w:r>
        <w:rPr>
          <w:szCs w:val="24"/>
        </w:rPr>
        <w:t>provides</w:t>
      </w:r>
      <w:r w:rsidRPr="00F60315">
        <w:rPr>
          <w:szCs w:val="24"/>
        </w:rPr>
        <w:t xml:space="preserve"> a</w:t>
      </w:r>
      <w:r>
        <w:rPr>
          <w:szCs w:val="24"/>
        </w:rPr>
        <w:t xml:space="preserve"> global</w:t>
      </w:r>
      <w:r w:rsidRPr="00F60315">
        <w:rPr>
          <w:szCs w:val="24"/>
        </w:rPr>
        <w:t xml:space="preserve"> </w:t>
      </w:r>
      <w:r>
        <w:rPr>
          <w:szCs w:val="24"/>
        </w:rPr>
        <w:t>overview of</w:t>
      </w:r>
      <w:r w:rsidRPr="00F60315">
        <w:rPr>
          <w:szCs w:val="24"/>
        </w:rPr>
        <w:t xml:space="preserve"> the </w:t>
      </w:r>
      <w:r>
        <w:rPr>
          <w:szCs w:val="24"/>
        </w:rPr>
        <w:t xml:space="preserve">implementation of trade facilitation measures in the CEFTA-2006 member </w:t>
      </w:r>
      <w:r w:rsidR="00710B1A">
        <w:rPr>
          <w:szCs w:val="24"/>
        </w:rPr>
        <w:t>parties</w:t>
      </w:r>
      <w:r w:rsidRPr="00F60315">
        <w:rPr>
          <w:szCs w:val="24"/>
        </w:rPr>
        <w:t xml:space="preserve">. </w:t>
      </w:r>
      <w:r>
        <w:rPr>
          <w:szCs w:val="24"/>
        </w:rPr>
        <w:t>The average value of</w:t>
      </w:r>
      <w:r w:rsidRPr="00F60315">
        <w:rPr>
          <w:szCs w:val="24"/>
        </w:rPr>
        <w:t xml:space="preserve"> </w:t>
      </w:r>
      <w:r>
        <w:rPr>
          <w:szCs w:val="24"/>
        </w:rPr>
        <w:t xml:space="preserve">trade facilitation indicators across the sample is slightly beyond 1, suggesting a rather satisfactory level of trade facilitation. There are no significant </w:t>
      </w:r>
      <w:r w:rsidRPr="00F60315">
        <w:rPr>
          <w:szCs w:val="24"/>
        </w:rPr>
        <w:t xml:space="preserve">differences </w:t>
      </w:r>
      <w:r>
        <w:rPr>
          <w:szCs w:val="24"/>
        </w:rPr>
        <w:t>in the overall performance across</w:t>
      </w:r>
      <w:r w:rsidRPr="00F60315">
        <w:rPr>
          <w:szCs w:val="24"/>
        </w:rPr>
        <w:t xml:space="preserve"> the</w:t>
      </w:r>
      <w:r>
        <w:rPr>
          <w:szCs w:val="24"/>
        </w:rPr>
        <w:t xml:space="preserve"> </w:t>
      </w:r>
      <w:r w:rsidRPr="00F60315">
        <w:rPr>
          <w:szCs w:val="24"/>
        </w:rPr>
        <w:t xml:space="preserve">countries. </w:t>
      </w:r>
      <w:r>
        <w:rPr>
          <w:szCs w:val="24"/>
        </w:rPr>
        <w:t>Also, these results point to an improvement in the state of trade facilitation (average score of 1.262 in 2019, compared to 1.119 in 2017).</w:t>
      </w:r>
    </w:p>
    <w:p w14:paraId="72DDD624" w14:textId="77777777" w:rsidR="00823081" w:rsidRDefault="00823081" w:rsidP="00823081">
      <w:pPr>
        <w:rPr>
          <w:szCs w:val="24"/>
        </w:rPr>
      </w:pPr>
    </w:p>
    <w:p w14:paraId="436D28D3" w14:textId="1F5693E2" w:rsidR="00823081" w:rsidRDefault="00823081" w:rsidP="00823081">
      <w:pPr>
        <w:jc w:val="center"/>
        <w:rPr>
          <w:noProof/>
          <w:szCs w:val="24"/>
        </w:rPr>
      </w:pPr>
      <w:r w:rsidRPr="00710B1A">
        <w:rPr>
          <w:b/>
          <w:bCs/>
          <w:noProof/>
          <w:szCs w:val="24"/>
        </w:rPr>
        <w:t>Figure 1.</w:t>
      </w:r>
      <w:r>
        <w:rPr>
          <w:noProof/>
          <w:szCs w:val="24"/>
        </w:rPr>
        <w:t xml:space="preserve"> Average </w:t>
      </w:r>
      <w:bookmarkStart w:id="1" w:name="_Hlk103330637"/>
      <w:r>
        <w:rPr>
          <w:noProof/>
          <w:szCs w:val="24"/>
        </w:rPr>
        <w:t xml:space="preserve">Trade Facilitation Performance in CEFTA-2006 </w:t>
      </w:r>
      <w:bookmarkEnd w:id="1"/>
      <w:r w:rsidR="00710B1A">
        <w:rPr>
          <w:noProof/>
          <w:szCs w:val="24"/>
        </w:rPr>
        <w:t>members</w:t>
      </w:r>
    </w:p>
    <w:p w14:paraId="4DC40955" w14:textId="77777777" w:rsidR="00823081" w:rsidRDefault="00823081" w:rsidP="00823081">
      <w:pPr>
        <w:jc w:val="center"/>
        <w:rPr>
          <w:szCs w:val="24"/>
        </w:rPr>
      </w:pPr>
      <w:r>
        <w:rPr>
          <w:noProof/>
          <w:szCs w:val="24"/>
        </w:rPr>
        <w:drawing>
          <wp:inline distT="0" distB="0" distL="0" distR="0" wp14:anchorId="0E686597" wp14:editId="560E03AF">
            <wp:extent cx="4076700" cy="2309473"/>
            <wp:effectExtent l="0" t="0" r="0" b="0"/>
            <wp:docPr id="2" name="Picture 2"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00784" cy="2323117"/>
                    </a:xfrm>
                    <a:prstGeom prst="rect">
                      <a:avLst/>
                    </a:prstGeom>
                    <a:noFill/>
                  </pic:spPr>
                </pic:pic>
              </a:graphicData>
            </a:graphic>
          </wp:inline>
        </w:drawing>
      </w:r>
    </w:p>
    <w:p w14:paraId="74A6E42F" w14:textId="77777777" w:rsidR="00823081" w:rsidRPr="00710B1A" w:rsidRDefault="00823081" w:rsidP="00823081">
      <w:pPr>
        <w:jc w:val="center"/>
        <w:rPr>
          <w:i/>
          <w:iCs/>
          <w:sz w:val="20"/>
          <w:szCs w:val="20"/>
        </w:rPr>
      </w:pPr>
      <w:bookmarkStart w:id="2" w:name="_Hlk103330657"/>
      <w:r w:rsidRPr="00710B1A">
        <w:rPr>
          <w:i/>
          <w:iCs/>
          <w:sz w:val="20"/>
          <w:szCs w:val="20"/>
        </w:rPr>
        <w:t>Source: OECD Trade Facilitation Indicators database.</w:t>
      </w:r>
    </w:p>
    <w:bookmarkEnd w:id="2"/>
    <w:p w14:paraId="418CC4E7" w14:textId="77777777" w:rsidR="00823081" w:rsidRDefault="00823081" w:rsidP="00823081">
      <w:pPr>
        <w:jc w:val="center"/>
        <w:rPr>
          <w:szCs w:val="24"/>
        </w:rPr>
      </w:pPr>
    </w:p>
    <w:p w14:paraId="506AA610" w14:textId="5486901F" w:rsidR="00823081" w:rsidRPr="002B187C" w:rsidRDefault="00823081" w:rsidP="00823081">
      <w:pPr>
        <w:rPr>
          <w:szCs w:val="24"/>
        </w:rPr>
      </w:pPr>
      <w:r>
        <w:rPr>
          <w:szCs w:val="24"/>
        </w:rPr>
        <w:t xml:space="preserve">Figure 2 enables more granular analysis of the level of the separate trade facilitation indicators across </w:t>
      </w:r>
      <w:r w:rsidRPr="002444E7">
        <w:rPr>
          <w:szCs w:val="24"/>
        </w:rPr>
        <w:t>CEFTA</w:t>
      </w:r>
      <w:r w:rsidRPr="0007709B">
        <w:rPr>
          <w:szCs w:val="24"/>
        </w:rPr>
        <w:t xml:space="preserve">-2006 member </w:t>
      </w:r>
      <w:r w:rsidR="00710B1A">
        <w:rPr>
          <w:szCs w:val="24"/>
        </w:rPr>
        <w:t>parties</w:t>
      </w:r>
      <w:r>
        <w:rPr>
          <w:szCs w:val="24"/>
        </w:rPr>
        <w:t xml:space="preserve">. </w:t>
      </w:r>
      <w:r w:rsidRPr="0007709B">
        <w:rPr>
          <w:szCs w:val="24"/>
        </w:rPr>
        <w:t xml:space="preserve"> </w:t>
      </w:r>
      <w:r>
        <w:rPr>
          <w:szCs w:val="24"/>
        </w:rPr>
        <w:t>The countries in the sample appear to significantly</w:t>
      </w:r>
      <w:r w:rsidRPr="002444E7">
        <w:rPr>
          <w:szCs w:val="24"/>
        </w:rPr>
        <w:t xml:space="preserve"> </w:t>
      </w:r>
      <w:r>
        <w:rPr>
          <w:szCs w:val="24"/>
        </w:rPr>
        <w:t>lag i</w:t>
      </w:r>
      <w:r w:rsidRPr="002444E7">
        <w:rPr>
          <w:szCs w:val="24"/>
        </w:rPr>
        <w:t xml:space="preserve">n the areas of </w:t>
      </w:r>
      <w:r>
        <w:rPr>
          <w:szCs w:val="24"/>
        </w:rPr>
        <w:t xml:space="preserve">both external and internal cross-border agency cooperation, suggesting that there is a need for further improvement with regard to information availability through a greater degree of harmonization and integration (average scores of </w:t>
      </w:r>
      <w:r w:rsidRPr="004B660A">
        <w:rPr>
          <w:szCs w:val="24"/>
        </w:rPr>
        <w:t>0.668</w:t>
      </w:r>
      <w:r>
        <w:rPr>
          <w:szCs w:val="24"/>
        </w:rPr>
        <w:t xml:space="preserve"> and </w:t>
      </w:r>
      <w:r w:rsidRPr="004B660A">
        <w:rPr>
          <w:szCs w:val="24"/>
        </w:rPr>
        <w:t>0.611</w:t>
      </w:r>
      <w:r>
        <w:rPr>
          <w:szCs w:val="24"/>
        </w:rPr>
        <w:t xml:space="preserve">, respectively). On the other hand, the most favorable results </w:t>
      </w:r>
      <w:r w:rsidRPr="002B187C">
        <w:rPr>
          <w:szCs w:val="24"/>
        </w:rPr>
        <w:t xml:space="preserve">are evident in the areas of advance rulings and fees and charges, followed by appeal procedures and formalities - documents (average scores of </w:t>
      </w:r>
      <w:r>
        <w:rPr>
          <w:szCs w:val="24"/>
        </w:rPr>
        <w:t xml:space="preserve">the latter indicators at the level of </w:t>
      </w:r>
      <w:r w:rsidRPr="002B187C">
        <w:rPr>
          <w:szCs w:val="24"/>
        </w:rPr>
        <w:t>1.692, 1.639, 1.449 and 1.428, respectively).</w:t>
      </w:r>
    </w:p>
    <w:p w14:paraId="26718CFB" w14:textId="77777777" w:rsidR="00823081" w:rsidRPr="002444E7" w:rsidRDefault="00823081" w:rsidP="00823081">
      <w:pPr>
        <w:rPr>
          <w:szCs w:val="24"/>
        </w:rPr>
      </w:pPr>
    </w:p>
    <w:p w14:paraId="6D3A3280" w14:textId="3E8273B7" w:rsidR="00823081" w:rsidRDefault="00823081" w:rsidP="00823081">
      <w:pPr>
        <w:jc w:val="center"/>
        <w:rPr>
          <w:szCs w:val="24"/>
        </w:rPr>
      </w:pPr>
      <w:r w:rsidRPr="00710B1A">
        <w:rPr>
          <w:b/>
          <w:bCs/>
          <w:szCs w:val="24"/>
        </w:rPr>
        <w:t>Figure 2.</w:t>
      </w:r>
      <w:r>
        <w:rPr>
          <w:szCs w:val="24"/>
        </w:rPr>
        <w:t xml:space="preserve"> </w:t>
      </w:r>
      <w:r w:rsidRPr="00512F88">
        <w:rPr>
          <w:szCs w:val="24"/>
        </w:rPr>
        <w:t xml:space="preserve">Trade Facilitation Performance in CEFTA-2006 </w:t>
      </w:r>
      <w:r w:rsidR="00710B1A">
        <w:rPr>
          <w:szCs w:val="24"/>
        </w:rPr>
        <w:t>members</w:t>
      </w:r>
      <w:r>
        <w:rPr>
          <w:szCs w:val="24"/>
        </w:rPr>
        <w:t>, 2019</w:t>
      </w:r>
    </w:p>
    <w:p w14:paraId="6CB056FA" w14:textId="77777777" w:rsidR="00823081" w:rsidRDefault="00823081" w:rsidP="00823081">
      <w:pPr>
        <w:jc w:val="center"/>
        <w:rPr>
          <w:szCs w:val="24"/>
        </w:rPr>
      </w:pPr>
      <w:r>
        <w:rPr>
          <w:noProof/>
          <w:szCs w:val="24"/>
        </w:rPr>
        <w:lastRenderedPageBreak/>
        <w:drawing>
          <wp:inline distT="0" distB="0" distL="0" distR="0" wp14:anchorId="72B02265" wp14:editId="6A246404">
            <wp:extent cx="5949950" cy="4468495"/>
            <wp:effectExtent l="0" t="0" r="0" b="8255"/>
            <wp:docPr id="3" name="Picture 3" descr="Chart, rad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radar chart&#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9950" cy="4468495"/>
                    </a:xfrm>
                    <a:prstGeom prst="rect">
                      <a:avLst/>
                    </a:prstGeom>
                    <a:noFill/>
                  </pic:spPr>
                </pic:pic>
              </a:graphicData>
            </a:graphic>
          </wp:inline>
        </w:drawing>
      </w:r>
    </w:p>
    <w:p w14:paraId="4405A609" w14:textId="77777777" w:rsidR="00823081" w:rsidRPr="00710B1A" w:rsidRDefault="00823081" w:rsidP="00823081">
      <w:pPr>
        <w:jc w:val="center"/>
        <w:rPr>
          <w:i/>
          <w:iCs/>
          <w:sz w:val="20"/>
          <w:szCs w:val="20"/>
        </w:rPr>
      </w:pPr>
      <w:r w:rsidRPr="00710B1A">
        <w:rPr>
          <w:i/>
          <w:iCs/>
          <w:sz w:val="20"/>
          <w:szCs w:val="20"/>
        </w:rPr>
        <w:t>Source: OECD Trade Facilitation Indicators database.</w:t>
      </w:r>
    </w:p>
    <w:p w14:paraId="27BF92CB" w14:textId="77777777" w:rsidR="00823081" w:rsidRDefault="00823081" w:rsidP="00823081">
      <w:pPr>
        <w:rPr>
          <w:szCs w:val="24"/>
        </w:rPr>
      </w:pPr>
    </w:p>
    <w:p w14:paraId="7B6F4252" w14:textId="34C9578D" w:rsidR="00823081" w:rsidRDefault="00823081" w:rsidP="00823081">
      <w:pPr>
        <w:rPr>
          <w:szCs w:val="24"/>
        </w:rPr>
      </w:pPr>
      <w:r>
        <w:rPr>
          <w:szCs w:val="24"/>
        </w:rPr>
        <w:t xml:space="preserve">In summary, countries in the CEFTA-2006 exhibit improvement in their trade facilitation performance, as evidenced by the scores in OECD’s </w:t>
      </w:r>
      <w:r w:rsidRPr="0053601B">
        <w:rPr>
          <w:szCs w:val="24"/>
        </w:rPr>
        <w:t>Trade Facilitation Indicators</w:t>
      </w:r>
      <w:r>
        <w:rPr>
          <w:szCs w:val="24"/>
        </w:rPr>
        <w:t xml:space="preserve">. Nevertheless, </w:t>
      </w:r>
      <w:r w:rsidRPr="009C248E">
        <w:rPr>
          <w:szCs w:val="24"/>
        </w:rPr>
        <w:t>cross-border agency cooperation</w:t>
      </w:r>
      <w:r>
        <w:rPr>
          <w:szCs w:val="24"/>
        </w:rPr>
        <w:t xml:space="preserve"> is pointed out, as an area where more efforts for further enforcement of trade facilitation </w:t>
      </w:r>
      <w:r w:rsidR="00710B1A">
        <w:rPr>
          <w:szCs w:val="24"/>
        </w:rPr>
        <w:t>is</w:t>
      </w:r>
      <w:r>
        <w:rPr>
          <w:szCs w:val="24"/>
        </w:rPr>
        <w:t xml:space="preserve"> required.</w:t>
      </w:r>
    </w:p>
    <w:p w14:paraId="7650360D" w14:textId="014A6950" w:rsidR="00823081" w:rsidRDefault="00823081" w:rsidP="00823081">
      <w:pPr>
        <w:rPr>
          <w:szCs w:val="24"/>
        </w:rPr>
      </w:pPr>
    </w:p>
    <w:p w14:paraId="29CF771A" w14:textId="6510B107" w:rsidR="00823081" w:rsidRDefault="00823081" w:rsidP="00823081">
      <w:pPr>
        <w:autoSpaceDE w:val="0"/>
        <w:autoSpaceDN w:val="0"/>
        <w:adjustRightInd w:val="0"/>
        <w:rPr>
          <w:b/>
        </w:rPr>
      </w:pPr>
      <w:r>
        <w:rPr>
          <w:b/>
          <w:bCs/>
        </w:rPr>
        <w:t xml:space="preserve">4. </w:t>
      </w:r>
      <w:r>
        <w:rPr>
          <w:b/>
          <w:bCs/>
        </w:rPr>
        <w:tab/>
        <w:t>THE EMPIRICAL MODEL AND DATA</w:t>
      </w:r>
    </w:p>
    <w:p w14:paraId="1718E322" w14:textId="77777777" w:rsidR="00823081" w:rsidRPr="004A43D3" w:rsidRDefault="00823081" w:rsidP="00823081">
      <w:pPr>
        <w:autoSpaceDE w:val="0"/>
        <w:autoSpaceDN w:val="0"/>
        <w:adjustRightInd w:val="0"/>
        <w:rPr>
          <w:b/>
        </w:rPr>
      </w:pPr>
    </w:p>
    <w:p w14:paraId="30CE5C28" w14:textId="46DD9FFC" w:rsidR="00823081" w:rsidRPr="00AD308F" w:rsidRDefault="00823081" w:rsidP="00823081">
      <w:pPr>
        <w:autoSpaceDE w:val="0"/>
        <w:autoSpaceDN w:val="0"/>
        <w:adjustRightInd w:val="0"/>
        <w:contextualSpacing/>
        <w:rPr>
          <w:rFonts w:eastAsiaTheme="minorEastAsia"/>
        </w:rPr>
      </w:pPr>
      <w:r>
        <w:rPr>
          <w:rFonts w:eastAsiaTheme="minorEastAsia"/>
        </w:rPr>
        <w:t xml:space="preserve">In this paper we </w:t>
      </w:r>
      <w:r w:rsidR="00710B1A">
        <w:rPr>
          <w:rFonts w:eastAsiaTheme="minorEastAsia"/>
        </w:rPr>
        <w:t>apply</w:t>
      </w:r>
      <w:r>
        <w:rPr>
          <w:rFonts w:eastAsiaTheme="minorEastAsia"/>
        </w:rPr>
        <w:t xml:space="preserve"> panel </w:t>
      </w:r>
      <w:r w:rsidRPr="00E0210C">
        <w:rPr>
          <w:rFonts w:eastAsiaTheme="minorEastAsia"/>
        </w:rPr>
        <w:t xml:space="preserve">gravity model </w:t>
      </w:r>
      <w:r>
        <w:rPr>
          <w:rFonts w:eastAsiaTheme="minorEastAsia"/>
        </w:rPr>
        <w:t>of international trade for</w:t>
      </w:r>
      <w:r w:rsidRPr="00E0210C">
        <w:rPr>
          <w:rFonts w:eastAsiaTheme="minorEastAsia"/>
        </w:rPr>
        <w:t xml:space="preserve"> </w:t>
      </w:r>
      <w:r>
        <w:rPr>
          <w:rFonts w:eastAsiaTheme="minorEastAsia"/>
        </w:rPr>
        <w:t>s</w:t>
      </w:r>
      <w:r w:rsidR="00BE683D">
        <w:rPr>
          <w:rFonts w:eastAsiaTheme="minorEastAsia"/>
        </w:rPr>
        <w:t>ix</w:t>
      </w:r>
      <w:r>
        <w:rPr>
          <w:rFonts w:eastAsiaTheme="minorEastAsia"/>
        </w:rPr>
        <w:t xml:space="preserve"> </w:t>
      </w:r>
      <w:r w:rsidR="00710B1A">
        <w:rPr>
          <w:rFonts w:eastAsiaTheme="minorEastAsia"/>
        </w:rPr>
        <w:t>parties</w:t>
      </w:r>
      <w:r>
        <w:rPr>
          <w:rFonts w:eastAsiaTheme="minorEastAsia"/>
        </w:rPr>
        <w:t xml:space="preserve">, members of CEFTA-2006. </w:t>
      </w:r>
      <w:r w:rsidR="00710B1A">
        <w:rPr>
          <w:rFonts w:eastAsiaTheme="minorEastAsia"/>
        </w:rPr>
        <w:t>Parties</w:t>
      </w:r>
      <w:r>
        <w:rPr>
          <w:rFonts w:eastAsiaTheme="minorEastAsia"/>
        </w:rPr>
        <w:t xml:space="preserve"> included in the analysis are: Macedonia, Serbia, Bosnia and Herzegovina, Mold</w:t>
      </w:r>
      <w:r w:rsidR="00710B1A">
        <w:rPr>
          <w:rFonts w:eastAsiaTheme="minorEastAsia"/>
        </w:rPr>
        <w:t>ova</w:t>
      </w:r>
      <w:r>
        <w:rPr>
          <w:rFonts w:eastAsiaTheme="minorEastAsia"/>
        </w:rPr>
        <w:t>, Kosovo</w:t>
      </w:r>
      <w:r w:rsidR="00D70328">
        <w:rPr>
          <w:rFonts w:eastAsiaTheme="minorEastAsia"/>
        </w:rPr>
        <w:t>,</w:t>
      </w:r>
      <w:r>
        <w:rPr>
          <w:rFonts w:eastAsiaTheme="minorEastAsia"/>
        </w:rPr>
        <w:t xml:space="preserve"> and Albania. The database is constructed by taking the bilateral</w:t>
      </w:r>
      <w:r w:rsidRPr="00E0210C">
        <w:rPr>
          <w:rFonts w:eastAsiaTheme="minorEastAsia"/>
        </w:rPr>
        <w:t xml:space="preserve"> trade flows </w:t>
      </w:r>
      <w:r>
        <w:rPr>
          <w:rFonts w:eastAsiaTheme="minorEastAsia"/>
        </w:rPr>
        <w:t xml:space="preserve">among them in the period 2006-2020 (405 unbalanced panel observations). </w:t>
      </w:r>
      <w:r>
        <w:t>The panel data gravity model is used to estimate the impact of trade facilitation indicators</w:t>
      </w:r>
      <w:r w:rsidRPr="00AD0209">
        <w:t xml:space="preserve"> on trade</w:t>
      </w:r>
      <w:r>
        <w:t xml:space="preserve"> </w:t>
      </w:r>
      <w:r w:rsidR="00710B1A">
        <w:t>between the members</w:t>
      </w:r>
      <w:r>
        <w:t xml:space="preserve"> of CEFTA-2006. The estimates are made in E-views based on OLS model, without effects. </w:t>
      </w:r>
    </w:p>
    <w:p w14:paraId="77B224F9" w14:textId="77777777" w:rsidR="00823081" w:rsidRDefault="00823081" w:rsidP="00823081">
      <w:pPr>
        <w:autoSpaceDE w:val="0"/>
        <w:autoSpaceDN w:val="0"/>
        <w:adjustRightInd w:val="0"/>
        <w:contextualSpacing/>
        <w:rPr>
          <w:rFonts w:eastAsiaTheme="minorEastAsia"/>
        </w:rPr>
      </w:pPr>
    </w:p>
    <w:p w14:paraId="08415860" w14:textId="77777777" w:rsidR="00823081" w:rsidRDefault="00823081" w:rsidP="00823081">
      <w:pPr>
        <w:autoSpaceDE w:val="0"/>
        <w:autoSpaceDN w:val="0"/>
        <w:adjustRightInd w:val="0"/>
        <w:contextualSpacing/>
        <w:rPr>
          <w:rFonts w:eastAsiaTheme="minorEastAsia"/>
        </w:rPr>
      </w:pPr>
      <w:r>
        <w:rPr>
          <w:rFonts w:eastAsiaTheme="minorEastAsia"/>
        </w:rPr>
        <w:t>We use the following specifications of the gravity model:</w:t>
      </w:r>
    </w:p>
    <w:p w14:paraId="4DE80E5A" w14:textId="77777777" w:rsidR="00823081" w:rsidRPr="00AD0209" w:rsidRDefault="00823081" w:rsidP="00823081">
      <w:pPr>
        <w:autoSpaceDE w:val="0"/>
        <w:autoSpaceDN w:val="0"/>
        <w:adjustRightInd w:val="0"/>
        <w:contextualSpacing/>
        <w:rPr>
          <w:rFonts w:eastAsiaTheme="minorEastAsia"/>
        </w:rPr>
      </w:pPr>
    </w:p>
    <w:p w14:paraId="5A7B645E" w14:textId="77777777" w:rsidR="00823081" w:rsidRPr="00AD0209" w:rsidRDefault="00823081" w:rsidP="00823081">
      <w:pPr>
        <w:autoSpaceDE w:val="0"/>
        <w:autoSpaceDN w:val="0"/>
        <w:adjustRightInd w:val="0"/>
        <w:ind w:left="993" w:hanging="993"/>
        <w:contextualSpacing/>
        <w:rPr>
          <w:rFonts w:eastAsiaTheme="minorEastAsia"/>
        </w:rPr>
      </w:pPr>
      <m:oMath>
        <m:r>
          <w:rPr>
            <w:rFonts w:ascii="Cambria Math"/>
            <w:sz w:val="22"/>
          </w:rPr>
          <m:t>ln</m:t>
        </m:r>
        <m:sSub>
          <m:sSubPr>
            <m:ctrlPr>
              <w:rPr>
                <w:rFonts w:ascii="Cambria Math" w:hAnsi="Cambria Math"/>
                <w:i/>
                <w:sz w:val="22"/>
              </w:rPr>
            </m:ctrlPr>
          </m:sSubPr>
          <m:e>
            <m:r>
              <w:rPr>
                <w:rFonts w:ascii="Cambria Math" w:hAnsi="Cambria Math"/>
                <w:sz w:val="22"/>
              </w:rPr>
              <m:t>EXP</m:t>
            </m:r>
          </m:e>
          <m:sub>
            <m:r>
              <w:rPr>
                <w:rFonts w:ascii="Cambria Math" w:hAnsi="Cambria Math"/>
                <w:sz w:val="22"/>
              </w:rPr>
              <m:t>ijt</m:t>
            </m:r>
          </m:sub>
        </m:sSub>
        <m:r>
          <w:rPr>
            <w:rFonts w:ascii="Cambria Math"/>
            <w:sz w:val="22"/>
          </w:rPr>
          <m:t>=</m:t>
        </m:r>
        <m:sSub>
          <m:sSubPr>
            <m:ctrlPr>
              <w:rPr>
                <w:rFonts w:ascii="Cambria Math" w:hAnsi="Cambria Math"/>
                <w:i/>
                <w:sz w:val="22"/>
              </w:rPr>
            </m:ctrlPr>
          </m:sSubPr>
          <m:e>
            <m:r>
              <w:rPr>
                <w:rFonts w:ascii="Cambria Math" w:hAnsi="Cambria Math"/>
                <w:sz w:val="22"/>
              </w:rPr>
              <m:t>β</m:t>
            </m:r>
          </m:e>
          <m:sub>
            <m:r>
              <w:rPr>
                <w:rFonts w:ascii="Cambria Math"/>
                <w:sz w:val="22"/>
              </w:rPr>
              <m:t>0</m:t>
            </m:r>
          </m:sub>
        </m:sSub>
        <m:r>
          <w:rPr>
            <w:rFonts w:ascii="Cambria Math"/>
            <w:sz w:val="22"/>
          </w:rPr>
          <m:t>+</m:t>
        </m:r>
        <m:sSub>
          <m:sSubPr>
            <m:ctrlPr>
              <w:rPr>
                <w:rFonts w:ascii="Cambria Math" w:hAnsi="Cambria Math"/>
                <w:i/>
                <w:sz w:val="22"/>
              </w:rPr>
            </m:ctrlPr>
          </m:sSubPr>
          <m:e>
            <m:r>
              <w:rPr>
                <w:rFonts w:ascii="Cambria Math" w:hAnsi="Cambria Math"/>
                <w:sz w:val="22"/>
              </w:rPr>
              <m:t>β</m:t>
            </m:r>
          </m:e>
          <m:sub>
            <m:r>
              <w:rPr>
                <w:rFonts w:ascii="Cambria Math"/>
                <w:sz w:val="22"/>
              </w:rPr>
              <m:t>1</m:t>
            </m:r>
          </m:sub>
        </m:sSub>
        <m:sSub>
          <m:sSubPr>
            <m:ctrlPr>
              <w:rPr>
                <w:rFonts w:ascii="Cambria Math" w:eastAsiaTheme="minorEastAsia" w:hAnsi="Cambria Math"/>
                <w:i/>
                <w:sz w:val="22"/>
              </w:rPr>
            </m:ctrlPr>
          </m:sSubPr>
          <m:e>
            <m:r>
              <w:rPr>
                <w:rFonts w:ascii="Cambria Math" w:eastAsiaTheme="minorEastAsia" w:hAnsi="Cambria Math"/>
                <w:sz w:val="22"/>
              </w:rPr>
              <m:t>lnGDPimp</m:t>
            </m:r>
          </m:e>
          <m:sub>
            <m:r>
              <w:rPr>
                <w:rFonts w:ascii="Cambria Math" w:eastAsiaTheme="minorEastAsia" w:hAnsi="Cambria Math"/>
                <w:sz w:val="22"/>
              </w:rPr>
              <m:t>jt</m:t>
            </m:r>
          </m:sub>
        </m:sSub>
        <m:r>
          <w:rPr>
            <w:rFonts w:ascii="Cambria Math" w:eastAsiaTheme="minorEastAsia"/>
            <w:sz w:val="22"/>
          </w:rPr>
          <m:t>+</m:t>
        </m:r>
        <m:sSub>
          <m:sSubPr>
            <m:ctrlPr>
              <w:rPr>
                <w:rFonts w:ascii="Cambria Math" w:eastAsiaTheme="minorEastAsia" w:hAnsi="Cambria Math"/>
                <w:i/>
                <w:sz w:val="22"/>
              </w:rPr>
            </m:ctrlPr>
          </m:sSubPr>
          <m:e>
            <m:r>
              <w:rPr>
                <w:rFonts w:ascii="Cambria Math" w:eastAsiaTheme="minorEastAsia" w:hAnsi="Cambria Math"/>
                <w:sz w:val="22"/>
              </w:rPr>
              <m:t>β</m:t>
            </m:r>
          </m:e>
          <m:sub>
            <m:r>
              <w:rPr>
                <w:rFonts w:ascii="Cambria Math" w:eastAsiaTheme="minorEastAsia"/>
                <w:sz w:val="22"/>
              </w:rPr>
              <m:t>2</m:t>
            </m:r>
          </m:sub>
        </m:sSub>
        <m:r>
          <w:rPr>
            <w:rFonts w:ascii="Cambria Math" w:eastAsiaTheme="minorEastAsia" w:hAnsi="Cambria Math"/>
            <w:sz w:val="22"/>
          </w:rPr>
          <m:t>ln</m:t>
        </m:r>
        <m:sSub>
          <m:sSubPr>
            <m:ctrlPr>
              <w:rPr>
                <w:rFonts w:ascii="Cambria Math" w:eastAsiaTheme="minorEastAsia" w:hAnsi="Cambria Math"/>
                <w:i/>
                <w:sz w:val="22"/>
              </w:rPr>
            </m:ctrlPr>
          </m:sSubPr>
          <m:e>
            <m:r>
              <w:rPr>
                <w:rFonts w:ascii="Cambria Math" w:eastAsiaTheme="minorEastAsia" w:hAnsi="Cambria Math"/>
                <w:sz w:val="22"/>
              </w:rPr>
              <m:t>GDPexp</m:t>
            </m:r>
          </m:e>
          <m:sub>
            <m:r>
              <w:rPr>
                <w:rFonts w:ascii="Cambria Math" w:eastAsiaTheme="minorEastAsia" w:hAnsi="Cambria Math"/>
                <w:sz w:val="22"/>
              </w:rPr>
              <m:t>it</m:t>
            </m:r>
          </m:sub>
        </m:sSub>
        <m:r>
          <w:rPr>
            <w:rFonts w:ascii="Cambria Math" w:eastAsiaTheme="minorEastAsia"/>
            <w:sz w:val="22"/>
          </w:rPr>
          <m:t>+</m:t>
        </m:r>
        <m:sSub>
          <m:sSubPr>
            <m:ctrlPr>
              <w:rPr>
                <w:rFonts w:ascii="Cambria Math" w:eastAsiaTheme="minorEastAsia" w:hAnsi="Cambria Math"/>
                <w:i/>
                <w:sz w:val="22"/>
              </w:rPr>
            </m:ctrlPr>
          </m:sSubPr>
          <m:e>
            <m:r>
              <w:rPr>
                <w:rFonts w:ascii="Cambria Math" w:eastAsiaTheme="minorEastAsia" w:hAnsi="Cambria Math"/>
                <w:sz w:val="22"/>
              </w:rPr>
              <m:t>β</m:t>
            </m:r>
          </m:e>
          <m:sub>
            <m:r>
              <w:rPr>
                <w:rFonts w:ascii="Cambria Math" w:eastAsiaTheme="minorEastAsia"/>
                <w:sz w:val="22"/>
              </w:rPr>
              <m:t>3</m:t>
            </m:r>
          </m:sub>
        </m:sSub>
        <m:r>
          <w:rPr>
            <w:rFonts w:ascii="Cambria Math" w:eastAsiaTheme="minorEastAsia" w:hAnsi="Cambria Math"/>
            <w:sz w:val="22"/>
          </w:rPr>
          <m:t>ln</m:t>
        </m:r>
        <m:sSub>
          <m:sSubPr>
            <m:ctrlPr>
              <w:rPr>
                <w:rFonts w:ascii="Cambria Math" w:eastAsiaTheme="minorEastAsia" w:hAnsi="Cambria Math"/>
                <w:i/>
                <w:sz w:val="22"/>
              </w:rPr>
            </m:ctrlPr>
          </m:sSubPr>
          <m:e>
            <m:r>
              <w:rPr>
                <w:rFonts w:ascii="Cambria Math" w:eastAsiaTheme="minorEastAsia" w:hAnsi="Cambria Math"/>
                <w:sz w:val="22"/>
              </w:rPr>
              <m:t>BORDimp</m:t>
            </m:r>
          </m:e>
          <m:sub>
            <m:r>
              <w:rPr>
                <w:rFonts w:ascii="Cambria Math" w:eastAsiaTheme="minorEastAsia" w:hAnsi="Cambria Math"/>
                <w:sz w:val="22"/>
              </w:rPr>
              <m:t>jt</m:t>
            </m:r>
          </m:sub>
        </m:sSub>
        <m:r>
          <w:rPr>
            <w:rFonts w:ascii="Cambria Math" w:eastAsiaTheme="minorEastAsia"/>
            <w:sz w:val="22"/>
          </w:rPr>
          <m:t>+</m:t>
        </m:r>
        <m:sSub>
          <m:sSubPr>
            <m:ctrlPr>
              <w:rPr>
                <w:rFonts w:ascii="Cambria Math" w:eastAsiaTheme="minorEastAsia" w:hAnsi="Cambria Math"/>
                <w:i/>
                <w:sz w:val="22"/>
              </w:rPr>
            </m:ctrlPr>
          </m:sSubPr>
          <m:e>
            <m:r>
              <w:rPr>
                <w:rFonts w:ascii="Cambria Math" w:eastAsiaTheme="minorEastAsia" w:hAnsi="Cambria Math"/>
                <w:sz w:val="22"/>
              </w:rPr>
              <m:t>β</m:t>
            </m:r>
          </m:e>
          <m:sub>
            <m:r>
              <w:rPr>
                <w:rFonts w:ascii="Cambria Math" w:eastAsiaTheme="minorEastAsia"/>
                <w:sz w:val="22"/>
              </w:rPr>
              <m:t>4</m:t>
            </m:r>
          </m:sub>
        </m:sSub>
        <m:r>
          <w:rPr>
            <w:rFonts w:ascii="Cambria Math" w:eastAsiaTheme="minorEastAsia" w:hAnsi="Cambria Math"/>
            <w:sz w:val="22"/>
          </w:rPr>
          <m:t>ln</m:t>
        </m:r>
        <m:sSub>
          <m:sSubPr>
            <m:ctrlPr>
              <w:rPr>
                <w:rFonts w:ascii="Cambria Math" w:eastAsiaTheme="minorEastAsia" w:hAnsi="Cambria Math"/>
                <w:i/>
                <w:sz w:val="22"/>
              </w:rPr>
            </m:ctrlPr>
          </m:sSubPr>
          <m:e>
            <m:r>
              <w:rPr>
                <w:rFonts w:ascii="Cambria Math" w:eastAsiaTheme="minorEastAsia" w:hAnsi="Cambria Math"/>
                <w:sz w:val="22"/>
              </w:rPr>
              <m:t>Dis</m:t>
            </m:r>
          </m:e>
          <m:sub>
            <m:r>
              <w:rPr>
                <w:rFonts w:ascii="Cambria Math" w:eastAsiaTheme="minorEastAsia" w:hAnsi="Cambria Math"/>
                <w:sz w:val="22"/>
              </w:rPr>
              <m:t>ij</m:t>
            </m:r>
          </m:sub>
        </m:sSub>
        <m:r>
          <w:rPr>
            <w:rFonts w:ascii="Cambria Math" w:eastAsiaTheme="minorEastAsia"/>
            <w:sz w:val="22"/>
          </w:rPr>
          <m:t>+</m:t>
        </m:r>
        <m:sSub>
          <m:sSubPr>
            <m:ctrlPr>
              <w:rPr>
                <w:rFonts w:ascii="Cambria Math" w:eastAsiaTheme="minorEastAsia" w:hAnsi="Cambria Math"/>
                <w:i/>
                <w:sz w:val="22"/>
              </w:rPr>
            </m:ctrlPr>
          </m:sSubPr>
          <m:e>
            <m:r>
              <w:rPr>
                <w:rFonts w:ascii="Cambria Math" w:eastAsiaTheme="minorEastAsia" w:hAnsi="Cambria Math"/>
                <w:sz w:val="22"/>
              </w:rPr>
              <m:t>β</m:t>
            </m:r>
          </m:e>
          <m:sub>
            <m:r>
              <w:rPr>
                <w:rFonts w:ascii="Cambria Math" w:eastAsiaTheme="minorEastAsia"/>
                <w:sz w:val="22"/>
              </w:rPr>
              <m:t>5</m:t>
            </m:r>
          </m:sub>
        </m:sSub>
        <m:r>
          <w:rPr>
            <w:rFonts w:ascii="Cambria Math" w:eastAsiaTheme="minorEastAsia" w:hAnsi="Cambria Math"/>
            <w:sz w:val="22"/>
          </w:rPr>
          <m:t>L</m:t>
        </m:r>
        <m:sSub>
          <m:sSubPr>
            <m:ctrlPr>
              <w:rPr>
                <w:rFonts w:ascii="Cambria Math" w:eastAsiaTheme="minorEastAsia" w:hAnsi="Cambria Math"/>
                <w:i/>
                <w:sz w:val="22"/>
              </w:rPr>
            </m:ctrlPr>
          </m:sSubPr>
          <m:e>
            <m:r>
              <w:rPr>
                <w:rFonts w:ascii="Cambria Math" w:eastAsiaTheme="minorEastAsia" w:hAnsi="Cambria Math"/>
                <w:sz w:val="22"/>
              </w:rPr>
              <m:t>ANG</m:t>
            </m:r>
          </m:e>
          <m:sub>
            <m:r>
              <w:rPr>
                <w:rFonts w:ascii="Cambria Math" w:eastAsiaTheme="minorEastAsia" w:hAnsi="Cambria Math"/>
                <w:sz w:val="22"/>
              </w:rPr>
              <m:t>ij</m:t>
            </m:r>
          </m:sub>
        </m:sSub>
        <m:r>
          <w:rPr>
            <w:rFonts w:ascii="Cambria Math" w:eastAsiaTheme="minorEastAsia"/>
            <w:sz w:val="22"/>
          </w:rPr>
          <m:t>+</m:t>
        </m:r>
        <m:sSub>
          <m:sSubPr>
            <m:ctrlPr>
              <w:rPr>
                <w:rFonts w:ascii="Cambria Math" w:eastAsiaTheme="minorEastAsia" w:hAnsi="Cambria Math"/>
                <w:i/>
                <w:sz w:val="22"/>
              </w:rPr>
            </m:ctrlPr>
          </m:sSubPr>
          <m:e>
            <m:sSub>
              <m:sSubPr>
                <m:ctrlPr>
                  <w:rPr>
                    <w:rFonts w:ascii="Cambria Math" w:eastAsiaTheme="minorEastAsia" w:hAnsi="Cambria Math"/>
                    <w:i/>
                    <w:sz w:val="22"/>
                  </w:rPr>
                </m:ctrlPr>
              </m:sSubPr>
              <m:e>
                <m:r>
                  <w:rPr>
                    <w:rFonts w:ascii="Cambria Math" w:eastAsiaTheme="minorEastAsia" w:hAnsi="Cambria Math"/>
                    <w:sz w:val="22"/>
                  </w:rPr>
                  <m:t>β</m:t>
                </m:r>
              </m:e>
              <m:sub>
                <m:r>
                  <w:rPr>
                    <w:rFonts w:ascii="Cambria Math" w:eastAsiaTheme="minorEastAsia" w:hAnsi="Cambria Math"/>
                    <w:sz w:val="22"/>
                  </w:rPr>
                  <m:t>6</m:t>
                </m:r>
              </m:sub>
            </m:sSub>
            <m:sSub>
              <m:sSubPr>
                <m:ctrlPr>
                  <w:rPr>
                    <w:rFonts w:ascii="Cambria Math" w:eastAsiaTheme="minorEastAsia" w:hAnsi="Cambria Math"/>
                    <w:i/>
                    <w:sz w:val="22"/>
                  </w:rPr>
                </m:ctrlPr>
              </m:sSubPr>
              <m:e>
                <m:r>
                  <w:rPr>
                    <w:rFonts w:ascii="Cambria Math" w:eastAsiaTheme="minorEastAsia" w:hAnsi="Cambria Math"/>
                    <w:sz w:val="22"/>
                  </w:rPr>
                  <m:t>ln(TFA</m:t>
                </m:r>
              </m:e>
              <m:sub>
                <m:r>
                  <w:rPr>
                    <w:rFonts w:ascii="Cambria Math" w:eastAsiaTheme="minorEastAsia" w:hAnsi="Cambria Math"/>
                    <w:sz w:val="22"/>
                  </w:rPr>
                  <m:t>_</m:t>
                </m:r>
              </m:sub>
            </m:sSub>
            <m:r>
              <w:rPr>
                <w:rFonts w:ascii="Cambria Math" w:eastAsiaTheme="minorEastAsia"/>
                <w:sz w:val="22"/>
              </w:rPr>
              <m:t>X</m:t>
            </m:r>
            <m:r>
              <w:rPr>
                <w:rFonts w:ascii="Cambria Math" w:eastAsiaTheme="minorEastAsia"/>
                <w:sz w:val="22"/>
              </w:rPr>
              <m:t>*</m:t>
            </m:r>
            <m:r>
              <w:rPr>
                <w:rFonts w:ascii="Cambria Math" w:eastAsiaTheme="minorEastAsia"/>
                <w:sz w:val="22"/>
              </w:rPr>
              <m:t>)+</m:t>
            </m:r>
            <m:sSub>
              <m:sSubPr>
                <m:ctrlPr>
                  <w:rPr>
                    <w:rFonts w:ascii="Cambria Math" w:eastAsiaTheme="minorEastAsia" w:hAnsi="Cambria Math"/>
                    <w:i/>
                    <w:sz w:val="22"/>
                  </w:rPr>
                </m:ctrlPr>
              </m:sSubPr>
              <m:e>
                <m:r>
                  <w:rPr>
                    <w:rFonts w:ascii="Cambria Math" w:eastAsiaTheme="minorEastAsia" w:hAnsi="Cambria Math"/>
                    <w:sz w:val="22"/>
                  </w:rPr>
                  <m:t>μ</m:t>
                </m:r>
              </m:e>
              <m:sub>
                <m:r>
                  <w:rPr>
                    <w:rFonts w:ascii="Cambria Math" w:eastAsiaTheme="minorEastAsia"/>
                    <w:sz w:val="22"/>
                  </w:rPr>
                  <m:t>ij</m:t>
                </m:r>
              </m:sub>
            </m:sSub>
            <m:r>
              <w:rPr>
                <w:rFonts w:ascii="Cambria Math" w:eastAsiaTheme="minorEastAsia"/>
                <w:sz w:val="22"/>
              </w:rPr>
              <m:t>+</m:t>
            </m:r>
            <m:sSub>
              <m:sSubPr>
                <m:ctrlPr>
                  <w:rPr>
                    <w:rFonts w:ascii="Cambria Math" w:eastAsiaTheme="minorEastAsia" w:hAnsi="Cambria Math"/>
                    <w:i/>
                    <w:sz w:val="22"/>
                  </w:rPr>
                </m:ctrlPr>
              </m:sSubPr>
              <m:e>
                <m:r>
                  <w:rPr>
                    <w:rFonts w:ascii="Cambria Math" w:eastAsiaTheme="minorEastAsia" w:hAnsi="Cambria Math"/>
                    <w:sz w:val="22"/>
                  </w:rPr>
                  <m:t>λ</m:t>
                </m:r>
              </m:e>
              <m:sub>
                <m:r>
                  <w:rPr>
                    <w:rFonts w:ascii="Cambria Math" w:eastAsiaTheme="minorEastAsia"/>
                    <w:sz w:val="22"/>
                  </w:rPr>
                  <m:t>t</m:t>
                </m:r>
              </m:sub>
            </m:sSub>
            <m:r>
              <w:rPr>
                <w:rFonts w:ascii="Cambria Math" w:eastAsiaTheme="minorEastAsia"/>
                <w:sz w:val="22"/>
              </w:rPr>
              <m:t>+</m:t>
            </m:r>
            <m:r>
              <w:rPr>
                <w:rFonts w:ascii="Cambria Math" w:eastAsiaTheme="minorEastAsia" w:hAnsi="Cambria Math"/>
                <w:sz w:val="22"/>
              </w:rPr>
              <m:t>ε</m:t>
            </m:r>
          </m:e>
          <m:sub>
            <m:r>
              <w:rPr>
                <w:rFonts w:ascii="Cambria Math" w:eastAsiaTheme="minorEastAsia" w:hAnsi="Cambria Math"/>
                <w:sz w:val="22"/>
              </w:rPr>
              <m:t>ijt</m:t>
            </m:r>
          </m:sub>
        </m:sSub>
      </m:oMath>
      <w:r w:rsidRPr="00AD0209">
        <w:rPr>
          <w:rFonts w:eastAsiaTheme="minorEastAsia"/>
        </w:rPr>
        <w:t xml:space="preserve">             </w:t>
      </w:r>
      <w:r>
        <w:rPr>
          <w:rFonts w:eastAsiaTheme="minorEastAsia"/>
        </w:rPr>
        <w:t xml:space="preserve">    </w:t>
      </w:r>
      <w:r w:rsidRPr="00AD0209">
        <w:rPr>
          <w:rFonts w:eastAsiaTheme="minorEastAsia"/>
        </w:rPr>
        <w:t xml:space="preserve">            (1)</w:t>
      </w:r>
    </w:p>
    <w:p w14:paraId="56321A58" w14:textId="77777777" w:rsidR="00AB4BF0" w:rsidRDefault="00AB4BF0" w:rsidP="00823081">
      <w:pPr>
        <w:autoSpaceDE w:val="0"/>
        <w:autoSpaceDN w:val="0"/>
        <w:adjustRightInd w:val="0"/>
        <w:ind w:firstLine="720"/>
        <w:contextualSpacing/>
      </w:pPr>
    </w:p>
    <w:p w14:paraId="3319D35C" w14:textId="214B0601" w:rsidR="00823081" w:rsidRDefault="00823081" w:rsidP="00AB4BF0">
      <w:pPr>
        <w:autoSpaceDE w:val="0"/>
        <w:autoSpaceDN w:val="0"/>
        <w:adjustRightInd w:val="0"/>
        <w:contextualSpacing/>
        <w:rPr>
          <w:rFonts w:eastAsiaTheme="minorEastAsia"/>
        </w:rPr>
      </w:pPr>
      <w:r>
        <w:t xml:space="preserve">The variables in the specification are as follows: </w:t>
      </w:r>
      <m:oMath>
        <m:sSub>
          <m:sSubPr>
            <m:ctrlPr>
              <w:rPr>
                <w:rFonts w:ascii="Cambria Math" w:hAnsi="Cambria Math"/>
                <w:i/>
              </w:rPr>
            </m:ctrlPr>
          </m:sSubPr>
          <m:e>
            <m:r>
              <w:rPr>
                <w:rFonts w:ascii="Cambria Math" w:hAnsi="Cambria Math"/>
              </w:rPr>
              <m:t>EXP</m:t>
            </m:r>
          </m:e>
          <m:sub>
            <m:r>
              <w:rPr>
                <w:rFonts w:ascii="Cambria Math" w:hAnsi="Cambria Math"/>
              </w:rPr>
              <m:t>ijt</m:t>
            </m:r>
          </m:sub>
        </m:sSub>
      </m:oMath>
      <w:r w:rsidRPr="00AD0209">
        <w:t xml:space="preserve"> </w:t>
      </w:r>
      <w:r>
        <w:t>is</w:t>
      </w:r>
      <w:r w:rsidRPr="00AD0209">
        <w:t xml:space="preserve"> the export</w:t>
      </w:r>
      <w:r>
        <w:t xml:space="preserve">s </w:t>
      </w:r>
      <w:r w:rsidRPr="00AD0209">
        <w:t xml:space="preserve">from country </w:t>
      </w:r>
      <m:oMath>
        <m:r>
          <w:rPr>
            <w:rFonts w:ascii="Cambria Math" w:hAnsi="Cambria Math"/>
          </w:rPr>
          <m:t>i</m:t>
        </m:r>
      </m:oMath>
      <w:r w:rsidRPr="00AD0209">
        <w:rPr>
          <w:rFonts w:eastAsiaTheme="minorEastAsia"/>
        </w:rPr>
        <w:t xml:space="preserve"> to country </w:t>
      </w:r>
      <m:oMath>
        <m:r>
          <w:rPr>
            <w:rFonts w:ascii="Cambria Math" w:eastAsiaTheme="minorEastAsia" w:hAnsi="Cambria Math"/>
          </w:rPr>
          <m:t>j</m:t>
        </m:r>
      </m:oMath>
      <w:r>
        <w:rPr>
          <w:rFonts w:eastAsiaTheme="minorEastAsia"/>
        </w:rPr>
        <w:t xml:space="preserve"> expressed in millions of US dollars</w:t>
      </w:r>
      <w:r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GDPexp</m:t>
            </m:r>
          </m:e>
          <m:sub>
            <m:r>
              <w:rPr>
                <w:rFonts w:ascii="Cambria Math" w:eastAsiaTheme="minorEastAsia" w:hAnsi="Cambria Math"/>
              </w:rPr>
              <m:t>it</m:t>
            </m:r>
          </m:sub>
        </m:sSub>
      </m:oMath>
      <w:r w:rsidRPr="00AD0209">
        <w:rPr>
          <w:rFonts w:eastAsiaTheme="minorEastAsia"/>
        </w:rPr>
        <w:t xml:space="preserve"> is the </w:t>
      </w:r>
      <w:r>
        <w:rPr>
          <w:rFonts w:eastAsiaTheme="minorEastAsia"/>
        </w:rPr>
        <w:t xml:space="preserve">real </w:t>
      </w:r>
      <w:r w:rsidRPr="00AD0209">
        <w:rPr>
          <w:rFonts w:eastAsiaTheme="minorEastAsia"/>
        </w:rPr>
        <w:t xml:space="preserve">gross domestic product of the </w:t>
      </w:r>
      <w:r w:rsidRPr="00AD0209">
        <w:rPr>
          <w:rFonts w:eastAsiaTheme="minorEastAsia"/>
        </w:rPr>
        <w:lastRenderedPageBreak/>
        <w:t>exporter country</w:t>
      </w:r>
      <w:r>
        <w:rPr>
          <w:rFonts w:eastAsiaTheme="minorEastAsia"/>
        </w:rPr>
        <w:t xml:space="preserve"> expressed in millions of US dollars in prices from 2015 </w:t>
      </w:r>
      <w:r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GDPimp</m:t>
            </m:r>
          </m:e>
          <m:sub>
            <m:r>
              <w:rPr>
                <w:rFonts w:ascii="Cambria Math" w:eastAsiaTheme="minorEastAsia" w:hAnsi="Cambria Math"/>
              </w:rPr>
              <m:t>jt</m:t>
            </m:r>
          </m:sub>
        </m:sSub>
      </m:oMath>
      <w:r w:rsidRPr="00AD0209">
        <w:rPr>
          <w:rFonts w:eastAsiaTheme="minorEastAsia"/>
        </w:rPr>
        <w:t xml:space="preserve"> is the </w:t>
      </w:r>
      <w:r>
        <w:rPr>
          <w:rFonts w:eastAsiaTheme="minorEastAsia"/>
        </w:rPr>
        <w:t xml:space="preserve">real </w:t>
      </w:r>
      <w:r w:rsidRPr="00AD0209">
        <w:rPr>
          <w:rFonts w:eastAsiaTheme="minorEastAsia"/>
        </w:rPr>
        <w:t>gross domestic product</w:t>
      </w:r>
      <w:r>
        <w:rPr>
          <w:rFonts w:eastAsiaTheme="minorEastAsia"/>
        </w:rPr>
        <w:t xml:space="preserve"> o</w:t>
      </w:r>
      <w:r w:rsidRPr="00AD0209">
        <w:rPr>
          <w:rFonts w:eastAsiaTheme="minorEastAsia"/>
        </w:rPr>
        <w:t>f the importer country</w:t>
      </w:r>
      <w:r>
        <w:rPr>
          <w:rFonts w:eastAsiaTheme="minorEastAsia"/>
        </w:rPr>
        <w:t xml:space="preserve"> expressed in millions of US dollars from 2015</w:t>
      </w:r>
      <w:r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Dis</m:t>
            </m:r>
          </m:e>
          <m:sub>
            <m:r>
              <w:rPr>
                <w:rFonts w:ascii="Cambria Math" w:eastAsiaTheme="minorEastAsia" w:hAnsi="Cambria Math"/>
              </w:rPr>
              <m:t>ij</m:t>
            </m:r>
          </m:sub>
        </m:sSub>
      </m:oMath>
      <w:r w:rsidRPr="00AD0209">
        <w:rPr>
          <w:rFonts w:eastAsiaTheme="minorEastAsia"/>
        </w:rPr>
        <w:t xml:space="preserve"> is </w:t>
      </w:r>
      <w:r>
        <w:rPr>
          <w:rFonts w:eastAsiaTheme="minorEastAsia"/>
        </w:rPr>
        <w:t xml:space="preserve">the geographical </w:t>
      </w:r>
      <w:r w:rsidRPr="00AD0209">
        <w:rPr>
          <w:rFonts w:eastAsiaTheme="minorEastAsia"/>
        </w:rPr>
        <w:t>distance</w:t>
      </w:r>
      <w:r>
        <w:rPr>
          <w:rFonts w:eastAsiaTheme="minorEastAsia"/>
        </w:rPr>
        <w:t xml:space="preserve"> between the main economic centers of </w:t>
      </w:r>
      <w:r>
        <w:t>countries</w:t>
      </w:r>
      <w:r w:rsidRPr="00AD0209">
        <w:t xml:space="preserve"> </w:t>
      </w:r>
      <m:oMath>
        <m:r>
          <w:rPr>
            <w:rFonts w:ascii="Cambria Math" w:hAnsi="Cambria Math"/>
          </w:rPr>
          <m:t>i</m:t>
        </m:r>
      </m:oMath>
      <w:r w:rsidRPr="00AD0209">
        <w:rPr>
          <w:rFonts w:eastAsiaTheme="minorEastAsia"/>
        </w:rPr>
        <w:t xml:space="preserve"> </w:t>
      </w:r>
      <w:r>
        <w:rPr>
          <w:rFonts w:eastAsiaTheme="minorEastAsia"/>
        </w:rPr>
        <w:t xml:space="preserve">and </w:t>
      </w:r>
      <m:oMath>
        <m:r>
          <w:rPr>
            <w:rFonts w:ascii="Cambria Math" w:eastAsiaTheme="minorEastAsia" w:hAnsi="Cambria Math"/>
          </w:rPr>
          <m:t>j</m:t>
        </m:r>
      </m:oMath>
      <w:r>
        <w:rPr>
          <w:rFonts w:eastAsiaTheme="minorEastAsia"/>
        </w:rPr>
        <w:t xml:space="preserve"> expressed in km,</w:t>
      </w:r>
      <w:r w:rsidRPr="00AD0209">
        <w:rPr>
          <w:rFonts w:eastAsiaTheme="minorEastAsia"/>
        </w:rPr>
        <w:t xml:space="preserve"> </w:t>
      </w:r>
      <m:oMath>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oMath>
      <w:r>
        <w:rPr>
          <w:rFonts w:eastAsiaTheme="minorEastAsia"/>
        </w:rPr>
        <w:t xml:space="preserve"> and</w:t>
      </w:r>
      <w:r w:rsidRPr="00AD0209">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oMath>
      <w:r w:rsidRPr="00AD0209">
        <w:rPr>
          <w:rFonts w:eastAsiaTheme="minorEastAsia"/>
        </w:rPr>
        <w:t xml:space="preserve"> are dummy variables</w:t>
      </w:r>
      <w:r>
        <w:rPr>
          <w:rFonts w:eastAsiaTheme="minorEastAsia"/>
        </w:rPr>
        <w:t xml:space="preserve">. </w:t>
      </w:r>
      <w:r w:rsidRPr="00AD0209">
        <w:t>The</w:t>
      </w:r>
      <w:r>
        <w:t xml:space="preserve"> variable</w:t>
      </w:r>
      <w:r w:rsidRPr="00AD0209">
        <w:t xml:space="preserve"> </w:t>
      </w:r>
      <m:oMath>
        <m:r>
          <w:rPr>
            <w:rFonts w:ascii="Cambria Math" w:eastAsiaTheme="minorEastAsia" w:hAnsi="Cambria Math"/>
          </w:rPr>
          <m:t>L</m:t>
        </m:r>
        <m:sSub>
          <m:sSubPr>
            <m:ctrlPr>
              <w:rPr>
                <w:rFonts w:ascii="Cambria Math" w:eastAsiaTheme="minorEastAsia" w:hAnsi="Cambria Math"/>
                <w:i/>
              </w:rPr>
            </m:ctrlPr>
          </m:sSubPr>
          <m:e>
            <m:r>
              <w:rPr>
                <w:rFonts w:ascii="Cambria Math" w:eastAsiaTheme="minorEastAsia" w:hAnsi="Cambria Math"/>
              </w:rPr>
              <m:t>ANG</m:t>
            </m:r>
          </m:e>
          <m:sub>
            <m:r>
              <w:rPr>
                <w:rFonts w:ascii="Cambria Math" w:eastAsiaTheme="minorEastAsia" w:hAnsi="Cambria Math"/>
              </w:rPr>
              <m:t>ij</m:t>
            </m:r>
          </m:sub>
        </m:sSub>
      </m:oMath>
      <w:r w:rsidRPr="00AD0209">
        <w:t xml:space="preserve"> is </w:t>
      </w:r>
      <w:r>
        <w:t xml:space="preserve">a </w:t>
      </w:r>
      <w:r w:rsidRPr="00AD0209">
        <w:t xml:space="preserve">dummy variable equal to </w:t>
      </w:r>
      <w:r>
        <w:t>1</w:t>
      </w:r>
      <w:r w:rsidRPr="00AD0209">
        <w:t xml:space="preserve"> </w:t>
      </w:r>
      <w:r w:rsidRPr="00CC08BF">
        <w:t>for</w:t>
      </w:r>
      <w:r w:rsidRPr="00AD0209">
        <w:t xml:space="preserve"> coun</w:t>
      </w:r>
      <w:r>
        <w:t>tries that share a common language</w:t>
      </w:r>
      <w:r w:rsidRPr="00AD0209">
        <w:t xml:space="preserve"> and </w:t>
      </w:r>
      <w:r>
        <w:t>0</w:t>
      </w:r>
      <w:r w:rsidRPr="00AD0209">
        <w:t xml:space="preserve"> otherwise</w:t>
      </w:r>
      <w:r>
        <w:t xml:space="preserve"> and</w:t>
      </w:r>
      <w:r w:rsidRPr="00AD0209">
        <w:t xml:space="preserve"> </w:t>
      </w:r>
      <m:oMath>
        <m:sSub>
          <m:sSubPr>
            <m:ctrlPr>
              <w:rPr>
                <w:rFonts w:ascii="Cambria Math" w:eastAsiaTheme="minorEastAsia" w:hAnsi="Cambria Math"/>
                <w:i/>
              </w:rPr>
            </m:ctrlPr>
          </m:sSubPr>
          <m:e>
            <m:r>
              <w:rPr>
                <w:rFonts w:ascii="Cambria Math" w:eastAsiaTheme="minorEastAsia" w:hAnsi="Cambria Math"/>
              </w:rPr>
              <m:t>BORD</m:t>
            </m:r>
          </m:e>
          <m:sub>
            <m:r>
              <w:rPr>
                <w:rFonts w:ascii="Cambria Math" w:eastAsiaTheme="minorEastAsia" w:hAnsi="Cambria Math"/>
              </w:rPr>
              <m:t>ij</m:t>
            </m:r>
          </m:sub>
        </m:sSub>
      </m:oMath>
      <w:r w:rsidRPr="00AD0209">
        <w:rPr>
          <w:rFonts w:eastAsiaTheme="minorEastAsia"/>
        </w:rPr>
        <w:t xml:space="preserve"> </w:t>
      </w:r>
      <w:r w:rsidRPr="00AD0209">
        <w:t xml:space="preserve">is </w:t>
      </w:r>
      <w:r>
        <w:t xml:space="preserve">a </w:t>
      </w:r>
      <w:r w:rsidRPr="00AD0209">
        <w:t xml:space="preserve">dummy variable equal to </w:t>
      </w:r>
      <w:r>
        <w:t>1</w:t>
      </w:r>
      <w:r w:rsidRPr="00AD0209">
        <w:t xml:space="preserve"> </w:t>
      </w:r>
      <w:r w:rsidRPr="00CC08BF">
        <w:t>for</w:t>
      </w:r>
      <w:r w:rsidRPr="00AD0209">
        <w:t xml:space="preserve"> countries that share </w:t>
      </w:r>
      <w:r>
        <w:t xml:space="preserve">a </w:t>
      </w:r>
      <w:r w:rsidRPr="00AD0209">
        <w:t xml:space="preserve">common border and </w:t>
      </w:r>
      <w:r>
        <w:t>0</w:t>
      </w:r>
      <w:r w:rsidRPr="00AD0209">
        <w:t xml:space="preserve"> otherwis</w:t>
      </w:r>
      <w:r>
        <w:t>e</w:t>
      </w:r>
      <w:r w:rsidRPr="00AD0209">
        <w:rPr>
          <w:rFonts w:eastAsiaTheme="minorEastAsia"/>
        </w:rPr>
        <w:t>.</w:t>
      </w:r>
    </w:p>
    <w:p w14:paraId="00CE3C2E" w14:textId="177D41C5" w:rsidR="00823081" w:rsidRDefault="00823081" w:rsidP="00823081">
      <w:pPr>
        <w:autoSpaceDE w:val="0"/>
        <w:autoSpaceDN w:val="0"/>
        <w:adjustRightInd w:val="0"/>
        <w:contextualSpacing/>
        <w:rPr>
          <w:rFonts w:eastAsiaTheme="minorEastAsia"/>
        </w:rPr>
      </w:pPr>
      <w:r>
        <w:rPr>
          <w:rFonts w:eastAsiaTheme="minorEastAsia"/>
        </w:rPr>
        <w:t xml:space="preserve">The variable </w:t>
      </w:r>
      <w:r w:rsidRPr="00B643C3">
        <w:rPr>
          <w:rFonts w:eastAsiaTheme="minorEastAsia"/>
        </w:rPr>
        <w:t>TFA</w:t>
      </w:r>
      <w:r>
        <w:rPr>
          <w:rFonts w:eastAsiaTheme="minorEastAsia"/>
        </w:rPr>
        <w:t>_X</w:t>
      </w:r>
      <w:r w:rsidRPr="008230B6">
        <w:rPr>
          <w:rFonts w:eastAsiaTheme="minorEastAsia"/>
          <w:vertAlign w:val="subscript"/>
        </w:rPr>
        <w:t>*</w:t>
      </w:r>
      <w:r>
        <w:rPr>
          <w:rFonts w:eastAsiaTheme="minorEastAsia"/>
        </w:rPr>
        <w:t xml:space="preserve"> is referring to trade facilitation indicators. We made eleven specifications using different trade facilitation indicators: information availability, involvement in trade community, advanced ruling, appeal procedures, fees and charges, document</w:t>
      </w:r>
      <w:r w:rsidR="00710B1A">
        <w:rPr>
          <w:rFonts w:eastAsiaTheme="minorEastAsia"/>
        </w:rPr>
        <w:t>s</w:t>
      </w:r>
      <w:r>
        <w:rPr>
          <w:rFonts w:eastAsiaTheme="minorEastAsia"/>
        </w:rPr>
        <w:t>, automatization, procedures, b</w:t>
      </w:r>
      <w:r w:rsidRPr="00B65CA9">
        <w:rPr>
          <w:rFonts w:eastAsiaTheme="minorEastAsia"/>
        </w:rPr>
        <w:t>order agency cooperation</w:t>
      </w:r>
      <w:r>
        <w:rPr>
          <w:rFonts w:eastAsiaTheme="minorEastAsia"/>
        </w:rPr>
        <w:t xml:space="preserve"> internal, b</w:t>
      </w:r>
      <w:r w:rsidRPr="00B65CA9">
        <w:rPr>
          <w:rFonts w:eastAsiaTheme="minorEastAsia"/>
        </w:rPr>
        <w:t xml:space="preserve">order agency cooperation </w:t>
      </w:r>
      <w:r>
        <w:rPr>
          <w:rFonts w:eastAsiaTheme="minorEastAsia"/>
        </w:rPr>
        <w:t>–</w:t>
      </w:r>
      <w:r w:rsidRPr="00B65CA9">
        <w:rPr>
          <w:rFonts w:eastAsiaTheme="minorEastAsia"/>
        </w:rPr>
        <w:t xml:space="preserve"> external</w:t>
      </w:r>
      <w:r>
        <w:rPr>
          <w:rFonts w:eastAsiaTheme="minorEastAsia"/>
        </w:rPr>
        <w:t xml:space="preserve"> and g</w:t>
      </w:r>
      <w:r w:rsidRPr="00F82686">
        <w:rPr>
          <w:rFonts w:eastAsiaTheme="minorEastAsia"/>
        </w:rPr>
        <w:t>overnance and impartiality</w:t>
      </w:r>
      <w:r>
        <w:rPr>
          <w:rFonts w:eastAsiaTheme="minorEastAsia"/>
        </w:rPr>
        <w:t xml:space="preserve">. </w:t>
      </w:r>
    </w:p>
    <w:p w14:paraId="02E75654" w14:textId="77777777" w:rsidR="00823081" w:rsidRDefault="00823081" w:rsidP="00823081">
      <w:pPr>
        <w:autoSpaceDE w:val="0"/>
        <w:autoSpaceDN w:val="0"/>
        <w:adjustRightInd w:val="0"/>
        <w:contextualSpacing/>
        <w:rPr>
          <w:rFonts w:eastAsiaTheme="minorEastAsia"/>
        </w:rPr>
      </w:pPr>
      <w:r w:rsidRPr="0041074C">
        <w:rPr>
          <w:rFonts w:eastAsiaTheme="minorEastAsia"/>
        </w:rPr>
        <w:t>Trade facilitation indicators (TFIs) are published by OECD and have been constructed, corresponding to the main policy areas under negotiation at the WTO, with the aim to estimate the impact of addressing specific facilitation hurdles in the trade procedures of a given country.</w:t>
      </w:r>
    </w:p>
    <w:p w14:paraId="7FE78F08" w14:textId="77777777" w:rsidR="00823081" w:rsidRPr="00EE3F46" w:rsidRDefault="00823081" w:rsidP="00823081">
      <w:pPr>
        <w:autoSpaceDE w:val="0"/>
        <w:autoSpaceDN w:val="0"/>
        <w:adjustRightInd w:val="0"/>
        <w:contextualSpacing/>
        <w:rPr>
          <w:rFonts w:eastAsiaTheme="minorEastAsia"/>
        </w:rPr>
      </w:pPr>
      <w:r>
        <w:rPr>
          <w:rFonts w:eastAsiaTheme="minorEastAsia"/>
        </w:rPr>
        <w:t>The indicator ranges from 0 (lowest) to 2 (highest). For the purpose of this model, we rescale it from 0-10. The variable TFA_X</w:t>
      </w:r>
      <w:r w:rsidRPr="00823E54">
        <w:rPr>
          <w:rFonts w:eastAsiaTheme="minorEastAsia"/>
          <w:vertAlign w:val="subscript"/>
        </w:rPr>
        <w:t>*</w:t>
      </w:r>
      <w:r>
        <w:rPr>
          <w:rFonts w:eastAsiaTheme="minorEastAsia"/>
        </w:rPr>
        <w:t xml:space="preserve"> is constructed as natural logarithm of product of the corresponding variable for importer and exporter and </w:t>
      </w:r>
      <w:r>
        <w:rPr>
          <w:rFonts w:eastAsiaTheme="minorHAnsi"/>
        </w:rPr>
        <w:t xml:space="preserve">make it possible to see jointly how changes in the choice of variables affect exporters and importers. </w:t>
      </w:r>
      <w:r w:rsidRPr="00EE3F46">
        <w:rPr>
          <w:rFonts w:eastAsiaTheme="minorEastAsia"/>
        </w:rPr>
        <w:t xml:space="preserve">The </w:t>
      </w:r>
      <w:r>
        <w:rPr>
          <w:rFonts w:eastAsiaTheme="minorEastAsia"/>
        </w:rPr>
        <w:t xml:space="preserve">letter </w:t>
      </w:r>
      <w:r w:rsidRPr="00EE3F46">
        <w:rPr>
          <w:rFonts w:eastAsiaTheme="minorEastAsia"/>
        </w:rPr>
        <w:t xml:space="preserve">X </w:t>
      </w:r>
      <w:r>
        <w:rPr>
          <w:rFonts w:eastAsiaTheme="minorEastAsia"/>
        </w:rPr>
        <w:t>notes</w:t>
      </w:r>
      <w:r w:rsidRPr="00EE3F46">
        <w:rPr>
          <w:rFonts w:eastAsiaTheme="minorEastAsia"/>
        </w:rPr>
        <w:t xml:space="preserve"> the specific trade facilitation indicator (A, B, …, </w:t>
      </w:r>
      <w:r>
        <w:rPr>
          <w:rFonts w:eastAsiaTheme="minorEastAsia"/>
        </w:rPr>
        <w:t>K</w:t>
      </w:r>
      <w:r w:rsidRPr="00EE3F46">
        <w:rPr>
          <w:rFonts w:eastAsiaTheme="minorEastAsia"/>
        </w:rPr>
        <w:t>). Since we analyze in total 11 trade facilitation indicators, we run 11 regressions.</w:t>
      </w:r>
    </w:p>
    <w:p w14:paraId="71672C49" w14:textId="77777777" w:rsidR="00823081" w:rsidRPr="00762ACD" w:rsidRDefault="00823081" w:rsidP="00823081">
      <w:pPr>
        <w:autoSpaceDE w:val="0"/>
        <w:autoSpaceDN w:val="0"/>
        <w:adjustRightInd w:val="0"/>
        <w:contextualSpacing/>
      </w:pPr>
      <w:r>
        <w:t>Specifications 1-11 of the gravity model are based on the recent study by Wilson (2010) who argues that different specifications of the model are needed because of the high correlation among the trade facilitation indicator variables. This is the reason why we estimate separate equations</w:t>
      </w:r>
      <w:r w:rsidRPr="0096489E">
        <w:t xml:space="preserve"> for each of these variables</w:t>
      </w:r>
      <w:r>
        <w:t xml:space="preserve">. </w:t>
      </w:r>
    </w:p>
    <w:p w14:paraId="1E1AE049" w14:textId="103A6AD5" w:rsidR="00823081" w:rsidRDefault="00823081" w:rsidP="00823081">
      <w:r>
        <w:t xml:space="preserve">The analysis is based on annual data. The source for exports data is the International Monetary Fund, Direction of Trade Statistics. Data on GDP are from the World Bank Database. Data on geographical distance between the economic centers of two countries are from the website http://www.worldatlas.com. </w:t>
      </w:r>
      <w:r w:rsidRPr="008E0EE7">
        <w:t>Data for the Trade facilitation indicators is obtained electronically and directly from OECD</w:t>
      </w:r>
      <w:r>
        <w:t>. The indicator</w:t>
      </w:r>
      <w:r w:rsidR="00446112">
        <w:t>a</w:t>
      </w:r>
      <w:r>
        <w:t xml:space="preserve"> </w:t>
      </w:r>
      <w:r w:rsidR="00446112">
        <w:t>are</w:t>
      </w:r>
      <w:r>
        <w:t xml:space="preserve"> published every two years and we have included in the database all available indicators for the years 2012, 2015, 2017 and 2019. </w:t>
      </w:r>
    </w:p>
    <w:p w14:paraId="1AE3C6EB" w14:textId="2F52DD58" w:rsidR="00823081" w:rsidRPr="00823081" w:rsidRDefault="00823081" w:rsidP="00823081">
      <w:pPr>
        <w:rPr>
          <w:b/>
          <w:bCs/>
        </w:rPr>
      </w:pPr>
    </w:p>
    <w:p w14:paraId="190246BF" w14:textId="169DB14A" w:rsidR="00823081" w:rsidRDefault="00823081" w:rsidP="00823081">
      <w:pPr>
        <w:rPr>
          <w:b/>
          <w:bCs/>
        </w:rPr>
      </w:pPr>
      <w:r w:rsidRPr="00823081">
        <w:rPr>
          <w:b/>
          <w:bCs/>
        </w:rPr>
        <w:t>5.</w:t>
      </w:r>
      <w:r>
        <w:rPr>
          <w:b/>
          <w:bCs/>
        </w:rPr>
        <w:t xml:space="preserve"> </w:t>
      </w:r>
      <w:r>
        <w:rPr>
          <w:b/>
          <w:bCs/>
        </w:rPr>
        <w:tab/>
      </w:r>
      <w:r w:rsidRPr="00823081">
        <w:rPr>
          <w:b/>
          <w:bCs/>
        </w:rPr>
        <w:t>RESULTS</w:t>
      </w:r>
      <w:r w:rsidR="009277A9">
        <w:rPr>
          <w:b/>
          <w:bCs/>
        </w:rPr>
        <w:t xml:space="preserve"> </w:t>
      </w:r>
    </w:p>
    <w:p w14:paraId="05C010CC" w14:textId="77777777" w:rsidR="00823081" w:rsidRPr="00823081" w:rsidRDefault="00823081" w:rsidP="00823081">
      <w:pPr>
        <w:rPr>
          <w:b/>
          <w:bCs/>
        </w:rPr>
      </w:pPr>
    </w:p>
    <w:p w14:paraId="272163F8" w14:textId="646935CC" w:rsidR="00AB4BF0" w:rsidRDefault="00446112" w:rsidP="00823081">
      <w:pPr>
        <w:autoSpaceDE w:val="0"/>
        <w:autoSpaceDN w:val="0"/>
        <w:adjustRightInd w:val="0"/>
        <w:contextualSpacing/>
        <w:rPr>
          <w:bCs/>
        </w:rPr>
      </w:pPr>
      <w:r w:rsidRPr="00446112">
        <w:rPr>
          <w:bCs/>
        </w:rPr>
        <w:t xml:space="preserve">The </w:t>
      </w:r>
      <w:r>
        <w:rPr>
          <w:bCs/>
        </w:rPr>
        <w:t xml:space="preserve">results from the </w:t>
      </w:r>
      <w:r w:rsidR="000367EA">
        <w:rPr>
          <w:bCs/>
          <w:lang w:val="en-US"/>
        </w:rPr>
        <w:t xml:space="preserve">regressions </w:t>
      </w:r>
      <w:r>
        <w:rPr>
          <w:bCs/>
        </w:rPr>
        <w:t>are given in Table 1.</w:t>
      </w:r>
      <w:r w:rsidR="000367EA">
        <w:rPr>
          <w:bCs/>
        </w:rPr>
        <w:t xml:space="preserve"> </w:t>
      </w:r>
      <w:r w:rsidR="00AB4BF0">
        <w:rPr>
          <w:bCs/>
        </w:rPr>
        <w:t>The results indicate that GDP of both, the expo</w:t>
      </w:r>
      <w:r w:rsidR="006C628A">
        <w:rPr>
          <w:bCs/>
        </w:rPr>
        <w:t>rter</w:t>
      </w:r>
      <w:r w:rsidR="00AB4BF0">
        <w:rPr>
          <w:bCs/>
        </w:rPr>
        <w:t xml:space="preserve"> and</w:t>
      </w:r>
      <w:r w:rsidR="006C628A">
        <w:rPr>
          <w:bCs/>
        </w:rPr>
        <w:t xml:space="preserve"> the</w:t>
      </w:r>
      <w:r w:rsidR="00AB4BF0">
        <w:rPr>
          <w:bCs/>
        </w:rPr>
        <w:t xml:space="preserve"> importer countries, </w:t>
      </w:r>
      <w:r w:rsidR="005A7C42">
        <w:rPr>
          <w:bCs/>
        </w:rPr>
        <w:t>is</w:t>
      </w:r>
      <w:r w:rsidR="00AB4BF0">
        <w:rPr>
          <w:bCs/>
        </w:rPr>
        <w:t xml:space="preserve"> important for incresing mutual trade</w:t>
      </w:r>
      <w:r w:rsidR="005A7C42">
        <w:rPr>
          <w:bCs/>
        </w:rPr>
        <w:t xml:space="preserve"> among the countries</w:t>
      </w:r>
      <w:r w:rsidR="00AB4BF0">
        <w:rPr>
          <w:bCs/>
        </w:rPr>
        <w:t>. These results are expected and</w:t>
      </w:r>
      <w:r w:rsidR="007D3DA8">
        <w:rPr>
          <w:bCs/>
        </w:rPr>
        <w:t xml:space="preserve"> common for this type of studies. The variable distance is also important but bears negative sign which is the main logic of gravity models: countries th</w:t>
      </w:r>
      <w:r w:rsidR="005A7C42">
        <w:rPr>
          <w:bCs/>
        </w:rPr>
        <w:t>at</w:t>
      </w:r>
      <w:r w:rsidR="007D3DA8">
        <w:rPr>
          <w:bCs/>
        </w:rPr>
        <w:t xml:space="preserve"> are closer to each other trade more or are more luckily to trade more. Increasing the distance between </w:t>
      </w:r>
      <w:r w:rsidR="005A7C42">
        <w:rPr>
          <w:bCs/>
        </w:rPr>
        <w:t xml:space="preserve">the </w:t>
      </w:r>
      <w:r w:rsidR="007D3DA8">
        <w:rPr>
          <w:bCs/>
        </w:rPr>
        <w:t xml:space="preserve">countries increases the transaction costs and decreses the possibility to trade. </w:t>
      </w:r>
    </w:p>
    <w:p w14:paraId="64B4EE01" w14:textId="72E1FF22" w:rsidR="007D3DA8" w:rsidRDefault="007D3DA8" w:rsidP="00823081">
      <w:pPr>
        <w:autoSpaceDE w:val="0"/>
        <w:autoSpaceDN w:val="0"/>
        <w:adjustRightInd w:val="0"/>
        <w:contextualSpacing/>
        <w:rPr>
          <w:bCs/>
        </w:rPr>
      </w:pPr>
      <w:r>
        <w:rPr>
          <w:bCs/>
        </w:rPr>
        <w:t>The dummy variables: language and border are also positive and significant. This mean</w:t>
      </w:r>
      <w:r w:rsidR="005A7C42">
        <w:rPr>
          <w:bCs/>
        </w:rPr>
        <w:t>s</w:t>
      </w:r>
      <w:r>
        <w:rPr>
          <w:bCs/>
        </w:rPr>
        <w:t xml:space="preserve"> that countries that speak the same or similar language have higher possibility to trade more. The coefficient for the </w:t>
      </w:r>
      <w:r w:rsidR="005A7C42">
        <w:rPr>
          <w:bCs/>
        </w:rPr>
        <w:t xml:space="preserve">variable </w:t>
      </w:r>
      <w:r>
        <w:rPr>
          <w:bCs/>
        </w:rPr>
        <w:t xml:space="preserve">language is statistically important and positive in all cases. </w:t>
      </w:r>
      <w:r w:rsidR="00F57282">
        <w:rPr>
          <w:bCs/>
        </w:rPr>
        <w:t xml:space="preserve">Also, countries that share the same border are more luckily to trade </w:t>
      </w:r>
      <w:r w:rsidR="005A7C42">
        <w:rPr>
          <w:bCs/>
        </w:rPr>
        <w:t xml:space="preserve">more </w:t>
      </w:r>
      <w:r w:rsidR="00F57282">
        <w:rPr>
          <w:bCs/>
        </w:rPr>
        <w:t>among themselves. The coefficients for this variable are positive but not statistically significant in all regressions. They are significant in seven out of eleven regressions.</w:t>
      </w:r>
    </w:p>
    <w:p w14:paraId="5EA76A70" w14:textId="57AB427F" w:rsidR="00446112" w:rsidRDefault="00446112" w:rsidP="00823081">
      <w:pPr>
        <w:autoSpaceDE w:val="0"/>
        <w:autoSpaceDN w:val="0"/>
        <w:adjustRightInd w:val="0"/>
        <w:contextualSpacing/>
        <w:rPr>
          <w:bCs/>
        </w:rPr>
      </w:pPr>
    </w:p>
    <w:p w14:paraId="6022ECFC" w14:textId="36EA5A23" w:rsidR="00446112" w:rsidRDefault="00446112" w:rsidP="00823081">
      <w:pPr>
        <w:autoSpaceDE w:val="0"/>
        <w:autoSpaceDN w:val="0"/>
        <w:adjustRightInd w:val="0"/>
        <w:contextualSpacing/>
        <w:rPr>
          <w:bCs/>
        </w:rPr>
      </w:pPr>
    </w:p>
    <w:p w14:paraId="5790BB58" w14:textId="666FF582" w:rsidR="00446112" w:rsidRDefault="00446112" w:rsidP="00823081">
      <w:pPr>
        <w:autoSpaceDE w:val="0"/>
        <w:autoSpaceDN w:val="0"/>
        <w:adjustRightInd w:val="0"/>
        <w:contextualSpacing/>
        <w:rPr>
          <w:bCs/>
        </w:rPr>
      </w:pPr>
    </w:p>
    <w:p w14:paraId="41C3633C" w14:textId="77777777" w:rsidR="002601FB" w:rsidRDefault="002601FB" w:rsidP="00823081">
      <w:pPr>
        <w:autoSpaceDE w:val="0"/>
        <w:autoSpaceDN w:val="0"/>
        <w:adjustRightInd w:val="0"/>
        <w:contextualSpacing/>
        <w:rPr>
          <w:b/>
        </w:rPr>
        <w:sectPr w:rsidR="002601FB" w:rsidSect="002601FB">
          <w:headerReference w:type="even" r:id="rId10"/>
          <w:headerReference w:type="default" r:id="rId11"/>
          <w:footerReference w:type="even" r:id="rId12"/>
          <w:footerReference w:type="default" r:id="rId13"/>
          <w:headerReference w:type="first" r:id="rId14"/>
          <w:footerReference w:type="first" r:id="rId15"/>
          <w:pgSz w:w="11906" w:h="16838"/>
          <w:pgMar w:top="1418" w:right="1418" w:bottom="1418" w:left="1418" w:header="709" w:footer="709" w:gutter="0"/>
          <w:cols w:space="708"/>
          <w:docGrid w:linePitch="360"/>
        </w:sectPr>
      </w:pPr>
    </w:p>
    <w:p w14:paraId="6CAAE68C" w14:textId="30BEB895" w:rsidR="00446112" w:rsidRDefault="00446112" w:rsidP="00823081">
      <w:pPr>
        <w:autoSpaceDE w:val="0"/>
        <w:autoSpaceDN w:val="0"/>
        <w:adjustRightInd w:val="0"/>
        <w:contextualSpacing/>
        <w:rPr>
          <w:bCs/>
        </w:rPr>
      </w:pPr>
      <w:r w:rsidRPr="00446112">
        <w:rPr>
          <w:b/>
        </w:rPr>
        <w:lastRenderedPageBreak/>
        <w:t>Table 1.</w:t>
      </w:r>
      <w:r>
        <w:rPr>
          <w:bCs/>
        </w:rPr>
        <w:t xml:space="preserve"> Results from the gravity model</w:t>
      </w:r>
    </w:p>
    <w:p w14:paraId="16223AA7" w14:textId="08D1B575" w:rsidR="00446112" w:rsidRPr="00446112" w:rsidRDefault="00446112" w:rsidP="00823081">
      <w:pPr>
        <w:autoSpaceDE w:val="0"/>
        <w:autoSpaceDN w:val="0"/>
        <w:adjustRightInd w:val="0"/>
        <w:contextualSpacing/>
        <w:rPr>
          <w:bCs/>
        </w:rPr>
      </w:pPr>
      <w:r>
        <w:rPr>
          <w:noProof/>
        </w:rPr>
        <w:drawing>
          <wp:inline distT="0" distB="0" distL="0" distR="0" wp14:anchorId="702AF09D" wp14:editId="1B5B0FB6">
            <wp:extent cx="8785860" cy="5181600"/>
            <wp:effectExtent l="0" t="0" r="0" b="0"/>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96DAC541-7B7A-43D3-8B79-37D633B846F1}">
                          <asvg:svgBlip xmlns:asvg="http://schemas.microsoft.com/office/drawing/2016/SVG/main" r:embed="rId17"/>
                        </a:ext>
                      </a:extLst>
                    </a:blip>
                    <a:stretch>
                      <a:fillRect/>
                    </a:stretch>
                  </pic:blipFill>
                  <pic:spPr>
                    <a:xfrm>
                      <a:off x="0" y="0"/>
                      <a:ext cx="8785860" cy="5181600"/>
                    </a:xfrm>
                    <a:prstGeom prst="rect">
                      <a:avLst/>
                    </a:prstGeom>
                  </pic:spPr>
                </pic:pic>
              </a:graphicData>
            </a:graphic>
          </wp:inline>
        </w:drawing>
      </w:r>
    </w:p>
    <w:p w14:paraId="591E49EF" w14:textId="20A9A1EB" w:rsidR="00446112" w:rsidRPr="00446112" w:rsidRDefault="00446112" w:rsidP="00446112">
      <w:pPr>
        <w:spacing w:after="120"/>
        <w:rPr>
          <w:sz w:val="20"/>
          <w:szCs w:val="20"/>
        </w:rPr>
      </w:pPr>
      <w:r w:rsidRPr="00446112">
        <w:rPr>
          <w:sz w:val="20"/>
          <w:szCs w:val="20"/>
        </w:rPr>
        <w:t xml:space="preserve">Note: Numbers given in parenthesis are corresponding standard deviations. *** : p&lt; 0.01; **:p&lt; 0.05; * : p &lt; 0.1 </w:t>
      </w:r>
    </w:p>
    <w:p w14:paraId="7FC2C33E" w14:textId="6DC9288B" w:rsidR="002601FB" w:rsidRPr="002601FB" w:rsidRDefault="00446112" w:rsidP="00823081">
      <w:pPr>
        <w:rPr>
          <w:bCs/>
          <w:i/>
          <w:sz w:val="20"/>
          <w:szCs w:val="20"/>
        </w:rPr>
        <w:sectPr w:rsidR="002601FB" w:rsidRPr="002601FB" w:rsidSect="002601FB">
          <w:pgSz w:w="16838" w:h="11906" w:orient="landscape"/>
          <w:pgMar w:top="1411" w:right="1411" w:bottom="1411" w:left="1411" w:header="706" w:footer="706" w:gutter="0"/>
          <w:cols w:space="708"/>
          <w:docGrid w:linePitch="360"/>
        </w:sectPr>
      </w:pPr>
      <w:r w:rsidRPr="00446112">
        <w:rPr>
          <w:bCs/>
          <w:sz w:val="20"/>
          <w:szCs w:val="20"/>
        </w:rPr>
        <w:t>Source: Authors` calculations</w:t>
      </w:r>
    </w:p>
    <w:p w14:paraId="3AC7D4D6" w14:textId="77777777" w:rsidR="009277A9" w:rsidRDefault="009277A9" w:rsidP="009277A9">
      <w:pPr>
        <w:rPr>
          <w:szCs w:val="24"/>
          <w:lang w:val="en-US"/>
        </w:rPr>
      </w:pPr>
    </w:p>
    <w:p w14:paraId="4D8254F3" w14:textId="41291355" w:rsidR="009277A9" w:rsidRPr="00F57282" w:rsidRDefault="007D3DA8" w:rsidP="00F57282">
      <w:pPr>
        <w:autoSpaceDE w:val="0"/>
        <w:autoSpaceDN w:val="0"/>
        <w:adjustRightInd w:val="0"/>
        <w:contextualSpacing/>
        <w:rPr>
          <w:bCs/>
        </w:rPr>
      </w:pPr>
      <w:r>
        <w:rPr>
          <w:bCs/>
        </w:rPr>
        <w:t xml:space="preserve">The results </w:t>
      </w:r>
      <w:r w:rsidR="00F57282">
        <w:rPr>
          <w:bCs/>
        </w:rPr>
        <w:t>for</w:t>
      </w:r>
      <w:r>
        <w:rPr>
          <w:bCs/>
        </w:rPr>
        <w:t xml:space="preserve"> the indicators show that of eleven </w:t>
      </w:r>
      <w:r w:rsidR="006C628A">
        <w:rPr>
          <w:bCs/>
        </w:rPr>
        <w:t>i</w:t>
      </w:r>
      <w:r>
        <w:rPr>
          <w:bCs/>
        </w:rPr>
        <w:t>ndicators analyzed</w:t>
      </w:r>
      <w:r w:rsidR="006C628A">
        <w:rPr>
          <w:bCs/>
        </w:rPr>
        <w:t>,</w:t>
      </w:r>
      <w:r>
        <w:rPr>
          <w:bCs/>
        </w:rPr>
        <w:t xml:space="preserve"> eight are statistically significant for incresing trade among CEFTA-2006 memebres. Highest statistical significance (at 99% level) have the following three indicators: Fees and charges, Documents and Procedures. </w:t>
      </w:r>
      <w:r>
        <w:rPr>
          <w:bCs/>
          <w:lang w:val="en-US"/>
        </w:rPr>
        <w:t xml:space="preserve">This implies that </w:t>
      </w:r>
      <w:r w:rsidR="009277A9" w:rsidRPr="009277A9">
        <w:rPr>
          <w:bCs/>
          <w:lang w:val="en-US"/>
        </w:rPr>
        <w:t>1% improvement in the Fees and charges indicator could lead to 0.49% increase in bilateral export</w:t>
      </w:r>
      <w:r>
        <w:rPr>
          <w:bCs/>
          <w:lang w:val="en-US"/>
        </w:rPr>
        <w:t xml:space="preserve"> among CEFTA-2006 member-parties. </w:t>
      </w:r>
      <w:r w:rsidR="009277A9" w:rsidRPr="009277A9">
        <w:rPr>
          <w:bCs/>
          <w:lang w:val="en-US"/>
        </w:rPr>
        <w:t>1% improvement in the Documents indicator could lead to 0.66% increase in bilateral export</w:t>
      </w:r>
      <w:r>
        <w:rPr>
          <w:bCs/>
          <w:lang w:val="en-US"/>
        </w:rPr>
        <w:t xml:space="preserve">. And </w:t>
      </w:r>
      <w:r w:rsidR="009277A9" w:rsidRPr="009277A9">
        <w:rPr>
          <w:bCs/>
          <w:lang w:val="en-US"/>
        </w:rPr>
        <w:t>1% improvement in the Procedures indicator could lead to 0.67% increase in bilateral export.</w:t>
      </w:r>
      <w:r w:rsidR="00F57282">
        <w:rPr>
          <w:bCs/>
          <w:lang w:val="en-US"/>
        </w:rPr>
        <w:t xml:space="preserve"> These results indicate in which are</w:t>
      </w:r>
      <w:r w:rsidR="005A7C42">
        <w:rPr>
          <w:bCs/>
          <w:lang w:val="en-US"/>
        </w:rPr>
        <w:t>as</w:t>
      </w:r>
      <w:r w:rsidR="00F57282">
        <w:rPr>
          <w:bCs/>
          <w:lang w:val="en-US"/>
        </w:rPr>
        <w:t xml:space="preserve"> CEFTA-2006 member parties could invest most and introduce trade facilitation measures to increase bilateral trade. </w:t>
      </w:r>
    </w:p>
    <w:p w14:paraId="03FE76B0" w14:textId="680D5860" w:rsidR="005A7C42" w:rsidRDefault="009277A9" w:rsidP="00F57282">
      <w:pPr>
        <w:autoSpaceDE w:val="0"/>
        <w:autoSpaceDN w:val="0"/>
        <w:adjustRightInd w:val="0"/>
        <w:contextualSpacing/>
        <w:rPr>
          <w:bCs/>
          <w:lang w:val="en-US"/>
        </w:rPr>
      </w:pPr>
      <w:r w:rsidRPr="009277A9">
        <w:rPr>
          <w:bCs/>
          <w:lang w:val="en-US"/>
        </w:rPr>
        <w:t>Also important at 95% level are the indicators: Involvement of the trade community and External border agency co-operation.</w:t>
      </w:r>
      <w:r w:rsidR="00F57282">
        <w:rPr>
          <w:bCs/>
          <w:lang w:val="en-US"/>
        </w:rPr>
        <w:t xml:space="preserve"> </w:t>
      </w:r>
      <w:r w:rsidR="005A7C42">
        <w:rPr>
          <w:bCs/>
          <w:lang w:val="en-US"/>
        </w:rPr>
        <w:t xml:space="preserve">These results are in line with the fact that </w:t>
      </w:r>
      <w:r w:rsidR="006C628A">
        <w:rPr>
          <w:bCs/>
          <w:lang w:val="en-US"/>
        </w:rPr>
        <w:t>these</w:t>
      </w:r>
      <w:r w:rsidR="005A7C42">
        <w:rPr>
          <w:bCs/>
          <w:lang w:val="en-US"/>
        </w:rPr>
        <w:t xml:space="preserve"> are the areas, especially external border agency co-operation, where the values of the indicators are lowest. </w:t>
      </w:r>
    </w:p>
    <w:p w14:paraId="4549DB1B" w14:textId="043518A0" w:rsidR="009277A9" w:rsidRPr="009277A9" w:rsidRDefault="009277A9" w:rsidP="00F57282">
      <w:pPr>
        <w:autoSpaceDE w:val="0"/>
        <w:autoSpaceDN w:val="0"/>
        <w:adjustRightInd w:val="0"/>
        <w:contextualSpacing/>
        <w:rPr>
          <w:bCs/>
          <w:lang w:val="en-US"/>
        </w:rPr>
      </w:pPr>
      <w:r w:rsidRPr="009277A9">
        <w:rPr>
          <w:bCs/>
          <w:lang w:val="en-US"/>
        </w:rPr>
        <w:t xml:space="preserve">The least importance for increasing bilateral export have the indicators: Appeal procedures, Automation, and Internal border agency co-operation. </w:t>
      </w:r>
    </w:p>
    <w:p w14:paraId="2AC4BDFA" w14:textId="43A564FA" w:rsidR="009277A9" w:rsidRPr="009277A9" w:rsidRDefault="009277A9" w:rsidP="00F57282">
      <w:pPr>
        <w:autoSpaceDE w:val="0"/>
        <w:autoSpaceDN w:val="0"/>
        <w:adjustRightInd w:val="0"/>
        <w:contextualSpacing/>
        <w:rPr>
          <w:bCs/>
        </w:rPr>
      </w:pPr>
      <w:r w:rsidRPr="009277A9">
        <w:rPr>
          <w:bCs/>
          <w:lang w:val="en-US"/>
        </w:rPr>
        <w:t>The indicators: Information availability, Advance ruling, and Governance and Impartiality appear to be nonsignificant for increasing mutual trade</w:t>
      </w:r>
      <w:r w:rsidR="00F57282">
        <w:rPr>
          <w:bCs/>
          <w:lang w:val="en-US"/>
        </w:rPr>
        <w:t>.</w:t>
      </w:r>
    </w:p>
    <w:p w14:paraId="7F80D2A5" w14:textId="508772A1" w:rsidR="009277A9" w:rsidRDefault="00AB4BF0" w:rsidP="009277A9">
      <w:pPr>
        <w:rPr>
          <w:szCs w:val="24"/>
          <w:lang w:val="en-US"/>
        </w:rPr>
      </w:pPr>
      <w:r>
        <w:rPr>
          <w:szCs w:val="24"/>
          <w:lang w:val="en-US"/>
        </w:rPr>
        <w:t xml:space="preserve">The robustness of the results is done with the consecutive running of eleven regression where we can see that all the </w:t>
      </w:r>
      <w:r w:rsidR="007D3DA8">
        <w:rPr>
          <w:szCs w:val="24"/>
          <w:lang w:val="en-US"/>
        </w:rPr>
        <w:t>variables are stable and bare the same sign throughout all regressions.</w:t>
      </w:r>
    </w:p>
    <w:p w14:paraId="362C9BE8" w14:textId="77777777" w:rsidR="00AB4BF0" w:rsidRDefault="00AB4BF0" w:rsidP="009277A9">
      <w:pPr>
        <w:rPr>
          <w:szCs w:val="24"/>
          <w:lang w:val="en-US"/>
        </w:rPr>
      </w:pPr>
    </w:p>
    <w:p w14:paraId="355096D3" w14:textId="5A608F09" w:rsidR="009277A9" w:rsidRPr="009277A9" w:rsidRDefault="009277A9" w:rsidP="009277A9">
      <w:pPr>
        <w:rPr>
          <w:b/>
          <w:bCs/>
          <w:szCs w:val="24"/>
          <w:lang w:val="en-US"/>
        </w:rPr>
      </w:pPr>
      <w:r w:rsidRPr="009277A9">
        <w:rPr>
          <w:b/>
          <w:bCs/>
          <w:szCs w:val="24"/>
          <w:lang w:val="en-US"/>
        </w:rPr>
        <w:t xml:space="preserve">6. </w:t>
      </w:r>
      <w:r>
        <w:rPr>
          <w:b/>
          <w:bCs/>
          <w:szCs w:val="24"/>
          <w:lang w:val="en-US"/>
        </w:rPr>
        <w:tab/>
      </w:r>
      <w:r w:rsidRPr="009277A9">
        <w:rPr>
          <w:b/>
          <w:bCs/>
          <w:szCs w:val="24"/>
          <w:lang w:val="en-US"/>
        </w:rPr>
        <w:t>CONCLUSION AND RECOMMENDATIONS</w:t>
      </w:r>
    </w:p>
    <w:p w14:paraId="319732A0" w14:textId="77777777" w:rsidR="009277A9" w:rsidRDefault="009277A9" w:rsidP="009277A9">
      <w:pPr>
        <w:rPr>
          <w:szCs w:val="24"/>
          <w:lang w:val="en-US"/>
        </w:rPr>
      </w:pPr>
    </w:p>
    <w:p w14:paraId="0051A9C6" w14:textId="45A29321" w:rsidR="009277A9" w:rsidRPr="009277A9" w:rsidRDefault="006C628A" w:rsidP="009277A9">
      <w:pPr>
        <w:rPr>
          <w:szCs w:val="24"/>
          <w:lang w:val="en-US"/>
        </w:rPr>
      </w:pPr>
      <w:r>
        <w:t xml:space="preserve">In this paper we try to measure the impact of eleven OECD Trade Facilitation Indicators (TFIs) on trade between CEFTA-2006 members for possible boosting of their regional trade integration. </w:t>
      </w:r>
      <w:r w:rsidR="009277A9" w:rsidRPr="009277A9">
        <w:rPr>
          <w:szCs w:val="24"/>
          <w:lang w:val="en-US"/>
        </w:rPr>
        <w:t>The results from the analysis indicate that there is still place for improving trade facilitation measures for increasing mutual trade, and thus increasing regional integration and obtaining positive results from it.</w:t>
      </w:r>
    </w:p>
    <w:p w14:paraId="008C44AD" w14:textId="77777777" w:rsidR="00A970AC" w:rsidRDefault="00A970AC" w:rsidP="009277A9">
      <w:pPr>
        <w:rPr>
          <w:szCs w:val="24"/>
          <w:lang w:val="en-US"/>
        </w:rPr>
      </w:pPr>
      <w:r>
        <w:rPr>
          <w:bCs/>
        </w:rPr>
        <w:t>Highest statistical significance have the following three indicators: Fees and charges, Documents and Procedures.</w:t>
      </w:r>
      <w:r w:rsidRPr="00A970AC">
        <w:rPr>
          <w:szCs w:val="24"/>
          <w:lang w:val="en-US"/>
        </w:rPr>
        <w:t xml:space="preserve"> </w:t>
      </w:r>
      <w:r w:rsidRPr="009277A9">
        <w:rPr>
          <w:szCs w:val="24"/>
          <w:lang w:val="en-US"/>
        </w:rPr>
        <w:t>Highest positive effects on increasing trade could be visible by decreasing costs, decreasing the number of documents, and decreasing the procedures and formalities.</w:t>
      </w:r>
      <w:r>
        <w:rPr>
          <w:bCs/>
        </w:rPr>
        <w:t xml:space="preserve"> </w:t>
      </w:r>
      <w:r w:rsidRPr="009277A9">
        <w:rPr>
          <w:bCs/>
          <w:lang w:val="en-US"/>
        </w:rPr>
        <w:t>1% improvement in the Fees and charges indicator could lead to 0.49% increase in bilateral export</w:t>
      </w:r>
      <w:r>
        <w:rPr>
          <w:bCs/>
          <w:lang w:val="en-US"/>
        </w:rPr>
        <w:t xml:space="preserve"> among CEFTA-2006 member-parties. </w:t>
      </w:r>
      <w:r w:rsidRPr="009277A9">
        <w:rPr>
          <w:bCs/>
          <w:lang w:val="en-US"/>
        </w:rPr>
        <w:t>1% improvement in the Documents indicator could lead to 0.66% increase in bilateral export</w:t>
      </w:r>
      <w:r>
        <w:rPr>
          <w:bCs/>
          <w:lang w:val="en-US"/>
        </w:rPr>
        <w:t xml:space="preserve">. And </w:t>
      </w:r>
      <w:r w:rsidRPr="009277A9">
        <w:rPr>
          <w:bCs/>
          <w:lang w:val="en-US"/>
        </w:rPr>
        <w:t>1% improvement in the Procedures indicator could lead to 0.67% increase in bilateral export.</w:t>
      </w:r>
      <w:r>
        <w:rPr>
          <w:bCs/>
          <w:lang w:val="en-US"/>
        </w:rPr>
        <w:t xml:space="preserve"> </w:t>
      </w:r>
      <w:r w:rsidR="009277A9" w:rsidRPr="009277A9">
        <w:rPr>
          <w:szCs w:val="24"/>
          <w:lang w:val="en-US"/>
        </w:rPr>
        <w:t>These measures should have highest priority in the creation and implementation of different regional and national initiatives.</w:t>
      </w:r>
      <w:r w:rsidRPr="00A970AC">
        <w:rPr>
          <w:szCs w:val="24"/>
          <w:lang w:val="en-US"/>
        </w:rPr>
        <w:t xml:space="preserve"> </w:t>
      </w:r>
    </w:p>
    <w:p w14:paraId="6ACFCEF2" w14:textId="4AF32A65" w:rsidR="009277A9" w:rsidRPr="009277A9" w:rsidRDefault="00A970AC" w:rsidP="009277A9">
      <w:pPr>
        <w:rPr>
          <w:szCs w:val="24"/>
          <w:lang w:val="en-US"/>
        </w:rPr>
      </w:pPr>
      <w:r w:rsidRPr="009277A9">
        <w:rPr>
          <w:szCs w:val="24"/>
          <w:lang w:val="en-US"/>
        </w:rPr>
        <w:t xml:space="preserve">The results show that although the free trade area among CEFTA-2006 members was established by the end of 2010, still, there are many administrative and other non-trade barriers that impede mutual trade. </w:t>
      </w:r>
      <w:r w:rsidR="00FD62B6">
        <w:rPr>
          <w:szCs w:val="24"/>
          <w:lang w:val="en-US"/>
        </w:rPr>
        <w:t>What we r</w:t>
      </w:r>
      <w:r w:rsidR="009277A9" w:rsidRPr="009277A9">
        <w:rPr>
          <w:szCs w:val="24"/>
          <w:lang w:val="en-US"/>
        </w:rPr>
        <w:t xml:space="preserve">ecommend </w:t>
      </w:r>
      <w:r w:rsidR="00FD62B6">
        <w:rPr>
          <w:szCs w:val="24"/>
          <w:lang w:val="en-US"/>
        </w:rPr>
        <w:t xml:space="preserve">is that CEFTA-2006 members implement additional trade facilitation measures to deepen the regional cooperation and obtain </w:t>
      </w:r>
      <w:r w:rsidR="009277A9" w:rsidRPr="009277A9">
        <w:rPr>
          <w:szCs w:val="24"/>
          <w:lang w:val="en-US"/>
        </w:rPr>
        <w:t>further trade liberalization and deeper economic integration</w:t>
      </w:r>
      <w:r w:rsidR="00FD62B6">
        <w:rPr>
          <w:szCs w:val="24"/>
          <w:lang w:val="en-US"/>
        </w:rPr>
        <w:t>.</w:t>
      </w:r>
      <w:r w:rsidR="009277A9" w:rsidRPr="009277A9">
        <w:rPr>
          <w:szCs w:val="24"/>
          <w:lang w:val="en-US"/>
        </w:rPr>
        <w:t xml:space="preserve"> </w:t>
      </w:r>
      <w:r w:rsidR="00442887">
        <w:rPr>
          <w:szCs w:val="24"/>
          <w:lang w:val="en-US"/>
        </w:rPr>
        <w:t xml:space="preserve">For this purpose, we consider that additional efforts by all CEFTA-2006 parties should be </w:t>
      </w:r>
      <w:r>
        <w:rPr>
          <w:szCs w:val="24"/>
          <w:lang w:val="en-US"/>
        </w:rPr>
        <w:t xml:space="preserve">possible </w:t>
      </w:r>
      <w:r w:rsidR="00442887">
        <w:rPr>
          <w:szCs w:val="24"/>
          <w:lang w:val="en-US"/>
        </w:rPr>
        <w:t xml:space="preserve">directed for the following trade facilitation measures: </w:t>
      </w:r>
      <w:r w:rsidR="009277A9" w:rsidRPr="009277A9">
        <w:rPr>
          <w:szCs w:val="24"/>
          <w:lang w:val="en-US"/>
        </w:rPr>
        <w:t xml:space="preserve"> </w:t>
      </w:r>
    </w:p>
    <w:p w14:paraId="41431300" w14:textId="523EE52D" w:rsidR="009277A9" w:rsidRPr="009277A9" w:rsidRDefault="009277A9" w:rsidP="00F57282">
      <w:pPr>
        <w:numPr>
          <w:ilvl w:val="1"/>
          <w:numId w:val="12"/>
        </w:numPr>
        <w:tabs>
          <w:tab w:val="clear" w:pos="1440"/>
          <w:tab w:val="num" w:pos="720"/>
        </w:tabs>
        <w:ind w:left="720" w:hanging="720"/>
        <w:rPr>
          <w:szCs w:val="24"/>
          <w:lang w:val="en-US"/>
        </w:rPr>
      </w:pPr>
      <w:r w:rsidRPr="009277A9">
        <w:rPr>
          <w:szCs w:val="24"/>
          <w:lang w:val="en-US"/>
        </w:rPr>
        <w:t xml:space="preserve">Expanding the concept of green corridors and green lanes in all border crossing </w:t>
      </w:r>
      <w:proofErr w:type="gramStart"/>
      <w:r w:rsidRPr="009277A9">
        <w:rPr>
          <w:szCs w:val="24"/>
          <w:lang w:val="en-US"/>
        </w:rPr>
        <w:t>points</w:t>
      </w:r>
      <w:r w:rsidR="00442887">
        <w:rPr>
          <w:szCs w:val="24"/>
          <w:lang w:val="en-US"/>
        </w:rPr>
        <w:t>;</w:t>
      </w:r>
      <w:proofErr w:type="gramEnd"/>
    </w:p>
    <w:p w14:paraId="60B88795" w14:textId="72C8C367" w:rsidR="00442887" w:rsidRDefault="009277A9" w:rsidP="00F57282">
      <w:pPr>
        <w:numPr>
          <w:ilvl w:val="1"/>
          <w:numId w:val="12"/>
        </w:numPr>
        <w:tabs>
          <w:tab w:val="clear" w:pos="1440"/>
          <w:tab w:val="num" w:pos="720"/>
        </w:tabs>
        <w:ind w:left="720" w:hanging="720"/>
        <w:rPr>
          <w:szCs w:val="24"/>
          <w:lang w:val="en-US"/>
        </w:rPr>
      </w:pPr>
      <w:r w:rsidRPr="009277A9">
        <w:rPr>
          <w:szCs w:val="24"/>
          <w:lang w:val="en-US"/>
        </w:rPr>
        <w:t xml:space="preserve">Increasing the number of joint </w:t>
      </w:r>
      <w:proofErr w:type="gramStart"/>
      <w:r w:rsidR="00442887">
        <w:rPr>
          <w:szCs w:val="24"/>
          <w:lang w:val="en-US"/>
        </w:rPr>
        <w:t>c</w:t>
      </w:r>
      <w:r w:rsidRPr="009277A9">
        <w:rPr>
          <w:szCs w:val="24"/>
          <w:lang w:val="en-US"/>
        </w:rPr>
        <w:t>ustoms control</w:t>
      </w:r>
      <w:proofErr w:type="gramEnd"/>
      <w:r w:rsidRPr="009277A9">
        <w:rPr>
          <w:szCs w:val="24"/>
          <w:lang w:val="en-US"/>
        </w:rPr>
        <w:t xml:space="preserve"> points</w:t>
      </w:r>
      <w:r w:rsidR="00442887">
        <w:rPr>
          <w:szCs w:val="24"/>
          <w:lang w:val="en-US"/>
        </w:rPr>
        <w:t>;</w:t>
      </w:r>
    </w:p>
    <w:p w14:paraId="453CAEDB" w14:textId="1AFD2A60" w:rsidR="009277A9" w:rsidRPr="009277A9" w:rsidRDefault="00442887" w:rsidP="00F57282">
      <w:pPr>
        <w:numPr>
          <w:ilvl w:val="1"/>
          <w:numId w:val="12"/>
        </w:numPr>
        <w:tabs>
          <w:tab w:val="clear" w:pos="1440"/>
          <w:tab w:val="num" w:pos="720"/>
        </w:tabs>
        <w:ind w:left="720" w:hanging="720"/>
        <w:rPr>
          <w:szCs w:val="24"/>
          <w:lang w:val="en-US"/>
        </w:rPr>
      </w:pPr>
      <w:r>
        <w:rPr>
          <w:szCs w:val="24"/>
          <w:lang w:val="en-US"/>
        </w:rPr>
        <w:t>E</w:t>
      </w:r>
      <w:r w:rsidR="009277A9" w:rsidRPr="009277A9">
        <w:rPr>
          <w:szCs w:val="24"/>
          <w:lang w:val="en-US"/>
        </w:rPr>
        <w:t xml:space="preserve">xpanding the Mutual Recognition </w:t>
      </w:r>
      <w:proofErr w:type="spellStart"/>
      <w:r w:rsidR="009277A9" w:rsidRPr="009277A9">
        <w:rPr>
          <w:szCs w:val="24"/>
          <w:lang w:val="en-US"/>
        </w:rPr>
        <w:t>Programmes</w:t>
      </w:r>
      <w:proofErr w:type="spellEnd"/>
      <w:r w:rsidR="009277A9" w:rsidRPr="009277A9">
        <w:rPr>
          <w:szCs w:val="24"/>
          <w:lang w:val="en-US"/>
        </w:rPr>
        <w:t xml:space="preserve"> in different areas (which to some extent has been already happening</w:t>
      </w:r>
      <w:proofErr w:type="gramStart"/>
      <w:r w:rsidR="009277A9" w:rsidRPr="009277A9">
        <w:rPr>
          <w:szCs w:val="24"/>
          <w:lang w:val="en-US"/>
        </w:rPr>
        <w:t>)</w:t>
      </w:r>
      <w:r>
        <w:rPr>
          <w:szCs w:val="24"/>
          <w:lang w:val="en-US"/>
        </w:rPr>
        <w:t>;</w:t>
      </w:r>
      <w:proofErr w:type="gramEnd"/>
      <w:r w:rsidR="009277A9" w:rsidRPr="009277A9">
        <w:rPr>
          <w:szCs w:val="24"/>
          <w:lang w:val="en-US"/>
        </w:rPr>
        <w:t xml:space="preserve"> </w:t>
      </w:r>
    </w:p>
    <w:p w14:paraId="440CE8D1" w14:textId="7D4F6456" w:rsidR="009277A9" w:rsidRPr="009277A9" w:rsidRDefault="009277A9" w:rsidP="00F57282">
      <w:pPr>
        <w:numPr>
          <w:ilvl w:val="1"/>
          <w:numId w:val="12"/>
        </w:numPr>
        <w:tabs>
          <w:tab w:val="clear" w:pos="1440"/>
          <w:tab w:val="num" w:pos="720"/>
        </w:tabs>
        <w:ind w:left="720" w:hanging="720"/>
        <w:rPr>
          <w:szCs w:val="24"/>
          <w:lang w:val="en-US"/>
        </w:rPr>
      </w:pPr>
      <w:r w:rsidRPr="009277A9">
        <w:rPr>
          <w:szCs w:val="24"/>
          <w:lang w:val="en-US"/>
        </w:rPr>
        <w:t xml:space="preserve">Enabling fast implementation of the Mutual Recognition Agreements of Authorized Economic Operator </w:t>
      </w:r>
      <w:proofErr w:type="gramStart"/>
      <w:r w:rsidRPr="009277A9">
        <w:rPr>
          <w:szCs w:val="24"/>
          <w:lang w:val="en-US"/>
        </w:rPr>
        <w:t>programs</w:t>
      </w:r>
      <w:r w:rsidR="00442887">
        <w:rPr>
          <w:szCs w:val="24"/>
          <w:lang w:val="en-US"/>
        </w:rPr>
        <w:t>;</w:t>
      </w:r>
      <w:proofErr w:type="gramEnd"/>
    </w:p>
    <w:p w14:paraId="3E4C6AEC" w14:textId="77777777" w:rsidR="009277A9" w:rsidRPr="009277A9" w:rsidRDefault="009277A9" w:rsidP="00F57282">
      <w:pPr>
        <w:numPr>
          <w:ilvl w:val="1"/>
          <w:numId w:val="12"/>
        </w:numPr>
        <w:tabs>
          <w:tab w:val="clear" w:pos="1440"/>
          <w:tab w:val="num" w:pos="720"/>
        </w:tabs>
        <w:ind w:left="720" w:hanging="720"/>
        <w:rPr>
          <w:szCs w:val="24"/>
          <w:lang w:val="en-US"/>
        </w:rPr>
      </w:pPr>
      <w:r w:rsidRPr="009277A9">
        <w:rPr>
          <w:szCs w:val="24"/>
          <w:lang w:val="en-US"/>
        </w:rPr>
        <w:lastRenderedPageBreak/>
        <w:t xml:space="preserve">Enabling the implementation of compatible digital platforms for smooth cross-border paperless trade within the region, etc. </w:t>
      </w:r>
    </w:p>
    <w:p w14:paraId="31EA8978" w14:textId="68BF1FB2" w:rsidR="00446112" w:rsidRPr="009277A9" w:rsidRDefault="00446112" w:rsidP="00823081">
      <w:pPr>
        <w:rPr>
          <w:szCs w:val="24"/>
        </w:rPr>
      </w:pPr>
    </w:p>
    <w:p w14:paraId="072FD2A6" w14:textId="50B0DBC2" w:rsidR="009277A9" w:rsidRDefault="009277A9" w:rsidP="00823081">
      <w:pPr>
        <w:rPr>
          <w:b/>
          <w:bCs/>
          <w:szCs w:val="24"/>
        </w:rPr>
      </w:pPr>
    </w:p>
    <w:p w14:paraId="2BEB76D2" w14:textId="77777777" w:rsidR="009277A9" w:rsidRDefault="009277A9" w:rsidP="00823081">
      <w:pPr>
        <w:rPr>
          <w:b/>
          <w:bCs/>
          <w:szCs w:val="24"/>
        </w:rPr>
      </w:pPr>
    </w:p>
    <w:p w14:paraId="188CC240" w14:textId="77777777" w:rsidR="00446112" w:rsidRDefault="00446112" w:rsidP="00823081">
      <w:pPr>
        <w:rPr>
          <w:b/>
          <w:bCs/>
          <w:szCs w:val="24"/>
        </w:rPr>
      </w:pPr>
    </w:p>
    <w:p w14:paraId="41BFAAE8" w14:textId="0E77CAB9" w:rsidR="00823081" w:rsidRPr="000F2EF7" w:rsidRDefault="00823081" w:rsidP="00823081">
      <w:pPr>
        <w:rPr>
          <w:b/>
          <w:bCs/>
          <w:szCs w:val="24"/>
        </w:rPr>
      </w:pPr>
      <w:r w:rsidRPr="000F2EF7">
        <w:rPr>
          <w:b/>
          <w:bCs/>
          <w:szCs w:val="24"/>
        </w:rPr>
        <w:t>References:</w:t>
      </w:r>
    </w:p>
    <w:p w14:paraId="710C50D5" w14:textId="77777777" w:rsidR="00823081" w:rsidRPr="000F2EF7" w:rsidRDefault="00823081" w:rsidP="00823081">
      <w:pPr>
        <w:rPr>
          <w:szCs w:val="24"/>
        </w:rPr>
      </w:pPr>
      <w:r w:rsidRPr="000F2EF7">
        <w:rPr>
          <w:szCs w:val="24"/>
        </w:rPr>
        <w:t>Beverelli, C</w:t>
      </w:r>
      <w:r>
        <w:rPr>
          <w:szCs w:val="24"/>
        </w:rPr>
        <w:t>.</w:t>
      </w:r>
      <w:r w:rsidRPr="000F2EF7">
        <w:rPr>
          <w:szCs w:val="24"/>
        </w:rPr>
        <w:t xml:space="preserve">, Neumueller, </w:t>
      </w:r>
      <w:r>
        <w:rPr>
          <w:szCs w:val="24"/>
        </w:rPr>
        <w:t>S.,</w:t>
      </w:r>
      <w:r w:rsidRPr="000F2EF7">
        <w:rPr>
          <w:szCs w:val="24"/>
        </w:rPr>
        <w:t xml:space="preserve"> </w:t>
      </w:r>
      <w:r>
        <w:rPr>
          <w:szCs w:val="24"/>
        </w:rPr>
        <w:t>The, R. (</w:t>
      </w:r>
      <w:r w:rsidRPr="000F2EF7">
        <w:rPr>
          <w:szCs w:val="24"/>
        </w:rPr>
        <w:t>2015</w:t>
      </w:r>
      <w:r>
        <w:rPr>
          <w:szCs w:val="24"/>
        </w:rPr>
        <w:t>)</w:t>
      </w:r>
      <w:r w:rsidRPr="000F2EF7">
        <w:rPr>
          <w:szCs w:val="24"/>
        </w:rPr>
        <w:t>. Export Diversification Effects of the WTO Trade Facilitation Agreement. World Development 76 (December): 293–310. https://doi.org/10.1016/j.worlddev.2015.07.009.</w:t>
      </w:r>
    </w:p>
    <w:p w14:paraId="0085F152" w14:textId="77777777" w:rsidR="00823081" w:rsidRPr="000F2EF7" w:rsidRDefault="00823081" w:rsidP="00823081">
      <w:pPr>
        <w:rPr>
          <w:szCs w:val="24"/>
        </w:rPr>
      </w:pPr>
      <w:r w:rsidRPr="000F2EF7">
        <w:rPr>
          <w:szCs w:val="24"/>
        </w:rPr>
        <w:t>de Sá Porto, P</w:t>
      </w:r>
      <w:r>
        <w:rPr>
          <w:szCs w:val="24"/>
        </w:rPr>
        <w:t xml:space="preserve">. </w:t>
      </w:r>
      <w:r w:rsidRPr="000F2EF7">
        <w:rPr>
          <w:szCs w:val="24"/>
        </w:rPr>
        <w:t>C.</w:t>
      </w:r>
      <w:r>
        <w:rPr>
          <w:szCs w:val="24"/>
        </w:rPr>
        <w:t>,</w:t>
      </w:r>
      <w:r w:rsidRPr="000F2EF7">
        <w:rPr>
          <w:szCs w:val="24"/>
        </w:rPr>
        <w:t xml:space="preserve"> Canuto, O</w:t>
      </w:r>
      <w:r>
        <w:rPr>
          <w:szCs w:val="24"/>
        </w:rPr>
        <w:t>.,</w:t>
      </w:r>
      <w:r w:rsidRPr="000F2EF7">
        <w:rPr>
          <w:szCs w:val="24"/>
        </w:rPr>
        <w:t xml:space="preserve"> Morini, C. </w:t>
      </w:r>
      <w:r>
        <w:rPr>
          <w:szCs w:val="24"/>
        </w:rPr>
        <w:t>(</w:t>
      </w:r>
      <w:r w:rsidRPr="000F2EF7">
        <w:rPr>
          <w:szCs w:val="24"/>
        </w:rPr>
        <w:t>2015</w:t>
      </w:r>
      <w:r>
        <w:rPr>
          <w:szCs w:val="24"/>
        </w:rPr>
        <w:t>)</w:t>
      </w:r>
      <w:r w:rsidRPr="000F2EF7">
        <w:rPr>
          <w:szCs w:val="24"/>
        </w:rPr>
        <w:t xml:space="preserve">. The Impacts of Trade Facilitation Measures on International Trade Flows. Policy Research Working Paper; No. 7367.  World Bank. https://openknowledge.worldbank.org/handle/10986/22451 </w:t>
      </w:r>
    </w:p>
    <w:p w14:paraId="2D8786AB" w14:textId="77777777" w:rsidR="00823081" w:rsidRPr="000F2EF7" w:rsidRDefault="00823081" w:rsidP="00823081">
      <w:pPr>
        <w:rPr>
          <w:szCs w:val="24"/>
        </w:rPr>
      </w:pPr>
      <w:r w:rsidRPr="000F2EF7">
        <w:rPr>
          <w:szCs w:val="24"/>
        </w:rPr>
        <w:t>Fernandes, A</w:t>
      </w:r>
      <w:r>
        <w:rPr>
          <w:szCs w:val="24"/>
        </w:rPr>
        <w:t xml:space="preserve">. </w:t>
      </w:r>
      <w:r w:rsidRPr="000F2EF7">
        <w:rPr>
          <w:szCs w:val="24"/>
        </w:rPr>
        <w:t xml:space="preserve">M., Hillberry, </w:t>
      </w:r>
      <w:r>
        <w:rPr>
          <w:szCs w:val="24"/>
        </w:rPr>
        <w:t xml:space="preserve">R. H., </w:t>
      </w:r>
      <w:r w:rsidRPr="000F2EF7">
        <w:rPr>
          <w:szCs w:val="24"/>
        </w:rPr>
        <w:t>Alcantara</w:t>
      </w:r>
      <w:r>
        <w:rPr>
          <w:szCs w:val="24"/>
        </w:rPr>
        <w:t>, A. M</w:t>
      </w:r>
      <w:r w:rsidRPr="000F2EF7">
        <w:rPr>
          <w:szCs w:val="24"/>
        </w:rPr>
        <w:t xml:space="preserve">. </w:t>
      </w:r>
      <w:r>
        <w:rPr>
          <w:szCs w:val="24"/>
        </w:rPr>
        <w:t>(</w:t>
      </w:r>
      <w:r w:rsidRPr="000F2EF7">
        <w:rPr>
          <w:szCs w:val="24"/>
        </w:rPr>
        <w:t>2015</w:t>
      </w:r>
      <w:r>
        <w:rPr>
          <w:szCs w:val="24"/>
        </w:rPr>
        <w:t>)</w:t>
      </w:r>
      <w:r w:rsidRPr="000F2EF7">
        <w:rPr>
          <w:szCs w:val="24"/>
        </w:rPr>
        <w:t>. Trade Effects of Customs Reform: Evidence from Albania.</w:t>
      </w:r>
    </w:p>
    <w:p w14:paraId="43462A95" w14:textId="77777777" w:rsidR="00823081" w:rsidRPr="000F2EF7" w:rsidRDefault="00823081" w:rsidP="00823081">
      <w:pPr>
        <w:rPr>
          <w:szCs w:val="24"/>
        </w:rPr>
      </w:pPr>
      <w:r w:rsidRPr="000F2EF7">
        <w:rPr>
          <w:szCs w:val="24"/>
        </w:rPr>
        <w:t>Fernandes, A</w:t>
      </w:r>
      <w:r>
        <w:rPr>
          <w:szCs w:val="24"/>
        </w:rPr>
        <w:t>.</w:t>
      </w:r>
      <w:r w:rsidRPr="000F2EF7">
        <w:rPr>
          <w:szCs w:val="24"/>
        </w:rPr>
        <w:t xml:space="preserve"> M., Hillberry, </w:t>
      </w:r>
      <w:r>
        <w:rPr>
          <w:szCs w:val="24"/>
        </w:rPr>
        <w:t xml:space="preserve">R. H., </w:t>
      </w:r>
      <w:r w:rsidRPr="000F2EF7">
        <w:rPr>
          <w:szCs w:val="24"/>
        </w:rPr>
        <w:t>Berg</w:t>
      </w:r>
      <w:r>
        <w:rPr>
          <w:szCs w:val="24"/>
        </w:rPr>
        <w:t>, C. N</w:t>
      </w:r>
      <w:r w:rsidRPr="000F2EF7">
        <w:rPr>
          <w:szCs w:val="24"/>
        </w:rPr>
        <w:t xml:space="preserve">. </w:t>
      </w:r>
      <w:r>
        <w:rPr>
          <w:szCs w:val="24"/>
        </w:rPr>
        <w:t>(</w:t>
      </w:r>
      <w:r w:rsidRPr="000F2EF7">
        <w:rPr>
          <w:szCs w:val="24"/>
        </w:rPr>
        <w:t>2016</w:t>
      </w:r>
      <w:r>
        <w:rPr>
          <w:szCs w:val="24"/>
        </w:rPr>
        <w:t>)</w:t>
      </w:r>
      <w:r w:rsidRPr="000F2EF7">
        <w:rPr>
          <w:szCs w:val="24"/>
        </w:rPr>
        <w:t>. Expediting Trade: Impact Evaluation of an in-House Clearance Program.</w:t>
      </w:r>
    </w:p>
    <w:p w14:paraId="75DC8103" w14:textId="77777777" w:rsidR="00823081" w:rsidRPr="000F2EF7" w:rsidRDefault="00823081" w:rsidP="00823081">
      <w:pPr>
        <w:rPr>
          <w:szCs w:val="24"/>
        </w:rPr>
      </w:pPr>
      <w:r w:rsidRPr="000F2EF7">
        <w:rPr>
          <w:szCs w:val="24"/>
        </w:rPr>
        <w:t>Fontagné, L</w:t>
      </w:r>
      <w:r>
        <w:rPr>
          <w:szCs w:val="24"/>
        </w:rPr>
        <w:t>.</w:t>
      </w:r>
      <w:r w:rsidRPr="000F2EF7">
        <w:rPr>
          <w:szCs w:val="24"/>
        </w:rPr>
        <w:t xml:space="preserve">, Orefice, </w:t>
      </w:r>
      <w:r>
        <w:rPr>
          <w:szCs w:val="24"/>
        </w:rPr>
        <w:t xml:space="preserve">G., </w:t>
      </w:r>
      <w:r w:rsidRPr="000F2EF7">
        <w:rPr>
          <w:szCs w:val="24"/>
        </w:rPr>
        <w:t>Piermartini</w:t>
      </w:r>
      <w:r>
        <w:rPr>
          <w:szCs w:val="24"/>
        </w:rPr>
        <w:t>, R.</w:t>
      </w:r>
      <w:r w:rsidRPr="000F2EF7">
        <w:rPr>
          <w:szCs w:val="24"/>
        </w:rPr>
        <w:t xml:space="preserve"> </w:t>
      </w:r>
      <w:r>
        <w:rPr>
          <w:szCs w:val="24"/>
        </w:rPr>
        <w:t>(</w:t>
      </w:r>
      <w:r w:rsidRPr="000F2EF7">
        <w:rPr>
          <w:szCs w:val="24"/>
        </w:rPr>
        <w:t>2016</w:t>
      </w:r>
      <w:r>
        <w:rPr>
          <w:szCs w:val="24"/>
        </w:rPr>
        <w:t>).</w:t>
      </w:r>
      <w:r w:rsidRPr="000F2EF7">
        <w:rPr>
          <w:szCs w:val="24"/>
        </w:rPr>
        <w:t xml:space="preserve"> Making (Small) Firms Happy. The Heterogeneous Effect of Trade Facilitation Measures.</w:t>
      </w:r>
    </w:p>
    <w:p w14:paraId="274E4162" w14:textId="77777777" w:rsidR="00823081" w:rsidRPr="000F2EF7" w:rsidRDefault="00823081" w:rsidP="00823081">
      <w:pPr>
        <w:rPr>
          <w:szCs w:val="24"/>
        </w:rPr>
      </w:pPr>
      <w:r w:rsidRPr="000F2EF7">
        <w:rPr>
          <w:szCs w:val="24"/>
        </w:rPr>
        <w:t>Go, E. (2018). Contribution and Effectiveness of Trade Facilitation Measures: A Structured Literature Review. World Bank Group.</w:t>
      </w:r>
    </w:p>
    <w:p w14:paraId="002F18A8" w14:textId="77777777" w:rsidR="00823081" w:rsidRPr="000F2EF7" w:rsidRDefault="00823081" w:rsidP="00823081">
      <w:pPr>
        <w:rPr>
          <w:szCs w:val="24"/>
        </w:rPr>
      </w:pPr>
      <w:r w:rsidRPr="000F2EF7">
        <w:rPr>
          <w:szCs w:val="24"/>
        </w:rPr>
        <w:t>Hillberry, R</w:t>
      </w:r>
      <w:r>
        <w:rPr>
          <w:szCs w:val="24"/>
        </w:rPr>
        <w:t>.</w:t>
      </w:r>
      <w:r w:rsidRPr="000F2EF7">
        <w:rPr>
          <w:szCs w:val="24"/>
        </w:rPr>
        <w:t xml:space="preserve"> H., Zhang</w:t>
      </w:r>
      <w:r>
        <w:rPr>
          <w:szCs w:val="24"/>
        </w:rPr>
        <w:t>, X</w:t>
      </w:r>
      <w:r w:rsidRPr="000F2EF7">
        <w:rPr>
          <w:szCs w:val="24"/>
        </w:rPr>
        <w:t xml:space="preserve">. </w:t>
      </w:r>
      <w:r>
        <w:rPr>
          <w:szCs w:val="24"/>
        </w:rPr>
        <w:t>(</w:t>
      </w:r>
      <w:r w:rsidRPr="000F2EF7">
        <w:rPr>
          <w:szCs w:val="24"/>
        </w:rPr>
        <w:t>2015</w:t>
      </w:r>
      <w:r>
        <w:rPr>
          <w:szCs w:val="24"/>
        </w:rPr>
        <w:t>)</w:t>
      </w:r>
      <w:r w:rsidRPr="000F2EF7">
        <w:rPr>
          <w:szCs w:val="24"/>
        </w:rPr>
        <w:t>. Policy and Performance in Customs: Evaluating the Trade Facilitation Agreement.</w:t>
      </w:r>
    </w:p>
    <w:p w14:paraId="29D1A685" w14:textId="77777777" w:rsidR="00823081" w:rsidRPr="000F2EF7" w:rsidRDefault="00823081" w:rsidP="00823081">
      <w:pPr>
        <w:rPr>
          <w:szCs w:val="24"/>
        </w:rPr>
      </w:pPr>
      <w:r w:rsidRPr="000F2EF7">
        <w:rPr>
          <w:szCs w:val="24"/>
        </w:rPr>
        <w:t>Moïsé, E</w:t>
      </w:r>
      <w:r>
        <w:rPr>
          <w:szCs w:val="24"/>
        </w:rPr>
        <w:t>.</w:t>
      </w:r>
      <w:r w:rsidRPr="000F2EF7">
        <w:rPr>
          <w:szCs w:val="24"/>
        </w:rPr>
        <w:t>, Sorescu</w:t>
      </w:r>
      <w:r>
        <w:rPr>
          <w:szCs w:val="24"/>
        </w:rPr>
        <w:t>, S</w:t>
      </w:r>
      <w:r w:rsidRPr="000F2EF7">
        <w:rPr>
          <w:szCs w:val="24"/>
        </w:rPr>
        <w:t xml:space="preserve">. </w:t>
      </w:r>
      <w:r>
        <w:rPr>
          <w:szCs w:val="24"/>
        </w:rPr>
        <w:t>(</w:t>
      </w:r>
      <w:r w:rsidRPr="000F2EF7">
        <w:rPr>
          <w:szCs w:val="24"/>
        </w:rPr>
        <w:t>2013</w:t>
      </w:r>
      <w:r>
        <w:rPr>
          <w:szCs w:val="24"/>
        </w:rPr>
        <w:t>)</w:t>
      </w:r>
      <w:r w:rsidRPr="000F2EF7">
        <w:rPr>
          <w:szCs w:val="24"/>
        </w:rPr>
        <w:t xml:space="preserve">. Trade Facilitation Indicators: The Potential Impact of Trade </w:t>
      </w:r>
      <w:r w:rsidRPr="000F2EF7">
        <w:rPr>
          <w:szCs w:val="24"/>
          <w:lang w:val="mk-MK"/>
        </w:rPr>
        <w:t>Facilitation</w:t>
      </w:r>
      <w:r w:rsidRPr="000F2EF7">
        <w:rPr>
          <w:szCs w:val="24"/>
        </w:rPr>
        <w:t xml:space="preserve"> on Developing Countries’ Trade. OECD.</w:t>
      </w:r>
    </w:p>
    <w:p w14:paraId="6AEE0CB7" w14:textId="77777777" w:rsidR="00823081" w:rsidRPr="000F2EF7" w:rsidRDefault="00823081" w:rsidP="00823081">
      <w:pPr>
        <w:rPr>
          <w:szCs w:val="24"/>
        </w:rPr>
      </w:pPr>
      <w:r w:rsidRPr="000F2EF7">
        <w:rPr>
          <w:szCs w:val="24"/>
        </w:rPr>
        <w:t>OECD/WTO (2019)</w:t>
      </w:r>
      <w:r>
        <w:rPr>
          <w:szCs w:val="24"/>
        </w:rPr>
        <w:t>.</w:t>
      </w:r>
      <w:r w:rsidRPr="000F2EF7">
        <w:rPr>
          <w:szCs w:val="24"/>
        </w:rPr>
        <w:t xml:space="preserve"> Aid for Trade at a Glance 2019: Economic Diversification and Empowerment, OECD Publishing, Paris, https://doi.org/10.1787/18ea27d8-en.</w:t>
      </w:r>
    </w:p>
    <w:p w14:paraId="496AACE2" w14:textId="77777777" w:rsidR="00823081" w:rsidRPr="000F2EF7" w:rsidRDefault="00823081" w:rsidP="00823081">
      <w:pPr>
        <w:rPr>
          <w:szCs w:val="24"/>
        </w:rPr>
      </w:pPr>
      <w:r w:rsidRPr="000F2EF7">
        <w:rPr>
          <w:szCs w:val="24"/>
        </w:rPr>
        <w:t>OECD</w:t>
      </w:r>
      <w:r>
        <w:rPr>
          <w:szCs w:val="24"/>
        </w:rPr>
        <w:t xml:space="preserve"> (</w:t>
      </w:r>
      <w:r w:rsidRPr="000F2EF7">
        <w:rPr>
          <w:szCs w:val="24"/>
        </w:rPr>
        <w:t>2009</w:t>
      </w:r>
      <w:r>
        <w:rPr>
          <w:szCs w:val="24"/>
        </w:rPr>
        <w:t>)</w:t>
      </w:r>
      <w:r w:rsidRPr="000F2EF7">
        <w:rPr>
          <w:szCs w:val="24"/>
        </w:rPr>
        <w:t>. Overcoming Border Bottlenecks: The Costs and Benefits of Trade Facilitation. OECD Trade Policy Studies. OECD.</w:t>
      </w:r>
    </w:p>
    <w:p w14:paraId="1C77433A" w14:textId="0AA6E8E5" w:rsidR="00823081" w:rsidRDefault="00823081" w:rsidP="00823081">
      <w:pPr>
        <w:rPr>
          <w:szCs w:val="24"/>
        </w:rPr>
      </w:pPr>
      <w:r w:rsidRPr="000F2EF7">
        <w:rPr>
          <w:szCs w:val="24"/>
        </w:rPr>
        <w:t xml:space="preserve">Persson, M. </w:t>
      </w:r>
      <w:r>
        <w:rPr>
          <w:szCs w:val="24"/>
        </w:rPr>
        <w:t>(</w:t>
      </w:r>
      <w:r w:rsidRPr="000F2EF7">
        <w:rPr>
          <w:szCs w:val="24"/>
        </w:rPr>
        <w:t>2013</w:t>
      </w:r>
      <w:r>
        <w:rPr>
          <w:szCs w:val="24"/>
        </w:rPr>
        <w:t>)</w:t>
      </w:r>
      <w:r w:rsidRPr="000F2EF7">
        <w:rPr>
          <w:szCs w:val="24"/>
        </w:rPr>
        <w:t xml:space="preserve">. Trade Facilitation and the Extensive Margin. The Journal of International Trade &amp; Economic Development 22 (5): 658–93 </w:t>
      </w:r>
      <w:hyperlink r:id="rId18" w:history="1">
        <w:r w:rsidRPr="000F2EF7">
          <w:rPr>
            <w:color w:val="0000FF" w:themeColor="hyperlink"/>
            <w:szCs w:val="24"/>
            <w:u w:val="single"/>
          </w:rPr>
          <w:t>https://doi.org/10.1080/09638199.2011.587019</w:t>
        </w:r>
      </w:hyperlink>
      <w:r w:rsidRPr="000F2EF7">
        <w:rPr>
          <w:szCs w:val="24"/>
        </w:rPr>
        <w:t>.</w:t>
      </w:r>
    </w:p>
    <w:p w14:paraId="40413E35" w14:textId="4F1A5516" w:rsidR="00E13518" w:rsidRPr="00540FB8" w:rsidRDefault="00E13518" w:rsidP="00823081">
      <w:pPr>
        <w:rPr>
          <w:color w:val="222222"/>
          <w:szCs w:val="24"/>
          <w:shd w:val="clear" w:color="auto" w:fill="FFFFFF"/>
        </w:rPr>
      </w:pPr>
      <w:r w:rsidRPr="00540FB8">
        <w:rPr>
          <w:color w:val="222222"/>
          <w:szCs w:val="24"/>
          <w:shd w:val="clear" w:color="auto" w:fill="FFFFFF"/>
        </w:rPr>
        <w:t>Schiffbauer, M. T., &amp; World Bank. (2020). </w:t>
      </w:r>
      <w:r w:rsidRPr="00540FB8">
        <w:rPr>
          <w:i/>
          <w:iCs/>
          <w:color w:val="222222"/>
          <w:szCs w:val="24"/>
          <w:shd w:val="clear" w:color="auto" w:fill="FFFFFF"/>
        </w:rPr>
        <w:t>Western Balkans regular economic report, no. 17, spring 2020: the economic and social impact of COVID-19</w:t>
      </w:r>
      <w:r w:rsidRPr="00540FB8">
        <w:rPr>
          <w:color w:val="222222"/>
          <w:szCs w:val="24"/>
          <w:shd w:val="clear" w:color="auto" w:fill="FFFFFF"/>
        </w:rPr>
        <w:t>. World Bank.</w:t>
      </w:r>
    </w:p>
    <w:p w14:paraId="265ADBD8" w14:textId="77777777" w:rsidR="00823081" w:rsidRPr="000F2EF7" w:rsidRDefault="00823081" w:rsidP="00823081">
      <w:pPr>
        <w:rPr>
          <w:szCs w:val="24"/>
        </w:rPr>
      </w:pPr>
      <w:r w:rsidRPr="000F2EF7">
        <w:rPr>
          <w:szCs w:val="24"/>
        </w:rPr>
        <w:t xml:space="preserve">Tosevska-Trpcevska, K., Tevdovski, D. </w:t>
      </w:r>
      <w:r>
        <w:rPr>
          <w:szCs w:val="24"/>
        </w:rPr>
        <w:t>(</w:t>
      </w:r>
      <w:r w:rsidRPr="000F2EF7">
        <w:rPr>
          <w:szCs w:val="24"/>
        </w:rPr>
        <w:t>2014</w:t>
      </w:r>
      <w:r>
        <w:rPr>
          <w:szCs w:val="24"/>
        </w:rPr>
        <w:t>)</w:t>
      </w:r>
      <w:r w:rsidRPr="000F2EF7">
        <w:rPr>
          <w:szCs w:val="24"/>
        </w:rPr>
        <w:t>. Measuring the Effects of Customs and Administrative Procedures on Trade: Gravity Model for South-Eastern Europe. Croatian Economic Survey, 16(1), 109-127. DOI: 10.15179/ces.16.1.4</w:t>
      </w:r>
    </w:p>
    <w:p w14:paraId="06B0A3CC" w14:textId="77777777" w:rsidR="00823081" w:rsidRDefault="00823081" w:rsidP="00823081">
      <w:pPr>
        <w:rPr>
          <w:szCs w:val="24"/>
        </w:rPr>
      </w:pPr>
      <w:r>
        <w:rPr>
          <w:szCs w:val="24"/>
        </w:rPr>
        <w:t>T</w:t>
      </w:r>
      <w:r w:rsidRPr="000F2EF7">
        <w:rPr>
          <w:szCs w:val="24"/>
        </w:rPr>
        <w:t>oševska-</w:t>
      </w:r>
      <w:r>
        <w:rPr>
          <w:szCs w:val="24"/>
        </w:rPr>
        <w:t>T</w:t>
      </w:r>
      <w:r w:rsidRPr="000F2EF7">
        <w:rPr>
          <w:szCs w:val="24"/>
        </w:rPr>
        <w:t xml:space="preserve">rpčevska, </w:t>
      </w:r>
      <w:r>
        <w:rPr>
          <w:szCs w:val="24"/>
        </w:rPr>
        <w:t>K</w:t>
      </w:r>
      <w:r w:rsidRPr="000F2EF7">
        <w:rPr>
          <w:szCs w:val="24"/>
        </w:rPr>
        <w:t xml:space="preserve">., </w:t>
      </w:r>
      <w:r>
        <w:rPr>
          <w:szCs w:val="24"/>
        </w:rPr>
        <w:t>T</w:t>
      </w:r>
      <w:r w:rsidRPr="000F2EF7">
        <w:rPr>
          <w:szCs w:val="24"/>
        </w:rPr>
        <w:t xml:space="preserve">evdovski, </w:t>
      </w:r>
      <w:r>
        <w:rPr>
          <w:szCs w:val="24"/>
        </w:rPr>
        <w:t>D</w:t>
      </w:r>
      <w:r w:rsidRPr="000F2EF7">
        <w:rPr>
          <w:szCs w:val="24"/>
        </w:rPr>
        <w:t>. (2016)</w:t>
      </w:r>
      <w:r>
        <w:rPr>
          <w:szCs w:val="24"/>
        </w:rPr>
        <w:t>.</w:t>
      </w:r>
      <w:r w:rsidRPr="000F2EF7">
        <w:rPr>
          <w:szCs w:val="24"/>
        </w:rPr>
        <w:t xml:space="preserve"> Trade facilitation indicators and their potential impact on trade between the countries of south-eastern Europe, Scientific Annals of Economics and Business 63 (3), 2016, 347-362, DOI: 10.1515/saeb-2016-0127</w:t>
      </w:r>
    </w:p>
    <w:p w14:paraId="418870AC" w14:textId="77777777" w:rsidR="00823081" w:rsidRPr="000F2EF7" w:rsidRDefault="00823081" w:rsidP="00823081">
      <w:pPr>
        <w:rPr>
          <w:szCs w:val="24"/>
        </w:rPr>
      </w:pPr>
      <w:r>
        <w:rPr>
          <w:szCs w:val="24"/>
        </w:rPr>
        <w:t xml:space="preserve">UNECE (2021). </w:t>
      </w:r>
      <w:r w:rsidRPr="002E139E">
        <w:rPr>
          <w:szCs w:val="24"/>
        </w:rPr>
        <w:t>Digital and Sustainable</w:t>
      </w:r>
      <w:r>
        <w:rPr>
          <w:szCs w:val="24"/>
        </w:rPr>
        <w:t xml:space="preserve"> </w:t>
      </w:r>
      <w:r w:rsidRPr="002E139E">
        <w:rPr>
          <w:szCs w:val="24"/>
        </w:rPr>
        <w:t>Trade Facilitation</w:t>
      </w:r>
      <w:r>
        <w:rPr>
          <w:szCs w:val="24"/>
        </w:rPr>
        <w:t>. UNECE Regional Report 2021.</w:t>
      </w:r>
    </w:p>
    <w:p w14:paraId="2A574CBA" w14:textId="77777777" w:rsidR="00823081" w:rsidRPr="000F2EF7" w:rsidRDefault="00823081" w:rsidP="00823081">
      <w:pPr>
        <w:rPr>
          <w:szCs w:val="24"/>
        </w:rPr>
      </w:pPr>
      <w:r w:rsidRPr="000F2EF7">
        <w:rPr>
          <w:szCs w:val="24"/>
        </w:rPr>
        <w:t>Volpe Martincus, C</w:t>
      </w:r>
      <w:r>
        <w:rPr>
          <w:szCs w:val="24"/>
        </w:rPr>
        <w:t>.</w:t>
      </w:r>
      <w:r w:rsidRPr="000F2EF7">
        <w:rPr>
          <w:szCs w:val="24"/>
        </w:rPr>
        <w:t xml:space="preserve">, Carballo, </w:t>
      </w:r>
      <w:r>
        <w:rPr>
          <w:szCs w:val="24"/>
        </w:rPr>
        <w:t>J.,</w:t>
      </w:r>
      <w:r w:rsidRPr="000F2EF7">
        <w:rPr>
          <w:szCs w:val="24"/>
        </w:rPr>
        <w:t xml:space="preserve"> Graziano</w:t>
      </w:r>
      <w:r>
        <w:rPr>
          <w:szCs w:val="24"/>
        </w:rPr>
        <w:t>, A</w:t>
      </w:r>
      <w:r w:rsidRPr="000F2EF7">
        <w:rPr>
          <w:szCs w:val="24"/>
        </w:rPr>
        <w:t xml:space="preserve">. </w:t>
      </w:r>
      <w:r>
        <w:rPr>
          <w:szCs w:val="24"/>
        </w:rPr>
        <w:t>(</w:t>
      </w:r>
      <w:r w:rsidRPr="000F2EF7">
        <w:rPr>
          <w:szCs w:val="24"/>
        </w:rPr>
        <w:t>2015</w:t>
      </w:r>
      <w:r>
        <w:rPr>
          <w:szCs w:val="24"/>
        </w:rPr>
        <w:t>)</w:t>
      </w:r>
      <w:r w:rsidRPr="000F2EF7">
        <w:rPr>
          <w:szCs w:val="24"/>
        </w:rPr>
        <w:t xml:space="preserve">. Customs. Journal of International Economics 96 (1): 119–37. </w:t>
      </w:r>
      <w:hyperlink r:id="rId19" w:history="1">
        <w:r w:rsidRPr="000F2EF7">
          <w:rPr>
            <w:color w:val="0000FF" w:themeColor="hyperlink"/>
            <w:szCs w:val="24"/>
            <w:u w:val="single"/>
          </w:rPr>
          <w:t>https://doi.org/10.1016/j.jinteco.2015.01.011</w:t>
        </w:r>
      </w:hyperlink>
      <w:r w:rsidRPr="000F2EF7">
        <w:rPr>
          <w:szCs w:val="24"/>
        </w:rPr>
        <w:t>.</w:t>
      </w:r>
    </w:p>
    <w:p w14:paraId="217CAFE6" w14:textId="23DBDAB0" w:rsidR="00825C88" w:rsidRDefault="00823081" w:rsidP="00893E97">
      <w:pPr>
        <w:pStyle w:val="Default"/>
        <w:jc w:val="both"/>
      </w:pPr>
      <w:r w:rsidRPr="000F2EF7">
        <w:t xml:space="preserve">WTO </w:t>
      </w:r>
      <w:r>
        <w:t>(</w:t>
      </w:r>
      <w:r w:rsidRPr="000F2EF7">
        <w:t>2015</w:t>
      </w:r>
      <w:r>
        <w:t>)</w:t>
      </w:r>
      <w:r w:rsidRPr="000F2EF7">
        <w:t>. World Trade Report 2015—Speeding up Trade: Benefits and Challenges of Implementing the WTO Trade Facilitati</w:t>
      </w:r>
      <w:r w:rsidR="00730F69">
        <w:t>on Agreement.</w:t>
      </w:r>
      <w:r w:rsidR="00893E97">
        <w:t xml:space="preserve"> </w:t>
      </w:r>
      <w:r w:rsidR="00730F69">
        <w:t>WTO.</w:t>
      </w:r>
    </w:p>
    <w:p w14:paraId="3A88BED3" w14:textId="5AAF0A9C" w:rsidR="00307EC7" w:rsidRDefault="00307EC7" w:rsidP="00823081">
      <w:pPr>
        <w:rPr>
          <w:szCs w:val="24"/>
          <w:lang w:val="en-GB"/>
        </w:rPr>
      </w:pPr>
      <w:r>
        <w:t xml:space="preserve">Wilson, Norbert </w:t>
      </w:r>
      <w:r w:rsidR="005902E3">
        <w:t>(</w:t>
      </w:r>
      <w:r>
        <w:t>2010</w:t>
      </w:r>
      <w:r w:rsidR="005902E3">
        <w:t>).</w:t>
      </w:r>
      <w:r>
        <w:t xml:space="preserve"> Examining the Effect of Certain Customs and Administrative Procedures on Trade in </w:t>
      </w:r>
      <w:r w:rsidRPr="005902E3">
        <w:rPr>
          <w:i/>
          <w:iCs/>
        </w:rPr>
        <w:t>OECD Trade Policy Studies, Overcoming Border Bottlenecks: The Costs and Benefits of Trade Facilitation</w:t>
      </w:r>
      <w:r>
        <w:t>, Paris: OECD Publishing</w:t>
      </w:r>
      <w:r w:rsidR="005902E3">
        <w:t>.</w:t>
      </w:r>
    </w:p>
    <w:p w14:paraId="1289701D" w14:textId="77777777" w:rsidR="00825C88" w:rsidRDefault="00825C88" w:rsidP="00823081">
      <w:pPr>
        <w:rPr>
          <w:szCs w:val="24"/>
          <w:lang w:val="en-GB"/>
        </w:rPr>
      </w:pPr>
    </w:p>
    <w:p w14:paraId="3D9ED63C" w14:textId="77777777" w:rsidR="00825C88" w:rsidRDefault="00825C88" w:rsidP="00823081">
      <w:pPr>
        <w:rPr>
          <w:szCs w:val="24"/>
          <w:lang w:val="en-GB"/>
        </w:rPr>
      </w:pPr>
    </w:p>
    <w:sectPr w:rsidR="00825C88" w:rsidSect="002601FB">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C15753" w14:textId="77777777" w:rsidR="007406DF" w:rsidRDefault="007406DF" w:rsidP="007740CA">
      <w:r>
        <w:separator/>
      </w:r>
    </w:p>
  </w:endnote>
  <w:endnote w:type="continuationSeparator" w:id="0">
    <w:p w14:paraId="12108630" w14:textId="77777777" w:rsidR="007406DF" w:rsidRDefault="007406DF" w:rsidP="00774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Uzyj czcionki tekstu azjatycki">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5DDC9" w14:textId="77777777" w:rsidR="00C3126F" w:rsidRDefault="00C312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5375615"/>
      <w:docPartObj>
        <w:docPartGallery w:val="Page Numbers (Bottom of Page)"/>
        <w:docPartUnique/>
      </w:docPartObj>
    </w:sdtPr>
    <w:sdtEndPr>
      <w:rPr>
        <w:sz w:val="20"/>
      </w:rPr>
    </w:sdtEndPr>
    <w:sdtContent>
      <w:p w14:paraId="6B5BF846" w14:textId="77777777" w:rsidR="000F7CE2" w:rsidRDefault="000F7CE2">
        <w:pPr>
          <w:pStyle w:val="Footer"/>
          <w:jc w:val="center"/>
        </w:pPr>
        <w:r w:rsidRPr="00496D2B">
          <w:rPr>
            <w:sz w:val="20"/>
          </w:rPr>
          <w:fldChar w:fldCharType="begin"/>
        </w:r>
        <w:r w:rsidRPr="00496D2B">
          <w:rPr>
            <w:sz w:val="20"/>
          </w:rPr>
          <w:instrText>PAGE   \* MERGEFORMAT</w:instrText>
        </w:r>
        <w:r w:rsidRPr="00496D2B">
          <w:rPr>
            <w:sz w:val="20"/>
          </w:rPr>
          <w:fldChar w:fldCharType="separate"/>
        </w:r>
        <w:r w:rsidR="00814D11" w:rsidRPr="00814D11">
          <w:rPr>
            <w:noProof/>
            <w:sz w:val="20"/>
            <w:lang w:val="tr-TR"/>
          </w:rPr>
          <w:t>1</w:t>
        </w:r>
        <w:r w:rsidRPr="00496D2B">
          <w:rPr>
            <w:sz w:val="20"/>
          </w:rPr>
          <w:fldChar w:fldCharType="end"/>
        </w:r>
      </w:p>
    </w:sdtContent>
  </w:sdt>
  <w:p w14:paraId="42508B5E" w14:textId="77777777" w:rsidR="000F7CE2" w:rsidRDefault="000F7CE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2B5EE" w14:textId="77777777" w:rsidR="00C3126F" w:rsidRDefault="00C312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1A0ED0" w14:textId="77777777" w:rsidR="007406DF" w:rsidRDefault="007406DF" w:rsidP="007740CA">
      <w:r>
        <w:separator/>
      </w:r>
    </w:p>
  </w:footnote>
  <w:footnote w:type="continuationSeparator" w:id="0">
    <w:p w14:paraId="28753DAC" w14:textId="77777777" w:rsidR="007406DF" w:rsidRDefault="007406DF" w:rsidP="007740CA">
      <w:r>
        <w:continuationSeparator/>
      </w:r>
    </w:p>
  </w:footnote>
  <w:footnote w:id="1">
    <w:p w14:paraId="1BE29FC5" w14:textId="5AF08D3F" w:rsidR="00825C88" w:rsidRPr="00626AFA" w:rsidRDefault="00825C88" w:rsidP="00825C88">
      <w:pPr>
        <w:pStyle w:val="FootnoteText"/>
        <w:rPr>
          <w:rFonts w:ascii="Times New Roman" w:hAnsi="Times New Roman" w:cs="Times New Roman"/>
          <w:sz w:val="20"/>
          <w:szCs w:val="20"/>
          <w:lang w:val="tr-TR"/>
        </w:rPr>
      </w:pPr>
      <w:r w:rsidRPr="00626AFA">
        <w:rPr>
          <w:rStyle w:val="FootnoteReference"/>
          <w:rFonts w:ascii="Times New Roman" w:hAnsi="Times New Roman" w:cs="Times New Roman"/>
          <w:sz w:val="20"/>
          <w:szCs w:val="20"/>
        </w:rPr>
        <w:footnoteRef/>
      </w:r>
      <w:r w:rsidRPr="00626AFA">
        <w:rPr>
          <w:rFonts w:ascii="Times New Roman" w:hAnsi="Times New Roman" w:cs="Times New Roman"/>
          <w:sz w:val="20"/>
          <w:szCs w:val="20"/>
        </w:rPr>
        <w:t xml:space="preserve"> </w:t>
      </w:r>
      <w:r>
        <w:rPr>
          <w:rFonts w:ascii="Times New Roman" w:hAnsi="Times New Roman" w:cs="Times New Roman"/>
          <w:sz w:val="20"/>
          <w:szCs w:val="20"/>
        </w:rPr>
        <w:t>Ass</w:t>
      </w:r>
      <w:r w:rsidR="0021179D">
        <w:rPr>
          <w:rFonts w:ascii="Times New Roman" w:hAnsi="Times New Roman" w:cs="Times New Roman"/>
          <w:sz w:val="20"/>
          <w:szCs w:val="20"/>
        </w:rPr>
        <w:t xml:space="preserve">ociate </w:t>
      </w:r>
      <w:r>
        <w:rPr>
          <w:rFonts w:ascii="Times New Roman" w:hAnsi="Times New Roman" w:cs="Times New Roman"/>
          <w:sz w:val="20"/>
          <w:szCs w:val="20"/>
        </w:rPr>
        <w:t>Prof</w:t>
      </w:r>
      <w:r w:rsidR="0021179D">
        <w:rPr>
          <w:rFonts w:ascii="Times New Roman" w:hAnsi="Times New Roman" w:cs="Times New Roman"/>
          <w:sz w:val="20"/>
          <w:szCs w:val="20"/>
        </w:rPr>
        <w:t>essor</w:t>
      </w:r>
      <w:r>
        <w:rPr>
          <w:rFonts w:ascii="Times New Roman" w:hAnsi="Times New Roman" w:cs="Times New Roman"/>
          <w:sz w:val="20"/>
          <w:szCs w:val="20"/>
        </w:rPr>
        <w:t xml:space="preserve">, </w:t>
      </w:r>
      <w:r w:rsidR="0021179D">
        <w:rPr>
          <w:rFonts w:ascii="Times New Roman" w:hAnsi="Times New Roman" w:cs="Times New Roman"/>
          <w:sz w:val="20"/>
          <w:szCs w:val="20"/>
          <w:lang w:val="en-GB"/>
        </w:rPr>
        <w:t>Ss. Cyril and Methodius University in Skopje, Faculty of Economics-Skopje, katerina@eccf.ukim.edu.mk</w:t>
      </w:r>
    </w:p>
  </w:footnote>
  <w:footnote w:id="2">
    <w:p w14:paraId="74D8F55C" w14:textId="6253883A" w:rsidR="0021179D" w:rsidRPr="0021179D" w:rsidRDefault="0021179D">
      <w:pPr>
        <w:pStyle w:val="FootnoteText"/>
        <w:rPr>
          <w:lang w:val="en-US"/>
        </w:rPr>
      </w:pPr>
      <w:r>
        <w:rPr>
          <w:rStyle w:val="FootnoteReference"/>
        </w:rPr>
        <w:footnoteRef/>
      </w:r>
      <w:r>
        <w:t xml:space="preserve"> </w:t>
      </w:r>
      <w:r>
        <w:rPr>
          <w:rFonts w:ascii="Times New Roman" w:hAnsi="Times New Roman" w:cs="Times New Roman"/>
          <w:sz w:val="20"/>
          <w:szCs w:val="20"/>
        </w:rPr>
        <w:t xml:space="preserve">Associate Professor, </w:t>
      </w:r>
      <w:r>
        <w:rPr>
          <w:rFonts w:ascii="Times New Roman" w:hAnsi="Times New Roman" w:cs="Times New Roman"/>
          <w:sz w:val="20"/>
          <w:szCs w:val="20"/>
          <w:lang w:val="en-GB"/>
        </w:rPr>
        <w:t>Ss. Cyril and Methodius University in Skopje, Faculty of Economics-Skopje,</w:t>
      </w:r>
      <w:r w:rsidR="00E12589">
        <w:rPr>
          <w:rFonts w:ascii="Times New Roman" w:hAnsi="Times New Roman" w:cs="Times New Roman"/>
          <w:sz w:val="20"/>
          <w:szCs w:val="20"/>
          <w:lang w:val="en-GB"/>
        </w:rPr>
        <w:t xml:space="preserve"> elena.makrevska@eccf.ukim.edu.mk</w:t>
      </w:r>
    </w:p>
  </w:footnote>
  <w:footnote w:id="3">
    <w:p w14:paraId="2D5E5DEC" w14:textId="2582116A" w:rsidR="00E12589" w:rsidRPr="00823081" w:rsidRDefault="00E12589">
      <w:pPr>
        <w:pStyle w:val="FootnoteText"/>
        <w:rPr>
          <w:sz w:val="20"/>
          <w:szCs w:val="20"/>
          <w:lang w:val="en-US"/>
        </w:rPr>
      </w:pPr>
      <w:r>
        <w:rPr>
          <w:rStyle w:val="FootnoteReference"/>
        </w:rPr>
        <w:footnoteRef/>
      </w:r>
      <w:r>
        <w:t xml:space="preserve"> </w:t>
      </w:r>
      <w:r w:rsidRPr="00823081">
        <w:rPr>
          <w:rFonts w:ascii="Times New Roman" w:hAnsi="Times New Roman" w:cs="Times New Roman"/>
          <w:sz w:val="20"/>
          <w:szCs w:val="20"/>
          <w:lang w:val="en-US"/>
        </w:rPr>
        <w:t>Full-time Professor,</w:t>
      </w:r>
      <w:r w:rsidRPr="00823081">
        <w:rPr>
          <w:sz w:val="20"/>
          <w:szCs w:val="20"/>
          <w:lang w:val="en-US"/>
        </w:rPr>
        <w:t xml:space="preserve"> </w:t>
      </w:r>
      <w:r w:rsidRPr="00823081">
        <w:rPr>
          <w:rFonts w:ascii="Times New Roman" w:hAnsi="Times New Roman" w:cs="Times New Roman"/>
          <w:sz w:val="20"/>
          <w:szCs w:val="20"/>
          <w:lang w:val="en-GB"/>
        </w:rPr>
        <w:t>Ss. Cyril and Methodius University in Skopje, Faculty of Economics-Skopje, irena@eccf.ukim.edu.mk</w:t>
      </w:r>
    </w:p>
  </w:footnote>
  <w:footnote w:id="4">
    <w:p w14:paraId="601804CF" w14:textId="77F92920" w:rsidR="00825C88" w:rsidRPr="00626AFA" w:rsidRDefault="00825C88" w:rsidP="00825C88">
      <w:pPr>
        <w:pStyle w:val="FootnoteText"/>
        <w:rPr>
          <w:rFonts w:ascii="Times New Roman" w:hAnsi="Times New Roman" w:cs="Times New Roman"/>
          <w:sz w:val="20"/>
          <w:lang w:val="tr-TR"/>
        </w:rPr>
      </w:pPr>
      <w:r w:rsidRPr="00626AFA">
        <w:rPr>
          <w:rStyle w:val="FootnoteReference"/>
          <w:rFonts w:ascii="Times New Roman" w:hAnsi="Times New Roman" w:cs="Times New Roman"/>
          <w:sz w:val="20"/>
        </w:rPr>
        <w:footnoteRef/>
      </w:r>
      <w:r w:rsidRPr="00626AFA">
        <w:rPr>
          <w:rFonts w:ascii="Times New Roman" w:hAnsi="Times New Roman" w:cs="Times New Roman"/>
          <w:sz w:val="20"/>
        </w:rPr>
        <w:t xml:space="preserve"> </w:t>
      </w:r>
      <w:r w:rsidR="00E12589">
        <w:rPr>
          <w:rFonts w:ascii="Times New Roman" w:hAnsi="Times New Roman" w:cs="Times New Roman"/>
          <w:sz w:val="20"/>
        </w:rPr>
        <w:t>Teaching Assistant</w:t>
      </w:r>
      <w:r w:rsidRPr="00626AFA">
        <w:rPr>
          <w:rFonts w:ascii="Times New Roman" w:hAnsi="Times New Roman" w:cs="Times New Roman"/>
          <w:sz w:val="20"/>
        </w:rPr>
        <w:t xml:space="preserve">, </w:t>
      </w:r>
      <w:r w:rsidR="00E12589">
        <w:rPr>
          <w:rFonts w:ascii="Times New Roman" w:hAnsi="Times New Roman" w:cs="Times New Roman"/>
          <w:sz w:val="20"/>
          <w:szCs w:val="20"/>
          <w:lang w:val="en-GB"/>
        </w:rPr>
        <w:t>Ss. Cyril and Methodius University in Skopje, Faculty of Economics-Skopje, jasna.tonovska@eccf.ukim.edu.mk</w:t>
      </w:r>
    </w:p>
  </w:footnote>
  <w:footnote w:id="5">
    <w:p w14:paraId="111DD9E1" w14:textId="13C38AF9" w:rsidR="00823081" w:rsidRPr="00FA5770" w:rsidRDefault="00823081" w:rsidP="00823081">
      <w:pPr>
        <w:pStyle w:val="FootnoteText"/>
        <w:rPr>
          <w:rFonts w:ascii="Times New Roman" w:hAnsi="Times New Roman" w:cs="Times New Roman"/>
        </w:rPr>
      </w:pPr>
      <w:r w:rsidRPr="00FA5770">
        <w:rPr>
          <w:rStyle w:val="FootnoteReference"/>
          <w:rFonts w:ascii="Times New Roman" w:hAnsi="Times New Roman" w:cs="Times New Roman"/>
        </w:rPr>
        <w:footnoteRef/>
      </w:r>
      <w:r w:rsidRPr="00FA5770">
        <w:rPr>
          <w:rFonts w:ascii="Times New Roman" w:hAnsi="Times New Roman" w:cs="Times New Roman"/>
        </w:rPr>
        <w:t xml:space="preserve"> Due to </w:t>
      </w:r>
      <w:r>
        <w:rPr>
          <w:rFonts w:ascii="Times New Roman" w:hAnsi="Times New Roman" w:cs="Times New Roman"/>
        </w:rPr>
        <w:t xml:space="preserve">a </w:t>
      </w:r>
      <w:r w:rsidRPr="00FA5770">
        <w:rPr>
          <w:rFonts w:ascii="Times New Roman" w:hAnsi="Times New Roman" w:cs="Times New Roman"/>
        </w:rPr>
        <w:t xml:space="preserve">lack of data on Trade Facilitation Indicators, </w:t>
      </w:r>
      <w:r>
        <w:rPr>
          <w:rFonts w:ascii="Times New Roman" w:hAnsi="Times New Roman" w:cs="Times New Roman"/>
        </w:rPr>
        <w:t xml:space="preserve">in this analysis </w:t>
      </w:r>
      <w:r w:rsidRPr="00FA5770">
        <w:rPr>
          <w:rFonts w:ascii="Times New Roman" w:hAnsi="Times New Roman" w:cs="Times New Roman"/>
        </w:rPr>
        <w:t xml:space="preserve">Kosovo is excluded from the sample of </w:t>
      </w:r>
      <w:r>
        <w:rPr>
          <w:rFonts w:ascii="Times New Roman" w:hAnsi="Times New Roman" w:cs="Times New Roman"/>
        </w:rPr>
        <w:t xml:space="preserve">CEFTA-2006 member </w:t>
      </w:r>
      <w:r w:rsidR="00710B1A">
        <w:rPr>
          <w:rFonts w:ascii="Times New Roman" w:hAnsi="Times New Roman" w:cs="Times New Roman"/>
        </w:rPr>
        <w:t>parties</w:t>
      </w:r>
      <w:r>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C975F" w14:textId="77777777" w:rsidR="00C3126F" w:rsidRDefault="00C312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0143B5" w14:textId="41B6D5EC" w:rsidR="00C3126F" w:rsidRPr="009E21F9" w:rsidRDefault="00C3126F" w:rsidP="009E21F9">
    <w:pPr>
      <w:pStyle w:val="NormalWeb"/>
      <w:shd w:val="clear" w:color="auto" w:fill="FFFFFF"/>
      <w:spacing w:before="0" w:beforeAutospacing="0" w:after="0" w:afterAutospacing="0"/>
      <w:rPr>
        <w:color w:val="85868C"/>
        <w:sz w:val="20"/>
        <w:szCs w:val="20"/>
      </w:rPr>
    </w:pPr>
    <w:r w:rsidRPr="009E21F9">
      <w:rPr>
        <w:color w:val="85868C"/>
        <w:sz w:val="20"/>
        <w:szCs w:val="20"/>
      </w:rPr>
      <w:t xml:space="preserve">13TH SCF INTERNATIONAL </w:t>
    </w:r>
    <w:proofErr w:type="spellStart"/>
    <w:proofErr w:type="gramStart"/>
    <w:r w:rsidRPr="009E21F9">
      <w:rPr>
        <w:color w:val="85868C"/>
        <w:sz w:val="20"/>
        <w:szCs w:val="20"/>
      </w:rPr>
      <w:t>CONFERENCE</w:t>
    </w:r>
    <w:r w:rsidRPr="00C3126F">
      <w:rPr>
        <w:color w:val="85868C"/>
        <w:sz w:val="20"/>
        <w:szCs w:val="20"/>
      </w:rPr>
      <w:t>“</w:t>
    </w:r>
    <w:proofErr w:type="gramEnd"/>
    <w:r w:rsidRPr="00C3126F">
      <w:rPr>
        <w:color w:val="85868C"/>
        <w:sz w:val="20"/>
        <w:szCs w:val="20"/>
      </w:rPr>
      <w:t>Contemporary</w:t>
    </w:r>
    <w:proofErr w:type="spellEnd"/>
    <w:r w:rsidRPr="00C3126F">
      <w:rPr>
        <w:color w:val="85868C"/>
        <w:sz w:val="20"/>
        <w:szCs w:val="20"/>
      </w:rPr>
      <w:t xml:space="preserve"> Economic Policy and European Union Accession Process”</w:t>
    </w:r>
    <w:r w:rsidR="009E21F9">
      <w:rPr>
        <w:color w:val="85868C"/>
        <w:sz w:val="20"/>
        <w:szCs w:val="20"/>
      </w:rPr>
      <w:t xml:space="preserve">                                                                            </w:t>
    </w:r>
    <w:r w:rsidR="009E21F9" w:rsidRPr="009E21F9">
      <w:rPr>
        <w:color w:val="85868C"/>
        <w:sz w:val="20"/>
        <w:szCs w:val="20"/>
        <w:shd w:val="clear" w:color="auto" w:fill="FFFFFF"/>
      </w:rPr>
      <w:t>23-24 MAY, 2022 / BELGRADE – SERBIA</w:t>
    </w:r>
  </w:p>
  <w:p w14:paraId="30811B84" w14:textId="77777777" w:rsidR="00C3126F" w:rsidRDefault="00C312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4EDBBB" w14:textId="77777777" w:rsidR="00C3126F" w:rsidRDefault="00C312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97AAD"/>
    <w:multiLevelType w:val="hybridMultilevel"/>
    <w:tmpl w:val="1E9CA5F2"/>
    <w:lvl w:ilvl="0" w:tplc="B80E6B0A">
      <w:start w:val="1"/>
      <w:numFmt w:val="bullet"/>
      <w:lvlText w:val=""/>
      <w:lvlJc w:val="left"/>
      <w:pPr>
        <w:tabs>
          <w:tab w:val="num" w:pos="720"/>
        </w:tabs>
        <w:ind w:left="720" w:hanging="360"/>
      </w:pPr>
      <w:rPr>
        <w:rFonts w:ascii="Wingdings 3" w:hAnsi="Wingdings 3" w:hint="default"/>
      </w:rPr>
    </w:lvl>
    <w:lvl w:ilvl="1" w:tplc="C84209C4" w:tentative="1">
      <w:start w:val="1"/>
      <w:numFmt w:val="bullet"/>
      <w:lvlText w:val=""/>
      <w:lvlJc w:val="left"/>
      <w:pPr>
        <w:tabs>
          <w:tab w:val="num" w:pos="1440"/>
        </w:tabs>
        <w:ind w:left="1440" w:hanging="360"/>
      </w:pPr>
      <w:rPr>
        <w:rFonts w:ascii="Wingdings 3" w:hAnsi="Wingdings 3" w:hint="default"/>
      </w:rPr>
    </w:lvl>
    <w:lvl w:ilvl="2" w:tplc="FBC0A7B2" w:tentative="1">
      <w:start w:val="1"/>
      <w:numFmt w:val="bullet"/>
      <w:lvlText w:val=""/>
      <w:lvlJc w:val="left"/>
      <w:pPr>
        <w:tabs>
          <w:tab w:val="num" w:pos="2160"/>
        </w:tabs>
        <w:ind w:left="2160" w:hanging="360"/>
      </w:pPr>
      <w:rPr>
        <w:rFonts w:ascii="Wingdings 3" w:hAnsi="Wingdings 3" w:hint="default"/>
      </w:rPr>
    </w:lvl>
    <w:lvl w:ilvl="3" w:tplc="D62298D6" w:tentative="1">
      <w:start w:val="1"/>
      <w:numFmt w:val="bullet"/>
      <w:lvlText w:val=""/>
      <w:lvlJc w:val="left"/>
      <w:pPr>
        <w:tabs>
          <w:tab w:val="num" w:pos="2880"/>
        </w:tabs>
        <w:ind w:left="2880" w:hanging="360"/>
      </w:pPr>
      <w:rPr>
        <w:rFonts w:ascii="Wingdings 3" w:hAnsi="Wingdings 3" w:hint="default"/>
      </w:rPr>
    </w:lvl>
    <w:lvl w:ilvl="4" w:tplc="E45AEBD2" w:tentative="1">
      <w:start w:val="1"/>
      <w:numFmt w:val="bullet"/>
      <w:lvlText w:val=""/>
      <w:lvlJc w:val="left"/>
      <w:pPr>
        <w:tabs>
          <w:tab w:val="num" w:pos="3600"/>
        </w:tabs>
        <w:ind w:left="3600" w:hanging="360"/>
      </w:pPr>
      <w:rPr>
        <w:rFonts w:ascii="Wingdings 3" w:hAnsi="Wingdings 3" w:hint="default"/>
      </w:rPr>
    </w:lvl>
    <w:lvl w:ilvl="5" w:tplc="9FF2B776" w:tentative="1">
      <w:start w:val="1"/>
      <w:numFmt w:val="bullet"/>
      <w:lvlText w:val=""/>
      <w:lvlJc w:val="left"/>
      <w:pPr>
        <w:tabs>
          <w:tab w:val="num" w:pos="4320"/>
        </w:tabs>
        <w:ind w:left="4320" w:hanging="360"/>
      </w:pPr>
      <w:rPr>
        <w:rFonts w:ascii="Wingdings 3" w:hAnsi="Wingdings 3" w:hint="default"/>
      </w:rPr>
    </w:lvl>
    <w:lvl w:ilvl="6" w:tplc="A5F89EF2" w:tentative="1">
      <w:start w:val="1"/>
      <w:numFmt w:val="bullet"/>
      <w:lvlText w:val=""/>
      <w:lvlJc w:val="left"/>
      <w:pPr>
        <w:tabs>
          <w:tab w:val="num" w:pos="5040"/>
        </w:tabs>
        <w:ind w:left="5040" w:hanging="360"/>
      </w:pPr>
      <w:rPr>
        <w:rFonts w:ascii="Wingdings 3" w:hAnsi="Wingdings 3" w:hint="default"/>
      </w:rPr>
    </w:lvl>
    <w:lvl w:ilvl="7" w:tplc="3228A46A" w:tentative="1">
      <w:start w:val="1"/>
      <w:numFmt w:val="bullet"/>
      <w:lvlText w:val=""/>
      <w:lvlJc w:val="left"/>
      <w:pPr>
        <w:tabs>
          <w:tab w:val="num" w:pos="5760"/>
        </w:tabs>
        <w:ind w:left="5760" w:hanging="360"/>
      </w:pPr>
      <w:rPr>
        <w:rFonts w:ascii="Wingdings 3" w:hAnsi="Wingdings 3" w:hint="default"/>
      </w:rPr>
    </w:lvl>
    <w:lvl w:ilvl="8" w:tplc="EA3A66B8"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23646BB1"/>
    <w:multiLevelType w:val="hybridMultilevel"/>
    <w:tmpl w:val="1E10D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92C03BF"/>
    <w:multiLevelType w:val="hybridMultilevel"/>
    <w:tmpl w:val="EE90A602"/>
    <w:lvl w:ilvl="0" w:tplc="4E3EEF70">
      <w:start w:val="1"/>
      <w:numFmt w:val="bullet"/>
      <w:lvlText w:val=""/>
      <w:lvlJc w:val="left"/>
      <w:pPr>
        <w:tabs>
          <w:tab w:val="num" w:pos="720"/>
        </w:tabs>
        <w:ind w:left="720" w:hanging="360"/>
      </w:pPr>
      <w:rPr>
        <w:rFonts w:ascii="Wingdings 3" w:hAnsi="Wingdings 3" w:hint="default"/>
      </w:rPr>
    </w:lvl>
    <w:lvl w:ilvl="1" w:tplc="2A2675C6" w:tentative="1">
      <w:start w:val="1"/>
      <w:numFmt w:val="bullet"/>
      <w:lvlText w:val=""/>
      <w:lvlJc w:val="left"/>
      <w:pPr>
        <w:tabs>
          <w:tab w:val="num" w:pos="1440"/>
        </w:tabs>
        <w:ind w:left="1440" w:hanging="360"/>
      </w:pPr>
      <w:rPr>
        <w:rFonts w:ascii="Wingdings 3" w:hAnsi="Wingdings 3" w:hint="default"/>
      </w:rPr>
    </w:lvl>
    <w:lvl w:ilvl="2" w:tplc="BB344F06" w:tentative="1">
      <w:start w:val="1"/>
      <w:numFmt w:val="bullet"/>
      <w:lvlText w:val=""/>
      <w:lvlJc w:val="left"/>
      <w:pPr>
        <w:tabs>
          <w:tab w:val="num" w:pos="2160"/>
        </w:tabs>
        <w:ind w:left="2160" w:hanging="360"/>
      </w:pPr>
      <w:rPr>
        <w:rFonts w:ascii="Wingdings 3" w:hAnsi="Wingdings 3" w:hint="default"/>
      </w:rPr>
    </w:lvl>
    <w:lvl w:ilvl="3" w:tplc="3078E83A" w:tentative="1">
      <w:start w:val="1"/>
      <w:numFmt w:val="bullet"/>
      <w:lvlText w:val=""/>
      <w:lvlJc w:val="left"/>
      <w:pPr>
        <w:tabs>
          <w:tab w:val="num" w:pos="2880"/>
        </w:tabs>
        <w:ind w:left="2880" w:hanging="360"/>
      </w:pPr>
      <w:rPr>
        <w:rFonts w:ascii="Wingdings 3" w:hAnsi="Wingdings 3" w:hint="default"/>
      </w:rPr>
    </w:lvl>
    <w:lvl w:ilvl="4" w:tplc="B6E88D44" w:tentative="1">
      <w:start w:val="1"/>
      <w:numFmt w:val="bullet"/>
      <w:lvlText w:val=""/>
      <w:lvlJc w:val="left"/>
      <w:pPr>
        <w:tabs>
          <w:tab w:val="num" w:pos="3600"/>
        </w:tabs>
        <w:ind w:left="3600" w:hanging="360"/>
      </w:pPr>
      <w:rPr>
        <w:rFonts w:ascii="Wingdings 3" w:hAnsi="Wingdings 3" w:hint="default"/>
      </w:rPr>
    </w:lvl>
    <w:lvl w:ilvl="5" w:tplc="0C6CEBCA" w:tentative="1">
      <w:start w:val="1"/>
      <w:numFmt w:val="bullet"/>
      <w:lvlText w:val=""/>
      <w:lvlJc w:val="left"/>
      <w:pPr>
        <w:tabs>
          <w:tab w:val="num" w:pos="4320"/>
        </w:tabs>
        <w:ind w:left="4320" w:hanging="360"/>
      </w:pPr>
      <w:rPr>
        <w:rFonts w:ascii="Wingdings 3" w:hAnsi="Wingdings 3" w:hint="default"/>
      </w:rPr>
    </w:lvl>
    <w:lvl w:ilvl="6" w:tplc="624213F8" w:tentative="1">
      <w:start w:val="1"/>
      <w:numFmt w:val="bullet"/>
      <w:lvlText w:val=""/>
      <w:lvlJc w:val="left"/>
      <w:pPr>
        <w:tabs>
          <w:tab w:val="num" w:pos="5040"/>
        </w:tabs>
        <w:ind w:left="5040" w:hanging="360"/>
      </w:pPr>
      <w:rPr>
        <w:rFonts w:ascii="Wingdings 3" w:hAnsi="Wingdings 3" w:hint="default"/>
      </w:rPr>
    </w:lvl>
    <w:lvl w:ilvl="7" w:tplc="815AD7C0" w:tentative="1">
      <w:start w:val="1"/>
      <w:numFmt w:val="bullet"/>
      <w:lvlText w:val=""/>
      <w:lvlJc w:val="left"/>
      <w:pPr>
        <w:tabs>
          <w:tab w:val="num" w:pos="5760"/>
        </w:tabs>
        <w:ind w:left="5760" w:hanging="360"/>
      </w:pPr>
      <w:rPr>
        <w:rFonts w:ascii="Wingdings 3" w:hAnsi="Wingdings 3" w:hint="default"/>
      </w:rPr>
    </w:lvl>
    <w:lvl w:ilvl="8" w:tplc="A1B411F2"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3E254BDA"/>
    <w:multiLevelType w:val="hybridMultilevel"/>
    <w:tmpl w:val="A32422C4"/>
    <w:lvl w:ilvl="0" w:tplc="1012C100">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40D4418E"/>
    <w:multiLevelType w:val="hybridMultilevel"/>
    <w:tmpl w:val="47C81F40"/>
    <w:lvl w:ilvl="0" w:tplc="57D63F26">
      <w:start w:val="1"/>
      <w:numFmt w:val="bullet"/>
      <w:lvlText w:val="◦"/>
      <w:lvlJc w:val="left"/>
      <w:pPr>
        <w:tabs>
          <w:tab w:val="num" w:pos="720"/>
        </w:tabs>
        <w:ind w:left="720" w:hanging="360"/>
      </w:pPr>
      <w:rPr>
        <w:rFonts w:ascii="Garamond" w:hAnsi="Garamond" w:hint="default"/>
      </w:rPr>
    </w:lvl>
    <w:lvl w:ilvl="1" w:tplc="F56CB4B6" w:tentative="1">
      <w:start w:val="1"/>
      <w:numFmt w:val="bullet"/>
      <w:lvlText w:val="◦"/>
      <w:lvlJc w:val="left"/>
      <w:pPr>
        <w:tabs>
          <w:tab w:val="num" w:pos="1440"/>
        </w:tabs>
        <w:ind w:left="1440" w:hanging="360"/>
      </w:pPr>
      <w:rPr>
        <w:rFonts w:ascii="Garamond" w:hAnsi="Garamond" w:hint="default"/>
      </w:rPr>
    </w:lvl>
    <w:lvl w:ilvl="2" w:tplc="5B982B38" w:tentative="1">
      <w:start w:val="1"/>
      <w:numFmt w:val="bullet"/>
      <w:lvlText w:val="◦"/>
      <w:lvlJc w:val="left"/>
      <w:pPr>
        <w:tabs>
          <w:tab w:val="num" w:pos="2160"/>
        </w:tabs>
        <w:ind w:left="2160" w:hanging="360"/>
      </w:pPr>
      <w:rPr>
        <w:rFonts w:ascii="Garamond" w:hAnsi="Garamond" w:hint="default"/>
      </w:rPr>
    </w:lvl>
    <w:lvl w:ilvl="3" w:tplc="4C9A1F3C" w:tentative="1">
      <w:start w:val="1"/>
      <w:numFmt w:val="bullet"/>
      <w:lvlText w:val="◦"/>
      <w:lvlJc w:val="left"/>
      <w:pPr>
        <w:tabs>
          <w:tab w:val="num" w:pos="2880"/>
        </w:tabs>
        <w:ind w:left="2880" w:hanging="360"/>
      </w:pPr>
      <w:rPr>
        <w:rFonts w:ascii="Garamond" w:hAnsi="Garamond" w:hint="default"/>
      </w:rPr>
    </w:lvl>
    <w:lvl w:ilvl="4" w:tplc="8528B610" w:tentative="1">
      <w:start w:val="1"/>
      <w:numFmt w:val="bullet"/>
      <w:lvlText w:val="◦"/>
      <w:lvlJc w:val="left"/>
      <w:pPr>
        <w:tabs>
          <w:tab w:val="num" w:pos="3600"/>
        </w:tabs>
        <w:ind w:left="3600" w:hanging="360"/>
      </w:pPr>
      <w:rPr>
        <w:rFonts w:ascii="Garamond" w:hAnsi="Garamond" w:hint="default"/>
      </w:rPr>
    </w:lvl>
    <w:lvl w:ilvl="5" w:tplc="2018818E" w:tentative="1">
      <w:start w:val="1"/>
      <w:numFmt w:val="bullet"/>
      <w:lvlText w:val="◦"/>
      <w:lvlJc w:val="left"/>
      <w:pPr>
        <w:tabs>
          <w:tab w:val="num" w:pos="4320"/>
        </w:tabs>
        <w:ind w:left="4320" w:hanging="360"/>
      </w:pPr>
      <w:rPr>
        <w:rFonts w:ascii="Garamond" w:hAnsi="Garamond" w:hint="default"/>
      </w:rPr>
    </w:lvl>
    <w:lvl w:ilvl="6" w:tplc="C5FAA85C" w:tentative="1">
      <w:start w:val="1"/>
      <w:numFmt w:val="bullet"/>
      <w:lvlText w:val="◦"/>
      <w:lvlJc w:val="left"/>
      <w:pPr>
        <w:tabs>
          <w:tab w:val="num" w:pos="5040"/>
        </w:tabs>
        <w:ind w:left="5040" w:hanging="360"/>
      </w:pPr>
      <w:rPr>
        <w:rFonts w:ascii="Garamond" w:hAnsi="Garamond" w:hint="default"/>
      </w:rPr>
    </w:lvl>
    <w:lvl w:ilvl="7" w:tplc="70FC0246" w:tentative="1">
      <w:start w:val="1"/>
      <w:numFmt w:val="bullet"/>
      <w:lvlText w:val="◦"/>
      <w:lvlJc w:val="left"/>
      <w:pPr>
        <w:tabs>
          <w:tab w:val="num" w:pos="5760"/>
        </w:tabs>
        <w:ind w:left="5760" w:hanging="360"/>
      </w:pPr>
      <w:rPr>
        <w:rFonts w:ascii="Garamond" w:hAnsi="Garamond" w:hint="default"/>
      </w:rPr>
    </w:lvl>
    <w:lvl w:ilvl="8" w:tplc="8CDC4AA2" w:tentative="1">
      <w:start w:val="1"/>
      <w:numFmt w:val="bullet"/>
      <w:lvlText w:val="◦"/>
      <w:lvlJc w:val="left"/>
      <w:pPr>
        <w:tabs>
          <w:tab w:val="num" w:pos="6480"/>
        </w:tabs>
        <w:ind w:left="6480" w:hanging="360"/>
      </w:pPr>
      <w:rPr>
        <w:rFonts w:ascii="Garamond" w:hAnsi="Garamond" w:hint="default"/>
      </w:rPr>
    </w:lvl>
  </w:abstractNum>
  <w:abstractNum w:abstractNumId="5" w15:restartNumberingAfterBreak="0">
    <w:nsid w:val="440B16D3"/>
    <w:multiLevelType w:val="hybridMultilevel"/>
    <w:tmpl w:val="8EBC567E"/>
    <w:lvl w:ilvl="0" w:tplc="99607760">
      <w:start w:val="1"/>
      <w:numFmt w:val="bullet"/>
      <w:lvlText w:val="◦"/>
      <w:lvlJc w:val="left"/>
      <w:pPr>
        <w:tabs>
          <w:tab w:val="num" w:pos="720"/>
        </w:tabs>
        <w:ind w:left="720" w:hanging="360"/>
      </w:pPr>
      <w:rPr>
        <w:rFonts w:ascii="Garamond" w:hAnsi="Garamond" w:hint="default"/>
      </w:rPr>
    </w:lvl>
    <w:lvl w:ilvl="1" w:tplc="0C88FC4C">
      <w:numFmt w:val="bullet"/>
      <w:lvlText w:val=""/>
      <w:lvlJc w:val="left"/>
      <w:pPr>
        <w:tabs>
          <w:tab w:val="num" w:pos="1440"/>
        </w:tabs>
        <w:ind w:left="1440" w:hanging="360"/>
      </w:pPr>
      <w:rPr>
        <w:rFonts w:ascii="Wingdings" w:hAnsi="Wingdings" w:hint="default"/>
      </w:rPr>
    </w:lvl>
    <w:lvl w:ilvl="2" w:tplc="7706BA28" w:tentative="1">
      <w:start w:val="1"/>
      <w:numFmt w:val="bullet"/>
      <w:lvlText w:val="◦"/>
      <w:lvlJc w:val="left"/>
      <w:pPr>
        <w:tabs>
          <w:tab w:val="num" w:pos="2160"/>
        </w:tabs>
        <w:ind w:left="2160" w:hanging="360"/>
      </w:pPr>
      <w:rPr>
        <w:rFonts w:ascii="Garamond" w:hAnsi="Garamond" w:hint="default"/>
      </w:rPr>
    </w:lvl>
    <w:lvl w:ilvl="3" w:tplc="1B5AA8F2" w:tentative="1">
      <w:start w:val="1"/>
      <w:numFmt w:val="bullet"/>
      <w:lvlText w:val="◦"/>
      <w:lvlJc w:val="left"/>
      <w:pPr>
        <w:tabs>
          <w:tab w:val="num" w:pos="2880"/>
        </w:tabs>
        <w:ind w:left="2880" w:hanging="360"/>
      </w:pPr>
      <w:rPr>
        <w:rFonts w:ascii="Garamond" w:hAnsi="Garamond" w:hint="default"/>
      </w:rPr>
    </w:lvl>
    <w:lvl w:ilvl="4" w:tplc="B4F23E42" w:tentative="1">
      <w:start w:val="1"/>
      <w:numFmt w:val="bullet"/>
      <w:lvlText w:val="◦"/>
      <w:lvlJc w:val="left"/>
      <w:pPr>
        <w:tabs>
          <w:tab w:val="num" w:pos="3600"/>
        </w:tabs>
        <w:ind w:left="3600" w:hanging="360"/>
      </w:pPr>
      <w:rPr>
        <w:rFonts w:ascii="Garamond" w:hAnsi="Garamond" w:hint="default"/>
      </w:rPr>
    </w:lvl>
    <w:lvl w:ilvl="5" w:tplc="F1562C7C" w:tentative="1">
      <w:start w:val="1"/>
      <w:numFmt w:val="bullet"/>
      <w:lvlText w:val="◦"/>
      <w:lvlJc w:val="left"/>
      <w:pPr>
        <w:tabs>
          <w:tab w:val="num" w:pos="4320"/>
        </w:tabs>
        <w:ind w:left="4320" w:hanging="360"/>
      </w:pPr>
      <w:rPr>
        <w:rFonts w:ascii="Garamond" w:hAnsi="Garamond" w:hint="default"/>
      </w:rPr>
    </w:lvl>
    <w:lvl w:ilvl="6" w:tplc="F878B62C" w:tentative="1">
      <w:start w:val="1"/>
      <w:numFmt w:val="bullet"/>
      <w:lvlText w:val="◦"/>
      <w:lvlJc w:val="left"/>
      <w:pPr>
        <w:tabs>
          <w:tab w:val="num" w:pos="5040"/>
        </w:tabs>
        <w:ind w:left="5040" w:hanging="360"/>
      </w:pPr>
      <w:rPr>
        <w:rFonts w:ascii="Garamond" w:hAnsi="Garamond" w:hint="default"/>
      </w:rPr>
    </w:lvl>
    <w:lvl w:ilvl="7" w:tplc="22E03948" w:tentative="1">
      <w:start w:val="1"/>
      <w:numFmt w:val="bullet"/>
      <w:lvlText w:val="◦"/>
      <w:lvlJc w:val="left"/>
      <w:pPr>
        <w:tabs>
          <w:tab w:val="num" w:pos="5760"/>
        </w:tabs>
        <w:ind w:left="5760" w:hanging="360"/>
      </w:pPr>
      <w:rPr>
        <w:rFonts w:ascii="Garamond" w:hAnsi="Garamond" w:hint="default"/>
      </w:rPr>
    </w:lvl>
    <w:lvl w:ilvl="8" w:tplc="0F2EBC64" w:tentative="1">
      <w:start w:val="1"/>
      <w:numFmt w:val="bullet"/>
      <w:lvlText w:val="◦"/>
      <w:lvlJc w:val="left"/>
      <w:pPr>
        <w:tabs>
          <w:tab w:val="num" w:pos="6480"/>
        </w:tabs>
        <w:ind w:left="6480" w:hanging="360"/>
      </w:pPr>
      <w:rPr>
        <w:rFonts w:ascii="Garamond" w:hAnsi="Garamond" w:hint="default"/>
      </w:rPr>
    </w:lvl>
  </w:abstractNum>
  <w:abstractNum w:abstractNumId="6" w15:restartNumberingAfterBreak="0">
    <w:nsid w:val="443D0D19"/>
    <w:multiLevelType w:val="hybridMultilevel"/>
    <w:tmpl w:val="704212BE"/>
    <w:lvl w:ilvl="0" w:tplc="489627CE">
      <w:start w:val="1"/>
      <w:numFmt w:val="bullet"/>
      <w:lvlText w:val="◦"/>
      <w:lvlJc w:val="left"/>
      <w:pPr>
        <w:tabs>
          <w:tab w:val="num" w:pos="720"/>
        </w:tabs>
        <w:ind w:left="720" w:hanging="360"/>
      </w:pPr>
      <w:rPr>
        <w:rFonts w:ascii="Garamond" w:hAnsi="Garamond" w:hint="default"/>
      </w:rPr>
    </w:lvl>
    <w:lvl w:ilvl="1" w:tplc="89AC1506">
      <w:start w:val="1"/>
      <w:numFmt w:val="bullet"/>
      <w:lvlText w:val="◦"/>
      <w:lvlJc w:val="left"/>
      <w:pPr>
        <w:tabs>
          <w:tab w:val="num" w:pos="1440"/>
        </w:tabs>
        <w:ind w:left="1440" w:hanging="360"/>
      </w:pPr>
      <w:rPr>
        <w:rFonts w:ascii="Garamond" w:hAnsi="Garamond" w:hint="default"/>
      </w:rPr>
    </w:lvl>
    <w:lvl w:ilvl="2" w:tplc="DD464A40" w:tentative="1">
      <w:start w:val="1"/>
      <w:numFmt w:val="bullet"/>
      <w:lvlText w:val="◦"/>
      <w:lvlJc w:val="left"/>
      <w:pPr>
        <w:tabs>
          <w:tab w:val="num" w:pos="2160"/>
        </w:tabs>
        <w:ind w:left="2160" w:hanging="360"/>
      </w:pPr>
      <w:rPr>
        <w:rFonts w:ascii="Garamond" w:hAnsi="Garamond" w:hint="default"/>
      </w:rPr>
    </w:lvl>
    <w:lvl w:ilvl="3" w:tplc="12360C7C" w:tentative="1">
      <w:start w:val="1"/>
      <w:numFmt w:val="bullet"/>
      <w:lvlText w:val="◦"/>
      <w:lvlJc w:val="left"/>
      <w:pPr>
        <w:tabs>
          <w:tab w:val="num" w:pos="2880"/>
        </w:tabs>
        <w:ind w:left="2880" w:hanging="360"/>
      </w:pPr>
      <w:rPr>
        <w:rFonts w:ascii="Garamond" w:hAnsi="Garamond" w:hint="default"/>
      </w:rPr>
    </w:lvl>
    <w:lvl w:ilvl="4" w:tplc="5B66C316" w:tentative="1">
      <w:start w:val="1"/>
      <w:numFmt w:val="bullet"/>
      <w:lvlText w:val="◦"/>
      <w:lvlJc w:val="left"/>
      <w:pPr>
        <w:tabs>
          <w:tab w:val="num" w:pos="3600"/>
        </w:tabs>
        <w:ind w:left="3600" w:hanging="360"/>
      </w:pPr>
      <w:rPr>
        <w:rFonts w:ascii="Garamond" w:hAnsi="Garamond" w:hint="default"/>
      </w:rPr>
    </w:lvl>
    <w:lvl w:ilvl="5" w:tplc="DCB0EE26" w:tentative="1">
      <w:start w:val="1"/>
      <w:numFmt w:val="bullet"/>
      <w:lvlText w:val="◦"/>
      <w:lvlJc w:val="left"/>
      <w:pPr>
        <w:tabs>
          <w:tab w:val="num" w:pos="4320"/>
        </w:tabs>
        <w:ind w:left="4320" w:hanging="360"/>
      </w:pPr>
      <w:rPr>
        <w:rFonts w:ascii="Garamond" w:hAnsi="Garamond" w:hint="default"/>
      </w:rPr>
    </w:lvl>
    <w:lvl w:ilvl="6" w:tplc="ABD24CEE" w:tentative="1">
      <w:start w:val="1"/>
      <w:numFmt w:val="bullet"/>
      <w:lvlText w:val="◦"/>
      <w:lvlJc w:val="left"/>
      <w:pPr>
        <w:tabs>
          <w:tab w:val="num" w:pos="5040"/>
        </w:tabs>
        <w:ind w:left="5040" w:hanging="360"/>
      </w:pPr>
      <w:rPr>
        <w:rFonts w:ascii="Garamond" w:hAnsi="Garamond" w:hint="default"/>
      </w:rPr>
    </w:lvl>
    <w:lvl w:ilvl="7" w:tplc="9AB0FFD4" w:tentative="1">
      <w:start w:val="1"/>
      <w:numFmt w:val="bullet"/>
      <w:lvlText w:val="◦"/>
      <w:lvlJc w:val="left"/>
      <w:pPr>
        <w:tabs>
          <w:tab w:val="num" w:pos="5760"/>
        </w:tabs>
        <w:ind w:left="5760" w:hanging="360"/>
      </w:pPr>
      <w:rPr>
        <w:rFonts w:ascii="Garamond" w:hAnsi="Garamond" w:hint="default"/>
      </w:rPr>
    </w:lvl>
    <w:lvl w:ilvl="8" w:tplc="19424E44" w:tentative="1">
      <w:start w:val="1"/>
      <w:numFmt w:val="bullet"/>
      <w:lvlText w:val="◦"/>
      <w:lvlJc w:val="left"/>
      <w:pPr>
        <w:tabs>
          <w:tab w:val="num" w:pos="6480"/>
        </w:tabs>
        <w:ind w:left="6480" w:hanging="360"/>
      </w:pPr>
      <w:rPr>
        <w:rFonts w:ascii="Garamond" w:hAnsi="Garamond" w:hint="default"/>
      </w:rPr>
    </w:lvl>
  </w:abstractNum>
  <w:abstractNum w:abstractNumId="7" w15:restartNumberingAfterBreak="0">
    <w:nsid w:val="54A92FFD"/>
    <w:multiLevelType w:val="hybridMultilevel"/>
    <w:tmpl w:val="A3B25C36"/>
    <w:lvl w:ilvl="0" w:tplc="005C1732">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688758FB"/>
    <w:multiLevelType w:val="hybridMultilevel"/>
    <w:tmpl w:val="A8DEFDDA"/>
    <w:lvl w:ilvl="0" w:tplc="4A68F880">
      <w:start w:val="1"/>
      <w:numFmt w:val="bullet"/>
      <w:lvlText w:val=""/>
      <w:lvlJc w:val="left"/>
      <w:pPr>
        <w:tabs>
          <w:tab w:val="num" w:pos="720"/>
        </w:tabs>
        <w:ind w:left="720" w:hanging="360"/>
      </w:pPr>
      <w:rPr>
        <w:rFonts w:ascii="Wingdings 3" w:hAnsi="Wingdings 3" w:hint="default"/>
      </w:rPr>
    </w:lvl>
    <w:lvl w:ilvl="1" w:tplc="EAEAC7B0" w:tentative="1">
      <w:start w:val="1"/>
      <w:numFmt w:val="bullet"/>
      <w:lvlText w:val=""/>
      <w:lvlJc w:val="left"/>
      <w:pPr>
        <w:tabs>
          <w:tab w:val="num" w:pos="1440"/>
        </w:tabs>
        <w:ind w:left="1440" w:hanging="360"/>
      </w:pPr>
      <w:rPr>
        <w:rFonts w:ascii="Wingdings 3" w:hAnsi="Wingdings 3" w:hint="default"/>
      </w:rPr>
    </w:lvl>
    <w:lvl w:ilvl="2" w:tplc="21424486" w:tentative="1">
      <w:start w:val="1"/>
      <w:numFmt w:val="bullet"/>
      <w:lvlText w:val=""/>
      <w:lvlJc w:val="left"/>
      <w:pPr>
        <w:tabs>
          <w:tab w:val="num" w:pos="2160"/>
        </w:tabs>
        <w:ind w:left="2160" w:hanging="360"/>
      </w:pPr>
      <w:rPr>
        <w:rFonts w:ascii="Wingdings 3" w:hAnsi="Wingdings 3" w:hint="default"/>
      </w:rPr>
    </w:lvl>
    <w:lvl w:ilvl="3" w:tplc="1E286100" w:tentative="1">
      <w:start w:val="1"/>
      <w:numFmt w:val="bullet"/>
      <w:lvlText w:val=""/>
      <w:lvlJc w:val="left"/>
      <w:pPr>
        <w:tabs>
          <w:tab w:val="num" w:pos="2880"/>
        </w:tabs>
        <w:ind w:left="2880" w:hanging="360"/>
      </w:pPr>
      <w:rPr>
        <w:rFonts w:ascii="Wingdings 3" w:hAnsi="Wingdings 3" w:hint="default"/>
      </w:rPr>
    </w:lvl>
    <w:lvl w:ilvl="4" w:tplc="A7783E1E" w:tentative="1">
      <w:start w:val="1"/>
      <w:numFmt w:val="bullet"/>
      <w:lvlText w:val=""/>
      <w:lvlJc w:val="left"/>
      <w:pPr>
        <w:tabs>
          <w:tab w:val="num" w:pos="3600"/>
        </w:tabs>
        <w:ind w:left="3600" w:hanging="360"/>
      </w:pPr>
      <w:rPr>
        <w:rFonts w:ascii="Wingdings 3" w:hAnsi="Wingdings 3" w:hint="default"/>
      </w:rPr>
    </w:lvl>
    <w:lvl w:ilvl="5" w:tplc="8D709582" w:tentative="1">
      <w:start w:val="1"/>
      <w:numFmt w:val="bullet"/>
      <w:lvlText w:val=""/>
      <w:lvlJc w:val="left"/>
      <w:pPr>
        <w:tabs>
          <w:tab w:val="num" w:pos="4320"/>
        </w:tabs>
        <w:ind w:left="4320" w:hanging="360"/>
      </w:pPr>
      <w:rPr>
        <w:rFonts w:ascii="Wingdings 3" w:hAnsi="Wingdings 3" w:hint="default"/>
      </w:rPr>
    </w:lvl>
    <w:lvl w:ilvl="6" w:tplc="4962CC1C" w:tentative="1">
      <w:start w:val="1"/>
      <w:numFmt w:val="bullet"/>
      <w:lvlText w:val=""/>
      <w:lvlJc w:val="left"/>
      <w:pPr>
        <w:tabs>
          <w:tab w:val="num" w:pos="5040"/>
        </w:tabs>
        <w:ind w:left="5040" w:hanging="360"/>
      </w:pPr>
      <w:rPr>
        <w:rFonts w:ascii="Wingdings 3" w:hAnsi="Wingdings 3" w:hint="default"/>
      </w:rPr>
    </w:lvl>
    <w:lvl w:ilvl="7" w:tplc="F5BA87E6" w:tentative="1">
      <w:start w:val="1"/>
      <w:numFmt w:val="bullet"/>
      <w:lvlText w:val=""/>
      <w:lvlJc w:val="left"/>
      <w:pPr>
        <w:tabs>
          <w:tab w:val="num" w:pos="5760"/>
        </w:tabs>
        <w:ind w:left="5760" w:hanging="360"/>
      </w:pPr>
      <w:rPr>
        <w:rFonts w:ascii="Wingdings 3" w:hAnsi="Wingdings 3" w:hint="default"/>
      </w:rPr>
    </w:lvl>
    <w:lvl w:ilvl="8" w:tplc="24F636EA" w:tentative="1">
      <w:start w:val="1"/>
      <w:numFmt w:val="bullet"/>
      <w:lvlText w:val=""/>
      <w:lvlJc w:val="left"/>
      <w:pPr>
        <w:tabs>
          <w:tab w:val="num" w:pos="6480"/>
        </w:tabs>
        <w:ind w:left="6480" w:hanging="360"/>
      </w:pPr>
      <w:rPr>
        <w:rFonts w:ascii="Wingdings 3" w:hAnsi="Wingdings 3" w:hint="default"/>
      </w:rPr>
    </w:lvl>
  </w:abstractNum>
  <w:abstractNum w:abstractNumId="9" w15:restartNumberingAfterBreak="0">
    <w:nsid w:val="6D6469DF"/>
    <w:multiLevelType w:val="hybridMultilevel"/>
    <w:tmpl w:val="95FEC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5616319"/>
    <w:multiLevelType w:val="hybridMultilevel"/>
    <w:tmpl w:val="9F063FE4"/>
    <w:lvl w:ilvl="0" w:tplc="C83ACCC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45602746">
    <w:abstractNumId w:val="7"/>
  </w:num>
  <w:num w:numId="2" w16cid:durableId="1491478731">
    <w:abstractNumId w:val="3"/>
  </w:num>
  <w:num w:numId="3" w16cid:durableId="396899958">
    <w:abstractNumId w:val="3"/>
    <w:lvlOverride w:ilvl="0">
      <w:startOverride w:val="1"/>
    </w:lvlOverride>
  </w:num>
  <w:num w:numId="4" w16cid:durableId="871915409">
    <w:abstractNumId w:val="2"/>
  </w:num>
  <w:num w:numId="5" w16cid:durableId="1919438432">
    <w:abstractNumId w:val="0"/>
  </w:num>
  <w:num w:numId="6" w16cid:durableId="955023111">
    <w:abstractNumId w:val="8"/>
  </w:num>
  <w:num w:numId="7" w16cid:durableId="641467382">
    <w:abstractNumId w:val="1"/>
  </w:num>
  <w:num w:numId="8" w16cid:durableId="574625718">
    <w:abstractNumId w:val="9"/>
  </w:num>
  <w:num w:numId="9" w16cid:durableId="1172063356">
    <w:abstractNumId w:val="10"/>
  </w:num>
  <w:num w:numId="10" w16cid:durableId="91363128">
    <w:abstractNumId w:val="6"/>
  </w:num>
  <w:num w:numId="11" w16cid:durableId="1696032680">
    <w:abstractNumId w:val="4"/>
  </w:num>
  <w:num w:numId="12" w16cid:durableId="158251806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567"/>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40CA"/>
    <w:rsid w:val="000367EA"/>
    <w:rsid w:val="00045853"/>
    <w:rsid w:val="00047084"/>
    <w:rsid w:val="00055EEF"/>
    <w:rsid w:val="000569B0"/>
    <w:rsid w:val="000747A6"/>
    <w:rsid w:val="00084F60"/>
    <w:rsid w:val="00094102"/>
    <w:rsid w:val="000B22BB"/>
    <w:rsid w:val="000B7E71"/>
    <w:rsid w:val="000E5E5A"/>
    <w:rsid w:val="000F7CE2"/>
    <w:rsid w:val="0010563B"/>
    <w:rsid w:val="00133F71"/>
    <w:rsid w:val="00172744"/>
    <w:rsid w:val="001948D1"/>
    <w:rsid w:val="001B6A37"/>
    <w:rsid w:val="001F4597"/>
    <w:rsid w:val="00204DBB"/>
    <w:rsid w:val="0021179D"/>
    <w:rsid w:val="00242D1E"/>
    <w:rsid w:val="0025643E"/>
    <w:rsid w:val="002601FB"/>
    <w:rsid w:val="002A1AB6"/>
    <w:rsid w:val="002A50FF"/>
    <w:rsid w:val="002C21FD"/>
    <w:rsid w:val="002C3D59"/>
    <w:rsid w:val="002E4AEB"/>
    <w:rsid w:val="002F0586"/>
    <w:rsid w:val="00307EC7"/>
    <w:rsid w:val="00325A11"/>
    <w:rsid w:val="00337335"/>
    <w:rsid w:val="00367B90"/>
    <w:rsid w:val="00392BCC"/>
    <w:rsid w:val="003B0465"/>
    <w:rsid w:val="003C1806"/>
    <w:rsid w:val="003C1CD7"/>
    <w:rsid w:val="003F1215"/>
    <w:rsid w:val="004105F6"/>
    <w:rsid w:val="00410C81"/>
    <w:rsid w:val="004315BF"/>
    <w:rsid w:val="00434F5A"/>
    <w:rsid w:val="00442887"/>
    <w:rsid w:val="004428F5"/>
    <w:rsid w:val="00446112"/>
    <w:rsid w:val="00447400"/>
    <w:rsid w:val="004778C1"/>
    <w:rsid w:val="00481F58"/>
    <w:rsid w:val="00496D2B"/>
    <w:rsid w:val="004A7FDB"/>
    <w:rsid w:val="004D6278"/>
    <w:rsid w:val="004E6EDD"/>
    <w:rsid w:val="004F0E4C"/>
    <w:rsid w:val="00520807"/>
    <w:rsid w:val="00540161"/>
    <w:rsid w:val="00540FB8"/>
    <w:rsid w:val="00556A7A"/>
    <w:rsid w:val="00564097"/>
    <w:rsid w:val="005744BB"/>
    <w:rsid w:val="005902E3"/>
    <w:rsid w:val="005A7C42"/>
    <w:rsid w:val="005C452C"/>
    <w:rsid w:val="005D294E"/>
    <w:rsid w:val="005D57CA"/>
    <w:rsid w:val="005E0667"/>
    <w:rsid w:val="0061461D"/>
    <w:rsid w:val="00626AFA"/>
    <w:rsid w:val="00631D08"/>
    <w:rsid w:val="006439F6"/>
    <w:rsid w:val="006556E1"/>
    <w:rsid w:val="006608C2"/>
    <w:rsid w:val="006718DA"/>
    <w:rsid w:val="006745D6"/>
    <w:rsid w:val="006B41F8"/>
    <w:rsid w:val="006C628A"/>
    <w:rsid w:val="00710B1A"/>
    <w:rsid w:val="00722533"/>
    <w:rsid w:val="00730F69"/>
    <w:rsid w:val="007406DF"/>
    <w:rsid w:val="0075060B"/>
    <w:rsid w:val="00764F43"/>
    <w:rsid w:val="007740CA"/>
    <w:rsid w:val="00782B9B"/>
    <w:rsid w:val="007D3DA8"/>
    <w:rsid w:val="007F4BBB"/>
    <w:rsid w:val="00814D11"/>
    <w:rsid w:val="00823081"/>
    <w:rsid w:val="00825C88"/>
    <w:rsid w:val="008441EF"/>
    <w:rsid w:val="00893E97"/>
    <w:rsid w:val="00894B46"/>
    <w:rsid w:val="008B1347"/>
    <w:rsid w:val="008C244B"/>
    <w:rsid w:val="008C335E"/>
    <w:rsid w:val="008E6C96"/>
    <w:rsid w:val="009277A9"/>
    <w:rsid w:val="009548FB"/>
    <w:rsid w:val="00954CA1"/>
    <w:rsid w:val="0096449C"/>
    <w:rsid w:val="00993139"/>
    <w:rsid w:val="009A0F6C"/>
    <w:rsid w:val="009A4DC2"/>
    <w:rsid w:val="009D381F"/>
    <w:rsid w:val="009E21F9"/>
    <w:rsid w:val="00A061CA"/>
    <w:rsid w:val="00A15832"/>
    <w:rsid w:val="00A325F2"/>
    <w:rsid w:val="00A33B5D"/>
    <w:rsid w:val="00A42569"/>
    <w:rsid w:val="00A62013"/>
    <w:rsid w:val="00A70FAE"/>
    <w:rsid w:val="00A76606"/>
    <w:rsid w:val="00A970AC"/>
    <w:rsid w:val="00AB1E71"/>
    <w:rsid w:val="00AB4BF0"/>
    <w:rsid w:val="00AB6D5A"/>
    <w:rsid w:val="00AF68AE"/>
    <w:rsid w:val="00AF7B51"/>
    <w:rsid w:val="00B26565"/>
    <w:rsid w:val="00B51533"/>
    <w:rsid w:val="00B54B0D"/>
    <w:rsid w:val="00B70309"/>
    <w:rsid w:val="00B7358C"/>
    <w:rsid w:val="00B84D23"/>
    <w:rsid w:val="00B972C5"/>
    <w:rsid w:val="00BD4CB1"/>
    <w:rsid w:val="00BD5480"/>
    <w:rsid w:val="00BE683D"/>
    <w:rsid w:val="00BF2351"/>
    <w:rsid w:val="00C02DED"/>
    <w:rsid w:val="00C04E3E"/>
    <w:rsid w:val="00C3071A"/>
    <w:rsid w:val="00C3126F"/>
    <w:rsid w:val="00C624B5"/>
    <w:rsid w:val="00C91771"/>
    <w:rsid w:val="00CA0433"/>
    <w:rsid w:val="00CB4223"/>
    <w:rsid w:val="00CE467D"/>
    <w:rsid w:val="00CF40A3"/>
    <w:rsid w:val="00D00A98"/>
    <w:rsid w:val="00D13187"/>
    <w:rsid w:val="00D17398"/>
    <w:rsid w:val="00D6695B"/>
    <w:rsid w:val="00D70328"/>
    <w:rsid w:val="00D715C3"/>
    <w:rsid w:val="00D73BAF"/>
    <w:rsid w:val="00DA6A80"/>
    <w:rsid w:val="00DB3526"/>
    <w:rsid w:val="00DB5247"/>
    <w:rsid w:val="00DE5918"/>
    <w:rsid w:val="00E0082D"/>
    <w:rsid w:val="00E06864"/>
    <w:rsid w:val="00E12589"/>
    <w:rsid w:val="00E13518"/>
    <w:rsid w:val="00E20A21"/>
    <w:rsid w:val="00E227F7"/>
    <w:rsid w:val="00E52BCA"/>
    <w:rsid w:val="00E94AA3"/>
    <w:rsid w:val="00EB487C"/>
    <w:rsid w:val="00EC5B66"/>
    <w:rsid w:val="00EF0FA5"/>
    <w:rsid w:val="00F0188D"/>
    <w:rsid w:val="00F32718"/>
    <w:rsid w:val="00F53FC3"/>
    <w:rsid w:val="00F54933"/>
    <w:rsid w:val="00F57282"/>
    <w:rsid w:val="00F73314"/>
    <w:rsid w:val="00F87B49"/>
    <w:rsid w:val="00F96DDA"/>
    <w:rsid w:val="00FD62B6"/>
    <w:rsid w:val="00FE77CF"/>
    <w:rsid w:val="00FF5801"/>
    <w:rsid w:val="00FF62F0"/>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7F678A"/>
  <w15:docId w15:val="{281E9016-BBF3-4E28-BBA8-CF319C55A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uthors/Abstract/Key words/JEL"/>
    <w:qFormat/>
    <w:rsid w:val="007740CA"/>
    <w:pPr>
      <w:spacing w:after="0" w:line="240" w:lineRule="auto"/>
      <w:jc w:val="both"/>
    </w:pPr>
    <w:rPr>
      <w:rFonts w:ascii="Times New Roman" w:eastAsia="Calibri" w:hAnsi="Times New Roman" w:cs="Times New Roman"/>
      <w:sz w:val="24"/>
      <w:lang w:val="pl-PL"/>
    </w:rPr>
  </w:style>
  <w:style w:type="paragraph" w:styleId="Heading1">
    <w:name w:val="heading 1"/>
    <w:basedOn w:val="Normal"/>
    <w:next w:val="Normal"/>
    <w:link w:val="Heading1Char"/>
    <w:qFormat/>
    <w:rsid w:val="007740C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autoRedefine/>
    <w:uiPriority w:val="9"/>
    <w:unhideWhenUsed/>
    <w:qFormat/>
    <w:rsid w:val="00A62013"/>
    <w:pPr>
      <w:keepNext/>
      <w:keepLines/>
      <w:outlineLvl w:val="1"/>
    </w:pPr>
    <w:rPr>
      <w:rFonts w:eastAsia="Times New Roman" w:cs="Arial"/>
      <w:b/>
      <w:bCs/>
      <w:iCs/>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740CA"/>
    <w:rPr>
      <w:rFonts w:asciiTheme="majorHAnsi" w:eastAsiaTheme="majorEastAsia" w:hAnsiTheme="majorHAnsi" w:cstheme="majorBidi"/>
      <w:b/>
      <w:bCs/>
      <w:color w:val="365F91" w:themeColor="accent1" w:themeShade="BF"/>
      <w:sz w:val="28"/>
      <w:szCs w:val="28"/>
      <w:lang w:val="pl-PL"/>
    </w:rPr>
  </w:style>
  <w:style w:type="character" w:customStyle="1" w:styleId="Heading2Char">
    <w:name w:val="Heading 2 Char"/>
    <w:basedOn w:val="DefaultParagraphFont"/>
    <w:link w:val="Heading2"/>
    <w:uiPriority w:val="9"/>
    <w:rsid w:val="00A62013"/>
    <w:rPr>
      <w:rFonts w:ascii="Times New Roman" w:eastAsia="Times New Roman" w:hAnsi="Times New Roman" w:cs="Arial"/>
      <w:b/>
      <w:bCs/>
      <w:iCs/>
      <w:sz w:val="24"/>
      <w:szCs w:val="24"/>
      <w:lang w:val="en-GB"/>
    </w:rPr>
  </w:style>
  <w:style w:type="character" w:styleId="Emphasis">
    <w:name w:val="Emphasis"/>
    <w:aliases w:val="Text of the paper"/>
    <w:qFormat/>
    <w:rsid w:val="007740CA"/>
    <w:rPr>
      <w:i w:val="0"/>
      <w:iCs w:val="0"/>
      <w:lang w:val="en-GB" w:eastAsia="cs-CZ"/>
    </w:rPr>
  </w:style>
  <w:style w:type="character" w:styleId="Strong">
    <w:name w:val="Strong"/>
    <w:aliases w:val="Title 2 (Introduction,Chapters)"/>
    <w:uiPriority w:val="22"/>
    <w:qFormat/>
    <w:rsid w:val="007740CA"/>
    <w:rPr>
      <w:b w:val="0"/>
      <w:bCs w:val="0"/>
    </w:rPr>
  </w:style>
  <w:style w:type="character" w:customStyle="1" w:styleId="FootnoteTextChar">
    <w:name w:val="Footnote Text Char"/>
    <w:aliases w:val="Tekst przypisu Char,single space Char,FOOTNOTES Char,fn Char,Podrozdział Char,Fußnote Char,Footnote Char,Podrozdzia3 Char,przypis Char,footnote text Char,Schriftart: 9 pt Char,Schriftart: 10 pt Char,Schriftart: 8 pt Char"/>
    <w:basedOn w:val="DefaultParagraphFont"/>
    <w:link w:val="FootnoteText"/>
    <w:semiHidden/>
    <w:locked/>
    <w:rsid w:val="007740CA"/>
    <w:rPr>
      <w:rFonts w:ascii="(Uzyj czcionki tekstu azjatycki" w:hAnsi="(Uzyj czcionki tekstu azjatycki"/>
    </w:rPr>
  </w:style>
  <w:style w:type="paragraph" w:styleId="FootnoteText">
    <w:name w:val="footnote text"/>
    <w:aliases w:val="Tekst przypisu,single space,FOOTNOTES,fn,Podrozdział,Fußnote,Footnote,Podrozdzia3,przypis,footnote text,Schriftart: 9 pt,Schriftart: 10 pt,Schriftart: 8 pt,WB-Fußnotentext,Footnotes,Footnote ak,Text poznámky pod čiarou Char Char"/>
    <w:basedOn w:val="Normal"/>
    <w:link w:val="FootnoteTextChar"/>
    <w:semiHidden/>
    <w:unhideWhenUsed/>
    <w:rsid w:val="007740CA"/>
    <w:rPr>
      <w:rFonts w:ascii="(Uzyj czcionki tekstu azjatycki" w:eastAsiaTheme="minorHAnsi" w:hAnsi="(Uzyj czcionki tekstu azjatycki" w:cstheme="minorBidi"/>
      <w:sz w:val="22"/>
      <w:lang w:val="cs-CZ"/>
    </w:rPr>
  </w:style>
  <w:style w:type="character" w:customStyle="1" w:styleId="TextpoznpodarouChar1">
    <w:name w:val="Text pozn. pod čarou Char1"/>
    <w:basedOn w:val="DefaultParagraphFont"/>
    <w:uiPriority w:val="99"/>
    <w:semiHidden/>
    <w:rsid w:val="007740CA"/>
    <w:rPr>
      <w:rFonts w:ascii="Times New Roman" w:eastAsia="Calibri" w:hAnsi="Times New Roman" w:cs="Times New Roman"/>
      <w:sz w:val="20"/>
      <w:szCs w:val="20"/>
      <w:lang w:val="pl-PL"/>
    </w:rPr>
  </w:style>
  <w:style w:type="paragraph" w:styleId="BodyTextIndent">
    <w:name w:val="Body Text Indent"/>
    <w:basedOn w:val="Normal"/>
    <w:link w:val="BodyTextIndentChar"/>
    <w:semiHidden/>
    <w:unhideWhenUsed/>
    <w:rsid w:val="007740CA"/>
    <w:pPr>
      <w:spacing w:before="240" w:after="120" w:line="360" w:lineRule="auto"/>
      <w:ind w:left="283"/>
    </w:pPr>
    <w:rPr>
      <w:rFonts w:ascii="Arial" w:eastAsia="Times New Roman" w:hAnsi="Arial"/>
      <w:szCs w:val="24"/>
      <w:lang w:val="en-US"/>
    </w:rPr>
  </w:style>
  <w:style w:type="character" w:customStyle="1" w:styleId="BodyTextIndentChar">
    <w:name w:val="Body Text Indent Char"/>
    <w:basedOn w:val="DefaultParagraphFont"/>
    <w:link w:val="BodyTextIndent"/>
    <w:semiHidden/>
    <w:rsid w:val="007740CA"/>
    <w:rPr>
      <w:rFonts w:ascii="Arial" w:eastAsia="Times New Roman" w:hAnsi="Arial" w:cs="Times New Roman"/>
      <w:sz w:val="24"/>
      <w:szCs w:val="24"/>
      <w:lang w:val="en-US"/>
    </w:rPr>
  </w:style>
  <w:style w:type="paragraph" w:styleId="NoSpacing">
    <w:name w:val="No Spacing"/>
    <w:aliases w:val="Title 3 Subsection"/>
    <w:basedOn w:val="Normal"/>
    <w:uiPriority w:val="1"/>
    <w:qFormat/>
    <w:rsid w:val="007740CA"/>
    <w:pPr>
      <w:spacing w:line="360" w:lineRule="auto"/>
    </w:pPr>
    <w:rPr>
      <w:b/>
      <w:bCs/>
      <w:iCs/>
      <w:lang w:val="en-GB"/>
    </w:rPr>
  </w:style>
  <w:style w:type="character" w:customStyle="1" w:styleId="Title1Char">
    <w:name w:val="Title 1 Char"/>
    <w:basedOn w:val="DefaultParagraphFont"/>
    <w:link w:val="Title1"/>
    <w:locked/>
    <w:rsid w:val="000F7CE2"/>
    <w:rPr>
      <w:rFonts w:ascii="Times New Roman" w:eastAsiaTheme="majorEastAsia" w:hAnsi="Times New Roman" w:cs="Times New Roman"/>
      <w:b/>
      <w:bCs/>
      <w:sz w:val="32"/>
      <w:szCs w:val="32"/>
      <w:lang w:val="en-US"/>
    </w:rPr>
  </w:style>
  <w:style w:type="paragraph" w:customStyle="1" w:styleId="Title1">
    <w:name w:val="Title 1"/>
    <w:basedOn w:val="Heading1"/>
    <w:next w:val="Normal"/>
    <w:link w:val="Title1Char"/>
    <w:autoRedefine/>
    <w:qFormat/>
    <w:rsid w:val="000F7CE2"/>
    <w:pPr>
      <w:spacing w:before="0"/>
      <w:jc w:val="center"/>
    </w:pPr>
    <w:rPr>
      <w:rFonts w:ascii="Times New Roman" w:hAnsi="Times New Roman" w:cs="Times New Roman"/>
      <w:color w:val="auto"/>
      <w:sz w:val="32"/>
      <w:szCs w:val="32"/>
      <w:lang w:val="en-US"/>
    </w:rPr>
  </w:style>
  <w:style w:type="character" w:styleId="FootnoteReference">
    <w:name w:val="footnote reference"/>
    <w:aliases w:val="BVI fnr,Footnote Reference Number,Odwołanie przypisu,Footnote symbol,SUPERS"/>
    <w:basedOn w:val="DefaultParagraphFont"/>
    <w:semiHidden/>
    <w:unhideWhenUsed/>
    <w:rsid w:val="007740CA"/>
    <w:rPr>
      <w:vertAlign w:val="superscript"/>
    </w:rPr>
  </w:style>
  <w:style w:type="paragraph" w:styleId="BalloonText">
    <w:name w:val="Balloon Text"/>
    <w:basedOn w:val="Normal"/>
    <w:link w:val="BalloonTextChar"/>
    <w:uiPriority w:val="99"/>
    <w:semiHidden/>
    <w:unhideWhenUsed/>
    <w:rsid w:val="004105F6"/>
    <w:rPr>
      <w:rFonts w:ascii="Tahoma" w:hAnsi="Tahoma" w:cs="Tahoma"/>
      <w:sz w:val="16"/>
      <w:szCs w:val="16"/>
    </w:rPr>
  </w:style>
  <w:style w:type="character" w:customStyle="1" w:styleId="BalloonTextChar">
    <w:name w:val="Balloon Text Char"/>
    <w:basedOn w:val="DefaultParagraphFont"/>
    <w:link w:val="BalloonText"/>
    <w:uiPriority w:val="99"/>
    <w:semiHidden/>
    <w:rsid w:val="004105F6"/>
    <w:rPr>
      <w:rFonts w:ascii="Tahoma" w:eastAsia="Calibri" w:hAnsi="Tahoma" w:cs="Tahoma"/>
      <w:sz w:val="16"/>
      <w:szCs w:val="16"/>
      <w:lang w:val="pl-PL"/>
    </w:rPr>
  </w:style>
  <w:style w:type="character" w:styleId="Hyperlink">
    <w:name w:val="Hyperlink"/>
    <w:basedOn w:val="DefaultParagraphFont"/>
    <w:uiPriority w:val="99"/>
    <w:unhideWhenUsed/>
    <w:rsid w:val="00DB5247"/>
    <w:rPr>
      <w:color w:val="0000FF" w:themeColor="hyperlink"/>
      <w:u w:val="single"/>
    </w:rPr>
  </w:style>
  <w:style w:type="paragraph" w:styleId="Header">
    <w:name w:val="header"/>
    <w:basedOn w:val="Normal"/>
    <w:link w:val="HeaderChar"/>
    <w:uiPriority w:val="99"/>
    <w:unhideWhenUsed/>
    <w:rsid w:val="00496D2B"/>
    <w:pPr>
      <w:tabs>
        <w:tab w:val="center" w:pos="4703"/>
        <w:tab w:val="right" w:pos="9406"/>
      </w:tabs>
    </w:pPr>
  </w:style>
  <w:style w:type="character" w:customStyle="1" w:styleId="HeaderChar">
    <w:name w:val="Header Char"/>
    <w:basedOn w:val="DefaultParagraphFont"/>
    <w:link w:val="Header"/>
    <w:uiPriority w:val="99"/>
    <w:rsid w:val="00496D2B"/>
    <w:rPr>
      <w:rFonts w:ascii="Times New Roman" w:eastAsia="Calibri" w:hAnsi="Times New Roman" w:cs="Times New Roman"/>
      <w:sz w:val="24"/>
      <w:lang w:val="pl-PL"/>
    </w:rPr>
  </w:style>
  <w:style w:type="paragraph" w:styleId="Footer">
    <w:name w:val="footer"/>
    <w:basedOn w:val="Normal"/>
    <w:link w:val="FooterChar"/>
    <w:uiPriority w:val="99"/>
    <w:unhideWhenUsed/>
    <w:rsid w:val="00496D2B"/>
    <w:pPr>
      <w:tabs>
        <w:tab w:val="center" w:pos="4703"/>
        <w:tab w:val="right" w:pos="9406"/>
      </w:tabs>
    </w:pPr>
  </w:style>
  <w:style w:type="character" w:customStyle="1" w:styleId="FooterChar">
    <w:name w:val="Footer Char"/>
    <w:basedOn w:val="DefaultParagraphFont"/>
    <w:link w:val="Footer"/>
    <w:uiPriority w:val="99"/>
    <w:rsid w:val="00496D2B"/>
    <w:rPr>
      <w:rFonts w:ascii="Times New Roman" w:eastAsia="Calibri" w:hAnsi="Times New Roman" w:cs="Times New Roman"/>
      <w:sz w:val="24"/>
      <w:lang w:val="pl-PL"/>
    </w:rPr>
  </w:style>
  <w:style w:type="paragraph" w:styleId="ListParagraph">
    <w:name w:val="List Paragraph"/>
    <w:basedOn w:val="Normal"/>
    <w:uiPriority w:val="34"/>
    <w:qFormat/>
    <w:rsid w:val="00B84D23"/>
    <w:pPr>
      <w:ind w:left="720"/>
      <w:contextualSpacing/>
      <w:jc w:val="left"/>
    </w:pPr>
    <w:rPr>
      <w:rFonts w:eastAsia="Times New Roman"/>
      <w:szCs w:val="24"/>
      <w:lang w:val="en-US"/>
    </w:rPr>
  </w:style>
  <w:style w:type="paragraph" w:styleId="NormalWeb">
    <w:name w:val="Normal (Web)"/>
    <w:basedOn w:val="Normal"/>
    <w:uiPriority w:val="99"/>
    <w:unhideWhenUsed/>
    <w:rsid w:val="00556A7A"/>
    <w:pPr>
      <w:spacing w:before="100" w:beforeAutospacing="1" w:after="100" w:afterAutospacing="1"/>
      <w:jc w:val="left"/>
    </w:pPr>
    <w:rPr>
      <w:rFonts w:eastAsia="Times New Roman"/>
      <w:szCs w:val="24"/>
      <w:lang w:val="en-GB" w:eastAsia="en-GB"/>
    </w:rPr>
  </w:style>
  <w:style w:type="paragraph" w:customStyle="1" w:styleId="Default">
    <w:name w:val="Default"/>
    <w:rsid w:val="00823081"/>
    <w:pPr>
      <w:autoSpaceDE w:val="0"/>
      <w:autoSpaceDN w:val="0"/>
      <w:adjustRightInd w:val="0"/>
      <w:spacing w:after="0" w:line="240" w:lineRule="auto"/>
    </w:pPr>
    <w:rPr>
      <w:rFonts w:ascii="Times New Roman" w:hAnsi="Times New Roman" w:cs="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452303">
      <w:bodyDiv w:val="1"/>
      <w:marLeft w:val="0"/>
      <w:marRight w:val="0"/>
      <w:marTop w:val="0"/>
      <w:marBottom w:val="0"/>
      <w:divBdr>
        <w:top w:val="none" w:sz="0" w:space="0" w:color="auto"/>
        <w:left w:val="none" w:sz="0" w:space="0" w:color="auto"/>
        <w:bottom w:val="none" w:sz="0" w:space="0" w:color="auto"/>
        <w:right w:val="none" w:sz="0" w:space="0" w:color="auto"/>
      </w:divBdr>
    </w:div>
    <w:div w:id="190413031">
      <w:bodyDiv w:val="1"/>
      <w:marLeft w:val="0"/>
      <w:marRight w:val="0"/>
      <w:marTop w:val="0"/>
      <w:marBottom w:val="0"/>
      <w:divBdr>
        <w:top w:val="none" w:sz="0" w:space="0" w:color="auto"/>
        <w:left w:val="none" w:sz="0" w:space="0" w:color="auto"/>
        <w:bottom w:val="none" w:sz="0" w:space="0" w:color="auto"/>
        <w:right w:val="none" w:sz="0" w:space="0" w:color="auto"/>
      </w:divBdr>
    </w:div>
    <w:div w:id="347411590">
      <w:bodyDiv w:val="1"/>
      <w:marLeft w:val="0"/>
      <w:marRight w:val="0"/>
      <w:marTop w:val="0"/>
      <w:marBottom w:val="0"/>
      <w:divBdr>
        <w:top w:val="none" w:sz="0" w:space="0" w:color="auto"/>
        <w:left w:val="none" w:sz="0" w:space="0" w:color="auto"/>
        <w:bottom w:val="none" w:sz="0" w:space="0" w:color="auto"/>
        <w:right w:val="none" w:sz="0" w:space="0" w:color="auto"/>
      </w:divBdr>
      <w:divsChild>
        <w:div w:id="1722973034">
          <w:marLeft w:val="576"/>
          <w:marRight w:val="0"/>
          <w:marTop w:val="80"/>
          <w:marBottom w:val="0"/>
          <w:divBdr>
            <w:top w:val="none" w:sz="0" w:space="0" w:color="auto"/>
            <w:left w:val="none" w:sz="0" w:space="0" w:color="auto"/>
            <w:bottom w:val="none" w:sz="0" w:space="0" w:color="auto"/>
            <w:right w:val="none" w:sz="0" w:space="0" w:color="auto"/>
          </w:divBdr>
        </w:div>
        <w:div w:id="239870171">
          <w:marLeft w:val="576"/>
          <w:marRight w:val="0"/>
          <w:marTop w:val="80"/>
          <w:marBottom w:val="0"/>
          <w:divBdr>
            <w:top w:val="none" w:sz="0" w:space="0" w:color="auto"/>
            <w:left w:val="none" w:sz="0" w:space="0" w:color="auto"/>
            <w:bottom w:val="none" w:sz="0" w:space="0" w:color="auto"/>
            <w:right w:val="none" w:sz="0" w:space="0" w:color="auto"/>
          </w:divBdr>
        </w:div>
      </w:divsChild>
    </w:div>
    <w:div w:id="703793972">
      <w:bodyDiv w:val="1"/>
      <w:marLeft w:val="0"/>
      <w:marRight w:val="0"/>
      <w:marTop w:val="0"/>
      <w:marBottom w:val="0"/>
      <w:divBdr>
        <w:top w:val="none" w:sz="0" w:space="0" w:color="auto"/>
        <w:left w:val="none" w:sz="0" w:space="0" w:color="auto"/>
        <w:bottom w:val="none" w:sz="0" w:space="0" w:color="auto"/>
        <w:right w:val="none" w:sz="0" w:space="0" w:color="auto"/>
      </w:divBdr>
    </w:div>
    <w:div w:id="795803987">
      <w:bodyDiv w:val="1"/>
      <w:marLeft w:val="0"/>
      <w:marRight w:val="0"/>
      <w:marTop w:val="0"/>
      <w:marBottom w:val="0"/>
      <w:divBdr>
        <w:top w:val="none" w:sz="0" w:space="0" w:color="auto"/>
        <w:left w:val="none" w:sz="0" w:space="0" w:color="auto"/>
        <w:bottom w:val="none" w:sz="0" w:space="0" w:color="auto"/>
        <w:right w:val="none" w:sz="0" w:space="0" w:color="auto"/>
      </w:divBdr>
      <w:divsChild>
        <w:div w:id="249851351">
          <w:marLeft w:val="720"/>
          <w:marRight w:val="0"/>
          <w:marTop w:val="100"/>
          <w:marBottom w:val="0"/>
          <w:divBdr>
            <w:top w:val="none" w:sz="0" w:space="0" w:color="auto"/>
            <w:left w:val="none" w:sz="0" w:space="0" w:color="auto"/>
            <w:bottom w:val="none" w:sz="0" w:space="0" w:color="auto"/>
            <w:right w:val="none" w:sz="0" w:space="0" w:color="auto"/>
          </w:divBdr>
        </w:div>
        <w:div w:id="1597908639">
          <w:marLeft w:val="720"/>
          <w:marRight w:val="0"/>
          <w:marTop w:val="100"/>
          <w:marBottom w:val="0"/>
          <w:divBdr>
            <w:top w:val="none" w:sz="0" w:space="0" w:color="auto"/>
            <w:left w:val="none" w:sz="0" w:space="0" w:color="auto"/>
            <w:bottom w:val="none" w:sz="0" w:space="0" w:color="auto"/>
            <w:right w:val="none" w:sz="0" w:space="0" w:color="auto"/>
          </w:divBdr>
        </w:div>
        <w:div w:id="1311906222">
          <w:marLeft w:val="720"/>
          <w:marRight w:val="0"/>
          <w:marTop w:val="100"/>
          <w:marBottom w:val="0"/>
          <w:divBdr>
            <w:top w:val="none" w:sz="0" w:space="0" w:color="auto"/>
            <w:left w:val="none" w:sz="0" w:space="0" w:color="auto"/>
            <w:bottom w:val="none" w:sz="0" w:space="0" w:color="auto"/>
            <w:right w:val="none" w:sz="0" w:space="0" w:color="auto"/>
          </w:divBdr>
        </w:div>
        <w:div w:id="1574897574">
          <w:marLeft w:val="288"/>
          <w:marRight w:val="0"/>
          <w:marTop w:val="180"/>
          <w:marBottom w:val="0"/>
          <w:divBdr>
            <w:top w:val="none" w:sz="0" w:space="0" w:color="auto"/>
            <w:left w:val="none" w:sz="0" w:space="0" w:color="auto"/>
            <w:bottom w:val="none" w:sz="0" w:space="0" w:color="auto"/>
            <w:right w:val="none" w:sz="0" w:space="0" w:color="auto"/>
          </w:divBdr>
        </w:div>
        <w:div w:id="1400395867">
          <w:marLeft w:val="288"/>
          <w:marRight w:val="0"/>
          <w:marTop w:val="180"/>
          <w:marBottom w:val="0"/>
          <w:divBdr>
            <w:top w:val="none" w:sz="0" w:space="0" w:color="auto"/>
            <w:left w:val="none" w:sz="0" w:space="0" w:color="auto"/>
            <w:bottom w:val="none" w:sz="0" w:space="0" w:color="auto"/>
            <w:right w:val="none" w:sz="0" w:space="0" w:color="auto"/>
          </w:divBdr>
        </w:div>
        <w:div w:id="1525972899">
          <w:marLeft w:val="288"/>
          <w:marRight w:val="0"/>
          <w:marTop w:val="180"/>
          <w:marBottom w:val="0"/>
          <w:divBdr>
            <w:top w:val="none" w:sz="0" w:space="0" w:color="auto"/>
            <w:left w:val="none" w:sz="0" w:space="0" w:color="auto"/>
            <w:bottom w:val="none" w:sz="0" w:space="0" w:color="auto"/>
            <w:right w:val="none" w:sz="0" w:space="0" w:color="auto"/>
          </w:divBdr>
        </w:div>
      </w:divsChild>
    </w:div>
    <w:div w:id="974601427">
      <w:bodyDiv w:val="1"/>
      <w:marLeft w:val="0"/>
      <w:marRight w:val="0"/>
      <w:marTop w:val="0"/>
      <w:marBottom w:val="0"/>
      <w:divBdr>
        <w:top w:val="none" w:sz="0" w:space="0" w:color="auto"/>
        <w:left w:val="none" w:sz="0" w:space="0" w:color="auto"/>
        <w:bottom w:val="none" w:sz="0" w:space="0" w:color="auto"/>
        <w:right w:val="none" w:sz="0" w:space="0" w:color="auto"/>
      </w:divBdr>
      <w:divsChild>
        <w:div w:id="600843468">
          <w:marLeft w:val="576"/>
          <w:marRight w:val="0"/>
          <w:marTop w:val="80"/>
          <w:marBottom w:val="0"/>
          <w:divBdr>
            <w:top w:val="none" w:sz="0" w:space="0" w:color="auto"/>
            <w:left w:val="none" w:sz="0" w:space="0" w:color="auto"/>
            <w:bottom w:val="none" w:sz="0" w:space="0" w:color="auto"/>
            <w:right w:val="none" w:sz="0" w:space="0" w:color="auto"/>
          </w:divBdr>
        </w:div>
      </w:divsChild>
    </w:div>
    <w:div w:id="1000154809">
      <w:bodyDiv w:val="1"/>
      <w:marLeft w:val="0"/>
      <w:marRight w:val="0"/>
      <w:marTop w:val="0"/>
      <w:marBottom w:val="0"/>
      <w:divBdr>
        <w:top w:val="none" w:sz="0" w:space="0" w:color="auto"/>
        <w:left w:val="none" w:sz="0" w:space="0" w:color="auto"/>
        <w:bottom w:val="none" w:sz="0" w:space="0" w:color="auto"/>
        <w:right w:val="none" w:sz="0" w:space="0" w:color="auto"/>
      </w:divBdr>
    </w:div>
    <w:div w:id="1143815844">
      <w:bodyDiv w:val="1"/>
      <w:marLeft w:val="0"/>
      <w:marRight w:val="0"/>
      <w:marTop w:val="0"/>
      <w:marBottom w:val="0"/>
      <w:divBdr>
        <w:top w:val="none" w:sz="0" w:space="0" w:color="auto"/>
        <w:left w:val="none" w:sz="0" w:space="0" w:color="auto"/>
        <w:bottom w:val="none" w:sz="0" w:space="0" w:color="auto"/>
        <w:right w:val="none" w:sz="0" w:space="0" w:color="auto"/>
      </w:divBdr>
      <w:divsChild>
        <w:div w:id="52236718">
          <w:marLeft w:val="288"/>
          <w:marRight w:val="0"/>
          <w:marTop w:val="180"/>
          <w:marBottom w:val="0"/>
          <w:divBdr>
            <w:top w:val="none" w:sz="0" w:space="0" w:color="auto"/>
            <w:left w:val="none" w:sz="0" w:space="0" w:color="auto"/>
            <w:bottom w:val="none" w:sz="0" w:space="0" w:color="auto"/>
            <w:right w:val="none" w:sz="0" w:space="0" w:color="auto"/>
          </w:divBdr>
        </w:div>
        <w:div w:id="1771392513">
          <w:marLeft w:val="288"/>
          <w:marRight w:val="0"/>
          <w:marTop w:val="180"/>
          <w:marBottom w:val="0"/>
          <w:divBdr>
            <w:top w:val="none" w:sz="0" w:space="0" w:color="auto"/>
            <w:left w:val="none" w:sz="0" w:space="0" w:color="auto"/>
            <w:bottom w:val="none" w:sz="0" w:space="0" w:color="auto"/>
            <w:right w:val="none" w:sz="0" w:space="0" w:color="auto"/>
          </w:divBdr>
        </w:div>
        <w:div w:id="1671519277">
          <w:marLeft w:val="288"/>
          <w:marRight w:val="0"/>
          <w:marTop w:val="180"/>
          <w:marBottom w:val="0"/>
          <w:divBdr>
            <w:top w:val="none" w:sz="0" w:space="0" w:color="auto"/>
            <w:left w:val="none" w:sz="0" w:space="0" w:color="auto"/>
            <w:bottom w:val="none" w:sz="0" w:space="0" w:color="auto"/>
            <w:right w:val="none" w:sz="0" w:space="0" w:color="auto"/>
          </w:divBdr>
        </w:div>
      </w:divsChild>
    </w:div>
    <w:div w:id="1520974023">
      <w:bodyDiv w:val="1"/>
      <w:marLeft w:val="0"/>
      <w:marRight w:val="0"/>
      <w:marTop w:val="0"/>
      <w:marBottom w:val="0"/>
      <w:divBdr>
        <w:top w:val="none" w:sz="0" w:space="0" w:color="auto"/>
        <w:left w:val="none" w:sz="0" w:space="0" w:color="auto"/>
        <w:bottom w:val="none" w:sz="0" w:space="0" w:color="auto"/>
        <w:right w:val="none" w:sz="0" w:space="0" w:color="auto"/>
      </w:divBdr>
      <w:divsChild>
        <w:div w:id="738407066">
          <w:marLeft w:val="288"/>
          <w:marRight w:val="0"/>
          <w:marTop w:val="180"/>
          <w:marBottom w:val="0"/>
          <w:divBdr>
            <w:top w:val="none" w:sz="0" w:space="0" w:color="auto"/>
            <w:left w:val="none" w:sz="0" w:space="0" w:color="auto"/>
            <w:bottom w:val="none" w:sz="0" w:space="0" w:color="auto"/>
            <w:right w:val="none" w:sz="0" w:space="0" w:color="auto"/>
          </w:divBdr>
        </w:div>
        <w:div w:id="1945114574">
          <w:marLeft w:val="720"/>
          <w:marRight w:val="0"/>
          <w:marTop w:val="100"/>
          <w:marBottom w:val="0"/>
          <w:divBdr>
            <w:top w:val="none" w:sz="0" w:space="0" w:color="auto"/>
            <w:left w:val="none" w:sz="0" w:space="0" w:color="auto"/>
            <w:bottom w:val="none" w:sz="0" w:space="0" w:color="auto"/>
            <w:right w:val="none" w:sz="0" w:space="0" w:color="auto"/>
          </w:divBdr>
        </w:div>
        <w:div w:id="1578974978">
          <w:marLeft w:val="720"/>
          <w:marRight w:val="0"/>
          <w:marTop w:val="100"/>
          <w:marBottom w:val="0"/>
          <w:divBdr>
            <w:top w:val="none" w:sz="0" w:space="0" w:color="auto"/>
            <w:left w:val="none" w:sz="0" w:space="0" w:color="auto"/>
            <w:bottom w:val="none" w:sz="0" w:space="0" w:color="auto"/>
            <w:right w:val="none" w:sz="0" w:space="0" w:color="auto"/>
          </w:divBdr>
        </w:div>
        <w:div w:id="681860503">
          <w:marLeft w:val="720"/>
          <w:marRight w:val="0"/>
          <w:marTop w:val="100"/>
          <w:marBottom w:val="0"/>
          <w:divBdr>
            <w:top w:val="none" w:sz="0" w:space="0" w:color="auto"/>
            <w:left w:val="none" w:sz="0" w:space="0" w:color="auto"/>
            <w:bottom w:val="none" w:sz="0" w:space="0" w:color="auto"/>
            <w:right w:val="none" w:sz="0" w:space="0" w:color="auto"/>
          </w:divBdr>
        </w:div>
        <w:div w:id="30501471">
          <w:marLeft w:val="720"/>
          <w:marRight w:val="0"/>
          <w:marTop w:val="100"/>
          <w:marBottom w:val="0"/>
          <w:divBdr>
            <w:top w:val="none" w:sz="0" w:space="0" w:color="auto"/>
            <w:left w:val="none" w:sz="0" w:space="0" w:color="auto"/>
            <w:bottom w:val="none" w:sz="0" w:space="0" w:color="auto"/>
            <w:right w:val="none" w:sz="0" w:space="0" w:color="auto"/>
          </w:divBdr>
        </w:div>
      </w:divsChild>
    </w:div>
    <w:div w:id="1708486676">
      <w:bodyDiv w:val="1"/>
      <w:marLeft w:val="0"/>
      <w:marRight w:val="0"/>
      <w:marTop w:val="0"/>
      <w:marBottom w:val="0"/>
      <w:divBdr>
        <w:top w:val="none" w:sz="0" w:space="0" w:color="auto"/>
        <w:left w:val="none" w:sz="0" w:space="0" w:color="auto"/>
        <w:bottom w:val="none" w:sz="0" w:space="0" w:color="auto"/>
        <w:right w:val="none" w:sz="0" w:space="0" w:color="auto"/>
      </w:divBdr>
    </w:div>
    <w:div w:id="1843623357">
      <w:bodyDiv w:val="1"/>
      <w:marLeft w:val="0"/>
      <w:marRight w:val="0"/>
      <w:marTop w:val="0"/>
      <w:marBottom w:val="0"/>
      <w:divBdr>
        <w:top w:val="none" w:sz="0" w:space="0" w:color="auto"/>
        <w:left w:val="none" w:sz="0" w:space="0" w:color="auto"/>
        <w:bottom w:val="none" w:sz="0" w:space="0" w:color="auto"/>
        <w:right w:val="none" w:sz="0" w:space="0" w:color="auto"/>
      </w:divBdr>
    </w:div>
    <w:div w:id="1900901689">
      <w:bodyDiv w:val="1"/>
      <w:marLeft w:val="0"/>
      <w:marRight w:val="0"/>
      <w:marTop w:val="0"/>
      <w:marBottom w:val="0"/>
      <w:divBdr>
        <w:top w:val="none" w:sz="0" w:space="0" w:color="auto"/>
        <w:left w:val="none" w:sz="0" w:space="0" w:color="auto"/>
        <w:bottom w:val="none" w:sz="0" w:space="0" w:color="auto"/>
        <w:right w:val="none" w:sz="0" w:space="0" w:color="auto"/>
      </w:divBdr>
      <w:divsChild>
        <w:div w:id="2001274686">
          <w:marLeft w:val="576"/>
          <w:marRight w:val="0"/>
          <w:marTop w:val="80"/>
          <w:marBottom w:val="0"/>
          <w:divBdr>
            <w:top w:val="none" w:sz="0" w:space="0" w:color="auto"/>
            <w:left w:val="none" w:sz="0" w:space="0" w:color="auto"/>
            <w:bottom w:val="none" w:sz="0" w:space="0" w:color="auto"/>
            <w:right w:val="none" w:sz="0" w:space="0" w:color="auto"/>
          </w:divBdr>
        </w:div>
      </w:divsChild>
    </w:div>
    <w:div w:id="2113743404">
      <w:bodyDiv w:val="1"/>
      <w:marLeft w:val="0"/>
      <w:marRight w:val="0"/>
      <w:marTop w:val="0"/>
      <w:marBottom w:val="0"/>
      <w:divBdr>
        <w:top w:val="none" w:sz="0" w:space="0" w:color="auto"/>
        <w:left w:val="none" w:sz="0" w:space="0" w:color="auto"/>
        <w:bottom w:val="none" w:sz="0" w:space="0" w:color="auto"/>
        <w:right w:val="none" w:sz="0" w:space="0" w:color="auto"/>
      </w:divBdr>
      <w:divsChild>
        <w:div w:id="1084761961">
          <w:marLeft w:val="576"/>
          <w:marRight w:val="0"/>
          <w:marTop w:val="80"/>
          <w:marBottom w:val="0"/>
          <w:divBdr>
            <w:top w:val="none" w:sz="0" w:space="0" w:color="auto"/>
            <w:left w:val="none" w:sz="0" w:space="0" w:color="auto"/>
            <w:bottom w:val="none" w:sz="0" w:space="0" w:color="auto"/>
            <w:right w:val="none" w:sz="0" w:space="0" w:color="auto"/>
          </w:divBdr>
        </w:div>
      </w:divsChild>
    </w:div>
    <w:div w:id="2121021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doi.org/10.1080/09638199.2011.587019"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4.sv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yperlink" Target="https://doi.org/10.1016/j.jinteco.2015.01.01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61AC3A-5C26-48EF-8A02-93128735B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4400</Words>
  <Characters>25080</Characters>
  <Application>Microsoft Office Word</Application>
  <DocSecurity>0</DocSecurity>
  <Lines>209</Lines>
  <Paragraphs>58</Paragraphs>
  <ScaleCrop>false</ScaleCrop>
  <HeadingPairs>
    <vt:vector size="6" baseType="variant">
      <vt:variant>
        <vt:lpstr>Title</vt:lpstr>
      </vt:variant>
      <vt:variant>
        <vt:i4>1</vt:i4>
      </vt:variant>
      <vt:variant>
        <vt:lpstr>Konu Başlığı</vt:lpstr>
      </vt:variant>
      <vt:variant>
        <vt:i4>1</vt:i4>
      </vt:variant>
      <vt:variant>
        <vt:lpstr>Název</vt:lpstr>
      </vt:variant>
      <vt:variant>
        <vt:i4>1</vt:i4>
      </vt:variant>
    </vt:vector>
  </HeadingPairs>
  <TitlesOfParts>
    <vt:vector size="3" baseType="lpstr">
      <vt:lpstr/>
      <vt:lpstr/>
      <vt:lpstr/>
    </vt:vector>
  </TitlesOfParts>
  <Company>Maliye</Company>
  <LinksUpToDate>false</LinksUpToDate>
  <CharactersWithSpaces>29422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Mahmut Sasmaz</dc:creator>
  <cp:lastModifiedBy>Katerina Tosevska</cp:lastModifiedBy>
  <cp:revision>3</cp:revision>
  <dcterms:created xsi:type="dcterms:W3CDTF">2022-06-13T07:28:00Z</dcterms:created>
  <dcterms:modified xsi:type="dcterms:W3CDTF">2022-06-13T07:33:00Z</dcterms:modified>
</cp:coreProperties>
</file>