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AFB64" w14:textId="77777777" w:rsidR="00F93C5B" w:rsidRPr="0093679F" w:rsidRDefault="00F93C5B" w:rsidP="00F93C5B">
      <w:pPr>
        <w:spacing w:after="0"/>
        <w:ind w:firstLine="720"/>
        <w:rPr>
          <w:rStyle w:val="rynqvb"/>
          <w:rFonts w:ascii="Times New Roman" w:hAnsi="Times New Roman" w:cs="Times New Roman"/>
          <w:b/>
          <w:sz w:val="24"/>
          <w:szCs w:val="24"/>
          <w:lang w:val="en-US"/>
        </w:rPr>
      </w:pPr>
      <w:r w:rsidRPr="0093679F">
        <w:rPr>
          <w:rStyle w:val="rynqvb"/>
          <w:rFonts w:ascii="Times New Roman" w:hAnsi="Times New Roman" w:cs="Times New Roman"/>
          <w:b/>
          <w:sz w:val="24"/>
          <w:szCs w:val="24"/>
          <w:lang w:val="en-US"/>
        </w:rPr>
        <w:t>NATASHA DANILOSKA</w:t>
      </w:r>
      <w:r>
        <w:rPr>
          <w:rStyle w:val="FootnoteReference"/>
          <w:rFonts w:ascii="Times New Roman" w:hAnsi="Times New Roman" w:cs="Times New Roman"/>
          <w:b/>
          <w:sz w:val="24"/>
          <w:szCs w:val="24"/>
          <w:lang w:val="en-US"/>
        </w:rPr>
        <w:footnoteReference w:customMarkFollows="1" w:id="1"/>
        <w:t>*</w:t>
      </w:r>
    </w:p>
    <w:p w14:paraId="366B01DF" w14:textId="77777777" w:rsidR="00F93C5B" w:rsidRDefault="00F93C5B" w:rsidP="00F93C5B">
      <w:pPr>
        <w:spacing w:after="0"/>
        <w:ind w:firstLine="720"/>
        <w:rPr>
          <w:rStyle w:val="rynqvb"/>
          <w:rFonts w:ascii="Times New Roman" w:hAnsi="Times New Roman" w:cs="Times New Roman"/>
          <w:b/>
          <w:sz w:val="24"/>
          <w:szCs w:val="24"/>
          <w:lang w:val="en-US"/>
        </w:rPr>
      </w:pPr>
      <w:r w:rsidRPr="0093679F">
        <w:rPr>
          <w:rStyle w:val="rynqvb"/>
          <w:rFonts w:ascii="Times New Roman" w:hAnsi="Times New Roman" w:cs="Times New Roman"/>
          <w:b/>
          <w:sz w:val="24"/>
          <w:szCs w:val="24"/>
          <w:lang w:val="en-US"/>
        </w:rPr>
        <w:t>DIANA BOSHKOVSKA</w:t>
      </w:r>
      <w:r>
        <w:rPr>
          <w:rStyle w:val="FootnoteReference"/>
          <w:rFonts w:ascii="Times New Roman" w:hAnsi="Times New Roman" w:cs="Times New Roman"/>
          <w:b/>
          <w:sz w:val="24"/>
          <w:szCs w:val="24"/>
          <w:lang w:val="en-US"/>
        </w:rPr>
        <w:footnoteReference w:customMarkFollows="1" w:id="2"/>
        <w:t>**</w:t>
      </w:r>
    </w:p>
    <w:p w14:paraId="423399FC" w14:textId="77777777" w:rsidR="00F93C5B" w:rsidRDefault="00F93C5B" w:rsidP="00F93C5B">
      <w:pPr>
        <w:spacing w:after="0"/>
        <w:ind w:firstLine="720"/>
        <w:rPr>
          <w:rStyle w:val="rynqvb"/>
          <w:rFonts w:ascii="Times New Roman" w:hAnsi="Times New Roman" w:cs="Times New Roman"/>
          <w:b/>
          <w:sz w:val="24"/>
          <w:szCs w:val="24"/>
          <w:lang w:val="en-US"/>
        </w:rPr>
      </w:pPr>
    </w:p>
    <w:p w14:paraId="50A72772" w14:textId="77777777" w:rsidR="00F93C5B" w:rsidRPr="0093679F" w:rsidRDefault="00F93C5B" w:rsidP="00F93C5B">
      <w:pPr>
        <w:spacing w:after="0"/>
        <w:ind w:firstLine="720"/>
        <w:rPr>
          <w:rStyle w:val="rynqvb"/>
          <w:rFonts w:ascii="Times New Roman" w:hAnsi="Times New Roman" w:cs="Times New Roman"/>
          <w:b/>
          <w:sz w:val="24"/>
          <w:szCs w:val="24"/>
          <w:lang w:val="en-US"/>
        </w:rPr>
      </w:pPr>
    </w:p>
    <w:p w14:paraId="37A12485" w14:textId="77777777" w:rsidR="00F93C5B" w:rsidRDefault="00F93C5B" w:rsidP="00F93C5B">
      <w:pPr>
        <w:ind w:firstLine="720"/>
        <w:jc w:val="center"/>
        <w:rPr>
          <w:rStyle w:val="rynqvb"/>
          <w:rFonts w:ascii="Times New Roman" w:hAnsi="Times New Roman" w:cs="Times New Roman"/>
          <w:b/>
          <w:sz w:val="24"/>
          <w:szCs w:val="24"/>
          <w:lang w:val="en"/>
        </w:rPr>
      </w:pPr>
      <w:r w:rsidRPr="00722169">
        <w:rPr>
          <w:rStyle w:val="rynqvb"/>
          <w:rFonts w:ascii="Times New Roman" w:hAnsi="Times New Roman" w:cs="Times New Roman"/>
          <w:b/>
          <w:sz w:val="24"/>
          <w:szCs w:val="24"/>
          <w:lang w:val="en"/>
        </w:rPr>
        <w:t>DEMOGRAPHIC</w:t>
      </w:r>
      <w:r w:rsidRPr="009A667E">
        <w:rPr>
          <w:rStyle w:val="rynqvb"/>
          <w:rFonts w:ascii="Times New Roman" w:hAnsi="Times New Roman" w:cs="Times New Roman"/>
          <w:b/>
          <w:sz w:val="24"/>
          <w:szCs w:val="24"/>
          <w:lang w:val="en"/>
        </w:rPr>
        <w:t xml:space="preserve"> </w:t>
      </w:r>
      <w:r w:rsidRPr="008A55F7">
        <w:rPr>
          <w:rStyle w:val="rynqvb"/>
          <w:rFonts w:ascii="Times New Roman" w:hAnsi="Times New Roman" w:cs="Times New Roman"/>
          <w:b/>
          <w:sz w:val="24"/>
          <w:szCs w:val="24"/>
          <w:lang w:val="en"/>
        </w:rPr>
        <w:t>CHANGES</w:t>
      </w:r>
      <w:r>
        <w:rPr>
          <w:rStyle w:val="rynqvb"/>
          <w:rFonts w:ascii="Times New Roman" w:hAnsi="Times New Roman" w:cs="Times New Roman"/>
          <w:b/>
          <w:sz w:val="24"/>
          <w:szCs w:val="24"/>
          <w:lang w:val="en"/>
        </w:rPr>
        <w:t xml:space="preserve"> AND</w:t>
      </w:r>
      <w:r w:rsidRPr="00722169">
        <w:rPr>
          <w:rStyle w:val="rynqvb"/>
          <w:rFonts w:ascii="Times New Roman" w:hAnsi="Times New Roman" w:cs="Times New Roman"/>
          <w:b/>
          <w:sz w:val="24"/>
          <w:szCs w:val="24"/>
          <w:lang w:val="en"/>
        </w:rPr>
        <w:t xml:space="preserve"> ECONOMIC ACTIVITY IN THE VARDAR REGION</w:t>
      </w:r>
    </w:p>
    <w:p w14:paraId="3C02CF91" w14:textId="77777777" w:rsidR="00F93C5B" w:rsidRDefault="00F93C5B" w:rsidP="00F93C5B">
      <w:pPr>
        <w:ind w:firstLine="720"/>
        <w:jc w:val="center"/>
        <w:rPr>
          <w:rStyle w:val="rynqvb"/>
          <w:rFonts w:ascii="Times New Roman" w:hAnsi="Times New Roman" w:cs="Times New Roman"/>
          <w:b/>
          <w:sz w:val="24"/>
          <w:szCs w:val="24"/>
          <w:lang w:val="en"/>
        </w:rPr>
      </w:pPr>
    </w:p>
    <w:p w14:paraId="3975C8EE" w14:textId="77777777" w:rsidR="00465E0F" w:rsidRDefault="00F93C5B" w:rsidP="00465E0F">
      <w:pPr>
        <w:ind w:firstLine="720"/>
        <w:rPr>
          <w:rStyle w:val="rynqvb"/>
          <w:rFonts w:ascii="Times New Roman" w:hAnsi="Times New Roman" w:cs="Times New Roman"/>
          <w:b/>
          <w:sz w:val="24"/>
          <w:szCs w:val="24"/>
          <w:lang w:val="en"/>
        </w:rPr>
      </w:pPr>
      <w:r w:rsidRPr="00722169">
        <w:rPr>
          <w:rStyle w:val="rynqvb"/>
          <w:rFonts w:ascii="Times New Roman" w:hAnsi="Times New Roman" w:cs="Times New Roman"/>
          <w:b/>
          <w:sz w:val="24"/>
          <w:szCs w:val="24"/>
          <w:lang w:val="en"/>
        </w:rPr>
        <w:t>Abstract</w:t>
      </w:r>
    </w:p>
    <w:p w14:paraId="2F311745" w14:textId="77777777" w:rsidR="00465E0F" w:rsidRPr="00B61D39" w:rsidRDefault="00F93C5B" w:rsidP="00AF002D">
      <w:pPr>
        <w:spacing w:after="0"/>
        <w:jc w:val="both"/>
        <w:rPr>
          <w:rStyle w:val="rynqvb"/>
          <w:rFonts w:ascii="Times New Roman" w:hAnsi="Times New Roman" w:cs="Times New Roman"/>
          <w:b/>
          <w:sz w:val="24"/>
          <w:szCs w:val="24"/>
          <w:lang w:val="en"/>
        </w:rPr>
      </w:pPr>
      <w:r w:rsidRPr="00B61D39">
        <w:rPr>
          <w:rStyle w:val="rynqvb"/>
          <w:rFonts w:ascii="Times New Roman" w:hAnsi="Times New Roman" w:cs="Times New Roman"/>
          <w:sz w:val="24"/>
          <w:szCs w:val="24"/>
          <w:lang w:val="en"/>
        </w:rPr>
        <w:t xml:space="preserve">The results of the 2021 Census </w:t>
      </w:r>
      <w:r w:rsidR="000016C9" w:rsidRPr="00B61D39">
        <w:rPr>
          <w:rStyle w:val="rynqvb"/>
          <w:rFonts w:ascii="Times New Roman" w:hAnsi="Times New Roman" w:cs="Times New Roman"/>
          <w:sz w:val="24"/>
          <w:szCs w:val="24"/>
          <w:lang w:val="en"/>
        </w:rPr>
        <w:t>of Population</w:t>
      </w:r>
      <w:r w:rsidRPr="00B61D39">
        <w:rPr>
          <w:rStyle w:val="rynqvb"/>
          <w:rFonts w:ascii="Times New Roman" w:hAnsi="Times New Roman" w:cs="Times New Roman"/>
          <w:sz w:val="24"/>
          <w:szCs w:val="24"/>
          <w:lang w:val="en"/>
        </w:rPr>
        <w:t xml:space="preserve">, Households and </w:t>
      </w:r>
      <w:r w:rsidR="000016C9" w:rsidRPr="00B61D39">
        <w:rPr>
          <w:rFonts w:ascii="Times New Roman" w:hAnsi="Times New Roman" w:cs="Times New Roman"/>
          <w:sz w:val="24"/>
          <w:szCs w:val="24"/>
        </w:rPr>
        <w:t>dwellings</w:t>
      </w:r>
      <w:r w:rsidRPr="00B61D39">
        <w:rPr>
          <w:rStyle w:val="rynqvb"/>
          <w:rFonts w:ascii="Times New Roman" w:hAnsi="Times New Roman" w:cs="Times New Roman"/>
          <w:sz w:val="24"/>
          <w:szCs w:val="24"/>
          <w:lang w:val="en"/>
        </w:rPr>
        <w:t xml:space="preserve"> showed that in the first decades of the 21</w:t>
      </w:r>
      <w:r w:rsidRPr="00B61D39">
        <w:rPr>
          <w:rStyle w:val="rynqvb"/>
          <w:rFonts w:ascii="Times New Roman" w:hAnsi="Times New Roman" w:cs="Times New Roman"/>
          <w:sz w:val="24"/>
          <w:szCs w:val="24"/>
          <w:vertAlign w:val="superscript"/>
          <w:lang w:val="en"/>
        </w:rPr>
        <w:t xml:space="preserve">st </w:t>
      </w:r>
      <w:r w:rsidRPr="00B61D39">
        <w:rPr>
          <w:rStyle w:val="rynqvb"/>
          <w:rFonts w:ascii="Times New Roman" w:hAnsi="Times New Roman" w:cs="Times New Roman"/>
          <w:sz w:val="24"/>
          <w:szCs w:val="24"/>
          <w:lang w:val="en"/>
        </w:rPr>
        <w:t>century in the Republic of North Macedonia, there was a decline in the total resident population and hinted at unfavorable demographic changes.</w:t>
      </w:r>
      <w:r w:rsidRPr="00B61D39">
        <w:rPr>
          <w:rStyle w:val="hwtze"/>
          <w:rFonts w:ascii="Times New Roman" w:hAnsi="Times New Roman" w:cs="Times New Roman"/>
          <w:sz w:val="24"/>
          <w:szCs w:val="24"/>
          <w:lang w:val="en"/>
        </w:rPr>
        <w:t xml:space="preserve"> </w:t>
      </w:r>
      <w:r w:rsidRPr="00B61D39">
        <w:rPr>
          <w:rStyle w:val="rynqvb"/>
          <w:rFonts w:ascii="Times New Roman" w:hAnsi="Times New Roman" w:cs="Times New Roman"/>
          <w:sz w:val="24"/>
          <w:szCs w:val="24"/>
          <w:lang w:val="en"/>
        </w:rPr>
        <w:t xml:space="preserve">These changes will undoubtedly have implications for the future development of the population, socio-economic and regional development. </w:t>
      </w:r>
    </w:p>
    <w:p w14:paraId="691E2650" w14:textId="3D97C5A5" w:rsidR="00F93C5B" w:rsidRPr="00B61D39" w:rsidRDefault="00F93C5B" w:rsidP="00465E0F">
      <w:pPr>
        <w:jc w:val="both"/>
        <w:rPr>
          <w:rStyle w:val="rynqvb"/>
          <w:rFonts w:ascii="Times New Roman" w:hAnsi="Times New Roman" w:cs="Times New Roman"/>
          <w:b/>
          <w:sz w:val="24"/>
          <w:szCs w:val="24"/>
          <w:lang w:val="en"/>
        </w:rPr>
      </w:pPr>
      <w:r w:rsidRPr="00B61D39">
        <w:rPr>
          <w:rStyle w:val="rynqvb"/>
          <w:rFonts w:ascii="Times New Roman" w:hAnsi="Times New Roman" w:cs="Times New Roman"/>
          <w:sz w:val="24"/>
          <w:szCs w:val="24"/>
          <w:lang w:val="en"/>
        </w:rPr>
        <w:t>In this paper</w:t>
      </w:r>
      <w:r w:rsidR="000D760E">
        <w:rPr>
          <w:rStyle w:val="FootnoteReference"/>
          <w:rFonts w:ascii="Times New Roman" w:hAnsi="Times New Roman" w:cs="Times New Roman"/>
          <w:sz w:val="24"/>
          <w:szCs w:val="24"/>
          <w:lang w:val="en"/>
        </w:rPr>
        <w:footnoteReference w:id="3"/>
      </w:r>
      <w:r w:rsidRPr="00B61D39">
        <w:rPr>
          <w:rStyle w:val="rynqvb"/>
          <w:rFonts w:ascii="Times New Roman" w:hAnsi="Times New Roman" w:cs="Times New Roman"/>
          <w:sz w:val="24"/>
          <w:szCs w:val="24"/>
          <w:lang w:val="en"/>
        </w:rPr>
        <w:t>, through available data from secondary sources, the Vardar region is analyzed as one of the eight non-administrative units-statistical regions in the Republic of North Macedonia.</w:t>
      </w:r>
      <w:r w:rsidRPr="00B61D39">
        <w:rPr>
          <w:rStyle w:val="hwtze"/>
          <w:rFonts w:ascii="Times New Roman" w:hAnsi="Times New Roman" w:cs="Times New Roman"/>
          <w:sz w:val="24"/>
          <w:szCs w:val="24"/>
          <w:lang w:val="en"/>
        </w:rPr>
        <w:t xml:space="preserve"> </w:t>
      </w:r>
      <w:r w:rsidRPr="00B61D39">
        <w:rPr>
          <w:rStyle w:val="rynqvb"/>
          <w:rFonts w:ascii="Times New Roman" w:hAnsi="Times New Roman" w:cs="Times New Roman"/>
          <w:sz w:val="24"/>
          <w:szCs w:val="24"/>
          <w:lang w:val="en"/>
        </w:rPr>
        <w:t>The available human resources and their economic characteristics (working</w:t>
      </w:r>
      <w:r w:rsidR="00F93F8B" w:rsidRPr="00B61D39">
        <w:rPr>
          <w:rStyle w:val="rynqvb"/>
          <w:rFonts w:ascii="Times New Roman" w:hAnsi="Times New Roman" w:cs="Times New Roman"/>
          <w:sz w:val="24"/>
          <w:szCs w:val="24"/>
          <w:lang w:val="en"/>
        </w:rPr>
        <w:t xml:space="preserve"> age</w:t>
      </w:r>
      <w:r w:rsidRPr="00B61D39">
        <w:rPr>
          <w:rStyle w:val="rynqvb"/>
          <w:rFonts w:ascii="Times New Roman" w:hAnsi="Times New Roman" w:cs="Times New Roman"/>
          <w:sz w:val="24"/>
          <w:szCs w:val="24"/>
          <w:lang w:val="en"/>
        </w:rPr>
        <w:t xml:space="preserve"> population and labor force) are perceived from the data of the two consecutive censuses 2002 and 2021.</w:t>
      </w:r>
      <w:r w:rsidRPr="00B61D39">
        <w:rPr>
          <w:rStyle w:val="hwtze"/>
          <w:rFonts w:ascii="Times New Roman" w:hAnsi="Times New Roman" w:cs="Times New Roman"/>
          <w:sz w:val="24"/>
          <w:szCs w:val="24"/>
          <w:lang w:val="en"/>
        </w:rPr>
        <w:t xml:space="preserve"> </w:t>
      </w:r>
      <w:r w:rsidRPr="00B61D39">
        <w:rPr>
          <w:rStyle w:val="rynqvb"/>
          <w:rFonts w:ascii="Times New Roman" w:hAnsi="Times New Roman" w:cs="Times New Roman"/>
          <w:sz w:val="24"/>
          <w:szCs w:val="24"/>
          <w:lang w:val="en"/>
        </w:rPr>
        <w:t xml:space="preserve">Also, some indicators of the economic activity of the Vardar region are analyzed (GDP per capita, GDP index, </w:t>
      </w:r>
      <w:r w:rsidR="00F93F8B" w:rsidRPr="00B61D39">
        <w:rPr>
          <w:rStyle w:val="rynqvb"/>
          <w:rFonts w:ascii="Times New Roman" w:hAnsi="Times New Roman" w:cs="Times New Roman"/>
          <w:sz w:val="24"/>
          <w:szCs w:val="24"/>
          <w:lang w:val="en"/>
        </w:rPr>
        <w:t>G</w:t>
      </w:r>
      <w:r w:rsidRPr="00B61D39">
        <w:rPr>
          <w:rStyle w:val="rynqvb"/>
          <w:rFonts w:ascii="Times New Roman" w:hAnsi="Times New Roman" w:cs="Times New Roman"/>
          <w:sz w:val="24"/>
          <w:szCs w:val="24"/>
          <w:lang w:val="en"/>
        </w:rPr>
        <w:t>ross value added by sectors of activity</w:t>
      </w:r>
      <w:r w:rsidRPr="00B61D39">
        <w:rPr>
          <w:rStyle w:val="rynqvb"/>
          <w:rFonts w:ascii="Times New Roman" w:hAnsi="Times New Roman" w:cs="Times New Roman"/>
          <w:sz w:val="24"/>
          <w:szCs w:val="24"/>
          <w:lang w:val="mk-MK"/>
        </w:rPr>
        <w:t xml:space="preserve">, </w:t>
      </w:r>
      <w:r w:rsidR="00F93F8B" w:rsidRPr="00B61D39">
        <w:rPr>
          <w:rStyle w:val="rynqvb"/>
          <w:rFonts w:ascii="Times New Roman" w:hAnsi="Times New Roman" w:cs="Times New Roman"/>
          <w:sz w:val="24"/>
          <w:szCs w:val="24"/>
          <w:lang w:val="en-US"/>
        </w:rPr>
        <w:t>Gross fixed capital formation by sector of activity</w:t>
      </w:r>
      <w:r w:rsidRPr="00B61D39">
        <w:rPr>
          <w:rStyle w:val="rynqvb"/>
          <w:rFonts w:ascii="Times New Roman" w:hAnsi="Times New Roman" w:cs="Times New Roman"/>
          <w:sz w:val="24"/>
          <w:szCs w:val="24"/>
          <w:lang w:val="en"/>
        </w:rPr>
        <w:t xml:space="preserve"> and number of active </w:t>
      </w:r>
      <w:r w:rsidR="00F93F8B" w:rsidRPr="00B61D39">
        <w:rPr>
          <w:rStyle w:val="rynqvb"/>
          <w:rFonts w:ascii="Times New Roman" w:hAnsi="Times New Roman" w:cs="Times New Roman"/>
          <w:sz w:val="24"/>
          <w:szCs w:val="24"/>
          <w:lang w:val="en"/>
        </w:rPr>
        <w:t>enterprises</w:t>
      </w:r>
      <w:r w:rsidRPr="00B61D39">
        <w:rPr>
          <w:rStyle w:val="rynqvb"/>
          <w:rFonts w:ascii="Times New Roman" w:hAnsi="Times New Roman" w:cs="Times New Roman"/>
          <w:sz w:val="24"/>
          <w:szCs w:val="24"/>
          <w:lang w:val="en"/>
        </w:rPr>
        <w:t>) for the period 2010-2021.</w:t>
      </w:r>
      <w:r w:rsidRPr="00B61D39">
        <w:rPr>
          <w:rStyle w:val="hwtze"/>
          <w:rFonts w:ascii="Times New Roman" w:hAnsi="Times New Roman" w:cs="Times New Roman"/>
          <w:sz w:val="24"/>
          <w:szCs w:val="24"/>
          <w:lang w:val="en"/>
        </w:rPr>
        <w:t xml:space="preserve"> </w:t>
      </w:r>
      <w:r w:rsidRPr="00B61D39">
        <w:rPr>
          <w:rStyle w:val="rynqvb"/>
          <w:rFonts w:ascii="Times New Roman" w:hAnsi="Times New Roman" w:cs="Times New Roman"/>
          <w:sz w:val="24"/>
          <w:szCs w:val="24"/>
          <w:lang w:val="en"/>
        </w:rPr>
        <w:t xml:space="preserve">The identified </w:t>
      </w:r>
      <w:r w:rsidRPr="00B61D39">
        <w:rPr>
          <w:rStyle w:val="rynqvb"/>
          <w:rFonts w:ascii="Times New Roman" w:hAnsi="Times New Roman" w:cs="Times New Roman"/>
          <w:sz w:val="24"/>
          <w:szCs w:val="24"/>
          <w:lang w:val="en-US"/>
        </w:rPr>
        <w:t>changes</w:t>
      </w:r>
      <w:r w:rsidRPr="00B61D39">
        <w:rPr>
          <w:rStyle w:val="rynqvb"/>
          <w:rFonts w:ascii="Times New Roman" w:hAnsi="Times New Roman" w:cs="Times New Roman"/>
          <w:sz w:val="24"/>
          <w:szCs w:val="24"/>
          <w:lang w:val="en"/>
        </w:rPr>
        <w:t xml:space="preserve"> of the basic demographic and socio-economic characteristics of the population and economic activity in the Vardar region can serve in the creation of appropriate policies, measures and activities for its development.</w:t>
      </w:r>
    </w:p>
    <w:p w14:paraId="44B0CD5D" w14:textId="77777777" w:rsidR="00F93C5B" w:rsidRPr="00B61D39" w:rsidRDefault="00F93C5B" w:rsidP="00F93C5B">
      <w:pPr>
        <w:spacing w:after="0"/>
        <w:ind w:firstLine="720"/>
        <w:jc w:val="both"/>
        <w:rPr>
          <w:rFonts w:ascii="Times New Roman" w:hAnsi="Times New Roman" w:cs="Times New Roman"/>
          <w:b/>
          <w:sz w:val="24"/>
          <w:szCs w:val="24"/>
          <w:lang w:val="en-US"/>
        </w:rPr>
      </w:pPr>
    </w:p>
    <w:p w14:paraId="4DC33DC1" w14:textId="77777777" w:rsidR="00F93C5B" w:rsidRPr="00B61D39" w:rsidRDefault="00F93C5B" w:rsidP="00F93C5B">
      <w:pPr>
        <w:ind w:firstLine="720"/>
        <w:jc w:val="both"/>
        <w:rPr>
          <w:rFonts w:ascii="Times New Roman" w:hAnsi="Times New Roman" w:cs="Times New Roman"/>
          <w:b/>
          <w:sz w:val="24"/>
          <w:szCs w:val="24"/>
          <w:lang w:val="en-US"/>
        </w:rPr>
      </w:pPr>
      <w:r w:rsidRPr="00B61D39">
        <w:rPr>
          <w:rFonts w:ascii="Times New Roman" w:hAnsi="Times New Roman" w:cs="Times New Roman"/>
          <w:b/>
          <w:sz w:val="24"/>
          <w:szCs w:val="24"/>
          <w:lang w:val="en-US"/>
        </w:rPr>
        <w:t>Key words: Vardar region, population, demographic changes, socio-economic indicators</w:t>
      </w:r>
    </w:p>
    <w:p w14:paraId="5624EE34" w14:textId="77777777" w:rsidR="00F93C5B" w:rsidRPr="00B61D39" w:rsidRDefault="00F93C5B" w:rsidP="00F93C5B">
      <w:pPr>
        <w:ind w:firstLine="720"/>
        <w:jc w:val="both"/>
        <w:rPr>
          <w:rFonts w:ascii="Times New Roman" w:hAnsi="Times New Roman" w:cs="Times New Roman"/>
          <w:b/>
          <w:sz w:val="24"/>
          <w:szCs w:val="24"/>
          <w:lang w:val="en-US"/>
        </w:rPr>
      </w:pPr>
      <w:r w:rsidRPr="00B61D39">
        <w:rPr>
          <w:rFonts w:ascii="Times New Roman" w:hAnsi="Times New Roman" w:cs="Times New Roman"/>
          <w:b/>
          <w:sz w:val="24"/>
          <w:szCs w:val="24"/>
          <w:lang w:val="en-US"/>
        </w:rPr>
        <w:t>JEL classification: J11, J21</w:t>
      </w:r>
    </w:p>
    <w:p w14:paraId="33D3E1A0" w14:textId="23072F0E" w:rsidR="00F93C5B" w:rsidRPr="00B61D39" w:rsidRDefault="00F93C5B" w:rsidP="002E0555">
      <w:pPr>
        <w:ind w:firstLine="720"/>
        <w:jc w:val="center"/>
        <w:rPr>
          <w:rStyle w:val="rynqvb"/>
          <w:rFonts w:ascii="Times New Roman" w:hAnsi="Times New Roman" w:cs="Times New Roman"/>
          <w:b/>
          <w:bCs/>
          <w:sz w:val="24"/>
          <w:szCs w:val="24"/>
          <w:lang w:val="en"/>
        </w:rPr>
      </w:pPr>
    </w:p>
    <w:p w14:paraId="192C32D2" w14:textId="177D2A3A" w:rsidR="005D3543" w:rsidRPr="00B61D39" w:rsidRDefault="00B66BFC" w:rsidP="00B66BFC">
      <w:pPr>
        <w:ind w:firstLine="720"/>
        <w:rPr>
          <w:rFonts w:ascii="Times New Roman" w:hAnsi="Times New Roman" w:cs="Times New Roman"/>
          <w:b/>
          <w:sz w:val="24"/>
          <w:szCs w:val="24"/>
          <w:lang w:val="mk-MK"/>
        </w:rPr>
      </w:pPr>
      <w:r w:rsidRPr="00B61D39">
        <w:rPr>
          <w:rFonts w:ascii="Times New Roman" w:hAnsi="Times New Roman" w:cs="Times New Roman"/>
          <w:b/>
          <w:sz w:val="24"/>
          <w:szCs w:val="24"/>
          <w:lang w:val="en-US"/>
        </w:rPr>
        <w:t>Introduction</w:t>
      </w:r>
    </w:p>
    <w:p w14:paraId="28B4E9E1" w14:textId="44250C42" w:rsidR="00026EEC" w:rsidRPr="00B61D39" w:rsidRDefault="00026EEC" w:rsidP="00AF002D">
      <w:pPr>
        <w:spacing w:after="0"/>
        <w:jc w:val="both"/>
        <w:rPr>
          <w:rStyle w:val="rynqvb"/>
          <w:rFonts w:ascii="Times New Roman" w:hAnsi="Times New Roman" w:cs="Times New Roman"/>
          <w:sz w:val="24"/>
          <w:szCs w:val="24"/>
          <w:lang w:val="en"/>
        </w:rPr>
      </w:pPr>
      <w:r w:rsidRPr="00B61D39">
        <w:rPr>
          <w:rStyle w:val="rynqvb"/>
          <w:rFonts w:ascii="Times New Roman" w:hAnsi="Times New Roman" w:cs="Times New Roman"/>
          <w:sz w:val="24"/>
          <w:szCs w:val="24"/>
          <w:lang w:val="en"/>
        </w:rPr>
        <w:t xml:space="preserve">In the </w:t>
      </w:r>
      <w:r w:rsidR="00465E0F" w:rsidRPr="00B61D39">
        <w:rPr>
          <w:rStyle w:val="rynqvb"/>
          <w:rFonts w:ascii="Times New Roman" w:hAnsi="Times New Roman" w:cs="Times New Roman"/>
          <w:sz w:val="24"/>
          <w:szCs w:val="24"/>
          <w:lang w:val="en"/>
        </w:rPr>
        <w:t>RN</w:t>
      </w:r>
      <w:r w:rsidRPr="00B61D39">
        <w:rPr>
          <w:rStyle w:val="rynqvb"/>
          <w:rFonts w:ascii="Times New Roman" w:hAnsi="Times New Roman" w:cs="Times New Roman"/>
          <w:sz w:val="24"/>
          <w:szCs w:val="24"/>
          <w:lang w:val="en"/>
        </w:rPr>
        <w:t xml:space="preserve"> Macedonia</w:t>
      </w:r>
      <w:r w:rsidR="00D53C6E" w:rsidRPr="00B61D39">
        <w:rPr>
          <w:rStyle w:val="rynqvb"/>
          <w:rFonts w:ascii="Times New Roman" w:hAnsi="Times New Roman" w:cs="Times New Roman"/>
          <w:sz w:val="24"/>
          <w:szCs w:val="24"/>
          <w:lang w:val="en"/>
        </w:rPr>
        <w:t>,</w:t>
      </w:r>
      <w:r w:rsidRPr="00B61D39">
        <w:rPr>
          <w:rStyle w:val="rynqvb"/>
          <w:rFonts w:ascii="Times New Roman" w:hAnsi="Times New Roman" w:cs="Times New Roman"/>
          <w:sz w:val="24"/>
          <w:szCs w:val="24"/>
          <w:lang w:val="en"/>
        </w:rPr>
        <w:t xml:space="preserve"> a period of 20 years passed between the two last censuses of 2002 and 2021.</w:t>
      </w:r>
      <w:r w:rsidRPr="00B61D39">
        <w:rPr>
          <w:rStyle w:val="hwtze"/>
          <w:rFonts w:ascii="Times New Roman" w:hAnsi="Times New Roman" w:cs="Times New Roman"/>
          <w:sz w:val="24"/>
          <w:szCs w:val="24"/>
          <w:lang w:val="en"/>
        </w:rPr>
        <w:t xml:space="preserve"> </w:t>
      </w:r>
      <w:r w:rsidRPr="00B61D39">
        <w:rPr>
          <w:rStyle w:val="rynqvb"/>
          <w:rFonts w:ascii="Times New Roman" w:hAnsi="Times New Roman" w:cs="Times New Roman"/>
          <w:sz w:val="24"/>
          <w:szCs w:val="24"/>
          <w:lang w:val="en"/>
        </w:rPr>
        <w:t xml:space="preserve">That in itself is an incentive to analyze the demographic changes that occurred during this time period. In this paper, Vardar region as one of the eight statistical regions in the </w:t>
      </w:r>
      <w:r w:rsidR="00465E0F" w:rsidRPr="00B61D39">
        <w:rPr>
          <w:rStyle w:val="rynqvb"/>
          <w:rFonts w:ascii="Times New Roman" w:hAnsi="Times New Roman" w:cs="Times New Roman"/>
          <w:sz w:val="24"/>
          <w:szCs w:val="24"/>
          <w:lang w:val="en"/>
        </w:rPr>
        <w:t>RN</w:t>
      </w:r>
      <w:r w:rsidRPr="00B61D39">
        <w:rPr>
          <w:rStyle w:val="rynqvb"/>
          <w:rFonts w:ascii="Times New Roman" w:hAnsi="Times New Roman" w:cs="Times New Roman"/>
          <w:sz w:val="24"/>
          <w:szCs w:val="24"/>
          <w:lang w:val="en"/>
        </w:rPr>
        <w:t xml:space="preserve"> Macedonia</w:t>
      </w:r>
      <w:r w:rsidR="00F93F8B" w:rsidRPr="00B61D39">
        <w:rPr>
          <w:rStyle w:val="rynqvb"/>
          <w:rFonts w:ascii="Times New Roman" w:hAnsi="Times New Roman" w:cs="Times New Roman"/>
          <w:sz w:val="24"/>
          <w:szCs w:val="24"/>
          <w:lang w:val="en"/>
        </w:rPr>
        <w:t xml:space="preserve"> is analyzed</w:t>
      </w:r>
      <w:r w:rsidRPr="00B61D39">
        <w:rPr>
          <w:rStyle w:val="rynqvb"/>
          <w:rFonts w:ascii="Times New Roman" w:hAnsi="Times New Roman" w:cs="Times New Roman"/>
          <w:sz w:val="24"/>
          <w:szCs w:val="24"/>
          <w:lang w:val="en"/>
        </w:rPr>
        <w:t>.</w:t>
      </w:r>
      <w:r w:rsidRPr="00B61D39">
        <w:rPr>
          <w:rStyle w:val="hwtze"/>
          <w:rFonts w:ascii="Times New Roman" w:hAnsi="Times New Roman" w:cs="Times New Roman"/>
          <w:sz w:val="24"/>
          <w:szCs w:val="24"/>
          <w:lang w:val="en"/>
        </w:rPr>
        <w:t xml:space="preserve"> </w:t>
      </w:r>
    </w:p>
    <w:p w14:paraId="478E71E3" w14:textId="7C51FE58" w:rsidR="00465E0F" w:rsidRPr="00B61D39" w:rsidRDefault="00026EEC" w:rsidP="00AF002D">
      <w:pPr>
        <w:spacing w:after="0"/>
        <w:jc w:val="both"/>
        <w:rPr>
          <w:rStyle w:val="rynqvb"/>
          <w:rFonts w:ascii="Times New Roman" w:hAnsi="Times New Roman" w:cs="Times New Roman"/>
          <w:sz w:val="24"/>
          <w:szCs w:val="24"/>
          <w:lang w:val="en"/>
        </w:rPr>
      </w:pPr>
      <w:r w:rsidRPr="00B61D39">
        <w:rPr>
          <w:rStyle w:val="rynqvb"/>
          <w:rFonts w:ascii="Times New Roman" w:hAnsi="Times New Roman" w:cs="Times New Roman"/>
          <w:sz w:val="24"/>
          <w:szCs w:val="24"/>
          <w:lang w:val="en"/>
        </w:rPr>
        <w:t xml:space="preserve">The analyzes </w:t>
      </w:r>
      <w:r w:rsidR="00F93F8B" w:rsidRPr="00B61D39">
        <w:rPr>
          <w:rStyle w:val="rynqvb"/>
          <w:rFonts w:ascii="Times New Roman" w:hAnsi="Times New Roman" w:cs="Times New Roman"/>
          <w:sz w:val="24"/>
          <w:szCs w:val="24"/>
          <w:lang w:val="en"/>
        </w:rPr>
        <w:t xml:space="preserve">begins with comparison of </w:t>
      </w:r>
      <w:r w:rsidRPr="00B61D39">
        <w:rPr>
          <w:rStyle w:val="rynqvb"/>
          <w:rFonts w:ascii="Times New Roman" w:hAnsi="Times New Roman" w:cs="Times New Roman"/>
          <w:sz w:val="24"/>
          <w:szCs w:val="24"/>
          <w:lang w:val="en"/>
        </w:rPr>
        <w:t xml:space="preserve">the demographic changes that occurred in this region </w:t>
      </w:r>
      <w:r w:rsidR="000016C9" w:rsidRPr="00B61D39">
        <w:rPr>
          <w:rStyle w:val="rynqvb"/>
          <w:rFonts w:ascii="Times New Roman" w:hAnsi="Times New Roman" w:cs="Times New Roman"/>
          <w:sz w:val="24"/>
          <w:szCs w:val="24"/>
          <w:lang w:val="en"/>
        </w:rPr>
        <w:t>between two</w:t>
      </w:r>
      <w:r w:rsidRPr="00B61D39">
        <w:rPr>
          <w:rStyle w:val="rynqvb"/>
          <w:rFonts w:ascii="Times New Roman" w:hAnsi="Times New Roman" w:cs="Times New Roman"/>
          <w:sz w:val="24"/>
          <w:szCs w:val="24"/>
          <w:lang w:val="en"/>
        </w:rPr>
        <w:t xml:space="preserve"> censuses of 2002 and 2021.</w:t>
      </w:r>
      <w:r w:rsidRPr="00B61D39">
        <w:rPr>
          <w:rStyle w:val="hwtze"/>
          <w:rFonts w:ascii="Times New Roman" w:hAnsi="Times New Roman" w:cs="Times New Roman"/>
          <w:sz w:val="24"/>
          <w:szCs w:val="24"/>
          <w:lang w:val="en"/>
        </w:rPr>
        <w:t xml:space="preserve"> </w:t>
      </w:r>
      <w:r w:rsidR="00E71E67" w:rsidRPr="00B61D39">
        <w:rPr>
          <w:rStyle w:val="rynqvb"/>
          <w:rFonts w:ascii="Times New Roman" w:hAnsi="Times New Roman" w:cs="Times New Roman"/>
          <w:sz w:val="24"/>
          <w:szCs w:val="24"/>
          <w:lang w:val="en"/>
        </w:rPr>
        <w:t>T</w:t>
      </w:r>
      <w:r w:rsidRPr="00B61D39">
        <w:rPr>
          <w:rStyle w:val="rynqvb"/>
          <w:rFonts w:ascii="Times New Roman" w:hAnsi="Times New Roman" w:cs="Times New Roman"/>
          <w:sz w:val="24"/>
          <w:szCs w:val="24"/>
          <w:lang w:val="en"/>
        </w:rPr>
        <w:t xml:space="preserve">he changes in the total population and the population </w:t>
      </w:r>
      <w:r w:rsidRPr="00B61D39">
        <w:rPr>
          <w:rStyle w:val="rynqvb"/>
          <w:rFonts w:ascii="Times New Roman" w:hAnsi="Times New Roman" w:cs="Times New Roman"/>
          <w:sz w:val="24"/>
          <w:szCs w:val="24"/>
          <w:lang w:val="en"/>
        </w:rPr>
        <w:lastRenderedPageBreak/>
        <w:t xml:space="preserve">density, then the number and </w:t>
      </w:r>
      <w:r w:rsidR="00465E0F" w:rsidRPr="00B61D39">
        <w:rPr>
          <w:rStyle w:val="rynqvb"/>
          <w:rFonts w:ascii="Times New Roman" w:hAnsi="Times New Roman" w:cs="Times New Roman"/>
          <w:sz w:val="24"/>
          <w:szCs w:val="24"/>
          <w:lang w:val="en"/>
        </w:rPr>
        <w:t>percentage share</w:t>
      </w:r>
      <w:r w:rsidRPr="00B61D39">
        <w:rPr>
          <w:rStyle w:val="rynqvb"/>
          <w:rFonts w:ascii="Times New Roman" w:hAnsi="Times New Roman" w:cs="Times New Roman"/>
          <w:sz w:val="24"/>
          <w:szCs w:val="24"/>
          <w:lang w:val="en"/>
        </w:rPr>
        <w:t xml:space="preserve"> of the population by age groups and </w:t>
      </w:r>
      <w:r w:rsidR="00F93F8B" w:rsidRPr="00B61D39">
        <w:rPr>
          <w:rStyle w:val="rynqvb"/>
          <w:rFonts w:ascii="Times New Roman" w:hAnsi="Times New Roman" w:cs="Times New Roman"/>
          <w:sz w:val="24"/>
          <w:szCs w:val="24"/>
          <w:lang w:val="en"/>
        </w:rPr>
        <w:t>educational attainment</w:t>
      </w:r>
      <w:r w:rsidRPr="00B61D39">
        <w:rPr>
          <w:rStyle w:val="rynqvb"/>
          <w:rFonts w:ascii="Times New Roman" w:hAnsi="Times New Roman" w:cs="Times New Roman"/>
          <w:sz w:val="24"/>
          <w:szCs w:val="24"/>
          <w:lang w:val="en"/>
        </w:rPr>
        <w:t xml:space="preserve">, </w:t>
      </w:r>
      <w:r w:rsidR="00F93F8B" w:rsidRPr="00B61D39">
        <w:rPr>
          <w:rStyle w:val="rynqvb"/>
          <w:rFonts w:ascii="Times New Roman" w:hAnsi="Times New Roman" w:cs="Times New Roman"/>
          <w:sz w:val="24"/>
          <w:szCs w:val="24"/>
          <w:lang w:val="en"/>
        </w:rPr>
        <w:t>rates</w:t>
      </w:r>
      <w:r w:rsidRPr="00B61D39">
        <w:rPr>
          <w:rStyle w:val="rynqvb"/>
          <w:rFonts w:ascii="Times New Roman" w:hAnsi="Times New Roman" w:cs="Times New Roman"/>
          <w:sz w:val="24"/>
          <w:szCs w:val="24"/>
          <w:lang w:val="en"/>
        </w:rPr>
        <w:t xml:space="preserve"> of activity, as well as the employment and unemployment rates are observed.</w:t>
      </w:r>
      <w:r w:rsidRPr="00B61D39">
        <w:rPr>
          <w:rStyle w:val="hwtze"/>
          <w:rFonts w:ascii="Times New Roman" w:hAnsi="Times New Roman" w:cs="Times New Roman"/>
          <w:sz w:val="24"/>
          <w:szCs w:val="24"/>
          <w:lang w:val="en"/>
        </w:rPr>
        <w:t xml:space="preserve"> </w:t>
      </w:r>
      <w:r w:rsidRPr="00B61D39">
        <w:rPr>
          <w:rStyle w:val="rynqvb"/>
          <w:rFonts w:ascii="Times New Roman" w:hAnsi="Times New Roman" w:cs="Times New Roman"/>
          <w:sz w:val="24"/>
          <w:szCs w:val="24"/>
          <w:lang w:val="en"/>
        </w:rPr>
        <w:t xml:space="preserve">The analysis was done on three levels (at </w:t>
      </w:r>
      <w:r w:rsidR="00D53C6E" w:rsidRPr="00B61D39">
        <w:rPr>
          <w:rStyle w:val="rynqvb"/>
          <w:rFonts w:ascii="Times New Roman" w:hAnsi="Times New Roman" w:cs="Times New Roman"/>
          <w:sz w:val="24"/>
          <w:szCs w:val="24"/>
          <w:lang w:val="en"/>
        </w:rPr>
        <w:t>national</w:t>
      </w:r>
      <w:r w:rsidRPr="00B61D39">
        <w:rPr>
          <w:rStyle w:val="rynqvb"/>
          <w:rFonts w:ascii="Times New Roman" w:hAnsi="Times New Roman" w:cs="Times New Roman"/>
          <w:sz w:val="24"/>
          <w:szCs w:val="24"/>
          <w:lang w:val="en"/>
        </w:rPr>
        <w:t xml:space="preserve"> level,</w:t>
      </w:r>
      <w:r w:rsidR="00D53C6E" w:rsidRPr="00B61D39">
        <w:rPr>
          <w:rStyle w:val="rynqvb"/>
          <w:rFonts w:ascii="Times New Roman" w:hAnsi="Times New Roman" w:cs="Times New Roman"/>
          <w:sz w:val="24"/>
          <w:szCs w:val="24"/>
          <w:lang w:val="en"/>
        </w:rPr>
        <w:t xml:space="preserve"> at</w:t>
      </w:r>
      <w:r w:rsidRPr="00B61D39">
        <w:rPr>
          <w:rStyle w:val="rynqvb"/>
          <w:rFonts w:ascii="Times New Roman" w:hAnsi="Times New Roman" w:cs="Times New Roman"/>
          <w:sz w:val="24"/>
          <w:szCs w:val="24"/>
          <w:lang w:val="en"/>
        </w:rPr>
        <w:t xml:space="preserve"> Vardar region</w:t>
      </w:r>
      <w:r w:rsidR="00D53C6E" w:rsidRPr="00B61D39">
        <w:rPr>
          <w:rStyle w:val="rynqvb"/>
          <w:rFonts w:ascii="Times New Roman" w:hAnsi="Times New Roman" w:cs="Times New Roman"/>
          <w:sz w:val="24"/>
          <w:szCs w:val="24"/>
          <w:lang w:val="en"/>
        </w:rPr>
        <w:t xml:space="preserve"> level</w:t>
      </w:r>
      <w:r w:rsidRPr="00B61D39">
        <w:rPr>
          <w:rStyle w:val="rynqvb"/>
          <w:rFonts w:ascii="Times New Roman" w:hAnsi="Times New Roman" w:cs="Times New Roman"/>
          <w:sz w:val="24"/>
          <w:szCs w:val="24"/>
          <w:lang w:val="en"/>
        </w:rPr>
        <w:t xml:space="preserve"> and by municipalities in the region), which allows a multi-purpose comparison of the data.</w:t>
      </w:r>
      <w:r w:rsidRPr="00B61D39">
        <w:rPr>
          <w:rStyle w:val="hwtze"/>
          <w:rFonts w:ascii="Times New Roman" w:hAnsi="Times New Roman" w:cs="Times New Roman"/>
          <w:sz w:val="24"/>
          <w:szCs w:val="24"/>
          <w:lang w:val="en"/>
        </w:rPr>
        <w:t xml:space="preserve"> </w:t>
      </w:r>
      <w:r w:rsidR="00E71E67" w:rsidRPr="00B61D39">
        <w:rPr>
          <w:rStyle w:val="hwtze"/>
          <w:rFonts w:ascii="Times New Roman" w:hAnsi="Times New Roman" w:cs="Times New Roman"/>
          <w:sz w:val="24"/>
          <w:szCs w:val="24"/>
          <w:lang w:val="en"/>
        </w:rPr>
        <w:t xml:space="preserve">This enables </w:t>
      </w:r>
      <w:r w:rsidRPr="00B61D39">
        <w:rPr>
          <w:rStyle w:val="rynqvb"/>
          <w:rFonts w:ascii="Times New Roman" w:hAnsi="Times New Roman" w:cs="Times New Roman"/>
          <w:sz w:val="24"/>
          <w:szCs w:val="24"/>
          <w:lang w:val="en"/>
        </w:rPr>
        <w:t>evaluat</w:t>
      </w:r>
      <w:r w:rsidR="00E71E67" w:rsidRPr="00B61D39">
        <w:rPr>
          <w:rStyle w:val="rynqvb"/>
          <w:rFonts w:ascii="Times New Roman" w:hAnsi="Times New Roman" w:cs="Times New Roman"/>
          <w:sz w:val="24"/>
          <w:szCs w:val="24"/>
          <w:lang w:val="en"/>
        </w:rPr>
        <w:t>ion of</w:t>
      </w:r>
      <w:r w:rsidRPr="00B61D39">
        <w:rPr>
          <w:rStyle w:val="rynqvb"/>
          <w:rFonts w:ascii="Times New Roman" w:hAnsi="Times New Roman" w:cs="Times New Roman"/>
          <w:sz w:val="24"/>
          <w:szCs w:val="24"/>
          <w:lang w:val="en"/>
        </w:rPr>
        <w:t xml:space="preserve"> the situation in the region in relation to the </w:t>
      </w:r>
      <w:r w:rsidR="004E232C" w:rsidRPr="00B61D39">
        <w:rPr>
          <w:rStyle w:val="rynqvb"/>
          <w:rFonts w:ascii="Times New Roman" w:hAnsi="Times New Roman" w:cs="Times New Roman"/>
          <w:sz w:val="24"/>
          <w:szCs w:val="24"/>
          <w:lang w:val="en"/>
        </w:rPr>
        <w:t>country</w:t>
      </w:r>
      <w:r w:rsidRPr="00B61D39">
        <w:rPr>
          <w:rStyle w:val="rynqvb"/>
          <w:rFonts w:ascii="Times New Roman" w:hAnsi="Times New Roman" w:cs="Times New Roman"/>
          <w:sz w:val="24"/>
          <w:szCs w:val="24"/>
          <w:lang w:val="en"/>
        </w:rPr>
        <w:t xml:space="preserve">, </w:t>
      </w:r>
      <w:r w:rsidR="00E71E67" w:rsidRPr="00B61D39">
        <w:rPr>
          <w:rStyle w:val="rynqvb"/>
          <w:rFonts w:ascii="Times New Roman" w:hAnsi="Times New Roman" w:cs="Times New Roman"/>
          <w:sz w:val="24"/>
          <w:szCs w:val="24"/>
          <w:lang w:val="en"/>
        </w:rPr>
        <w:t>and</w:t>
      </w:r>
      <w:r w:rsidRPr="00B61D39">
        <w:rPr>
          <w:rStyle w:val="rynqvb"/>
          <w:rFonts w:ascii="Times New Roman" w:hAnsi="Times New Roman" w:cs="Times New Roman"/>
          <w:sz w:val="24"/>
          <w:szCs w:val="24"/>
          <w:lang w:val="en"/>
        </w:rPr>
        <w:t xml:space="preserve"> state of the municipalities in relation to the region and between themselves. </w:t>
      </w:r>
    </w:p>
    <w:p w14:paraId="33A01641" w14:textId="1985DA3E" w:rsidR="00465E0F" w:rsidRPr="00B61D39" w:rsidRDefault="00026EEC" w:rsidP="00AF002D">
      <w:pPr>
        <w:spacing w:after="0"/>
        <w:jc w:val="both"/>
        <w:rPr>
          <w:rStyle w:val="rynqvb"/>
          <w:rFonts w:ascii="Times New Roman" w:hAnsi="Times New Roman" w:cs="Times New Roman"/>
          <w:sz w:val="24"/>
          <w:szCs w:val="24"/>
          <w:lang w:val="en"/>
        </w:rPr>
      </w:pPr>
      <w:r w:rsidRPr="00B61D39">
        <w:rPr>
          <w:rStyle w:val="rynqvb"/>
          <w:rFonts w:ascii="Times New Roman" w:hAnsi="Times New Roman" w:cs="Times New Roman"/>
          <w:sz w:val="24"/>
          <w:szCs w:val="24"/>
          <w:lang w:val="en"/>
        </w:rPr>
        <w:t xml:space="preserve">In the second part, the </w:t>
      </w:r>
      <w:r w:rsidR="004F0C17" w:rsidRPr="00B61D39">
        <w:rPr>
          <w:rStyle w:val="rynqvb"/>
          <w:rFonts w:ascii="Times New Roman" w:hAnsi="Times New Roman" w:cs="Times New Roman"/>
          <w:sz w:val="24"/>
          <w:szCs w:val="24"/>
          <w:lang w:val="en"/>
        </w:rPr>
        <w:t xml:space="preserve">region’s </w:t>
      </w:r>
      <w:r w:rsidRPr="00B61D39">
        <w:rPr>
          <w:rStyle w:val="rynqvb"/>
          <w:rFonts w:ascii="Times New Roman" w:hAnsi="Times New Roman" w:cs="Times New Roman"/>
          <w:sz w:val="24"/>
          <w:szCs w:val="24"/>
          <w:lang w:val="en"/>
        </w:rPr>
        <w:t xml:space="preserve">economic activity is analyzed in comparison </w:t>
      </w:r>
      <w:r w:rsidR="004F0C17" w:rsidRPr="00B61D39">
        <w:rPr>
          <w:rStyle w:val="rynqvb"/>
          <w:rFonts w:ascii="Times New Roman" w:hAnsi="Times New Roman" w:cs="Times New Roman"/>
          <w:sz w:val="24"/>
          <w:szCs w:val="24"/>
          <w:lang w:val="en"/>
        </w:rPr>
        <w:t xml:space="preserve">to </w:t>
      </w:r>
      <w:r w:rsidRPr="00B61D39">
        <w:rPr>
          <w:rStyle w:val="rynqvb"/>
          <w:rFonts w:ascii="Times New Roman" w:hAnsi="Times New Roman" w:cs="Times New Roman"/>
          <w:sz w:val="24"/>
          <w:szCs w:val="24"/>
          <w:lang w:val="en"/>
        </w:rPr>
        <w:t>the national level</w:t>
      </w:r>
      <w:r w:rsidR="00E27A65" w:rsidRPr="00B61D39">
        <w:rPr>
          <w:rStyle w:val="rynqvb"/>
          <w:rFonts w:ascii="Times New Roman" w:hAnsi="Times New Roman" w:cs="Times New Roman"/>
          <w:sz w:val="24"/>
          <w:szCs w:val="24"/>
          <w:lang w:val="en"/>
        </w:rPr>
        <w:t xml:space="preserve"> activity</w:t>
      </w:r>
      <w:r w:rsidRPr="00B61D39">
        <w:rPr>
          <w:rStyle w:val="rynqvb"/>
          <w:rFonts w:ascii="Times New Roman" w:hAnsi="Times New Roman" w:cs="Times New Roman"/>
          <w:sz w:val="24"/>
          <w:szCs w:val="24"/>
          <w:lang w:val="en"/>
        </w:rPr>
        <w:t>.</w:t>
      </w:r>
      <w:r w:rsidRPr="00B61D39">
        <w:rPr>
          <w:rStyle w:val="hwtze"/>
          <w:rFonts w:ascii="Times New Roman" w:hAnsi="Times New Roman" w:cs="Times New Roman"/>
          <w:sz w:val="24"/>
          <w:szCs w:val="24"/>
          <w:lang w:val="en"/>
        </w:rPr>
        <w:t xml:space="preserve"> </w:t>
      </w:r>
      <w:r w:rsidR="00E71E67" w:rsidRPr="00B61D39">
        <w:rPr>
          <w:rStyle w:val="rynqvb"/>
          <w:rFonts w:ascii="Times New Roman" w:hAnsi="Times New Roman" w:cs="Times New Roman"/>
          <w:sz w:val="24"/>
          <w:szCs w:val="24"/>
          <w:lang w:val="en"/>
        </w:rPr>
        <w:t>S</w:t>
      </w:r>
      <w:r w:rsidRPr="00B61D39">
        <w:rPr>
          <w:rStyle w:val="rynqvb"/>
          <w:rFonts w:ascii="Times New Roman" w:hAnsi="Times New Roman" w:cs="Times New Roman"/>
          <w:sz w:val="24"/>
          <w:szCs w:val="24"/>
          <w:lang w:val="en"/>
        </w:rPr>
        <w:t xml:space="preserve">everal indicators are used such as GDP per capita, GDP index, </w:t>
      </w:r>
      <w:r w:rsidR="00F93F8B" w:rsidRPr="00B61D39">
        <w:rPr>
          <w:rStyle w:val="rynqvb"/>
          <w:rFonts w:ascii="Times New Roman" w:hAnsi="Times New Roman" w:cs="Times New Roman"/>
          <w:sz w:val="24"/>
          <w:szCs w:val="24"/>
          <w:lang w:val="en"/>
        </w:rPr>
        <w:t>G</w:t>
      </w:r>
      <w:r w:rsidRPr="00B61D39">
        <w:rPr>
          <w:rStyle w:val="rynqvb"/>
          <w:rFonts w:ascii="Times New Roman" w:hAnsi="Times New Roman" w:cs="Times New Roman"/>
          <w:sz w:val="24"/>
          <w:szCs w:val="24"/>
          <w:lang w:val="en"/>
        </w:rPr>
        <w:t>ross value added by sectors of activity</w:t>
      </w:r>
      <w:r w:rsidR="00E60859" w:rsidRPr="00B61D39">
        <w:rPr>
          <w:rStyle w:val="rynqvb"/>
          <w:rFonts w:ascii="Times New Roman" w:hAnsi="Times New Roman" w:cs="Times New Roman"/>
          <w:sz w:val="24"/>
          <w:szCs w:val="24"/>
          <w:lang w:val="en"/>
        </w:rPr>
        <w:t xml:space="preserve">, </w:t>
      </w:r>
      <w:r w:rsidR="004A7104" w:rsidRPr="00B61D39">
        <w:rPr>
          <w:rStyle w:val="rynqvb"/>
          <w:rFonts w:ascii="Times New Roman" w:hAnsi="Times New Roman" w:cs="Times New Roman"/>
          <w:sz w:val="24"/>
          <w:szCs w:val="24"/>
          <w:lang w:val="en-US"/>
        </w:rPr>
        <w:t>Gross fixed capital formation</w:t>
      </w:r>
      <w:r w:rsidR="004A7104" w:rsidRPr="00B61D39">
        <w:rPr>
          <w:rStyle w:val="rynqvb"/>
          <w:rFonts w:ascii="Times New Roman" w:hAnsi="Times New Roman" w:cs="Times New Roman"/>
          <w:sz w:val="24"/>
          <w:szCs w:val="24"/>
          <w:lang w:val="en"/>
        </w:rPr>
        <w:t xml:space="preserve"> </w:t>
      </w:r>
      <w:r w:rsidR="00D53C6E" w:rsidRPr="00B61D39">
        <w:rPr>
          <w:rStyle w:val="rynqvb"/>
          <w:rFonts w:ascii="Times New Roman" w:hAnsi="Times New Roman" w:cs="Times New Roman"/>
          <w:sz w:val="24"/>
          <w:szCs w:val="24"/>
          <w:lang w:val="en"/>
        </w:rPr>
        <w:t xml:space="preserve">by sectors of activity and </w:t>
      </w:r>
      <w:r w:rsidRPr="00B61D39">
        <w:rPr>
          <w:rStyle w:val="rynqvb"/>
          <w:rFonts w:ascii="Times New Roman" w:hAnsi="Times New Roman" w:cs="Times New Roman"/>
          <w:sz w:val="24"/>
          <w:szCs w:val="24"/>
          <w:lang w:val="en"/>
        </w:rPr>
        <w:t xml:space="preserve">the number of active </w:t>
      </w:r>
      <w:r w:rsidR="004A7104" w:rsidRPr="00B61D39">
        <w:rPr>
          <w:rStyle w:val="rynqvb"/>
          <w:rFonts w:ascii="Times New Roman" w:hAnsi="Times New Roman" w:cs="Times New Roman"/>
          <w:sz w:val="24"/>
          <w:szCs w:val="24"/>
          <w:lang w:val="en"/>
        </w:rPr>
        <w:t>enterprises</w:t>
      </w:r>
      <w:r w:rsidRPr="00B61D39">
        <w:rPr>
          <w:rStyle w:val="rynqvb"/>
          <w:rFonts w:ascii="Times New Roman" w:hAnsi="Times New Roman" w:cs="Times New Roman"/>
          <w:sz w:val="24"/>
          <w:szCs w:val="24"/>
          <w:lang w:val="en"/>
        </w:rPr>
        <w:t xml:space="preserve">. </w:t>
      </w:r>
    </w:p>
    <w:p w14:paraId="61472876" w14:textId="1A4DBEDE" w:rsidR="005D3543" w:rsidRPr="00B61D39" w:rsidRDefault="00026EEC" w:rsidP="00465E0F">
      <w:pPr>
        <w:jc w:val="both"/>
        <w:rPr>
          <w:rStyle w:val="rynqvb"/>
          <w:rFonts w:ascii="Times New Roman" w:hAnsi="Times New Roman" w:cs="Times New Roman"/>
          <w:sz w:val="24"/>
          <w:szCs w:val="24"/>
          <w:lang w:val="en"/>
        </w:rPr>
      </w:pPr>
      <w:r w:rsidRPr="00B61D39">
        <w:rPr>
          <w:rStyle w:val="rynqvb"/>
          <w:rFonts w:ascii="Times New Roman" w:hAnsi="Times New Roman" w:cs="Times New Roman"/>
          <w:sz w:val="24"/>
          <w:szCs w:val="24"/>
          <w:lang w:val="en"/>
        </w:rPr>
        <w:t>The purpose of this analysis is to determine the interaction between demographic changes and economic activity in the Vardar region. The research relies solely on secondary data and hence some limitations arise.</w:t>
      </w:r>
      <w:r w:rsidRPr="00B61D39">
        <w:rPr>
          <w:rStyle w:val="hwtze"/>
          <w:rFonts w:ascii="Times New Roman" w:hAnsi="Times New Roman" w:cs="Times New Roman"/>
          <w:sz w:val="24"/>
          <w:szCs w:val="24"/>
          <w:lang w:val="en"/>
        </w:rPr>
        <w:t xml:space="preserve"> </w:t>
      </w:r>
      <w:r w:rsidRPr="00B61D39">
        <w:rPr>
          <w:rStyle w:val="rynqvb"/>
          <w:rFonts w:ascii="Times New Roman" w:hAnsi="Times New Roman" w:cs="Times New Roman"/>
          <w:sz w:val="24"/>
          <w:szCs w:val="24"/>
          <w:lang w:val="en"/>
        </w:rPr>
        <w:t>Some refer to demographic data and result from methodological changes from one census to another, which make it impossible to make a direct comparison of certain data from the Population Censuses for 2002 and 2021.</w:t>
      </w:r>
      <w:r w:rsidRPr="00B61D39">
        <w:rPr>
          <w:rStyle w:val="hwtze"/>
          <w:rFonts w:ascii="Times New Roman" w:hAnsi="Times New Roman" w:cs="Times New Roman"/>
          <w:sz w:val="24"/>
          <w:szCs w:val="24"/>
          <w:lang w:val="en"/>
        </w:rPr>
        <w:t xml:space="preserve"> </w:t>
      </w:r>
      <w:r w:rsidRPr="00B61D39">
        <w:rPr>
          <w:rStyle w:val="rynqvb"/>
          <w:rFonts w:ascii="Times New Roman" w:hAnsi="Times New Roman" w:cs="Times New Roman"/>
          <w:sz w:val="24"/>
          <w:szCs w:val="24"/>
          <w:lang w:val="en"/>
        </w:rPr>
        <w:t xml:space="preserve">Another limitation </w:t>
      </w:r>
      <w:r w:rsidR="00E27A65" w:rsidRPr="00B61D39">
        <w:rPr>
          <w:rStyle w:val="rynqvb"/>
          <w:rFonts w:ascii="Times New Roman" w:hAnsi="Times New Roman" w:cs="Times New Roman"/>
          <w:sz w:val="24"/>
          <w:szCs w:val="24"/>
          <w:lang w:val="en"/>
        </w:rPr>
        <w:t xml:space="preserve">refers to the fact </w:t>
      </w:r>
      <w:r w:rsidRPr="00B61D39">
        <w:rPr>
          <w:rStyle w:val="rynqvb"/>
          <w:rFonts w:ascii="Times New Roman" w:hAnsi="Times New Roman" w:cs="Times New Roman"/>
          <w:sz w:val="24"/>
          <w:szCs w:val="24"/>
          <w:lang w:val="en"/>
        </w:rPr>
        <w:t xml:space="preserve">that the indicators for economic </w:t>
      </w:r>
      <w:r w:rsidR="00E60859" w:rsidRPr="00B61D39">
        <w:rPr>
          <w:rStyle w:val="rynqvb"/>
          <w:rFonts w:ascii="Times New Roman" w:hAnsi="Times New Roman" w:cs="Times New Roman"/>
          <w:sz w:val="24"/>
          <w:szCs w:val="24"/>
          <w:lang w:val="en-US"/>
        </w:rPr>
        <w:t>activity</w:t>
      </w:r>
      <w:r w:rsidRPr="00B61D39">
        <w:rPr>
          <w:rStyle w:val="rynqvb"/>
          <w:rFonts w:ascii="Times New Roman" w:hAnsi="Times New Roman" w:cs="Times New Roman"/>
          <w:sz w:val="24"/>
          <w:szCs w:val="24"/>
          <w:lang w:val="en"/>
        </w:rPr>
        <w:t xml:space="preserve"> are taken from the annual regional publications that have been issued since 2009</w:t>
      </w:r>
      <w:r w:rsidR="00E27A65" w:rsidRPr="00B61D39">
        <w:rPr>
          <w:rStyle w:val="rynqvb"/>
          <w:rFonts w:ascii="Times New Roman" w:hAnsi="Times New Roman" w:cs="Times New Roman"/>
          <w:sz w:val="24"/>
          <w:szCs w:val="24"/>
          <w:lang w:val="en"/>
        </w:rPr>
        <w:t>, in</w:t>
      </w:r>
      <w:r w:rsidRPr="00B61D39">
        <w:rPr>
          <w:rStyle w:val="rynqvb"/>
          <w:rFonts w:ascii="Times New Roman" w:hAnsi="Times New Roman" w:cs="Times New Roman"/>
          <w:sz w:val="24"/>
          <w:szCs w:val="24"/>
          <w:lang w:val="en"/>
        </w:rPr>
        <w:t xml:space="preserve"> which aggregated data </w:t>
      </w:r>
      <w:r w:rsidR="00E60859" w:rsidRPr="00B61D39">
        <w:rPr>
          <w:rStyle w:val="rynqvb"/>
          <w:rFonts w:ascii="Times New Roman" w:hAnsi="Times New Roman" w:cs="Times New Roman"/>
          <w:sz w:val="24"/>
          <w:szCs w:val="24"/>
          <w:lang w:val="en"/>
        </w:rPr>
        <w:t>for</w:t>
      </w:r>
      <w:r w:rsidRPr="00B61D39">
        <w:rPr>
          <w:rStyle w:val="rynqvb"/>
          <w:rFonts w:ascii="Times New Roman" w:hAnsi="Times New Roman" w:cs="Times New Roman"/>
          <w:sz w:val="24"/>
          <w:szCs w:val="24"/>
          <w:lang w:val="en"/>
        </w:rPr>
        <w:t xml:space="preserve"> the regions are published, but not </w:t>
      </w:r>
      <w:r w:rsidR="00E60859" w:rsidRPr="00B61D39">
        <w:rPr>
          <w:rStyle w:val="rynqvb"/>
          <w:rFonts w:ascii="Times New Roman" w:hAnsi="Times New Roman" w:cs="Times New Roman"/>
          <w:sz w:val="24"/>
          <w:szCs w:val="24"/>
          <w:lang w:val="en"/>
        </w:rPr>
        <w:t xml:space="preserve">for </w:t>
      </w:r>
      <w:r w:rsidRPr="00B61D39">
        <w:rPr>
          <w:rStyle w:val="rynqvb"/>
          <w:rFonts w:ascii="Times New Roman" w:hAnsi="Times New Roman" w:cs="Times New Roman"/>
          <w:sz w:val="24"/>
          <w:szCs w:val="24"/>
          <w:lang w:val="en"/>
        </w:rPr>
        <w:t xml:space="preserve">the </w:t>
      </w:r>
      <w:r w:rsidR="004A7104" w:rsidRPr="00B61D39">
        <w:rPr>
          <w:rStyle w:val="rynqvb"/>
          <w:rFonts w:ascii="Times New Roman" w:hAnsi="Times New Roman" w:cs="Times New Roman"/>
          <w:sz w:val="24"/>
          <w:szCs w:val="24"/>
          <w:lang w:val="en"/>
        </w:rPr>
        <w:t xml:space="preserve">constituting </w:t>
      </w:r>
      <w:r w:rsidRPr="00B61D39">
        <w:rPr>
          <w:rStyle w:val="rynqvb"/>
          <w:rFonts w:ascii="Times New Roman" w:hAnsi="Times New Roman" w:cs="Times New Roman"/>
          <w:sz w:val="24"/>
          <w:szCs w:val="24"/>
          <w:lang w:val="en"/>
        </w:rPr>
        <w:t>municipal</w:t>
      </w:r>
      <w:r w:rsidR="004E232C" w:rsidRPr="00B61D39">
        <w:rPr>
          <w:rStyle w:val="rynqvb"/>
          <w:rFonts w:ascii="Times New Roman" w:hAnsi="Times New Roman" w:cs="Times New Roman"/>
          <w:sz w:val="24"/>
          <w:szCs w:val="24"/>
          <w:lang w:val="en"/>
        </w:rPr>
        <w:t>ities</w:t>
      </w:r>
      <w:r w:rsidR="004E232C" w:rsidRPr="00B61D39">
        <w:rPr>
          <w:rStyle w:val="rynqvb"/>
          <w:rFonts w:ascii="Times New Roman" w:hAnsi="Times New Roman" w:cs="Times New Roman"/>
          <w:sz w:val="24"/>
          <w:szCs w:val="24"/>
          <w:lang w:val="en-US"/>
        </w:rPr>
        <w:t>.</w:t>
      </w:r>
    </w:p>
    <w:p w14:paraId="794C1131" w14:textId="77777777" w:rsidR="00E27A65" w:rsidRPr="00B61D39" w:rsidRDefault="00E27A65" w:rsidP="00E60859">
      <w:pPr>
        <w:spacing w:after="0"/>
        <w:ind w:firstLine="720"/>
        <w:jc w:val="both"/>
        <w:rPr>
          <w:rFonts w:ascii="Times New Roman" w:hAnsi="Times New Roman" w:cs="Times New Roman"/>
          <w:b/>
          <w:sz w:val="24"/>
          <w:szCs w:val="24"/>
          <w:lang w:val="mk-MK"/>
        </w:rPr>
      </w:pPr>
    </w:p>
    <w:p w14:paraId="0795F498" w14:textId="347D0E83" w:rsidR="00CD472D" w:rsidRPr="00B61D39" w:rsidRDefault="00B66BFC" w:rsidP="00B66BFC">
      <w:pPr>
        <w:pStyle w:val="ListParagraph"/>
        <w:numPr>
          <w:ilvl w:val="0"/>
          <w:numId w:val="1"/>
        </w:numPr>
        <w:jc w:val="center"/>
        <w:rPr>
          <w:rFonts w:ascii="Times New Roman" w:hAnsi="Times New Roman" w:cs="Times New Roman"/>
          <w:sz w:val="24"/>
          <w:szCs w:val="24"/>
          <w:lang w:val="mk-MK"/>
        </w:rPr>
      </w:pPr>
      <w:r w:rsidRPr="00B61D39">
        <w:rPr>
          <w:rFonts w:ascii="Times New Roman" w:hAnsi="Times New Roman" w:cs="Times New Roman"/>
          <w:b/>
          <w:sz w:val="24"/>
          <w:szCs w:val="24"/>
          <w:lang w:val="mk-MK"/>
        </w:rPr>
        <w:t>DEMOGRAPHIC CHANGES BETWEEN TWO CENSUSES IN THE VARDAR REGION</w:t>
      </w:r>
    </w:p>
    <w:p w14:paraId="4D5A7C91" w14:textId="2DECF326" w:rsidR="00B66BFC" w:rsidRPr="00B61D39" w:rsidRDefault="00B66BFC" w:rsidP="00B66BFC">
      <w:pPr>
        <w:jc w:val="both"/>
        <w:rPr>
          <w:rFonts w:ascii="Times New Roman" w:hAnsi="Times New Roman" w:cs="Times New Roman"/>
          <w:sz w:val="24"/>
          <w:szCs w:val="24"/>
        </w:rPr>
      </w:pPr>
      <w:r w:rsidRPr="00B61D39">
        <w:rPr>
          <w:rFonts w:ascii="Times New Roman" w:eastAsia="Times New Roman" w:hAnsi="Times New Roman" w:cs="Times New Roman"/>
          <w:sz w:val="24"/>
          <w:szCs w:val="24"/>
          <w:lang w:val="en"/>
        </w:rPr>
        <w:t xml:space="preserve">According to the latest statistical data, </w:t>
      </w:r>
      <w:r w:rsidR="009109CC" w:rsidRPr="00B61D39">
        <w:rPr>
          <w:rFonts w:ascii="Times New Roman" w:eastAsia="Times New Roman" w:hAnsi="Times New Roman" w:cs="Times New Roman"/>
          <w:sz w:val="24"/>
          <w:szCs w:val="24"/>
          <w:lang w:val="en"/>
        </w:rPr>
        <w:t>the Vardar</w:t>
      </w:r>
      <w:r w:rsidRPr="00B61D39">
        <w:rPr>
          <w:rFonts w:ascii="Times New Roman" w:eastAsia="Times New Roman" w:hAnsi="Times New Roman" w:cs="Times New Roman"/>
          <w:sz w:val="24"/>
          <w:szCs w:val="24"/>
          <w:lang w:val="en"/>
        </w:rPr>
        <w:t xml:space="preserve"> region has the smallest number of inhabitants, i.e. 7.5% of the total population in the country (estimated population on June 30, 2022). Spatially, the region covers an area of 4,042 km</w:t>
      </w:r>
      <w:r w:rsidRPr="00B61D39">
        <w:rPr>
          <w:rFonts w:ascii="Times New Roman" w:eastAsia="Times New Roman" w:hAnsi="Times New Roman" w:cs="Times New Roman"/>
          <w:sz w:val="24"/>
          <w:szCs w:val="24"/>
          <w:vertAlign w:val="superscript"/>
          <w:lang w:val="en"/>
        </w:rPr>
        <w:t>2</w:t>
      </w:r>
      <w:r w:rsidRPr="00B61D39">
        <w:rPr>
          <w:rFonts w:ascii="Times New Roman" w:eastAsia="Times New Roman" w:hAnsi="Times New Roman" w:cs="Times New Roman"/>
          <w:sz w:val="24"/>
          <w:szCs w:val="24"/>
          <w:lang w:val="en"/>
        </w:rPr>
        <w:t xml:space="preserve"> or 16.2% of the </w:t>
      </w:r>
      <w:r w:rsidR="009109CC" w:rsidRPr="00B61D39">
        <w:rPr>
          <w:rFonts w:ascii="Times New Roman" w:eastAsia="Times New Roman" w:hAnsi="Times New Roman" w:cs="Times New Roman"/>
          <w:sz w:val="24"/>
          <w:szCs w:val="24"/>
          <w:lang w:val="en"/>
        </w:rPr>
        <w:t xml:space="preserve">Macedonian </w:t>
      </w:r>
      <w:r w:rsidRPr="00B61D39">
        <w:rPr>
          <w:rFonts w:ascii="Times New Roman" w:eastAsia="Times New Roman" w:hAnsi="Times New Roman" w:cs="Times New Roman"/>
          <w:sz w:val="24"/>
          <w:szCs w:val="24"/>
          <w:lang w:val="en"/>
        </w:rPr>
        <w:t>territory and is also the least populated region with only 38.07 inhabitants per</w:t>
      </w:r>
      <w:r w:rsidRPr="00B61D39">
        <w:rPr>
          <w:rStyle w:val="rynqvb"/>
          <w:rFonts w:ascii="Times New Roman" w:hAnsi="Times New Roman" w:cs="Times New Roman"/>
          <w:sz w:val="24"/>
          <w:szCs w:val="24"/>
          <w:lang w:val="en"/>
        </w:rPr>
        <w:t xml:space="preserve"> km</w:t>
      </w:r>
      <w:r w:rsidRPr="00B61D39">
        <w:rPr>
          <w:rFonts w:ascii="Times New Roman" w:hAnsi="Times New Roman" w:cs="Times New Roman"/>
          <w:bCs/>
          <w:sz w:val="24"/>
          <w:szCs w:val="24"/>
          <w:vertAlign w:val="superscript"/>
          <w:lang w:val="mk-MK"/>
        </w:rPr>
        <w:t>2</w:t>
      </w:r>
      <w:r w:rsidRPr="00B61D39">
        <w:rPr>
          <w:rFonts w:ascii="Times New Roman" w:eastAsia="Times New Roman" w:hAnsi="Times New Roman" w:cs="Times New Roman"/>
          <w:sz w:val="24"/>
          <w:szCs w:val="24"/>
          <w:lang w:val="en"/>
        </w:rPr>
        <w:t xml:space="preserve"> in 2002, compared to 34.1 inhabitants per</w:t>
      </w:r>
      <w:r w:rsidRPr="00B61D39">
        <w:rPr>
          <w:rFonts w:ascii="Times New Roman" w:hAnsi="Times New Roman" w:cs="Times New Roman"/>
          <w:sz w:val="24"/>
          <w:szCs w:val="24"/>
          <w:lang w:val="en"/>
        </w:rPr>
        <w:t xml:space="preserve"> </w:t>
      </w:r>
      <w:r w:rsidRPr="00B61D39">
        <w:rPr>
          <w:rFonts w:ascii="Times New Roman" w:eastAsia="Times New Roman" w:hAnsi="Times New Roman" w:cs="Times New Roman"/>
          <w:sz w:val="24"/>
          <w:szCs w:val="24"/>
          <w:lang w:val="en"/>
        </w:rPr>
        <w:t>km</w:t>
      </w:r>
      <w:r w:rsidRPr="00B61D39">
        <w:rPr>
          <w:rFonts w:ascii="Times New Roman" w:eastAsia="Times New Roman" w:hAnsi="Times New Roman" w:cs="Times New Roman"/>
          <w:bCs/>
          <w:sz w:val="24"/>
          <w:szCs w:val="24"/>
          <w:vertAlign w:val="superscript"/>
          <w:lang w:val="mk-MK"/>
        </w:rPr>
        <w:t>2</w:t>
      </w:r>
      <w:r w:rsidRPr="00B61D39">
        <w:rPr>
          <w:rFonts w:ascii="Times New Roman" w:eastAsia="Times New Roman" w:hAnsi="Times New Roman" w:cs="Times New Roman"/>
          <w:sz w:val="24"/>
          <w:szCs w:val="24"/>
          <w:lang w:val="en"/>
        </w:rPr>
        <w:t xml:space="preserve"> in 2021.</w:t>
      </w:r>
      <w:r w:rsidR="006A0542" w:rsidRPr="00B61D39">
        <w:rPr>
          <w:rStyle w:val="FootnoteReference"/>
          <w:rFonts w:ascii="Times New Roman" w:eastAsia="Times New Roman" w:hAnsi="Times New Roman" w:cs="Times New Roman"/>
          <w:sz w:val="24"/>
          <w:szCs w:val="24"/>
          <w:lang w:val="en"/>
        </w:rPr>
        <w:footnoteReference w:id="4"/>
      </w:r>
      <w:r w:rsidRPr="00B61D39">
        <w:rPr>
          <w:rFonts w:ascii="Times New Roman" w:eastAsia="Times New Roman" w:hAnsi="Times New Roman" w:cs="Times New Roman"/>
          <w:sz w:val="24"/>
          <w:szCs w:val="24"/>
          <w:lang w:val="en"/>
        </w:rPr>
        <w:t xml:space="preserve"> The region consists of 9 municipalities</w:t>
      </w:r>
      <w:r w:rsidR="00465E0F" w:rsidRPr="00B61D39">
        <w:rPr>
          <w:rFonts w:ascii="Times New Roman" w:eastAsia="Times New Roman" w:hAnsi="Times New Roman" w:cs="Times New Roman"/>
          <w:sz w:val="24"/>
          <w:szCs w:val="24"/>
          <w:lang w:val="en"/>
        </w:rPr>
        <w:t xml:space="preserve">: </w:t>
      </w:r>
      <w:r w:rsidRPr="00B61D39">
        <w:rPr>
          <w:rFonts w:ascii="Times New Roman" w:eastAsia="Times New Roman" w:hAnsi="Times New Roman" w:cs="Times New Roman"/>
          <w:sz w:val="24"/>
          <w:szCs w:val="24"/>
          <w:lang w:val="en"/>
        </w:rPr>
        <w:t>Veles, Gradsko, Demir Kapija, Kavadar</w:t>
      </w:r>
      <w:r w:rsidR="000016C9" w:rsidRPr="00B61D39">
        <w:rPr>
          <w:rFonts w:ascii="Times New Roman" w:eastAsia="Times New Roman" w:hAnsi="Times New Roman" w:cs="Times New Roman"/>
          <w:sz w:val="24"/>
          <w:szCs w:val="24"/>
          <w:lang w:val="en"/>
        </w:rPr>
        <w:t>tsi</w:t>
      </w:r>
      <w:r w:rsidRPr="00B61D39">
        <w:rPr>
          <w:rFonts w:ascii="Times New Roman" w:eastAsia="Times New Roman" w:hAnsi="Times New Roman" w:cs="Times New Roman"/>
          <w:sz w:val="24"/>
          <w:szCs w:val="24"/>
          <w:lang w:val="en"/>
        </w:rPr>
        <w:t>, Lozovo, Negotino, Rosoman, Sveti Nikole and Chaska, in which 215 settlements are located. Table 1 presents a comparative overview of the situation between two censuses (2002-2021)</w:t>
      </w:r>
      <w:r w:rsidR="00465E0F" w:rsidRPr="00B61D39">
        <w:rPr>
          <w:rFonts w:ascii="Times New Roman" w:eastAsia="Times New Roman" w:hAnsi="Times New Roman" w:cs="Times New Roman"/>
          <w:sz w:val="24"/>
          <w:szCs w:val="24"/>
          <w:lang w:val="en"/>
        </w:rPr>
        <w:t>, regarding</w:t>
      </w:r>
      <w:r w:rsidRPr="00B61D39">
        <w:rPr>
          <w:rFonts w:ascii="Times New Roman" w:eastAsia="Times New Roman" w:hAnsi="Times New Roman" w:cs="Times New Roman"/>
          <w:sz w:val="24"/>
          <w:szCs w:val="24"/>
          <w:lang w:val="en"/>
        </w:rPr>
        <w:t xml:space="preserve"> </w:t>
      </w:r>
      <w:r w:rsidR="002E0555" w:rsidRPr="00B61D39">
        <w:rPr>
          <w:rFonts w:ascii="Times New Roman" w:eastAsia="Times New Roman" w:hAnsi="Times New Roman" w:cs="Times New Roman"/>
          <w:sz w:val="24"/>
          <w:szCs w:val="24"/>
          <w:lang w:val="en"/>
        </w:rPr>
        <w:t xml:space="preserve">the </w:t>
      </w:r>
      <w:r w:rsidRPr="00B61D39">
        <w:rPr>
          <w:rFonts w:ascii="Times New Roman" w:eastAsia="Times New Roman" w:hAnsi="Times New Roman" w:cs="Times New Roman"/>
          <w:sz w:val="24"/>
          <w:szCs w:val="24"/>
          <w:lang w:val="en"/>
        </w:rPr>
        <w:t xml:space="preserve">changes in the total population in the Vardar region </w:t>
      </w:r>
      <w:r w:rsidR="004A7104" w:rsidRPr="00B61D39">
        <w:rPr>
          <w:rFonts w:ascii="Times New Roman" w:eastAsia="Times New Roman" w:hAnsi="Times New Roman" w:cs="Times New Roman"/>
          <w:sz w:val="24"/>
          <w:szCs w:val="24"/>
          <w:lang w:val="en"/>
        </w:rPr>
        <w:t xml:space="preserve">and </w:t>
      </w:r>
      <w:r w:rsidR="00465E0F" w:rsidRPr="00B61D39">
        <w:rPr>
          <w:rFonts w:ascii="Times New Roman" w:eastAsia="Times New Roman" w:hAnsi="Times New Roman" w:cs="Times New Roman"/>
          <w:sz w:val="24"/>
          <w:szCs w:val="24"/>
          <w:lang w:val="en"/>
        </w:rPr>
        <w:t>its</w:t>
      </w:r>
      <w:r w:rsidRPr="00B61D39">
        <w:rPr>
          <w:rFonts w:ascii="Times New Roman" w:eastAsia="Times New Roman" w:hAnsi="Times New Roman" w:cs="Times New Roman"/>
          <w:sz w:val="24"/>
          <w:szCs w:val="24"/>
          <w:lang w:val="en"/>
        </w:rPr>
        <w:t xml:space="preserve"> municipalities</w:t>
      </w:r>
      <w:r w:rsidRPr="00B61D39">
        <w:rPr>
          <w:rFonts w:ascii="Times New Roman" w:hAnsi="Times New Roman" w:cs="Times New Roman"/>
          <w:sz w:val="24"/>
          <w:szCs w:val="24"/>
          <w:lang w:val="mk-MK"/>
        </w:rPr>
        <w:t>.</w:t>
      </w:r>
    </w:p>
    <w:p w14:paraId="18A06C80" w14:textId="255F75CB" w:rsidR="009A5AE1" w:rsidRDefault="00B61D39" w:rsidP="008A2497">
      <w:pPr>
        <w:jc w:val="both"/>
        <w:rPr>
          <w:rFonts w:ascii="Times New Roman" w:hAnsi="Times New Roman" w:cs="Times New Roman"/>
          <w:sz w:val="24"/>
          <w:szCs w:val="24"/>
        </w:rPr>
      </w:pPr>
      <w:r w:rsidRPr="00B61D39">
        <w:rPr>
          <w:noProof/>
          <w:lang w:val="mk-MK" w:eastAsia="mk-MK"/>
        </w:rPr>
        <w:lastRenderedPageBreak/>
        <w:drawing>
          <wp:inline distT="0" distB="0" distL="0" distR="0" wp14:anchorId="605592C4" wp14:editId="2CEEBE05">
            <wp:extent cx="5032800" cy="284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2800" cy="2847600"/>
                    </a:xfrm>
                    <a:prstGeom prst="rect">
                      <a:avLst/>
                    </a:prstGeom>
                    <a:noFill/>
                    <a:ln>
                      <a:noFill/>
                    </a:ln>
                  </pic:spPr>
                </pic:pic>
              </a:graphicData>
            </a:graphic>
          </wp:inline>
        </w:drawing>
      </w:r>
    </w:p>
    <w:p w14:paraId="063488DE" w14:textId="4AC07858" w:rsidR="0079572F" w:rsidRPr="00BA5238" w:rsidRDefault="00E71E67" w:rsidP="00747334">
      <w:pPr>
        <w:spacing w:after="0"/>
        <w:jc w:val="both"/>
        <w:rPr>
          <w:rFonts w:ascii="Times New Roman" w:hAnsi="Times New Roman" w:cs="Times New Roman"/>
          <w:color w:val="000000" w:themeColor="text1"/>
          <w:sz w:val="24"/>
          <w:szCs w:val="24"/>
          <w:lang w:val="mk-MK"/>
        </w:rPr>
      </w:pPr>
      <w:r>
        <w:rPr>
          <w:rStyle w:val="rynqvb"/>
          <w:rFonts w:ascii="Times New Roman" w:hAnsi="Times New Roman" w:cs="Times New Roman"/>
          <w:sz w:val="24"/>
          <w:szCs w:val="24"/>
          <w:lang w:val="en"/>
        </w:rPr>
        <w:t>The data shows</w:t>
      </w:r>
      <w:r w:rsidR="00BA5238" w:rsidRPr="00BA5238">
        <w:rPr>
          <w:rStyle w:val="rynqvb"/>
          <w:rFonts w:ascii="Times New Roman" w:hAnsi="Times New Roman" w:cs="Times New Roman"/>
          <w:sz w:val="24"/>
          <w:szCs w:val="24"/>
          <w:lang w:val="en"/>
        </w:rPr>
        <w:t xml:space="preserve"> that the total population in the region decreased by 10.2% (or by 15813 inhabitants), which is more than the national average (-9.2%).</w:t>
      </w:r>
      <w:r w:rsidR="00BA5238" w:rsidRPr="00BA5238">
        <w:rPr>
          <w:rStyle w:val="hwtze"/>
          <w:rFonts w:ascii="Times New Roman" w:hAnsi="Times New Roman" w:cs="Times New Roman"/>
          <w:sz w:val="24"/>
          <w:szCs w:val="24"/>
          <w:lang w:val="en"/>
        </w:rPr>
        <w:t xml:space="preserve"> </w:t>
      </w:r>
      <w:r w:rsidR="00BA5238" w:rsidRPr="00BA5238">
        <w:rPr>
          <w:rStyle w:val="rynqvb"/>
          <w:rFonts w:ascii="Times New Roman" w:hAnsi="Times New Roman" w:cs="Times New Roman"/>
          <w:sz w:val="24"/>
          <w:szCs w:val="24"/>
          <w:lang w:val="en"/>
        </w:rPr>
        <w:t xml:space="preserve">The largest municipality </w:t>
      </w:r>
      <w:r w:rsidR="004A7104">
        <w:rPr>
          <w:rStyle w:val="rynqvb"/>
          <w:rFonts w:ascii="Times New Roman" w:hAnsi="Times New Roman" w:cs="Times New Roman"/>
          <w:sz w:val="24"/>
          <w:szCs w:val="24"/>
          <w:lang w:val="en"/>
        </w:rPr>
        <w:t xml:space="preserve">by population </w:t>
      </w:r>
      <w:r w:rsidR="00BA5238" w:rsidRPr="00BA5238">
        <w:rPr>
          <w:rStyle w:val="rynqvb"/>
          <w:rFonts w:ascii="Times New Roman" w:hAnsi="Times New Roman" w:cs="Times New Roman"/>
          <w:sz w:val="24"/>
          <w:szCs w:val="24"/>
          <w:lang w:val="en"/>
        </w:rPr>
        <w:t xml:space="preserve">in the region in both censuses is Veles, which accounted for 35.7% of the population in 2002, and </w:t>
      </w:r>
      <w:r w:rsidR="00C46EC8" w:rsidRPr="00BA5238">
        <w:rPr>
          <w:rStyle w:val="rynqvb"/>
          <w:rFonts w:ascii="Times New Roman" w:hAnsi="Times New Roman" w:cs="Times New Roman"/>
          <w:sz w:val="24"/>
          <w:szCs w:val="24"/>
          <w:lang w:val="en"/>
        </w:rPr>
        <w:t>35%</w:t>
      </w:r>
      <w:r w:rsidR="00B61FA5">
        <w:rPr>
          <w:rStyle w:val="rynqvb"/>
          <w:rFonts w:ascii="Times New Roman" w:hAnsi="Times New Roman" w:cs="Times New Roman"/>
          <w:sz w:val="24"/>
          <w:szCs w:val="24"/>
          <w:lang w:val="en"/>
        </w:rPr>
        <w:t xml:space="preserve"> </w:t>
      </w:r>
      <w:r w:rsidR="00BA5238" w:rsidRPr="00BA5238">
        <w:rPr>
          <w:rStyle w:val="rynqvb"/>
          <w:rFonts w:ascii="Times New Roman" w:hAnsi="Times New Roman" w:cs="Times New Roman"/>
          <w:sz w:val="24"/>
          <w:szCs w:val="24"/>
          <w:lang w:val="en"/>
        </w:rPr>
        <w:t>in 2021.</w:t>
      </w:r>
      <w:r w:rsidR="00BA5238" w:rsidRPr="00BA5238">
        <w:rPr>
          <w:rStyle w:val="hwtze"/>
          <w:rFonts w:ascii="Times New Roman" w:hAnsi="Times New Roman" w:cs="Times New Roman"/>
          <w:sz w:val="24"/>
          <w:szCs w:val="24"/>
          <w:lang w:val="en"/>
        </w:rPr>
        <w:t xml:space="preserve"> </w:t>
      </w:r>
      <w:r w:rsidR="00BA5238" w:rsidRPr="00BA5238">
        <w:rPr>
          <w:rStyle w:val="rynqvb"/>
          <w:rFonts w:ascii="Times New Roman" w:hAnsi="Times New Roman" w:cs="Times New Roman"/>
          <w:sz w:val="24"/>
          <w:szCs w:val="24"/>
          <w:lang w:val="en"/>
        </w:rPr>
        <w:t xml:space="preserve">The second largest is the </w:t>
      </w:r>
      <w:r w:rsidR="00A166B9">
        <w:rPr>
          <w:rStyle w:val="rynqvb"/>
          <w:rFonts w:ascii="Times New Roman" w:hAnsi="Times New Roman" w:cs="Times New Roman"/>
          <w:sz w:val="24"/>
          <w:szCs w:val="24"/>
          <w:lang w:val="en"/>
        </w:rPr>
        <w:t>Kavadartsi</w:t>
      </w:r>
      <w:r w:rsidR="00C46EC8" w:rsidRPr="00C46EC8">
        <w:rPr>
          <w:rStyle w:val="rynqvb"/>
          <w:rFonts w:ascii="Times New Roman" w:hAnsi="Times New Roman" w:cs="Times New Roman"/>
          <w:sz w:val="24"/>
          <w:szCs w:val="24"/>
          <w:lang w:val="en"/>
        </w:rPr>
        <w:t xml:space="preserve"> </w:t>
      </w:r>
      <w:r w:rsidR="00C46EC8" w:rsidRPr="00BA5238">
        <w:rPr>
          <w:rStyle w:val="rynqvb"/>
          <w:rFonts w:ascii="Times New Roman" w:hAnsi="Times New Roman" w:cs="Times New Roman"/>
          <w:sz w:val="24"/>
          <w:szCs w:val="24"/>
          <w:lang w:val="en"/>
        </w:rPr>
        <w:t>municipality</w:t>
      </w:r>
      <w:r w:rsidR="00BA5238" w:rsidRPr="00BA5238">
        <w:rPr>
          <w:rStyle w:val="rynqvb"/>
          <w:rFonts w:ascii="Times New Roman" w:hAnsi="Times New Roman" w:cs="Times New Roman"/>
          <w:sz w:val="24"/>
          <w:szCs w:val="24"/>
          <w:lang w:val="en"/>
        </w:rPr>
        <w:t xml:space="preserve">, in which 25% of the total </w:t>
      </w:r>
      <w:r>
        <w:rPr>
          <w:rStyle w:val="rynqvb"/>
          <w:rFonts w:ascii="Times New Roman" w:hAnsi="Times New Roman" w:cs="Times New Roman"/>
          <w:sz w:val="24"/>
          <w:szCs w:val="24"/>
          <w:lang w:val="en"/>
        </w:rPr>
        <w:t xml:space="preserve">region’s </w:t>
      </w:r>
      <w:r w:rsidR="00BA5238" w:rsidRPr="00BA5238">
        <w:rPr>
          <w:rStyle w:val="rynqvb"/>
          <w:rFonts w:ascii="Times New Roman" w:hAnsi="Times New Roman" w:cs="Times New Roman"/>
          <w:sz w:val="24"/>
          <w:szCs w:val="24"/>
          <w:lang w:val="en"/>
        </w:rPr>
        <w:t>population lived in 2002, while in 2021</w:t>
      </w:r>
      <w:r w:rsidR="004A7104">
        <w:rPr>
          <w:rStyle w:val="rynqvb"/>
          <w:rFonts w:ascii="Times New Roman" w:hAnsi="Times New Roman" w:cs="Times New Roman"/>
          <w:sz w:val="24"/>
          <w:szCs w:val="24"/>
          <w:lang w:val="en"/>
        </w:rPr>
        <w:t xml:space="preserve"> the </w:t>
      </w:r>
      <w:r>
        <w:rPr>
          <w:rStyle w:val="rynqvb"/>
          <w:rFonts w:ascii="Times New Roman" w:hAnsi="Times New Roman" w:cs="Times New Roman"/>
          <w:sz w:val="24"/>
          <w:szCs w:val="24"/>
          <w:lang w:val="en"/>
        </w:rPr>
        <w:t>share</w:t>
      </w:r>
      <w:r w:rsidR="00C63393">
        <w:rPr>
          <w:rStyle w:val="rynqvb"/>
          <w:rFonts w:ascii="Times New Roman" w:hAnsi="Times New Roman" w:cs="Times New Roman"/>
          <w:sz w:val="24"/>
          <w:szCs w:val="24"/>
          <w:lang w:val="en"/>
        </w:rPr>
        <w:t xml:space="preserve"> </w:t>
      </w:r>
      <w:r w:rsidR="00BA5238" w:rsidRPr="00BA5238">
        <w:rPr>
          <w:rStyle w:val="rynqvb"/>
          <w:rFonts w:ascii="Times New Roman" w:hAnsi="Times New Roman" w:cs="Times New Roman"/>
          <w:sz w:val="24"/>
          <w:szCs w:val="24"/>
          <w:lang w:val="en"/>
        </w:rPr>
        <w:t>is 25.1%.</w:t>
      </w:r>
      <w:r w:rsidR="00BA5238" w:rsidRPr="00BA5238">
        <w:rPr>
          <w:rStyle w:val="hwtze"/>
          <w:rFonts w:ascii="Times New Roman" w:hAnsi="Times New Roman" w:cs="Times New Roman"/>
          <w:sz w:val="24"/>
          <w:szCs w:val="24"/>
          <w:lang w:val="en"/>
        </w:rPr>
        <w:t xml:space="preserve"> </w:t>
      </w:r>
      <w:r w:rsidR="00BA5238" w:rsidRPr="00BA5238">
        <w:rPr>
          <w:rStyle w:val="rynqvb"/>
          <w:rFonts w:ascii="Times New Roman" w:hAnsi="Times New Roman" w:cs="Times New Roman"/>
          <w:sz w:val="24"/>
          <w:szCs w:val="24"/>
          <w:lang w:val="en"/>
        </w:rPr>
        <w:t xml:space="preserve">The smallest </w:t>
      </w:r>
      <w:r w:rsidR="00BA5238" w:rsidRPr="00BA5238">
        <w:rPr>
          <w:rStyle w:val="rynqvb"/>
          <w:rFonts w:ascii="Times New Roman" w:hAnsi="Times New Roman" w:cs="Times New Roman"/>
          <w:color w:val="000000" w:themeColor="text1"/>
          <w:sz w:val="24"/>
          <w:szCs w:val="24"/>
          <w:lang w:val="en"/>
        </w:rPr>
        <w:t xml:space="preserve">municipality </w:t>
      </w:r>
      <w:r w:rsidR="004A7104">
        <w:rPr>
          <w:rStyle w:val="rynqvb"/>
          <w:rFonts w:ascii="Times New Roman" w:hAnsi="Times New Roman" w:cs="Times New Roman"/>
          <w:color w:val="000000" w:themeColor="text1"/>
          <w:sz w:val="24"/>
          <w:szCs w:val="24"/>
          <w:lang w:val="en"/>
        </w:rPr>
        <w:t xml:space="preserve">by population </w:t>
      </w:r>
      <w:r w:rsidR="00BA5238" w:rsidRPr="00BA5238">
        <w:rPr>
          <w:rStyle w:val="rynqvb"/>
          <w:rFonts w:ascii="Times New Roman" w:hAnsi="Times New Roman" w:cs="Times New Roman"/>
          <w:color w:val="000000" w:themeColor="text1"/>
          <w:sz w:val="24"/>
          <w:szCs w:val="24"/>
          <w:lang w:val="en"/>
        </w:rPr>
        <w:t>is Chas</w:t>
      </w:r>
      <w:r w:rsidR="008A2497">
        <w:rPr>
          <w:rStyle w:val="rynqvb"/>
          <w:rFonts w:ascii="Times New Roman" w:hAnsi="Times New Roman" w:cs="Times New Roman"/>
          <w:color w:val="000000" w:themeColor="text1"/>
          <w:sz w:val="24"/>
          <w:szCs w:val="24"/>
          <w:lang w:val="en-US"/>
        </w:rPr>
        <w:t>k</w:t>
      </w:r>
      <w:r w:rsidR="00BA5238" w:rsidRPr="00BA5238">
        <w:rPr>
          <w:rStyle w:val="rynqvb"/>
          <w:rFonts w:ascii="Times New Roman" w:hAnsi="Times New Roman" w:cs="Times New Roman"/>
          <w:color w:val="000000" w:themeColor="text1"/>
          <w:sz w:val="24"/>
          <w:szCs w:val="24"/>
          <w:lang w:val="en"/>
        </w:rPr>
        <w:t>a, which is the only one where the total population between two censuses increase</w:t>
      </w:r>
      <w:r w:rsidR="004A7104">
        <w:rPr>
          <w:rStyle w:val="rynqvb"/>
          <w:rFonts w:ascii="Times New Roman" w:hAnsi="Times New Roman" w:cs="Times New Roman"/>
          <w:color w:val="000000" w:themeColor="text1"/>
          <w:sz w:val="24"/>
          <w:szCs w:val="24"/>
          <w:lang w:val="en"/>
        </w:rPr>
        <w:t xml:space="preserve">d, from </w:t>
      </w:r>
      <w:r w:rsidR="00BA5238" w:rsidRPr="00BA5238">
        <w:rPr>
          <w:rStyle w:val="rynqvb"/>
          <w:rFonts w:ascii="Times New Roman" w:hAnsi="Times New Roman" w:cs="Times New Roman"/>
          <w:color w:val="000000" w:themeColor="text1"/>
          <w:sz w:val="24"/>
          <w:szCs w:val="24"/>
          <w:lang w:val="en"/>
        </w:rPr>
        <w:t xml:space="preserve">5% </w:t>
      </w:r>
      <w:r w:rsidR="004A7104">
        <w:rPr>
          <w:rStyle w:val="rynqvb"/>
          <w:rFonts w:ascii="Times New Roman" w:hAnsi="Times New Roman" w:cs="Times New Roman"/>
          <w:color w:val="000000" w:themeColor="text1"/>
          <w:sz w:val="24"/>
          <w:szCs w:val="24"/>
          <w:lang w:val="en"/>
        </w:rPr>
        <w:t>i</w:t>
      </w:r>
      <w:r w:rsidR="00BA5238" w:rsidRPr="00BA5238">
        <w:rPr>
          <w:rStyle w:val="rynqvb"/>
          <w:rFonts w:ascii="Times New Roman" w:hAnsi="Times New Roman" w:cs="Times New Roman"/>
          <w:color w:val="000000" w:themeColor="text1"/>
          <w:sz w:val="24"/>
          <w:szCs w:val="24"/>
          <w:lang w:val="en"/>
        </w:rPr>
        <w:t>n 2002, to 5.7% in 2021</w:t>
      </w:r>
      <w:r w:rsidR="00913FB2" w:rsidRPr="00BA5238">
        <w:rPr>
          <w:rFonts w:ascii="Times New Roman" w:hAnsi="Times New Roman" w:cs="Times New Roman"/>
          <w:color w:val="000000" w:themeColor="text1"/>
          <w:sz w:val="24"/>
          <w:szCs w:val="24"/>
          <w:lang w:val="mk-MK"/>
        </w:rPr>
        <w:t xml:space="preserve">.  </w:t>
      </w:r>
      <w:r w:rsidR="00DA18EC" w:rsidRPr="00BA5238">
        <w:rPr>
          <w:rFonts w:ascii="Times New Roman" w:hAnsi="Times New Roman" w:cs="Times New Roman"/>
          <w:color w:val="000000" w:themeColor="text1"/>
          <w:sz w:val="24"/>
          <w:szCs w:val="24"/>
          <w:lang w:val="mk-MK"/>
        </w:rPr>
        <w:t xml:space="preserve">  </w:t>
      </w:r>
    </w:p>
    <w:p w14:paraId="061A55FD" w14:textId="4E7C9E99" w:rsidR="00B07C40" w:rsidRPr="008A2497" w:rsidRDefault="008A2497" w:rsidP="005F75AA">
      <w:pPr>
        <w:spacing w:after="0"/>
        <w:jc w:val="both"/>
        <w:rPr>
          <w:rFonts w:ascii="Times New Roman" w:hAnsi="Times New Roman" w:cs="Times New Roman"/>
          <w:sz w:val="24"/>
          <w:szCs w:val="24"/>
          <w:lang w:val="mk-MK"/>
        </w:rPr>
      </w:pPr>
      <w:r w:rsidRPr="008A2497">
        <w:rPr>
          <w:rFonts w:ascii="Times New Roman" w:hAnsi="Times New Roman" w:cs="Times New Roman"/>
          <w:sz w:val="24"/>
          <w:szCs w:val="24"/>
          <w:lang w:val="mk-MK"/>
        </w:rPr>
        <w:t>Т</w:t>
      </w:r>
      <w:r w:rsidRPr="008A2497">
        <w:rPr>
          <w:rStyle w:val="rynqvb"/>
          <w:rFonts w:ascii="Times New Roman" w:hAnsi="Times New Roman" w:cs="Times New Roman"/>
          <w:sz w:val="24"/>
          <w:szCs w:val="24"/>
          <w:lang w:val="en"/>
        </w:rPr>
        <w:t xml:space="preserve">he </w:t>
      </w:r>
      <w:r w:rsidR="00E71E67">
        <w:rPr>
          <w:rStyle w:val="rynqvb"/>
          <w:rFonts w:ascii="Times New Roman" w:hAnsi="Times New Roman" w:cs="Times New Roman"/>
          <w:sz w:val="24"/>
          <w:szCs w:val="24"/>
          <w:lang w:val="en"/>
        </w:rPr>
        <w:t>total</w:t>
      </w:r>
      <w:r w:rsidRPr="008A2497">
        <w:rPr>
          <w:rStyle w:val="rynqvb"/>
          <w:rFonts w:ascii="Times New Roman" w:hAnsi="Times New Roman" w:cs="Times New Roman"/>
          <w:sz w:val="24"/>
          <w:szCs w:val="24"/>
          <w:lang w:val="en"/>
        </w:rPr>
        <w:t xml:space="preserve"> population </w:t>
      </w:r>
      <w:r w:rsidR="00012E22">
        <w:rPr>
          <w:rStyle w:val="rynqvb"/>
          <w:rFonts w:ascii="Times New Roman" w:hAnsi="Times New Roman" w:cs="Times New Roman"/>
          <w:sz w:val="24"/>
          <w:szCs w:val="24"/>
          <w:lang w:val="en"/>
        </w:rPr>
        <w:t xml:space="preserve">in </w:t>
      </w:r>
      <w:r w:rsidR="00012E22" w:rsidRPr="008A2497">
        <w:rPr>
          <w:rStyle w:val="rynqvb"/>
          <w:rFonts w:ascii="Times New Roman" w:hAnsi="Times New Roman" w:cs="Times New Roman"/>
          <w:sz w:val="24"/>
          <w:szCs w:val="24"/>
          <w:lang w:val="en"/>
        </w:rPr>
        <w:t xml:space="preserve">Vardar region </w:t>
      </w:r>
      <w:r w:rsidRPr="008A2497">
        <w:rPr>
          <w:rStyle w:val="rynqvb"/>
          <w:rFonts w:ascii="Times New Roman" w:hAnsi="Times New Roman" w:cs="Times New Roman"/>
          <w:sz w:val="24"/>
          <w:szCs w:val="24"/>
          <w:lang w:val="en"/>
        </w:rPr>
        <w:t xml:space="preserve">municipalities corresponds to the size of their </w:t>
      </w:r>
      <w:r>
        <w:rPr>
          <w:rStyle w:val="rynqvb"/>
          <w:rFonts w:ascii="Times New Roman" w:hAnsi="Times New Roman" w:cs="Times New Roman"/>
          <w:sz w:val="24"/>
          <w:szCs w:val="24"/>
          <w:lang w:val="en"/>
        </w:rPr>
        <w:t>territory</w:t>
      </w:r>
      <w:r w:rsidRPr="008A2497">
        <w:rPr>
          <w:rStyle w:val="rynqvb"/>
          <w:rFonts w:ascii="Times New Roman" w:hAnsi="Times New Roman" w:cs="Times New Roman"/>
          <w:sz w:val="24"/>
          <w:szCs w:val="24"/>
          <w:lang w:val="en"/>
        </w:rPr>
        <w:t xml:space="preserve"> and the population density.</w:t>
      </w:r>
      <w:r w:rsidRPr="008A2497">
        <w:rPr>
          <w:rStyle w:val="hwtze"/>
          <w:rFonts w:ascii="Times New Roman" w:hAnsi="Times New Roman" w:cs="Times New Roman"/>
          <w:sz w:val="24"/>
          <w:szCs w:val="24"/>
          <w:lang w:val="en"/>
        </w:rPr>
        <w:t xml:space="preserve"> </w:t>
      </w:r>
      <w:r w:rsidR="0093015F">
        <w:rPr>
          <w:rStyle w:val="rynqvb"/>
          <w:rFonts w:ascii="Times New Roman" w:hAnsi="Times New Roman" w:cs="Times New Roman"/>
          <w:sz w:val="24"/>
          <w:szCs w:val="24"/>
          <w:lang w:val="en"/>
        </w:rPr>
        <w:t>I</w:t>
      </w:r>
      <w:r w:rsidRPr="008A2497">
        <w:rPr>
          <w:rStyle w:val="rynqvb"/>
          <w:rFonts w:ascii="Times New Roman" w:hAnsi="Times New Roman" w:cs="Times New Roman"/>
          <w:sz w:val="24"/>
          <w:szCs w:val="24"/>
          <w:lang w:val="en"/>
        </w:rPr>
        <w:t xml:space="preserve">n all municipalities, the reduction of the </w:t>
      </w:r>
      <w:r w:rsidR="00012E22">
        <w:rPr>
          <w:rStyle w:val="rynqvb"/>
          <w:rFonts w:ascii="Times New Roman" w:hAnsi="Times New Roman" w:cs="Times New Roman"/>
          <w:sz w:val="24"/>
          <w:szCs w:val="24"/>
          <w:lang w:val="en"/>
        </w:rPr>
        <w:t>total</w:t>
      </w:r>
      <w:r w:rsidRPr="008A2497">
        <w:rPr>
          <w:rStyle w:val="rynqvb"/>
          <w:rFonts w:ascii="Times New Roman" w:hAnsi="Times New Roman" w:cs="Times New Roman"/>
          <w:sz w:val="24"/>
          <w:szCs w:val="24"/>
          <w:lang w:val="en"/>
        </w:rPr>
        <w:t xml:space="preserve"> population is also reflected in the reduction of the population density.</w:t>
      </w:r>
      <w:r w:rsidRPr="008A2497">
        <w:rPr>
          <w:rStyle w:val="hwtze"/>
          <w:rFonts w:ascii="Times New Roman" w:hAnsi="Times New Roman" w:cs="Times New Roman"/>
          <w:sz w:val="24"/>
          <w:szCs w:val="24"/>
          <w:lang w:val="en"/>
        </w:rPr>
        <w:t xml:space="preserve"> </w:t>
      </w:r>
      <w:r w:rsidRPr="008A2497">
        <w:rPr>
          <w:rStyle w:val="rynqvb"/>
          <w:rFonts w:ascii="Times New Roman" w:hAnsi="Times New Roman" w:cs="Times New Roman"/>
          <w:sz w:val="24"/>
          <w:szCs w:val="24"/>
          <w:lang w:val="en"/>
        </w:rPr>
        <w:t xml:space="preserve">Only in </w:t>
      </w:r>
      <w:r w:rsidR="00B6336B">
        <w:rPr>
          <w:rStyle w:val="rynqvb"/>
          <w:rFonts w:ascii="Times New Roman" w:hAnsi="Times New Roman" w:cs="Times New Roman"/>
          <w:sz w:val="24"/>
          <w:szCs w:val="24"/>
          <w:lang w:val="en"/>
        </w:rPr>
        <w:t>Chaska</w:t>
      </w:r>
      <w:r w:rsidRPr="008A2497">
        <w:rPr>
          <w:rStyle w:val="rynqvb"/>
          <w:rFonts w:ascii="Times New Roman" w:hAnsi="Times New Roman" w:cs="Times New Roman"/>
          <w:sz w:val="24"/>
          <w:szCs w:val="24"/>
          <w:lang w:val="en"/>
        </w:rPr>
        <w:t xml:space="preserve"> </w:t>
      </w:r>
      <w:r w:rsidR="00B61FA5" w:rsidRPr="008A2497">
        <w:rPr>
          <w:rStyle w:val="rynqvb"/>
          <w:rFonts w:ascii="Times New Roman" w:hAnsi="Times New Roman" w:cs="Times New Roman"/>
          <w:sz w:val="24"/>
          <w:szCs w:val="24"/>
          <w:lang w:val="en"/>
        </w:rPr>
        <w:t xml:space="preserve">municipality </w:t>
      </w:r>
      <w:r w:rsidRPr="008A2497">
        <w:rPr>
          <w:rStyle w:val="rynqvb"/>
          <w:rFonts w:ascii="Times New Roman" w:hAnsi="Times New Roman" w:cs="Times New Roman"/>
          <w:sz w:val="24"/>
          <w:szCs w:val="24"/>
          <w:lang w:val="en"/>
        </w:rPr>
        <w:t>there is a positive change in population density, i.e. grew from 9.4 to 9.7 inhabitants per</w:t>
      </w:r>
      <w:r w:rsidRPr="008A2497">
        <w:rPr>
          <w:rFonts w:ascii="Times New Roman" w:hAnsi="Times New Roman" w:cs="Times New Roman"/>
          <w:sz w:val="24"/>
          <w:szCs w:val="24"/>
          <w:lang w:val="en"/>
        </w:rPr>
        <w:t xml:space="preserve"> </w:t>
      </w:r>
      <w:r>
        <w:rPr>
          <w:rStyle w:val="rynqvb"/>
          <w:rFonts w:ascii="Times New Roman" w:hAnsi="Times New Roman" w:cs="Times New Roman"/>
          <w:sz w:val="24"/>
          <w:szCs w:val="24"/>
          <w:lang w:val="en"/>
        </w:rPr>
        <w:t>km</w:t>
      </w:r>
      <w:r w:rsidRPr="00026EEC">
        <w:rPr>
          <w:rFonts w:ascii="Times New Roman" w:hAnsi="Times New Roman" w:cs="Times New Roman"/>
          <w:bCs/>
          <w:sz w:val="24"/>
          <w:szCs w:val="24"/>
          <w:vertAlign w:val="superscript"/>
          <w:lang w:val="mk-MK"/>
        </w:rPr>
        <w:t>2</w:t>
      </w:r>
      <w:r w:rsidR="00AB7C81" w:rsidRPr="008A2497">
        <w:rPr>
          <w:rFonts w:ascii="Times New Roman" w:hAnsi="Times New Roman" w:cs="Times New Roman"/>
          <w:sz w:val="24"/>
          <w:szCs w:val="24"/>
          <w:lang w:val="mk-MK"/>
        </w:rPr>
        <w:t>.</w:t>
      </w:r>
      <w:r>
        <w:rPr>
          <w:rStyle w:val="FootnoteReference"/>
          <w:rFonts w:ascii="Times New Roman" w:hAnsi="Times New Roman" w:cs="Times New Roman"/>
          <w:sz w:val="24"/>
          <w:szCs w:val="24"/>
          <w:lang w:val="mk-MK"/>
        </w:rPr>
        <w:footnoteReference w:id="5"/>
      </w:r>
      <w:r w:rsidR="009A71A6" w:rsidRPr="008A2497">
        <w:rPr>
          <w:rFonts w:ascii="Times New Roman" w:hAnsi="Times New Roman" w:cs="Times New Roman"/>
          <w:sz w:val="24"/>
          <w:szCs w:val="24"/>
          <w:lang w:val="mk-MK"/>
        </w:rPr>
        <w:t xml:space="preserve"> </w:t>
      </w:r>
    </w:p>
    <w:p w14:paraId="3689604A" w14:textId="7267D771" w:rsidR="00381BAF" w:rsidRDefault="008A2497" w:rsidP="00E16645">
      <w:pPr>
        <w:jc w:val="both"/>
        <w:rPr>
          <w:rStyle w:val="rynqvb"/>
          <w:lang w:val="en"/>
        </w:rPr>
      </w:pPr>
      <w:r w:rsidRPr="008A2497">
        <w:rPr>
          <w:rStyle w:val="rynqvb"/>
          <w:rFonts w:ascii="Times New Roman" w:hAnsi="Times New Roman" w:cs="Times New Roman"/>
          <w:sz w:val="24"/>
          <w:szCs w:val="24"/>
          <w:lang w:val="en"/>
        </w:rPr>
        <w:t>When analyzing the situation of the population according to five-year age groups, it should</w:t>
      </w:r>
      <w:r w:rsidR="00C63393">
        <w:rPr>
          <w:rStyle w:val="rynqvb"/>
          <w:rFonts w:ascii="Times New Roman" w:hAnsi="Times New Roman" w:cs="Times New Roman"/>
          <w:sz w:val="24"/>
          <w:szCs w:val="24"/>
          <w:lang w:val="en"/>
        </w:rPr>
        <w:t xml:space="preserve"> be pointed out that in the </w:t>
      </w:r>
      <w:r w:rsidRPr="008A2497">
        <w:rPr>
          <w:rStyle w:val="rynqvb"/>
          <w:rFonts w:ascii="Times New Roman" w:hAnsi="Times New Roman" w:cs="Times New Roman"/>
          <w:sz w:val="24"/>
          <w:szCs w:val="24"/>
          <w:lang w:val="en"/>
        </w:rPr>
        <w:t xml:space="preserve">Census </w:t>
      </w:r>
      <w:r w:rsidR="00C63393">
        <w:rPr>
          <w:rStyle w:val="rynqvb"/>
          <w:rFonts w:ascii="Times New Roman" w:hAnsi="Times New Roman" w:cs="Times New Roman"/>
          <w:sz w:val="24"/>
          <w:szCs w:val="24"/>
          <w:lang w:val="en"/>
        </w:rPr>
        <w:t xml:space="preserve">2002 </w:t>
      </w:r>
      <w:r w:rsidRPr="008A2497">
        <w:rPr>
          <w:rStyle w:val="rynqvb"/>
          <w:rFonts w:ascii="Times New Roman" w:hAnsi="Times New Roman" w:cs="Times New Roman"/>
          <w:sz w:val="24"/>
          <w:szCs w:val="24"/>
          <w:lang w:val="en"/>
        </w:rPr>
        <w:t xml:space="preserve">there was also a group of "unknown age", which has a small </w:t>
      </w:r>
      <w:r w:rsidR="00B61FA5">
        <w:rPr>
          <w:rStyle w:val="rynqvb"/>
          <w:rFonts w:ascii="Times New Roman" w:hAnsi="Times New Roman" w:cs="Times New Roman"/>
          <w:sz w:val="24"/>
          <w:szCs w:val="24"/>
          <w:lang w:val="en"/>
        </w:rPr>
        <w:t>absolute value</w:t>
      </w:r>
      <w:r w:rsidRPr="008A2497">
        <w:rPr>
          <w:rStyle w:val="rynqvb"/>
          <w:rFonts w:ascii="Times New Roman" w:hAnsi="Times New Roman" w:cs="Times New Roman"/>
          <w:sz w:val="24"/>
          <w:szCs w:val="24"/>
          <w:lang w:val="en"/>
        </w:rPr>
        <w:t xml:space="preserve"> and does not affect the </w:t>
      </w:r>
      <w:r w:rsidR="0093015F" w:rsidRPr="00B61D39">
        <w:rPr>
          <w:rStyle w:val="rynqvb"/>
          <w:rFonts w:ascii="Times New Roman" w:hAnsi="Times New Roman" w:cs="Times New Roman"/>
          <w:sz w:val="24"/>
          <w:szCs w:val="24"/>
          <w:lang w:val="en"/>
        </w:rPr>
        <w:t>percentage share</w:t>
      </w:r>
      <w:r w:rsidRPr="00B61D39">
        <w:rPr>
          <w:rStyle w:val="rynqvb"/>
          <w:rFonts w:ascii="Times New Roman" w:hAnsi="Times New Roman" w:cs="Times New Roman"/>
          <w:sz w:val="24"/>
          <w:szCs w:val="24"/>
          <w:lang w:val="en"/>
        </w:rPr>
        <w:t xml:space="preserve"> </w:t>
      </w:r>
      <w:r w:rsidRPr="008A2497">
        <w:rPr>
          <w:rStyle w:val="rynqvb"/>
          <w:rFonts w:ascii="Times New Roman" w:hAnsi="Times New Roman" w:cs="Times New Roman"/>
          <w:sz w:val="24"/>
          <w:szCs w:val="24"/>
          <w:lang w:val="en"/>
        </w:rPr>
        <w:t>distribution</w:t>
      </w:r>
      <w:r>
        <w:rPr>
          <w:rStyle w:val="rynqvb"/>
          <w:lang w:val="en"/>
        </w:rPr>
        <w:t>.</w:t>
      </w:r>
    </w:p>
    <w:p w14:paraId="14C0F773" w14:textId="77777777" w:rsidR="00DB4BFA" w:rsidRDefault="00DB4BFA" w:rsidP="00E16645">
      <w:pPr>
        <w:jc w:val="both"/>
        <w:rPr>
          <w:rStyle w:val="rynqvb"/>
          <w:lang w:val="en"/>
        </w:rPr>
      </w:pPr>
    </w:p>
    <w:p w14:paraId="5BF54269" w14:textId="04F3F546" w:rsidR="005F1209" w:rsidRDefault="005F1209" w:rsidP="00E16645">
      <w:pPr>
        <w:jc w:val="both"/>
        <w:rPr>
          <w:rStyle w:val="rynqvb"/>
          <w:lang w:val="en"/>
        </w:rPr>
      </w:pPr>
      <w:r w:rsidRPr="00381BAF">
        <w:rPr>
          <w:noProof/>
          <w:lang w:val="mk-MK" w:eastAsia="mk-MK"/>
        </w:rPr>
        <w:lastRenderedPageBreak/>
        <w:drawing>
          <wp:inline distT="0" distB="0" distL="0" distR="0" wp14:anchorId="1E153355" wp14:editId="7AE88001">
            <wp:extent cx="5731510" cy="2826913"/>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826913"/>
                    </a:xfrm>
                    <a:prstGeom prst="rect">
                      <a:avLst/>
                    </a:prstGeom>
                    <a:noFill/>
                    <a:ln>
                      <a:noFill/>
                    </a:ln>
                  </pic:spPr>
                </pic:pic>
              </a:graphicData>
            </a:graphic>
          </wp:inline>
        </w:drawing>
      </w:r>
    </w:p>
    <w:p w14:paraId="3F94210F" w14:textId="30C5013C" w:rsidR="00B61D39" w:rsidRDefault="00B61D39" w:rsidP="00E16645">
      <w:pPr>
        <w:jc w:val="both"/>
        <w:rPr>
          <w:rFonts w:ascii="Times New Roman" w:hAnsi="Times New Roman" w:cs="Times New Roman"/>
          <w:sz w:val="24"/>
          <w:szCs w:val="24"/>
          <w:lang w:val="mk-MK"/>
        </w:rPr>
      </w:pPr>
    </w:p>
    <w:p w14:paraId="10CD2AE6" w14:textId="29F373B3" w:rsidR="00B61D39" w:rsidRDefault="00B61D39" w:rsidP="00E16645">
      <w:pPr>
        <w:jc w:val="both"/>
        <w:rPr>
          <w:rFonts w:ascii="Times New Roman" w:hAnsi="Times New Roman" w:cs="Times New Roman"/>
          <w:sz w:val="24"/>
          <w:szCs w:val="24"/>
          <w:lang w:val="mk-MK"/>
        </w:rPr>
      </w:pPr>
    </w:p>
    <w:p w14:paraId="7BAA7211" w14:textId="54E6E06C" w:rsidR="00B61D39" w:rsidRDefault="00B61D39" w:rsidP="00E16645">
      <w:pPr>
        <w:jc w:val="both"/>
        <w:rPr>
          <w:rFonts w:ascii="Times New Roman" w:hAnsi="Times New Roman" w:cs="Times New Roman"/>
          <w:sz w:val="24"/>
          <w:szCs w:val="24"/>
          <w:lang w:val="mk-MK"/>
        </w:rPr>
      </w:pPr>
    </w:p>
    <w:p w14:paraId="383C7EF4" w14:textId="03DF29D1" w:rsidR="00B61D39" w:rsidRDefault="00B61D39" w:rsidP="00E16645">
      <w:pPr>
        <w:jc w:val="both"/>
        <w:rPr>
          <w:rFonts w:ascii="Times New Roman" w:hAnsi="Times New Roman" w:cs="Times New Roman"/>
          <w:sz w:val="24"/>
          <w:szCs w:val="24"/>
          <w:lang w:val="mk-MK"/>
        </w:rPr>
      </w:pPr>
    </w:p>
    <w:p w14:paraId="2353DBDE" w14:textId="63269C2D" w:rsidR="00B61D39" w:rsidRDefault="00B61D39" w:rsidP="00E16645">
      <w:pPr>
        <w:jc w:val="both"/>
        <w:rPr>
          <w:rFonts w:ascii="Times New Roman" w:hAnsi="Times New Roman" w:cs="Times New Roman"/>
          <w:sz w:val="24"/>
          <w:szCs w:val="24"/>
          <w:lang w:val="mk-MK"/>
        </w:rPr>
      </w:pPr>
    </w:p>
    <w:p w14:paraId="5CA8F738" w14:textId="77777777" w:rsidR="00B61D39" w:rsidRPr="00381BAF" w:rsidRDefault="00B61D39" w:rsidP="00E16645">
      <w:pPr>
        <w:jc w:val="both"/>
        <w:rPr>
          <w:rFonts w:ascii="Times New Roman" w:hAnsi="Times New Roman" w:cs="Times New Roman"/>
          <w:sz w:val="24"/>
          <w:szCs w:val="24"/>
          <w:lang w:val="mk-MK"/>
        </w:rPr>
      </w:pPr>
    </w:p>
    <w:p w14:paraId="0E5E78AC" w14:textId="795668C2" w:rsidR="00381BAF" w:rsidRDefault="00381BAF" w:rsidP="00E16645">
      <w:pPr>
        <w:jc w:val="both"/>
        <w:rPr>
          <w:rFonts w:ascii="Times New Roman" w:hAnsi="Times New Roman" w:cs="Times New Roman"/>
          <w:color w:val="FF0000"/>
          <w:sz w:val="24"/>
          <w:szCs w:val="24"/>
          <w:lang w:val="mk-MK"/>
        </w:rPr>
      </w:pPr>
    </w:p>
    <w:p w14:paraId="28C518A6" w14:textId="19F697AD" w:rsidR="00381BAF" w:rsidRDefault="00381BAF" w:rsidP="00E16645">
      <w:pPr>
        <w:jc w:val="both"/>
        <w:rPr>
          <w:rFonts w:ascii="Times New Roman" w:hAnsi="Times New Roman" w:cs="Times New Roman"/>
          <w:color w:val="FF0000"/>
          <w:sz w:val="24"/>
          <w:szCs w:val="24"/>
          <w:lang w:val="mk-MK"/>
        </w:rPr>
        <w:sectPr w:rsidR="00381BAF" w:rsidSect="00554F98">
          <w:pgSz w:w="11906" w:h="16838"/>
          <w:pgMar w:top="1440" w:right="1440" w:bottom="1440" w:left="1440" w:header="708" w:footer="708" w:gutter="0"/>
          <w:cols w:space="708"/>
          <w:docGrid w:linePitch="360"/>
        </w:sectPr>
      </w:pPr>
      <w:r w:rsidRPr="00381BAF">
        <w:rPr>
          <w:noProof/>
          <w:lang w:val="mk-MK" w:eastAsia="mk-MK"/>
        </w:rPr>
        <w:lastRenderedPageBreak/>
        <w:drawing>
          <wp:inline distT="0" distB="0" distL="0" distR="0" wp14:anchorId="3FE9CE22" wp14:editId="10D94DD6">
            <wp:extent cx="6512400" cy="4266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12400" cy="4266000"/>
                    </a:xfrm>
                    <a:prstGeom prst="rect">
                      <a:avLst/>
                    </a:prstGeom>
                    <a:noFill/>
                    <a:ln>
                      <a:noFill/>
                    </a:ln>
                  </pic:spPr>
                </pic:pic>
              </a:graphicData>
            </a:graphic>
          </wp:inline>
        </w:drawing>
      </w:r>
    </w:p>
    <w:p w14:paraId="470813C0" w14:textId="1711D027" w:rsidR="00C77BE7" w:rsidRPr="00B61D39" w:rsidRDefault="0093015F" w:rsidP="00B61FA5">
      <w:pPr>
        <w:spacing w:after="0"/>
        <w:jc w:val="both"/>
        <w:rPr>
          <w:rStyle w:val="rynqvb"/>
          <w:rFonts w:ascii="Times New Roman" w:hAnsi="Times New Roman" w:cs="Times New Roman"/>
          <w:sz w:val="24"/>
          <w:szCs w:val="24"/>
          <w:lang w:val="en"/>
        </w:rPr>
      </w:pPr>
      <w:r w:rsidRPr="00B61D39">
        <w:rPr>
          <w:rStyle w:val="rynqvb"/>
          <w:rFonts w:ascii="Times New Roman" w:hAnsi="Times New Roman" w:cs="Times New Roman"/>
          <w:sz w:val="24"/>
          <w:szCs w:val="24"/>
          <w:lang w:val="en"/>
        </w:rPr>
        <w:lastRenderedPageBreak/>
        <w:t>P</w:t>
      </w:r>
      <w:r w:rsidR="00C77BE7" w:rsidRPr="00B61D39">
        <w:rPr>
          <w:rStyle w:val="rynqvb"/>
          <w:rFonts w:ascii="Times New Roman" w:hAnsi="Times New Roman" w:cs="Times New Roman"/>
          <w:sz w:val="24"/>
          <w:szCs w:val="24"/>
          <w:lang w:val="en"/>
        </w:rPr>
        <w:t xml:space="preserve">resented numerical situation and </w:t>
      </w:r>
      <w:r w:rsidRPr="00B61D39">
        <w:rPr>
          <w:rStyle w:val="rynqvb"/>
          <w:rFonts w:ascii="Times New Roman" w:hAnsi="Times New Roman" w:cs="Times New Roman"/>
          <w:sz w:val="24"/>
          <w:szCs w:val="24"/>
          <w:lang w:val="en"/>
        </w:rPr>
        <w:t>percentage share</w:t>
      </w:r>
      <w:r w:rsidR="00C77BE7" w:rsidRPr="00B61D39">
        <w:rPr>
          <w:rStyle w:val="rynqvb"/>
          <w:rFonts w:ascii="Times New Roman" w:hAnsi="Times New Roman" w:cs="Times New Roman"/>
          <w:sz w:val="24"/>
          <w:szCs w:val="24"/>
          <w:lang w:val="en"/>
        </w:rPr>
        <w:t xml:space="preserve"> of the population by age groups (Table 3) indicates that at </w:t>
      </w:r>
      <w:r w:rsidR="00C46EC8" w:rsidRPr="00B61D39">
        <w:rPr>
          <w:rStyle w:val="rynqvb"/>
          <w:rFonts w:ascii="Times New Roman" w:hAnsi="Times New Roman" w:cs="Times New Roman"/>
          <w:sz w:val="24"/>
          <w:szCs w:val="24"/>
          <w:lang w:val="en"/>
        </w:rPr>
        <w:t>national</w:t>
      </w:r>
      <w:r w:rsidR="00C77BE7" w:rsidRPr="00B61D39">
        <w:rPr>
          <w:rStyle w:val="rynqvb"/>
          <w:rFonts w:ascii="Times New Roman" w:hAnsi="Times New Roman" w:cs="Times New Roman"/>
          <w:sz w:val="24"/>
          <w:szCs w:val="24"/>
          <w:lang w:val="en"/>
        </w:rPr>
        <w:t xml:space="preserve"> level, the </w:t>
      </w:r>
      <w:r w:rsidRPr="00B61D39">
        <w:rPr>
          <w:rStyle w:val="rynqvb"/>
          <w:rFonts w:ascii="Times New Roman" w:hAnsi="Times New Roman" w:cs="Times New Roman"/>
          <w:sz w:val="24"/>
          <w:szCs w:val="24"/>
          <w:lang w:val="en"/>
        </w:rPr>
        <w:t>median</w:t>
      </w:r>
      <w:r w:rsidR="00C77BE7" w:rsidRPr="00B61D39">
        <w:rPr>
          <w:rStyle w:val="rynqvb"/>
          <w:rFonts w:ascii="Times New Roman" w:hAnsi="Times New Roman" w:cs="Times New Roman"/>
          <w:sz w:val="24"/>
          <w:szCs w:val="24"/>
          <w:lang w:val="en"/>
        </w:rPr>
        <w:t xml:space="preserve"> age increases from 35 to 40.8 years.</w:t>
      </w:r>
      <w:r w:rsidR="00F72831">
        <w:rPr>
          <w:rStyle w:val="rynqvb"/>
          <w:rFonts w:ascii="Times New Roman" w:hAnsi="Times New Roman" w:cs="Times New Roman"/>
          <w:sz w:val="24"/>
          <w:szCs w:val="24"/>
          <w:lang w:val="en"/>
        </w:rPr>
        <w:t xml:space="preserve"> Median age (together with</w:t>
      </w:r>
      <w:r w:rsidR="00F72831" w:rsidRPr="00F72831">
        <w:t xml:space="preserve"> </w:t>
      </w:r>
      <w:r w:rsidR="00F72831" w:rsidRPr="00F72831">
        <w:rPr>
          <w:rStyle w:val="rynqvb"/>
          <w:rFonts w:ascii="Times New Roman" w:hAnsi="Times New Roman" w:cs="Times New Roman"/>
          <w:sz w:val="24"/>
          <w:szCs w:val="24"/>
          <w:lang w:val="en"/>
        </w:rPr>
        <w:t xml:space="preserve">share </w:t>
      </w:r>
      <w:r w:rsidR="00F72831">
        <w:rPr>
          <w:rStyle w:val="rynqvb"/>
          <w:rFonts w:ascii="Times New Roman" w:hAnsi="Times New Roman" w:cs="Times New Roman"/>
          <w:sz w:val="24"/>
          <w:szCs w:val="24"/>
          <w:lang w:val="en"/>
        </w:rPr>
        <w:t>of the total population under 20, under 40 and over 60</w:t>
      </w:r>
      <w:r w:rsidR="00F72831" w:rsidRPr="00F72831">
        <w:rPr>
          <w:rStyle w:val="rynqvb"/>
          <w:rFonts w:ascii="Times New Roman" w:hAnsi="Times New Roman" w:cs="Times New Roman"/>
          <w:sz w:val="24"/>
          <w:szCs w:val="24"/>
          <w:lang w:val="en"/>
        </w:rPr>
        <w:t>, as well as the aging index</w:t>
      </w:r>
      <w:r w:rsidR="00F72831">
        <w:rPr>
          <w:rStyle w:val="rynqvb"/>
          <w:rFonts w:ascii="Times New Roman" w:hAnsi="Times New Roman" w:cs="Times New Roman"/>
          <w:sz w:val="24"/>
          <w:szCs w:val="24"/>
          <w:lang w:val="en"/>
        </w:rPr>
        <w:t xml:space="preserve">), </w:t>
      </w:r>
      <w:r w:rsidR="00C77BE7" w:rsidRPr="00B61D39">
        <w:rPr>
          <w:rStyle w:val="rynqvb"/>
          <w:rFonts w:ascii="Times New Roman" w:hAnsi="Times New Roman" w:cs="Times New Roman"/>
          <w:sz w:val="24"/>
          <w:szCs w:val="24"/>
          <w:lang w:val="en"/>
        </w:rPr>
        <w:t>causes a change in the population aging rank from 5 (demographic age) to 6 (deep demographic age).</w:t>
      </w:r>
      <w:r w:rsidR="00C77BE7" w:rsidRPr="00B61D39">
        <w:rPr>
          <w:rStyle w:val="hwtze"/>
          <w:rFonts w:ascii="Times New Roman" w:hAnsi="Times New Roman" w:cs="Times New Roman"/>
          <w:sz w:val="24"/>
          <w:szCs w:val="24"/>
          <w:lang w:val="en"/>
        </w:rPr>
        <w:t xml:space="preserve"> </w:t>
      </w:r>
      <w:r w:rsidR="00C77BE7" w:rsidRPr="00B61D39">
        <w:rPr>
          <w:rStyle w:val="rynqvb"/>
          <w:rFonts w:ascii="Times New Roman" w:hAnsi="Times New Roman" w:cs="Times New Roman"/>
          <w:sz w:val="24"/>
          <w:szCs w:val="24"/>
          <w:lang w:val="en"/>
        </w:rPr>
        <w:t>The Vardar region follows th</w:t>
      </w:r>
      <w:r w:rsidR="00B61FA5" w:rsidRPr="00B61D39">
        <w:rPr>
          <w:rStyle w:val="rynqvb"/>
          <w:rFonts w:ascii="Times New Roman" w:hAnsi="Times New Roman" w:cs="Times New Roman"/>
          <w:sz w:val="24"/>
          <w:szCs w:val="24"/>
          <w:lang w:val="en"/>
        </w:rPr>
        <w:t xml:space="preserve">is </w:t>
      </w:r>
      <w:r w:rsidR="00C77BE7" w:rsidRPr="00B61D39">
        <w:rPr>
          <w:rStyle w:val="rynqvb"/>
          <w:rFonts w:ascii="Times New Roman" w:hAnsi="Times New Roman" w:cs="Times New Roman"/>
          <w:sz w:val="24"/>
          <w:szCs w:val="24"/>
          <w:lang w:val="en"/>
        </w:rPr>
        <w:t xml:space="preserve">trend, i.e. the </w:t>
      </w:r>
      <w:r w:rsidR="00B61FA5" w:rsidRPr="00B61D39">
        <w:rPr>
          <w:rStyle w:val="rynqvb"/>
          <w:rFonts w:ascii="Times New Roman" w:hAnsi="Times New Roman" w:cs="Times New Roman"/>
          <w:sz w:val="24"/>
          <w:szCs w:val="24"/>
          <w:lang w:val="en"/>
        </w:rPr>
        <w:t>median</w:t>
      </w:r>
      <w:r w:rsidR="00C77BE7" w:rsidRPr="00B61D39">
        <w:rPr>
          <w:rStyle w:val="rynqvb"/>
          <w:rFonts w:ascii="Times New Roman" w:hAnsi="Times New Roman" w:cs="Times New Roman"/>
          <w:sz w:val="24"/>
          <w:szCs w:val="24"/>
          <w:lang w:val="en"/>
        </w:rPr>
        <w:t xml:space="preserve"> age of 36.3 years has grown to 42.2 years and </w:t>
      </w:r>
      <w:r w:rsidRPr="00B61D39">
        <w:rPr>
          <w:rStyle w:val="rynqvb"/>
          <w:rFonts w:ascii="Times New Roman" w:hAnsi="Times New Roman" w:cs="Times New Roman"/>
          <w:sz w:val="24"/>
          <w:szCs w:val="24"/>
          <w:lang w:val="en"/>
        </w:rPr>
        <w:t xml:space="preserve">the population aging rank </w:t>
      </w:r>
      <w:r w:rsidR="00C77BE7" w:rsidRPr="00B61D39">
        <w:rPr>
          <w:rStyle w:val="rynqvb"/>
          <w:rFonts w:ascii="Times New Roman" w:hAnsi="Times New Roman" w:cs="Times New Roman"/>
          <w:sz w:val="24"/>
          <w:szCs w:val="24"/>
          <w:lang w:val="en"/>
        </w:rPr>
        <w:t>mov</w:t>
      </w:r>
      <w:r w:rsidR="00B61FA5" w:rsidRPr="00B61D39">
        <w:rPr>
          <w:rStyle w:val="rynqvb"/>
          <w:rFonts w:ascii="Times New Roman" w:hAnsi="Times New Roman" w:cs="Times New Roman"/>
          <w:sz w:val="24"/>
          <w:szCs w:val="24"/>
          <w:lang w:val="en"/>
        </w:rPr>
        <w:t>ed</w:t>
      </w:r>
      <w:r w:rsidR="00C77BE7" w:rsidRPr="00B61D39">
        <w:rPr>
          <w:rStyle w:val="rynqvb"/>
          <w:rFonts w:ascii="Times New Roman" w:hAnsi="Times New Roman" w:cs="Times New Roman"/>
          <w:sz w:val="24"/>
          <w:szCs w:val="24"/>
          <w:lang w:val="en"/>
        </w:rPr>
        <w:t xml:space="preserve"> from 5 to 6.</w:t>
      </w:r>
      <w:r w:rsidR="00C77BE7" w:rsidRPr="00B61D39">
        <w:rPr>
          <w:rStyle w:val="hwtze"/>
          <w:rFonts w:ascii="Times New Roman" w:hAnsi="Times New Roman" w:cs="Times New Roman"/>
          <w:sz w:val="24"/>
          <w:szCs w:val="24"/>
          <w:lang w:val="en"/>
        </w:rPr>
        <w:t xml:space="preserve"> </w:t>
      </w:r>
      <w:r w:rsidRPr="00B61D39">
        <w:rPr>
          <w:rStyle w:val="rynqvb"/>
          <w:rFonts w:ascii="Times New Roman" w:hAnsi="Times New Roman" w:cs="Times New Roman"/>
          <w:sz w:val="24"/>
          <w:szCs w:val="24"/>
          <w:lang w:val="en"/>
        </w:rPr>
        <w:t>A</w:t>
      </w:r>
      <w:r w:rsidR="00C77BE7" w:rsidRPr="00B61D39">
        <w:rPr>
          <w:rStyle w:val="rynqvb"/>
          <w:rFonts w:ascii="Times New Roman" w:hAnsi="Times New Roman" w:cs="Times New Roman"/>
          <w:sz w:val="24"/>
          <w:szCs w:val="24"/>
          <w:lang w:val="en"/>
        </w:rPr>
        <w:t>t municipal</w:t>
      </w:r>
      <w:r w:rsidRPr="00B61D39">
        <w:rPr>
          <w:rStyle w:val="rynqvb"/>
          <w:rFonts w:ascii="Times New Roman" w:hAnsi="Times New Roman" w:cs="Times New Roman"/>
          <w:sz w:val="24"/>
          <w:szCs w:val="24"/>
          <w:lang w:val="en"/>
        </w:rPr>
        <w:t xml:space="preserve"> level</w:t>
      </w:r>
      <w:r w:rsidR="00C77BE7" w:rsidRPr="00B61D39">
        <w:rPr>
          <w:rStyle w:val="rynqvb"/>
          <w:rFonts w:ascii="Times New Roman" w:hAnsi="Times New Roman" w:cs="Times New Roman"/>
          <w:sz w:val="24"/>
          <w:szCs w:val="24"/>
          <w:lang w:val="en"/>
        </w:rPr>
        <w:t xml:space="preserve">, Veles, Demir Kapija, Lozovo and Sveti Nikole moved to rank 7 (deepest demographic age), and only </w:t>
      </w:r>
      <w:r w:rsidR="00B6336B" w:rsidRPr="00B61D39">
        <w:rPr>
          <w:rStyle w:val="rynqvb"/>
          <w:rFonts w:ascii="Times New Roman" w:hAnsi="Times New Roman" w:cs="Times New Roman"/>
          <w:sz w:val="24"/>
          <w:szCs w:val="24"/>
          <w:lang w:val="en"/>
        </w:rPr>
        <w:t>Chaska</w:t>
      </w:r>
      <w:r w:rsidR="00C77BE7" w:rsidRPr="00B61D39">
        <w:rPr>
          <w:rStyle w:val="rynqvb"/>
          <w:rFonts w:ascii="Times New Roman" w:hAnsi="Times New Roman" w:cs="Times New Roman"/>
          <w:sz w:val="24"/>
          <w:szCs w:val="24"/>
          <w:lang w:val="en"/>
        </w:rPr>
        <w:t xml:space="preserve"> </w:t>
      </w:r>
      <w:r w:rsidR="00B61FA5" w:rsidRPr="00B61D39">
        <w:rPr>
          <w:rStyle w:val="rynqvb"/>
          <w:rFonts w:ascii="Times New Roman" w:hAnsi="Times New Roman" w:cs="Times New Roman"/>
          <w:sz w:val="24"/>
          <w:szCs w:val="24"/>
          <w:lang w:val="en"/>
        </w:rPr>
        <w:t xml:space="preserve">municipality </w:t>
      </w:r>
      <w:r w:rsidR="00C77BE7" w:rsidRPr="00B61D39">
        <w:rPr>
          <w:rStyle w:val="rynqvb"/>
          <w:rFonts w:ascii="Times New Roman" w:hAnsi="Times New Roman" w:cs="Times New Roman"/>
          <w:sz w:val="24"/>
          <w:szCs w:val="24"/>
          <w:lang w:val="en"/>
        </w:rPr>
        <w:t>has rank 5.</w:t>
      </w:r>
      <w:r w:rsidRPr="00B61D39">
        <w:rPr>
          <w:rStyle w:val="rynqvb"/>
          <w:rFonts w:ascii="Times New Roman" w:hAnsi="Times New Roman" w:cs="Times New Roman"/>
          <w:sz w:val="24"/>
          <w:szCs w:val="24"/>
          <w:lang w:val="en"/>
        </w:rPr>
        <w:t xml:space="preserve"> </w:t>
      </w:r>
      <w:r w:rsidR="00B61FA5" w:rsidRPr="00B61D39">
        <w:rPr>
          <w:rStyle w:val="rynqvb"/>
          <w:rFonts w:ascii="Times New Roman" w:hAnsi="Times New Roman" w:cs="Times New Roman"/>
          <w:sz w:val="24"/>
          <w:szCs w:val="24"/>
          <w:lang w:val="en"/>
        </w:rPr>
        <w:t xml:space="preserve"> </w:t>
      </w:r>
    </w:p>
    <w:p w14:paraId="3746ACA7" w14:textId="56F64B0F" w:rsidR="00A00D3C" w:rsidRDefault="00C77BE7" w:rsidP="008E10C7">
      <w:pPr>
        <w:spacing w:after="0"/>
        <w:jc w:val="both"/>
        <w:rPr>
          <w:color w:val="FFC000"/>
          <w:lang w:val="mk-MK"/>
        </w:rPr>
      </w:pPr>
      <w:r w:rsidRPr="00C77BE7">
        <w:rPr>
          <w:rStyle w:val="rynqvb"/>
          <w:rFonts w:ascii="Times New Roman" w:hAnsi="Times New Roman" w:cs="Times New Roman"/>
          <w:sz w:val="24"/>
          <w:szCs w:val="24"/>
          <w:lang w:val="en"/>
        </w:rPr>
        <w:t xml:space="preserve">Although the absolute numbers show a stable, slight downward trend, when </w:t>
      </w:r>
      <w:r w:rsidR="00B61FA5" w:rsidRPr="00C77BE7">
        <w:rPr>
          <w:rStyle w:val="rynqvb"/>
          <w:rFonts w:ascii="Times New Roman" w:hAnsi="Times New Roman" w:cs="Times New Roman"/>
          <w:sz w:val="24"/>
          <w:szCs w:val="24"/>
          <w:lang w:val="en"/>
        </w:rPr>
        <w:t xml:space="preserve">inter-census changes </w:t>
      </w:r>
      <w:r w:rsidR="0093015F">
        <w:rPr>
          <w:rStyle w:val="rynqvb"/>
          <w:rFonts w:ascii="Times New Roman" w:hAnsi="Times New Roman" w:cs="Times New Roman"/>
          <w:sz w:val="24"/>
          <w:szCs w:val="24"/>
          <w:lang w:val="en"/>
        </w:rPr>
        <w:t>analyz</w:t>
      </w:r>
      <w:r w:rsidR="00B61FA5">
        <w:rPr>
          <w:rStyle w:val="rynqvb"/>
          <w:rFonts w:ascii="Times New Roman" w:hAnsi="Times New Roman" w:cs="Times New Roman"/>
          <w:sz w:val="24"/>
          <w:szCs w:val="24"/>
          <w:lang w:val="en"/>
        </w:rPr>
        <w:t>ed</w:t>
      </w:r>
      <w:r w:rsidR="0093015F">
        <w:rPr>
          <w:rStyle w:val="rynqvb"/>
          <w:rFonts w:ascii="Times New Roman" w:hAnsi="Times New Roman" w:cs="Times New Roman"/>
          <w:sz w:val="24"/>
          <w:szCs w:val="24"/>
          <w:lang w:val="en"/>
        </w:rPr>
        <w:t xml:space="preserve"> and</w:t>
      </w:r>
      <w:r w:rsidRPr="00C77BE7">
        <w:rPr>
          <w:rStyle w:val="rynqvb"/>
          <w:rFonts w:ascii="Times New Roman" w:hAnsi="Times New Roman" w:cs="Times New Roman"/>
          <w:sz w:val="24"/>
          <w:szCs w:val="24"/>
          <w:lang w:val="en"/>
        </w:rPr>
        <w:t xml:space="preserve"> compare</w:t>
      </w:r>
      <w:r w:rsidR="00B61FA5">
        <w:rPr>
          <w:rStyle w:val="rynqvb"/>
          <w:rFonts w:ascii="Times New Roman" w:hAnsi="Times New Roman" w:cs="Times New Roman"/>
          <w:sz w:val="24"/>
          <w:szCs w:val="24"/>
          <w:lang w:val="en"/>
        </w:rPr>
        <w:t>d</w:t>
      </w:r>
      <w:r w:rsidRPr="00C77BE7">
        <w:rPr>
          <w:rStyle w:val="rynqvb"/>
          <w:rFonts w:ascii="Times New Roman" w:hAnsi="Times New Roman" w:cs="Times New Roman"/>
          <w:sz w:val="24"/>
          <w:szCs w:val="24"/>
          <w:lang w:val="en"/>
        </w:rPr>
        <w:t xml:space="preserve"> </w:t>
      </w:r>
      <w:r w:rsidR="0093015F">
        <w:rPr>
          <w:rStyle w:val="rynqvb"/>
          <w:rFonts w:ascii="Times New Roman" w:hAnsi="Times New Roman" w:cs="Times New Roman"/>
          <w:sz w:val="24"/>
          <w:szCs w:val="24"/>
          <w:lang w:val="en"/>
        </w:rPr>
        <w:t xml:space="preserve">in percentage share (structural change) </w:t>
      </w:r>
      <w:r w:rsidRPr="00C77BE7">
        <w:rPr>
          <w:rStyle w:val="rynqvb"/>
          <w:rFonts w:ascii="Times New Roman" w:hAnsi="Times New Roman" w:cs="Times New Roman"/>
          <w:sz w:val="24"/>
          <w:szCs w:val="24"/>
          <w:lang w:val="en"/>
        </w:rPr>
        <w:t xml:space="preserve">at the </w:t>
      </w:r>
      <w:r w:rsidR="00B61FA5" w:rsidRPr="00C77BE7">
        <w:rPr>
          <w:rStyle w:val="rynqvb"/>
          <w:rFonts w:ascii="Times New Roman" w:hAnsi="Times New Roman" w:cs="Times New Roman"/>
          <w:sz w:val="24"/>
          <w:szCs w:val="24"/>
          <w:lang w:val="en"/>
        </w:rPr>
        <w:t xml:space="preserve">municipal </w:t>
      </w:r>
      <w:r w:rsidRPr="00C77BE7">
        <w:rPr>
          <w:rStyle w:val="rynqvb"/>
          <w:rFonts w:ascii="Times New Roman" w:hAnsi="Times New Roman" w:cs="Times New Roman"/>
          <w:sz w:val="24"/>
          <w:szCs w:val="24"/>
          <w:lang w:val="en"/>
        </w:rPr>
        <w:t xml:space="preserve">level (Graph 1), it is clear that in some of them the situation </w:t>
      </w:r>
      <w:r w:rsidR="0093015F">
        <w:rPr>
          <w:rStyle w:val="rynqvb"/>
          <w:rFonts w:ascii="Times New Roman" w:hAnsi="Times New Roman" w:cs="Times New Roman"/>
          <w:sz w:val="24"/>
          <w:szCs w:val="24"/>
          <w:lang w:val="en"/>
        </w:rPr>
        <w:t>regarding</w:t>
      </w:r>
      <w:r w:rsidRPr="00C77BE7">
        <w:rPr>
          <w:rStyle w:val="rynqvb"/>
          <w:rFonts w:ascii="Times New Roman" w:hAnsi="Times New Roman" w:cs="Times New Roman"/>
          <w:sz w:val="24"/>
          <w:szCs w:val="24"/>
          <w:lang w:val="en"/>
        </w:rPr>
        <w:t xml:space="preserve"> population growth is more serious.</w:t>
      </w:r>
      <w:r w:rsidRPr="00C77BE7">
        <w:rPr>
          <w:rStyle w:val="hwtze"/>
          <w:rFonts w:ascii="Times New Roman" w:hAnsi="Times New Roman" w:cs="Times New Roman"/>
          <w:sz w:val="24"/>
          <w:szCs w:val="24"/>
          <w:lang w:val="en"/>
        </w:rPr>
        <w:t xml:space="preserve"> </w:t>
      </w:r>
      <w:r w:rsidR="008E10C7">
        <w:rPr>
          <w:rStyle w:val="rynqvb"/>
          <w:rFonts w:ascii="Times New Roman" w:hAnsi="Times New Roman" w:cs="Times New Roman"/>
          <w:sz w:val="24"/>
          <w:szCs w:val="24"/>
          <w:lang w:val="en"/>
        </w:rPr>
        <w:t>Namely</w:t>
      </w:r>
      <w:r w:rsidRPr="00C77BE7">
        <w:rPr>
          <w:rStyle w:val="rynqvb"/>
          <w:rFonts w:ascii="Times New Roman" w:hAnsi="Times New Roman" w:cs="Times New Roman"/>
          <w:sz w:val="24"/>
          <w:szCs w:val="24"/>
          <w:lang w:val="en"/>
        </w:rPr>
        <w:t xml:space="preserve">, in the municipalities of Veles, Demir Kapija, </w:t>
      </w:r>
      <w:r w:rsidR="00A166B9">
        <w:rPr>
          <w:rStyle w:val="rynqvb"/>
          <w:rFonts w:ascii="Times New Roman" w:hAnsi="Times New Roman" w:cs="Times New Roman"/>
          <w:sz w:val="24"/>
          <w:szCs w:val="24"/>
          <w:lang w:val="en"/>
        </w:rPr>
        <w:t>Kavadartsi</w:t>
      </w:r>
      <w:r w:rsidRPr="00C77BE7">
        <w:rPr>
          <w:rStyle w:val="rynqvb"/>
          <w:rFonts w:ascii="Times New Roman" w:hAnsi="Times New Roman" w:cs="Times New Roman"/>
          <w:sz w:val="24"/>
          <w:szCs w:val="24"/>
          <w:lang w:val="en"/>
        </w:rPr>
        <w:t xml:space="preserve"> and Lozovo there is a more serious structural decrease in the age groups 10-14, 15-19 and 20-24 years.</w:t>
      </w:r>
      <w:r w:rsidRPr="00C77BE7">
        <w:rPr>
          <w:rStyle w:val="hwtze"/>
          <w:rFonts w:ascii="Times New Roman" w:hAnsi="Times New Roman" w:cs="Times New Roman"/>
          <w:sz w:val="24"/>
          <w:szCs w:val="24"/>
          <w:lang w:val="en"/>
        </w:rPr>
        <w:t xml:space="preserve"> </w:t>
      </w:r>
      <w:r w:rsidRPr="00C77BE7">
        <w:rPr>
          <w:rStyle w:val="rynqvb"/>
          <w:rFonts w:ascii="Times New Roman" w:hAnsi="Times New Roman" w:cs="Times New Roman"/>
          <w:sz w:val="24"/>
          <w:szCs w:val="24"/>
          <w:lang w:val="en"/>
        </w:rPr>
        <w:t xml:space="preserve">In the same time, there is a significant increase in the age groups 55-59, 60-64 years in the municipalities </w:t>
      </w:r>
      <w:r w:rsidR="009B468C" w:rsidRPr="00C77BE7">
        <w:rPr>
          <w:rStyle w:val="rynqvb"/>
          <w:rFonts w:ascii="Times New Roman" w:hAnsi="Times New Roman" w:cs="Times New Roman"/>
          <w:sz w:val="24"/>
          <w:szCs w:val="24"/>
          <w:lang w:val="en"/>
        </w:rPr>
        <w:t>of</w:t>
      </w:r>
      <w:r w:rsidR="009B468C">
        <w:rPr>
          <w:rStyle w:val="rynqvb"/>
          <w:rFonts w:ascii="Times New Roman" w:hAnsi="Times New Roman" w:cs="Times New Roman"/>
          <w:sz w:val="24"/>
          <w:szCs w:val="24"/>
          <w:lang w:val="en"/>
        </w:rPr>
        <w:t xml:space="preserve"> Demir</w:t>
      </w:r>
      <w:r w:rsidRPr="00C77BE7">
        <w:rPr>
          <w:rStyle w:val="rynqvb"/>
          <w:rFonts w:ascii="Times New Roman" w:hAnsi="Times New Roman" w:cs="Times New Roman"/>
          <w:sz w:val="24"/>
          <w:szCs w:val="24"/>
          <w:lang w:val="en"/>
        </w:rPr>
        <w:t xml:space="preserve"> Kapija, </w:t>
      </w:r>
      <w:r w:rsidR="00A166B9">
        <w:rPr>
          <w:rStyle w:val="rynqvb"/>
          <w:rFonts w:ascii="Times New Roman" w:hAnsi="Times New Roman" w:cs="Times New Roman"/>
          <w:sz w:val="24"/>
          <w:szCs w:val="24"/>
          <w:lang w:val="en"/>
        </w:rPr>
        <w:t>Kavadartsi</w:t>
      </w:r>
      <w:r w:rsidRPr="00C77BE7">
        <w:rPr>
          <w:rStyle w:val="rynqvb"/>
          <w:rFonts w:ascii="Times New Roman" w:hAnsi="Times New Roman" w:cs="Times New Roman"/>
          <w:sz w:val="24"/>
          <w:szCs w:val="24"/>
          <w:lang w:val="en"/>
        </w:rPr>
        <w:t xml:space="preserve">, Lozovo, Negotino, Rosoman and Sveti Nikole, and </w:t>
      </w:r>
      <w:r w:rsidR="001F049C" w:rsidRPr="00C77BE7">
        <w:rPr>
          <w:rStyle w:val="rynqvb"/>
          <w:rFonts w:ascii="Times New Roman" w:hAnsi="Times New Roman" w:cs="Times New Roman"/>
          <w:sz w:val="24"/>
          <w:szCs w:val="24"/>
          <w:lang w:val="en"/>
        </w:rPr>
        <w:t xml:space="preserve">significant increase in the age groups 65-69 and 70-74 years </w:t>
      </w:r>
      <w:r w:rsidRPr="00C77BE7">
        <w:rPr>
          <w:rStyle w:val="rynqvb"/>
          <w:rFonts w:ascii="Times New Roman" w:hAnsi="Times New Roman" w:cs="Times New Roman"/>
          <w:sz w:val="24"/>
          <w:szCs w:val="24"/>
          <w:lang w:val="en"/>
        </w:rPr>
        <w:t>in the municipalities of Veles and Negotino</w:t>
      </w:r>
      <w:r w:rsidR="001F049C">
        <w:rPr>
          <w:rStyle w:val="rynqvb"/>
          <w:rFonts w:ascii="Times New Roman" w:hAnsi="Times New Roman" w:cs="Times New Roman"/>
          <w:sz w:val="24"/>
          <w:szCs w:val="24"/>
          <w:lang w:val="mk-MK"/>
        </w:rPr>
        <w:t>.</w:t>
      </w:r>
      <w:r w:rsidRPr="00C77BE7">
        <w:rPr>
          <w:rStyle w:val="hwtze"/>
          <w:rFonts w:ascii="Times New Roman" w:hAnsi="Times New Roman" w:cs="Times New Roman"/>
          <w:sz w:val="24"/>
          <w:szCs w:val="24"/>
          <w:lang w:val="en"/>
        </w:rPr>
        <w:t xml:space="preserve"> </w:t>
      </w:r>
      <w:r w:rsidRPr="00C77BE7">
        <w:rPr>
          <w:rStyle w:val="rynqvb"/>
          <w:rFonts w:ascii="Times New Roman" w:hAnsi="Times New Roman" w:cs="Times New Roman"/>
          <w:sz w:val="24"/>
          <w:szCs w:val="24"/>
          <w:lang w:val="en"/>
        </w:rPr>
        <w:t>Hence, the aging of the population is more pronounced in the Vardar region than at the national level.</w:t>
      </w:r>
      <w:r>
        <w:rPr>
          <w:rStyle w:val="rynqvb"/>
          <w:rFonts w:ascii="Times New Roman" w:hAnsi="Times New Roman" w:cs="Times New Roman"/>
          <w:sz w:val="24"/>
          <w:szCs w:val="24"/>
          <w:lang w:val="en"/>
        </w:rPr>
        <w:t xml:space="preserve"> </w:t>
      </w:r>
      <w:r w:rsidR="001F049C" w:rsidRPr="001F049C">
        <w:rPr>
          <w:rStyle w:val="rynqvb"/>
          <w:rFonts w:ascii="Times New Roman" w:hAnsi="Times New Roman" w:cs="Times New Roman"/>
          <w:sz w:val="24"/>
          <w:szCs w:val="24"/>
          <w:lang w:val="en"/>
        </w:rPr>
        <w:t>The situation becomes even more serious if we add that in the inter-census period there is also a downward trend in the functional age-</w:t>
      </w:r>
      <w:r w:rsidR="001F049C">
        <w:rPr>
          <w:rStyle w:val="rynqvb"/>
          <w:rFonts w:ascii="Times New Roman" w:hAnsi="Times New Roman" w:cs="Times New Roman"/>
          <w:sz w:val="24"/>
          <w:szCs w:val="24"/>
          <w:lang w:val="en-US"/>
        </w:rPr>
        <w:t>gender</w:t>
      </w:r>
      <w:r w:rsidR="001F049C" w:rsidRPr="001F049C">
        <w:rPr>
          <w:rStyle w:val="rynqvb"/>
          <w:rFonts w:ascii="Times New Roman" w:hAnsi="Times New Roman" w:cs="Times New Roman"/>
          <w:sz w:val="24"/>
          <w:szCs w:val="24"/>
          <w:lang w:val="en"/>
        </w:rPr>
        <w:t xml:space="preserve"> contin</w:t>
      </w:r>
      <w:r w:rsidR="001F049C">
        <w:rPr>
          <w:rStyle w:val="rynqvb"/>
          <w:rFonts w:ascii="Times New Roman" w:hAnsi="Times New Roman" w:cs="Times New Roman"/>
          <w:sz w:val="24"/>
          <w:szCs w:val="24"/>
          <w:lang w:val="en"/>
        </w:rPr>
        <w:t>gents</w:t>
      </w:r>
      <w:r w:rsidR="001F049C" w:rsidRPr="001F049C">
        <w:rPr>
          <w:rStyle w:val="rynqvb"/>
          <w:rFonts w:ascii="Times New Roman" w:hAnsi="Times New Roman" w:cs="Times New Roman"/>
          <w:sz w:val="24"/>
          <w:szCs w:val="24"/>
          <w:lang w:val="en"/>
        </w:rPr>
        <w:t>.</w:t>
      </w:r>
      <w:r w:rsidR="006A0542">
        <w:rPr>
          <w:rStyle w:val="FootnoteReference"/>
          <w:rFonts w:ascii="Times New Roman" w:hAnsi="Times New Roman" w:cs="Times New Roman"/>
          <w:sz w:val="24"/>
          <w:szCs w:val="24"/>
          <w:lang w:val="en"/>
        </w:rPr>
        <w:footnoteReference w:id="6"/>
      </w:r>
      <w:r w:rsidR="001F049C" w:rsidRPr="001F049C">
        <w:rPr>
          <w:rStyle w:val="hwtze"/>
          <w:rFonts w:ascii="Times New Roman" w:hAnsi="Times New Roman" w:cs="Times New Roman"/>
          <w:sz w:val="24"/>
          <w:szCs w:val="24"/>
          <w:lang w:val="en"/>
        </w:rPr>
        <w:t xml:space="preserve"> </w:t>
      </w:r>
      <w:r w:rsidR="001F049C" w:rsidRPr="001F049C">
        <w:rPr>
          <w:rStyle w:val="rynqvb"/>
          <w:rFonts w:ascii="Times New Roman" w:hAnsi="Times New Roman" w:cs="Times New Roman"/>
          <w:sz w:val="24"/>
          <w:szCs w:val="24"/>
          <w:lang w:val="en"/>
        </w:rPr>
        <w:t xml:space="preserve">The decline </w:t>
      </w:r>
      <w:r w:rsidR="001F049C">
        <w:rPr>
          <w:rStyle w:val="rynqvb"/>
          <w:rFonts w:ascii="Times New Roman" w:hAnsi="Times New Roman" w:cs="Times New Roman"/>
          <w:sz w:val="24"/>
          <w:szCs w:val="24"/>
          <w:lang w:val="en"/>
        </w:rPr>
        <w:t>of</w:t>
      </w:r>
      <w:r w:rsidR="001F049C" w:rsidRPr="001F049C">
        <w:rPr>
          <w:rStyle w:val="rynqvb"/>
          <w:rFonts w:ascii="Times New Roman" w:hAnsi="Times New Roman" w:cs="Times New Roman"/>
          <w:sz w:val="24"/>
          <w:szCs w:val="24"/>
          <w:lang w:val="en"/>
        </w:rPr>
        <w:t xml:space="preserve"> the share of women in the reproductive period, that is, the age groups of the female fertile population (15-49 years) and women in the optimal reproductive age (20-34 years), is of particular concern here.</w:t>
      </w:r>
      <w:r w:rsidR="001F049C" w:rsidRPr="001F049C">
        <w:rPr>
          <w:rStyle w:val="hwtze"/>
          <w:rFonts w:ascii="Times New Roman" w:hAnsi="Times New Roman" w:cs="Times New Roman"/>
          <w:sz w:val="24"/>
          <w:szCs w:val="24"/>
          <w:lang w:val="en"/>
        </w:rPr>
        <w:t xml:space="preserve"> </w:t>
      </w:r>
      <w:r w:rsidR="001F049C" w:rsidRPr="001F049C">
        <w:rPr>
          <w:rStyle w:val="rynqvb"/>
          <w:rFonts w:ascii="Times New Roman" w:hAnsi="Times New Roman" w:cs="Times New Roman"/>
          <w:sz w:val="24"/>
          <w:szCs w:val="24"/>
          <w:lang w:val="en"/>
        </w:rPr>
        <w:t>At the national level, in the period 2002-2021, the participation of female fertile population decreased from 25.5% to 22.4%, and at</w:t>
      </w:r>
      <w:r w:rsidR="003F38B2">
        <w:rPr>
          <w:rStyle w:val="rynqvb"/>
          <w:rFonts w:ascii="Times New Roman" w:hAnsi="Times New Roman" w:cs="Times New Roman"/>
          <w:sz w:val="24"/>
          <w:szCs w:val="24"/>
          <w:lang w:val="en"/>
        </w:rPr>
        <w:t xml:space="preserve"> </w:t>
      </w:r>
      <w:r w:rsidR="008E10C7" w:rsidRPr="001F049C">
        <w:rPr>
          <w:rStyle w:val="rynqvb"/>
          <w:rFonts w:ascii="Times New Roman" w:hAnsi="Times New Roman" w:cs="Times New Roman"/>
          <w:sz w:val="24"/>
          <w:szCs w:val="24"/>
          <w:lang w:val="en"/>
        </w:rPr>
        <w:t>region</w:t>
      </w:r>
      <w:r w:rsidR="003F38B2">
        <w:rPr>
          <w:rStyle w:val="rynqvb"/>
          <w:rFonts w:ascii="Times New Roman" w:hAnsi="Times New Roman" w:cs="Times New Roman"/>
          <w:sz w:val="24"/>
          <w:szCs w:val="24"/>
          <w:lang w:val="en"/>
        </w:rPr>
        <w:t>’s</w:t>
      </w:r>
      <w:r w:rsidR="008E10C7" w:rsidRPr="001F049C">
        <w:rPr>
          <w:rStyle w:val="rynqvb"/>
          <w:rFonts w:ascii="Times New Roman" w:hAnsi="Times New Roman" w:cs="Times New Roman"/>
          <w:sz w:val="24"/>
          <w:szCs w:val="24"/>
          <w:lang w:val="en"/>
        </w:rPr>
        <w:t xml:space="preserve"> </w:t>
      </w:r>
      <w:r w:rsidR="001F049C" w:rsidRPr="001F049C">
        <w:rPr>
          <w:rStyle w:val="rynqvb"/>
          <w:rFonts w:ascii="Times New Roman" w:hAnsi="Times New Roman" w:cs="Times New Roman"/>
          <w:sz w:val="24"/>
          <w:szCs w:val="24"/>
          <w:lang w:val="en"/>
        </w:rPr>
        <w:t>level from 25.3% to 21.0%.</w:t>
      </w:r>
      <w:r w:rsidR="001F049C" w:rsidRPr="001F049C">
        <w:rPr>
          <w:rStyle w:val="hwtze"/>
          <w:rFonts w:ascii="Times New Roman" w:hAnsi="Times New Roman" w:cs="Times New Roman"/>
          <w:sz w:val="24"/>
          <w:szCs w:val="24"/>
          <w:lang w:val="en"/>
        </w:rPr>
        <w:t xml:space="preserve"> </w:t>
      </w:r>
      <w:r w:rsidR="001F049C" w:rsidRPr="001F049C">
        <w:rPr>
          <w:rStyle w:val="rynqvb"/>
          <w:rFonts w:ascii="Times New Roman" w:hAnsi="Times New Roman" w:cs="Times New Roman"/>
          <w:sz w:val="24"/>
          <w:szCs w:val="24"/>
          <w:lang w:val="en"/>
        </w:rPr>
        <w:t xml:space="preserve">In the same time, </w:t>
      </w:r>
      <w:r w:rsidR="008E10C7">
        <w:rPr>
          <w:rStyle w:val="rynqvb"/>
          <w:rFonts w:ascii="Times New Roman" w:hAnsi="Times New Roman" w:cs="Times New Roman"/>
          <w:sz w:val="24"/>
          <w:szCs w:val="24"/>
          <w:lang w:val="en"/>
        </w:rPr>
        <w:t xml:space="preserve">both </w:t>
      </w:r>
      <w:r w:rsidR="001F049C" w:rsidRPr="001F049C">
        <w:rPr>
          <w:rStyle w:val="rynqvb"/>
          <w:rFonts w:ascii="Times New Roman" w:hAnsi="Times New Roman" w:cs="Times New Roman"/>
          <w:sz w:val="24"/>
          <w:szCs w:val="24"/>
          <w:lang w:val="en"/>
        </w:rPr>
        <w:t xml:space="preserve">at national and </w:t>
      </w:r>
      <w:r w:rsidR="008E10C7">
        <w:rPr>
          <w:rStyle w:val="rynqvb"/>
          <w:rFonts w:ascii="Times New Roman" w:hAnsi="Times New Roman" w:cs="Times New Roman"/>
          <w:sz w:val="24"/>
          <w:szCs w:val="24"/>
          <w:lang w:val="en"/>
        </w:rPr>
        <w:t xml:space="preserve">at </w:t>
      </w:r>
      <w:r w:rsidR="00096028">
        <w:rPr>
          <w:rStyle w:val="rynqvb"/>
          <w:rFonts w:ascii="Times New Roman" w:hAnsi="Times New Roman" w:cs="Times New Roman"/>
          <w:sz w:val="24"/>
          <w:szCs w:val="24"/>
          <w:lang w:val="en"/>
        </w:rPr>
        <w:t>region’s</w:t>
      </w:r>
      <w:r w:rsidR="001F049C" w:rsidRPr="001F049C">
        <w:rPr>
          <w:rStyle w:val="rynqvb"/>
          <w:rFonts w:ascii="Times New Roman" w:hAnsi="Times New Roman" w:cs="Times New Roman"/>
          <w:sz w:val="24"/>
          <w:szCs w:val="24"/>
          <w:lang w:val="en"/>
        </w:rPr>
        <w:t xml:space="preserve"> level, the drop in the contingent of women in optimal reproductive age is 11.2% to 9.2%, and 10.5% to 8.5%, respectively.</w:t>
      </w:r>
      <w:r w:rsidR="001F049C" w:rsidRPr="001F049C">
        <w:rPr>
          <w:rStyle w:val="hwtze"/>
          <w:rFonts w:ascii="Times New Roman" w:hAnsi="Times New Roman" w:cs="Times New Roman"/>
          <w:sz w:val="24"/>
          <w:szCs w:val="24"/>
          <w:lang w:val="en"/>
        </w:rPr>
        <w:t xml:space="preserve"> </w:t>
      </w:r>
      <w:r w:rsidR="001F049C" w:rsidRPr="001F049C">
        <w:rPr>
          <w:rStyle w:val="rynqvb"/>
          <w:rFonts w:ascii="Times New Roman" w:hAnsi="Times New Roman" w:cs="Times New Roman"/>
          <w:sz w:val="24"/>
          <w:szCs w:val="24"/>
          <w:lang w:val="en"/>
        </w:rPr>
        <w:t xml:space="preserve">The only exception is </w:t>
      </w:r>
      <w:r w:rsidR="00B6336B">
        <w:rPr>
          <w:rStyle w:val="rynqvb"/>
          <w:rFonts w:ascii="Times New Roman" w:hAnsi="Times New Roman" w:cs="Times New Roman"/>
          <w:sz w:val="24"/>
          <w:szCs w:val="24"/>
          <w:lang w:val="en"/>
        </w:rPr>
        <w:t>Chaska</w:t>
      </w:r>
      <w:r w:rsidR="008E10C7" w:rsidRPr="008E10C7">
        <w:rPr>
          <w:rStyle w:val="rynqvb"/>
          <w:rFonts w:ascii="Times New Roman" w:hAnsi="Times New Roman" w:cs="Times New Roman"/>
          <w:sz w:val="24"/>
          <w:szCs w:val="24"/>
          <w:lang w:val="en"/>
        </w:rPr>
        <w:t xml:space="preserve"> </w:t>
      </w:r>
      <w:r w:rsidR="008E10C7" w:rsidRPr="001F049C">
        <w:rPr>
          <w:rStyle w:val="rynqvb"/>
          <w:rFonts w:ascii="Times New Roman" w:hAnsi="Times New Roman" w:cs="Times New Roman"/>
          <w:sz w:val="24"/>
          <w:szCs w:val="24"/>
          <w:lang w:val="en"/>
        </w:rPr>
        <w:t>municipality</w:t>
      </w:r>
      <w:r w:rsidR="001F049C" w:rsidRPr="001F049C">
        <w:rPr>
          <w:rStyle w:val="rynqvb"/>
          <w:rFonts w:ascii="Times New Roman" w:hAnsi="Times New Roman" w:cs="Times New Roman"/>
          <w:sz w:val="24"/>
          <w:szCs w:val="24"/>
          <w:lang w:val="en"/>
        </w:rPr>
        <w:t xml:space="preserve">, </w:t>
      </w:r>
      <w:r w:rsidR="0093015F">
        <w:rPr>
          <w:rStyle w:val="rynqvb"/>
          <w:rFonts w:ascii="Times New Roman" w:hAnsi="Times New Roman" w:cs="Times New Roman"/>
          <w:sz w:val="24"/>
          <w:szCs w:val="24"/>
          <w:lang w:val="en"/>
        </w:rPr>
        <w:t>with</w:t>
      </w:r>
      <w:r w:rsidR="001F049C" w:rsidRPr="001F049C">
        <w:rPr>
          <w:rStyle w:val="rynqvb"/>
          <w:rFonts w:ascii="Times New Roman" w:hAnsi="Times New Roman" w:cs="Times New Roman"/>
          <w:sz w:val="24"/>
          <w:szCs w:val="24"/>
          <w:lang w:val="en"/>
        </w:rPr>
        <w:t xml:space="preserve"> slight increase in the female fertile population (15-49 years), 20.8% to 21.2%.</w:t>
      </w:r>
      <w:r w:rsidR="006A0542">
        <w:rPr>
          <w:rStyle w:val="FootnoteReference"/>
          <w:rFonts w:ascii="Times New Roman" w:hAnsi="Times New Roman" w:cs="Times New Roman"/>
          <w:sz w:val="24"/>
          <w:szCs w:val="24"/>
          <w:lang w:val="en"/>
        </w:rPr>
        <w:footnoteReference w:id="7"/>
      </w:r>
      <w:r w:rsidR="001F049C" w:rsidRPr="001F049C">
        <w:rPr>
          <w:rStyle w:val="hwtze"/>
          <w:rFonts w:ascii="Times New Roman" w:hAnsi="Times New Roman" w:cs="Times New Roman"/>
          <w:sz w:val="24"/>
          <w:szCs w:val="24"/>
          <w:lang w:val="en"/>
        </w:rPr>
        <w:t xml:space="preserve"> </w:t>
      </w:r>
      <w:r w:rsidR="008E10C7">
        <w:rPr>
          <w:rStyle w:val="rynqvb"/>
          <w:rFonts w:ascii="Times New Roman" w:hAnsi="Times New Roman" w:cs="Times New Roman"/>
          <w:sz w:val="24"/>
          <w:szCs w:val="24"/>
          <w:lang w:val="en"/>
        </w:rPr>
        <w:t>Thus</w:t>
      </w:r>
      <w:r w:rsidR="001F049C" w:rsidRPr="001F049C">
        <w:rPr>
          <w:rStyle w:val="rynqvb"/>
          <w:rFonts w:ascii="Times New Roman" w:hAnsi="Times New Roman" w:cs="Times New Roman"/>
          <w:sz w:val="24"/>
          <w:szCs w:val="24"/>
          <w:lang w:val="en"/>
        </w:rPr>
        <w:t>, the unfavorable age structure of the population not only worsens the problem of population growth, but also worsens the reproduction of the population, that it reduces the reproductive base.</w:t>
      </w:r>
      <w:r w:rsidR="004919C8" w:rsidRPr="001F049C">
        <w:rPr>
          <w:color w:val="FFC000"/>
          <w:lang w:val="mk-MK"/>
        </w:rPr>
        <w:tab/>
      </w:r>
    </w:p>
    <w:p w14:paraId="2384AD12" w14:textId="689E2FA8" w:rsidR="00086164" w:rsidRPr="00B61D39" w:rsidRDefault="00086164" w:rsidP="00086164">
      <w:pPr>
        <w:spacing w:after="0"/>
        <w:jc w:val="both"/>
        <w:rPr>
          <w:rFonts w:ascii="Times New Roman" w:hAnsi="Times New Roman" w:cs="Times New Roman"/>
          <w:sz w:val="24"/>
          <w:szCs w:val="24"/>
        </w:rPr>
      </w:pPr>
      <w:r w:rsidRPr="00B61D39">
        <w:rPr>
          <w:rFonts w:ascii="Times New Roman" w:hAnsi="Times New Roman" w:cs="Times New Roman"/>
          <w:sz w:val="24"/>
          <w:szCs w:val="24"/>
          <w:lang w:val="en-US"/>
        </w:rPr>
        <w:t>According to the</w:t>
      </w:r>
      <w:r w:rsidRPr="00B61D39">
        <w:rPr>
          <w:rStyle w:val="rynqvb"/>
          <w:rFonts w:ascii="Times New Roman" w:hAnsi="Times New Roman" w:cs="Times New Roman"/>
          <w:sz w:val="24"/>
          <w:szCs w:val="24"/>
          <w:lang w:val="en"/>
        </w:rPr>
        <w:t xml:space="preserve"> </w:t>
      </w:r>
      <w:r w:rsidR="000102CF" w:rsidRPr="00B61D39">
        <w:rPr>
          <w:rStyle w:val="rynqvb"/>
          <w:rFonts w:ascii="Times New Roman" w:hAnsi="Times New Roman" w:cs="Times New Roman"/>
          <w:sz w:val="24"/>
          <w:szCs w:val="24"/>
          <w:lang w:val="en"/>
        </w:rPr>
        <w:t>educational attainment</w:t>
      </w:r>
      <w:r w:rsidRPr="00B61D39">
        <w:rPr>
          <w:rStyle w:val="rynqvb"/>
          <w:rFonts w:ascii="Times New Roman" w:hAnsi="Times New Roman" w:cs="Times New Roman"/>
          <w:sz w:val="24"/>
          <w:szCs w:val="24"/>
          <w:lang w:val="en"/>
        </w:rPr>
        <w:t>, the Vardar region follows national trends.</w:t>
      </w:r>
      <w:r w:rsidRPr="00B61D39">
        <w:rPr>
          <w:rStyle w:val="hwtze"/>
          <w:rFonts w:ascii="Times New Roman" w:hAnsi="Times New Roman" w:cs="Times New Roman"/>
          <w:sz w:val="24"/>
          <w:szCs w:val="24"/>
          <w:lang w:val="en"/>
        </w:rPr>
        <w:t xml:space="preserve"> </w:t>
      </w:r>
      <w:r w:rsidR="00E97728" w:rsidRPr="00B61D39">
        <w:rPr>
          <w:rStyle w:val="rynqvb"/>
          <w:rFonts w:ascii="Times New Roman" w:hAnsi="Times New Roman" w:cs="Times New Roman"/>
          <w:sz w:val="24"/>
          <w:szCs w:val="24"/>
          <w:lang w:val="en"/>
        </w:rPr>
        <w:t>In</w:t>
      </w:r>
      <w:r w:rsidRPr="00B61D39">
        <w:rPr>
          <w:rStyle w:val="rynqvb"/>
          <w:rFonts w:ascii="Times New Roman" w:hAnsi="Times New Roman" w:cs="Times New Roman"/>
          <w:sz w:val="24"/>
          <w:szCs w:val="24"/>
          <w:lang w:val="en"/>
        </w:rPr>
        <w:t xml:space="preserve"> the inter-census period, the share of the population with </w:t>
      </w:r>
      <w:r w:rsidR="000102CF" w:rsidRPr="00B61D39">
        <w:rPr>
          <w:rStyle w:val="rynqvb"/>
          <w:rFonts w:ascii="Times New Roman" w:hAnsi="Times New Roman" w:cs="Times New Roman"/>
          <w:sz w:val="24"/>
          <w:szCs w:val="24"/>
          <w:lang w:val="en"/>
        </w:rPr>
        <w:t>uncompleted primary and lower secondary education</w:t>
      </w:r>
      <w:r w:rsidR="000102CF" w:rsidRPr="00B61D39">
        <w:t xml:space="preserve"> </w:t>
      </w:r>
      <w:r w:rsidRPr="00B61D39">
        <w:rPr>
          <w:rStyle w:val="rynqvb"/>
          <w:rFonts w:ascii="Times New Roman" w:hAnsi="Times New Roman" w:cs="Times New Roman"/>
          <w:sz w:val="24"/>
          <w:szCs w:val="24"/>
          <w:lang w:val="en"/>
        </w:rPr>
        <w:t xml:space="preserve">decreases, while a positive trend is observed in other types of </w:t>
      </w:r>
      <w:r w:rsidR="000102CF" w:rsidRPr="00B61D39">
        <w:rPr>
          <w:rStyle w:val="rynqvb"/>
          <w:rFonts w:ascii="Times New Roman" w:hAnsi="Times New Roman" w:cs="Times New Roman"/>
          <w:sz w:val="24"/>
          <w:szCs w:val="24"/>
          <w:lang w:val="en"/>
        </w:rPr>
        <w:t>educational attainment</w:t>
      </w:r>
      <w:r w:rsidRPr="00B61D39">
        <w:rPr>
          <w:rStyle w:val="rynqvb"/>
          <w:rFonts w:ascii="Times New Roman" w:hAnsi="Times New Roman" w:cs="Times New Roman"/>
          <w:sz w:val="24"/>
          <w:szCs w:val="24"/>
          <w:lang w:val="en"/>
        </w:rPr>
        <w:t>.</w:t>
      </w:r>
      <w:r w:rsidRPr="00B61D39">
        <w:rPr>
          <w:rStyle w:val="hwtze"/>
          <w:rFonts w:ascii="Times New Roman" w:hAnsi="Times New Roman" w:cs="Times New Roman"/>
          <w:sz w:val="24"/>
          <w:szCs w:val="24"/>
          <w:lang w:val="en"/>
        </w:rPr>
        <w:t xml:space="preserve"> </w:t>
      </w:r>
      <w:r w:rsidRPr="00B61D39">
        <w:rPr>
          <w:rStyle w:val="rynqvb"/>
          <w:rFonts w:ascii="Times New Roman" w:hAnsi="Times New Roman" w:cs="Times New Roman"/>
          <w:sz w:val="24"/>
          <w:szCs w:val="24"/>
          <w:lang w:val="en"/>
        </w:rPr>
        <w:t>Considering that this analysis refers to the socio-economic situation and follows the changes of the population in terms of available human resources (work</w:t>
      </w:r>
      <w:r w:rsidR="000102CF" w:rsidRPr="00B61D39">
        <w:rPr>
          <w:rStyle w:val="rynqvb"/>
          <w:rFonts w:ascii="Times New Roman" w:hAnsi="Times New Roman" w:cs="Times New Roman"/>
          <w:sz w:val="24"/>
          <w:szCs w:val="24"/>
          <w:lang w:val="en"/>
        </w:rPr>
        <w:t xml:space="preserve">ing age </w:t>
      </w:r>
      <w:r w:rsidRPr="00B61D39">
        <w:rPr>
          <w:rStyle w:val="rynqvb"/>
          <w:rFonts w:ascii="Times New Roman" w:hAnsi="Times New Roman" w:cs="Times New Roman"/>
          <w:sz w:val="24"/>
          <w:szCs w:val="24"/>
          <w:lang w:val="en"/>
        </w:rPr>
        <w:t xml:space="preserve">population and labor force), in the following text only the demographic changes in the population </w:t>
      </w:r>
      <w:r w:rsidR="000102CF" w:rsidRPr="00B61D39">
        <w:rPr>
          <w:rStyle w:val="rynqvb"/>
          <w:rFonts w:ascii="Times New Roman" w:hAnsi="Times New Roman" w:cs="Times New Roman"/>
          <w:sz w:val="24"/>
          <w:szCs w:val="24"/>
          <w:lang w:val="en"/>
        </w:rPr>
        <w:t>with educational attainment from upper secondary education</w:t>
      </w:r>
      <w:r w:rsidR="005C633B" w:rsidRPr="00B61D39">
        <w:rPr>
          <w:rStyle w:val="FootnoteReference"/>
          <w:rFonts w:ascii="Times New Roman" w:hAnsi="Times New Roman" w:cs="Times New Roman"/>
          <w:sz w:val="24"/>
          <w:szCs w:val="24"/>
          <w:lang w:val="en"/>
        </w:rPr>
        <w:footnoteReference w:id="8"/>
      </w:r>
      <w:r w:rsidRPr="00B61D39">
        <w:rPr>
          <w:rStyle w:val="rynqvb"/>
          <w:rFonts w:ascii="Times New Roman" w:hAnsi="Times New Roman" w:cs="Times New Roman"/>
          <w:sz w:val="24"/>
          <w:szCs w:val="24"/>
          <w:lang w:val="en"/>
        </w:rPr>
        <w:t xml:space="preserve"> or higher</w:t>
      </w:r>
      <w:r w:rsidR="000102CF" w:rsidRPr="00B61D39">
        <w:rPr>
          <w:rStyle w:val="rynqvb"/>
          <w:rFonts w:ascii="Times New Roman" w:hAnsi="Times New Roman" w:cs="Times New Roman"/>
          <w:sz w:val="24"/>
          <w:szCs w:val="24"/>
          <w:lang w:val="en"/>
        </w:rPr>
        <w:t xml:space="preserve">, </w:t>
      </w:r>
      <w:r w:rsidR="003F38B2" w:rsidRPr="00B61D39">
        <w:rPr>
          <w:rStyle w:val="rynqvb"/>
          <w:rFonts w:ascii="Times New Roman" w:hAnsi="Times New Roman" w:cs="Times New Roman"/>
          <w:sz w:val="24"/>
          <w:szCs w:val="24"/>
          <w:lang w:val="en"/>
        </w:rPr>
        <w:t xml:space="preserve">that </w:t>
      </w:r>
      <w:r w:rsidRPr="00B61D39">
        <w:rPr>
          <w:rStyle w:val="rynqvb"/>
          <w:rFonts w:ascii="Times New Roman" w:hAnsi="Times New Roman" w:cs="Times New Roman"/>
          <w:sz w:val="24"/>
          <w:szCs w:val="24"/>
          <w:lang w:val="en"/>
        </w:rPr>
        <w:t>can engage in economic activity will be commented.</w:t>
      </w:r>
      <w:r w:rsidRPr="00B61D39">
        <w:rPr>
          <w:rStyle w:val="hwtze"/>
          <w:rFonts w:ascii="Times New Roman" w:hAnsi="Times New Roman" w:cs="Times New Roman"/>
          <w:sz w:val="24"/>
          <w:szCs w:val="24"/>
          <w:lang w:val="en"/>
        </w:rPr>
        <w:t xml:space="preserve"> </w:t>
      </w:r>
      <w:r w:rsidRPr="00B61D39">
        <w:rPr>
          <w:rStyle w:val="rynqvb"/>
          <w:rFonts w:ascii="Times New Roman" w:hAnsi="Times New Roman" w:cs="Times New Roman"/>
          <w:sz w:val="24"/>
          <w:szCs w:val="24"/>
          <w:lang w:val="en"/>
        </w:rPr>
        <w:t>In addition, it should also be said that in the country the high educat</w:t>
      </w:r>
      <w:r w:rsidR="009076CC" w:rsidRPr="00B61D39">
        <w:rPr>
          <w:rStyle w:val="rynqvb"/>
          <w:rFonts w:ascii="Times New Roman" w:hAnsi="Times New Roman" w:cs="Times New Roman"/>
          <w:sz w:val="24"/>
          <w:szCs w:val="24"/>
          <w:lang w:val="en"/>
        </w:rPr>
        <w:t>ion segment</w:t>
      </w:r>
      <w:r w:rsidRPr="00B61D39">
        <w:rPr>
          <w:rStyle w:val="rynqvb"/>
          <w:rFonts w:ascii="Times New Roman" w:hAnsi="Times New Roman" w:cs="Times New Roman"/>
          <w:sz w:val="24"/>
          <w:szCs w:val="24"/>
          <w:lang w:val="en"/>
        </w:rPr>
        <w:t xml:space="preserve"> has undergone reforms, so according to Article 184 of the Law on Higher Education </w:t>
      </w:r>
      <w:r w:rsidRPr="00B61D39">
        <w:rPr>
          <w:rStyle w:val="rynqvb"/>
          <w:rFonts w:ascii="Times New Roman" w:hAnsi="Times New Roman" w:cs="Times New Roman"/>
          <w:sz w:val="24"/>
          <w:szCs w:val="24"/>
          <w:lang w:val="en"/>
        </w:rPr>
        <w:lastRenderedPageBreak/>
        <w:t>from 2000</w:t>
      </w:r>
      <w:r w:rsidR="005C633B" w:rsidRPr="00B61D39">
        <w:rPr>
          <w:rStyle w:val="FootnoteReference"/>
          <w:rFonts w:ascii="Times New Roman" w:hAnsi="Times New Roman" w:cs="Times New Roman"/>
          <w:sz w:val="24"/>
          <w:szCs w:val="24"/>
          <w:lang w:val="en"/>
        </w:rPr>
        <w:footnoteReference w:id="9"/>
      </w:r>
      <w:r w:rsidRPr="00B61D39">
        <w:rPr>
          <w:rStyle w:val="rynqvb"/>
          <w:rFonts w:ascii="Times New Roman" w:hAnsi="Times New Roman" w:cs="Times New Roman"/>
          <w:sz w:val="24"/>
          <w:szCs w:val="24"/>
          <w:lang w:val="en"/>
        </w:rPr>
        <w:t xml:space="preserve">, the </w:t>
      </w:r>
      <w:r w:rsidR="000102CF" w:rsidRPr="00B61D39">
        <w:rPr>
          <w:rStyle w:val="rynqvb"/>
          <w:rFonts w:ascii="Times New Roman" w:hAnsi="Times New Roman" w:cs="Times New Roman"/>
          <w:sz w:val="24"/>
          <w:szCs w:val="24"/>
          <w:lang w:val="en"/>
        </w:rPr>
        <w:t>high school</w:t>
      </w:r>
      <w:r w:rsidR="00DF7B2F" w:rsidRPr="00B61D39">
        <w:rPr>
          <w:rStyle w:val="rynqvb"/>
          <w:rFonts w:ascii="Times New Roman" w:hAnsi="Times New Roman" w:cs="Times New Roman"/>
          <w:sz w:val="24"/>
          <w:szCs w:val="24"/>
          <w:lang w:val="en"/>
        </w:rPr>
        <w:t>s</w:t>
      </w:r>
      <w:r w:rsidR="000102CF" w:rsidRPr="00B61D39">
        <w:rPr>
          <w:rStyle w:val="rynqvb"/>
          <w:rFonts w:ascii="Times New Roman" w:hAnsi="Times New Roman" w:cs="Times New Roman"/>
          <w:sz w:val="24"/>
          <w:szCs w:val="24"/>
          <w:lang w:val="en"/>
        </w:rPr>
        <w:t xml:space="preserve"> </w:t>
      </w:r>
      <w:r w:rsidRPr="00B61D39">
        <w:rPr>
          <w:rStyle w:val="rynqvb"/>
          <w:rFonts w:ascii="Times New Roman" w:hAnsi="Times New Roman" w:cs="Times New Roman"/>
          <w:sz w:val="24"/>
          <w:szCs w:val="24"/>
          <w:lang w:val="en"/>
        </w:rPr>
        <w:t xml:space="preserve">in the </w:t>
      </w:r>
      <w:r w:rsidR="000102CF" w:rsidRPr="00B61D39">
        <w:rPr>
          <w:rStyle w:val="rynqvb"/>
          <w:rFonts w:ascii="Times New Roman" w:hAnsi="Times New Roman" w:cs="Times New Roman"/>
          <w:sz w:val="24"/>
          <w:szCs w:val="24"/>
          <w:lang w:val="en"/>
        </w:rPr>
        <w:t>RN</w:t>
      </w:r>
      <w:r w:rsidRPr="00B61D39">
        <w:rPr>
          <w:rStyle w:val="rynqvb"/>
          <w:rFonts w:ascii="Times New Roman" w:hAnsi="Times New Roman" w:cs="Times New Roman"/>
          <w:sz w:val="24"/>
          <w:szCs w:val="24"/>
          <w:lang w:val="en"/>
        </w:rPr>
        <w:t xml:space="preserve"> Macedonia went through a process of transformation and continued their activity as </w:t>
      </w:r>
      <w:r w:rsidR="000102CF" w:rsidRPr="00B61D39">
        <w:rPr>
          <w:rStyle w:val="rynqvb"/>
          <w:rFonts w:ascii="Times New Roman" w:hAnsi="Times New Roman" w:cs="Times New Roman"/>
          <w:sz w:val="24"/>
          <w:szCs w:val="24"/>
          <w:lang w:val="en"/>
        </w:rPr>
        <w:t>higher education school</w:t>
      </w:r>
      <w:r w:rsidR="000102CF" w:rsidRPr="00B61D39">
        <w:rPr>
          <w:rStyle w:val="hwtze"/>
          <w:rFonts w:ascii="Times New Roman" w:hAnsi="Times New Roman" w:cs="Times New Roman"/>
          <w:sz w:val="24"/>
          <w:szCs w:val="24"/>
          <w:lang w:val="en"/>
        </w:rPr>
        <w:t>s</w:t>
      </w:r>
      <w:r w:rsidRPr="00B61D39">
        <w:rPr>
          <w:rStyle w:val="rynqvb"/>
          <w:rFonts w:ascii="Times New Roman" w:hAnsi="Times New Roman" w:cs="Times New Roman"/>
          <w:sz w:val="24"/>
          <w:szCs w:val="24"/>
          <w:lang w:val="en"/>
        </w:rPr>
        <w:t>.</w:t>
      </w:r>
      <w:r w:rsidRPr="00B61D39">
        <w:rPr>
          <w:rStyle w:val="hwtze"/>
          <w:rFonts w:ascii="Times New Roman" w:hAnsi="Times New Roman" w:cs="Times New Roman"/>
          <w:sz w:val="24"/>
          <w:szCs w:val="24"/>
          <w:lang w:val="en"/>
        </w:rPr>
        <w:t xml:space="preserve"> </w:t>
      </w:r>
    </w:p>
    <w:p w14:paraId="65465D17" w14:textId="41B62C89" w:rsidR="009076CC" w:rsidRPr="00B61D39" w:rsidRDefault="006A02F7" w:rsidP="009076CC">
      <w:pPr>
        <w:jc w:val="both"/>
        <w:rPr>
          <w:rFonts w:ascii="Times New Roman" w:eastAsia="Times New Roman" w:hAnsi="Times New Roman" w:cs="Times New Roman"/>
          <w:sz w:val="24"/>
          <w:szCs w:val="24"/>
          <w:lang w:val="mk-MK" w:eastAsia="mk-MK"/>
        </w:rPr>
      </w:pPr>
      <w:r w:rsidRPr="00B61D39">
        <w:rPr>
          <w:rStyle w:val="rynqvb"/>
          <w:rFonts w:ascii="Times New Roman" w:hAnsi="Times New Roman" w:cs="Times New Roman"/>
          <w:sz w:val="24"/>
          <w:szCs w:val="24"/>
          <w:lang w:val="en"/>
        </w:rPr>
        <w:t>A</w:t>
      </w:r>
      <w:r w:rsidR="00B00D0A" w:rsidRPr="00B61D39">
        <w:rPr>
          <w:rStyle w:val="rynqvb"/>
          <w:rFonts w:ascii="Times New Roman" w:hAnsi="Times New Roman" w:cs="Times New Roman"/>
          <w:sz w:val="24"/>
          <w:szCs w:val="24"/>
          <w:lang w:val="en"/>
        </w:rPr>
        <w:t xml:space="preserve">ccording to both censuses, </w:t>
      </w:r>
      <w:r w:rsidR="009076CC" w:rsidRPr="00B61D39">
        <w:rPr>
          <w:rStyle w:val="rynqvb"/>
          <w:rFonts w:ascii="Times New Roman" w:hAnsi="Times New Roman" w:cs="Times New Roman"/>
          <w:sz w:val="24"/>
          <w:szCs w:val="24"/>
          <w:lang w:val="en"/>
        </w:rPr>
        <w:t xml:space="preserve">population with </w:t>
      </w:r>
      <w:r w:rsidR="000102CF" w:rsidRPr="00B61D39">
        <w:rPr>
          <w:rStyle w:val="rynqvb"/>
          <w:rFonts w:ascii="Times New Roman" w:hAnsi="Times New Roman" w:cs="Times New Roman"/>
          <w:sz w:val="24"/>
          <w:szCs w:val="24"/>
          <w:lang w:val="en"/>
        </w:rPr>
        <w:t>upper secondary education</w:t>
      </w:r>
      <w:r w:rsidR="00B00D0A" w:rsidRPr="00B61D39">
        <w:rPr>
          <w:rStyle w:val="rynqvb"/>
          <w:rFonts w:ascii="Times New Roman" w:hAnsi="Times New Roman" w:cs="Times New Roman"/>
          <w:sz w:val="24"/>
          <w:szCs w:val="24"/>
          <w:lang w:val="en"/>
        </w:rPr>
        <w:t xml:space="preserve"> from </w:t>
      </w:r>
      <w:r w:rsidR="009076CC" w:rsidRPr="00B61D39">
        <w:rPr>
          <w:rStyle w:val="rynqvb"/>
          <w:rFonts w:ascii="Times New Roman" w:hAnsi="Times New Roman" w:cs="Times New Roman"/>
          <w:sz w:val="24"/>
          <w:szCs w:val="24"/>
          <w:lang w:val="en"/>
        </w:rPr>
        <w:t xml:space="preserve">Vardar region </w:t>
      </w:r>
      <w:r w:rsidR="00B00D0A" w:rsidRPr="00B61D39">
        <w:rPr>
          <w:rStyle w:val="rynqvb"/>
          <w:rFonts w:ascii="Times New Roman" w:hAnsi="Times New Roman" w:cs="Times New Roman"/>
          <w:sz w:val="24"/>
          <w:szCs w:val="24"/>
          <w:lang w:val="en"/>
        </w:rPr>
        <w:t>participate about 9% in</w:t>
      </w:r>
      <w:r w:rsidR="00B00D0A" w:rsidRPr="00B61D39">
        <w:rPr>
          <w:rStyle w:val="hwtze"/>
          <w:rFonts w:ascii="Times New Roman" w:hAnsi="Times New Roman" w:cs="Times New Roman"/>
          <w:sz w:val="24"/>
          <w:szCs w:val="24"/>
          <w:lang w:val="en"/>
        </w:rPr>
        <w:t xml:space="preserve"> </w:t>
      </w:r>
      <w:r w:rsidR="009076CC" w:rsidRPr="00B61D39">
        <w:rPr>
          <w:rStyle w:val="rynqvb"/>
          <w:rFonts w:ascii="Times New Roman" w:hAnsi="Times New Roman" w:cs="Times New Roman"/>
          <w:sz w:val="24"/>
          <w:szCs w:val="24"/>
          <w:lang w:val="en"/>
        </w:rPr>
        <w:t>the national structure</w:t>
      </w:r>
      <w:r w:rsidRPr="00B61D39">
        <w:rPr>
          <w:rStyle w:val="rynqvb"/>
          <w:rFonts w:ascii="Times New Roman" w:hAnsi="Times New Roman" w:cs="Times New Roman"/>
          <w:sz w:val="24"/>
          <w:szCs w:val="24"/>
          <w:lang w:val="en"/>
        </w:rPr>
        <w:t xml:space="preserve"> (Table 4)</w:t>
      </w:r>
      <w:r w:rsidR="00B00D0A" w:rsidRPr="00B61D39">
        <w:rPr>
          <w:rStyle w:val="rynqvb"/>
          <w:rFonts w:ascii="Times New Roman" w:hAnsi="Times New Roman" w:cs="Times New Roman"/>
          <w:sz w:val="24"/>
          <w:szCs w:val="24"/>
          <w:lang w:val="en"/>
        </w:rPr>
        <w:t xml:space="preserve">. </w:t>
      </w:r>
      <w:r w:rsidR="009076CC" w:rsidRPr="00B61D39">
        <w:rPr>
          <w:rStyle w:val="rynqvb"/>
          <w:rFonts w:ascii="Times New Roman" w:hAnsi="Times New Roman" w:cs="Times New Roman"/>
          <w:sz w:val="24"/>
          <w:szCs w:val="24"/>
          <w:lang w:val="en"/>
        </w:rPr>
        <w:t xml:space="preserve">However, at the </w:t>
      </w:r>
      <w:r w:rsidR="00096028" w:rsidRPr="00B61D39">
        <w:rPr>
          <w:rStyle w:val="rynqvb"/>
          <w:rFonts w:ascii="Times New Roman" w:hAnsi="Times New Roman" w:cs="Times New Roman"/>
          <w:sz w:val="24"/>
          <w:szCs w:val="24"/>
          <w:lang w:val="en"/>
        </w:rPr>
        <w:t>region’s</w:t>
      </w:r>
      <w:r w:rsidR="00B00D0A" w:rsidRPr="00B61D39">
        <w:rPr>
          <w:rStyle w:val="rynqvb"/>
          <w:rFonts w:ascii="Times New Roman" w:hAnsi="Times New Roman" w:cs="Times New Roman"/>
          <w:sz w:val="24"/>
          <w:szCs w:val="24"/>
          <w:lang w:val="en"/>
        </w:rPr>
        <w:t xml:space="preserve"> level</w:t>
      </w:r>
      <w:r w:rsidR="009076CC" w:rsidRPr="00B61D39">
        <w:rPr>
          <w:rStyle w:val="rynqvb"/>
          <w:rFonts w:ascii="Times New Roman" w:hAnsi="Times New Roman" w:cs="Times New Roman"/>
          <w:sz w:val="24"/>
          <w:szCs w:val="24"/>
          <w:lang w:val="en"/>
        </w:rPr>
        <w:t xml:space="preserve">, a slight increase in the population with </w:t>
      </w:r>
      <w:r w:rsidR="000102CF" w:rsidRPr="00B61D39">
        <w:rPr>
          <w:rStyle w:val="rynqvb"/>
          <w:rFonts w:ascii="Times New Roman" w:hAnsi="Times New Roman" w:cs="Times New Roman"/>
          <w:sz w:val="24"/>
          <w:szCs w:val="24"/>
          <w:lang w:val="en"/>
        </w:rPr>
        <w:t xml:space="preserve">upper secondary education </w:t>
      </w:r>
      <w:r w:rsidR="009076CC" w:rsidRPr="00B61D39">
        <w:rPr>
          <w:rStyle w:val="rynqvb"/>
          <w:rFonts w:ascii="Times New Roman" w:hAnsi="Times New Roman" w:cs="Times New Roman"/>
          <w:sz w:val="24"/>
          <w:szCs w:val="24"/>
          <w:lang w:val="en"/>
        </w:rPr>
        <w:t>is observed from 42.2% in 2002 to 50.8% in 2021.</w:t>
      </w:r>
      <w:r w:rsidR="009076CC" w:rsidRPr="00B61D39">
        <w:rPr>
          <w:rStyle w:val="hwtze"/>
          <w:rFonts w:ascii="Times New Roman" w:hAnsi="Times New Roman" w:cs="Times New Roman"/>
          <w:sz w:val="24"/>
          <w:szCs w:val="24"/>
          <w:lang w:val="en"/>
        </w:rPr>
        <w:t xml:space="preserve"> </w:t>
      </w:r>
      <w:r w:rsidR="009076CC" w:rsidRPr="00B61D39">
        <w:rPr>
          <w:rStyle w:val="rynqvb"/>
          <w:rFonts w:ascii="Times New Roman" w:hAnsi="Times New Roman" w:cs="Times New Roman"/>
          <w:sz w:val="24"/>
          <w:szCs w:val="24"/>
          <w:lang w:val="en"/>
        </w:rPr>
        <w:t xml:space="preserve">In both censuses, </w:t>
      </w:r>
      <w:r w:rsidR="009076CC" w:rsidRPr="00B61D39">
        <w:rPr>
          <w:rStyle w:val="rynqvb"/>
          <w:rFonts w:ascii="Times New Roman" w:hAnsi="Times New Roman" w:cs="Times New Roman"/>
          <w:lang w:val="en"/>
        </w:rPr>
        <w:t xml:space="preserve">the </w:t>
      </w:r>
      <w:r w:rsidR="009076CC" w:rsidRPr="00B61D39">
        <w:rPr>
          <w:rStyle w:val="rynqvb"/>
          <w:rFonts w:ascii="Times New Roman" w:hAnsi="Times New Roman" w:cs="Times New Roman"/>
          <w:sz w:val="24"/>
          <w:szCs w:val="24"/>
          <w:lang w:val="en"/>
        </w:rPr>
        <w:t>majority of th</w:t>
      </w:r>
      <w:r w:rsidR="00B00D0A" w:rsidRPr="00B61D39">
        <w:rPr>
          <w:rStyle w:val="rynqvb"/>
          <w:rFonts w:ascii="Times New Roman" w:hAnsi="Times New Roman" w:cs="Times New Roman"/>
          <w:sz w:val="24"/>
          <w:szCs w:val="24"/>
          <w:lang w:val="en"/>
        </w:rPr>
        <w:t xml:space="preserve">is </w:t>
      </w:r>
      <w:r w:rsidR="009076CC" w:rsidRPr="00B61D39">
        <w:rPr>
          <w:rStyle w:val="rynqvb"/>
          <w:rFonts w:ascii="Times New Roman" w:hAnsi="Times New Roman" w:cs="Times New Roman"/>
          <w:sz w:val="24"/>
          <w:szCs w:val="24"/>
          <w:lang w:val="en"/>
        </w:rPr>
        <w:t xml:space="preserve">population are </w:t>
      </w:r>
      <w:r w:rsidR="00A00D3C" w:rsidRPr="00B61D39">
        <w:rPr>
          <w:rStyle w:val="rynqvb"/>
          <w:rFonts w:ascii="Times New Roman" w:hAnsi="Times New Roman" w:cs="Times New Roman"/>
          <w:sz w:val="24"/>
          <w:szCs w:val="24"/>
          <w:lang w:val="en"/>
        </w:rPr>
        <w:t xml:space="preserve">in </w:t>
      </w:r>
      <w:r w:rsidR="009076CC" w:rsidRPr="00B61D39">
        <w:rPr>
          <w:rStyle w:val="rynqvb"/>
          <w:rFonts w:ascii="Times New Roman" w:hAnsi="Times New Roman" w:cs="Times New Roman"/>
          <w:sz w:val="24"/>
          <w:szCs w:val="24"/>
          <w:lang w:val="en"/>
        </w:rPr>
        <w:t xml:space="preserve">the municipalities of Veles (38.7% and 36.3%, respectively), </w:t>
      </w:r>
      <w:r w:rsidR="00A166B9" w:rsidRPr="00B61D39">
        <w:rPr>
          <w:rStyle w:val="rynqvb"/>
          <w:rFonts w:ascii="Times New Roman" w:hAnsi="Times New Roman" w:cs="Times New Roman"/>
          <w:sz w:val="24"/>
          <w:szCs w:val="24"/>
          <w:lang w:val="en"/>
        </w:rPr>
        <w:t>Kavadartsi</w:t>
      </w:r>
      <w:r w:rsidR="009076CC" w:rsidRPr="00B61D39">
        <w:rPr>
          <w:rStyle w:val="rynqvb"/>
          <w:rFonts w:ascii="Times New Roman" w:hAnsi="Times New Roman" w:cs="Times New Roman"/>
          <w:sz w:val="24"/>
          <w:szCs w:val="24"/>
          <w:lang w:val="en"/>
        </w:rPr>
        <w:t xml:space="preserve"> (28.5% and 27.9%, respectively) and Negotino (12.4% and</w:t>
      </w:r>
      <w:r w:rsidR="009076CC" w:rsidRPr="00B61D39">
        <w:rPr>
          <w:rStyle w:val="hwtze"/>
          <w:rFonts w:ascii="Times New Roman" w:hAnsi="Times New Roman" w:cs="Times New Roman"/>
          <w:sz w:val="24"/>
          <w:szCs w:val="24"/>
          <w:lang w:val="en"/>
        </w:rPr>
        <w:t xml:space="preserve"> </w:t>
      </w:r>
      <w:r w:rsidR="009076CC" w:rsidRPr="00B61D39">
        <w:rPr>
          <w:rStyle w:val="rynqvb"/>
          <w:rFonts w:ascii="Times New Roman" w:hAnsi="Times New Roman" w:cs="Times New Roman"/>
          <w:sz w:val="24"/>
          <w:szCs w:val="24"/>
          <w:lang w:val="en"/>
        </w:rPr>
        <w:t xml:space="preserve">13.3%, respectively), </w:t>
      </w:r>
      <w:r w:rsidR="00B00D0A" w:rsidRPr="00B61D39">
        <w:rPr>
          <w:rStyle w:val="rynqvb"/>
          <w:rFonts w:ascii="Times New Roman" w:hAnsi="Times New Roman" w:cs="Times New Roman"/>
          <w:sz w:val="24"/>
          <w:szCs w:val="24"/>
          <w:lang w:val="en"/>
        </w:rPr>
        <w:t>while</w:t>
      </w:r>
      <w:r w:rsidR="009076CC" w:rsidRPr="00B61D39">
        <w:rPr>
          <w:rStyle w:val="rynqvb"/>
          <w:rFonts w:ascii="Times New Roman" w:hAnsi="Times New Roman" w:cs="Times New Roman"/>
          <w:sz w:val="24"/>
          <w:szCs w:val="24"/>
          <w:lang w:val="en"/>
        </w:rPr>
        <w:t xml:space="preserve"> Lozovo </w:t>
      </w:r>
      <w:r w:rsidR="00B00D0A" w:rsidRPr="00B61D39">
        <w:rPr>
          <w:rStyle w:val="rynqvb"/>
          <w:rFonts w:ascii="Times New Roman" w:hAnsi="Times New Roman" w:cs="Times New Roman"/>
          <w:sz w:val="24"/>
          <w:szCs w:val="24"/>
          <w:lang w:val="en"/>
        </w:rPr>
        <w:t xml:space="preserve">municipality </w:t>
      </w:r>
      <w:r w:rsidR="009076CC" w:rsidRPr="00B61D39">
        <w:rPr>
          <w:rStyle w:val="rynqvb"/>
          <w:rFonts w:ascii="Times New Roman" w:hAnsi="Times New Roman" w:cs="Times New Roman"/>
          <w:sz w:val="24"/>
          <w:szCs w:val="24"/>
          <w:lang w:val="en"/>
        </w:rPr>
        <w:t>has the least (1.2% and 1.4%, respectively).</w:t>
      </w:r>
      <w:r w:rsidR="009076CC" w:rsidRPr="00B61D39">
        <w:rPr>
          <w:rStyle w:val="hwtze"/>
          <w:rFonts w:ascii="Times New Roman" w:hAnsi="Times New Roman" w:cs="Times New Roman"/>
          <w:sz w:val="24"/>
          <w:szCs w:val="24"/>
          <w:lang w:val="en"/>
        </w:rPr>
        <w:t xml:space="preserve"> </w:t>
      </w:r>
      <w:r w:rsidR="009076CC" w:rsidRPr="00B61D39">
        <w:rPr>
          <w:rFonts w:ascii="Times New Roman" w:eastAsia="Times New Roman" w:hAnsi="Times New Roman" w:cs="Times New Roman"/>
          <w:sz w:val="24"/>
          <w:szCs w:val="24"/>
          <w:lang w:val="en" w:eastAsia="mk-MK"/>
        </w:rPr>
        <w:t>In both censuses</w:t>
      </w:r>
      <w:r w:rsidR="000C58A4" w:rsidRPr="00B61D39">
        <w:rPr>
          <w:rFonts w:ascii="Times New Roman" w:eastAsia="Times New Roman" w:hAnsi="Times New Roman" w:cs="Times New Roman"/>
          <w:sz w:val="24"/>
          <w:szCs w:val="24"/>
          <w:lang w:val="en" w:eastAsia="mk-MK"/>
        </w:rPr>
        <w:t xml:space="preserve"> is noticed</w:t>
      </w:r>
      <w:r w:rsidR="009076CC" w:rsidRPr="00B61D39">
        <w:rPr>
          <w:rFonts w:ascii="Times New Roman" w:eastAsia="Times New Roman" w:hAnsi="Times New Roman" w:cs="Times New Roman"/>
          <w:sz w:val="24"/>
          <w:szCs w:val="24"/>
          <w:lang w:val="en" w:eastAsia="mk-MK"/>
        </w:rPr>
        <w:t xml:space="preserve"> a seemingly large increase in the share of the population with </w:t>
      </w:r>
      <w:r w:rsidR="00A00D3C" w:rsidRPr="00B61D39">
        <w:rPr>
          <w:rStyle w:val="rynqvb"/>
          <w:rFonts w:ascii="Times New Roman" w:hAnsi="Times New Roman" w:cs="Times New Roman"/>
          <w:sz w:val="24"/>
          <w:szCs w:val="24"/>
          <w:lang w:val="en"/>
        </w:rPr>
        <w:t>higher education school, faculty and academia</w:t>
      </w:r>
      <w:r w:rsidR="009076CC" w:rsidRPr="00B61D39">
        <w:rPr>
          <w:rFonts w:ascii="Times New Roman" w:eastAsia="Times New Roman" w:hAnsi="Times New Roman" w:cs="Times New Roman"/>
          <w:sz w:val="24"/>
          <w:szCs w:val="24"/>
          <w:lang w:val="en" w:eastAsia="mk-MK"/>
        </w:rPr>
        <w:t xml:space="preserve">, both in </w:t>
      </w:r>
      <w:r w:rsidR="00B00D0A" w:rsidRPr="00B61D39">
        <w:rPr>
          <w:rFonts w:ascii="Times New Roman" w:eastAsia="Times New Roman" w:hAnsi="Times New Roman" w:cs="Times New Roman"/>
          <w:sz w:val="24"/>
          <w:szCs w:val="24"/>
          <w:lang w:val="en" w:eastAsia="mk-MK"/>
        </w:rPr>
        <w:t xml:space="preserve">national and region’s level </w:t>
      </w:r>
      <w:r w:rsidR="009076CC" w:rsidRPr="00B61D39">
        <w:rPr>
          <w:rFonts w:ascii="Times New Roman" w:eastAsia="Times New Roman" w:hAnsi="Times New Roman" w:cs="Times New Roman"/>
          <w:sz w:val="24"/>
          <w:szCs w:val="24"/>
          <w:lang w:val="en" w:eastAsia="mk-MK"/>
        </w:rPr>
        <w:t>(from 6.5% to 17% and 5.2% to 15%, respectively), which is actually due to the transformation of high</w:t>
      </w:r>
      <w:r w:rsidR="00A00D3C" w:rsidRPr="00B61D39">
        <w:rPr>
          <w:rFonts w:ascii="Times New Roman" w:eastAsia="Times New Roman" w:hAnsi="Times New Roman" w:cs="Times New Roman"/>
          <w:sz w:val="24"/>
          <w:szCs w:val="24"/>
          <w:lang w:val="en" w:eastAsia="mk-MK"/>
        </w:rPr>
        <w:t xml:space="preserve"> schools</w:t>
      </w:r>
      <w:r w:rsidR="009076CC" w:rsidRPr="00B61D39">
        <w:rPr>
          <w:rFonts w:ascii="Times New Roman" w:eastAsia="Times New Roman" w:hAnsi="Times New Roman" w:cs="Times New Roman"/>
          <w:sz w:val="24"/>
          <w:szCs w:val="24"/>
          <w:lang w:val="en" w:eastAsia="mk-MK"/>
        </w:rPr>
        <w:t xml:space="preserve"> into </w:t>
      </w:r>
      <w:r w:rsidR="00A00D3C" w:rsidRPr="00B61D39">
        <w:rPr>
          <w:rStyle w:val="rynqvb"/>
          <w:rFonts w:ascii="Times New Roman" w:hAnsi="Times New Roman" w:cs="Times New Roman"/>
          <w:sz w:val="24"/>
          <w:szCs w:val="24"/>
          <w:lang w:val="en"/>
        </w:rPr>
        <w:t>higher education school</w:t>
      </w:r>
      <w:r w:rsidR="00A00D3C" w:rsidRPr="00B61D39">
        <w:rPr>
          <w:rFonts w:ascii="Times New Roman" w:eastAsia="Times New Roman" w:hAnsi="Times New Roman" w:cs="Times New Roman"/>
          <w:sz w:val="24"/>
          <w:szCs w:val="24"/>
          <w:lang w:val="en" w:eastAsia="mk-MK"/>
        </w:rPr>
        <w:t xml:space="preserve"> </w:t>
      </w:r>
      <w:r w:rsidR="009076CC" w:rsidRPr="00B61D39">
        <w:rPr>
          <w:rFonts w:ascii="Times New Roman" w:eastAsia="Times New Roman" w:hAnsi="Times New Roman" w:cs="Times New Roman"/>
          <w:sz w:val="24"/>
          <w:szCs w:val="24"/>
          <w:lang w:val="en" w:eastAsia="mk-MK"/>
        </w:rPr>
        <w:t xml:space="preserve">and compulsory </w:t>
      </w:r>
      <w:r w:rsidR="00A00D3C" w:rsidRPr="00B61D39">
        <w:rPr>
          <w:rStyle w:val="rynqvb"/>
          <w:rFonts w:ascii="Times New Roman" w:hAnsi="Times New Roman" w:cs="Times New Roman"/>
          <w:sz w:val="24"/>
          <w:szCs w:val="24"/>
          <w:lang w:val="en"/>
        </w:rPr>
        <w:t>upper secondary education</w:t>
      </w:r>
      <w:r w:rsidR="009076CC" w:rsidRPr="00B61D39">
        <w:rPr>
          <w:rFonts w:ascii="Times New Roman" w:eastAsia="Times New Roman" w:hAnsi="Times New Roman" w:cs="Times New Roman"/>
          <w:sz w:val="24"/>
          <w:szCs w:val="24"/>
          <w:lang w:val="en" w:eastAsia="mk-MK"/>
        </w:rPr>
        <w:t xml:space="preserve">. </w:t>
      </w:r>
      <w:r w:rsidR="00B00D0A" w:rsidRPr="00B61D39">
        <w:rPr>
          <w:rFonts w:ascii="Times New Roman" w:eastAsia="Times New Roman" w:hAnsi="Times New Roman" w:cs="Times New Roman"/>
          <w:sz w:val="24"/>
          <w:szCs w:val="24"/>
          <w:lang w:val="en" w:eastAsia="mk-MK"/>
        </w:rPr>
        <w:t>L</w:t>
      </w:r>
      <w:r w:rsidR="009076CC" w:rsidRPr="00B61D39">
        <w:rPr>
          <w:rFonts w:ascii="Times New Roman" w:eastAsia="Times New Roman" w:hAnsi="Times New Roman" w:cs="Times New Roman"/>
          <w:sz w:val="24"/>
          <w:szCs w:val="24"/>
          <w:lang w:val="en" w:eastAsia="mk-MK"/>
        </w:rPr>
        <w:t xml:space="preserve">argest percentage of population with </w:t>
      </w:r>
      <w:r w:rsidR="00A00D3C" w:rsidRPr="00B61D39">
        <w:rPr>
          <w:rStyle w:val="rynqvb"/>
          <w:rFonts w:ascii="Times New Roman" w:hAnsi="Times New Roman" w:cs="Times New Roman"/>
          <w:sz w:val="24"/>
          <w:szCs w:val="24"/>
          <w:lang w:val="en"/>
        </w:rPr>
        <w:t xml:space="preserve">higher education school, faculty and academia </w:t>
      </w:r>
      <w:r w:rsidR="009076CC" w:rsidRPr="00B61D39">
        <w:rPr>
          <w:rFonts w:ascii="Times New Roman" w:eastAsia="Times New Roman" w:hAnsi="Times New Roman" w:cs="Times New Roman"/>
          <w:sz w:val="24"/>
          <w:szCs w:val="24"/>
          <w:lang w:val="en" w:eastAsia="mk-MK"/>
        </w:rPr>
        <w:t>in both censuses h</w:t>
      </w:r>
      <w:r w:rsidR="003F38B2" w:rsidRPr="00B61D39">
        <w:rPr>
          <w:rFonts w:ascii="Times New Roman" w:eastAsia="Times New Roman" w:hAnsi="Times New Roman" w:cs="Times New Roman"/>
          <w:sz w:val="24"/>
          <w:szCs w:val="24"/>
          <w:lang w:val="en" w:eastAsia="mk-MK"/>
        </w:rPr>
        <w:t>ave</w:t>
      </w:r>
      <w:r w:rsidR="009076CC" w:rsidRPr="00B61D39">
        <w:rPr>
          <w:rFonts w:ascii="Times New Roman" w:eastAsia="Times New Roman" w:hAnsi="Times New Roman" w:cs="Times New Roman"/>
          <w:sz w:val="24"/>
          <w:szCs w:val="24"/>
          <w:lang w:val="en" w:eastAsia="mk-MK"/>
        </w:rPr>
        <w:t xml:space="preserve"> the municipalities of Veles (42.7% and 37.9%), </w:t>
      </w:r>
      <w:r w:rsidR="00A166B9" w:rsidRPr="00B61D39">
        <w:rPr>
          <w:rFonts w:ascii="Times New Roman" w:eastAsia="Times New Roman" w:hAnsi="Times New Roman" w:cs="Times New Roman"/>
          <w:sz w:val="24"/>
          <w:szCs w:val="24"/>
          <w:lang w:val="en" w:eastAsia="mk-MK"/>
        </w:rPr>
        <w:t>Kavadartsi</w:t>
      </w:r>
      <w:r w:rsidR="009076CC" w:rsidRPr="00B61D39">
        <w:rPr>
          <w:rFonts w:ascii="Times New Roman" w:eastAsia="Times New Roman" w:hAnsi="Times New Roman" w:cs="Times New Roman"/>
          <w:sz w:val="24"/>
          <w:szCs w:val="24"/>
          <w:lang w:val="en" w:eastAsia="mk-MK"/>
        </w:rPr>
        <w:t xml:space="preserve"> (30.8% and 31.8%) and Negotino (12% and 13.3%), respectively. </w:t>
      </w:r>
      <w:r w:rsidR="00A00D3C" w:rsidRPr="00B61D39">
        <w:rPr>
          <w:rFonts w:ascii="Times New Roman" w:eastAsia="Times New Roman" w:hAnsi="Times New Roman" w:cs="Times New Roman"/>
          <w:sz w:val="24"/>
          <w:szCs w:val="24"/>
          <w:lang w:val="en" w:eastAsia="mk-MK"/>
        </w:rPr>
        <w:t>Regarding this group of population, t</w:t>
      </w:r>
      <w:r w:rsidR="009076CC" w:rsidRPr="00B61D39">
        <w:rPr>
          <w:rFonts w:ascii="Times New Roman" w:eastAsia="Times New Roman" w:hAnsi="Times New Roman" w:cs="Times New Roman"/>
          <w:sz w:val="24"/>
          <w:szCs w:val="24"/>
          <w:lang w:val="en" w:eastAsia="mk-MK"/>
        </w:rPr>
        <w:t>here have been changes in relation to the municipalities with the lowest shar</w:t>
      </w:r>
      <w:r w:rsidR="00A00D3C" w:rsidRPr="00B61D39">
        <w:rPr>
          <w:rFonts w:ascii="Times New Roman" w:eastAsia="Times New Roman" w:hAnsi="Times New Roman" w:cs="Times New Roman"/>
          <w:sz w:val="24"/>
          <w:szCs w:val="24"/>
          <w:lang w:val="en" w:eastAsia="mk-MK"/>
        </w:rPr>
        <w:t xml:space="preserve">e, that is, in </w:t>
      </w:r>
      <w:r w:rsidR="009076CC" w:rsidRPr="00B61D39">
        <w:rPr>
          <w:rFonts w:ascii="Times New Roman" w:eastAsia="Times New Roman" w:hAnsi="Times New Roman" w:cs="Times New Roman"/>
          <w:sz w:val="24"/>
          <w:szCs w:val="24"/>
          <w:lang w:val="en" w:eastAsia="mk-MK"/>
        </w:rPr>
        <w:t>2002</w:t>
      </w:r>
      <w:r w:rsidR="000C58A4" w:rsidRPr="00B61D39">
        <w:rPr>
          <w:rFonts w:ascii="Times New Roman" w:eastAsia="Times New Roman" w:hAnsi="Times New Roman" w:cs="Times New Roman"/>
          <w:sz w:val="24"/>
          <w:szCs w:val="24"/>
          <w:lang w:val="en" w:eastAsia="mk-MK"/>
        </w:rPr>
        <w:t xml:space="preserve">, the municipalities of </w:t>
      </w:r>
      <w:r w:rsidR="00B6336B" w:rsidRPr="00B61D39">
        <w:rPr>
          <w:rFonts w:ascii="Times New Roman" w:eastAsia="Times New Roman" w:hAnsi="Times New Roman" w:cs="Times New Roman"/>
          <w:sz w:val="24"/>
          <w:szCs w:val="24"/>
          <w:lang w:val="en" w:eastAsia="mk-MK"/>
        </w:rPr>
        <w:t>Chaska</w:t>
      </w:r>
      <w:r w:rsidR="009076CC" w:rsidRPr="00B61D39">
        <w:rPr>
          <w:rFonts w:ascii="Times New Roman" w:eastAsia="Times New Roman" w:hAnsi="Times New Roman" w:cs="Times New Roman"/>
          <w:sz w:val="24"/>
          <w:szCs w:val="24"/>
          <w:lang w:val="en" w:eastAsia="mk-MK"/>
        </w:rPr>
        <w:t xml:space="preserve"> and Rosoman had the smallest participation with 0.4% each, and in 2001</w:t>
      </w:r>
      <w:r w:rsidR="000C58A4" w:rsidRPr="00B61D39">
        <w:rPr>
          <w:rFonts w:ascii="Times New Roman" w:eastAsia="Times New Roman" w:hAnsi="Times New Roman" w:cs="Times New Roman"/>
          <w:sz w:val="24"/>
          <w:szCs w:val="24"/>
          <w:lang w:val="en" w:eastAsia="mk-MK"/>
        </w:rPr>
        <w:t>,</w:t>
      </w:r>
      <w:r w:rsidR="009076CC" w:rsidRPr="00B61D39">
        <w:rPr>
          <w:rFonts w:ascii="Times New Roman" w:eastAsia="Times New Roman" w:hAnsi="Times New Roman" w:cs="Times New Roman"/>
          <w:sz w:val="24"/>
          <w:szCs w:val="24"/>
          <w:lang w:val="en" w:eastAsia="mk-MK"/>
        </w:rPr>
        <w:t xml:space="preserve"> it was the Lozovo </w:t>
      </w:r>
      <w:r w:rsidR="00B00D0A" w:rsidRPr="00B61D39">
        <w:rPr>
          <w:rFonts w:ascii="Times New Roman" w:eastAsia="Times New Roman" w:hAnsi="Times New Roman" w:cs="Times New Roman"/>
          <w:sz w:val="24"/>
          <w:szCs w:val="24"/>
          <w:lang w:val="en" w:eastAsia="mk-MK"/>
        </w:rPr>
        <w:t xml:space="preserve">municipality </w:t>
      </w:r>
      <w:r w:rsidR="009076CC" w:rsidRPr="00B61D39">
        <w:rPr>
          <w:rFonts w:ascii="Times New Roman" w:eastAsia="Times New Roman" w:hAnsi="Times New Roman" w:cs="Times New Roman"/>
          <w:sz w:val="24"/>
          <w:szCs w:val="24"/>
          <w:lang w:val="en" w:eastAsia="mk-MK"/>
        </w:rPr>
        <w:t>with 0.8%.</w:t>
      </w:r>
    </w:p>
    <w:p w14:paraId="4F6B79C3" w14:textId="1AE889FF" w:rsidR="00573D33" w:rsidRDefault="00573D33" w:rsidP="004A09FD">
      <w:pPr>
        <w:spacing w:after="0" w:line="240" w:lineRule="auto"/>
        <w:rPr>
          <w:rFonts w:ascii="Times New Roman" w:hAnsi="Times New Roman" w:cs="Times New Roman"/>
          <w:color w:val="000000" w:themeColor="text1"/>
          <w:sz w:val="24"/>
          <w:szCs w:val="24"/>
          <w:lang w:val="mk-MK"/>
        </w:rPr>
      </w:pPr>
    </w:p>
    <w:p w14:paraId="692AFF49" w14:textId="77777777" w:rsidR="00573D33" w:rsidRDefault="00573D33" w:rsidP="004A6569">
      <w:pPr>
        <w:jc w:val="both"/>
        <w:rPr>
          <w:rFonts w:ascii="Times New Roman" w:hAnsi="Times New Roman" w:cs="Times New Roman"/>
          <w:color w:val="000000" w:themeColor="text1"/>
          <w:sz w:val="24"/>
          <w:szCs w:val="24"/>
          <w:lang w:val="mk-MK"/>
        </w:rPr>
      </w:pPr>
    </w:p>
    <w:p w14:paraId="78E157CA" w14:textId="77777777" w:rsidR="00573D33" w:rsidRDefault="00573D33" w:rsidP="004A6569">
      <w:pPr>
        <w:jc w:val="both"/>
        <w:rPr>
          <w:rFonts w:ascii="Times New Roman" w:hAnsi="Times New Roman" w:cs="Times New Roman"/>
          <w:color w:val="000000" w:themeColor="text1"/>
          <w:sz w:val="24"/>
          <w:szCs w:val="24"/>
          <w:lang w:val="mk-MK"/>
        </w:rPr>
        <w:sectPr w:rsidR="00573D33" w:rsidSect="00554F98">
          <w:pgSz w:w="11906" w:h="16838"/>
          <w:pgMar w:top="1440" w:right="1440" w:bottom="1440" w:left="1440" w:header="708" w:footer="708" w:gutter="0"/>
          <w:cols w:space="708"/>
          <w:docGrid w:linePitch="360"/>
        </w:sectPr>
      </w:pPr>
    </w:p>
    <w:p w14:paraId="64505301" w14:textId="6C295BD5" w:rsidR="00293D6C" w:rsidRDefault="00B456AC" w:rsidP="004A6569">
      <w:pPr>
        <w:jc w:val="both"/>
        <w:rPr>
          <w:rFonts w:ascii="Times New Roman" w:hAnsi="Times New Roman" w:cs="Times New Roman"/>
          <w:color w:val="000000" w:themeColor="text1"/>
          <w:sz w:val="24"/>
          <w:szCs w:val="24"/>
          <w:lang w:val="mk-MK"/>
        </w:rPr>
      </w:pPr>
      <w:r w:rsidRPr="00B456AC">
        <w:rPr>
          <w:noProof/>
          <w:lang w:val="mk-MK" w:eastAsia="mk-MK"/>
        </w:rPr>
        <w:lastRenderedPageBreak/>
        <w:drawing>
          <wp:inline distT="0" distB="0" distL="0" distR="0" wp14:anchorId="197B2911" wp14:editId="4EE47444">
            <wp:extent cx="10080000" cy="3031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80000" cy="3031200"/>
                    </a:xfrm>
                    <a:prstGeom prst="rect">
                      <a:avLst/>
                    </a:prstGeom>
                    <a:noFill/>
                    <a:ln>
                      <a:noFill/>
                    </a:ln>
                  </pic:spPr>
                </pic:pic>
              </a:graphicData>
            </a:graphic>
          </wp:inline>
        </w:drawing>
      </w:r>
    </w:p>
    <w:p w14:paraId="09B4F1D1" w14:textId="44354E95" w:rsidR="0042561B" w:rsidRDefault="000E4F5F" w:rsidP="004A6569">
      <w:pPr>
        <w:jc w:val="both"/>
        <w:rPr>
          <w:rFonts w:ascii="Times New Roman" w:hAnsi="Times New Roman" w:cs="Times New Roman"/>
          <w:color w:val="000000" w:themeColor="text1"/>
          <w:sz w:val="24"/>
          <w:szCs w:val="24"/>
          <w:lang w:val="mk-MK"/>
        </w:rPr>
      </w:pPr>
      <w:r w:rsidRPr="000E4F5F">
        <w:drawing>
          <wp:inline distT="0" distB="0" distL="0" distR="0" wp14:anchorId="08FC240C" wp14:editId="130D6A00">
            <wp:extent cx="9777730" cy="34535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77730" cy="3453529"/>
                    </a:xfrm>
                    <a:prstGeom prst="rect">
                      <a:avLst/>
                    </a:prstGeom>
                    <a:noFill/>
                    <a:ln>
                      <a:noFill/>
                    </a:ln>
                  </pic:spPr>
                </pic:pic>
              </a:graphicData>
            </a:graphic>
          </wp:inline>
        </w:drawing>
      </w:r>
    </w:p>
    <w:p w14:paraId="756EA0D8" w14:textId="00859ABB" w:rsidR="0042561B" w:rsidRDefault="0042561B" w:rsidP="004A6569">
      <w:pPr>
        <w:jc w:val="both"/>
        <w:rPr>
          <w:rFonts w:ascii="Times New Roman" w:hAnsi="Times New Roman" w:cs="Times New Roman"/>
          <w:color w:val="000000" w:themeColor="text1"/>
          <w:sz w:val="24"/>
          <w:szCs w:val="24"/>
          <w:lang w:val="mk-MK"/>
        </w:rPr>
        <w:sectPr w:rsidR="0042561B" w:rsidSect="00554F98">
          <w:pgSz w:w="16838" w:h="11906" w:orient="landscape"/>
          <w:pgMar w:top="720" w:right="720" w:bottom="720" w:left="720" w:header="708" w:footer="708" w:gutter="0"/>
          <w:cols w:space="708"/>
          <w:docGrid w:linePitch="360"/>
        </w:sectPr>
      </w:pPr>
    </w:p>
    <w:p w14:paraId="3C83571E" w14:textId="0806E275" w:rsidR="004B766C" w:rsidRPr="004B766C" w:rsidRDefault="004B766C" w:rsidP="004B766C">
      <w:pPr>
        <w:spacing w:after="0"/>
        <w:jc w:val="both"/>
        <w:rPr>
          <w:rStyle w:val="rynqvb"/>
          <w:rFonts w:ascii="Times New Roman" w:hAnsi="Times New Roman" w:cs="Times New Roman"/>
          <w:sz w:val="24"/>
          <w:szCs w:val="24"/>
          <w:lang w:val="en"/>
        </w:rPr>
      </w:pPr>
      <w:r w:rsidRPr="004B766C">
        <w:rPr>
          <w:rStyle w:val="rynqvb"/>
          <w:rFonts w:ascii="Times New Roman" w:hAnsi="Times New Roman" w:cs="Times New Roman"/>
          <w:sz w:val="24"/>
          <w:szCs w:val="24"/>
          <w:lang w:val="en"/>
        </w:rPr>
        <w:lastRenderedPageBreak/>
        <w:t>Before going into the population's economic characteristics, it is important to note that the data from the 2002 and 2021 censuses cannot be directly compared. Namely, in the 2002 census, data on the economic characteristics of the population were based on the Labour Force Survey, whereas in 2021, they were acquired from administrative data sources (registers) in the country. It indicates a methodological mismatch in these data, making direct comparison impossible. Furthermore, according to Eurostat's recommendations and the existing Macedonian legal framework, which provides retirement at the age of 64 (with the exception of certain categories of employees), it is more relevant in the analysis to use the working-age population aged 15 to 64 years. However, only data on the working-age population aged 15 and up were published in the State Statistics Office's database for the Census 2002 year.</w:t>
      </w:r>
    </w:p>
    <w:p w14:paraId="0398A334" w14:textId="48B335B1" w:rsidR="009F130A" w:rsidRPr="004B766C" w:rsidRDefault="00B00D0A" w:rsidP="002A4883">
      <w:pPr>
        <w:spacing w:after="0"/>
        <w:jc w:val="both"/>
        <w:rPr>
          <w:rFonts w:ascii="Times New Roman" w:hAnsi="Times New Roman" w:cs="Times New Roman"/>
          <w:sz w:val="24"/>
          <w:szCs w:val="24"/>
          <w:lang w:val="en"/>
        </w:rPr>
      </w:pPr>
      <w:r w:rsidRPr="00B61D39">
        <w:rPr>
          <w:rStyle w:val="rynqvb"/>
          <w:rFonts w:ascii="Times New Roman" w:hAnsi="Times New Roman" w:cs="Times New Roman"/>
          <w:sz w:val="24"/>
          <w:szCs w:val="24"/>
          <w:lang w:val="en"/>
        </w:rPr>
        <w:t>W</w:t>
      </w:r>
      <w:r w:rsidR="00A00D3C" w:rsidRPr="00B61D39">
        <w:rPr>
          <w:rStyle w:val="rynqvb"/>
          <w:rFonts w:ascii="Times New Roman" w:hAnsi="Times New Roman" w:cs="Times New Roman"/>
          <w:sz w:val="24"/>
          <w:szCs w:val="24"/>
          <w:lang w:val="en"/>
        </w:rPr>
        <w:t>orking age</w:t>
      </w:r>
      <w:r w:rsidR="000516BE" w:rsidRPr="00B61D39">
        <w:rPr>
          <w:rStyle w:val="rynqvb"/>
          <w:rFonts w:ascii="Times New Roman" w:hAnsi="Times New Roman" w:cs="Times New Roman"/>
          <w:sz w:val="24"/>
          <w:szCs w:val="24"/>
          <w:lang w:val="en"/>
        </w:rPr>
        <w:t xml:space="preserve"> population (active and inactive), the situation is best understood through the activity rates (general activity rate, general activity rate of the </w:t>
      </w:r>
      <w:r w:rsidR="00A00D3C" w:rsidRPr="00B61D39">
        <w:rPr>
          <w:rStyle w:val="rynqvb"/>
          <w:rFonts w:ascii="Times New Roman" w:hAnsi="Times New Roman" w:cs="Times New Roman"/>
          <w:sz w:val="24"/>
          <w:szCs w:val="24"/>
          <w:lang w:val="en"/>
        </w:rPr>
        <w:t>working age</w:t>
      </w:r>
      <w:r w:rsidR="000516BE" w:rsidRPr="00B61D39">
        <w:rPr>
          <w:rStyle w:val="rynqvb"/>
          <w:rFonts w:ascii="Times New Roman" w:hAnsi="Times New Roman" w:cs="Times New Roman"/>
          <w:sz w:val="24"/>
          <w:szCs w:val="24"/>
          <w:lang w:val="en"/>
        </w:rPr>
        <w:t xml:space="preserve"> contingent and rate of economic underutilization of the </w:t>
      </w:r>
      <w:r w:rsidR="00A00D3C" w:rsidRPr="00B61D39">
        <w:rPr>
          <w:rStyle w:val="rynqvb"/>
          <w:rFonts w:ascii="Times New Roman" w:hAnsi="Times New Roman" w:cs="Times New Roman"/>
          <w:sz w:val="24"/>
          <w:szCs w:val="24"/>
          <w:lang w:val="en"/>
        </w:rPr>
        <w:t>working age</w:t>
      </w:r>
      <w:r w:rsidR="000516BE" w:rsidRPr="00B61D39">
        <w:rPr>
          <w:rStyle w:val="rynqvb"/>
          <w:rFonts w:ascii="Times New Roman" w:hAnsi="Times New Roman" w:cs="Times New Roman"/>
          <w:sz w:val="24"/>
          <w:szCs w:val="24"/>
          <w:lang w:val="en"/>
        </w:rPr>
        <w:t xml:space="preserve"> contingent) which at the national level have a favorable trend</w:t>
      </w:r>
      <w:r w:rsidR="004B766C">
        <w:rPr>
          <w:rFonts w:ascii="Times New Roman" w:hAnsi="Times New Roman" w:cs="Times New Roman"/>
          <w:sz w:val="24"/>
          <w:szCs w:val="24"/>
          <w:lang w:val="mk-MK"/>
        </w:rPr>
        <w:t xml:space="preserve">. </w:t>
      </w:r>
      <w:r w:rsidR="004B766C">
        <w:rPr>
          <w:rFonts w:ascii="Times New Roman" w:hAnsi="Times New Roman" w:cs="Times New Roman"/>
          <w:sz w:val="24"/>
          <w:szCs w:val="24"/>
          <w:lang w:val="en-US"/>
        </w:rPr>
        <w:t>Generally, t</w:t>
      </w:r>
      <w:r w:rsidR="004B766C" w:rsidRPr="00B61D39">
        <w:rPr>
          <w:rFonts w:ascii="Times New Roman" w:hAnsi="Times New Roman" w:cs="Times New Roman"/>
          <w:sz w:val="24"/>
          <w:szCs w:val="24"/>
          <w:lang w:val="en"/>
        </w:rPr>
        <w:t>he</w:t>
      </w:r>
      <w:r w:rsidR="009F130A" w:rsidRPr="00B61D39">
        <w:rPr>
          <w:rFonts w:ascii="Times New Roman" w:hAnsi="Times New Roman" w:cs="Times New Roman"/>
          <w:sz w:val="24"/>
          <w:szCs w:val="24"/>
          <w:lang w:val="en"/>
        </w:rPr>
        <w:t xml:space="preserve"> Vardar region follows th</w:t>
      </w:r>
      <w:r w:rsidR="00A11704" w:rsidRPr="00B61D39">
        <w:rPr>
          <w:rFonts w:ascii="Times New Roman" w:hAnsi="Times New Roman" w:cs="Times New Roman"/>
          <w:sz w:val="24"/>
          <w:szCs w:val="24"/>
          <w:lang w:val="en"/>
        </w:rPr>
        <w:t xml:space="preserve">e </w:t>
      </w:r>
      <w:r w:rsidR="002A4883" w:rsidRPr="00B61D39">
        <w:rPr>
          <w:rFonts w:ascii="Times New Roman" w:hAnsi="Times New Roman" w:cs="Times New Roman"/>
          <w:sz w:val="24"/>
          <w:szCs w:val="24"/>
          <w:lang w:val="en"/>
        </w:rPr>
        <w:t>national</w:t>
      </w:r>
      <w:r w:rsidR="009F130A" w:rsidRPr="00B61D39">
        <w:rPr>
          <w:rFonts w:ascii="Times New Roman" w:hAnsi="Times New Roman" w:cs="Times New Roman"/>
          <w:sz w:val="24"/>
          <w:szCs w:val="24"/>
          <w:lang w:val="en"/>
        </w:rPr>
        <w:t xml:space="preserve"> trend, w</w:t>
      </w:r>
      <w:r w:rsidR="004B766C">
        <w:rPr>
          <w:rFonts w:ascii="Times New Roman" w:hAnsi="Times New Roman" w:cs="Times New Roman"/>
          <w:sz w:val="24"/>
          <w:szCs w:val="24"/>
          <w:lang w:val="en"/>
        </w:rPr>
        <w:t xml:space="preserve">ith a more favorable structure. </w:t>
      </w:r>
      <w:r w:rsidR="004B766C" w:rsidRPr="004B766C">
        <w:rPr>
          <w:rFonts w:ascii="Times New Roman" w:hAnsi="Times New Roman" w:cs="Times New Roman"/>
          <w:sz w:val="24"/>
          <w:szCs w:val="24"/>
          <w:lang w:val="en"/>
        </w:rPr>
        <w:t>Having in mind methodological discrepancies,</w:t>
      </w:r>
      <w:r w:rsidR="004B766C">
        <w:rPr>
          <w:rFonts w:ascii="Times New Roman" w:hAnsi="Times New Roman" w:cs="Times New Roman"/>
          <w:sz w:val="24"/>
          <w:szCs w:val="24"/>
          <w:lang w:val="en"/>
        </w:rPr>
        <w:t xml:space="preserve"> in Table 5 are given data regarding all activity rates in the two consequent Censuses.</w:t>
      </w:r>
      <w:r w:rsidR="009F130A" w:rsidRPr="00B61D39">
        <w:rPr>
          <w:rFonts w:ascii="Times New Roman" w:hAnsi="Times New Roman" w:cs="Times New Roman"/>
          <w:sz w:val="24"/>
          <w:szCs w:val="24"/>
          <w:lang w:val="en"/>
        </w:rPr>
        <w:t xml:space="preserve"> By municipalities, the general activity rates gravitate around the value at the </w:t>
      </w:r>
      <w:r w:rsidR="00096028" w:rsidRPr="00B61D39">
        <w:rPr>
          <w:rFonts w:ascii="Times New Roman" w:hAnsi="Times New Roman" w:cs="Times New Roman"/>
          <w:sz w:val="24"/>
          <w:szCs w:val="24"/>
          <w:lang w:val="en"/>
        </w:rPr>
        <w:t>region’s</w:t>
      </w:r>
      <w:r w:rsidR="009F130A" w:rsidRPr="00B61D39">
        <w:rPr>
          <w:rFonts w:ascii="Times New Roman" w:hAnsi="Times New Roman" w:cs="Times New Roman"/>
          <w:sz w:val="24"/>
          <w:szCs w:val="24"/>
          <w:lang w:val="en"/>
        </w:rPr>
        <w:t xml:space="preserve"> level in both censuses, with a larger deviation in</w:t>
      </w:r>
      <w:r w:rsidR="006A02F7" w:rsidRPr="00B61D39">
        <w:rPr>
          <w:rFonts w:ascii="Times New Roman" w:hAnsi="Times New Roman" w:cs="Times New Roman"/>
          <w:sz w:val="24"/>
          <w:szCs w:val="24"/>
          <w:lang w:val="en"/>
        </w:rPr>
        <w:t xml:space="preserve"> </w:t>
      </w:r>
      <w:r w:rsidR="00B6336B" w:rsidRPr="00B61D39">
        <w:rPr>
          <w:rFonts w:ascii="Times New Roman" w:hAnsi="Times New Roman" w:cs="Times New Roman"/>
          <w:sz w:val="24"/>
          <w:szCs w:val="24"/>
          <w:lang w:val="en"/>
        </w:rPr>
        <w:t>Chaska</w:t>
      </w:r>
      <w:r w:rsidR="006A02F7" w:rsidRPr="00B61D39">
        <w:rPr>
          <w:rFonts w:ascii="Times New Roman" w:hAnsi="Times New Roman" w:cs="Times New Roman"/>
          <w:sz w:val="24"/>
          <w:szCs w:val="24"/>
          <w:lang w:val="en"/>
        </w:rPr>
        <w:t xml:space="preserve"> municipality </w:t>
      </w:r>
      <w:r w:rsidR="009F130A" w:rsidRPr="00B61D39">
        <w:rPr>
          <w:rFonts w:ascii="Times New Roman" w:hAnsi="Times New Roman" w:cs="Times New Roman"/>
          <w:sz w:val="24"/>
          <w:szCs w:val="24"/>
          <w:lang w:val="en"/>
        </w:rPr>
        <w:t xml:space="preserve">(24.2% and 19.7%, respectively), while in the municipality of Lozovo there is a deviation only in the census of 2002 (33%). As expected, the values </w:t>
      </w:r>
      <w:r w:rsidR="006A02F7" w:rsidRPr="00B61D39">
        <w:rPr>
          <w:rFonts w:ascii="Times New Roman" w:hAnsi="Times New Roman" w:cs="Times New Roman"/>
          <w:sz w:val="24"/>
          <w:szCs w:val="24"/>
          <w:lang w:val="en"/>
        </w:rPr>
        <w:t xml:space="preserve">other two rates </w:t>
      </w:r>
      <w:r w:rsidR="009F130A" w:rsidRPr="00B61D39">
        <w:rPr>
          <w:rFonts w:ascii="Times New Roman" w:hAnsi="Times New Roman" w:cs="Times New Roman"/>
          <w:sz w:val="24"/>
          <w:szCs w:val="24"/>
          <w:lang w:val="en"/>
        </w:rPr>
        <w:t>correspond with the values of the general activity rates.</w:t>
      </w:r>
    </w:p>
    <w:p w14:paraId="7241BA10" w14:textId="56814598" w:rsidR="005722AF" w:rsidRPr="00B61D39" w:rsidRDefault="002A4883" w:rsidP="00E16645">
      <w:pPr>
        <w:jc w:val="both"/>
        <w:rPr>
          <w:rFonts w:ascii="Times New Roman" w:hAnsi="Times New Roman" w:cs="Times New Roman"/>
          <w:sz w:val="24"/>
          <w:szCs w:val="24"/>
          <w:lang w:val="en"/>
        </w:rPr>
      </w:pPr>
      <w:r w:rsidRPr="00B61D39">
        <w:rPr>
          <w:rFonts w:ascii="Times New Roman" w:hAnsi="Times New Roman" w:cs="Times New Roman"/>
          <w:sz w:val="24"/>
          <w:szCs w:val="24"/>
          <w:lang w:val="en-US"/>
        </w:rPr>
        <w:t xml:space="preserve">Regarding </w:t>
      </w:r>
      <w:r w:rsidR="009F130A" w:rsidRPr="00B61D39">
        <w:rPr>
          <w:rFonts w:ascii="Times New Roman" w:hAnsi="Times New Roman" w:cs="Times New Roman"/>
          <w:sz w:val="24"/>
          <w:szCs w:val="24"/>
          <w:lang w:val="en"/>
        </w:rPr>
        <w:t>the employment and unemployment rates, the trends are favorable</w:t>
      </w:r>
      <w:r w:rsidR="006A02F7" w:rsidRPr="00B61D39">
        <w:rPr>
          <w:rFonts w:ascii="Times New Roman" w:hAnsi="Times New Roman" w:cs="Times New Roman"/>
          <w:sz w:val="24"/>
          <w:szCs w:val="24"/>
          <w:lang w:val="en"/>
        </w:rPr>
        <w:t xml:space="preserve"> both at</w:t>
      </w:r>
      <w:r w:rsidR="009F130A" w:rsidRPr="00B61D39">
        <w:rPr>
          <w:rFonts w:ascii="Times New Roman" w:hAnsi="Times New Roman" w:cs="Times New Roman"/>
          <w:sz w:val="24"/>
          <w:szCs w:val="24"/>
          <w:lang w:val="en"/>
        </w:rPr>
        <w:t xml:space="preserve"> national and </w:t>
      </w:r>
      <w:r w:rsidR="006A02F7" w:rsidRPr="00B61D39">
        <w:rPr>
          <w:rFonts w:ascii="Times New Roman" w:hAnsi="Times New Roman" w:cs="Times New Roman"/>
          <w:sz w:val="24"/>
          <w:szCs w:val="24"/>
          <w:lang w:val="en"/>
        </w:rPr>
        <w:t xml:space="preserve">at </w:t>
      </w:r>
      <w:r w:rsidR="009F130A" w:rsidRPr="00B61D39">
        <w:rPr>
          <w:rFonts w:ascii="Times New Roman" w:hAnsi="Times New Roman" w:cs="Times New Roman"/>
          <w:sz w:val="24"/>
          <w:szCs w:val="24"/>
          <w:lang w:val="en"/>
        </w:rPr>
        <w:t>region</w:t>
      </w:r>
      <w:r w:rsidR="006A02F7" w:rsidRPr="00B61D39">
        <w:rPr>
          <w:rFonts w:ascii="Times New Roman" w:hAnsi="Times New Roman" w:cs="Times New Roman"/>
          <w:sz w:val="24"/>
          <w:szCs w:val="24"/>
          <w:lang w:val="en"/>
        </w:rPr>
        <w:t xml:space="preserve">’s </w:t>
      </w:r>
      <w:r w:rsidR="009F130A" w:rsidRPr="00B61D39">
        <w:rPr>
          <w:rFonts w:ascii="Times New Roman" w:hAnsi="Times New Roman" w:cs="Times New Roman"/>
          <w:sz w:val="24"/>
          <w:szCs w:val="24"/>
          <w:lang w:val="en"/>
        </w:rPr>
        <w:t xml:space="preserve">level, that is, the employment rate is increasing, and the unemployment rate is decreasing (Graph 2). More specifically, the employment rate in 2002 at the </w:t>
      </w:r>
      <w:r w:rsidR="00096028" w:rsidRPr="00B61D39">
        <w:rPr>
          <w:rFonts w:ascii="Times New Roman" w:hAnsi="Times New Roman" w:cs="Times New Roman"/>
          <w:sz w:val="24"/>
          <w:szCs w:val="24"/>
          <w:lang w:val="en"/>
        </w:rPr>
        <w:t>region’s</w:t>
      </w:r>
      <w:r w:rsidR="009F130A" w:rsidRPr="00B61D39">
        <w:rPr>
          <w:rFonts w:ascii="Times New Roman" w:hAnsi="Times New Roman" w:cs="Times New Roman"/>
          <w:sz w:val="24"/>
          <w:szCs w:val="24"/>
          <w:lang w:val="en"/>
        </w:rPr>
        <w:t xml:space="preserve"> level was the same as the national rate (29.2% and 29.5%), but in 2021, its increase is higher (29.5% to 55.8%, respectively</w:t>
      </w:r>
      <w:r w:rsidR="00D45BBD" w:rsidRPr="00B61D39">
        <w:rPr>
          <w:rFonts w:ascii="Times New Roman" w:hAnsi="Times New Roman" w:cs="Times New Roman"/>
          <w:sz w:val="24"/>
          <w:szCs w:val="24"/>
          <w:lang w:val="en"/>
        </w:rPr>
        <w:t xml:space="preserve">), in relation to the increase of </w:t>
      </w:r>
      <w:r w:rsidR="009F130A" w:rsidRPr="00B61D39">
        <w:rPr>
          <w:rFonts w:ascii="Times New Roman" w:hAnsi="Times New Roman" w:cs="Times New Roman"/>
          <w:sz w:val="24"/>
          <w:szCs w:val="24"/>
          <w:lang w:val="en"/>
        </w:rPr>
        <w:t>the national rate (29.2% to 49.9%, respectively). At</w:t>
      </w:r>
      <w:r w:rsidR="003F38B2" w:rsidRPr="00B61D39">
        <w:rPr>
          <w:rFonts w:ascii="Times New Roman" w:hAnsi="Times New Roman" w:cs="Times New Roman"/>
          <w:sz w:val="24"/>
          <w:szCs w:val="24"/>
          <w:lang w:val="en"/>
        </w:rPr>
        <w:t xml:space="preserve"> region’s</w:t>
      </w:r>
      <w:r w:rsidR="009F130A" w:rsidRPr="00B61D39">
        <w:rPr>
          <w:rFonts w:ascii="Times New Roman" w:hAnsi="Times New Roman" w:cs="Times New Roman"/>
          <w:sz w:val="24"/>
          <w:szCs w:val="24"/>
          <w:lang w:val="en"/>
        </w:rPr>
        <w:t xml:space="preserve"> level in 2002, the unemployment rate (43.5%) was significantly higher than the national rate (38.1%), </w:t>
      </w:r>
      <w:r w:rsidRPr="00B61D39">
        <w:rPr>
          <w:rFonts w:ascii="Times New Roman" w:hAnsi="Times New Roman" w:cs="Times New Roman"/>
          <w:sz w:val="24"/>
          <w:szCs w:val="24"/>
          <w:lang w:val="en"/>
        </w:rPr>
        <w:t>but</w:t>
      </w:r>
      <w:r w:rsidR="009F130A" w:rsidRPr="00B61D39">
        <w:rPr>
          <w:rFonts w:ascii="Times New Roman" w:hAnsi="Times New Roman" w:cs="Times New Roman"/>
          <w:sz w:val="24"/>
          <w:szCs w:val="24"/>
          <w:lang w:val="en"/>
        </w:rPr>
        <w:t xml:space="preserve"> in 2021 it drastically decrease</w:t>
      </w:r>
      <w:r w:rsidRPr="00B61D39">
        <w:rPr>
          <w:rFonts w:ascii="Times New Roman" w:hAnsi="Times New Roman" w:cs="Times New Roman"/>
          <w:sz w:val="24"/>
          <w:szCs w:val="24"/>
          <w:lang w:val="en"/>
        </w:rPr>
        <w:t>d</w:t>
      </w:r>
      <w:r w:rsidR="009F130A" w:rsidRPr="00B61D39">
        <w:rPr>
          <w:rFonts w:ascii="Times New Roman" w:hAnsi="Times New Roman" w:cs="Times New Roman"/>
          <w:sz w:val="24"/>
          <w:szCs w:val="24"/>
          <w:lang w:val="en"/>
        </w:rPr>
        <w:t xml:space="preserve"> and amount</w:t>
      </w:r>
      <w:r w:rsidRPr="00B61D39">
        <w:rPr>
          <w:rFonts w:ascii="Times New Roman" w:hAnsi="Times New Roman" w:cs="Times New Roman"/>
          <w:sz w:val="24"/>
          <w:szCs w:val="24"/>
          <w:lang w:val="en"/>
        </w:rPr>
        <w:t>ed</w:t>
      </w:r>
      <w:r w:rsidR="009F130A" w:rsidRPr="00B61D39">
        <w:rPr>
          <w:rFonts w:ascii="Times New Roman" w:hAnsi="Times New Roman" w:cs="Times New Roman"/>
          <w:sz w:val="24"/>
          <w:szCs w:val="24"/>
          <w:lang w:val="en"/>
        </w:rPr>
        <w:t xml:space="preserve"> to 12.6%, </w:t>
      </w:r>
      <w:r w:rsidR="006626D1" w:rsidRPr="00B61D39">
        <w:rPr>
          <w:rFonts w:ascii="Times New Roman" w:hAnsi="Times New Roman" w:cs="Times New Roman"/>
          <w:sz w:val="24"/>
          <w:szCs w:val="24"/>
          <w:lang w:val="en"/>
        </w:rPr>
        <w:t xml:space="preserve">that </w:t>
      </w:r>
      <w:r w:rsidR="00D45BBD" w:rsidRPr="00B61D39">
        <w:rPr>
          <w:rFonts w:ascii="Times New Roman" w:hAnsi="Times New Roman" w:cs="Times New Roman"/>
          <w:sz w:val="24"/>
          <w:szCs w:val="24"/>
          <w:lang w:val="en"/>
        </w:rPr>
        <w:t xml:space="preserve">in the same time </w:t>
      </w:r>
      <w:r w:rsidR="009F130A" w:rsidRPr="00B61D39">
        <w:rPr>
          <w:rFonts w:ascii="Times New Roman" w:hAnsi="Times New Roman" w:cs="Times New Roman"/>
          <w:sz w:val="24"/>
          <w:szCs w:val="24"/>
          <w:lang w:val="en"/>
        </w:rPr>
        <w:t>is less than</w:t>
      </w:r>
      <w:r w:rsidR="00D45BBD" w:rsidRPr="00B61D39">
        <w:rPr>
          <w:rFonts w:ascii="Times New Roman" w:hAnsi="Times New Roman" w:cs="Times New Roman"/>
          <w:sz w:val="24"/>
          <w:szCs w:val="24"/>
          <w:lang w:val="en"/>
        </w:rPr>
        <w:t xml:space="preserve"> </w:t>
      </w:r>
      <w:r w:rsidRPr="00B61D39">
        <w:rPr>
          <w:rFonts w:ascii="Times New Roman" w:hAnsi="Times New Roman" w:cs="Times New Roman"/>
          <w:sz w:val="24"/>
          <w:szCs w:val="24"/>
          <w:lang w:val="en"/>
        </w:rPr>
        <w:t xml:space="preserve">the national </w:t>
      </w:r>
      <w:r w:rsidR="00D45BBD" w:rsidRPr="00B61D39">
        <w:rPr>
          <w:rFonts w:ascii="Times New Roman" w:hAnsi="Times New Roman" w:cs="Times New Roman"/>
          <w:sz w:val="24"/>
          <w:szCs w:val="24"/>
          <w:lang w:val="en"/>
        </w:rPr>
        <w:t>rate of</w:t>
      </w:r>
      <w:r w:rsidR="009F130A" w:rsidRPr="00B61D39">
        <w:rPr>
          <w:rFonts w:ascii="Times New Roman" w:hAnsi="Times New Roman" w:cs="Times New Roman"/>
          <w:sz w:val="24"/>
          <w:szCs w:val="24"/>
          <w:lang w:val="en"/>
        </w:rPr>
        <w:t xml:space="preserve"> 15, 3%.</w:t>
      </w:r>
    </w:p>
    <w:p w14:paraId="0552CDAC" w14:textId="1A4071F8" w:rsidR="00A951E8" w:rsidRDefault="00A951E8" w:rsidP="00A951E8">
      <w:pPr>
        <w:jc w:val="center"/>
        <w:rPr>
          <w:rFonts w:ascii="Times New Roman" w:hAnsi="Times New Roman" w:cs="Times New Roman"/>
          <w:b/>
          <w:color w:val="000000" w:themeColor="text1"/>
          <w:sz w:val="24"/>
          <w:szCs w:val="24"/>
          <w:lang w:val="en"/>
        </w:rPr>
      </w:pPr>
      <w:r w:rsidRPr="00A951E8">
        <w:rPr>
          <w:rFonts w:ascii="Times New Roman" w:hAnsi="Times New Roman" w:cs="Times New Roman"/>
          <w:b/>
          <w:color w:val="000000" w:themeColor="text1"/>
          <w:sz w:val="24"/>
          <w:szCs w:val="24"/>
          <w:lang w:val="en"/>
        </w:rPr>
        <w:t xml:space="preserve">Graph 2. Employment and unemployment rates in in the </w:t>
      </w:r>
      <w:r w:rsidR="00B61D39" w:rsidRPr="00B61D39">
        <w:rPr>
          <w:rFonts w:ascii="Times New Roman" w:hAnsi="Times New Roman" w:cs="Times New Roman"/>
          <w:b/>
          <w:sz w:val="24"/>
          <w:szCs w:val="24"/>
          <w:lang w:val="en"/>
        </w:rPr>
        <w:t xml:space="preserve">Republic of </w:t>
      </w:r>
      <w:r w:rsidRPr="00B61D39">
        <w:rPr>
          <w:rFonts w:ascii="Times New Roman" w:hAnsi="Times New Roman" w:cs="Times New Roman"/>
          <w:b/>
          <w:sz w:val="24"/>
          <w:szCs w:val="24"/>
          <w:lang w:val="en"/>
        </w:rPr>
        <w:t>N</w:t>
      </w:r>
      <w:r w:rsidR="00B61D39" w:rsidRPr="00B61D39">
        <w:rPr>
          <w:rFonts w:ascii="Times New Roman" w:hAnsi="Times New Roman" w:cs="Times New Roman"/>
          <w:b/>
          <w:sz w:val="24"/>
          <w:szCs w:val="24"/>
          <w:lang w:val="en"/>
        </w:rPr>
        <w:t>orth</w:t>
      </w:r>
      <w:r w:rsidRPr="00B61D39">
        <w:rPr>
          <w:rFonts w:ascii="Times New Roman" w:hAnsi="Times New Roman" w:cs="Times New Roman"/>
          <w:b/>
          <w:sz w:val="24"/>
          <w:szCs w:val="24"/>
          <w:lang w:val="en"/>
        </w:rPr>
        <w:t xml:space="preserve"> </w:t>
      </w:r>
      <w:r w:rsidRPr="00A951E8">
        <w:rPr>
          <w:rFonts w:ascii="Times New Roman" w:hAnsi="Times New Roman" w:cs="Times New Roman"/>
          <w:b/>
          <w:color w:val="000000" w:themeColor="text1"/>
          <w:sz w:val="24"/>
          <w:szCs w:val="24"/>
          <w:lang w:val="en"/>
        </w:rPr>
        <w:t>Macedonia, in the Vardar region (NUTS level 3) and by municipalities (NUTS level 4), 2002 and 2021</w:t>
      </w:r>
    </w:p>
    <w:p w14:paraId="0B622ECB" w14:textId="76AC2E74" w:rsidR="00DD6982" w:rsidRDefault="00A951E8" w:rsidP="0057631B">
      <w:pPr>
        <w:rPr>
          <w:rFonts w:ascii="Times New Roman" w:hAnsi="Times New Roman" w:cs="Times New Roman"/>
          <w:b/>
          <w:color w:val="000000" w:themeColor="text1"/>
          <w:sz w:val="24"/>
          <w:szCs w:val="24"/>
          <w:lang w:val="mk-MK"/>
        </w:rPr>
      </w:pPr>
      <w:r>
        <w:rPr>
          <w:rFonts w:ascii="Times New Roman" w:hAnsi="Times New Roman" w:cs="Times New Roman"/>
          <w:b/>
          <w:noProof/>
          <w:color w:val="000000" w:themeColor="text1"/>
          <w:sz w:val="24"/>
          <w:szCs w:val="24"/>
          <w:lang w:val="mk-MK" w:eastAsia="mk-MK"/>
        </w:rPr>
        <w:drawing>
          <wp:inline distT="0" distB="0" distL="0" distR="0" wp14:anchorId="4D9F3EC8" wp14:editId="75015561">
            <wp:extent cx="5648400" cy="2494800"/>
            <wp:effectExtent l="0" t="0" r="0" b="1270"/>
            <wp:docPr id="963506658" name="Picture 963506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48400" cy="2494800"/>
                    </a:xfrm>
                    <a:prstGeom prst="rect">
                      <a:avLst/>
                    </a:prstGeom>
                    <a:noFill/>
                  </pic:spPr>
                </pic:pic>
              </a:graphicData>
            </a:graphic>
          </wp:inline>
        </w:drawing>
      </w:r>
    </w:p>
    <w:p w14:paraId="3E8AE0EA" w14:textId="06A9401C" w:rsidR="006626D1" w:rsidRPr="006626D1" w:rsidRDefault="006A02F7" w:rsidP="006626D1">
      <w:pPr>
        <w:jc w:val="both"/>
        <w:rPr>
          <w:rFonts w:ascii="Times New Roman" w:eastAsia="Times New Roman" w:hAnsi="Times New Roman" w:cs="Times New Roman"/>
          <w:sz w:val="24"/>
          <w:szCs w:val="24"/>
          <w:lang w:val="mk-MK" w:eastAsia="mk-MK"/>
        </w:rPr>
      </w:pPr>
      <w:r>
        <w:rPr>
          <w:rFonts w:ascii="Times New Roman" w:eastAsia="Times New Roman" w:hAnsi="Times New Roman" w:cs="Times New Roman"/>
          <w:sz w:val="24"/>
          <w:szCs w:val="24"/>
          <w:lang w:val="en" w:eastAsia="mk-MK"/>
        </w:rPr>
        <w:lastRenderedPageBreak/>
        <w:t xml:space="preserve">On </w:t>
      </w:r>
      <w:r w:rsidR="006626D1" w:rsidRPr="006626D1">
        <w:rPr>
          <w:rFonts w:ascii="Times New Roman" w:eastAsia="Times New Roman" w:hAnsi="Times New Roman" w:cs="Times New Roman"/>
          <w:sz w:val="24"/>
          <w:szCs w:val="24"/>
          <w:lang w:val="en" w:eastAsia="mk-MK"/>
        </w:rPr>
        <w:t>municipal</w:t>
      </w:r>
      <w:r>
        <w:rPr>
          <w:rFonts w:ascii="Times New Roman" w:eastAsia="Times New Roman" w:hAnsi="Times New Roman" w:cs="Times New Roman"/>
          <w:sz w:val="24"/>
          <w:szCs w:val="24"/>
          <w:lang w:val="en" w:eastAsia="mk-MK"/>
        </w:rPr>
        <w:t xml:space="preserve"> level,</w:t>
      </w:r>
      <w:r w:rsidR="006626D1" w:rsidRPr="006626D1">
        <w:rPr>
          <w:rFonts w:ascii="Times New Roman" w:eastAsia="Times New Roman" w:hAnsi="Times New Roman" w:cs="Times New Roman"/>
          <w:sz w:val="24"/>
          <w:szCs w:val="24"/>
          <w:lang w:val="en" w:eastAsia="mk-MK"/>
        </w:rPr>
        <w:t xml:space="preserve"> in 2002</w:t>
      </w:r>
      <w:r>
        <w:rPr>
          <w:rFonts w:ascii="Times New Roman" w:eastAsia="Times New Roman" w:hAnsi="Times New Roman" w:cs="Times New Roman"/>
          <w:sz w:val="24"/>
          <w:szCs w:val="24"/>
          <w:lang w:val="en" w:eastAsia="mk-MK"/>
        </w:rPr>
        <w:t xml:space="preserve"> </w:t>
      </w:r>
      <w:r w:rsidR="006626D1" w:rsidRPr="006626D1">
        <w:rPr>
          <w:rFonts w:ascii="Times New Roman" w:eastAsia="Times New Roman" w:hAnsi="Times New Roman" w:cs="Times New Roman"/>
          <w:sz w:val="24"/>
          <w:szCs w:val="24"/>
          <w:lang w:val="en" w:eastAsia="mk-MK"/>
        </w:rPr>
        <w:t xml:space="preserve">the employment rate was the highest in Veles (32.8%) and Sveti Nikole (30.9%), </w:t>
      </w:r>
      <w:r w:rsidR="003F38B2">
        <w:rPr>
          <w:rFonts w:ascii="Times New Roman" w:eastAsia="Times New Roman" w:hAnsi="Times New Roman" w:cs="Times New Roman"/>
          <w:sz w:val="24"/>
          <w:szCs w:val="24"/>
          <w:lang w:val="en" w:eastAsia="mk-MK"/>
        </w:rPr>
        <w:t>being also</w:t>
      </w:r>
      <w:r w:rsidR="006626D1" w:rsidRPr="006626D1">
        <w:rPr>
          <w:rFonts w:ascii="Times New Roman" w:eastAsia="Times New Roman" w:hAnsi="Times New Roman" w:cs="Times New Roman"/>
          <w:sz w:val="24"/>
          <w:szCs w:val="24"/>
          <w:lang w:val="en" w:eastAsia="mk-MK"/>
        </w:rPr>
        <w:t xml:space="preserve"> higher than </w:t>
      </w:r>
      <w:r>
        <w:rPr>
          <w:rFonts w:ascii="Times New Roman" w:eastAsia="Times New Roman" w:hAnsi="Times New Roman" w:cs="Times New Roman"/>
          <w:sz w:val="24"/>
          <w:szCs w:val="24"/>
          <w:lang w:val="en" w:eastAsia="mk-MK"/>
        </w:rPr>
        <w:t>both the national and region’s rates</w:t>
      </w:r>
      <w:r w:rsidR="006626D1" w:rsidRPr="006626D1">
        <w:rPr>
          <w:rFonts w:ascii="Times New Roman" w:eastAsia="Times New Roman" w:hAnsi="Times New Roman" w:cs="Times New Roman"/>
          <w:sz w:val="24"/>
          <w:szCs w:val="24"/>
          <w:lang w:val="en" w:eastAsia="mk-MK"/>
        </w:rPr>
        <w:t xml:space="preserve">. </w:t>
      </w:r>
      <w:r w:rsidR="00B6336B">
        <w:rPr>
          <w:rFonts w:ascii="Times New Roman" w:eastAsia="Times New Roman" w:hAnsi="Times New Roman" w:cs="Times New Roman"/>
          <w:sz w:val="24"/>
          <w:szCs w:val="24"/>
          <w:lang w:val="en" w:eastAsia="mk-MK"/>
        </w:rPr>
        <w:t>Chaska</w:t>
      </w:r>
      <w:r w:rsidR="006626D1" w:rsidRPr="006626D1">
        <w:rPr>
          <w:rFonts w:ascii="Times New Roman" w:eastAsia="Times New Roman" w:hAnsi="Times New Roman" w:cs="Times New Roman"/>
          <w:sz w:val="24"/>
          <w:szCs w:val="24"/>
          <w:lang w:val="en" w:eastAsia="mk-MK"/>
        </w:rPr>
        <w:t xml:space="preserve"> </w:t>
      </w:r>
      <w:r w:rsidRPr="006626D1">
        <w:rPr>
          <w:rFonts w:ascii="Times New Roman" w:eastAsia="Times New Roman" w:hAnsi="Times New Roman" w:cs="Times New Roman"/>
          <w:sz w:val="24"/>
          <w:szCs w:val="24"/>
          <w:lang w:val="en" w:eastAsia="mk-MK"/>
        </w:rPr>
        <w:t xml:space="preserve">municipality </w:t>
      </w:r>
      <w:r w:rsidR="006626D1" w:rsidRPr="006626D1">
        <w:rPr>
          <w:rFonts w:ascii="Times New Roman" w:eastAsia="Times New Roman" w:hAnsi="Times New Roman" w:cs="Times New Roman"/>
          <w:sz w:val="24"/>
          <w:szCs w:val="24"/>
          <w:lang w:val="en" w:eastAsia="mk-MK"/>
        </w:rPr>
        <w:t>has the lowest employment rate (19.4% and 24.9%, respectively). Regarding the unemployment rate, it decrease</w:t>
      </w:r>
      <w:r w:rsidR="002A4883">
        <w:rPr>
          <w:rFonts w:ascii="Times New Roman" w:eastAsia="Times New Roman" w:hAnsi="Times New Roman" w:cs="Times New Roman"/>
          <w:sz w:val="24"/>
          <w:szCs w:val="24"/>
          <w:lang w:val="en" w:eastAsia="mk-MK"/>
        </w:rPr>
        <w:t>d</w:t>
      </w:r>
      <w:r w:rsidR="006626D1" w:rsidRPr="006626D1">
        <w:rPr>
          <w:rFonts w:ascii="Times New Roman" w:eastAsia="Times New Roman" w:hAnsi="Times New Roman" w:cs="Times New Roman"/>
          <w:sz w:val="24"/>
          <w:szCs w:val="24"/>
          <w:lang w:val="en" w:eastAsia="mk-MK"/>
        </w:rPr>
        <w:t xml:space="preserve"> in all municipalities in 2021, especially in </w:t>
      </w:r>
      <w:r w:rsidR="00A166B9">
        <w:rPr>
          <w:rFonts w:ascii="Times New Roman" w:eastAsia="Times New Roman" w:hAnsi="Times New Roman" w:cs="Times New Roman"/>
          <w:sz w:val="24"/>
          <w:szCs w:val="24"/>
          <w:lang w:val="en" w:eastAsia="mk-MK"/>
        </w:rPr>
        <w:t>Kavadartsi</w:t>
      </w:r>
      <w:r w:rsidR="006626D1" w:rsidRPr="006626D1">
        <w:rPr>
          <w:rFonts w:ascii="Times New Roman" w:eastAsia="Times New Roman" w:hAnsi="Times New Roman" w:cs="Times New Roman"/>
          <w:sz w:val="24"/>
          <w:szCs w:val="24"/>
          <w:lang w:val="en" w:eastAsia="mk-MK"/>
        </w:rPr>
        <w:t>, Rosoman and Lozovo.</w:t>
      </w:r>
      <w:r w:rsidR="00617DF2" w:rsidRPr="00617DF2">
        <w:rPr>
          <w:rFonts w:ascii="Times New Roman" w:eastAsia="Times New Roman" w:hAnsi="Times New Roman" w:cs="Times New Roman"/>
          <w:sz w:val="24"/>
          <w:szCs w:val="24"/>
          <w:lang w:val="en" w:eastAsia="mk-MK"/>
        </w:rPr>
        <w:t xml:space="preserve"> </w:t>
      </w:r>
      <w:r w:rsidR="00617DF2">
        <w:rPr>
          <w:rFonts w:ascii="Times New Roman" w:eastAsia="Times New Roman" w:hAnsi="Times New Roman" w:cs="Times New Roman"/>
          <w:sz w:val="24"/>
          <w:szCs w:val="24"/>
          <w:lang w:val="en" w:eastAsia="mk-MK"/>
        </w:rPr>
        <w:t>I</w:t>
      </w:r>
      <w:r w:rsidR="00617DF2" w:rsidRPr="006626D1">
        <w:rPr>
          <w:rFonts w:ascii="Times New Roman" w:eastAsia="Times New Roman" w:hAnsi="Times New Roman" w:cs="Times New Roman"/>
          <w:sz w:val="24"/>
          <w:szCs w:val="24"/>
          <w:lang w:val="en" w:eastAsia="mk-MK"/>
        </w:rPr>
        <w:t>n 2021</w:t>
      </w:r>
      <w:r w:rsidR="00617DF2">
        <w:rPr>
          <w:rFonts w:ascii="Times New Roman" w:eastAsia="Times New Roman" w:hAnsi="Times New Roman" w:cs="Times New Roman"/>
          <w:sz w:val="24"/>
          <w:szCs w:val="24"/>
          <w:lang w:val="en" w:eastAsia="mk-MK"/>
        </w:rPr>
        <w:t xml:space="preserve">, </w:t>
      </w:r>
      <w:r w:rsidR="006626D1" w:rsidRPr="006626D1">
        <w:rPr>
          <w:rFonts w:ascii="Times New Roman" w:eastAsia="Times New Roman" w:hAnsi="Times New Roman" w:cs="Times New Roman"/>
          <w:sz w:val="24"/>
          <w:szCs w:val="24"/>
          <w:lang w:val="en" w:eastAsia="mk-MK"/>
        </w:rPr>
        <w:t xml:space="preserve">Kavardaci </w:t>
      </w:r>
      <w:r w:rsidR="002A4883" w:rsidRPr="006626D1">
        <w:rPr>
          <w:rFonts w:ascii="Times New Roman" w:eastAsia="Times New Roman" w:hAnsi="Times New Roman" w:cs="Times New Roman"/>
          <w:sz w:val="24"/>
          <w:szCs w:val="24"/>
          <w:lang w:val="en" w:eastAsia="mk-MK"/>
        </w:rPr>
        <w:t xml:space="preserve">municipality </w:t>
      </w:r>
      <w:r w:rsidR="006626D1" w:rsidRPr="006626D1">
        <w:rPr>
          <w:rFonts w:ascii="Times New Roman" w:eastAsia="Times New Roman" w:hAnsi="Times New Roman" w:cs="Times New Roman"/>
          <w:sz w:val="24"/>
          <w:szCs w:val="24"/>
          <w:lang w:val="en" w:eastAsia="mk-MK"/>
        </w:rPr>
        <w:t>has the lowest unemployment rate</w:t>
      </w:r>
      <w:r w:rsidR="006626D1">
        <w:rPr>
          <w:rFonts w:ascii="Times New Roman" w:eastAsia="Times New Roman" w:hAnsi="Times New Roman" w:cs="Times New Roman"/>
          <w:sz w:val="24"/>
          <w:szCs w:val="24"/>
          <w:lang w:val="en" w:eastAsia="mk-MK"/>
        </w:rPr>
        <w:t xml:space="preserve"> of </w:t>
      </w:r>
      <w:r w:rsidR="006626D1" w:rsidRPr="006626D1">
        <w:rPr>
          <w:rFonts w:ascii="Times New Roman" w:eastAsia="Times New Roman" w:hAnsi="Times New Roman" w:cs="Times New Roman"/>
          <w:sz w:val="24"/>
          <w:szCs w:val="24"/>
          <w:lang w:val="en" w:eastAsia="mk-MK"/>
        </w:rPr>
        <w:t>9.1%</w:t>
      </w:r>
      <w:r w:rsidR="00617DF2">
        <w:rPr>
          <w:rFonts w:ascii="Times New Roman" w:eastAsia="Times New Roman" w:hAnsi="Times New Roman" w:cs="Times New Roman"/>
          <w:sz w:val="24"/>
          <w:szCs w:val="24"/>
          <w:lang w:val="en" w:eastAsia="mk-MK"/>
        </w:rPr>
        <w:t>,</w:t>
      </w:r>
      <w:r w:rsidR="006626D1" w:rsidRPr="006626D1">
        <w:rPr>
          <w:rFonts w:ascii="Times New Roman" w:eastAsia="Times New Roman" w:hAnsi="Times New Roman" w:cs="Times New Roman"/>
          <w:sz w:val="24"/>
          <w:szCs w:val="24"/>
          <w:lang w:val="en" w:eastAsia="mk-MK"/>
        </w:rPr>
        <w:t xml:space="preserve"> </w:t>
      </w:r>
      <w:r w:rsidR="00617DF2">
        <w:rPr>
          <w:rFonts w:ascii="Times New Roman" w:eastAsia="Times New Roman" w:hAnsi="Times New Roman" w:cs="Times New Roman"/>
          <w:sz w:val="24"/>
          <w:szCs w:val="24"/>
          <w:lang w:val="en" w:eastAsia="mk-MK"/>
        </w:rPr>
        <w:t>while</w:t>
      </w:r>
      <w:r w:rsidR="006626D1" w:rsidRPr="006626D1">
        <w:rPr>
          <w:rFonts w:ascii="Times New Roman" w:eastAsia="Times New Roman" w:hAnsi="Times New Roman" w:cs="Times New Roman"/>
          <w:sz w:val="24"/>
          <w:szCs w:val="24"/>
          <w:lang w:val="en" w:eastAsia="mk-MK"/>
        </w:rPr>
        <w:t xml:space="preserve"> Grads</w:t>
      </w:r>
      <w:r w:rsidR="006626D1">
        <w:rPr>
          <w:rFonts w:ascii="Times New Roman" w:eastAsia="Times New Roman" w:hAnsi="Times New Roman" w:cs="Times New Roman"/>
          <w:sz w:val="24"/>
          <w:szCs w:val="24"/>
          <w:lang w:val="en" w:eastAsia="mk-MK"/>
        </w:rPr>
        <w:t xml:space="preserve">ko </w:t>
      </w:r>
      <w:r w:rsidR="00617DF2">
        <w:rPr>
          <w:rFonts w:ascii="Times New Roman" w:eastAsia="Times New Roman" w:hAnsi="Times New Roman" w:cs="Times New Roman"/>
          <w:sz w:val="24"/>
          <w:szCs w:val="24"/>
          <w:lang w:val="en" w:eastAsia="mk-MK"/>
        </w:rPr>
        <w:t xml:space="preserve">has the </w:t>
      </w:r>
      <w:r w:rsidR="006626D1">
        <w:rPr>
          <w:rFonts w:ascii="Times New Roman" w:eastAsia="Times New Roman" w:hAnsi="Times New Roman" w:cs="Times New Roman"/>
          <w:sz w:val="24"/>
          <w:szCs w:val="24"/>
          <w:lang w:val="en" w:eastAsia="mk-MK"/>
        </w:rPr>
        <w:t>highest</w:t>
      </w:r>
      <w:r w:rsidR="002A4883">
        <w:rPr>
          <w:rFonts w:ascii="Times New Roman" w:eastAsia="Times New Roman" w:hAnsi="Times New Roman" w:cs="Times New Roman"/>
          <w:sz w:val="24"/>
          <w:szCs w:val="24"/>
          <w:lang w:val="en" w:eastAsia="mk-MK"/>
        </w:rPr>
        <w:t xml:space="preserve">, </w:t>
      </w:r>
      <w:r w:rsidR="006626D1" w:rsidRPr="006626D1">
        <w:rPr>
          <w:rFonts w:ascii="Times New Roman" w:eastAsia="Times New Roman" w:hAnsi="Times New Roman" w:cs="Times New Roman"/>
          <w:sz w:val="24"/>
          <w:szCs w:val="24"/>
          <w:lang w:val="en" w:eastAsia="mk-MK"/>
        </w:rPr>
        <w:t>26.5%.</w:t>
      </w:r>
    </w:p>
    <w:p w14:paraId="1E03D711" w14:textId="0CB8C734" w:rsidR="00A55A0D" w:rsidRPr="00BF28D5" w:rsidRDefault="00CF12D6" w:rsidP="00AF002D">
      <w:pPr>
        <w:jc w:val="center"/>
        <w:rPr>
          <w:rFonts w:ascii="Times New Roman" w:hAnsi="Times New Roman" w:cs="Times New Roman"/>
          <w:b/>
          <w:sz w:val="24"/>
          <w:szCs w:val="24"/>
          <w:lang w:val="mk-MK"/>
        </w:rPr>
      </w:pPr>
      <w:r>
        <w:rPr>
          <w:rFonts w:ascii="Times New Roman" w:hAnsi="Times New Roman" w:cs="Times New Roman"/>
          <w:b/>
          <w:sz w:val="24"/>
          <w:szCs w:val="24"/>
          <w:lang w:val="mk-MK"/>
        </w:rPr>
        <w:t xml:space="preserve">2. </w:t>
      </w:r>
      <w:r w:rsidR="005B22DE">
        <w:rPr>
          <w:rFonts w:ascii="Times New Roman" w:hAnsi="Times New Roman" w:cs="Times New Roman"/>
          <w:b/>
          <w:sz w:val="24"/>
          <w:szCs w:val="24"/>
          <w:lang w:val="mk-MK"/>
        </w:rPr>
        <w:t xml:space="preserve"> </w:t>
      </w:r>
      <w:r w:rsidR="00B1495C">
        <w:rPr>
          <w:rFonts w:ascii="Times New Roman" w:hAnsi="Times New Roman" w:cs="Times New Roman"/>
          <w:b/>
          <w:sz w:val="24"/>
          <w:szCs w:val="24"/>
          <w:lang w:val="en-US"/>
        </w:rPr>
        <w:t>E</w:t>
      </w:r>
      <w:r w:rsidR="00B1495C" w:rsidRPr="00B1495C">
        <w:rPr>
          <w:rFonts w:ascii="Times New Roman" w:hAnsi="Times New Roman" w:cs="Times New Roman"/>
          <w:b/>
          <w:sz w:val="24"/>
          <w:szCs w:val="24"/>
          <w:lang w:val="en"/>
        </w:rPr>
        <w:t>CONOMIC ACTIVITY OF THE VARDAR REGION</w:t>
      </w:r>
    </w:p>
    <w:p w14:paraId="31A5D259" w14:textId="785E6210" w:rsidR="00AF002D" w:rsidRPr="00B61D39" w:rsidRDefault="00B1495C" w:rsidP="00AF002D">
      <w:pPr>
        <w:spacing w:after="0"/>
        <w:jc w:val="both"/>
        <w:rPr>
          <w:rFonts w:ascii="Times New Roman" w:hAnsi="Times New Roman" w:cs="Times New Roman"/>
          <w:sz w:val="24"/>
          <w:szCs w:val="24"/>
          <w:lang w:val="en"/>
        </w:rPr>
      </w:pPr>
      <w:r w:rsidRPr="00B61D39">
        <w:rPr>
          <w:rFonts w:ascii="Times New Roman" w:hAnsi="Times New Roman" w:cs="Times New Roman"/>
          <w:sz w:val="24"/>
          <w:szCs w:val="24"/>
          <w:lang w:val="en"/>
        </w:rPr>
        <w:t xml:space="preserve">The economic activity of the Vardar region will be analyzed for the period 2010-2021 through several indicators: </w:t>
      </w:r>
      <w:r w:rsidR="002A4883" w:rsidRPr="00B61D39">
        <w:rPr>
          <w:rFonts w:ascii="Times New Roman" w:hAnsi="Times New Roman" w:cs="Times New Roman"/>
          <w:sz w:val="24"/>
          <w:szCs w:val="24"/>
          <w:lang w:val="en"/>
        </w:rPr>
        <w:t>G</w:t>
      </w:r>
      <w:r w:rsidRPr="00B61D39">
        <w:rPr>
          <w:rFonts w:ascii="Times New Roman" w:hAnsi="Times New Roman" w:cs="Times New Roman"/>
          <w:sz w:val="24"/>
          <w:szCs w:val="24"/>
          <w:lang w:val="en"/>
        </w:rPr>
        <w:t xml:space="preserve">ross domestic product per capita, GDP index, </w:t>
      </w:r>
      <w:r w:rsidR="002A4883" w:rsidRPr="00B61D39">
        <w:rPr>
          <w:rFonts w:ascii="Times New Roman" w:hAnsi="Times New Roman" w:cs="Times New Roman"/>
          <w:sz w:val="24"/>
          <w:szCs w:val="24"/>
          <w:lang w:val="en"/>
        </w:rPr>
        <w:t>G</w:t>
      </w:r>
      <w:r w:rsidRPr="00B61D39">
        <w:rPr>
          <w:rFonts w:ascii="Times New Roman" w:hAnsi="Times New Roman" w:cs="Times New Roman"/>
          <w:sz w:val="24"/>
          <w:szCs w:val="24"/>
          <w:lang w:val="en"/>
        </w:rPr>
        <w:t xml:space="preserve">ross value added by activity sectors, </w:t>
      </w:r>
      <w:r w:rsidR="00646DD4" w:rsidRPr="00B61D39">
        <w:rPr>
          <w:rFonts w:ascii="Times New Roman" w:hAnsi="Times New Roman" w:cs="Times New Roman"/>
          <w:sz w:val="24"/>
          <w:szCs w:val="24"/>
        </w:rPr>
        <w:t>Gross fixed capital formation</w:t>
      </w:r>
      <w:r w:rsidR="00646DD4" w:rsidRPr="00B61D39">
        <w:rPr>
          <w:rFonts w:ascii="Times New Roman" w:hAnsi="Times New Roman" w:cs="Times New Roman"/>
          <w:sz w:val="24"/>
          <w:szCs w:val="24"/>
          <w:lang w:val="en"/>
        </w:rPr>
        <w:t xml:space="preserve"> </w:t>
      </w:r>
      <w:r w:rsidRPr="00B61D39">
        <w:rPr>
          <w:rFonts w:ascii="Times New Roman" w:hAnsi="Times New Roman" w:cs="Times New Roman"/>
          <w:sz w:val="24"/>
          <w:szCs w:val="24"/>
          <w:lang w:val="en"/>
        </w:rPr>
        <w:t xml:space="preserve">by activity sectors and number of active </w:t>
      </w:r>
      <w:r w:rsidR="00646DD4" w:rsidRPr="00B61D39">
        <w:rPr>
          <w:rFonts w:ascii="Times New Roman" w:hAnsi="Times New Roman" w:cs="Times New Roman"/>
          <w:sz w:val="24"/>
          <w:szCs w:val="24"/>
          <w:lang w:val="en"/>
        </w:rPr>
        <w:t>enterprises</w:t>
      </w:r>
      <w:r w:rsidRPr="00B61D39">
        <w:rPr>
          <w:rFonts w:ascii="Times New Roman" w:hAnsi="Times New Roman" w:cs="Times New Roman"/>
          <w:sz w:val="24"/>
          <w:szCs w:val="24"/>
          <w:lang w:val="en"/>
        </w:rPr>
        <w:t>. Starting from 2009, these data are regularly published in the "Regions in the Republic of North Macedonia". They show the eight non-administrative regions in the country, divided according to the N</w:t>
      </w:r>
      <w:r w:rsidR="00646DD4" w:rsidRPr="00B61D39">
        <w:rPr>
          <w:rFonts w:ascii="Times New Roman" w:hAnsi="Times New Roman" w:cs="Times New Roman"/>
          <w:sz w:val="24"/>
          <w:szCs w:val="24"/>
          <w:lang w:val="en"/>
        </w:rPr>
        <w:t>UTS</w:t>
      </w:r>
      <w:r w:rsidRPr="00B61D39">
        <w:rPr>
          <w:rFonts w:ascii="Times New Roman" w:hAnsi="Times New Roman" w:cs="Times New Roman"/>
          <w:sz w:val="24"/>
          <w:szCs w:val="24"/>
          <w:lang w:val="en"/>
        </w:rPr>
        <w:t xml:space="preserve"> Nomenclature, harmonized with the European regulation. </w:t>
      </w:r>
    </w:p>
    <w:p w14:paraId="0B057921" w14:textId="1F75D8F8" w:rsidR="00AF002D" w:rsidRPr="00B61D39" w:rsidRDefault="00B1495C" w:rsidP="00900E60">
      <w:pPr>
        <w:spacing w:after="0"/>
        <w:jc w:val="both"/>
        <w:rPr>
          <w:rFonts w:ascii="Times New Roman" w:eastAsia="Times New Roman" w:hAnsi="Times New Roman" w:cs="Times New Roman"/>
          <w:sz w:val="24"/>
          <w:szCs w:val="24"/>
          <w:lang w:eastAsia="en-GB"/>
        </w:rPr>
      </w:pPr>
      <w:r w:rsidRPr="00B61D39">
        <w:rPr>
          <w:rFonts w:ascii="Times New Roman" w:hAnsi="Times New Roman" w:cs="Times New Roman"/>
          <w:sz w:val="24"/>
          <w:szCs w:val="24"/>
          <w:lang w:val="en"/>
        </w:rPr>
        <w:t xml:space="preserve">In the creation of the gross domestic product at the </w:t>
      </w:r>
      <w:r w:rsidR="00DF1992" w:rsidRPr="00B61D39">
        <w:rPr>
          <w:rFonts w:ascii="Times New Roman" w:hAnsi="Times New Roman" w:cs="Times New Roman"/>
          <w:sz w:val="24"/>
          <w:szCs w:val="24"/>
          <w:lang w:val="en"/>
        </w:rPr>
        <w:t xml:space="preserve">national </w:t>
      </w:r>
      <w:r w:rsidRPr="00B61D39">
        <w:rPr>
          <w:rFonts w:ascii="Times New Roman" w:hAnsi="Times New Roman" w:cs="Times New Roman"/>
          <w:sz w:val="24"/>
          <w:szCs w:val="24"/>
          <w:lang w:val="en"/>
        </w:rPr>
        <w:t xml:space="preserve">level, the Vardar region has a relatively low and fluctuating participation, but with a slight upward trend. </w:t>
      </w:r>
      <w:r w:rsidR="00DF1992" w:rsidRPr="00B61D39">
        <w:rPr>
          <w:rFonts w:ascii="Times New Roman" w:eastAsia="Times New Roman" w:hAnsi="Times New Roman" w:cs="Times New Roman"/>
          <w:sz w:val="24"/>
          <w:szCs w:val="24"/>
          <w:lang w:eastAsia="en-GB"/>
        </w:rPr>
        <w:t>When GDP is correlated with total population, keeping in mind that it is slightly and continuously growing at the national level for the majority of the analysed period, while it is slightly and continuously decreasing in the Vardar region, it is determined that GDP per capita is more favourable in the region.</w:t>
      </w:r>
      <w:r w:rsidR="003F38B2" w:rsidRPr="00B61D39">
        <w:rPr>
          <w:rFonts w:ascii="Times New Roman" w:eastAsia="Times New Roman" w:hAnsi="Times New Roman" w:cs="Times New Roman"/>
          <w:sz w:val="24"/>
          <w:szCs w:val="24"/>
          <w:lang w:eastAsia="en-GB"/>
        </w:rPr>
        <w:t xml:space="preserve"> </w:t>
      </w:r>
      <w:r w:rsidR="003F38B2" w:rsidRPr="00B61D39">
        <w:rPr>
          <w:rFonts w:ascii="Times New Roman" w:hAnsi="Times New Roman" w:cs="Times New Roman"/>
          <w:sz w:val="24"/>
          <w:szCs w:val="24"/>
          <w:lang w:val="en"/>
        </w:rPr>
        <w:t>I</w:t>
      </w:r>
      <w:r w:rsidR="00A70557" w:rsidRPr="00B61D39">
        <w:rPr>
          <w:rFonts w:ascii="Times New Roman" w:hAnsi="Times New Roman" w:cs="Times New Roman"/>
          <w:sz w:val="24"/>
          <w:szCs w:val="24"/>
          <w:lang w:val="en"/>
        </w:rPr>
        <w:t>n the same period, GDP per capita in the Vardar region increases slightly and since 2011 it exceeds the value of GDP per capita at the national level</w:t>
      </w:r>
      <w:r w:rsidR="003F38B2" w:rsidRPr="00B61D39">
        <w:rPr>
          <w:rFonts w:ascii="Times New Roman" w:hAnsi="Times New Roman" w:cs="Times New Roman"/>
          <w:sz w:val="24"/>
          <w:szCs w:val="24"/>
          <w:lang w:val="en"/>
        </w:rPr>
        <w:t xml:space="preserve"> (Graph 3)</w:t>
      </w:r>
      <w:r w:rsidR="00A70557" w:rsidRPr="00B61D39">
        <w:rPr>
          <w:rFonts w:ascii="Times New Roman" w:hAnsi="Times New Roman" w:cs="Times New Roman"/>
          <w:sz w:val="24"/>
          <w:szCs w:val="24"/>
          <w:lang w:val="en"/>
        </w:rPr>
        <w:t>.</w:t>
      </w:r>
    </w:p>
    <w:p w14:paraId="0A7DD830" w14:textId="77777777" w:rsidR="00AF002D" w:rsidRDefault="00AF002D" w:rsidP="00900E60">
      <w:pPr>
        <w:spacing w:after="0"/>
        <w:jc w:val="both"/>
        <w:rPr>
          <w:rFonts w:ascii="Times New Roman" w:hAnsi="Times New Roman" w:cs="Times New Roman"/>
          <w:sz w:val="24"/>
          <w:szCs w:val="24"/>
          <w:lang w:val="mk-MK"/>
        </w:rPr>
      </w:pPr>
    </w:p>
    <w:tbl>
      <w:tblPr>
        <w:tblStyle w:val="TableGrid"/>
        <w:tblW w:w="0" w:type="auto"/>
        <w:tblLook w:val="04A0" w:firstRow="1" w:lastRow="0" w:firstColumn="1" w:lastColumn="0" w:noHBand="0" w:noVBand="1"/>
      </w:tblPr>
      <w:tblGrid>
        <w:gridCol w:w="9016"/>
      </w:tblGrid>
      <w:tr w:rsidR="006148FB" w14:paraId="06CA408E" w14:textId="77777777" w:rsidTr="008D01C2">
        <w:tc>
          <w:tcPr>
            <w:tcW w:w="9016" w:type="dxa"/>
            <w:tcBorders>
              <w:top w:val="nil"/>
              <w:left w:val="nil"/>
              <w:right w:val="nil"/>
            </w:tcBorders>
          </w:tcPr>
          <w:p w14:paraId="6CAB6839" w14:textId="4F36CFCA" w:rsidR="006148FB" w:rsidRPr="006148FB" w:rsidRDefault="00E5234A" w:rsidP="006148FB">
            <w:pPr>
              <w:jc w:val="center"/>
              <w:rPr>
                <w:rFonts w:ascii="Times New Roman" w:hAnsi="Times New Roman" w:cs="Times New Roman"/>
                <w:b/>
                <w:sz w:val="24"/>
                <w:szCs w:val="24"/>
                <w:lang w:val="mk-MK"/>
              </w:rPr>
            </w:pPr>
            <w:r>
              <w:rPr>
                <w:rFonts w:ascii="Times New Roman" w:hAnsi="Times New Roman" w:cs="Times New Roman"/>
                <w:b/>
                <w:sz w:val="24"/>
                <w:szCs w:val="24"/>
              </w:rPr>
              <w:t>Graph</w:t>
            </w:r>
            <w:r w:rsidR="006148FB" w:rsidRPr="006148FB">
              <w:rPr>
                <w:rFonts w:ascii="Times New Roman" w:hAnsi="Times New Roman" w:cs="Times New Roman"/>
                <w:b/>
                <w:sz w:val="24"/>
                <w:szCs w:val="24"/>
                <w:lang w:val="mk-MK"/>
              </w:rPr>
              <w:t xml:space="preserve"> </w:t>
            </w:r>
            <w:r w:rsidR="00DD6982">
              <w:rPr>
                <w:rFonts w:ascii="Times New Roman" w:hAnsi="Times New Roman" w:cs="Times New Roman"/>
                <w:b/>
                <w:sz w:val="24"/>
                <w:szCs w:val="24"/>
                <w:lang w:val="mk-MK"/>
              </w:rPr>
              <w:t>3</w:t>
            </w:r>
            <w:r w:rsidR="006148FB" w:rsidRPr="006148FB">
              <w:rPr>
                <w:rFonts w:ascii="Times New Roman" w:hAnsi="Times New Roman" w:cs="Times New Roman"/>
                <w:b/>
                <w:sz w:val="24"/>
                <w:szCs w:val="24"/>
                <w:lang w:val="mk-MK"/>
              </w:rPr>
              <w:t xml:space="preserve">. </w:t>
            </w:r>
            <w:r>
              <w:rPr>
                <w:rFonts w:ascii="Times New Roman" w:hAnsi="Times New Roman" w:cs="Times New Roman"/>
                <w:b/>
                <w:sz w:val="24"/>
                <w:szCs w:val="24"/>
              </w:rPr>
              <w:t xml:space="preserve">GDP per capita in the Republic of North Macedonia and in the Vardar Region, for the period </w:t>
            </w:r>
            <w:r w:rsidR="006148FB" w:rsidRPr="006148FB">
              <w:rPr>
                <w:rFonts w:ascii="Times New Roman" w:hAnsi="Times New Roman" w:cs="Times New Roman"/>
                <w:b/>
                <w:sz w:val="24"/>
                <w:szCs w:val="24"/>
                <w:lang w:val="mk-MK"/>
              </w:rPr>
              <w:t>2010-2021</w:t>
            </w:r>
          </w:p>
        </w:tc>
      </w:tr>
      <w:tr w:rsidR="006148FB" w14:paraId="695F1358" w14:textId="77777777" w:rsidTr="00F32D4C">
        <w:trPr>
          <w:trHeight w:val="2552"/>
        </w:trPr>
        <w:tc>
          <w:tcPr>
            <w:tcW w:w="9016" w:type="dxa"/>
          </w:tcPr>
          <w:p w14:paraId="181B4627" w14:textId="53E36D72" w:rsidR="006148FB" w:rsidRDefault="00E93B75" w:rsidP="004C791B">
            <w:pPr>
              <w:jc w:val="center"/>
              <w:rPr>
                <w:rFonts w:ascii="Times New Roman" w:hAnsi="Times New Roman" w:cs="Times New Roman"/>
                <w:sz w:val="24"/>
                <w:szCs w:val="24"/>
                <w:lang w:val="mk-MK"/>
              </w:rPr>
            </w:pPr>
            <w:r>
              <w:rPr>
                <w:rFonts w:ascii="Times New Roman" w:hAnsi="Times New Roman" w:cs="Times New Roman"/>
                <w:noProof/>
                <w:sz w:val="24"/>
                <w:szCs w:val="24"/>
                <w:lang w:val="mk-MK" w:eastAsia="mk-MK"/>
              </w:rPr>
              <w:drawing>
                <wp:inline distT="0" distB="0" distL="0" distR="0" wp14:anchorId="53C5A225" wp14:editId="0E1FCD03">
                  <wp:extent cx="5565600" cy="195480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5600" cy="1954800"/>
                          </a:xfrm>
                          <a:prstGeom prst="rect">
                            <a:avLst/>
                          </a:prstGeom>
                          <a:noFill/>
                        </pic:spPr>
                      </pic:pic>
                    </a:graphicData>
                  </a:graphic>
                </wp:inline>
              </w:drawing>
            </w:r>
          </w:p>
        </w:tc>
      </w:tr>
      <w:tr w:rsidR="006148FB" w14:paraId="6B2840EB" w14:textId="77777777" w:rsidTr="008D01C2">
        <w:tc>
          <w:tcPr>
            <w:tcW w:w="9016" w:type="dxa"/>
            <w:tcBorders>
              <w:bottom w:val="single" w:sz="4" w:space="0" w:color="auto"/>
            </w:tcBorders>
          </w:tcPr>
          <w:p w14:paraId="7F75F440" w14:textId="37E950B8" w:rsidR="006148FB" w:rsidRDefault="00E93B75" w:rsidP="00F32D4C">
            <w:pPr>
              <w:rPr>
                <w:rFonts w:ascii="Times New Roman" w:hAnsi="Times New Roman" w:cs="Times New Roman"/>
                <w:sz w:val="24"/>
                <w:szCs w:val="24"/>
                <w:lang w:val="mk-MK"/>
              </w:rPr>
            </w:pPr>
            <w:r w:rsidRPr="00E93B75">
              <w:rPr>
                <w:noProof/>
                <w:lang w:val="mk-MK" w:eastAsia="mk-MK"/>
              </w:rPr>
              <w:drawing>
                <wp:inline distT="0" distB="0" distL="0" distR="0" wp14:anchorId="0CCA696E" wp14:editId="1BBE5761">
                  <wp:extent cx="5562000" cy="964800"/>
                  <wp:effectExtent l="0" t="0" r="63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62000" cy="964800"/>
                          </a:xfrm>
                          <a:prstGeom prst="rect">
                            <a:avLst/>
                          </a:prstGeom>
                          <a:noFill/>
                          <a:ln>
                            <a:noFill/>
                          </a:ln>
                        </pic:spPr>
                      </pic:pic>
                    </a:graphicData>
                  </a:graphic>
                </wp:inline>
              </w:drawing>
            </w:r>
          </w:p>
        </w:tc>
      </w:tr>
      <w:tr w:rsidR="006148FB" w14:paraId="3DF0110C" w14:textId="77777777" w:rsidTr="008D01C2">
        <w:tc>
          <w:tcPr>
            <w:tcW w:w="9016" w:type="dxa"/>
            <w:tcBorders>
              <w:left w:val="nil"/>
              <w:bottom w:val="nil"/>
              <w:right w:val="nil"/>
            </w:tcBorders>
          </w:tcPr>
          <w:p w14:paraId="024F7960" w14:textId="4356A34E" w:rsidR="006148FB" w:rsidRPr="006148FB" w:rsidRDefault="00E93B75" w:rsidP="006148FB">
            <w:pPr>
              <w:jc w:val="both"/>
              <w:rPr>
                <w:rFonts w:ascii="Times New Roman" w:hAnsi="Times New Roman" w:cs="Times New Roman"/>
                <w:i/>
                <w:sz w:val="20"/>
                <w:szCs w:val="20"/>
                <w:lang w:val="mk-MK"/>
              </w:rPr>
            </w:pPr>
            <w:r w:rsidRPr="00E93B75">
              <w:rPr>
                <w:rFonts w:ascii="Times New Roman" w:hAnsi="Times New Roman" w:cs="Times New Roman"/>
                <w:i/>
                <w:sz w:val="20"/>
                <w:szCs w:val="20"/>
                <w:lang w:val="mk-MK"/>
              </w:rPr>
              <w:t>Source: State Statistical Office, "Regions of the Republic of North Macedonia" 2009-2023, https://www.stat.gov.mk/PublikaciiPoOblast.aspx?id=32&amp;rbrObl=37 (accessed: 20.02.2024)</w:t>
            </w:r>
            <w:r w:rsidR="006148FB" w:rsidRPr="006148FB">
              <w:rPr>
                <w:rFonts w:ascii="Times New Roman" w:hAnsi="Times New Roman" w:cs="Times New Roman"/>
                <w:i/>
                <w:sz w:val="20"/>
                <w:szCs w:val="20"/>
                <w:lang w:val="mk-MK"/>
              </w:rPr>
              <w:t>)</w:t>
            </w:r>
          </w:p>
        </w:tc>
      </w:tr>
    </w:tbl>
    <w:p w14:paraId="3DBB0D9F" w14:textId="77777777" w:rsidR="00646DD4" w:rsidRDefault="00646DD4" w:rsidP="00646DD4">
      <w:pPr>
        <w:spacing w:after="0"/>
        <w:jc w:val="both"/>
        <w:rPr>
          <w:rFonts w:ascii="Times New Roman" w:hAnsi="Times New Roman" w:cs="Times New Roman"/>
          <w:sz w:val="24"/>
          <w:szCs w:val="24"/>
          <w:lang w:val="mk-MK"/>
        </w:rPr>
      </w:pPr>
    </w:p>
    <w:p w14:paraId="18C93714" w14:textId="250FF979" w:rsidR="00DF1992" w:rsidRDefault="00A70557" w:rsidP="00DC39D3">
      <w:pPr>
        <w:spacing w:after="0"/>
        <w:jc w:val="both"/>
        <w:rPr>
          <w:rFonts w:ascii="Times New Roman" w:hAnsi="Times New Roman" w:cs="Times New Roman"/>
          <w:sz w:val="24"/>
          <w:szCs w:val="24"/>
          <w:lang w:val="en"/>
        </w:rPr>
      </w:pPr>
      <w:r>
        <w:rPr>
          <w:rFonts w:ascii="Times New Roman" w:hAnsi="Times New Roman" w:cs="Times New Roman"/>
          <w:sz w:val="24"/>
          <w:szCs w:val="24"/>
          <w:lang w:val="en"/>
        </w:rPr>
        <w:t xml:space="preserve">GDP </w:t>
      </w:r>
      <w:r w:rsidRPr="00A70557">
        <w:rPr>
          <w:rFonts w:ascii="Times New Roman" w:hAnsi="Times New Roman" w:cs="Times New Roman"/>
          <w:sz w:val="24"/>
          <w:szCs w:val="24"/>
          <w:lang w:val="en"/>
        </w:rPr>
        <w:t>index</w:t>
      </w:r>
      <w:r w:rsidR="00BC6B21">
        <w:rPr>
          <w:rFonts w:ascii="Times New Roman" w:hAnsi="Times New Roman" w:cs="Times New Roman"/>
          <w:sz w:val="24"/>
          <w:szCs w:val="24"/>
          <w:lang w:val="en"/>
        </w:rPr>
        <w:t xml:space="preserve"> is also more favorable in the region. It </w:t>
      </w:r>
      <w:r w:rsidRPr="00A70557">
        <w:rPr>
          <w:rFonts w:ascii="Times New Roman" w:hAnsi="Times New Roman" w:cs="Times New Roman"/>
          <w:sz w:val="24"/>
          <w:szCs w:val="24"/>
          <w:lang w:val="en"/>
        </w:rPr>
        <w:t>exceeds the value of the national index, especially in 2019</w:t>
      </w:r>
      <w:r>
        <w:rPr>
          <w:rFonts w:ascii="Times New Roman" w:hAnsi="Times New Roman" w:cs="Times New Roman"/>
          <w:sz w:val="24"/>
          <w:szCs w:val="24"/>
          <w:lang w:val="en"/>
        </w:rPr>
        <w:t xml:space="preserve"> </w:t>
      </w:r>
      <w:r w:rsidRPr="00A70557">
        <w:rPr>
          <w:rFonts w:ascii="Times New Roman" w:hAnsi="Times New Roman" w:cs="Times New Roman"/>
          <w:sz w:val="24"/>
          <w:szCs w:val="24"/>
          <w:lang w:val="en"/>
        </w:rPr>
        <w:t xml:space="preserve">when it is 108.4. </w:t>
      </w:r>
    </w:p>
    <w:p w14:paraId="1FE8D26B" w14:textId="4E383568" w:rsidR="00E5234A" w:rsidRDefault="00BC6B21" w:rsidP="00DC39D3">
      <w:pPr>
        <w:spacing w:after="0"/>
        <w:jc w:val="both"/>
        <w:rPr>
          <w:rFonts w:ascii="Times New Roman" w:hAnsi="Times New Roman" w:cs="Times New Roman"/>
          <w:sz w:val="24"/>
          <w:szCs w:val="24"/>
          <w:lang w:val="mk-MK"/>
        </w:rPr>
      </w:pPr>
      <w:r>
        <w:rPr>
          <w:rFonts w:ascii="Times New Roman" w:hAnsi="Times New Roman" w:cs="Times New Roman"/>
          <w:sz w:val="24"/>
          <w:szCs w:val="24"/>
          <w:lang w:val="en"/>
        </w:rPr>
        <w:t>Regarding</w:t>
      </w:r>
      <w:r w:rsidR="00A70557" w:rsidRPr="00A70557">
        <w:rPr>
          <w:rFonts w:ascii="Times New Roman" w:hAnsi="Times New Roman" w:cs="Times New Roman"/>
          <w:sz w:val="24"/>
          <w:szCs w:val="24"/>
          <w:lang w:val="en"/>
        </w:rPr>
        <w:t xml:space="preserve"> contribution to the gross added value at the national level, the Vardar region is in 5</w:t>
      </w:r>
      <w:r w:rsidR="00A70557" w:rsidRPr="00646DD4">
        <w:rPr>
          <w:rFonts w:ascii="Times New Roman" w:hAnsi="Times New Roman" w:cs="Times New Roman"/>
          <w:sz w:val="24"/>
          <w:szCs w:val="24"/>
          <w:vertAlign w:val="superscript"/>
          <w:lang w:val="en"/>
        </w:rPr>
        <w:t>th</w:t>
      </w:r>
      <w:r w:rsidR="00A70557" w:rsidRPr="00A70557">
        <w:rPr>
          <w:rFonts w:ascii="Times New Roman" w:hAnsi="Times New Roman" w:cs="Times New Roman"/>
          <w:sz w:val="24"/>
          <w:szCs w:val="24"/>
          <w:lang w:val="en"/>
        </w:rPr>
        <w:t xml:space="preserve"> or 6</w:t>
      </w:r>
      <w:r w:rsidR="00A70557" w:rsidRPr="00646DD4">
        <w:rPr>
          <w:rFonts w:ascii="Times New Roman" w:hAnsi="Times New Roman" w:cs="Times New Roman"/>
          <w:sz w:val="24"/>
          <w:szCs w:val="24"/>
          <w:vertAlign w:val="superscript"/>
          <w:lang w:val="en"/>
        </w:rPr>
        <w:t>th</w:t>
      </w:r>
      <w:r w:rsidR="00A70557" w:rsidRPr="00A70557">
        <w:rPr>
          <w:rFonts w:ascii="Times New Roman" w:hAnsi="Times New Roman" w:cs="Times New Roman"/>
          <w:sz w:val="24"/>
          <w:szCs w:val="24"/>
          <w:lang w:val="en"/>
        </w:rPr>
        <w:t xml:space="preserve"> place. </w:t>
      </w:r>
      <w:r>
        <w:rPr>
          <w:rFonts w:ascii="Times New Roman" w:hAnsi="Times New Roman" w:cs="Times New Roman"/>
          <w:sz w:val="24"/>
          <w:szCs w:val="24"/>
          <w:lang w:val="en"/>
        </w:rPr>
        <w:t>In term of gross value added by</w:t>
      </w:r>
      <w:r w:rsidR="00A70557" w:rsidRPr="00A70557">
        <w:rPr>
          <w:rFonts w:ascii="Times New Roman" w:hAnsi="Times New Roman" w:cs="Times New Roman"/>
          <w:sz w:val="24"/>
          <w:szCs w:val="24"/>
          <w:lang w:val="en"/>
        </w:rPr>
        <w:t xml:space="preserve"> sectors of activity, the region records a </w:t>
      </w:r>
      <w:r w:rsidR="00A70557" w:rsidRPr="00A70557">
        <w:rPr>
          <w:rFonts w:ascii="Times New Roman" w:hAnsi="Times New Roman" w:cs="Times New Roman"/>
          <w:sz w:val="24"/>
          <w:szCs w:val="24"/>
          <w:lang w:val="en"/>
        </w:rPr>
        <w:lastRenderedPageBreak/>
        <w:t xml:space="preserve">fluctuating participation </w:t>
      </w:r>
      <w:r w:rsidR="00DC39D3">
        <w:rPr>
          <w:rFonts w:ascii="Times New Roman" w:hAnsi="Times New Roman" w:cs="Times New Roman"/>
          <w:sz w:val="24"/>
          <w:szCs w:val="24"/>
          <w:lang w:val="en"/>
        </w:rPr>
        <w:t>on national</w:t>
      </w:r>
      <w:r w:rsidR="00A70557" w:rsidRPr="00A70557">
        <w:rPr>
          <w:rFonts w:ascii="Times New Roman" w:hAnsi="Times New Roman" w:cs="Times New Roman"/>
          <w:sz w:val="24"/>
          <w:szCs w:val="24"/>
          <w:lang w:val="en"/>
        </w:rPr>
        <w:t xml:space="preserve"> level, </w:t>
      </w:r>
      <w:r w:rsidR="009765F9">
        <w:rPr>
          <w:rFonts w:ascii="Times New Roman" w:hAnsi="Times New Roman" w:cs="Times New Roman"/>
          <w:sz w:val="24"/>
          <w:szCs w:val="24"/>
          <w:lang w:val="en"/>
        </w:rPr>
        <w:t xml:space="preserve">and it </w:t>
      </w:r>
      <w:r w:rsidR="009765F9" w:rsidRPr="00A70557">
        <w:rPr>
          <w:rFonts w:ascii="Times New Roman" w:hAnsi="Times New Roman" w:cs="Times New Roman"/>
          <w:sz w:val="24"/>
          <w:szCs w:val="24"/>
          <w:lang w:val="en"/>
        </w:rPr>
        <w:t>had the largest share of 8.2%</w:t>
      </w:r>
      <w:r w:rsidR="009765F9" w:rsidRPr="009765F9">
        <w:rPr>
          <w:rFonts w:ascii="Times New Roman" w:hAnsi="Times New Roman" w:cs="Times New Roman"/>
          <w:sz w:val="24"/>
          <w:szCs w:val="24"/>
          <w:lang w:val="en"/>
        </w:rPr>
        <w:t xml:space="preserve"> </w:t>
      </w:r>
      <w:r w:rsidR="009765F9">
        <w:rPr>
          <w:rFonts w:ascii="Times New Roman" w:hAnsi="Times New Roman" w:cs="Times New Roman"/>
          <w:sz w:val="24"/>
          <w:szCs w:val="24"/>
          <w:lang w:val="en"/>
        </w:rPr>
        <w:t xml:space="preserve">in </w:t>
      </w:r>
      <w:r w:rsidR="009765F9" w:rsidRPr="00A70557">
        <w:rPr>
          <w:rFonts w:ascii="Times New Roman" w:hAnsi="Times New Roman" w:cs="Times New Roman"/>
          <w:sz w:val="24"/>
          <w:szCs w:val="24"/>
          <w:lang w:val="en"/>
        </w:rPr>
        <w:t>2013</w:t>
      </w:r>
      <w:r w:rsidR="009765F9" w:rsidRPr="009765F9">
        <w:t xml:space="preserve"> </w:t>
      </w:r>
      <w:r w:rsidR="009765F9" w:rsidRPr="009765F9">
        <w:rPr>
          <w:rFonts w:ascii="Times New Roman" w:hAnsi="Times New Roman" w:cs="Times New Roman"/>
          <w:sz w:val="24"/>
          <w:szCs w:val="24"/>
          <w:lang w:val="en"/>
        </w:rPr>
        <w:t>for the period 2010-2021.</w:t>
      </w:r>
      <w:r>
        <w:rPr>
          <w:rFonts w:ascii="Times New Roman" w:hAnsi="Times New Roman" w:cs="Times New Roman"/>
          <w:sz w:val="24"/>
          <w:szCs w:val="24"/>
          <w:lang w:val="en"/>
        </w:rPr>
        <w:t xml:space="preserve"> (Table 8)</w:t>
      </w:r>
    </w:p>
    <w:p w14:paraId="3696349F" w14:textId="77777777" w:rsidR="00DC39D3" w:rsidRPr="00DC39D3" w:rsidRDefault="00DC39D3" w:rsidP="00DC39D3">
      <w:pPr>
        <w:spacing w:after="0"/>
        <w:jc w:val="both"/>
        <w:rPr>
          <w:rFonts w:ascii="Times New Roman" w:hAnsi="Times New Roman" w:cs="Times New Roman"/>
          <w:sz w:val="24"/>
          <w:szCs w:val="24"/>
          <w:lang w:val="mk-MK"/>
        </w:rPr>
      </w:pPr>
    </w:p>
    <w:p w14:paraId="4EA35DA7" w14:textId="77777777" w:rsidR="00DC39D3" w:rsidRDefault="00E5234A" w:rsidP="00DC39D3">
      <w:pPr>
        <w:rPr>
          <w:lang w:val="en"/>
        </w:rPr>
      </w:pPr>
      <w:r w:rsidRPr="00E5234A">
        <w:rPr>
          <w:noProof/>
          <w:lang w:val="mk-MK" w:eastAsia="mk-MK"/>
        </w:rPr>
        <w:drawing>
          <wp:inline distT="0" distB="0" distL="0" distR="0" wp14:anchorId="2E1482C0" wp14:editId="5D41C0C3">
            <wp:extent cx="5731510" cy="353056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530565"/>
                    </a:xfrm>
                    <a:prstGeom prst="rect">
                      <a:avLst/>
                    </a:prstGeom>
                    <a:noFill/>
                    <a:ln>
                      <a:noFill/>
                    </a:ln>
                  </pic:spPr>
                </pic:pic>
              </a:graphicData>
            </a:graphic>
          </wp:inline>
        </w:drawing>
      </w:r>
    </w:p>
    <w:p w14:paraId="7BB55982" w14:textId="1AC84273" w:rsidR="009765F9" w:rsidRPr="005604CA" w:rsidRDefault="009765F9" w:rsidP="00DF1992">
      <w:pPr>
        <w:spacing w:after="0"/>
        <w:jc w:val="both"/>
        <w:rPr>
          <w:lang w:val="en"/>
        </w:rPr>
      </w:pPr>
      <w:r w:rsidRPr="005604CA">
        <w:rPr>
          <w:rFonts w:ascii="Times New Roman" w:hAnsi="Times New Roman" w:cs="Times New Roman"/>
          <w:sz w:val="24"/>
          <w:szCs w:val="24"/>
          <w:lang w:val="en"/>
        </w:rPr>
        <w:t>In terms of this indicator, from the region</w:t>
      </w:r>
      <w:r w:rsidR="00BC6B21" w:rsidRPr="005604CA">
        <w:rPr>
          <w:rFonts w:ascii="Times New Roman" w:hAnsi="Times New Roman" w:cs="Times New Roman"/>
          <w:sz w:val="24"/>
          <w:szCs w:val="24"/>
          <w:lang w:val="en"/>
        </w:rPr>
        <w:t>’s</w:t>
      </w:r>
      <w:r w:rsidRPr="005604CA">
        <w:rPr>
          <w:rFonts w:ascii="Times New Roman" w:hAnsi="Times New Roman" w:cs="Times New Roman"/>
          <w:sz w:val="24"/>
          <w:szCs w:val="24"/>
          <w:lang w:val="en"/>
        </w:rPr>
        <w:t xml:space="preserve"> leading sectors </w:t>
      </w:r>
      <w:r w:rsidR="00DF1992" w:rsidRPr="005604CA">
        <w:rPr>
          <w:rFonts w:ascii="Times New Roman" w:hAnsi="Times New Roman" w:cs="Times New Roman"/>
          <w:sz w:val="24"/>
          <w:szCs w:val="24"/>
          <w:lang w:val="en"/>
        </w:rPr>
        <w:t>are</w:t>
      </w:r>
      <w:r w:rsidR="00DC39D3" w:rsidRPr="005604CA">
        <w:rPr>
          <w:rFonts w:ascii="Times New Roman" w:hAnsi="Times New Roman" w:cs="Times New Roman"/>
          <w:sz w:val="24"/>
          <w:szCs w:val="24"/>
          <w:lang w:val="en"/>
        </w:rPr>
        <w:t>:</w:t>
      </w:r>
      <w:r w:rsidRPr="005604CA">
        <w:rPr>
          <w:rFonts w:ascii="Times New Roman" w:hAnsi="Times New Roman" w:cs="Times New Roman"/>
          <w:sz w:val="24"/>
          <w:szCs w:val="24"/>
          <w:lang w:val="en"/>
        </w:rPr>
        <w:t xml:space="preserve"> </w:t>
      </w:r>
      <w:r w:rsidR="00DF1992" w:rsidRPr="005604CA">
        <w:rPr>
          <w:rFonts w:ascii="Times New Roman" w:hAnsi="Times New Roman" w:cs="Times New Roman"/>
          <w:sz w:val="24"/>
          <w:szCs w:val="24"/>
          <w:lang w:val="en"/>
        </w:rPr>
        <w:t>a</w:t>
      </w:r>
      <w:r w:rsidR="00DC39D3" w:rsidRPr="005604CA">
        <w:rPr>
          <w:rFonts w:ascii="Times New Roman" w:hAnsi="Times New Roman" w:cs="Times New Roman"/>
          <w:sz w:val="24"/>
          <w:szCs w:val="24"/>
          <w:lang w:val="en"/>
        </w:rPr>
        <w:t>griculture, forestry, fishing</w:t>
      </w:r>
      <w:r w:rsidRPr="005604CA">
        <w:rPr>
          <w:rFonts w:ascii="Times New Roman" w:hAnsi="Times New Roman" w:cs="Times New Roman"/>
          <w:sz w:val="24"/>
          <w:szCs w:val="24"/>
          <w:lang w:val="en"/>
        </w:rPr>
        <w:t xml:space="preserve">; </w:t>
      </w:r>
      <w:r w:rsidR="00DF1992" w:rsidRPr="005604CA">
        <w:rPr>
          <w:rFonts w:ascii="Times New Roman" w:hAnsi="Times New Roman" w:cs="Times New Roman"/>
          <w:sz w:val="24"/>
          <w:szCs w:val="24"/>
          <w:lang w:val="en"/>
        </w:rPr>
        <w:t>m</w:t>
      </w:r>
      <w:r w:rsidR="00DC39D3" w:rsidRPr="005604CA">
        <w:rPr>
          <w:rFonts w:ascii="Times New Roman" w:hAnsi="Times New Roman" w:cs="Times New Roman"/>
          <w:sz w:val="24"/>
          <w:szCs w:val="24"/>
          <w:lang w:val="en"/>
        </w:rPr>
        <w:t>ining</w:t>
      </w:r>
      <w:r w:rsidR="00AE3CCD" w:rsidRPr="005604CA">
        <w:rPr>
          <w:rFonts w:ascii="Times New Roman" w:hAnsi="Times New Roman" w:cs="Times New Roman"/>
          <w:sz w:val="24"/>
          <w:szCs w:val="24"/>
          <w:lang w:val="en"/>
        </w:rPr>
        <w:t xml:space="preserve">, </w:t>
      </w:r>
      <w:r w:rsidR="00DC39D3" w:rsidRPr="005604CA">
        <w:rPr>
          <w:rFonts w:ascii="Times New Roman" w:hAnsi="Times New Roman" w:cs="Times New Roman"/>
          <w:sz w:val="24"/>
          <w:szCs w:val="24"/>
          <w:lang w:val="en"/>
        </w:rPr>
        <w:t>manufacturing</w:t>
      </w:r>
      <w:r w:rsidR="00DF1992" w:rsidRPr="005604CA">
        <w:rPr>
          <w:rFonts w:ascii="Times New Roman" w:hAnsi="Times New Roman" w:cs="Times New Roman"/>
          <w:sz w:val="24"/>
          <w:szCs w:val="24"/>
          <w:lang w:val="en"/>
        </w:rPr>
        <w:t>,</w:t>
      </w:r>
      <w:r w:rsidR="00DC39D3" w:rsidRPr="005604CA">
        <w:rPr>
          <w:rFonts w:ascii="Times New Roman" w:hAnsi="Times New Roman" w:cs="Times New Roman"/>
          <w:sz w:val="24"/>
          <w:szCs w:val="24"/>
          <w:lang w:val="en"/>
        </w:rPr>
        <w:t xml:space="preserve"> electricity, gas, steam and air conditioning </w:t>
      </w:r>
      <w:r w:rsidR="00465E0F" w:rsidRPr="005604CA">
        <w:rPr>
          <w:rFonts w:ascii="Times New Roman" w:hAnsi="Times New Roman" w:cs="Times New Roman"/>
          <w:sz w:val="24"/>
          <w:szCs w:val="24"/>
          <w:lang w:val="en"/>
        </w:rPr>
        <w:t>supply, water</w:t>
      </w:r>
      <w:r w:rsidR="00DC39D3" w:rsidRPr="005604CA">
        <w:rPr>
          <w:rFonts w:ascii="Times New Roman" w:hAnsi="Times New Roman" w:cs="Times New Roman"/>
          <w:sz w:val="24"/>
          <w:szCs w:val="24"/>
          <w:lang w:val="en"/>
        </w:rPr>
        <w:t xml:space="preserve"> supply</w:t>
      </w:r>
      <w:r w:rsidR="00AE3CCD" w:rsidRPr="005604CA">
        <w:rPr>
          <w:rFonts w:ascii="Times New Roman" w:hAnsi="Times New Roman" w:cs="Times New Roman"/>
          <w:sz w:val="24"/>
          <w:szCs w:val="24"/>
          <w:lang w:val="en"/>
        </w:rPr>
        <w:t>,</w:t>
      </w:r>
      <w:r w:rsidR="00DC39D3" w:rsidRPr="005604CA">
        <w:rPr>
          <w:rFonts w:ascii="Times New Roman" w:hAnsi="Times New Roman" w:cs="Times New Roman"/>
          <w:sz w:val="24"/>
          <w:szCs w:val="24"/>
          <w:lang w:val="en"/>
        </w:rPr>
        <w:t xml:space="preserve"> sewerage, waste management and remediation activities </w:t>
      </w:r>
      <w:r w:rsidRPr="005604CA">
        <w:rPr>
          <w:rFonts w:ascii="Times New Roman" w:hAnsi="Times New Roman" w:cs="Times New Roman"/>
          <w:sz w:val="24"/>
          <w:szCs w:val="24"/>
          <w:lang w:val="en"/>
        </w:rPr>
        <w:t xml:space="preserve">and </w:t>
      </w:r>
      <w:r w:rsidR="00DF1992" w:rsidRPr="005604CA">
        <w:rPr>
          <w:rFonts w:ascii="Times New Roman" w:hAnsi="Times New Roman" w:cs="Times New Roman"/>
          <w:sz w:val="24"/>
          <w:szCs w:val="24"/>
          <w:lang w:val="en"/>
        </w:rPr>
        <w:t>w</w:t>
      </w:r>
      <w:r w:rsidR="00DC39D3" w:rsidRPr="005604CA">
        <w:rPr>
          <w:rFonts w:ascii="Times New Roman" w:hAnsi="Times New Roman" w:cs="Times New Roman"/>
          <w:sz w:val="24"/>
          <w:szCs w:val="24"/>
          <w:lang w:val="en"/>
        </w:rPr>
        <w:t>holesale and retail trade, repair of motor vehicles and motorcycles, transportation and storage</w:t>
      </w:r>
      <w:r w:rsidR="00AE3CCD" w:rsidRPr="005604CA">
        <w:rPr>
          <w:rFonts w:ascii="Times New Roman" w:hAnsi="Times New Roman" w:cs="Times New Roman"/>
          <w:sz w:val="24"/>
          <w:szCs w:val="24"/>
          <w:lang w:val="en"/>
        </w:rPr>
        <w:t>,</w:t>
      </w:r>
      <w:r w:rsidR="00DC39D3" w:rsidRPr="005604CA">
        <w:rPr>
          <w:rFonts w:ascii="Times New Roman" w:hAnsi="Times New Roman" w:cs="Times New Roman"/>
          <w:sz w:val="24"/>
          <w:szCs w:val="24"/>
          <w:lang w:val="en"/>
        </w:rPr>
        <w:t xml:space="preserve"> accommodation and food service activities</w:t>
      </w:r>
      <w:r w:rsidRPr="005604CA">
        <w:rPr>
          <w:rFonts w:ascii="Times New Roman" w:hAnsi="Times New Roman" w:cs="Times New Roman"/>
          <w:sz w:val="24"/>
          <w:szCs w:val="24"/>
          <w:lang w:val="en"/>
        </w:rPr>
        <w:t xml:space="preserve">. With the exception </w:t>
      </w:r>
      <w:r w:rsidR="00BC6B21" w:rsidRPr="005604CA">
        <w:rPr>
          <w:rFonts w:ascii="Times New Roman" w:hAnsi="Times New Roman" w:cs="Times New Roman"/>
          <w:sz w:val="24"/>
          <w:szCs w:val="24"/>
          <w:lang w:val="en"/>
        </w:rPr>
        <w:t xml:space="preserve">of </w:t>
      </w:r>
      <w:r w:rsidRPr="005604CA">
        <w:rPr>
          <w:rFonts w:ascii="Times New Roman" w:hAnsi="Times New Roman" w:cs="Times New Roman"/>
          <w:sz w:val="24"/>
          <w:szCs w:val="24"/>
          <w:lang w:val="en"/>
        </w:rPr>
        <w:t>2010 and 2011, the sector</w:t>
      </w:r>
      <w:r w:rsidR="00096028" w:rsidRPr="005604CA">
        <w:rPr>
          <w:rFonts w:ascii="Times New Roman" w:hAnsi="Times New Roman" w:cs="Times New Roman"/>
          <w:sz w:val="24"/>
          <w:szCs w:val="24"/>
          <w:lang w:val="en"/>
        </w:rPr>
        <w:t>s</w:t>
      </w:r>
      <w:r w:rsidRPr="005604CA">
        <w:rPr>
          <w:rFonts w:ascii="Times New Roman" w:hAnsi="Times New Roman" w:cs="Times New Roman"/>
          <w:sz w:val="24"/>
          <w:szCs w:val="24"/>
          <w:lang w:val="en"/>
        </w:rPr>
        <w:t xml:space="preserve"> of agriculture, forestry and fishing ha</w:t>
      </w:r>
      <w:r w:rsidR="00096028" w:rsidRPr="005604CA">
        <w:rPr>
          <w:rFonts w:ascii="Times New Roman" w:hAnsi="Times New Roman" w:cs="Times New Roman"/>
          <w:sz w:val="24"/>
          <w:szCs w:val="24"/>
          <w:lang w:val="en"/>
        </w:rPr>
        <w:t>ve</w:t>
      </w:r>
      <w:r w:rsidRPr="005604CA">
        <w:rPr>
          <w:rFonts w:ascii="Times New Roman" w:hAnsi="Times New Roman" w:cs="Times New Roman"/>
          <w:sz w:val="24"/>
          <w:szCs w:val="24"/>
          <w:lang w:val="en"/>
        </w:rPr>
        <w:t xml:space="preserve"> the highest participation in the national gross value added</w:t>
      </w:r>
      <w:r w:rsidR="00BC6B21" w:rsidRPr="005604CA">
        <w:rPr>
          <w:rFonts w:ascii="Times New Roman" w:hAnsi="Times New Roman" w:cs="Times New Roman"/>
          <w:sz w:val="24"/>
          <w:szCs w:val="24"/>
          <w:lang w:val="en"/>
        </w:rPr>
        <w:t xml:space="preserve"> (</w:t>
      </w:r>
      <w:r w:rsidRPr="005604CA">
        <w:rPr>
          <w:rFonts w:ascii="Times New Roman" w:hAnsi="Times New Roman" w:cs="Times New Roman"/>
          <w:sz w:val="24"/>
          <w:szCs w:val="24"/>
          <w:lang w:val="en"/>
        </w:rPr>
        <w:t>lowest in 2012</w:t>
      </w:r>
      <w:r w:rsidR="00BC6B21" w:rsidRPr="005604CA">
        <w:rPr>
          <w:rFonts w:ascii="Times New Roman" w:hAnsi="Times New Roman" w:cs="Times New Roman"/>
          <w:sz w:val="24"/>
          <w:szCs w:val="24"/>
          <w:lang w:val="en"/>
        </w:rPr>
        <w:t xml:space="preserve">, </w:t>
      </w:r>
      <w:r w:rsidRPr="005604CA">
        <w:rPr>
          <w:rFonts w:ascii="Times New Roman" w:hAnsi="Times New Roman" w:cs="Times New Roman"/>
          <w:sz w:val="24"/>
          <w:szCs w:val="24"/>
          <w:lang w:val="en"/>
        </w:rPr>
        <w:t>2.3%</w:t>
      </w:r>
      <w:r w:rsidR="00BC6B21" w:rsidRPr="005604CA">
        <w:rPr>
          <w:rFonts w:ascii="Times New Roman" w:hAnsi="Times New Roman" w:cs="Times New Roman"/>
          <w:sz w:val="24"/>
          <w:szCs w:val="24"/>
          <w:lang w:val="en"/>
        </w:rPr>
        <w:t xml:space="preserve"> and highest </w:t>
      </w:r>
      <w:r w:rsidRPr="005604CA">
        <w:rPr>
          <w:rFonts w:ascii="Times New Roman" w:hAnsi="Times New Roman" w:cs="Times New Roman"/>
          <w:sz w:val="24"/>
          <w:szCs w:val="24"/>
          <w:lang w:val="en"/>
        </w:rPr>
        <w:t>in 2019</w:t>
      </w:r>
      <w:r w:rsidR="00BC6B21" w:rsidRPr="005604CA">
        <w:rPr>
          <w:rFonts w:ascii="Times New Roman" w:hAnsi="Times New Roman" w:cs="Times New Roman"/>
          <w:sz w:val="24"/>
          <w:szCs w:val="24"/>
          <w:lang w:val="en"/>
        </w:rPr>
        <w:t xml:space="preserve">, </w:t>
      </w:r>
      <w:r w:rsidR="00DC39D3" w:rsidRPr="005604CA">
        <w:rPr>
          <w:rFonts w:ascii="Times New Roman" w:hAnsi="Times New Roman" w:cs="Times New Roman"/>
          <w:sz w:val="24"/>
          <w:szCs w:val="24"/>
          <w:lang w:val="en"/>
        </w:rPr>
        <w:t>15.2%</w:t>
      </w:r>
      <w:r w:rsidRPr="005604CA">
        <w:rPr>
          <w:rFonts w:ascii="Times New Roman" w:hAnsi="Times New Roman" w:cs="Times New Roman"/>
          <w:sz w:val="24"/>
          <w:szCs w:val="24"/>
          <w:lang w:val="en"/>
        </w:rPr>
        <w:t>.</w:t>
      </w:r>
      <w:r w:rsidR="00DC39D3" w:rsidRPr="005604CA">
        <w:rPr>
          <w:rFonts w:ascii="Times New Roman" w:hAnsi="Times New Roman" w:cs="Times New Roman"/>
          <w:sz w:val="24"/>
          <w:szCs w:val="24"/>
          <w:lang w:val="en"/>
        </w:rPr>
        <w:t>)</w:t>
      </w:r>
      <w:r w:rsidR="00DF1992" w:rsidRPr="005604CA">
        <w:rPr>
          <w:rFonts w:ascii="Times New Roman" w:hAnsi="Times New Roman" w:cs="Times New Roman"/>
          <w:sz w:val="24"/>
          <w:szCs w:val="24"/>
          <w:lang w:val="en"/>
        </w:rPr>
        <w:t xml:space="preserve">. </w:t>
      </w:r>
      <w:r w:rsidR="00DF1992" w:rsidRPr="005604CA">
        <w:rPr>
          <w:lang w:val="en"/>
        </w:rPr>
        <w:t>O</w:t>
      </w:r>
      <w:r w:rsidRPr="005604CA">
        <w:rPr>
          <w:rFonts w:ascii="Times New Roman" w:hAnsi="Times New Roman" w:cs="Times New Roman"/>
          <w:sz w:val="24"/>
          <w:szCs w:val="24"/>
          <w:lang w:val="en"/>
        </w:rPr>
        <w:t xml:space="preserve">ther two sectors alternately appear in second and third place, with a fluctuating degree of participation in the national gross added value. The </w:t>
      </w:r>
      <w:r w:rsidR="00DC39D3" w:rsidRPr="005604CA">
        <w:rPr>
          <w:rFonts w:ascii="Times New Roman" w:hAnsi="Times New Roman" w:cs="Times New Roman"/>
          <w:sz w:val="24"/>
          <w:szCs w:val="24"/>
          <w:lang w:val="en"/>
        </w:rPr>
        <w:t>sector</w:t>
      </w:r>
      <w:r w:rsidR="00DF1992" w:rsidRPr="005604CA">
        <w:rPr>
          <w:rFonts w:ascii="Times New Roman" w:hAnsi="Times New Roman" w:cs="Times New Roman"/>
          <w:sz w:val="24"/>
          <w:szCs w:val="24"/>
          <w:lang w:val="en"/>
        </w:rPr>
        <w:t>s</w:t>
      </w:r>
      <w:r w:rsidR="00DC39D3" w:rsidRPr="005604CA">
        <w:rPr>
          <w:rFonts w:ascii="Times New Roman" w:hAnsi="Times New Roman" w:cs="Times New Roman"/>
          <w:sz w:val="24"/>
          <w:szCs w:val="24"/>
          <w:lang w:val="en"/>
        </w:rPr>
        <w:t xml:space="preserve"> of mining</w:t>
      </w:r>
      <w:r w:rsidR="00465E0F" w:rsidRPr="005604CA">
        <w:rPr>
          <w:rFonts w:ascii="Times New Roman" w:hAnsi="Times New Roman" w:cs="Times New Roman"/>
          <w:sz w:val="24"/>
          <w:szCs w:val="24"/>
          <w:lang w:val="en"/>
        </w:rPr>
        <w:t>,</w:t>
      </w:r>
      <w:r w:rsidR="00DC39D3" w:rsidRPr="005604CA">
        <w:rPr>
          <w:rFonts w:ascii="Times New Roman" w:hAnsi="Times New Roman" w:cs="Times New Roman"/>
          <w:sz w:val="24"/>
          <w:szCs w:val="24"/>
          <w:lang w:val="en"/>
        </w:rPr>
        <w:t xml:space="preserve"> manufacturing</w:t>
      </w:r>
      <w:r w:rsidR="00465E0F" w:rsidRPr="005604CA">
        <w:rPr>
          <w:rFonts w:ascii="Times New Roman" w:hAnsi="Times New Roman" w:cs="Times New Roman"/>
          <w:sz w:val="24"/>
          <w:szCs w:val="24"/>
          <w:lang w:val="en"/>
        </w:rPr>
        <w:t>,</w:t>
      </w:r>
      <w:r w:rsidR="00DC39D3" w:rsidRPr="005604CA">
        <w:rPr>
          <w:rFonts w:ascii="Times New Roman" w:hAnsi="Times New Roman" w:cs="Times New Roman"/>
          <w:sz w:val="24"/>
          <w:szCs w:val="24"/>
          <w:lang w:val="en"/>
        </w:rPr>
        <w:t xml:space="preserve"> electricity, gas, steam and air conditioning supply</w:t>
      </w:r>
      <w:r w:rsidR="00465E0F" w:rsidRPr="005604CA">
        <w:rPr>
          <w:rFonts w:ascii="Times New Roman" w:hAnsi="Times New Roman" w:cs="Times New Roman"/>
          <w:sz w:val="24"/>
          <w:szCs w:val="24"/>
          <w:lang w:val="en"/>
        </w:rPr>
        <w:t>,</w:t>
      </w:r>
      <w:r w:rsidR="00DC39D3" w:rsidRPr="005604CA">
        <w:rPr>
          <w:rFonts w:ascii="Times New Roman" w:hAnsi="Times New Roman" w:cs="Times New Roman"/>
          <w:sz w:val="24"/>
          <w:szCs w:val="24"/>
          <w:lang w:val="en"/>
        </w:rPr>
        <w:t xml:space="preserve"> water supply</w:t>
      </w:r>
      <w:r w:rsidR="00465E0F" w:rsidRPr="005604CA">
        <w:rPr>
          <w:rFonts w:ascii="Times New Roman" w:hAnsi="Times New Roman" w:cs="Times New Roman"/>
          <w:sz w:val="24"/>
          <w:szCs w:val="24"/>
          <w:lang w:val="en"/>
        </w:rPr>
        <w:t>,</w:t>
      </w:r>
      <w:r w:rsidR="00DC39D3" w:rsidRPr="005604CA">
        <w:rPr>
          <w:rFonts w:ascii="Times New Roman" w:hAnsi="Times New Roman" w:cs="Times New Roman"/>
          <w:sz w:val="24"/>
          <w:szCs w:val="24"/>
          <w:lang w:val="en"/>
        </w:rPr>
        <w:t xml:space="preserve"> sewerage, waste management and remediation activities</w:t>
      </w:r>
      <w:r w:rsidRPr="005604CA">
        <w:rPr>
          <w:rFonts w:ascii="Times New Roman" w:hAnsi="Times New Roman" w:cs="Times New Roman"/>
          <w:sz w:val="24"/>
          <w:szCs w:val="24"/>
          <w:lang w:val="en"/>
        </w:rPr>
        <w:t xml:space="preserve"> ha</w:t>
      </w:r>
      <w:r w:rsidR="00096028" w:rsidRPr="005604CA">
        <w:rPr>
          <w:rFonts w:ascii="Times New Roman" w:hAnsi="Times New Roman" w:cs="Times New Roman"/>
          <w:sz w:val="24"/>
          <w:szCs w:val="24"/>
          <w:lang w:val="en"/>
        </w:rPr>
        <w:t>ve</w:t>
      </w:r>
      <w:r w:rsidRPr="005604CA">
        <w:rPr>
          <w:rFonts w:ascii="Times New Roman" w:hAnsi="Times New Roman" w:cs="Times New Roman"/>
          <w:sz w:val="24"/>
          <w:szCs w:val="24"/>
          <w:lang w:val="en"/>
        </w:rPr>
        <w:t xml:space="preserve"> the largest share of 21.7% in 2021</w:t>
      </w:r>
      <w:r w:rsidR="00BC6B21" w:rsidRPr="005604CA">
        <w:rPr>
          <w:rFonts w:ascii="Times New Roman" w:hAnsi="Times New Roman" w:cs="Times New Roman"/>
          <w:sz w:val="24"/>
          <w:szCs w:val="24"/>
          <w:lang w:val="en"/>
        </w:rPr>
        <w:t xml:space="preserve"> (second)</w:t>
      </w:r>
      <w:r w:rsidRPr="005604CA">
        <w:rPr>
          <w:rFonts w:ascii="Times New Roman" w:hAnsi="Times New Roman" w:cs="Times New Roman"/>
          <w:sz w:val="24"/>
          <w:szCs w:val="24"/>
          <w:lang w:val="en"/>
        </w:rPr>
        <w:t>, and the lowest of 8.7% in 2017</w:t>
      </w:r>
      <w:r w:rsidR="00BC6B21" w:rsidRPr="005604CA">
        <w:rPr>
          <w:rFonts w:ascii="Times New Roman" w:hAnsi="Times New Roman" w:cs="Times New Roman"/>
          <w:sz w:val="24"/>
          <w:szCs w:val="24"/>
          <w:lang w:val="en"/>
        </w:rPr>
        <w:t xml:space="preserve"> (third)</w:t>
      </w:r>
      <w:r w:rsidRPr="005604CA">
        <w:rPr>
          <w:rFonts w:ascii="Times New Roman" w:hAnsi="Times New Roman" w:cs="Times New Roman"/>
          <w:sz w:val="24"/>
          <w:szCs w:val="24"/>
          <w:lang w:val="en"/>
        </w:rPr>
        <w:t>. The sector</w:t>
      </w:r>
      <w:r w:rsidR="00DF1992" w:rsidRPr="005604CA">
        <w:rPr>
          <w:rFonts w:ascii="Times New Roman" w:hAnsi="Times New Roman" w:cs="Times New Roman"/>
          <w:sz w:val="24"/>
          <w:szCs w:val="24"/>
          <w:lang w:val="en"/>
        </w:rPr>
        <w:t>s</w:t>
      </w:r>
      <w:r w:rsidRPr="005604CA">
        <w:rPr>
          <w:rFonts w:ascii="Times New Roman" w:hAnsi="Times New Roman" w:cs="Times New Roman"/>
          <w:sz w:val="24"/>
          <w:szCs w:val="24"/>
          <w:lang w:val="en"/>
        </w:rPr>
        <w:t xml:space="preserve"> of </w:t>
      </w:r>
      <w:r w:rsidR="00DC39D3" w:rsidRPr="005604CA">
        <w:rPr>
          <w:rFonts w:ascii="Times New Roman" w:hAnsi="Times New Roman" w:cs="Times New Roman"/>
          <w:sz w:val="24"/>
          <w:szCs w:val="24"/>
          <w:lang w:val="en"/>
        </w:rPr>
        <w:t>wholesale and retail trade, repair of motor vehicles and motorcycles, transportation and storage</w:t>
      </w:r>
      <w:r w:rsidR="00465E0F" w:rsidRPr="005604CA">
        <w:rPr>
          <w:rFonts w:ascii="Times New Roman" w:hAnsi="Times New Roman" w:cs="Times New Roman"/>
          <w:sz w:val="24"/>
          <w:szCs w:val="24"/>
          <w:lang w:val="en"/>
        </w:rPr>
        <w:t>,</w:t>
      </w:r>
      <w:r w:rsidR="00DC39D3" w:rsidRPr="005604CA">
        <w:rPr>
          <w:rFonts w:ascii="Times New Roman" w:hAnsi="Times New Roman" w:cs="Times New Roman"/>
          <w:sz w:val="24"/>
          <w:szCs w:val="24"/>
          <w:lang w:val="en"/>
        </w:rPr>
        <w:t xml:space="preserve"> accommodation and food service activities </w:t>
      </w:r>
      <w:r w:rsidRPr="005604CA">
        <w:rPr>
          <w:rFonts w:ascii="Times New Roman" w:hAnsi="Times New Roman" w:cs="Times New Roman"/>
          <w:sz w:val="24"/>
          <w:szCs w:val="24"/>
          <w:lang w:val="en"/>
        </w:rPr>
        <w:t>ha</w:t>
      </w:r>
      <w:r w:rsidR="00096028" w:rsidRPr="005604CA">
        <w:rPr>
          <w:rFonts w:ascii="Times New Roman" w:hAnsi="Times New Roman" w:cs="Times New Roman"/>
          <w:sz w:val="24"/>
          <w:szCs w:val="24"/>
          <w:lang w:val="en"/>
        </w:rPr>
        <w:t>ve</w:t>
      </w:r>
      <w:r w:rsidRPr="005604CA">
        <w:rPr>
          <w:rFonts w:ascii="Times New Roman" w:hAnsi="Times New Roman" w:cs="Times New Roman"/>
          <w:sz w:val="24"/>
          <w:szCs w:val="24"/>
          <w:lang w:val="en"/>
        </w:rPr>
        <w:t xml:space="preserve"> the largest share of 10.7% in 2017 </w:t>
      </w:r>
      <w:r w:rsidR="00096028" w:rsidRPr="005604CA">
        <w:rPr>
          <w:rFonts w:ascii="Times New Roman" w:hAnsi="Times New Roman" w:cs="Times New Roman"/>
          <w:sz w:val="24"/>
          <w:szCs w:val="24"/>
          <w:lang w:val="en"/>
        </w:rPr>
        <w:t>(</w:t>
      </w:r>
      <w:r w:rsidRPr="005604CA">
        <w:rPr>
          <w:rFonts w:ascii="Times New Roman" w:hAnsi="Times New Roman" w:cs="Times New Roman"/>
          <w:sz w:val="24"/>
          <w:szCs w:val="24"/>
          <w:lang w:val="en"/>
        </w:rPr>
        <w:t>second</w:t>
      </w:r>
      <w:r w:rsidR="00096028" w:rsidRPr="005604CA">
        <w:rPr>
          <w:rFonts w:ascii="Times New Roman" w:hAnsi="Times New Roman" w:cs="Times New Roman"/>
          <w:sz w:val="24"/>
          <w:szCs w:val="24"/>
          <w:lang w:val="en"/>
        </w:rPr>
        <w:t>)</w:t>
      </w:r>
      <w:r w:rsidRPr="005604CA">
        <w:rPr>
          <w:rFonts w:ascii="Times New Roman" w:hAnsi="Times New Roman" w:cs="Times New Roman"/>
          <w:sz w:val="24"/>
          <w:szCs w:val="24"/>
          <w:lang w:val="en"/>
        </w:rPr>
        <w:t>, and the smallest at 6.8% in 2010</w:t>
      </w:r>
      <w:r w:rsidR="00096028" w:rsidRPr="005604CA">
        <w:rPr>
          <w:rFonts w:ascii="Times New Roman" w:hAnsi="Times New Roman" w:cs="Times New Roman"/>
          <w:sz w:val="24"/>
          <w:szCs w:val="24"/>
          <w:lang w:val="en"/>
        </w:rPr>
        <w:t xml:space="preserve"> (</w:t>
      </w:r>
      <w:r w:rsidRPr="005604CA">
        <w:rPr>
          <w:rFonts w:ascii="Times New Roman" w:hAnsi="Times New Roman" w:cs="Times New Roman"/>
          <w:sz w:val="24"/>
          <w:szCs w:val="24"/>
          <w:lang w:val="en"/>
        </w:rPr>
        <w:t>third</w:t>
      </w:r>
      <w:r w:rsidR="00096028" w:rsidRPr="005604CA">
        <w:rPr>
          <w:rFonts w:ascii="Times New Roman" w:hAnsi="Times New Roman" w:cs="Times New Roman"/>
          <w:sz w:val="24"/>
          <w:szCs w:val="24"/>
          <w:lang w:val="en"/>
        </w:rPr>
        <w:t>)</w:t>
      </w:r>
      <w:r w:rsidRPr="005604CA">
        <w:rPr>
          <w:rFonts w:ascii="Times New Roman" w:hAnsi="Times New Roman" w:cs="Times New Roman"/>
          <w:sz w:val="24"/>
          <w:szCs w:val="24"/>
          <w:lang w:val="en"/>
        </w:rPr>
        <w:t xml:space="preserve">. </w:t>
      </w:r>
      <w:r w:rsidR="00DF1992" w:rsidRPr="005604CA">
        <w:rPr>
          <w:rFonts w:ascii="Times New Roman" w:hAnsi="Times New Roman" w:cs="Times New Roman"/>
          <w:sz w:val="24"/>
          <w:szCs w:val="24"/>
          <w:lang w:val="en"/>
        </w:rPr>
        <w:t>Additionally,</w:t>
      </w:r>
      <w:r w:rsidRPr="005604CA">
        <w:rPr>
          <w:rFonts w:ascii="Times New Roman" w:hAnsi="Times New Roman" w:cs="Times New Roman"/>
          <w:sz w:val="24"/>
          <w:szCs w:val="24"/>
          <w:lang w:val="en"/>
        </w:rPr>
        <w:t xml:space="preserve"> the sector</w:t>
      </w:r>
      <w:r w:rsidR="00DF1992" w:rsidRPr="005604CA">
        <w:rPr>
          <w:rFonts w:ascii="Times New Roman" w:hAnsi="Times New Roman" w:cs="Times New Roman"/>
          <w:sz w:val="24"/>
          <w:szCs w:val="24"/>
          <w:lang w:val="en"/>
        </w:rPr>
        <w:t>s</w:t>
      </w:r>
      <w:r w:rsidRPr="005604CA">
        <w:rPr>
          <w:rFonts w:ascii="Times New Roman" w:hAnsi="Times New Roman" w:cs="Times New Roman"/>
          <w:sz w:val="24"/>
          <w:szCs w:val="24"/>
          <w:lang w:val="en"/>
        </w:rPr>
        <w:t xml:space="preserve"> of </w:t>
      </w:r>
      <w:r w:rsidR="00DC39D3" w:rsidRPr="005604CA">
        <w:rPr>
          <w:rFonts w:ascii="Times New Roman" w:hAnsi="Times New Roman" w:cs="Times New Roman"/>
          <w:sz w:val="24"/>
          <w:szCs w:val="24"/>
          <w:lang w:val="en"/>
        </w:rPr>
        <w:t>financial and insurance activities</w:t>
      </w:r>
      <w:r w:rsidRPr="005604CA">
        <w:rPr>
          <w:rFonts w:ascii="Times New Roman" w:hAnsi="Times New Roman" w:cs="Times New Roman"/>
          <w:sz w:val="24"/>
          <w:szCs w:val="24"/>
          <w:lang w:val="en"/>
        </w:rPr>
        <w:t xml:space="preserve">, </w:t>
      </w:r>
      <w:r w:rsidR="00BC6B21" w:rsidRPr="005604CA">
        <w:rPr>
          <w:rFonts w:ascii="Times New Roman" w:hAnsi="Times New Roman" w:cs="Times New Roman"/>
          <w:sz w:val="24"/>
          <w:szCs w:val="24"/>
          <w:lang w:val="en"/>
        </w:rPr>
        <w:t>have modest share</w:t>
      </w:r>
      <w:r w:rsidRPr="005604CA">
        <w:rPr>
          <w:rFonts w:ascii="Times New Roman" w:hAnsi="Times New Roman" w:cs="Times New Roman"/>
          <w:sz w:val="24"/>
          <w:szCs w:val="24"/>
          <w:lang w:val="en"/>
        </w:rPr>
        <w:t xml:space="preserve"> until 2015</w:t>
      </w:r>
      <w:r w:rsidR="00BC6B21" w:rsidRPr="005604CA">
        <w:rPr>
          <w:rFonts w:ascii="Times New Roman" w:hAnsi="Times New Roman" w:cs="Times New Roman"/>
          <w:sz w:val="24"/>
          <w:szCs w:val="24"/>
          <w:lang w:val="en"/>
        </w:rPr>
        <w:t xml:space="preserve"> (</w:t>
      </w:r>
      <w:r w:rsidRPr="005604CA">
        <w:rPr>
          <w:rFonts w:ascii="Times New Roman" w:hAnsi="Times New Roman" w:cs="Times New Roman"/>
          <w:sz w:val="24"/>
          <w:szCs w:val="24"/>
          <w:lang w:val="en"/>
        </w:rPr>
        <w:t>1.2%</w:t>
      </w:r>
      <w:r w:rsidR="00BC6B21" w:rsidRPr="005604CA">
        <w:rPr>
          <w:rFonts w:ascii="Times New Roman" w:hAnsi="Times New Roman" w:cs="Times New Roman"/>
          <w:sz w:val="24"/>
          <w:szCs w:val="24"/>
          <w:lang w:val="en"/>
        </w:rPr>
        <w:t>), but</w:t>
      </w:r>
      <w:r w:rsidRPr="005604CA">
        <w:rPr>
          <w:rFonts w:ascii="Times New Roman" w:hAnsi="Times New Roman" w:cs="Times New Roman"/>
          <w:sz w:val="24"/>
          <w:szCs w:val="24"/>
          <w:lang w:val="en"/>
        </w:rPr>
        <w:t xml:space="preserve"> since 2016 ha</w:t>
      </w:r>
      <w:r w:rsidR="00BC6B21" w:rsidRPr="005604CA">
        <w:rPr>
          <w:rFonts w:ascii="Times New Roman" w:hAnsi="Times New Roman" w:cs="Times New Roman"/>
          <w:sz w:val="24"/>
          <w:szCs w:val="24"/>
          <w:lang w:val="en"/>
        </w:rPr>
        <w:t>ve</w:t>
      </w:r>
      <w:r w:rsidRPr="005604CA">
        <w:rPr>
          <w:rFonts w:ascii="Times New Roman" w:hAnsi="Times New Roman" w:cs="Times New Roman"/>
          <w:sz w:val="24"/>
          <w:szCs w:val="24"/>
          <w:lang w:val="en"/>
        </w:rPr>
        <w:t xml:space="preserve"> significant and stable increase</w:t>
      </w:r>
      <w:r w:rsidR="00BC6B21" w:rsidRPr="005604CA">
        <w:rPr>
          <w:rFonts w:ascii="Times New Roman" w:hAnsi="Times New Roman" w:cs="Times New Roman"/>
          <w:sz w:val="24"/>
          <w:szCs w:val="24"/>
          <w:lang w:val="en"/>
        </w:rPr>
        <w:t xml:space="preserve"> (</w:t>
      </w:r>
      <w:r w:rsidRPr="005604CA">
        <w:rPr>
          <w:rFonts w:ascii="Times New Roman" w:hAnsi="Times New Roman" w:cs="Times New Roman"/>
          <w:sz w:val="24"/>
          <w:szCs w:val="24"/>
          <w:lang w:val="en"/>
        </w:rPr>
        <w:t xml:space="preserve">highest </w:t>
      </w:r>
      <w:r w:rsidR="00096028" w:rsidRPr="005604CA">
        <w:rPr>
          <w:rFonts w:ascii="Times New Roman" w:hAnsi="Times New Roman" w:cs="Times New Roman"/>
          <w:sz w:val="24"/>
          <w:szCs w:val="24"/>
          <w:lang w:val="en"/>
        </w:rPr>
        <w:t>share of</w:t>
      </w:r>
      <w:r w:rsidRPr="005604CA">
        <w:rPr>
          <w:rFonts w:ascii="Times New Roman" w:hAnsi="Times New Roman" w:cs="Times New Roman"/>
          <w:sz w:val="24"/>
          <w:szCs w:val="24"/>
          <w:lang w:val="en"/>
        </w:rPr>
        <w:t xml:space="preserve"> 6.7% in 2019</w:t>
      </w:r>
      <w:r w:rsidR="00BC6B21" w:rsidRPr="005604CA">
        <w:rPr>
          <w:rFonts w:ascii="Times New Roman" w:hAnsi="Times New Roman" w:cs="Times New Roman"/>
          <w:sz w:val="24"/>
          <w:szCs w:val="24"/>
          <w:lang w:val="en"/>
        </w:rPr>
        <w:t>)</w:t>
      </w:r>
      <w:r w:rsidRPr="005604CA">
        <w:rPr>
          <w:rFonts w:ascii="Times New Roman" w:hAnsi="Times New Roman" w:cs="Times New Roman"/>
          <w:sz w:val="24"/>
          <w:szCs w:val="24"/>
          <w:lang w:val="en"/>
        </w:rPr>
        <w:t>.</w:t>
      </w:r>
    </w:p>
    <w:p w14:paraId="5A0B238B" w14:textId="785F6A81" w:rsidR="00AF002D" w:rsidRDefault="00AF002D" w:rsidP="00DC39D3">
      <w:pPr>
        <w:jc w:val="both"/>
        <w:rPr>
          <w:lang w:val="en"/>
        </w:rPr>
      </w:pPr>
    </w:p>
    <w:p w14:paraId="7F85BCFD" w14:textId="48B025EE" w:rsidR="00AF002D" w:rsidRDefault="00AF002D" w:rsidP="00DC39D3">
      <w:pPr>
        <w:jc w:val="both"/>
        <w:rPr>
          <w:lang w:val="en"/>
        </w:rPr>
      </w:pPr>
    </w:p>
    <w:p w14:paraId="28ABE438" w14:textId="655EFA21" w:rsidR="00AF002D" w:rsidRDefault="00AF002D" w:rsidP="00DC39D3">
      <w:pPr>
        <w:jc w:val="both"/>
        <w:rPr>
          <w:lang w:val="en"/>
        </w:rPr>
      </w:pPr>
    </w:p>
    <w:p w14:paraId="07AEB043" w14:textId="7B10F095" w:rsidR="00AF002D" w:rsidRDefault="00AF002D" w:rsidP="00DC39D3">
      <w:pPr>
        <w:jc w:val="both"/>
        <w:rPr>
          <w:lang w:val="en"/>
        </w:rPr>
      </w:pPr>
    </w:p>
    <w:p w14:paraId="53EA7F89" w14:textId="662B8AE7" w:rsidR="005604CA" w:rsidRDefault="005604CA" w:rsidP="00DC39D3">
      <w:pPr>
        <w:jc w:val="both"/>
        <w:rPr>
          <w:lang w:val="en"/>
        </w:rPr>
      </w:pPr>
    </w:p>
    <w:p w14:paraId="2549BD6F" w14:textId="79CF7EE1" w:rsidR="00AF002D" w:rsidRPr="00DC39D3" w:rsidRDefault="00AF002D" w:rsidP="00DC39D3">
      <w:pPr>
        <w:jc w:val="both"/>
        <w:rPr>
          <w:lang w:val="en"/>
        </w:rPr>
      </w:pPr>
    </w:p>
    <w:tbl>
      <w:tblPr>
        <w:tblStyle w:val="TableGrid"/>
        <w:tblW w:w="0" w:type="auto"/>
        <w:tblLook w:val="04A0" w:firstRow="1" w:lastRow="0" w:firstColumn="1" w:lastColumn="0" w:noHBand="0" w:noVBand="1"/>
      </w:tblPr>
      <w:tblGrid>
        <w:gridCol w:w="9026"/>
      </w:tblGrid>
      <w:tr w:rsidR="00626E7B" w14:paraId="7C1425F9" w14:textId="77777777" w:rsidTr="004C791B">
        <w:tc>
          <w:tcPr>
            <w:tcW w:w="9016" w:type="dxa"/>
            <w:tcBorders>
              <w:top w:val="nil"/>
              <w:left w:val="nil"/>
              <w:right w:val="nil"/>
            </w:tcBorders>
          </w:tcPr>
          <w:p w14:paraId="50738DCF" w14:textId="07A20239" w:rsidR="00626E7B" w:rsidRPr="003D0183" w:rsidRDefault="00E5234A" w:rsidP="003D0183">
            <w:pPr>
              <w:jc w:val="center"/>
              <w:rPr>
                <w:rFonts w:ascii="Times New Roman" w:hAnsi="Times New Roman" w:cs="Times New Roman"/>
                <w:b/>
                <w:color w:val="FF0000"/>
                <w:sz w:val="24"/>
                <w:szCs w:val="24"/>
                <w:lang w:val="mk-MK"/>
              </w:rPr>
            </w:pPr>
            <w:bookmarkStart w:id="0" w:name="_GoBack"/>
            <w:bookmarkEnd w:id="0"/>
            <w:r>
              <w:rPr>
                <w:rFonts w:ascii="Times New Roman" w:hAnsi="Times New Roman" w:cs="Times New Roman"/>
                <w:b/>
                <w:sz w:val="24"/>
                <w:szCs w:val="24"/>
              </w:rPr>
              <w:lastRenderedPageBreak/>
              <w:t>Graph</w:t>
            </w:r>
            <w:r w:rsidR="003D0183" w:rsidRPr="003D0183">
              <w:rPr>
                <w:rFonts w:ascii="Times New Roman" w:hAnsi="Times New Roman" w:cs="Times New Roman"/>
                <w:b/>
                <w:sz w:val="24"/>
                <w:szCs w:val="24"/>
                <w:lang w:val="mk-MK"/>
              </w:rPr>
              <w:t xml:space="preserve"> 4. </w:t>
            </w:r>
            <w:r w:rsidRPr="00E5234A">
              <w:rPr>
                <w:rFonts w:ascii="Times New Roman" w:hAnsi="Times New Roman" w:cs="Times New Roman"/>
                <w:b/>
                <w:sz w:val="24"/>
                <w:szCs w:val="24"/>
                <w:lang w:val="mk-MK"/>
              </w:rPr>
              <w:t>Percentage share in Gross value added, by sector of activity in the Republic of North Macedonia</w:t>
            </w:r>
            <w:r w:rsidR="00C96E7B">
              <w:rPr>
                <w:rFonts w:ascii="Times New Roman" w:hAnsi="Times New Roman" w:cs="Times New Roman"/>
                <w:b/>
                <w:sz w:val="24"/>
                <w:szCs w:val="24"/>
              </w:rPr>
              <w:t xml:space="preserve"> and in the Vardar Region</w:t>
            </w:r>
            <w:r w:rsidRPr="00E5234A">
              <w:rPr>
                <w:rFonts w:ascii="Times New Roman" w:hAnsi="Times New Roman" w:cs="Times New Roman"/>
                <w:b/>
                <w:sz w:val="24"/>
                <w:szCs w:val="24"/>
                <w:lang w:val="mk-MK"/>
              </w:rPr>
              <w:t>, for the period 2010-2021</w:t>
            </w:r>
          </w:p>
        </w:tc>
      </w:tr>
      <w:tr w:rsidR="00626E7B" w14:paraId="57F9BE63" w14:textId="77777777" w:rsidTr="00626E7B">
        <w:tc>
          <w:tcPr>
            <w:tcW w:w="9016" w:type="dxa"/>
          </w:tcPr>
          <w:p w14:paraId="2C01B140" w14:textId="47978CE5" w:rsidR="002C6F4C" w:rsidRDefault="00E5234A" w:rsidP="00E5234A">
            <w:pPr>
              <w:rPr>
                <w:rFonts w:ascii="Times New Roman" w:hAnsi="Times New Roman" w:cs="Times New Roman"/>
                <w:color w:val="FF0000"/>
                <w:sz w:val="24"/>
                <w:szCs w:val="24"/>
                <w:lang w:val="mk-MK"/>
              </w:rPr>
            </w:pPr>
            <w:r>
              <w:rPr>
                <w:rFonts w:ascii="Times New Roman" w:hAnsi="Times New Roman" w:cs="Times New Roman"/>
                <w:noProof/>
                <w:color w:val="FF0000"/>
                <w:sz w:val="24"/>
                <w:szCs w:val="24"/>
                <w:lang w:val="mk-MK" w:eastAsia="mk-MK"/>
              </w:rPr>
              <w:drawing>
                <wp:inline distT="0" distB="0" distL="0" distR="0" wp14:anchorId="148F4E53" wp14:editId="68D32D5A">
                  <wp:extent cx="5594400" cy="14148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94400" cy="1414800"/>
                          </a:xfrm>
                          <a:prstGeom prst="rect">
                            <a:avLst/>
                          </a:prstGeom>
                          <a:noFill/>
                        </pic:spPr>
                      </pic:pic>
                    </a:graphicData>
                  </a:graphic>
                </wp:inline>
              </w:drawing>
            </w:r>
          </w:p>
        </w:tc>
      </w:tr>
      <w:tr w:rsidR="00626E7B" w14:paraId="49846F7F" w14:textId="77777777" w:rsidTr="004C791B">
        <w:tc>
          <w:tcPr>
            <w:tcW w:w="9016" w:type="dxa"/>
            <w:tcBorders>
              <w:bottom w:val="single" w:sz="4" w:space="0" w:color="auto"/>
            </w:tcBorders>
          </w:tcPr>
          <w:p w14:paraId="2309C983" w14:textId="4299D6AD" w:rsidR="00626E7B" w:rsidRDefault="00C96E7B" w:rsidP="00CF12D6">
            <w:pPr>
              <w:jc w:val="both"/>
              <w:rPr>
                <w:rFonts w:ascii="Times New Roman" w:hAnsi="Times New Roman" w:cs="Times New Roman"/>
                <w:color w:val="FF0000"/>
                <w:sz w:val="24"/>
                <w:szCs w:val="24"/>
                <w:lang w:val="mk-MK"/>
              </w:rPr>
            </w:pPr>
            <w:r>
              <w:rPr>
                <w:rFonts w:ascii="Times New Roman" w:hAnsi="Times New Roman" w:cs="Times New Roman"/>
                <w:noProof/>
                <w:color w:val="FF0000"/>
                <w:sz w:val="24"/>
                <w:szCs w:val="24"/>
                <w:lang w:val="mk-MK" w:eastAsia="mk-MK"/>
              </w:rPr>
              <w:drawing>
                <wp:inline distT="0" distB="0" distL="0" distR="0" wp14:anchorId="1FC840A0" wp14:editId="43175236">
                  <wp:extent cx="5504400" cy="3164400"/>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04400" cy="3164400"/>
                          </a:xfrm>
                          <a:prstGeom prst="rect">
                            <a:avLst/>
                          </a:prstGeom>
                          <a:noFill/>
                        </pic:spPr>
                      </pic:pic>
                    </a:graphicData>
                  </a:graphic>
                </wp:inline>
              </w:drawing>
            </w:r>
          </w:p>
        </w:tc>
      </w:tr>
      <w:tr w:rsidR="00626E7B" w14:paraId="7F971DF3" w14:textId="77777777" w:rsidTr="004C791B">
        <w:tc>
          <w:tcPr>
            <w:tcW w:w="9016" w:type="dxa"/>
            <w:tcBorders>
              <w:left w:val="nil"/>
              <w:bottom w:val="nil"/>
              <w:right w:val="nil"/>
            </w:tcBorders>
          </w:tcPr>
          <w:p w14:paraId="78B62ADB" w14:textId="7E200B85" w:rsidR="00626E7B" w:rsidRPr="003D0183" w:rsidRDefault="00E5234A" w:rsidP="00CF12D6">
            <w:pPr>
              <w:jc w:val="both"/>
              <w:rPr>
                <w:rFonts w:ascii="Times New Roman" w:hAnsi="Times New Roman" w:cs="Times New Roman"/>
                <w:i/>
                <w:color w:val="FF0000"/>
                <w:sz w:val="20"/>
                <w:szCs w:val="20"/>
                <w:lang w:val="mk-MK"/>
              </w:rPr>
            </w:pPr>
            <w:r w:rsidRPr="00E5234A">
              <w:rPr>
                <w:rFonts w:ascii="Times New Roman" w:hAnsi="Times New Roman" w:cs="Times New Roman"/>
                <w:i/>
                <w:sz w:val="20"/>
                <w:szCs w:val="20"/>
                <w:lang w:val="mk-MK"/>
              </w:rPr>
              <w:t>Source: State Statistical Office, "Regions of the Republic of North Macedonia" 2009-2023, https://www.stat.gov.mk/PublikaciiPoOblast.aspx?id=32&amp;rbrObl=37 (accessed: 20.02.2024)</w:t>
            </w:r>
          </w:p>
        </w:tc>
      </w:tr>
    </w:tbl>
    <w:p w14:paraId="34BD46F5" w14:textId="57AA46E9" w:rsidR="00626E7B" w:rsidRDefault="00626E7B" w:rsidP="005604CA">
      <w:pPr>
        <w:spacing w:after="0"/>
        <w:jc w:val="both"/>
        <w:rPr>
          <w:rFonts w:ascii="Times New Roman" w:hAnsi="Times New Roman" w:cs="Times New Roman"/>
          <w:color w:val="FF0000"/>
          <w:sz w:val="24"/>
          <w:szCs w:val="24"/>
          <w:lang w:val="mk-MK"/>
        </w:rPr>
      </w:pPr>
    </w:p>
    <w:p w14:paraId="343D6128" w14:textId="71968052" w:rsidR="0063325A" w:rsidRPr="005604CA" w:rsidRDefault="0063325A" w:rsidP="0063325A">
      <w:pPr>
        <w:spacing w:after="0"/>
        <w:jc w:val="both"/>
        <w:rPr>
          <w:rFonts w:ascii="Times New Roman" w:hAnsi="Times New Roman" w:cs="Times New Roman"/>
          <w:sz w:val="24"/>
          <w:szCs w:val="24"/>
          <w:lang w:val="en"/>
        </w:rPr>
      </w:pPr>
      <w:r w:rsidRPr="005604CA">
        <w:rPr>
          <w:rFonts w:ascii="Times New Roman" w:hAnsi="Times New Roman" w:cs="Times New Roman"/>
          <w:sz w:val="24"/>
          <w:szCs w:val="24"/>
          <w:lang w:val="en"/>
        </w:rPr>
        <w:t xml:space="preserve">When observing the participation in the gross added value according to the sectors of activity within the region itself, the situation is different (Graph 4). </w:t>
      </w:r>
      <w:r w:rsidR="00096028" w:rsidRPr="005604CA">
        <w:rPr>
          <w:rFonts w:ascii="Times New Roman" w:hAnsi="Times New Roman" w:cs="Times New Roman"/>
          <w:sz w:val="24"/>
          <w:szCs w:val="24"/>
          <w:lang w:val="en"/>
        </w:rPr>
        <w:t>O</w:t>
      </w:r>
      <w:r w:rsidRPr="005604CA">
        <w:rPr>
          <w:rFonts w:ascii="Times New Roman" w:hAnsi="Times New Roman" w:cs="Times New Roman"/>
          <w:sz w:val="24"/>
          <w:szCs w:val="24"/>
          <w:lang w:val="en"/>
        </w:rPr>
        <w:t>nly in 2010, 2011 and 2021, the sector</w:t>
      </w:r>
      <w:r w:rsidR="00096028" w:rsidRPr="005604CA">
        <w:rPr>
          <w:rFonts w:ascii="Times New Roman" w:hAnsi="Times New Roman" w:cs="Times New Roman"/>
          <w:sz w:val="24"/>
          <w:szCs w:val="24"/>
          <w:lang w:val="en"/>
        </w:rPr>
        <w:t>s</w:t>
      </w:r>
      <w:r w:rsidRPr="005604CA">
        <w:rPr>
          <w:rFonts w:ascii="Times New Roman" w:hAnsi="Times New Roman" w:cs="Times New Roman"/>
          <w:sz w:val="24"/>
          <w:szCs w:val="24"/>
          <w:lang w:val="en"/>
        </w:rPr>
        <w:t xml:space="preserve"> of </w:t>
      </w:r>
      <w:r w:rsidR="00DC39D3" w:rsidRPr="005604CA">
        <w:rPr>
          <w:rFonts w:ascii="Times New Roman" w:hAnsi="Times New Roman" w:cs="Times New Roman"/>
          <w:sz w:val="24"/>
          <w:szCs w:val="24"/>
          <w:lang w:val="en"/>
        </w:rPr>
        <w:t>mining</w:t>
      </w:r>
      <w:r w:rsidR="00465E0F" w:rsidRPr="005604CA">
        <w:rPr>
          <w:rFonts w:ascii="Times New Roman" w:hAnsi="Times New Roman" w:cs="Times New Roman"/>
          <w:sz w:val="24"/>
          <w:szCs w:val="24"/>
          <w:lang w:val="en"/>
        </w:rPr>
        <w:t>,</w:t>
      </w:r>
      <w:r w:rsidR="00DC39D3" w:rsidRPr="005604CA">
        <w:rPr>
          <w:rFonts w:ascii="Times New Roman" w:hAnsi="Times New Roman" w:cs="Times New Roman"/>
          <w:sz w:val="24"/>
          <w:szCs w:val="24"/>
          <w:lang w:val="en"/>
        </w:rPr>
        <w:t xml:space="preserve"> manufacturing</w:t>
      </w:r>
      <w:r w:rsidR="00465E0F" w:rsidRPr="005604CA">
        <w:rPr>
          <w:rFonts w:ascii="Times New Roman" w:hAnsi="Times New Roman" w:cs="Times New Roman"/>
          <w:sz w:val="24"/>
          <w:szCs w:val="24"/>
          <w:lang w:val="en"/>
        </w:rPr>
        <w:t>,</w:t>
      </w:r>
      <w:r w:rsidR="00DC39D3" w:rsidRPr="005604CA">
        <w:rPr>
          <w:rFonts w:ascii="Times New Roman" w:hAnsi="Times New Roman" w:cs="Times New Roman"/>
          <w:sz w:val="24"/>
          <w:szCs w:val="24"/>
          <w:lang w:val="en"/>
        </w:rPr>
        <w:t xml:space="preserve"> electricity, gas, steam and air conditioning supply</w:t>
      </w:r>
      <w:r w:rsidR="00465E0F" w:rsidRPr="005604CA">
        <w:rPr>
          <w:rFonts w:ascii="Times New Roman" w:hAnsi="Times New Roman" w:cs="Times New Roman"/>
          <w:sz w:val="24"/>
          <w:szCs w:val="24"/>
          <w:lang w:val="en"/>
        </w:rPr>
        <w:t>,</w:t>
      </w:r>
      <w:r w:rsidR="00DC39D3" w:rsidRPr="005604CA">
        <w:rPr>
          <w:rFonts w:ascii="Times New Roman" w:hAnsi="Times New Roman" w:cs="Times New Roman"/>
          <w:sz w:val="24"/>
          <w:szCs w:val="24"/>
          <w:lang w:val="en"/>
        </w:rPr>
        <w:t xml:space="preserve"> water supply</w:t>
      </w:r>
      <w:r w:rsidR="00465E0F" w:rsidRPr="005604CA">
        <w:rPr>
          <w:rFonts w:ascii="Times New Roman" w:hAnsi="Times New Roman" w:cs="Times New Roman"/>
          <w:sz w:val="24"/>
          <w:szCs w:val="24"/>
          <w:lang w:val="en"/>
        </w:rPr>
        <w:t>,</w:t>
      </w:r>
      <w:r w:rsidR="00DC39D3" w:rsidRPr="005604CA">
        <w:rPr>
          <w:rFonts w:ascii="Times New Roman" w:hAnsi="Times New Roman" w:cs="Times New Roman"/>
          <w:sz w:val="24"/>
          <w:szCs w:val="24"/>
          <w:lang w:val="en"/>
        </w:rPr>
        <w:t xml:space="preserve"> sewerage, waste management and remediation activities</w:t>
      </w:r>
      <w:r w:rsidRPr="005604CA">
        <w:rPr>
          <w:rFonts w:ascii="Times New Roman" w:hAnsi="Times New Roman" w:cs="Times New Roman"/>
          <w:sz w:val="24"/>
          <w:szCs w:val="24"/>
          <w:lang w:val="en"/>
        </w:rPr>
        <w:t xml:space="preserve"> </w:t>
      </w:r>
      <w:r w:rsidR="00096028" w:rsidRPr="005604CA">
        <w:rPr>
          <w:rFonts w:ascii="Times New Roman" w:hAnsi="Times New Roman" w:cs="Times New Roman"/>
          <w:sz w:val="24"/>
          <w:szCs w:val="24"/>
          <w:lang w:val="en"/>
        </w:rPr>
        <w:t>were</w:t>
      </w:r>
      <w:r w:rsidRPr="005604CA">
        <w:rPr>
          <w:rFonts w:ascii="Times New Roman" w:hAnsi="Times New Roman" w:cs="Times New Roman"/>
          <w:sz w:val="24"/>
          <w:szCs w:val="24"/>
          <w:lang w:val="en"/>
        </w:rPr>
        <w:t xml:space="preserve"> leading. In all other years, the sector</w:t>
      </w:r>
      <w:r w:rsidR="00096028" w:rsidRPr="005604CA">
        <w:rPr>
          <w:rFonts w:ascii="Times New Roman" w:hAnsi="Times New Roman" w:cs="Times New Roman"/>
          <w:sz w:val="24"/>
          <w:szCs w:val="24"/>
          <w:lang w:val="en"/>
        </w:rPr>
        <w:t>s</w:t>
      </w:r>
      <w:r w:rsidRPr="005604CA">
        <w:rPr>
          <w:rFonts w:ascii="Times New Roman" w:hAnsi="Times New Roman" w:cs="Times New Roman"/>
          <w:sz w:val="24"/>
          <w:szCs w:val="24"/>
          <w:lang w:val="en"/>
        </w:rPr>
        <w:t xml:space="preserve"> of </w:t>
      </w:r>
      <w:r w:rsidR="00AE3CCD" w:rsidRPr="005604CA">
        <w:rPr>
          <w:rFonts w:ascii="Times New Roman" w:hAnsi="Times New Roman" w:cs="Times New Roman"/>
          <w:sz w:val="24"/>
          <w:szCs w:val="24"/>
          <w:lang w:val="en"/>
        </w:rPr>
        <w:t>wholesale and retail trade, repair of motor vehicles and motorcycles, transportation and storage</w:t>
      </w:r>
      <w:r w:rsidR="00465E0F" w:rsidRPr="005604CA">
        <w:rPr>
          <w:rFonts w:ascii="Times New Roman" w:hAnsi="Times New Roman" w:cs="Times New Roman"/>
          <w:sz w:val="24"/>
          <w:szCs w:val="24"/>
          <w:lang w:val="en"/>
        </w:rPr>
        <w:t>,</w:t>
      </w:r>
      <w:r w:rsidR="00AE3CCD" w:rsidRPr="005604CA">
        <w:rPr>
          <w:rFonts w:ascii="Times New Roman" w:hAnsi="Times New Roman" w:cs="Times New Roman"/>
          <w:sz w:val="24"/>
          <w:szCs w:val="24"/>
          <w:lang w:val="en"/>
        </w:rPr>
        <w:t xml:space="preserve"> accommodation and food service activities</w:t>
      </w:r>
      <w:r w:rsidRPr="005604CA">
        <w:rPr>
          <w:rFonts w:ascii="Times New Roman" w:hAnsi="Times New Roman" w:cs="Times New Roman"/>
          <w:sz w:val="24"/>
          <w:szCs w:val="24"/>
          <w:lang w:val="en"/>
        </w:rPr>
        <w:t xml:space="preserve"> </w:t>
      </w:r>
      <w:r w:rsidR="00AE3CCD" w:rsidRPr="005604CA">
        <w:rPr>
          <w:rFonts w:ascii="Times New Roman" w:hAnsi="Times New Roman" w:cs="Times New Roman"/>
          <w:sz w:val="24"/>
          <w:szCs w:val="24"/>
          <w:lang w:val="en"/>
        </w:rPr>
        <w:t>have</w:t>
      </w:r>
      <w:r w:rsidRPr="005604CA">
        <w:rPr>
          <w:rFonts w:ascii="Times New Roman" w:hAnsi="Times New Roman" w:cs="Times New Roman"/>
          <w:sz w:val="24"/>
          <w:szCs w:val="24"/>
          <w:lang w:val="en"/>
        </w:rPr>
        <w:t xml:space="preserve"> the largest share</w:t>
      </w:r>
      <w:r w:rsidR="00096028" w:rsidRPr="005604CA">
        <w:rPr>
          <w:rFonts w:ascii="Times New Roman" w:hAnsi="Times New Roman" w:cs="Times New Roman"/>
          <w:sz w:val="24"/>
          <w:szCs w:val="24"/>
          <w:lang w:val="en"/>
        </w:rPr>
        <w:t>.</w:t>
      </w:r>
      <w:r w:rsidRPr="005604CA">
        <w:rPr>
          <w:rFonts w:ascii="Times New Roman" w:hAnsi="Times New Roman" w:cs="Times New Roman"/>
          <w:sz w:val="24"/>
          <w:szCs w:val="24"/>
          <w:lang w:val="en"/>
        </w:rPr>
        <w:t xml:space="preserve"> For the entire period, the sector</w:t>
      </w:r>
      <w:r w:rsidR="00096028" w:rsidRPr="005604CA">
        <w:rPr>
          <w:rFonts w:ascii="Times New Roman" w:hAnsi="Times New Roman" w:cs="Times New Roman"/>
          <w:sz w:val="24"/>
          <w:szCs w:val="24"/>
          <w:lang w:val="en"/>
        </w:rPr>
        <w:t>s</w:t>
      </w:r>
      <w:r w:rsidRPr="005604CA">
        <w:rPr>
          <w:rFonts w:ascii="Times New Roman" w:hAnsi="Times New Roman" w:cs="Times New Roman"/>
          <w:sz w:val="24"/>
          <w:szCs w:val="24"/>
          <w:lang w:val="en"/>
        </w:rPr>
        <w:t xml:space="preserve"> of agriculture, forestry and fishing </w:t>
      </w:r>
      <w:r w:rsidR="00096028" w:rsidRPr="005604CA">
        <w:rPr>
          <w:rFonts w:ascii="Times New Roman" w:hAnsi="Times New Roman" w:cs="Times New Roman"/>
          <w:sz w:val="24"/>
          <w:szCs w:val="24"/>
          <w:lang w:val="en"/>
        </w:rPr>
        <w:t>are</w:t>
      </w:r>
      <w:r w:rsidRPr="005604CA">
        <w:rPr>
          <w:rFonts w:ascii="Times New Roman" w:hAnsi="Times New Roman" w:cs="Times New Roman"/>
          <w:sz w:val="24"/>
          <w:szCs w:val="24"/>
          <w:lang w:val="en"/>
        </w:rPr>
        <w:t xml:space="preserve"> third.</w:t>
      </w:r>
    </w:p>
    <w:p w14:paraId="6438C8F6" w14:textId="1A0CF4BF" w:rsidR="00F1529B" w:rsidRDefault="0063325A" w:rsidP="00E93A2D">
      <w:pPr>
        <w:jc w:val="both"/>
        <w:rPr>
          <w:rFonts w:ascii="Times New Roman" w:hAnsi="Times New Roman" w:cs="Times New Roman"/>
          <w:sz w:val="24"/>
          <w:szCs w:val="24"/>
          <w:lang w:val="en"/>
        </w:rPr>
      </w:pPr>
      <w:r w:rsidRPr="005604CA">
        <w:rPr>
          <w:rFonts w:ascii="Times New Roman" w:hAnsi="Times New Roman" w:cs="Times New Roman"/>
          <w:sz w:val="24"/>
          <w:szCs w:val="24"/>
          <w:lang w:val="en"/>
        </w:rPr>
        <w:t xml:space="preserve">In terms </w:t>
      </w:r>
      <w:r w:rsidR="00AE3CCD" w:rsidRPr="005604CA">
        <w:rPr>
          <w:rFonts w:ascii="Times New Roman" w:hAnsi="Times New Roman" w:cs="Times New Roman"/>
          <w:sz w:val="24"/>
          <w:szCs w:val="24"/>
          <w:lang w:val="en"/>
        </w:rPr>
        <w:t>gross fixed capital formation by</w:t>
      </w:r>
      <w:r w:rsidRPr="005604CA">
        <w:rPr>
          <w:rFonts w:ascii="Times New Roman" w:hAnsi="Times New Roman" w:cs="Times New Roman"/>
          <w:sz w:val="24"/>
          <w:szCs w:val="24"/>
          <w:lang w:val="en"/>
        </w:rPr>
        <w:t xml:space="preserve"> sectors of activity at the </w:t>
      </w:r>
      <w:r w:rsidR="00AE3CCD" w:rsidRPr="005604CA">
        <w:rPr>
          <w:rFonts w:ascii="Times New Roman" w:hAnsi="Times New Roman" w:cs="Times New Roman"/>
          <w:sz w:val="24"/>
          <w:szCs w:val="24"/>
          <w:lang w:val="en"/>
        </w:rPr>
        <w:t xml:space="preserve">national </w:t>
      </w:r>
      <w:r w:rsidRPr="005604CA">
        <w:rPr>
          <w:rFonts w:ascii="Times New Roman" w:hAnsi="Times New Roman" w:cs="Times New Roman"/>
          <w:sz w:val="24"/>
          <w:szCs w:val="24"/>
          <w:lang w:val="en"/>
        </w:rPr>
        <w:t>level in the period 2010-2021, the participation of the Vardar region is modest and fluctuating. It had its minimum in 2012</w:t>
      </w:r>
      <w:r w:rsidR="00BC6B21" w:rsidRPr="005604CA">
        <w:rPr>
          <w:rFonts w:ascii="Times New Roman" w:hAnsi="Times New Roman" w:cs="Times New Roman"/>
          <w:sz w:val="24"/>
          <w:szCs w:val="24"/>
          <w:lang w:val="en"/>
        </w:rPr>
        <w:t xml:space="preserve"> </w:t>
      </w:r>
      <w:r w:rsidRPr="005604CA">
        <w:rPr>
          <w:rFonts w:ascii="Times New Roman" w:hAnsi="Times New Roman" w:cs="Times New Roman"/>
          <w:sz w:val="24"/>
          <w:szCs w:val="24"/>
          <w:lang w:val="en"/>
        </w:rPr>
        <w:t>(4.6%), and its maximum in 2016</w:t>
      </w:r>
      <w:r w:rsidR="00096028" w:rsidRPr="005604CA">
        <w:rPr>
          <w:rFonts w:ascii="Times New Roman" w:hAnsi="Times New Roman" w:cs="Times New Roman"/>
          <w:sz w:val="24"/>
          <w:szCs w:val="24"/>
          <w:lang w:val="en"/>
        </w:rPr>
        <w:t xml:space="preserve"> </w:t>
      </w:r>
      <w:r w:rsidRPr="005604CA">
        <w:rPr>
          <w:rFonts w:ascii="Times New Roman" w:hAnsi="Times New Roman" w:cs="Times New Roman"/>
          <w:sz w:val="24"/>
          <w:szCs w:val="24"/>
          <w:lang w:val="en"/>
        </w:rPr>
        <w:t>(7.3%).</w:t>
      </w:r>
      <w:r w:rsidR="00CB1BCA" w:rsidRPr="005604CA">
        <w:rPr>
          <w:rStyle w:val="FootnoteReference"/>
          <w:rFonts w:ascii="Times New Roman" w:hAnsi="Times New Roman" w:cs="Times New Roman"/>
          <w:sz w:val="24"/>
          <w:szCs w:val="24"/>
          <w:lang w:val="en"/>
        </w:rPr>
        <w:footnoteReference w:id="10"/>
      </w:r>
      <w:r w:rsidRPr="005604CA">
        <w:rPr>
          <w:rFonts w:ascii="Times New Roman" w:hAnsi="Times New Roman" w:cs="Times New Roman"/>
          <w:sz w:val="24"/>
          <w:szCs w:val="24"/>
          <w:lang w:val="en"/>
        </w:rPr>
        <w:t xml:space="preserve"> </w:t>
      </w:r>
      <w:r w:rsidR="00BC6B21" w:rsidRPr="005604CA">
        <w:rPr>
          <w:rFonts w:ascii="Times New Roman" w:hAnsi="Times New Roman" w:cs="Times New Roman"/>
          <w:sz w:val="24"/>
          <w:szCs w:val="24"/>
          <w:lang w:val="en"/>
        </w:rPr>
        <w:t>W</w:t>
      </w:r>
      <w:r w:rsidR="00AE3CCD" w:rsidRPr="005604CA">
        <w:rPr>
          <w:rFonts w:ascii="Times New Roman" w:hAnsi="Times New Roman" w:cs="Times New Roman"/>
          <w:sz w:val="24"/>
          <w:szCs w:val="24"/>
          <w:lang w:val="en"/>
        </w:rPr>
        <w:t>ith</w:t>
      </w:r>
      <w:r w:rsidRPr="005604CA">
        <w:rPr>
          <w:rFonts w:ascii="Times New Roman" w:hAnsi="Times New Roman" w:cs="Times New Roman"/>
          <w:sz w:val="24"/>
          <w:szCs w:val="24"/>
          <w:lang w:val="en"/>
        </w:rPr>
        <w:t>in the region, the sector</w:t>
      </w:r>
      <w:r w:rsidR="00AE3CCD" w:rsidRPr="005604CA">
        <w:rPr>
          <w:rFonts w:ascii="Times New Roman" w:hAnsi="Times New Roman" w:cs="Times New Roman"/>
          <w:sz w:val="24"/>
          <w:szCs w:val="24"/>
          <w:lang w:val="en"/>
        </w:rPr>
        <w:t>s</w:t>
      </w:r>
      <w:r w:rsidRPr="005604CA">
        <w:rPr>
          <w:rFonts w:ascii="Times New Roman" w:hAnsi="Times New Roman" w:cs="Times New Roman"/>
          <w:sz w:val="24"/>
          <w:szCs w:val="24"/>
          <w:lang w:val="en"/>
        </w:rPr>
        <w:t xml:space="preserve"> of </w:t>
      </w:r>
      <w:r w:rsidR="00AE3CCD" w:rsidRPr="005604CA">
        <w:rPr>
          <w:rFonts w:ascii="Times New Roman" w:hAnsi="Times New Roman" w:cs="Times New Roman"/>
          <w:sz w:val="24"/>
          <w:szCs w:val="24"/>
          <w:lang w:val="en"/>
        </w:rPr>
        <w:t>mining</w:t>
      </w:r>
      <w:r w:rsidR="00465E0F" w:rsidRPr="005604CA">
        <w:rPr>
          <w:rFonts w:ascii="Times New Roman" w:hAnsi="Times New Roman" w:cs="Times New Roman"/>
          <w:sz w:val="24"/>
          <w:szCs w:val="24"/>
          <w:lang w:val="en"/>
        </w:rPr>
        <w:t>,</w:t>
      </w:r>
      <w:r w:rsidR="00AE3CCD" w:rsidRPr="005604CA">
        <w:rPr>
          <w:rFonts w:ascii="Times New Roman" w:hAnsi="Times New Roman" w:cs="Times New Roman"/>
          <w:sz w:val="24"/>
          <w:szCs w:val="24"/>
          <w:lang w:val="en"/>
        </w:rPr>
        <w:t xml:space="preserve"> manufacturing</w:t>
      </w:r>
      <w:r w:rsidR="00465E0F" w:rsidRPr="005604CA">
        <w:rPr>
          <w:rFonts w:ascii="Times New Roman" w:hAnsi="Times New Roman" w:cs="Times New Roman"/>
          <w:sz w:val="24"/>
          <w:szCs w:val="24"/>
          <w:lang w:val="en"/>
        </w:rPr>
        <w:t>,</w:t>
      </w:r>
      <w:r w:rsidR="00AE3CCD" w:rsidRPr="005604CA">
        <w:rPr>
          <w:rFonts w:ascii="Times New Roman" w:hAnsi="Times New Roman" w:cs="Times New Roman"/>
          <w:sz w:val="24"/>
          <w:szCs w:val="24"/>
          <w:lang w:val="en"/>
        </w:rPr>
        <w:t xml:space="preserve"> electricity, gas, steam and air conditioning supply</w:t>
      </w:r>
      <w:r w:rsidR="00465E0F" w:rsidRPr="005604CA">
        <w:rPr>
          <w:rFonts w:ascii="Times New Roman" w:hAnsi="Times New Roman" w:cs="Times New Roman"/>
          <w:sz w:val="24"/>
          <w:szCs w:val="24"/>
          <w:lang w:val="en"/>
        </w:rPr>
        <w:t>,</w:t>
      </w:r>
      <w:r w:rsidR="00AE3CCD" w:rsidRPr="005604CA">
        <w:rPr>
          <w:rFonts w:ascii="Times New Roman" w:hAnsi="Times New Roman" w:cs="Times New Roman"/>
          <w:sz w:val="24"/>
          <w:szCs w:val="24"/>
          <w:lang w:val="en"/>
        </w:rPr>
        <w:t xml:space="preserve"> water supply</w:t>
      </w:r>
      <w:r w:rsidR="00465E0F" w:rsidRPr="005604CA">
        <w:rPr>
          <w:rFonts w:ascii="Times New Roman" w:hAnsi="Times New Roman" w:cs="Times New Roman"/>
          <w:sz w:val="24"/>
          <w:szCs w:val="24"/>
          <w:lang w:val="en"/>
        </w:rPr>
        <w:t>,</w:t>
      </w:r>
      <w:r w:rsidR="00AE3CCD" w:rsidRPr="005604CA">
        <w:rPr>
          <w:rFonts w:ascii="Times New Roman" w:hAnsi="Times New Roman" w:cs="Times New Roman"/>
          <w:sz w:val="24"/>
          <w:szCs w:val="24"/>
          <w:lang w:val="en"/>
        </w:rPr>
        <w:t xml:space="preserve"> sewerage, waste management and remediation activities </w:t>
      </w:r>
      <w:r w:rsidRPr="005604CA">
        <w:rPr>
          <w:rFonts w:ascii="Times New Roman" w:hAnsi="Times New Roman" w:cs="Times New Roman"/>
          <w:sz w:val="24"/>
          <w:szCs w:val="24"/>
          <w:lang w:val="en"/>
        </w:rPr>
        <w:t xml:space="preserve">and agriculture, forestry and fishing </w:t>
      </w:r>
      <w:r w:rsidR="004654E1" w:rsidRPr="005604CA">
        <w:rPr>
          <w:rFonts w:ascii="Times New Roman" w:hAnsi="Times New Roman" w:cs="Times New Roman"/>
          <w:sz w:val="24"/>
          <w:szCs w:val="24"/>
          <w:lang w:val="en"/>
        </w:rPr>
        <w:t>have</w:t>
      </w:r>
      <w:r w:rsidRPr="005604CA">
        <w:rPr>
          <w:rFonts w:ascii="Times New Roman" w:hAnsi="Times New Roman" w:cs="Times New Roman"/>
          <w:sz w:val="24"/>
          <w:szCs w:val="24"/>
          <w:lang w:val="en"/>
        </w:rPr>
        <w:t xml:space="preserve"> a leading and stable participation. </w:t>
      </w:r>
    </w:p>
    <w:p w14:paraId="7E160DA3" w14:textId="77777777" w:rsidR="005604CA" w:rsidRPr="005604CA" w:rsidRDefault="005604CA" w:rsidP="00E93A2D">
      <w:pPr>
        <w:jc w:val="both"/>
        <w:rPr>
          <w:rFonts w:ascii="Times New Roman" w:hAnsi="Times New Roman" w:cs="Times New Roman"/>
          <w:sz w:val="24"/>
          <w:szCs w:val="24"/>
          <w:lang w:val="mk-MK"/>
        </w:rPr>
      </w:pPr>
    </w:p>
    <w:tbl>
      <w:tblPr>
        <w:tblStyle w:val="TableGrid"/>
        <w:tblW w:w="0" w:type="auto"/>
        <w:tblLook w:val="04A0" w:firstRow="1" w:lastRow="0" w:firstColumn="1" w:lastColumn="0" w:noHBand="0" w:noVBand="1"/>
      </w:tblPr>
      <w:tblGrid>
        <w:gridCol w:w="9026"/>
      </w:tblGrid>
      <w:tr w:rsidR="004A0BD9" w14:paraId="61D77A9D" w14:textId="77777777" w:rsidTr="004C791B">
        <w:tc>
          <w:tcPr>
            <w:tcW w:w="9016" w:type="dxa"/>
            <w:tcBorders>
              <w:top w:val="nil"/>
              <w:left w:val="nil"/>
              <w:right w:val="nil"/>
            </w:tcBorders>
          </w:tcPr>
          <w:p w14:paraId="6211D9A5" w14:textId="3899620E" w:rsidR="004A0BD9" w:rsidRPr="00C96E7B" w:rsidRDefault="00C96E7B" w:rsidP="004A0BD9">
            <w:pPr>
              <w:jc w:val="center"/>
              <w:rPr>
                <w:rFonts w:ascii="Times New Roman" w:hAnsi="Times New Roman" w:cs="Times New Roman"/>
                <w:b/>
                <w:color w:val="000000" w:themeColor="text1"/>
                <w:sz w:val="24"/>
                <w:szCs w:val="24"/>
                <w:lang w:val="mk-MK"/>
              </w:rPr>
            </w:pPr>
            <w:r w:rsidRPr="00C96E7B">
              <w:rPr>
                <w:rFonts w:ascii="Times New Roman" w:hAnsi="Times New Roman" w:cs="Times New Roman"/>
                <w:b/>
                <w:color w:val="000000" w:themeColor="text1"/>
                <w:sz w:val="24"/>
                <w:szCs w:val="24"/>
              </w:rPr>
              <w:lastRenderedPageBreak/>
              <w:t>Graph</w:t>
            </w:r>
            <w:r w:rsidR="004A0BD9" w:rsidRPr="00C96E7B">
              <w:rPr>
                <w:rFonts w:ascii="Times New Roman" w:hAnsi="Times New Roman" w:cs="Times New Roman"/>
                <w:b/>
                <w:color w:val="000000" w:themeColor="text1"/>
                <w:sz w:val="24"/>
                <w:szCs w:val="24"/>
                <w:lang w:val="mk-MK"/>
              </w:rPr>
              <w:t xml:space="preserve"> 5. </w:t>
            </w:r>
            <w:r w:rsidRPr="00C96E7B">
              <w:rPr>
                <w:rFonts w:ascii="Times New Roman" w:hAnsi="Times New Roman" w:cs="Times New Roman"/>
                <w:b/>
                <w:color w:val="000000" w:themeColor="text1"/>
                <w:sz w:val="24"/>
                <w:szCs w:val="24"/>
              </w:rPr>
              <w:t xml:space="preserve">Percentage share in </w:t>
            </w:r>
            <w:r w:rsidRPr="00C96E7B">
              <w:rPr>
                <w:rFonts w:ascii="Times New Roman" w:hAnsi="Times New Roman" w:cs="Times New Roman"/>
                <w:b/>
                <w:sz w:val="24"/>
                <w:szCs w:val="24"/>
              </w:rPr>
              <w:t>Gross fixed capital formation, by sector of activity in the Vardar region, for the period 20</w:t>
            </w:r>
            <w:r>
              <w:rPr>
                <w:rFonts w:ascii="Times New Roman" w:hAnsi="Times New Roman" w:cs="Times New Roman"/>
                <w:b/>
                <w:sz w:val="24"/>
                <w:szCs w:val="24"/>
              </w:rPr>
              <w:t>1</w:t>
            </w:r>
            <w:r w:rsidRPr="00C96E7B">
              <w:rPr>
                <w:rFonts w:ascii="Times New Roman" w:hAnsi="Times New Roman" w:cs="Times New Roman"/>
                <w:b/>
                <w:sz w:val="24"/>
                <w:szCs w:val="24"/>
              </w:rPr>
              <w:t>0-2021</w:t>
            </w:r>
          </w:p>
        </w:tc>
      </w:tr>
      <w:tr w:rsidR="004A0BD9" w14:paraId="4AFFEBE2" w14:textId="77777777" w:rsidTr="004C791B">
        <w:tc>
          <w:tcPr>
            <w:tcW w:w="9016" w:type="dxa"/>
            <w:tcBorders>
              <w:bottom w:val="single" w:sz="4" w:space="0" w:color="auto"/>
            </w:tcBorders>
          </w:tcPr>
          <w:p w14:paraId="2287B38D" w14:textId="313CFE49" w:rsidR="004A0BD9" w:rsidRDefault="00C96E7B" w:rsidP="004C791B">
            <w:pPr>
              <w:jc w:val="center"/>
              <w:rPr>
                <w:rFonts w:ascii="Times New Roman" w:hAnsi="Times New Roman" w:cs="Times New Roman"/>
                <w:color w:val="000000" w:themeColor="text1"/>
                <w:sz w:val="24"/>
                <w:szCs w:val="24"/>
                <w:lang w:val="mk-MK"/>
              </w:rPr>
            </w:pPr>
            <w:r>
              <w:rPr>
                <w:rFonts w:ascii="Times New Roman" w:hAnsi="Times New Roman" w:cs="Times New Roman"/>
                <w:noProof/>
                <w:color w:val="000000" w:themeColor="text1"/>
                <w:sz w:val="24"/>
                <w:szCs w:val="24"/>
                <w:lang w:val="mk-MK" w:eastAsia="mk-MK"/>
              </w:rPr>
              <w:drawing>
                <wp:inline distT="0" distB="0" distL="0" distR="0" wp14:anchorId="476C453E" wp14:editId="39A3F2DB">
                  <wp:extent cx="5605200" cy="3510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05200" cy="3510000"/>
                          </a:xfrm>
                          <a:prstGeom prst="rect">
                            <a:avLst/>
                          </a:prstGeom>
                          <a:noFill/>
                        </pic:spPr>
                      </pic:pic>
                    </a:graphicData>
                  </a:graphic>
                </wp:inline>
              </w:drawing>
            </w:r>
          </w:p>
        </w:tc>
      </w:tr>
      <w:tr w:rsidR="004A0BD9" w14:paraId="12E18BCE" w14:textId="77777777" w:rsidTr="004C791B">
        <w:tc>
          <w:tcPr>
            <w:tcW w:w="9016" w:type="dxa"/>
            <w:tcBorders>
              <w:left w:val="nil"/>
              <w:bottom w:val="nil"/>
              <w:right w:val="nil"/>
            </w:tcBorders>
          </w:tcPr>
          <w:p w14:paraId="570917C4" w14:textId="16A99BD0" w:rsidR="004A0BD9" w:rsidRPr="004C791B" w:rsidRDefault="00C96E7B" w:rsidP="00E93A2D">
            <w:pPr>
              <w:jc w:val="both"/>
              <w:rPr>
                <w:rFonts w:ascii="Times New Roman" w:hAnsi="Times New Roman" w:cs="Times New Roman"/>
                <w:i/>
                <w:color w:val="000000" w:themeColor="text1"/>
                <w:sz w:val="20"/>
                <w:szCs w:val="20"/>
                <w:lang w:val="mk-MK"/>
              </w:rPr>
            </w:pPr>
            <w:r w:rsidRPr="00E5234A">
              <w:rPr>
                <w:rFonts w:ascii="Times New Roman" w:hAnsi="Times New Roman" w:cs="Times New Roman"/>
                <w:i/>
                <w:sz w:val="20"/>
                <w:szCs w:val="20"/>
                <w:lang w:val="mk-MK"/>
              </w:rPr>
              <w:t>Source: State Statistical Office, "Regions of the Republic of North Macedonia" 2009-2023, https://www.stat.gov.mk/PublikaciiPoOblast.aspx?id=32&amp;rbrObl=37 (accessed: 20.02.2024)</w:t>
            </w:r>
          </w:p>
        </w:tc>
      </w:tr>
    </w:tbl>
    <w:p w14:paraId="45922D03" w14:textId="51615F91" w:rsidR="005E036A" w:rsidRPr="004F59E6" w:rsidRDefault="005E036A" w:rsidP="005604CA">
      <w:pPr>
        <w:spacing w:after="0"/>
        <w:jc w:val="both"/>
        <w:rPr>
          <w:rFonts w:ascii="Times New Roman" w:hAnsi="Times New Roman" w:cs="Times New Roman"/>
          <w:color w:val="000000" w:themeColor="text1"/>
          <w:sz w:val="24"/>
          <w:szCs w:val="24"/>
          <w:lang w:val="mk-MK"/>
        </w:rPr>
      </w:pPr>
    </w:p>
    <w:p w14:paraId="5CAAE651" w14:textId="4814D9CD" w:rsidR="00C77BE7" w:rsidRPr="005604CA" w:rsidRDefault="004654E1" w:rsidP="00CF12D6">
      <w:pPr>
        <w:jc w:val="both"/>
        <w:rPr>
          <w:rFonts w:ascii="Times New Roman" w:hAnsi="Times New Roman" w:cs="Times New Roman"/>
          <w:sz w:val="24"/>
          <w:szCs w:val="24"/>
          <w:lang w:val="en-US"/>
        </w:rPr>
      </w:pPr>
      <w:r w:rsidRPr="005604CA">
        <w:rPr>
          <w:rFonts w:ascii="Times New Roman" w:hAnsi="Times New Roman" w:cs="Times New Roman"/>
          <w:sz w:val="24"/>
          <w:szCs w:val="24"/>
          <w:lang w:val="en"/>
        </w:rPr>
        <w:t xml:space="preserve">The </w:t>
      </w:r>
      <w:r w:rsidR="00AE3CCD" w:rsidRPr="005604CA">
        <w:rPr>
          <w:rFonts w:ascii="Times New Roman" w:hAnsi="Times New Roman" w:cs="Times New Roman"/>
          <w:sz w:val="24"/>
          <w:szCs w:val="24"/>
          <w:lang w:val="en"/>
        </w:rPr>
        <w:t>share</w:t>
      </w:r>
      <w:r w:rsidRPr="005604CA">
        <w:rPr>
          <w:rFonts w:ascii="Times New Roman" w:hAnsi="Times New Roman" w:cs="Times New Roman"/>
          <w:sz w:val="24"/>
          <w:szCs w:val="24"/>
          <w:lang w:val="en"/>
        </w:rPr>
        <w:t xml:space="preserve"> of </w:t>
      </w:r>
      <w:r w:rsidR="00AE3CCD" w:rsidRPr="005604CA">
        <w:rPr>
          <w:rFonts w:ascii="Times New Roman" w:hAnsi="Times New Roman" w:cs="Times New Roman"/>
          <w:sz w:val="24"/>
          <w:szCs w:val="24"/>
          <w:lang w:val="en"/>
        </w:rPr>
        <w:t xml:space="preserve">gross fixed capital formation by </w:t>
      </w:r>
      <w:r w:rsidRPr="005604CA">
        <w:rPr>
          <w:rFonts w:ascii="Times New Roman" w:hAnsi="Times New Roman" w:cs="Times New Roman"/>
          <w:sz w:val="24"/>
          <w:szCs w:val="24"/>
          <w:lang w:val="en"/>
        </w:rPr>
        <w:t xml:space="preserve">sectors of activity at </w:t>
      </w:r>
      <w:r w:rsidR="00AE3CCD" w:rsidRPr="005604CA">
        <w:rPr>
          <w:rFonts w:ascii="Times New Roman" w:hAnsi="Times New Roman" w:cs="Times New Roman"/>
          <w:sz w:val="24"/>
          <w:szCs w:val="24"/>
          <w:lang w:val="en"/>
        </w:rPr>
        <w:t xml:space="preserve">the </w:t>
      </w:r>
      <w:r w:rsidR="00096028" w:rsidRPr="005604CA">
        <w:rPr>
          <w:rFonts w:ascii="Times New Roman" w:hAnsi="Times New Roman" w:cs="Times New Roman"/>
          <w:sz w:val="24"/>
          <w:szCs w:val="24"/>
          <w:lang w:val="en"/>
        </w:rPr>
        <w:t>region’s</w:t>
      </w:r>
      <w:r w:rsidRPr="005604CA">
        <w:rPr>
          <w:rFonts w:ascii="Times New Roman" w:hAnsi="Times New Roman" w:cs="Times New Roman"/>
          <w:sz w:val="24"/>
          <w:szCs w:val="24"/>
          <w:lang w:val="en"/>
        </w:rPr>
        <w:t xml:space="preserve"> level for the period 2010-2021</w:t>
      </w:r>
      <w:r w:rsidR="00AE3CCD" w:rsidRPr="005604CA">
        <w:rPr>
          <w:rFonts w:ascii="Times New Roman" w:hAnsi="Times New Roman" w:cs="Times New Roman"/>
          <w:sz w:val="24"/>
          <w:szCs w:val="24"/>
          <w:lang w:val="en"/>
        </w:rPr>
        <w:t xml:space="preserve"> </w:t>
      </w:r>
      <w:r w:rsidRPr="005604CA">
        <w:rPr>
          <w:rFonts w:ascii="Times New Roman" w:hAnsi="Times New Roman" w:cs="Times New Roman"/>
          <w:sz w:val="24"/>
          <w:szCs w:val="24"/>
          <w:lang w:val="en"/>
        </w:rPr>
        <w:t>is different (Graph 5). Three leading sectors are</w:t>
      </w:r>
      <w:r w:rsidR="00AE3CCD" w:rsidRPr="005604CA">
        <w:rPr>
          <w:rFonts w:ascii="Times New Roman" w:hAnsi="Times New Roman" w:cs="Times New Roman"/>
          <w:sz w:val="24"/>
          <w:szCs w:val="24"/>
          <w:lang w:val="en"/>
        </w:rPr>
        <w:t>:</w:t>
      </w:r>
      <w:r w:rsidRPr="005604CA">
        <w:rPr>
          <w:rFonts w:ascii="Times New Roman" w:hAnsi="Times New Roman" w:cs="Times New Roman"/>
          <w:sz w:val="24"/>
          <w:szCs w:val="24"/>
          <w:lang w:val="en"/>
        </w:rPr>
        <w:t xml:space="preserve"> </w:t>
      </w:r>
      <w:r w:rsidR="00AE3CCD" w:rsidRPr="005604CA">
        <w:rPr>
          <w:rFonts w:ascii="Times New Roman" w:hAnsi="Times New Roman" w:cs="Times New Roman"/>
          <w:sz w:val="24"/>
          <w:szCs w:val="24"/>
          <w:lang w:val="en"/>
        </w:rPr>
        <w:t>mining, manufacturing</w:t>
      </w:r>
      <w:r w:rsidR="00465E0F" w:rsidRPr="005604CA">
        <w:rPr>
          <w:rFonts w:ascii="Times New Roman" w:hAnsi="Times New Roman" w:cs="Times New Roman"/>
          <w:sz w:val="24"/>
          <w:szCs w:val="24"/>
          <w:lang w:val="en"/>
        </w:rPr>
        <w:t>,</w:t>
      </w:r>
      <w:r w:rsidR="00AE3CCD" w:rsidRPr="005604CA">
        <w:rPr>
          <w:rFonts w:ascii="Times New Roman" w:hAnsi="Times New Roman" w:cs="Times New Roman"/>
          <w:sz w:val="24"/>
          <w:szCs w:val="24"/>
          <w:lang w:val="en"/>
        </w:rPr>
        <w:t xml:space="preserve"> electricity, gas, steam and air conditioning supply, water supply, sewerage, waste management and remediation activities</w:t>
      </w:r>
      <w:r w:rsidRPr="005604CA">
        <w:rPr>
          <w:rFonts w:ascii="Times New Roman" w:hAnsi="Times New Roman" w:cs="Times New Roman"/>
          <w:sz w:val="24"/>
          <w:szCs w:val="24"/>
          <w:lang w:val="en"/>
        </w:rPr>
        <w:t xml:space="preserve">; construction and </w:t>
      </w:r>
      <w:r w:rsidR="00AE3CCD" w:rsidRPr="005604CA">
        <w:rPr>
          <w:rFonts w:ascii="Times New Roman" w:hAnsi="Times New Roman" w:cs="Times New Roman"/>
          <w:sz w:val="24"/>
          <w:szCs w:val="24"/>
          <w:lang w:val="en"/>
        </w:rPr>
        <w:t>wholesale and retail trade, repair of motor vehicles and motorcycles, transportation and storage, accommodation and food service activities</w:t>
      </w:r>
      <w:r w:rsidRPr="005604CA">
        <w:rPr>
          <w:rFonts w:ascii="Times New Roman" w:hAnsi="Times New Roman" w:cs="Times New Roman"/>
          <w:sz w:val="24"/>
          <w:szCs w:val="24"/>
          <w:lang w:val="en"/>
        </w:rPr>
        <w:t xml:space="preserve">. </w:t>
      </w:r>
      <w:r w:rsidR="00465E0F" w:rsidRPr="005604CA">
        <w:rPr>
          <w:rFonts w:ascii="Times New Roman" w:hAnsi="Times New Roman" w:cs="Times New Roman"/>
          <w:sz w:val="24"/>
          <w:szCs w:val="24"/>
          <w:lang w:val="en"/>
        </w:rPr>
        <w:t xml:space="preserve">Gross fixed capital formation </w:t>
      </w:r>
      <w:r w:rsidRPr="005604CA">
        <w:rPr>
          <w:rFonts w:ascii="Times New Roman" w:hAnsi="Times New Roman" w:cs="Times New Roman"/>
          <w:sz w:val="24"/>
          <w:szCs w:val="24"/>
          <w:lang w:val="en"/>
        </w:rPr>
        <w:t>in the sector</w:t>
      </w:r>
      <w:r w:rsidR="00096028" w:rsidRPr="005604CA">
        <w:rPr>
          <w:rFonts w:ascii="Times New Roman" w:hAnsi="Times New Roman" w:cs="Times New Roman"/>
          <w:sz w:val="24"/>
          <w:szCs w:val="24"/>
          <w:lang w:val="en"/>
        </w:rPr>
        <w:t>s</w:t>
      </w:r>
      <w:r w:rsidRPr="005604CA">
        <w:rPr>
          <w:rFonts w:ascii="Times New Roman" w:hAnsi="Times New Roman" w:cs="Times New Roman"/>
          <w:sz w:val="24"/>
          <w:szCs w:val="24"/>
          <w:lang w:val="en"/>
        </w:rPr>
        <w:t xml:space="preserve"> of </w:t>
      </w:r>
      <w:r w:rsidR="00465E0F" w:rsidRPr="005604CA">
        <w:rPr>
          <w:rFonts w:ascii="Times New Roman" w:hAnsi="Times New Roman" w:cs="Times New Roman"/>
          <w:sz w:val="24"/>
          <w:szCs w:val="24"/>
          <w:lang w:val="en"/>
        </w:rPr>
        <w:t xml:space="preserve">agriculture, forestry and fishing </w:t>
      </w:r>
      <w:r w:rsidRPr="005604CA">
        <w:rPr>
          <w:rFonts w:ascii="Times New Roman" w:hAnsi="Times New Roman" w:cs="Times New Roman"/>
          <w:sz w:val="24"/>
          <w:szCs w:val="24"/>
          <w:lang w:val="en"/>
        </w:rPr>
        <w:t xml:space="preserve">are insignificant, with the exception </w:t>
      </w:r>
      <w:r w:rsidR="00096028" w:rsidRPr="005604CA">
        <w:rPr>
          <w:rFonts w:ascii="Times New Roman" w:hAnsi="Times New Roman" w:cs="Times New Roman"/>
          <w:sz w:val="24"/>
          <w:szCs w:val="24"/>
          <w:lang w:val="en"/>
        </w:rPr>
        <w:t>of</w:t>
      </w:r>
      <w:r w:rsidRPr="005604CA">
        <w:rPr>
          <w:rFonts w:ascii="Times New Roman" w:hAnsi="Times New Roman" w:cs="Times New Roman"/>
          <w:sz w:val="24"/>
          <w:szCs w:val="24"/>
          <w:lang w:val="en"/>
        </w:rPr>
        <w:t xml:space="preserve"> 2010.</w:t>
      </w:r>
    </w:p>
    <w:tbl>
      <w:tblPr>
        <w:tblStyle w:val="TableGrid"/>
        <w:tblW w:w="0" w:type="auto"/>
        <w:tblLook w:val="04A0" w:firstRow="1" w:lastRow="0" w:firstColumn="1" w:lastColumn="0" w:noHBand="0" w:noVBand="1"/>
      </w:tblPr>
      <w:tblGrid>
        <w:gridCol w:w="4505"/>
        <w:gridCol w:w="4521"/>
      </w:tblGrid>
      <w:tr w:rsidR="00B10CB5" w:rsidRPr="004F59E6" w14:paraId="778291F0" w14:textId="77777777" w:rsidTr="008D01C2">
        <w:tc>
          <w:tcPr>
            <w:tcW w:w="9016" w:type="dxa"/>
            <w:gridSpan w:val="2"/>
            <w:tcBorders>
              <w:top w:val="nil"/>
              <w:left w:val="nil"/>
              <w:right w:val="nil"/>
            </w:tcBorders>
          </w:tcPr>
          <w:p w14:paraId="38E6561E" w14:textId="11DEB1B4" w:rsidR="00B10CB5" w:rsidRPr="006761FC" w:rsidRDefault="006761FC" w:rsidP="006761FC">
            <w:pPr>
              <w:jc w:val="center"/>
              <w:rPr>
                <w:rFonts w:ascii="Times New Roman" w:hAnsi="Times New Roman" w:cs="Times New Roman"/>
                <w:b/>
                <w:color w:val="FF0000"/>
                <w:sz w:val="24"/>
                <w:szCs w:val="24"/>
                <w:lang w:val="mk-MK"/>
              </w:rPr>
            </w:pPr>
            <w:r w:rsidRPr="006761FC">
              <w:rPr>
                <w:rFonts w:ascii="Times New Roman" w:hAnsi="Times New Roman" w:cs="Times New Roman"/>
                <w:b/>
                <w:sz w:val="24"/>
                <w:szCs w:val="24"/>
              </w:rPr>
              <w:t>Graph</w:t>
            </w:r>
            <w:r w:rsidR="00B10CB5" w:rsidRPr="006761FC">
              <w:rPr>
                <w:rFonts w:ascii="Times New Roman" w:hAnsi="Times New Roman" w:cs="Times New Roman"/>
                <w:b/>
                <w:sz w:val="24"/>
                <w:szCs w:val="24"/>
                <w:lang w:val="mk-MK"/>
              </w:rPr>
              <w:t xml:space="preserve"> </w:t>
            </w:r>
            <w:r w:rsidR="005E036A" w:rsidRPr="006761FC">
              <w:rPr>
                <w:rFonts w:ascii="Times New Roman" w:hAnsi="Times New Roman" w:cs="Times New Roman"/>
                <w:b/>
                <w:sz w:val="24"/>
                <w:szCs w:val="24"/>
                <w:lang w:val="mk-MK"/>
              </w:rPr>
              <w:t>6</w:t>
            </w:r>
            <w:r w:rsidR="00B10CB5" w:rsidRPr="006761FC">
              <w:rPr>
                <w:rFonts w:ascii="Times New Roman" w:hAnsi="Times New Roman" w:cs="Times New Roman"/>
                <w:b/>
                <w:sz w:val="24"/>
                <w:szCs w:val="24"/>
                <w:lang w:val="mk-MK"/>
              </w:rPr>
              <w:t xml:space="preserve">. </w:t>
            </w:r>
            <w:r w:rsidRPr="006761FC">
              <w:rPr>
                <w:rFonts w:ascii="Times New Roman" w:hAnsi="Times New Roman" w:cs="Times New Roman"/>
                <w:b/>
                <w:sz w:val="24"/>
                <w:szCs w:val="24"/>
              </w:rPr>
              <w:t xml:space="preserve">Total number of active enterprises </w:t>
            </w:r>
            <w:r w:rsidRPr="006761FC">
              <w:rPr>
                <w:rFonts w:ascii="Times New Roman" w:hAnsi="Times New Roman" w:cs="Times New Roman"/>
                <w:b/>
                <w:sz w:val="24"/>
                <w:szCs w:val="24"/>
                <w:lang w:val="mk-MK"/>
              </w:rPr>
              <w:t>in the Republic of North Macedonia</w:t>
            </w:r>
            <w:r w:rsidRPr="006761FC">
              <w:rPr>
                <w:rFonts w:ascii="Times New Roman" w:hAnsi="Times New Roman" w:cs="Times New Roman"/>
                <w:b/>
                <w:sz w:val="24"/>
                <w:szCs w:val="24"/>
              </w:rPr>
              <w:t xml:space="preserve"> and in the Vardar Region</w:t>
            </w:r>
            <w:r w:rsidRPr="006761FC">
              <w:rPr>
                <w:rFonts w:ascii="Times New Roman" w:hAnsi="Times New Roman" w:cs="Times New Roman"/>
                <w:b/>
                <w:sz w:val="24"/>
                <w:szCs w:val="24"/>
                <w:lang w:val="mk-MK"/>
              </w:rPr>
              <w:t>, for the period 2010-2021</w:t>
            </w:r>
          </w:p>
        </w:tc>
      </w:tr>
      <w:tr w:rsidR="00B10CB5" w14:paraId="7836880E" w14:textId="77777777" w:rsidTr="00B10CB5">
        <w:tc>
          <w:tcPr>
            <w:tcW w:w="4508" w:type="dxa"/>
          </w:tcPr>
          <w:p w14:paraId="6725AA9B" w14:textId="5B7E37FA" w:rsidR="00B10CB5" w:rsidRDefault="006761FC" w:rsidP="008D01C2">
            <w:pPr>
              <w:jc w:val="center"/>
              <w:rPr>
                <w:rFonts w:ascii="Times New Roman" w:hAnsi="Times New Roman" w:cs="Times New Roman"/>
                <w:color w:val="FF0000"/>
                <w:sz w:val="24"/>
                <w:szCs w:val="24"/>
                <w:lang w:val="mk-MK"/>
              </w:rPr>
            </w:pPr>
            <w:r>
              <w:rPr>
                <w:rFonts w:ascii="Times New Roman" w:hAnsi="Times New Roman" w:cs="Times New Roman"/>
                <w:noProof/>
                <w:color w:val="FF0000"/>
                <w:sz w:val="24"/>
                <w:szCs w:val="24"/>
                <w:lang w:val="mk-MK" w:eastAsia="mk-MK"/>
              </w:rPr>
              <w:drawing>
                <wp:inline distT="0" distB="0" distL="0" distR="0" wp14:anchorId="0916EB2F" wp14:editId="6EBE5787">
                  <wp:extent cx="2700000" cy="1555200"/>
                  <wp:effectExtent l="0" t="0" r="5715"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00000" cy="1555200"/>
                          </a:xfrm>
                          <a:prstGeom prst="rect">
                            <a:avLst/>
                          </a:prstGeom>
                          <a:noFill/>
                        </pic:spPr>
                      </pic:pic>
                    </a:graphicData>
                  </a:graphic>
                </wp:inline>
              </w:drawing>
            </w:r>
          </w:p>
        </w:tc>
        <w:tc>
          <w:tcPr>
            <w:tcW w:w="4508" w:type="dxa"/>
          </w:tcPr>
          <w:p w14:paraId="2B0EF76B" w14:textId="29C80863" w:rsidR="00B10CB5" w:rsidRDefault="006761FC" w:rsidP="008D01C2">
            <w:pPr>
              <w:jc w:val="center"/>
              <w:rPr>
                <w:rFonts w:ascii="Times New Roman" w:hAnsi="Times New Roman" w:cs="Times New Roman"/>
                <w:color w:val="FF0000"/>
                <w:sz w:val="24"/>
                <w:szCs w:val="24"/>
                <w:lang w:val="mk-MK"/>
              </w:rPr>
            </w:pPr>
            <w:r>
              <w:rPr>
                <w:rFonts w:ascii="Times New Roman" w:hAnsi="Times New Roman" w:cs="Times New Roman"/>
                <w:noProof/>
                <w:color w:val="FF0000"/>
                <w:sz w:val="24"/>
                <w:szCs w:val="24"/>
                <w:lang w:val="mk-MK" w:eastAsia="mk-MK"/>
              </w:rPr>
              <w:drawing>
                <wp:inline distT="0" distB="0" distL="0" distR="0" wp14:anchorId="18A925B0" wp14:editId="1730BCB3">
                  <wp:extent cx="2721600" cy="156600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21600" cy="1566000"/>
                          </a:xfrm>
                          <a:prstGeom prst="rect">
                            <a:avLst/>
                          </a:prstGeom>
                          <a:noFill/>
                        </pic:spPr>
                      </pic:pic>
                    </a:graphicData>
                  </a:graphic>
                </wp:inline>
              </w:drawing>
            </w:r>
          </w:p>
        </w:tc>
      </w:tr>
      <w:tr w:rsidR="00B10CB5" w14:paraId="2652D56E" w14:textId="77777777" w:rsidTr="008D01C2">
        <w:tc>
          <w:tcPr>
            <w:tcW w:w="9016" w:type="dxa"/>
            <w:gridSpan w:val="2"/>
            <w:tcBorders>
              <w:bottom w:val="single" w:sz="4" w:space="0" w:color="auto"/>
            </w:tcBorders>
          </w:tcPr>
          <w:p w14:paraId="46723472" w14:textId="1C9D770E" w:rsidR="00B10CB5" w:rsidRDefault="006761FC" w:rsidP="00CF12D6">
            <w:pPr>
              <w:jc w:val="both"/>
              <w:rPr>
                <w:rFonts w:ascii="Times New Roman" w:hAnsi="Times New Roman" w:cs="Times New Roman"/>
                <w:color w:val="FF0000"/>
                <w:sz w:val="24"/>
                <w:szCs w:val="24"/>
                <w:lang w:val="mk-MK"/>
              </w:rPr>
            </w:pPr>
            <w:r w:rsidRPr="006761FC">
              <w:rPr>
                <w:noProof/>
                <w:lang w:val="mk-MK" w:eastAsia="mk-MK"/>
              </w:rPr>
              <w:drawing>
                <wp:inline distT="0" distB="0" distL="0" distR="0" wp14:anchorId="5FED0B28" wp14:editId="7DB5EB24">
                  <wp:extent cx="5612400" cy="543600"/>
                  <wp:effectExtent l="0" t="0" r="762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2400" cy="543600"/>
                          </a:xfrm>
                          <a:prstGeom prst="rect">
                            <a:avLst/>
                          </a:prstGeom>
                          <a:noFill/>
                          <a:ln>
                            <a:noFill/>
                          </a:ln>
                        </pic:spPr>
                      </pic:pic>
                    </a:graphicData>
                  </a:graphic>
                </wp:inline>
              </w:drawing>
            </w:r>
          </w:p>
        </w:tc>
      </w:tr>
      <w:tr w:rsidR="00B10CB5" w14:paraId="561BE9FF" w14:textId="77777777" w:rsidTr="008D01C2">
        <w:tc>
          <w:tcPr>
            <w:tcW w:w="9016" w:type="dxa"/>
            <w:gridSpan w:val="2"/>
            <w:tcBorders>
              <w:left w:val="nil"/>
              <w:bottom w:val="nil"/>
              <w:right w:val="nil"/>
            </w:tcBorders>
          </w:tcPr>
          <w:p w14:paraId="042337AF" w14:textId="6DC520F8" w:rsidR="00B10CB5" w:rsidRPr="00B10CB5" w:rsidRDefault="006761FC" w:rsidP="00CF12D6">
            <w:pPr>
              <w:jc w:val="both"/>
              <w:rPr>
                <w:rFonts w:ascii="Times New Roman" w:hAnsi="Times New Roman" w:cs="Times New Roman"/>
                <w:i/>
                <w:color w:val="FF0000"/>
                <w:sz w:val="20"/>
                <w:szCs w:val="20"/>
                <w:lang w:val="mk-MK"/>
              </w:rPr>
            </w:pPr>
            <w:r w:rsidRPr="00E5234A">
              <w:rPr>
                <w:rFonts w:ascii="Times New Roman" w:hAnsi="Times New Roman" w:cs="Times New Roman"/>
                <w:i/>
                <w:sz w:val="20"/>
                <w:szCs w:val="20"/>
                <w:lang w:val="mk-MK"/>
              </w:rPr>
              <w:t>Source: State Statistical Office, "Regions of the Republic of North Macedonia" 2009-2023, https://www.stat.gov.mk/PublikaciiPoOblast.aspx?id=32&amp;rbrObl=37 (accessed: 20.02.2024</w:t>
            </w:r>
          </w:p>
        </w:tc>
      </w:tr>
    </w:tbl>
    <w:p w14:paraId="164B3AC4" w14:textId="741EC314" w:rsidR="006761FC" w:rsidRDefault="006761FC" w:rsidP="00CF12D6">
      <w:pPr>
        <w:jc w:val="both"/>
        <w:rPr>
          <w:rFonts w:ascii="Times New Roman" w:hAnsi="Times New Roman" w:cs="Times New Roman"/>
          <w:color w:val="FF0000"/>
          <w:sz w:val="24"/>
          <w:szCs w:val="24"/>
          <w:lang w:val="mk-MK"/>
        </w:rPr>
      </w:pPr>
    </w:p>
    <w:p w14:paraId="72AA1E4E" w14:textId="21205BEA" w:rsidR="00551C80" w:rsidRPr="005604CA" w:rsidRDefault="00BC6B21" w:rsidP="00CF12D6">
      <w:pPr>
        <w:jc w:val="both"/>
        <w:rPr>
          <w:rFonts w:ascii="Times New Roman" w:hAnsi="Times New Roman" w:cs="Times New Roman"/>
          <w:sz w:val="24"/>
          <w:szCs w:val="24"/>
          <w:lang w:val="en"/>
        </w:rPr>
      </w:pPr>
      <w:r w:rsidRPr="005604CA">
        <w:rPr>
          <w:rFonts w:ascii="Times New Roman" w:hAnsi="Times New Roman" w:cs="Times New Roman"/>
          <w:sz w:val="24"/>
          <w:szCs w:val="24"/>
          <w:lang w:val="en"/>
        </w:rPr>
        <w:lastRenderedPageBreak/>
        <w:t>T</w:t>
      </w:r>
      <w:r w:rsidR="00A766D7" w:rsidRPr="005604CA">
        <w:rPr>
          <w:rFonts w:ascii="Times New Roman" w:hAnsi="Times New Roman" w:cs="Times New Roman"/>
          <w:sz w:val="24"/>
          <w:szCs w:val="24"/>
          <w:lang w:val="en"/>
        </w:rPr>
        <w:t xml:space="preserve">otal number </w:t>
      </w:r>
      <w:r w:rsidRPr="005604CA">
        <w:rPr>
          <w:rFonts w:ascii="Times New Roman" w:hAnsi="Times New Roman" w:cs="Times New Roman"/>
          <w:sz w:val="24"/>
          <w:szCs w:val="24"/>
          <w:lang w:val="en"/>
        </w:rPr>
        <w:t xml:space="preserve">of active enterprises </w:t>
      </w:r>
      <w:r w:rsidR="00A766D7" w:rsidRPr="005604CA">
        <w:rPr>
          <w:rFonts w:ascii="Times New Roman" w:hAnsi="Times New Roman" w:cs="Times New Roman"/>
          <w:sz w:val="24"/>
          <w:szCs w:val="24"/>
          <w:lang w:val="en"/>
        </w:rPr>
        <w:t xml:space="preserve">for the period 2010-2021 records a negative trend </w:t>
      </w:r>
      <w:r w:rsidR="00465E0F" w:rsidRPr="005604CA">
        <w:rPr>
          <w:rFonts w:ascii="Times New Roman" w:hAnsi="Times New Roman" w:cs="Times New Roman"/>
          <w:sz w:val="24"/>
          <w:szCs w:val="24"/>
          <w:lang w:val="en"/>
        </w:rPr>
        <w:t xml:space="preserve">both </w:t>
      </w:r>
      <w:r w:rsidR="00A766D7" w:rsidRPr="005604CA">
        <w:rPr>
          <w:rFonts w:ascii="Times New Roman" w:hAnsi="Times New Roman" w:cs="Times New Roman"/>
          <w:sz w:val="24"/>
          <w:szCs w:val="24"/>
          <w:lang w:val="en"/>
        </w:rPr>
        <w:t xml:space="preserve">at national and </w:t>
      </w:r>
      <w:r w:rsidR="006A02F7" w:rsidRPr="005604CA">
        <w:rPr>
          <w:rFonts w:ascii="Times New Roman" w:hAnsi="Times New Roman" w:cs="Times New Roman"/>
          <w:sz w:val="24"/>
          <w:szCs w:val="24"/>
          <w:lang w:val="en"/>
        </w:rPr>
        <w:t>region</w:t>
      </w:r>
      <w:r w:rsidR="00096028" w:rsidRPr="005604CA">
        <w:rPr>
          <w:rFonts w:ascii="Times New Roman" w:hAnsi="Times New Roman" w:cs="Times New Roman"/>
          <w:sz w:val="24"/>
          <w:szCs w:val="24"/>
          <w:lang w:val="en"/>
        </w:rPr>
        <w:t>’s</w:t>
      </w:r>
      <w:r w:rsidR="00A766D7" w:rsidRPr="005604CA">
        <w:rPr>
          <w:rFonts w:ascii="Times New Roman" w:hAnsi="Times New Roman" w:cs="Times New Roman"/>
          <w:sz w:val="24"/>
          <w:szCs w:val="24"/>
          <w:lang w:val="en"/>
        </w:rPr>
        <w:t xml:space="preserve"> level</w:t>
      </w:r>
      <w:r w:rsidR="00096028" w:rsidRPr="005604CA">
        <w:rPr>
          <w:rFonts w:ascii="Times New Roman" w:hAnsi="Times New Roman" w:cs="Times New Roman"/>
          <w:sz w:val="24"/>
          <w:szCs w:val="24"/>
          <w:lang w:val="en"/>
        </w:rPr>
        <w:t xml:space="preserve"> (</w:t>
      </w:r>
      <w:r w:rsidR="00A766D7" w:rsidRPr="005604CA">
        <w:rPr>
          <w:rFonts w:ascii="Times New Roman" w:hAnsi="Times New Roman" w:cs="Times New Roman"/>
          <w:sz w:val="24"/>
          <w:szCs w:val="24"/>
          <w:lang w:val="en"/>
        </w:rPr>
        <w:t>smaller fluctuations</w:t>
      </w:r>
      <w:r w:rsidR="00096028" w:rsidRPr="005604CA">
        <w:rPr>
          <w:rFonts w:ascii="Times New Roman" w:hAnsi="Times New Roman" w:cs="Times New Roman"/>
          <w:sz w:val="24"/>
          <w:szCs w:val="24"/>
          <w:lang w:val="en"/>
        </w:rPr>
        <w:t>)</w:t>
      </w:r>
      <w:r w:rsidR="00A766D7" w:rsidRPr="005604CA">
        <w:rPr>
          <w:rFonts w:ascii="Times New Roman" w:hAnsi="Times New Roman" w:cs="Times New Roman"/>
          <w:sz w:val="24"/>
          <w:szCs w:val="24"/>
          <w:lang w:val="en"/>
        </w:rPr>
        <w:t xml:space="preserve">. </w:t>
      </w:r>
      <w:r w:rsidR="00096028" w:rsidRPr="005604CA">
        <w:rPr>
          <w:rFonts w:ascii="Times New Roman" w:hAnsi="Times New Roman" w:cs="Times New Roman"/>
          <w:sz w:val="24"/>
          <w:szCs w:val="24"/>
          <w:lang w:val="en"/>
        </w:rPr>
        <w:t>T</w:t>
      </w:r>
      <w:r w:rsidR="00A766D7" w:rsidRPr="005604CA">
        <w:rPr>
          <w:rFonts w:ascii="Times New Roman" w:hAnsi="Times New Roman" w:cs="Times New Roman"/>
          <w:sz w:val="24"/>
          <w:szCs w:val="24"/>
          <w:lang w:val="en"/>
        </w:rPr>
        <w:t>here w</w:t>
      </w:r>
      <w:r w:rsidR="004F21CC" w:rsidRPr="005604CA">
        <w:rPr>
          <w:rFonts w:ascii="Times New Roman" w:hAnsi="Times New Roman" w:cs="Times New Roman"/>
          <w:sz w:val="24"/>
          <w:szCs w:val="24"/>
          <w:lang w:val="en"/>
        </w:rPr>
        <w:t>as an insignificant increase</w:t>
      </w:r>
      <w:r w:rsidR="00465E0F" w:rsidRPr="005604CA">
        <w:rPr>
          <w:rFonts w:ascii="Times New Roman" w:hAnsi="Times New Roman" w:cs="Times New Roman"/>
          <w:sz w:val="24"/>
          <w:szCs w:val="24"/>
          <w:lang w:val="en"/>
        </w:rPr>
        <w:t xml:space="preserve"> in the</w:t>
      </w:r>
      <w:r w:rsidR="004F21CC" w:rsidRPr="005604CA">
        <w:rPr>
          <w:rFonts w:ascii="Times New Roman" w:hAnsi="Times New Roman" w:cs="Times New Roman"/>
          <w:sz w:val="24"/>
          <w:szCs w:val="24"/>
          <w:lang w:val="en"/>
        </w:rPr>
        <w:t xml:space="preserve"> number of ac</w:t>
      </w:r>
      <w:r w:rsidR="00A766D7" w:rsidRPr="005604CA">
        <w:rPr>
          <w:rFonts w:ascii="Times New Roman" w:hAnsi="Times New Roman" w:cs="Times New Roman"/>
          <w:sz w:val="24"/>
          <w:szCs w:val="24"/>
          <w:lang w:val="en"/>
        </w:rPr>
        <w:t xml:space="preserve">tive </w:t>
      </w:r>
      <w:r w:rsidR="00465E0F" w:rsidRPr="005604CA">
        <w:rPr>
          <w:rFonts w:ascii="Times New Roman" w:hAnsi="Times New Roman" w:cs="Times New Roman"/>
          <w:sz w:val="24"/>
          <w:szCs w:val="24"/>
          <w:lang w:val="en"/>
        </w:rPr>
        <w:t>enterprises</w:t>
      </w:r>
      <w:r w:rsidR="00A766D7" w:rsidRPr="005604CA">
        <w:rPr>
          <w:rFonts w:ascii="Times New Roman" w:hAnsi="Times New Roman" w:cs="Times New Roman"/>
          <w:sz w:val="24"/>
          <w:szCs w:val="24"/>
          <w:lang w:val="en"/>
        </w:rPr>
        <w:t xml:space="preserve"> in 2012, while in 2019</w:t>
      </w:r>
      <w:r w:rsidR="004F21CC" w:rsidRPr="005604CA">
        <w:rPr>
          <w:rFonts w:ascii="Times New Roman" w:hAnsi="Times New Roman" w:cs="Times New Roman"/>
          <w:sz w:val="24"/>
          <w:szCs w:val="24"/>
          <w:lang w:val="en"/>
        </w:rPr>
        <w:t xml:space="preserve"> </w:t>
      </w:r>
      <w:r w:rsidR="00A766D7" w:rsidRPr="005604CA">
        <w:rPr>
          <w:rFonts w:ascii="Times New Roman" w:hAnsi="Times New Roman" w:cs="Times New Roman"/>
          <w:sz w:val="24"/>
          <w:szCs w:val="24"/>
          <w:lang w:val="en"/>
        </w:rPr>
        <w:t xml:space="preserve">that increase is more pronounced, both at the national and </w:t>
      </w:r>
      <w:r w:rsidR="00096028" w:rsidRPr="005604CA">
        <w:rPr>
          <w:rFonts w:ascii="Times New Roman" w:hAnsi="Times New Roman" w:cs="Times New Roman"/>
          <w:sz w:val="24"/>
          <w:szCs w:val="24"/>
          <w:lang w:val="en"/>
        </w:rPr>
        <w:t>region’s</w:t>
      </w:r>
      <w:r w:rsidR="00A766D7" w:rsidRPr="005604CA">
        <w:rPr>
          <w:rFonts w:ascii="Times New Roman" w:hAnsi="Times New Roman" w:cs="Times New Roman"/>
          <w:sz w:val="24"/>
          <w:szCs w:val="24"/>
          <w:lang w:val="en"/>
        </w:rPr>
        <w:t xml:space="preserve"> level</w:t>
      </w:r>
      <w:r w:rsidR="00096028" w:rsidRPr="005604CA">
        <w:rPr>
          <w:rFonts w:ascii="Times New Roman" w:hAnsi="Times New Roman" w:cs="Times New Roman"/>
          <w:sz w:val="24"/>
          <w:szCs w:val="24"/>
          <w:lang w:val="en"/>
        </w:rPr>
        <w:t xml:space="preserve"> (Graph 6). </w:t>
      </w:r>
      <w:r w:rsidR="00A766D7" w:rsidRPr="005604CA">
        <w:rPr>
          <w:rFonts w:ascii="Times New Roman" w:hAnsi="Times New Roman" w:cs="Times New Roman"/>
          <w:sz w:val="24"/>
          <w:szCs w:val="24"/>
          <w:lang w:val="en"/>
        </w:rPr>
        <w:t xml:space="preserve">The lowest number of active </w:t>
      </w:r>
      <w:r w:rsidR="00465E0F" w:rsidRPr="005604CA">
        <w:rPr>
          <w:rFonts w:ascii="Times New Roman" w:hAnsi="Times New Roman" w:cs="Times New Roman"/>
          <w:sz w:val="24"/>
          <w:szCs w:val="24"/>
          <w:lang w:val="en"/>
        </w:rPr>
        <w:t xml:space="preserve">enterprises </w:t>
      </w:r>
      <w:r w:rsidR="00A766D7" w:rsidRPr="005604CA">
        <w:rPr>
          <w:rFonts w:ascii="Times New Roman" w:hAnsi="Times New Roman" w:cs="Times New Roman"/>
          <w:sz w:val="24"/>
          <w:szCs w:val="24"/>
          <w:lang w:val="en"/>
        </w:rPr>
        <w:t xml:space="preserve">in </w:t>
      </w:r>
      <w:r w:rsidR="00465E0F" w:rsidRPr="005604CA">
        <w:rPr>
          <w:rFonts w:ascii="Times New Roman" w:hAnsi="Times New Roman" w:cs="Times New Roman"/>
          <w:sz w:val="24"/>
          <w:szCs w:val="24"/>
          <w:lang w:val="en"/>
        </w:rPr>
        <w:t>RN</w:t>
      </w:r>
      <w:r w:rsidR="004F21CC" w:rsidRPr="005604CA">
        <w:rPr>
          <w:rFonts w:ascii="Times New Roman" w:hAnsi="Times New Roman" w:cs="Times New Roman"/>
          <w:sz w:val="24"/>
          <w:szCs w:val="24"/>
          <w:lang w:val="en"/>
        </w:rPr>
        <w:t xml:space="preserve"> </w:t>
      </w:r>
      <w:r w:rsidR="00A766D7" w:rsidRPr="005604CA">
        <w:rPr>
          <w:rFonts w:ascii="Times New Roman" w:hAnsi="Times New Roman" w:cs="Times New Roman"/>
          <w:sz w:val="24"/>
          <w:szCs w:val="24"/>
          <w:lang w:val="en"/>
        </w:rPr>
        <w:t>Macedonia was in 2015, whi</w:t>
      </w:r>
      <w:r w:rsidR="004F21CC" w:rsidRPr="005604CA">
        <w:rPr>
          <w:rFonts w:ascii="Times New Roman" w:hAnsi="Times New Roman" w:cs="Times New Roman"/>
          <w:sz w:val="24"/>
          <w:szCs w:val="24"/>
          <w:lang w:val="en"/>
        </w:rPr>
        <w:t>le in the Vardar region in 2018.</w:t>
      </w:r>
    </w:p>
    <w:p w14:paraId="7783B384" w14:textId="25C8BB66" w:rsidR="00551C80" w:rsidRPr="00465E0F" w:rsidRDefault="003274E2" w:rsidP="003274E2">
      <w:pPr>
        <w:jc w:val="center"/>
        <w:rPr>
          <w:rFonts w:ascii="Times New Roman" w:hAnsi="Times New Roman" w:cs="Times New Roman"/>
          <w:b/>
          <w:color w:val="000000" w:themeColor="text1"/>
          <w:sz w:val="24"/>
          <w:szCs w:val="24"/>
          <w:lang w:val="en"/>
        </w:rPr>
      </w:pPr>
      <w:r>
        <w:rPr>
          <w:rFonts w:ascii="Times New Roman" w:hAnsi="Times New Roman" w:cs="Times New Roman"/>
          <w:color w:val="000000" w:themeColor="text1"/>
          <w:sz w:val="24"/>
          <w:szCs w:val="24"/>
          <w:lang w:val="mk-MK"/>
        </w:rPr>
        <w:t xml:space="preserve">3. </w:t>
      </w:r>
      <w:r w:rsidR="00551C80" w:rsidRPr="00551C80">
        <w:rPr>
          <w:rFonts w:ascii="Times New Roman" w:hAnsi="Times New Roman" w:cs="Times New Roman"/>
          <w:b/>
          <w:color w:val="000000" w:themeColor="text1"/>
          <w:sz w:val="24"/>
          <w:szCs w:val="24"/>
          <w:lang w:val="en"/>
        </w:rPr>
        <w:t>Conclu</w:t>
      </w:r>
      <w:r w:rsidR="009C0B6E">
        <w:rPr>
          <w:rFonts w:ascii="Times New Roman" w:hAnsi="Times New Roman" w:cs="Times New Roman"/>
          <w:b/>
          <w:color w:val="000000" w:themeColor="text1"/>
          <w:sz w:val="24"/>
          <w:szCs w:val="24"/>
          <w:lang w:val="en"/>
        </w:rPr>
        <w:t>sions</w:t>
      </w:r>
      <w:r w:rsidR="00551C80" w:rsidRPr="00551C80">
        <w:rPr>
          <w:rFonts w:ascii="Times New Roman" w:hAnsi="Times New Roman" w:cs="Times New Roman"/>
          <w:b/>
          <w:color w:val="000000" w:themeColor="text1"/>
          <w:sz w:val="24"/>
          <w:szCs w:val="24"/>
          <w:lang w:val="en"/>
        </w:rPr>
        <w:t xml:space="preserve"> and recommendations</w:t>
      </w:r>
    </w:p>
    <w:p w14:paraId="422F5775" w14:textId="77777777" w:rsidR="00C46EC8" w:rsidRDefault="00747334" w:rsidP="00C46EC8">
      <w:pPr>
        <w:spacing w:after="0"/>
        <w:jc w:val="both"/>
        <w:rPr>
          <w:rFonts w:ascii="Times New Roman" w:hAnsi="Times New Roman" w:cs="Times New Roman"/>
          <w:color w:val="000000" w:themeColor="text1"/>
          <w:sz w:val="24"/>
          <w:szCs w:val="24"/>
          <w:lang w:val="en"/>
        </w:rPr>
      </w:pPr>
      <w:r w:rsidRPr="00747334">
        <w:rPr>
          <w:rFonts w:ascii="Times New Roman" w:hAnsi="Times New Roman" w:cs="Times New Roman"/>
          <w:color w:val="000000" w:themeColor="text1"/>
          <w:sz w:val="24"/>
          <w:szCs w:val="24"/>
          <w:lang w:val="en"/>
        </w:rPr>
        <w:t xml:space="preserve">The numerical state of the resident population and its structure are one of the most important aspects of the population that affect its development, but also the possibilities for the overall socio-economic development. </w:t>
      </w:r>
    </w:p>
    <w:p w14:paraId="35A4D474" w14:textId="44458F28" w:rsidR="00FF60A8" w:rsidRDefault="00747334" w:rsidP="00FF60A8">
      <w:pPr>
        <w:spacing w:after="0"/>
        <w:jc w:val="both"/>
        <w:rPr>
          <w:rFonts w:ascii="Times New Roman" w:hAnsi="Times New Roman" w:cs="Times New Roman"/>
          <w:color w:val="000000" w:themeColor="text1"/>
          <w:sz w:val="24"/>
          <w:szCs w:val="24"/>
          <w:lang w:val="en"/>
        </w:rPr>
      </w:pPr>
      <w:r w:rsidRPr="00747334">
        <w:rPr>
          <w:rFonts w:ascii="Times New Roman" w:hAnsi="Times New Roman" w:cs="Times New Roman"/>
          <w:color w:val="000000" w:themeColor="text1"/>
          <w:sz w:val="24"/>
          <w:szCs w:val="24"/>
          <w:lang w:val="en"/>
        </w:rPr>
        <w:t xml:space="preserve">The analysis of inter-census demographic changes showed that they are less favorable in the Vardar region, compared to the general situation at the national level. </w:t>
      </w:r>
    </w:p>
    <w:p w14:paraId="53C08310" w14:textId="2BE6053C" w:rsidR="00FF60A8" w:rsidRDefault="00D37E1E" w:rsidP="00FF60A8">
      <w:pPr>
        <w:spacing w:after="0"/>
        <w:jc w:val="both"/>
        <w:rPr>
          <w:rFonts w:ascii="Times New Roman" w:hAnsi="Times New Roman" w:cs="Times New Roman"/>
          <w:color w:val="000000" w:themeColor="text1"/>
          <w:sz w:val="24"/>
          <w:szCs w:val="24"/>
          <w:lang w:val="en"/>
        </w:rPr>
      </w:pPr>
      <w:r w:rsidRPr="00D37E1E">
        <w:rPr>
          <w:rFonts w:ascii="Times New Roman" w:hAnsi="Times New Roman" w:cs="Times New Roman"/>
          <w:color w:val="000000" w:themeColor="text1"/>
          <w:sz w:val="24"/>
          <w:szCs w:val="24"/>
          <w:lang w:val="en"/>
        </w:rPr>
        <w:t xml:space="preserve">The unfavorable demographic situation in the Vardar region leads to the reduction of the </w:t>
      </w:r>
      <w:r w:rsidR="00C46EC8">
        <w:rPr>
          <w:rFonts w:ascii="Times New Roman" w:hAnsi="Times New Roman" w:cs="Times New Roman"/>
          <w:color w:val="000000" w:themeColor="text1"/>
          <w:sz w:val="24"/>
          <w:szCs w:val="24"/>
          <w:lang w:val="en"/>
        </w:rPr>
        <w:t xml:space="preserve">total </w:t>
      </w:r>
      <w:r w:rsidRPr="00D37E1E">
        <w:rPr>
          <w:rFonts w:ascii="Times New Roman" w:hAnsi="Times New Roman" w:cs="Times New Roman"/>
          <w:color w:val="000000" w:themeColor="text1"/>
          <w:sz w:val="24"/>
          <w:szCs w:val="24"/>
          <w:lang w:val="en"/>
        </w:rPr>
        <w:t xml:space="preserve">population and increased participation of the aging contingent. This also leads to a decrease in the labor force, </w:t>
      </w:r>
      <w:r w:rsidR="00F82052">
        <w:rPr>
          <w:rFonts w:ascii="Times New Roman" w:hAnsi="Times New Roman" w:cs="Times New Roman"/>
          <w:color w:val="000000" w:themeColor="text1"/>
          <w:sz w:val="24"/>
          <w:szCs w:val="24"/>
          <w:lang w:val="en"/>
        </w:rPr>
        <w:t xml:space="preserve">that </w:t>
      </w:r>
      <w:r w:rsidRPr="00D37E1E">
        <w:rPr>
          <w:rFonts w:ascii="Times New Roman" w:hAnsi="Times New Roman" w:cs="Times New Roman"/>
          <w:color w:val="000000" w:themeColor="text1"/>
          <w:sz w:val="24"/>
          <w:szCs w:val="24"/>
          <w:lang w:val="en"/>
        </w:rPr>
        <w:t xml:space="preserve">has better activity and </w:t>
      </w:r>
      <w:r w:rsidR="00C46EC8" w:rsidRPr="005604CA">
        <w:rPr>
          <w:rFonts w:ascii="Times New Roman" w:hAnsi="Times New Roman" w:cs="Times New Roman"/>
          <w:sz w:val="24"/>
          <w:szCs w:val="24"/>
          <w:lang w:val="en"/>
        </w:rPr>
        <w:t>educational attainment</w:t>
      </w:r>
      <w:r w:rsidR="00F82052" w:rsidRPr="005604CA">
        <w:rPr>
          <w:rFonts w:ascii="Times New Roman" w:hAnsi="Times New Roman" w:cs="Times New Roman"/>
          <w:sz w:val="24"/>
          <w:szCs w:val="24"/>
          <w:lang w:val="en"/>
        </w:rPr>
        <w:t xml:space="preserve"> </w:t>
      </w:r>
      <w:r w:rsidR="00F82052">
        <w:rPr>
          <w:rFonts w:ascii="Times New Roman" w:hAnsi="Times New Roman" w:cs="Times New Roman"/>
          <w:color w:val="000000" w:themeColor="text1"/>
          <w:sz w:val="24"/>
          <w:szCs w:val="24"/>
          <w:lang w:val="en"/>
        </w:rPr>
        <w:t xml:space="preserve">in the region </w:t>
      </w:r>
      <w:r w:rsidRPr="00D37E1E">
        <w:rPr>
          <w:rFonts w:ascii="Times New Roman" w:hAnsi="Times New Roman" w:cs="Times New Roman"/>
          <w:color w:val="000000" w:themeColor="text1"/>
          <w:sz w:val="24"/>
          <w:szCs w:val="24"/>
          <w:lang w:val="en"/>
        </w:rPr>
        <w:t xml:space="preserve">than </w:t>
      </w:r>
      <w:r w:rsidR="007F1699">
        <w:rPr>
          <w:rFonts w:ascii="Times New Roman" w:hAnsi="Times New Roman" w:cs="Times New Roman"/>
          <w:color w:val="000000" w:themeColor="text1"/>
          <w:sz w:val="24"/>
          <w:szCs w:val="24"/>
          <w:lang w:val="en"/>
        </w:rPr>
        <w:t xml:space="preserve">the </w:t>
      </w:r>
      <w:r w:rsidR="00F82052">
        <w:rPr>
          <w:rFonts w:ascii="Times New Roman" w:hAnsi="Times New Roman" w:cs="Times New Roman"/>
          <w:color w:val="000000" w:themeColor="text1"/>
          <w:sz w:val="24"/>
          <w:szCs w:val="24"/>
          <w:lang w:val="en"/>
        </w:rPr>
        <w:t xml:space="preserve">one </w:t>
      </w:r>
      <w:r w:rsidRPr="00D37E1E">
        <w:rPr>
          <w:rFonts w:ascii="Times New Roman" w:hAnsi="Times New Roman" w:cs="Times New Roman"/>
          <w:color w:val="000000" w:themeColor="text1"/>
          <w:sz w:val="24"/>
          <w:szCs w:val="24"/>
          <w:lang w:val="en"/>
        </w:rPr>
        <w:t>at the state level. The accelerated aging of the population and the reduction of the contingent of the reproductive female population reduce the reproductive base of the region, which means that in the medium term the region will face an even more pronounced labor shortage.</w:t>
      </w:r>
    </w:p>
    <w:p w14:paraId="5647B394" w14:textId="77777777" w:rsidR="00FF60A8" w:rsidRPr="005604CA" w:rsidRDefault="00F82052" w:rsidP="00FF60A8">
      <w:pPr>
        <w:spacing w:after="0"/>
        <w:jc w:val="both"/>
        <w:rPr>
          <w:rFonts w:ascii="Times New Roman" w:hAnsi="Times New Roman" w:cs="Times New Roman"/>
          <w:sz w:val="24"/>
          <w:szCs w:val="24"/>
          <w:lang w:val="en"/>
        </w:rPr>
      </w:pPr>
      <w:r w:rsidRPr="00F82052">
        <w:rPr>
          <w:rFonts w:ascii="Times New Roman" w:hAnsi="Times New Roman" w:cs="Times New Roman"/>
          <w:color w:val="000000" w:themeColor="text1"/>
          <w:sz w:val="24"/>
          <w:szCs w:val="24"/>
          <w:lang w:val="en"/>
        </w:rPr>
        <w:t xml:space="preserve">Data on the rate of active population, employment and unemployment in the Vardar region are more favorable than the national </w:t>
      </w:r>
      <w:r>
        <w:rPr>
          <w:rFonts w:ascii="Times New Roman" w:hAnsi="Times New Roman" w:cs="Times New Roman"/>
          <w:color w:val="000000" w:themeColor="text1"/>
          <w:sz w:val="24"/>
          <w:szCs w:val="24"/>
          <w:lang w:val="en"/>
        </w:rPr>
        <w:t>level</w:t>
      </w:r>
      <w:r w:rsidRPr="00F82052">
        <w:rPr>
          <w:rFonts w:ascii="Times New Roman" w:hAnsi="Times New Roman" w:cs="Times New Roman"/>
          <w:color w:val="000000" w:themeColor="text1"/>
          <w:sz w:val="24"/>
          <w:szCs w:val="24"/>
          <w:lang w:val="en"/>
        </w:rPr>
        <w:t xml:space="preserve">, but the region fails to achieve significant economic development and follow the trends in more developed regions. This is primarily due to the fact that newly added value and </w:t>
      </w:r>
      <w:r w:rsidR="00FB2185" w:rsidRPr="005604CA">
        <w:rPr>
          <w:rFonts w:ascii="Times New Roman" w:hAnsi="Times New Roman" w:cs="Times New Roman"/>
          <w:sz w:val="24"/>
          <w:szCs w:val="24"/>
          <w:lang w:val="en"/>
        </w:rPr>
        <w:t xml:space="preserve">gross fixed capital formation </w:t>
      </w:r>
      <w:r w:rsidRPr="005604CA">
        <w:rPr>
          <w:rFonts w:ascii="Times New Roman" w:hAnsi="Times New Roman" w:cs="Times New Roman"/>
          <w:sz w:val="24"/>
          <w:szCs w:val="24"/>
          <w:lang w:val="en"/>
        </w:rPr>
        <w:t xml:space="preserve">are created and placed in labor-intensive sectors. In addition, the continuous decrease in the number of active </w:t>
      </w:r>
      <w:r w:rsidR="00FB2185" w:rsidRPr="005604CA">
        <w:rPr>
          <w:rFonts w:ascii="Times New Roman" w:hAnsi="Times New Roman" w:cs="Times New Roman"/>
          <w:sz w:val="24"/>
          <w:szCs w:val="24"/>
          <w:lang w:val="en"/>
        </w:rPr>
        <w:t>enterprises</w:t>
      </w:r>
      <w:r w:rsidRPr="005604CA">
        <w:rPr>
          <w:rFonts w:ascii="Times New Roman" w:hAnsi="Times New Roman" w:cs="Times New Roman"/>
          <w:sz w:val="24"/>
          <w:szCs w:val="24"/>
          <w:lang w:val="en"/>
        </w:rPr>
        <w:t xml:space="preserve"> in the region has an unfavorable effect on economic development.</w:t>
      </w:r>
      <w:r w:rsidR="00FB2185" w:rsidRPr="005604CA">
        <w:rPr>
          <w:rFonts w:ascii="Times New Roman" w:hAnsi="Times New Roman" w:cs="Times New Roman"/>
          <w:sz w:val="24"/>
          <w:szCs w:val="24"/>
          <w:lang w:val="en"/>
        </w:rPr>
        <w:t xml:space="preserve"> </w:t>
      </w:r>
    </w:p>
    <w:p w14:paraId="4F4A2B6B" w14:textId="77777777" w:rsidR="00FF60A8" w:rsidRDefault="00F82052" w:rsidP="00FF60A8">
      <w:pPr>
        <w:spacing w:after="0"/>
        <w:jc w:val="both"/>
        <w:rPr>
          <w:rFonts w:ascii="Times New Roman" w:hAnsi="Times New Roman" w:cs="Times New Roman"/>
          <w:color w:val="000000" w:themeColor="text1"/>
          <w:sz w:val="24"/>
          <w:szCs w:val="24"/>
          <w:lang w:val="en"/>
        </w:rPr>
      </w:pPr>
      <w:r w:rsidRPr="005604CA">
        <w:rPr>
          <w:rFonts w:ascii="Times New Roman" w:hAnsi="Times New Roman" w:cs="Times New Roman"/>
          <w:sz w:val="24"/>
          <w:szCs w:val="24"/>
          <w:lang w:val="en"/>
        </w:rPr>
        <w:t xml:space="preserve">At the same time, the analysis of </w:t>
      </w:r>
      <w:r w:rsidR="00FB2185" w:rsidRPr="005604CA">
        <w:rPr>
          <w:rFonts w:ascii="Times New Roman" w:hAnsi="Times New Roman" w:cs="Times New Roman"/>
          <w:sz w:val="24"/>
          <w:szCs w:val="24"/>
          <w:lang w:val="en"/>
        </w:rPr>
        <w:t xml:space="preserve">educational attainment </w:t>
      </w:r>
      <w:r w:rsidRPr="005604CA">
        <w:rPr>
          <w:rFonts w:ascii="Times New Roman" w:hAnsi="Times New Roman" w:cs="Times New Roman"/>
          <w:sz w:val="24"/>
          <w:szCs w:val="24"/>
          <w:lang w:val="en"/>
        </w:rPr>
        <w:t>sh</w:t>
      </w:r>
      <w:r w:rsidRPr="00F82052">
        <w:rPr>
          <w:rFonts w:ascii="Times New Roman" w:hAnsi="Times New Roman" w:cs="Times New Roman"/>
          <w:sz w:val="24"/>
          <w:szCs w:val="24"/>
          <w:lang w:val="en"/>
        </w:rPr>
        <w:t xml:space="preserve">owed that the level of education of the workforce in the Vardar region is growing, which points to the conclusion that the region should expect an increased lack of workforce with low and medium qualifications, necessary to maintain labor-intensive activities. In order to alleviate the shortage of labor force caused by the unfavorable demographic trends in the Vardar region, there is a need to properly redefine the priorities and the relevant policies of action. </w:t>
      </w:r>
      <w:r w:rsidR="00FB2185">
        <w:rPr>
          <w:rFonts w:ascii="Times New Roman" w:hAnsi="Times New Roman" w:cs="Times New Roman"/>
          <w:sz w:val="24"/>
          <w:szCs w:val="24"/>
          <w:lang w:val="en"/>
        </w:rPr>
        <w:t xml:space="preserve"> </w:t>
      </w:r>
    </w:p>
    <w:p w14:paraId="29583D06" w14:textId="77777777" w:rsidR="00FF60A8" w:rsidRDefault="00F82052" w:rsidP="00FF60A8">
      <w:pPr>
        <w:spacing w:after="0"/>
        <w:jc w:val="both"/>
        <w:rPr>
          <w:rFonts w:ascii="Times New Roman" w:hAnsi="Times New Roman" w:cs="Times New Roman"/>
          <w:color w:val="000000" w:themeColor="text1"/>
          <w:sz w:val="24"/>
          <w:szCs w:val="24"/>
          <w:lang w:val="en"/>
        </w:rPr>
      </w:pPr>
      <w:r w:rsidRPr="00F82052">
        <w:rPr>
          <w:rFonts w:ascii="Times New Roman" w:hAnsi="Times New Roman" w:cs="Times New Roman"/>
          <w:sz w:val="24"/>
          <w:szCs w:val="24"/>
          <w:lang w:val="en"/>
        </w:rPr>
        <w:t xml:space="preserve">In the short term, the shortage of available labor could be alleviated through labor imports. Although there is a legal framework for this, initial experiences show that </w:t>
      </w:r>
      <w:r w:rsidR="001F4DE8">
        <w:rPr>
          <w:rFonts w:ascii="Times New Roman" w:hAnsi="Times New Roman" w:cs="Times New Roman"/>
          <w:sz w:val="24"/>
          <w:szCs w:val="24"/>
          <w:lang w:val="en"/>
        </w:rPr>
        <w:t>it need</w:t>
      </w:r>
      <w:r w:rsidR="00FB2185">
        <w:rPr>
          <w:rFonts w:ascii="Times New Roman" w:hAnsi="Times New Roman" w:cs="Times New Roman"/>
          <w:sz w:val="24"/>
          <w:szCs w:val="24"/>
          <w:lang w:val="en"/>
        </w:rPr>
        <w:t>s</w:t>
      </w:r>
      <w:r w:rsidR="001F4DE8">
        <w:rPr>
          <w:rFonts w:ascii="Times New Roman" w:hAnsi="Times New Roman" w:cs="Times New Roman"/>
          <w:sz w:val="24"/>
          <w:szCs w:val="24"/>
          <w:lang w:val="en"/>
        </w:rPr>
        <w:t xml:space="preserve"> </w:t>
      </w:r>
      <w:r w:rsidR="00FB2185" w:rsidRPr="00F82052">
        <w:rPr>
          <w:rFonts w:ascii="Times New Roman" w:hAnsi="Times New Roman" w:cs="Times New Roman"/>
          <w:sz w:val="24"/>
          <w:szCs w:val="24"/>
          <w:lang w:val="en"/>
        </w:rPr>
        <w:t>simplifi</w:t>
      </w:r>
      <w:r w:rsidR="00FB2185">
        <w:rPr>
          <w:rFonts w:ascii="Times New Roman" w:hAnsi="Times New Roman" w:cs="Times New Roman"/>
          <w:sz w:val="24"/>
          <w:szCs w:val="24"/>
          <w:lang w:val="en"/>
        </w:rPr>
        <w:t>cation of</w:t>
      </w:r>
      <w:r w:rsidRPr="00F82052">
        <w:rPr>
          <w:rFonts w:ascii="Times New Roman" w:hAnsi="Times New Roman" w:cs="Times New Roman"/>
          <w:sz w:val="24"/>
          <w:szCs w:val="24"/>
          <w:lang w:val="en"/>
        </w:rPr>
        <w:t xml:space="preserve"> the administrative procedures and the issuing of permits. </w:t>
      </w:r>
    </w:p>
    <w:p w14:paraId="4E37BD90" w14:textId="2F1626A5" w:rsidR="00970F5B" w:rsidRDefault="00F82052" w:rsidP="00FF60A8">
      <w:pPr>
        <w:spacing w:after="0"/>
        <w:jc w:val="both"/>
        <w:rPr>
          <w:rFonts w:ascii="Times New Roman" w:hAnsi="Times New Roman" w:cs="Times New Roman"/>
          <w:sz w:val="24"/>
          <w:szCs w:val="24"/>
          <w:lang w:val="en"/>
        </w:rPr>
      </w:pPr>
      <w:r w:rsidRPr="00F82052">
        <w:rPr>
          <w:rFonts w:ascii="Times New Roman" w:hAnsi="Times New Roman" w:cs="Times New Roman"/>
          <w:sz w:val="24"/>
          <w:szCs w:val="24"/>
          <w:lang w:val="en"/>
        </w:rPr>
        <w:t xml:space="preserve">In the medium term, it is necessary to increase and improve the structure of </w:t>
      </w:r>
      <w:r w:rsidR="00FB2185" w:rsidRPr="005604CA">
        <w:rPr>
          <w:rFonts w:ascii="Times New Roman" w:hAnsi="Times New Roman" w:cs="Times New Roman"/>
          <w:sz w:val="24"/>
          <w:szCs w:val="24"/>
          <w:lang w:val="en"/>
        </w:rPr>
        <w:t>gross fixed capital formation</w:t>
      </w:r>
      <w:r w:rsidRPr="005604CA">
        <w:rPr>
          <w:rFonts w:ascii="Times New Roman" w:hAnsi="Times New Roman" w:cs="Times New Roman"/>
          <w:sz w:val="24"/>
          <w:szCs w:val="24"/>
          <w:lang w:val="en"/>
        </w:rPr>
        <w:t xml:space="preserve"> both in the leading and in the other sectors of activities in the region. Namely, part of the labor shortage in the leading labor-intensive sectors could be mitigate</w:t>
      </w:r>
      <w:r w:rsidRPr="00F82052">
        <w:rPr>
          <w:rFonts w:ascii="Times New Roman" w:hAnsi="Times New Roman" w:cs="Times New Roman"/>
          <w:sz w:val="24"/>
          <w:szCs w:val="24"/>
          <w:lang w:val="en"/>
        </w:rPr>
        <w:t>d by investments in mechanization, automation and digitization of production processes. However, in order to engage and retain the young highly qualified workforce in the region, it will be necessary to intensify investments and encourage the development of other sectors of activities that could offer suitable jobs for them.</w:t>
      </w:r>
      <w:r w:rsidR="00FB2185">
        <w:rPr>
          <w:rFonts w:ascii="Times New Roman" w:hAnsi="Times New Roman" w:cs="Times New Roman"/>
          <w:sz w:val="24"/>
          <w:szCs w:val="24"/>
          <w:lang w:val="en"/>
        </w:rPr>
        <w:t xml:space="preserve"> </w:t>
      </w:r>
    </w:p>
    <w:p w14:paraId="7FD5484D" w14:textId="3443B34D" w:rsidR="005604CA" w:rsidRDefault="005604CA" w:rsidP="00FF60A8">
      <w:pPr>
        <w:spacing w:after="0"/>
        <w:jc w:val="both"/>
        <w:rPr>
          <w:rFonts w:ascii="Times New Roman" w:hAnsi="Times New Roman" w:cs="Times New Roman"/>
          <w:color w:val="000000" w:themeColor="text1"/>
          <w:sz w:val="24"/>
          <w:szCs w:val="24"/>
          <w:lang w:val="en"/>
        </w:rPr>
      </w:pPr>
    </w:p>
    <w:p w14:paraId="2442583B" w14:textId="203F9F4F" w:rsidR="005604CA" w:rsidRDefault="005604CA" w:rsidP="00FF60A8">
      <w:pPr>
        <w:spacing w:after="0"/>
        <w:jc w:val="both"/>
        <w:rPr>
          <w:rFonts w:ascii="Times New Roman" w:hAnsi="Times New Roman" w:cs="Times New Roman"/>
          <w:color w:val="000000" w:themeColor="text1"/>
          <w:sz w:val="24"/>
          <w:szCs w:val="24"/>
          <w:lang w:val="en"/>
        </w:rPr>
      </w:pPr>
    </w:p>
    <w:p w14:paraId="43CF654D" w14:textId="066E1F61" w:rsidR="005604CA" w:rsidRDefault="005604CA" w:rsidP="00FF60A8">
      <w:pPr>
        <w:spacing w:after="0"/>
        <w:jc w:val="both"/>
        <w:rPr>
          <w:rFonts w:ascii="Times New Roman" w:hAnsi="Times New Roman" w:cs="Times New Roman"/>
          <w:color w:val="000000" w:themeColor="text1"/>
          <w:sz w:val="24"/>
          <w:szCs w:val="24"/>
          <w:lang w:val="en"/>
        </w:rPr>
      </w:pPr>
    </w:p>
    <w:p w14:paraId="49B68F00" w14:textId="7B98C6C4" w:rsidR="005604CA" w:rsidRDefault="005604CA" w:rsidP="00FF60A8">
      <w:pPr>
        <w:spacing w:after="0"/>
        <w:jc w:val="both"/>
        <w:rPr>
          <w:rFonts w:ascii="Times New Roman" w:hAnsi="Times New Roman" w:cs="Times New Roman"/>
          <w:color w:val="000000" w:themeColor="text1"/>
          <w:sz w:val="24"/>
          <w:szCs w:val="24"/>
          <w:lang w:val="en"/>
        </w:rPr>
      </w:pPr>
    </w:p>
    <w:p w14:paraId="2F0E5041" w14:textId="77777777" w:rsidR="005604CA" w:rsidRPr="00FF60A8" w:rsidRDefault="005604CA" w:rsidP="00FF60A8">
      <w:pPr>
        <w:spacing w:after="0"/>
        <w:jc w:val="both"/>
        <w:rPr>
          <w:rFonts w:ascii="Times New Roman" w:hAnsi="Times New Roman" w:cs="Times New Roman"/>
          <w:color w:val="000000" w:themeColor="text1"/>
          <w:sz w:val="24"/>
          <w:szCs w:val="24"/>
          <w:lang w:val="en"/>
        </w:rPr>
      </w:pPr>
    </w:p>
    <w:p w14:paraId="22FB25EC" w14:textId="17EA8E34" w:rsidR="003D6B63" w:rsidRDefault="003D6B63" w:rsidP="00F82052">
      <w:pPr>
        <w:spacing w:after="0"/>
        <w:ind w:firstLine="720"/>
        <w:jc w:val="both"/>
        <w:rPr>
          <w:rFonts w:ascii="Times New Roman" w:hAnsi="Times New Roman" w:cs="Times New Roman"/>
          <w:sz w:val="24"/>
          <w:szCs w:val="24"/>
          <w:lang w:val="en"/>
        </w:rPr>
      </w:pPr>
    </w:p>
    <w:p w14:paraId="1C5E0E99" w14:textId="133C8BF6" w:rsidR="003D6B63" w:rsidRDefault="003D6B63" w:rsidP="00F82052">
      <w:pPr>
        <w:spacing w:after="0"/>
        <w:ind w:firstLine="720"/>
        <w:jc w:val="both"/>
        <w:rPr>
          <w:rFonts w:ascii="Times New Roman" w:hAnsi="Times New Roman" w:cs="Times New Roman"/>
          <w:b/>
          <w:sz w:val="24"/>
          <w:szCs w:val="24"/>
          <w:lang w:val="mk-MK"/>
        </w:rPr>
      </w:pPr>
      <w:r w:rsidRPr="003D6B63">
        <w:rPr>
          <w:rFonts w:ascii="Times New Roman" w:hAnsi="Times New Roman" w:cs="Times New Roman"/>
          <w:b/>
          <w:sz w:val="24"/>
          <w:szCs w:val="24"/>
          <w:lang w:val="mk-MK"/>
        </w:rPr>
        <w:lastRenderedPageBreak/>
        <w:t>References:</w:t>
      </w:r>
    </w:p>
    <w:p w14:paraId="14D21C22" w14:textId="5B8E0DEE" w:rsidR="00CB6150" w:rsidRDefault="00CB6150" w:rsidP="00F82052">
      <w:pPr>
        <w:spacing w:after="0"/>
        <w:ind w:firstLine="720"/>
        <w:jc w:val="both"/>
        <w:rPr>
          <w:rFonts w:ascii="Times New Roman" w:hAnsi="Times New Roman" w:cs="Times New Roman"/>
          <w:b/>
          <w:sz w:val="24"/>
          <w:szCs w:val="24"/>
          <w:lang w:val="mk-MK"/>
        </w:rPr>
      </w:pPr>
    </w:p>
    <w:p w14:paraId="5B7F3744" w14:textId="08BFE862" w:rsidR="00795F61" w:rsidRPr="00795F61" w:rsidRDefault="00795F61" w:rsidP="00795F61">
      <w:pPr>
        <w:numPr>
          <w:ilvl w:val="0"/>
          <w:numId w:val="4"/>
        </w:numPr>
        <w:spacing w:after="0"/>
        <w:rPr>
          <w:rFonts w:ascii="Times New Roman" w:hAnsi="Times New Roman" w:cs="Times New Roman"/>
          <w:sz w:val="24"/>
          <w:szCs w:val="24"/>
          <w:lang w:val="mk-MK"/>
        </w:rPr>
      </w:pPr>
      <w:r w:rsidRPr="00795F61">
        <w:rPr>
          <w:rFonts w:ascii="Times New Roman" w:hAnsi="Times New Roman" w:cs="Times New Roman"/>
          <w:sz w:val="24"/>
          <w:szCs w:val="24"/>
        </w:rPr>
        <w:t>Agata Szymańska: ”Demographic Changes in the Countries of the Western Balkans</w:t>
      </w:r>
      <w:r w:rsidR="00FB2185">
        <w:rPr>
          <w:rFonts w:ascii="Times New Roman" w:hAnsi="Times New Roman" w:cs="Times New Roman"/>
          <w:sz w:val="24"/>
          <w:szCs w:val="24"/>
        </w:rPr>
        <w:t>-</w:t>
      </w:r>
      <w:r w:rsidRPr="00795F61">
        <w:rPr>
          <w:rFonts w:ascii="Times New Roman" w:hAnsi="Times New Roman" w:cs="Times New Roman"/>
          <w:sz w:val="24"/>
          <w:szCs w:val="24"/>
        </w:rPr>
        <w:t>A Comparative Analysis with the European Union”, nomic Research. Central and Eastern Europe Volume 25, Number 3, 2022, available at: https://doi.org/10.18778/1508-2008.25.26</w:t>
      </w:r>
    </w:p>
    <w:p w14:paraId="3A780984" w14:textId="77777777" w:rsidR="00795F61" w:rsidRPr="00795F61" w:rsidRDefault="00795F61" w:rsidP="00795F61">
      <w:pPr>
        <w:numPr>
          <w:ilvl w:val="0"/>
          <w:numId w:val="4"/>
        </w:numPr>
        <w:spacing w:after="0"/>
        <w:rPr>
          <w:rFonts w:ascii="Times New Roman" w:hAnsi="Times New Roman" w:cs="Times New Roman"/>
          <w:sz w:val="24"/>
          <w:szCs w:val="24"/>
          <w:lang w:val="mk-MK"/>
        </w:rPr>
      </w:pPr>
      <w:r w:rsidRPr="00795F61">
        <w:rPr>
          <w:rFonts w:ascii="Times New Roman" w:hAnsi="Times New Roman" w:cs="Times New Roman"/>
          <w:sz w:val="24"/>
          <w:szCs w:val="24"/>
        </w:rPr>
        <w:t>Cane Koteski, Dusko Josheski, Zlatko jakovlev, Nikola V. Dimitrov and Snezana Bardarova</w:t>
      </w:r>
      <w:r w:rsidRPr="00795F61">
        <w:rPr>
          <w:rFonts w:ascii="Times New Roman" w:hAnsi="Times New Roman" w:cs="Times New Roman"/>
          <w:sz w:val="24"/>
          <w:szCs w:val="24"/>
          <w:lang w:val="mk-MK"/>
        </w:rPr>
        <w:t>, “</w:t>
      </w:r>
      <w:r w:rsidRPr="00795F61">
        <w:rPr>
          <w:rFonts w:ascii="Times New Roman" w:hAnsi="Times New Roman" w:cs="Times New Roman"/>
          <w:sz w:val="24"/>
          <w:szCs w:val="24"/>
        </w:rPr>
        <w:t>Macedonia Demographic Aging”</w:t>
      </w:r>
      <w:r w:rsidRPr="00795F61">
        <w:rPr>
          <w:rFonts w:ascii="Times New Roman" w:hAnsi="Times New Roman" w:cs="Times New Roman"/>
          <w:sz w:val="24"/>
          <w:szCs w:val="24"/>
          <w:lang w:val="mk-MK"/>
        </w:rPr>
        <w:t xml:space="preserve">, </w:t>
      </w:r>
      <w:r w:rsidRPr="00795F61">
        <w:rPr>
          <w:rFonts w:ascii="Times New Roman" w:hAnsi="Times New Roman" w:cs="Times New Roman"/>
          <w:sz w:val="24"/>
          <w:szCs w:val="24"/>
        </w:rPr>
        <w:t>Journal of Earth Science and Engineering 4</w:t>
      </w:r>
      <w:r w:rsidRPr="00795F61">
        <w:rPr>
          <w:rFonts w:ascii="Times New Roman" w:hAnsi="Times New Roman" w:cs="Times New Roman"/>
          <w:sz w:val="24"/>
          <w:szCs w:val="24"/>
          <w:lang w:val="mk-MK"/>
        </w:rPr>
        <w:t xml:space="preserve">, </w:t>
      </w:r>
      <w:r w:rsidRPr="00795F61">
        <w:rPr>
          <w:rFonts w:ascii="Times New Roman" w:hAnsi="Times New Roman" w:cs="Times New Roman"/>
          <w:sz w:val="24"/>
          <w:szCs w:val="24"/>
        </w:rPr>
        <w:t>2014</w:t>
      </w:r>
      <w:r w:rsidRPr="00795F61">
        <w:rPr>
          <w:rFonts w:ascii="Times New Roman" w:hAnsi="Times New Roman" w:cs="Times New Roman"/>
          <w:sz w:val="24"/>
          <w:szCs w:val="24"/>
          <w:lang w:val="mk-MK"/>
        </w:rPr>
        <w:t>,</w:t>
      </w:r>
      <w:r w:rsidRPr="00795F61">
        <w:rPr>
          <w:rFonts w:ascii="Times New Roman" w:hAnsi="Times New Roman" w:cs="Times New Roman"/>
          <w:sz w:val="24"/>
          <w:szCs w:val="24"/>
        </w:rPr>
        <w:t xml:space="preserve"> pp. 445-454, available at: https://eprints.ugd.edu.mk/10970/1/7-Macedonia%20Demographic%20Aging2.pdf</w:t>
      </w:r>
    </w:p>
    <w:p w14:paraId="2A11D051" w14:textId="77777777" w:rsidR="00795F61" w:rsidRPr="00795F61" w:rsidRDefault="00795F61" w:rsidP="00795F61">
      <w:pPr>
        <w:numPr>
          <w:ilvl w:val="0"/>
          <w:numId w:val="4"/>
        </w:numPr>
        <w:spacing w:after="0"/>
        <w:rPr>
          <w:rFonts w:ascii="Times New Roman" w:hAnsi="Times New Roman" w:cs="Times New Roman"/>
          <w:sz w:val="24"/>
          <w:szCs w:val="24"/>
          <w:lang w:val="mk-MK"/>
        </w:rPr>
      </w:pPr>
      <w:r w:rsidRPr="00795F61">
        <w:rPr>
          <w:rFonts w:ascii="Times New Roman" w:hAnsi="Times New Roman" w:cs="Times New Roman"/>
          <w:sz w:val="24"/>
          <w:szCs w:val="24"/>
        </w:rPr>
        <w:t>Lutz,W., Butz, W.P. and Samir, K.C.: ”World Population and Human Capital in the TwentyFirst Century“, Oxford,UK: Oxford University Press, 2014, available at: https://api.pageplace.de/preview/DT0400.9780191008221_A24387738/preview-9780191008221_A24387738.pdf https://api.pageplace.de/preview/DT0400.9780191008221_A24387738/preview-9780191008221_A24387738.pdf</w:t>
      </w:r>
    </w:p>
    <w:p w14:paraId="08717238" w14:textId="77777777" w:rsidR="00795F61" w:rsidRPr="00795F61" w:rsidRDefault="00795F61" w:rsidP="00795F61">
      <w:pPr>
        <w:numPr>
          <w:ilvl w:val="0"/>
          <w:numId w:val="4"/>
        </w:numPr>
        <w:spacing w:after="0"/>
        <w:rPr>
          <w:rFonts w:ascii="Times New Roman" w:hAnsi="Times New Roman" w:cs="Times New Roman"/>
          <w:sz w:val="24"/>
          <w:szCs w:val="24"/>
          <w:lang w:val="mk-MK"/>
        </w:rPr>
      </w:pPr>
      <w:r w:rsidRPr="00795F61">
        <w:rPr>
          <w:rFonts w:ascii="Times New Roman" w:hAnsi="Times New Roman" w:cs="Times New Roman"/>
          <w:sz w:val="24"/>
          <w:szCs w:val="24"/>
        </w:rPr>
        <w:t>Publication Office of the European Union: ”Demographic developments in the Western Balkans and Turkey“, 2021, available at: https://ec.europa.eu/eurostat/documents/4031688/12964134/KS-02-21-839-EN-N.pdf/c28bc490-eba4-8f8f-c368-40ad7b68c968?t=1624974063259</w:t>
      </w:r>
    </w:p>
    <w:p w14:paraId="5C9DB1CD" w14:textId="13F92477" w:rsidR="00795F61" w:rsidRPr="00795F61" w:rsidRDefault="00795F61" w:rsidP="00E71E67">
      <w:pPr>
        <w:numPr>
          <w:ilvl w:val="0"/>
          <w:numId w:val="4"/>
        </w:numPr>
        <w:spacing w:after="0"/>
        <w:rPr>
          <w:rFonts w:ascii="Times New Roman" w:hAnsi="Times New Roman" w:cs="Times New Roman"/>
          <w:sz w:val="24"/>
          <w:szCs w:val="24"/>
          <w:lang w:val="mk-MK"/>
        </w:rPr>
      </w:pPr>
      <w:r w:rsidRPr="00795F61">
        <w:rPr>
          <w:rFonts w:ascii="Times New Roman" w:hAnsi="Times New Roman" w:cs="Times New Roman"/>
          <w:sz w:val="24"/>
          <w:szCs w:val="24"/>
        </w:rPr>
        <w:t xml:space="preserve">Republic of North Macedonia </w:t>
      </w:r>
      <w:r w:rsidRPr="00795F61">
        <w:rPr>
          <w:rFonts w:ascii="Times New Roman" w:hAnsi="Times New Roman" w:cs="Times New Roman"/>
          <w:sz w:val="24"/>
          <w:szCs w:val="24"/>
          <w:lang w:val="mk-MK"/>
        </w:rPr>
        <w:t>State Statistical Office</w:t>
      </w:r>
      <w:r w:rsidRPr="00795F61">
        <w:rPr>
          <w:rFonts w:ascii="Times New Roman" w:hAnsi="Times New Roman" w:cs="Times New Roman"/>
          <w:sz w:val="24"/>
          <w:szCs w:val="24"/>
        </w:rPr>
        <w:t>,</w:t>
      </w:r>
      <w:r w:rsidRPr="00795F61">
        <w:rPr>
          <w:rFonts w:ascii="Times New Roman" w:hAnsi="Times New Roman" w:cs="Times New Roman"/>
          <w:sz w:val="24"/>
          <w:szCs w:val="24"/>
          <w:lang w:val="mk-MK"/>
        </w:rPr>
        <w:t xml:space="preserve"> “Regions of the Republic of North Macedonia</w:t>
      </w:r>
      <w:r w:rsidRPr="00795F61">
        <w:rPr>
          <w:rFonts w:ascii="Times New Roman" w:hAnsi="Times New Roman" w:cs="Times New Roman"/>
          <w:sz w:val="24"/>
          <w:szCs w:val="24"/>
        </w:rPr>
        <w:t xml:space="preserve">, </w:t>
      </w:r>
      <w:r w:rsidR="00FB2185">
        <w:rPr>
          <w:rFonts w:ascii="Times New Roman" w:hAnsi="Times New Roman" w:cs="Times New Roman"/>
          <w:sz w:val="24"/>
          <w:szCs w:val="24"/>
        </w:rPr>
        <w:t>2012-</w:t>
      </w:r>
      <w:r w:rsidRPr="00795F61">
        <w:rPr>
          <w:rFonts w:ascii="Times New Roman" w:hAnsi="Times New Roman" w:cs="Times New Roman"/>
          <w:sz w:val="24"/>
          <w:szCs w:val="24"/>
        </w:rPr>
        <w:t>2023</w:t>
      </w:r>
      <w:r w:rsidRPr="00795F61">
        <w:rPr>
          <w:rFonts w:ascii="Times New Roman" w:hAnsi="Times New Roman" w:cs="Times New Roman"/>
          <w:sz w:val="24"/>
          <w:szCs w:val="24"/>
          <w:lang w:val="mk-MK"/>
        </w:rPr>
        <w:t xml:space="preserve">” </w:t>
      </w:r>
      <w:r w:rsidRPr="00795F61">
        <w:rPr>
          <w:rFonts w:ascii="Times New Roman" w:hAnsi="Times New Roman" w:cs="Times New Roman"/>
          <w:sz w:val="24"/>
          <w:szCs w:val="24"/>
        </w:rPr>
        <w:t xml:space="preserve">available </w:t>
      </w:r>
      <w:r w:rsidR="00FB2185">
        <w:rPr>
          <w:rFonts w:ascii="Times New Roman" w:hAnsi="Times New Roman" w:cs="Times New Roman"/>
          <w:sz w:val="24"/>
          <w:szCs w:val="24"/>
        </w:rPr>
        <w:t xml:space="preserve">at: </w:t>
      </w:r>
      <w:r w:rsidR="00E71E67" w:rsidRPr="00E71E67">
        <w:rPr>
          <w:rFonts w:ascii="Times New Roman" w:hAnsi="Times New Roman" w:cs="Times New Roman"/>
          <w:sz w:val="24"/>
          <w:szCs w:val="24"/>
        </w:rPr>
        <w:t>https://www.stat.gov.mk/PublikaciiPoOblast.aspx?id=32&amp;rbrObl=37</w:t>
      </w:r>
    </w:p>
    <w:p w14:paraId="28BAFF28" w14:textId="77777777" w:rsidR="00795F61" w:rsidRPr="00795F61" w:rsidRDefault="00795F61" w:rsidP="00795F61">
      <w:pPr>
        <w:numPr>
          <w:ilvl w:val="0"/>
          <w:numId w:val="4"/>
        </w:numPr>
        <w:spacing w:after="0"/>
        <w:rPr>
          <w:rFonts w:ascii="Times New Roman" w:hAnsi="Times New Roman" w:cs="Times New Roman"/>
          <w:sz w:val="24"/>
          <w:szCs w:val="24"/>
          <w:lang w:val="mk-MK"/>
        </w:rPr>
      </w:pPr>
      <w:r w:rsidRPr="00795F61">
        <w:rPr>
          <w:rFonts w:ascii="Times New Roman" w:hAnsi="Times New Roman" w:cs="Times New Roman"/>
          <w:sz w:val="24"/>
          <w:szCs w:val="24"/>
        </w:rPr>
        <w:t xml:space="preserve">Republic of North Macedonia </w:t>
      </w:r>
      <w:r w:rsidRPr="00795F61">
        <w:rPr>
          <w:rFonts w:ascii="Times New Roman" w:hAnsi="Times New Roman" w:cs="Times New Roman"/>
          <w:sz w:val="24"/>
          <w:szCs w:val="24"/>
          <w:lang w:val="mk-MK"/>
        </w:rPr>
        <w:t>State Statistical Office, ”Census of the population, households and dwelings in the Republic of Macedonia, 2002“ (Book XIII),</w:t>
      </w:r>
      <w:r w:rsidRPr="00795F61">
        <w:rPr>
          <w:rFonts w:ascii="Times New Roman" w:hAnsi="Times New Roman" w:cs="Times New Roman"/>
          <w:sz w:val="24"/>
          <w:szCs w:val="24"/>
        </w:rPr>
        <w:t xml:space="preserve"> available at: </w:t>
      </w:r>
      <w:r w:rsidRPr="00795F61">
        <w:rPr>
          <w:rFonts w:ascii="Times New Roman" w:hAnsi="Times New Roman" w:cs="Times New Roman"/>
          <w:sz w:val="24"/>
          <w:szCs w:val="24"/>
          <w:lang w:val="mk-MK"/>
        </w:rPr>
        <w:t>https://www.stat.gov.mk/Publikacii/knigaXIII.pdf</w:t>
      </w:r>
    </w:p>
    <w:p w14:paraId="28DB7AC6" w14:textId="77777777" w:rsidR="00795F61" w:rsidRPr="00795F61" w:rsidRDefault="00795F61" w:rsidP="00795F61">
      <w:pPr>
        <w:numPr>
          <w:ilvl w:val="0"/>
          <w:numId w:val="4"/>
        </w:numPr>
        <w:spacing w:after="0"/>
        <w:rPr>
          <w:rFonts w:ascii="Times New Roman" w:hAnsi="Times New Roman" w:cs="Times New Roman"/>
          <w:sz w:val="24"/>
          <w:szCs w:val="24"/>
          <w:lang w:val="mk-MK"/>
        </w:rPr>
      </w:pPr>
      <w:r w:rsidRPr="00795F61">
        <w:rPr>
          <w:rFonts w:ascii="Times New Roman" w:hAnsi="Times New Roman" w:cs="Times New Roman"/>
          <w:sz w:val="24"/>
          <w:szCs w:val="24"/>
        </w:rPr>
        <w:t xml:space="preserve">Republic of North Macedonia </w:t>
      </w:r>
      <w:r w:rsidRPr="00795F61">
        <w:rPr>
          <w:rFonts w:ascii="Times New Roman" w:hAnsi="Times New Roman" w:cs="Times New Roman"/>
          <w:sz w:val="24"/>
          <w:szCs w:val="24"/>
          <w:lang w:val="mk-MK"/>
        </w:rPr>
        <w:t>State Statistical Office</w:t>
      </w:r>
      <w:r w:rsidRPr="00795F61">
        <w:rPr>
          <w:rFonts w:ascii="Times New Roman" w:hAnsi="Times New Roman" w:cs="Times New Roman"/>
          <w:sz w:val="24"/>
          <w:szCs w:val="24"/>
        </w:rPr>
        <w:t>, ”Census</w:t>
      </w:r>
      <w:r w:rsidRPr="00795F61">
        <w:rPr>
          <w:rFonts w:ascii="Times New Roman" w:hAnsi="Times New Roman" w:cs="Times New Roman"/>
          <w:sz w:val="24"/>
          <w:szCs w:val="24"/>
          <w:lang w:val="mk-MK"/>
        </w:rPr>
        <w:t xml:space="preserve"> of the population, households and dwelings in the Republic of Macedonia, 2021“, </w:t>
      </w:r>
      <w:r w:rsidRPr="00795F61">
        <w:rPr>
          <w:rFonts w:ascii="Times New Roman" w:hAnsi="Times New Roman" w:cs="Times New Roman"/>
          <w:sz w:val="24"/>
          <w:szCs w:val="24"/>
        </w:rPr>
        <w:t xml:space="preserve">available at: </w:t>
      </w:r>
      <w:r w:rsidRPr="00795F61">
        <w:rPr>
          <w:rFonts w:ascii="Times New Roman" w:hAnsi="Times New Roman" w:cs="Times New Roman"/>
          <w:sz w:val="24"/>
          <w:szCs w:val="24"/>
          <w:lang w:val="mk-MK"/>
        </w:rPr>
        <w:t>https://www.stat.gov.mk/publikacii/2022/POPIS_DZS_web_MK.pdf</w:t>
      </w:r>
    </w:p>
    <w:p w14:paraId="23C35AD6" w14:textId="57F8ABD7" w:rsidR="00795F61" w:rsidRPr="00FB2185" w:rsidRDefault="00795F61" w:rsidP="00E71E67">
      <w:pPr>
        <w:spacing w:after="0"/>
        <w:ind w:left="360"/>
        <w:rPr>
          <w:rFonts w:ascii="Times New Roman" w:hAnsi="Times New Roman" w:cs="Times New Roman"/>
          <w:sz w:val="24"/>
          <w:szCs w:val="24"/>
          <w:lang w:val="mk-MK"/>
        </w:rPr>
      </w:pPr>
    </w:p>
    <w:sectPr w:rsidR="00795F61" w:rsidRPr="00FB2185" w:rsidSect="00554F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8B139" w14:textId="77777777" w:rsidR="00C26F42" w:rsidRDefault="00C26F42" w:rsidP="009F0537">
      <w:pPr>
        <w:spacing w:after="0" w:line="240" w:lineRule="auto"/>
      </w:pPr>
      <w:r>
        <w:separator/>
      </w:r>
    </w:p>
  </w:endnote>
  <w:endnote w:type="continuationSeparator" w:id="0">
    <w:p w14:paraId="08D60806" w14:textId="77777777" w:rsidR="00C26F42" w:rsidRDefault="00C26F42" w:rsidP="009F0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7D60E" w14:textId="77777777" w:rsidR="00C26F42" w:rsidRDefault="00C26F42" w:rsidP="009F0537">
      <w:pPr>
        <w:spacing w:after="0" w:line="240" w:lineRule="auto"/>
      </w:pPr>
      <w:r>
        <w:separator/>
      </w:r>
    </w:p>
  </w:footnote>
  <w:footnote w:type="continuationSeparator" w:id="0">
    <w:p w14:paraId="186B0778" w14:textId="77777777" w:rsidR="00C26F42" w:rsidRDefault="00C26F42" w:rsidP="009F0537">
      <w:pPr>
        <w:spacing w:after="0" w:line="240" w:lineRule="auto"/>
      </w:pPr>
      <w:r>
        <w:continuationSeparator/>
      </w:r>
    </w:p>
  </w:footnote>
  <w:footnote w:id="1">
    <w:p w14:paraId="7A8A2B8B" w14:textId="77777777" w:rsidR="00DC39D3" w:rsidRPr="00604B92" w:rsidRDefault="00DC39D3" w:rsidP="00F93C5B">
      <w:pPr>
        <w:pStyle w:val="FootnoteText"/>
        <w:jc w:val="both"/>
        <w:rPr>
          <w:rFonts w:ascii="Times New Roman" w:hAnsi="Times New Roman" w:cs="Times New Roman"/>
          <w:lang w:val="en-US"/>
        </w:rPr>
      </w:pPr>
      <w:r>
        <w:rPr>
          <w:rStyle w:val="FootnoteReference"/>
        </w:rPr>
        <w:t>*</w:t>
      </w:r>
      <w:r>
        <w:t xml:space="preserve"> </w:t>
      </w:r>
      <w:r w:rsidRPr="00604B92">
        <w:rPr>
          <w:rFonts w:ascii="Times New Roman" w:hAnsi="Times New Roman" w:cs="Times New Roman"/>
        </w:rPr>
        <w:t xml:space="preserve">Ph.D. full time professor, University of </w:t>
      </w:r>
      <w:r>
        <w:rPr>
          <w:rFonts w:ascii="Times New Roman" w:hAnsi="Times New Roman" w:cs="Times New Roman"/>
          <w:lang w:val="mk-MK"/>
        </w:rPr>
        <w:t>“</w:t>
      </w:r>
      <w:r w:rsidRPr="00604B92">
        <w:rPr>
          <w:rFonts w:ascii="Times New Roman" w:hAnsi="Times New Roman" w:cs="Times New Roman"/>
        </w:rPr>
        <w:t>Ss. Cyril and Methodius</w:t>
      </w:r>
      <w:r>
        <w:rPr>
          <w:rFonts w:ascii="Times New Roman" w:hAnsi="Times New Roman" w:cs="Times New Roman"/>
          <w:lang w:val="mk-MK"/>
        </w:rPr>
        <w:t>“</w:t>
      </w:r>
      <w:r w:rsidRPr="00604B92">
        <w:rPr>
          <w:rFonts w:ascii="Times New Roman" w:hAnsi="Times New Roman" w:cs="Times New Roman"/>
        </w:rPr>
        <w:t>, Institute of economics-Skopje, natasha.daniloska@ek-inst.ukim.edu.mk</w:t>
      </w:r>
    </w:p>
  </w:footnote>
  <w:footnote w:id="2">
    <w:p w14:paraId="21B56457" w14:textId="77777777" w:rsidR="00DC39D3" w:rsidRPr="0093679F" w:rsidRDefault="00DC39D3" w:rsidP="00F93C5B">
      <w:pPr>
        <w:pStyle w:val="FootnoteText"/>
        <w:jc w:val="both"/>
        <w:rPr>
          <w:lang w:val="en-US"/>
        </w:rPr>
      </w:pPr>
      <w:r w:rsidRPr="00604B92">
        <w:rPr>
          <w:rStyle w:val="FootnoteReference"/>
          <w:rFonts w:ascii="Times New Roman" w:hAnsi="Times New Roman" w:cs="Times New Roman"/>
        </w:rPr>
        <w:t>**</w:t>
      </w:r>
      <w:r w:rsidRPr="00604B92">
        <w:rPr>
          <w:rFonts w:ascii="Times New Roman" w:hAnsi="Times New Roman" w:cs="Times New Roman"/>
        </w:rPr>
        <w:t xml:space="preserve"> Ph.D. full time professor, University of </w:t>
      </w:r>
      <w:r>
        <w:rPr>
          <w:rFonts w:ascii="Times New Roman" w:hAnsi="Times New Roman" w:cs="Times New Roman"/>
          <w:lang w:val="mk-MK"/>
        </w:rPr>
        <w:t>“</w:t>
      </w:r>
      <w:r w:rsidRPr="00604B92">
        <w:rPr>
          <w:rFonts w:ascii="Times New Roman" w:hAnsi="Times New Roman" w:cs="Times New Roman"/>
        </w:rPr>
        <w:t>Ss. Cyril and Methodius</w:t>
      </w:r>
      <w:r>
        <w:rPr>
          <w:rFonts w:ascii="Times New Roman" w:hAnsi="Times New Roman" w:cs="Times New Roman"/>
          <w:lang w:val="mk-MK"/>
        </w:rPr>
        <w:t>“</w:t>
      </w:r>
      <w:r w:rsidRPr="00604B92">
        <w:rPr>
          <w:rFonts w:ascii="Times New Roman" w:hAnsi="Times New Roman" w:cs="Times New Roman"/>
        </w:rPr>
        <w:t>, Institute of economics-Skopje, diana@ek-inst.ukim.edu.mk</w:t>
      </w:r>
    </w:p>
  </w:footnote>
  <w:footnote w:id="3">
    <w:p w14:paraId="3FC214A7" w14:textId="0C7EDC20" w:rsidR="000D760E" w:rsidRPr="000206AF" w:rsidRDefault="000D760E" w:rsidP="000D760E">
      <w:pPr>
        <w:pStyle w:val="FootnoteText"/>
        <w:jc w:val="both"/>
        <w:rPr>
          <w:rFonts w:ascii="Times New Roman" w:hAnsi="Times New Roman" w:cs="Times New Roman"/>
        </w:rPr>
      </w:pPr>
      <w:r>
        <w:rPr>
          <w:rStyle w:val="FootnoteReference"/>
        </w:rPr>
        <w:footnoteRef/>
      </w:r>
      <w:r>
        <w:t xml:space="preserve"> </w:t>
      </w:r>
      <w:r w:rsidRPr="000206AF">
        <w:rPr>
          <w:rFonts w:ascii="Times New Roman" w:hAnsi="Times New Roman" w:cs="Times New Roman"/>
        </w:rPr>
        <w:t>Th</w:t>
      </w:r>
      <w:r>
        <w:rPr>
          <w:rFonts w:ascii="Times New Roman" w:hAnsi="Times New Roman" w:cs="Times New Roman"/>
        </w:rPr>
        <w:t xml:space="preserve">e research was conducted </w:t>
      </w:r>
      <w:r w:rsidRPr="000206AF">
        <w:rPr>
          <w:rFonts w:ascii="Times New Roman" w:hAnsi="Times New Roman" w:cs="Times New Roman"/>
        </w:rPr>
        <w:t xml:space="preserve">for the purposes of the project: </w:t>
      </w:r>
      <w:r w:rsidR="002E05D9" w:rsidRPr="002E05D9">
        <w:rPr>
          <w:rFonts w:ascii="Times New Roman" w:hAnsi="Times New Roman" w:cs="Times New Roman"/>
          <w:i/>
          <w:lang w:val="en-US"/>
        </w:rPr>
        <w:t>D</w:t>
      </w:r>
      <w:r w:rsidR="002E05D9" w:rsidRPr="002E05D9">
        <w:rPr>
          <w:rFonts w:ascii="Times New Roman" w:hAnsi="Times New Roman" w:cs="Times New Roman"/>
          <w:i/>
        </w:rPr>
        <w:t>emographic changes in the Republic of North Macedonia in th</w:t>
      </w:r>
      <w:r w:rsidR="009C1661">
        <w:rPr>
          <w:rFonts w:ascii="Times New Roman" w:hAnsi="Times New Roman" w:cs="Times New Roman"/>
          <w:i/>
        </w:rPr>
        <w:t xml:space="preserve">e context of the population </w:t>
      </w:r>
      <w:r w:rsidR="009C1661">
        <w:rPr>
          <w:rFonts w:ascii="Times New Roman" w:hAnsi="Times New Roman" w:cs="Times New Roman"/>
          <w:i/>
          <w:lang w:val="en-US"/>
        </w:rPr>
        <w:t>C</w:t>
      </w:r>
      <w:r w:rsidR="002E05D9" w:rsidRPr="002E05D9">
        <w:rPr>
          <w:rFonts w:ascii="Times New Roman" w:hAnsi="Times New Roman" w:cs="Times New Roman"/>
          <w:i/>
        </w:rPr>
        <w:t>ensus in the 2021 census - causes, consequences and implications</w:t>
      </w:r>
      <w:r w:rsidR="009C1661">
        <w:rPr>
          <w:rFonts w:ascii="Times New Roman" w:hAnsi="Times New Roman" w:cs="Times New Roman"/>
        </w:rPr>
        <w:t>, financed by the University of</w:t>
      </w:r>
      <w:r w:rsidRPr="000206AF">
        <w:rPr>
          <w:rFonts w:ascii="Times New Roman" w:hAnsi="Times New Roman" w:cs="Times New Roman"/>
        </w:rPr>
        <w:t xml:space="preserve"> Ss. Cyril and Methodius-Skopje, Republic of North Macedonia</w:t>
      </w:r>
    </w:p>
    <w:p w14:paraId="02861221" w14:textId="710A1721" w:rsidR="000D760E" w:rsidRPr="002E05D9" w:rsidRDefault="000D760E">
      <w:pPr>
        <w:pStyle w:val="FootnoteText"/>
        <w:rPr>
          <w:lang w:val="mk-MK"/>
        </w:rPr>
      </w:pPr>
    </w:p>
  </w:footnote>
  <w:footnote w:id="4">
    <w:p w14:paraId="2C5EFE34" w14:textId="1F705ABF" w:rsidR="00DC39D3" w:rsidRPr="006A0542" w:rsidRDefault="00DC39D3" w:rsidP="006A0542">
      <w:pPr>
        <w:pStyle w:val="FootnoteText"/>
        <w:jc w:val="both"/>
        <w:rPr>
          <w:rFonts w:ascii="Times New Roman" w:hAnsi="Times New Roman" w:cs="Times New Roman"/>
          <w:lang w:val="en-US"/>
        </w:rPr>
      </w:pPr>
      <w:r>
        <w:rPr>
          <w:rStyle w:val="FootnoteReference"/>
        </w:rPr>
        <w:footnoteRef/>
      </w:r>
      <w:r>
        <w:t xml:space="preserve"> </w:t>
      </w:r>
      <w:r w:rsidRPr="006A0542">
        <w:rPr>
          <w:rFonts w:ascii="Times New Roman" w:hAnsi="Times New Roman" w:cs="Times New Roman"/>
          <w:lang w:val="en"/>
        </w:rPr>
        <w:t>Census of the population, households and apartments in the R</w:t>
      </w:r>
      <w:r w:rsidR="009109CC">
        <w:rPr>
          <w:rFonts w:ascii="Times New Roman" w:hAnsi="Times New Roman" w:cs="Times New Roman"/>
          <w:lang w:val="en"/>
        </w:rPr>
        <w:t xml:space="preserve">N </w:t>
      </w:r>
      <w:r w:rsidR="00E71E67">
        <w:rPr>
          <w:rFonts w:ascii="Times New Roman" w:hAnsi="Times New Roman" w:cs="Times New Roman"/>
          <w:lang w:val="en"/>
        </w:rPr>
        <w:t>Macedonia</w:t>
      </w:r>
      <w:r w:rsidR="009109CC">
        <w:rPr>
          <w:rFonts w:ascii="Times New Roman" w:hAnsi="Times New Roman" w:cs="Times New Roman"/>
          <w:lang w:val="en"/>
        </w:rPr>
        <w:t>,</w:t>
      </w:r>
      <w:r w:rsidRPr="006A0542">
        <w:rPr>
          <w:rFonts w:ascii="Times New Roman" w:hAnsi="Times New Roman" w:cs="Times New Roman"/>
          <w:lang w:val="en"/>
        </w:rPr>
        <w:t xml:space="preserve"> 2002 (Book XIII), https://www.stat.gov.mk/Publikacii/knigaXIII.pdf; </w:t>
      </w:r>
      <w:r>
        <w:rPr>
          <w:rFonts w:ascii="Times New Roman" w:hAnsi="Times New Roman" w:cs="Times New Roman"/>
          <w:lang w:val="en"/>
        </w:rPr>
        <w:t>(accessed on February 15, 2023).</w:t>
      </w:r>
    </w:p>
  </w:footnote>
  <w:footnote w:id="5">
    <w:p w14:paraId="30B2597A" w14:textId="598C86D5" w:rsidR="00DC39D3" w:rsidRPr="008A2497" w:rsidRDefault="00DC39D3" w:rsidP="008A2497">
      <w:pPr>
        <w:pStyle w:val="FootnoteText"/>
        <w:jc w:val="both"/>
        <w:rPr>
          <w:rFonts w:ascii="Times New Roman" w:hAnsi="Times New Roman" w:cs="Times New Roman"/>
          <w:lang w:val="en-US"/>
        </w:rPr>
      </w:pPr>
      <w:r w:rsidRPr="008A2497">
        <w:rPr>
          <w:rStyle w:val="FootnoteReference"/>
          <w:rFonts w:ascii="Times New Roman" w:hAnsi="Times New Roman" w:cs="Times New Roman"/>
        </w:rPr>
        <w:footnoteRef/>
      </w:r>
      <w:r w:rsidRPr="008A2497">
        <w:rPr>
          <w:rFonts w:ascii="Times New Roman" w:hAnsi="Times New Roman" w:cs="Times New Roman"/>
        </w:rPr>
        <w:t xml:space="preserve"> </w:t>
      </w:r>
      <w:r>
        <w:rPr>
          <w:rFonts w:ascii="Times New Roman" w:hAnsi="Times New Roman" w:cs="Times New Roman"/>
        </w:rPr>
        <w:t>Ibid</w:t>
      </w:r>
    </w:p>
  </w:footnote>
  <w:footnote w:id="6">
    <w:p w14:paraId="08C81F6F" w14:textId="384F8F23" w:rsidR="00DC39D3" w:rsidRPr="006A0542" w:rsidRDefault="00DC39D3" w:rsidP="006A0542">
      <w:pPr>
        <w:pStyle w:val="FootnoteText"/>
        <w:jc w:val="both"/>
        <w:rPr>
          <w:rFonts w:ascii="Times New Roman" w:hAnsi="Times New Roman" w:cs="Times New Roman"/>
          <w:lang w:val="en-US"/>
        </w:rPr>
      </w:pPr>
      <w:r>
        <w:rPr>
          <w:rStyle w:val="FootnoteReference"/>
        </w:rPr>
        <w:footnoteRef/>
      </w:r>
      <w:r>
        <w:t xml:space="preserve"> </w:t>
      </w:r>
      <w:r w:rsidRPr="006A0542">
        <w:rPr>
          <w:rFonts w:ascii="Times New Roman" w:hAnsi="Times New Roman" w:cs="Times New Roman"/>
        </w:rPr>
        <w:t>Women in the reproductive period (15-49 years) influence the values of the total fertility rate (TFR) which is considered as hypothetical or possible fertility and represents the number of live births that a woman is expected to have during her reproductive period.</w:t>
      </w:r>
    </w:p>
  </w:footnote>
  <w:footnote w:id="7">
    <w:p w14:paraId="43076700" w14:textId="1CAE5727" w:rsidR="00DC39D3" w:rsidRPr="006A0542" w:rsidRDefault="00DC39D3" w:rsidP="006A0542">
      <w:pPr>
        <w:pStyle w:val="FootnoteText"/>
        <w:jc w:val="both"/>
        <w:rPr>
          <w:rFonts w:ascii="Times New Roman" w:hAnsi="Times New Roman" w:cs="Times New Roman"/>
          <w:lang w:val="en-US"/>
        </w:rPr>
      </w:pPr>
      <w:r w:rsidRPr="005D6E48">
        <w:rPr>
          <w:rStyle w:val="FootnoteReference"/>
          <w:rFonts w:ascii="Times New Roman" w:hAnsi="Times New Roman" w:cs="Times New Roman"/>
        </w:rPr>
        <w:footnoteRef/>
      </w:r>
      <w:r w:rsidRPr="005D6E48">
        <w:rPr>
          <w:rFonts w:ascii="Times New Roman" w:hAnsi="Times New Roman" w:cs="Times New Roman"/>
        </w:rPr>
        <w:t xml:space="preserve"> Census of the population, households and apartments in the Republic of Macedonia 2002 (Book XIII), https://www.stat</w:t>
      </w:r>
      <w:r w:rsidRPr="006A0542">
        <w:rPr>
          <w:rFonts w:ascii="Times New Roman" w:hAnsi="Times New Roman" w:cs="Times New Roman"/>
        </w:rPr>
        <w:t>.gov.mk/Publikacii/knigaXIII.pdf; (accessed on February 15, 2023); Census of the population, households and apartments in the Republic of North Macedonia 2021 https://www.stat.gov.mk/publikacii/2022/POPIS_DZS_web_MK.pdf (accessed on 15.02.2023)</w:t>
      </w:r>
    </w:p>
  </w:footnote>
  <w:footnote w:id="8">
    <w:p w14:paraId="77AEAD49" w14:textId="19EE64B3" w:rsidR="00DC39D3" w:rsidRPr="005C633B" w:rsidRDefault="00DC39D3" w:rsidP="005C633B">
      <w:pPr>
        <w:pStyle w:val="FootnoteText"/>
        <w:jc w:val="both"/>
        <w:rPr>
          <w:rFonts w:ascii="Times New Roman" w:hAnsi="Times New Roman" w:cs="Times New Roman"/>
          <w:lang w:val="en-US"/>
        </w:rPr>
      </w:pPr>
      <w:r>
        <w:rPr>
          <w:rStyle w:val="FootnoteReference"/>
        </w:rPr>
        <w:footnoteRef/>
      </w:r>
      <w:r>
        <w:t xml:space="preserve"> </w:t>
      </w:r>
      <w:r w:rsidRPr="005C633B">
        <w:rPr>
          <w:rFonts w:ascii="Times New Roman" w:hAnsi="Times New Roman" w:cs="Times New Roman"/>
        </w:rPr>
        <w:t>According to</w:t>
      </w:r>
      <w:r w:rsidRPr="005C633B">
        <w:rPr>
          <w:rStyle w:val="rynqvb"/>
          <w:rFonts w:ascii="Times New Roman" w:hAnsi="Times New Roman" w:cs="Times New Roman"/>
          <w:lang w:val="en"/>
        </w:rPr>
        <w:t xml:space="preserve"> Article 3 of the Law on Secondary Education, published in</w:t>
      </w:r>
      <w:r w:rsidRPr="005C633B">
        <w:rPr>
          <w:rStyle w:val="hwtze"/>
          <w:rFonts w:ascii="Times New Roman" w:hAnsi="Times New Roman" w:cs="Times New Roman"/>
          <w:lang w:val="en"/>
        </w:rPr>
        <w:t xml:space="preserve"> </w:t>
      </w:r>
      <w:r w:rsidRPr="005C633B">
        <w:rPr>
          <w:rStyle w:val="rynqvb"/>
          <w:rFonts w:ascii="Times New Roman" w:hAnsi="Times New Roman" w:cs="Times New Roman"/>
          <w:lang w:val="en"/>
        </w:rPr>
        <w:t>Gazette of the Republic of Macedonia no.</w:t>
      </w:r>
      <w:r w:rsidRPr="005C633B">
        <w:rPr>
          <w:rStyle w:val="hwtze"/>
          <w:rFonts w:ascii="Times New Roman" w:hAnsi="Times New Roman" w:cs="Times New Roman"/>
          <w:lang w:val="en"/>
        </w:rPr>
        <w:t xml:space="preserve"> </w:t>
      </w:r>
      <w:r w:rsidRPr="005C633B">
        <w:rPr>
          <w:rStyle w:val="rynqvb"/>
          <w:rFonts w:ascii="Times New Roman" w:hAnsi="Times New Roman" w:cs="Times New Roman"/>
          <w:lang w:val="en"/>
        </w:rPr>
        <w:t xml:space="preserve">49/2007, starting from the academic year 2008-2009, </w:t>
      </w:r>
      <w:r w:rsidRPr="00A13B49">
        <w:rPr>
          <w:rStyle w:val="rynqvb"/>
          <w:rFonts w:ascii="Times New Roman" w:hAnsi="Times New Roman" w:cs="Times New Roman"/>
          <w:lang w:val="en"/>
        </w:rPr>
        <w:t xml:space="preserve">upper </w:t>
      </w:r>
      <w:r w:rsidRPr="005C633B">
        <w:rPr>
          <w:rStyle w:val="rynqvb"/>
          <w:rFonts w:ascii="Times New Roman" w:hAnsi="Times New Roman" w:cs="Times New Roman"/>
          <w:lang w:val="en"/>
        </w:rPr>
        <w:t>secondary education in the Republic of Macedonia is mandatory.</w:t>
      </w:r>
    </w:p>
  </w:footnote>
  <w:footnote w:id="9">
    <w:p w14:paraId="6384859C" w14:textId="53061E2E" w:rsidR="00DC39D3" w:rsidRPr="005C633B" w:rsidRDefault="00DC39D3">
      <w:pPr>
        <w:pStyle w:val="FootnoteText"/>
        <w:rPr>
          <w:rFonts w:ascii="Times New Roman" w:hAnsi="Times New Roman" w:cs="Times New Roman"/>
          <w:lang w:val="en-US"/>
        </w:rPr>
      </w:pPr>
      <w:r w:rsidRPr="005C633B">
        <w:rPr>
          <w:rStyle w:val="FootnoteReference"/>
          <w:rFonts w:ascii="Times New Roman" w:hAnsi="Times New Roman" w:cs="Times New Roman"/>
        </w:rPr>
        <w:footnoteRef/>
      </w:r>
      <w:r w:rsidRPr="005C633B">
        <w:rPr>
          <w:rStyle w:val="rynqvb"/>
          <w:rFonts w:ascii="Times New Roman" w:hAnsi="Times New Roman" w:cs="Times New Roman"/>
          <w:lang w:val="en"/>
        </w:rPr>
        <w:t xml:space="preserve"> Gazette of the Republic of Macedonia: Law on Higher Education, no.</w:t>
      </w:r>
      <w:r w:rsidRPr="005C633B">
        <w:rPr>
          <w:rStyle w:val="hwtze"/>
          <w:rFonts w:ascii="Times New Roman" w:hAnsi="Times New Roman" w:cs="Times New Roman"/>
          <w:lang w:val="en"/>
        </w:rPr>
        <w:t xml:space="preserve"> </w:t>
      </w:r>
      <w:r w:rsidRPr="005C633B">
        <w:rPr>
          <w:rStyle w:val="rynqvb"/>
          <w:rFonts w:ascii="Times New Roman" w:hAnsi="Times New Roman" w:cs="Times New Roman"/>
          <w:lang w:val="en"/>
        </w:rPr>
        <w:t>64/2000</w:t>
      </w:r>
      <w:r>
        <w:rPr>
          <w:rStyle w:val="rynqvb"/>
          <w:rFonts w:ascii="Times New Roman" w:hAnsi="Times New Roman" w:cs="Times New Roman"/>
          <w:lang w:val="en"/>
        </w:rPr>
        <w:t>,</w:t>
      </w:r>
      <w:r w:rsidRPr="005C633B">
        <w:rPr>
          <w:rStyle w:val="hwtze"/>
          <w:rFonts w:ascii="Times New Roman" w:hAnsi="Times New Roman" w:cs="Times New Roman"/>
          <w:lang w:val="en"/>
        </w:rPr>
        <w:t xml:space="preserve"> </w:t>
      </w:r>
      <w:r w:rsidRPr="005C633B">
        <w:rPr>
          <w:rStyle w:val="rynqvb"/>
          <w:rFonts w:ascii="Times New Roman" w:hAnsi="Times New Roman" w:cs="Times New Roman"/>
          <w:lang w:val="en"/>
        </w:rPr>
        <w:t>https://www.slvesnik.com.mk/Issues/766C5EB039794C2186FCDC03417A69D1.pdf (accessed on 24.1.2024)</w:t>
      </w:r>
    </w:p>
  </w:footnote>
  <w:footnote w:id="10">
    <w:p w14:paraId="5778E2BE" w14:textId="3861D0E2" w:rsidR="00DC39D3" w:rsidRPr="00CB1BCA" w:rsidRDefault="00DC39D3" w:rsidP="00CB1BCA">
      <w:pPr>
        <w:pStyle w:val="FootnoteText"/>
        <w:jc w:val="both"/>
        <w:rPr>
          <w:rFonts w:ascii="Times New Roman" w:hAnsi="Times New Roman" w:cs="Times New Roman"/>
          <w:lang w:val="mk-MK"/>
        </w:rPr>
      </w:pPr>
      <w:r>
        <w:rPr>
          <w:rStyle w:val="FootnoteReference"/>
        </w:rPr>
        <w:footnoteRef/>
      </w:r>
      <w:r>
        <w:t xml:space="preserve"> </w:t>
      </w:r>
      <w:r w:rsidRPr="00CB1BCA">
        <w:rPr>
          <w:rFonts w:ascii="Times New Roman" w:hAnsi="Times New Roman" w:cs="Times New Roman"/>
          <w:lang w:val="en"/>
        </w:rPr>
        <w:t>State Statistics Office, Regions in the Republic of North Macedonia, publications 2009-2021, https://www.stat.gov.mk/PublikaciiPoOblast.aspx?id=32&amp;rbrObl=37 (accessed on: 20.02.2024)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B01E7"/>
    <w:multiLevelType w:val="hybridMultilevel"/>
    <w:tmpl w:val="3214B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930A3D"/>
    <w:multiLevelType w:val="hybridMultilevel"/>
    <w:tmpl w:val="CB922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DD56F8"/>
    <w:multiLevelType w:val="hybridMultilevel"/>
    <w:tmpl w:val="95183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7354FF"/>
    <w:multiLevelType w:val="hybridMultilevel"/>
    <w:tmpl w:val="E684EFD8"/>
    <w:lvl w:ilvl="0" w:tplc="42D69232">
      <w:numFmt w:val="bullet"/>
      <w:lvlText w:val="•"/>
      <w:lvlJc w:val="left"/>
      <w:pPr>
        <w:ind w:left="360" w:hanging="360"/>
      </w:pPr>
      <w:rPr>
        <w:rFonts w:ascii="Calibri" w:eastAsiaTheme="minorHAns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A0D"/>
    <w:rsid w:val="000016C9"/>
    <w:rsid w:val="00002C56"/>
    <w:rsid w:val="000044F7"/>
    <w:rsid w:val="000102CF"/>
    <w:rsid w:val="000108B8"/>
    <w:rsid w:val="00012E22"/>
    <w:rsid w:val="00016F31"/>
    <w:rsid w:val="00017FA3"/>
    <w:rsid w:val="00026EEC"/>
    <w:rsid w:val="000369BD"/>
    <w:rsid w:val="0004141E"/>
    <w:rsid w:val="00042978"/>
    <w:rsid w:val="000436E4"/>
    <w:rsid w:val="000469B5"/>
    <w:rsid w:val="000516BE"/>
    <w:rsid w:val="00060BFF"/>
    <w:rsid w:val="00060DA9"/>
    <w:rsid w:val="00082486"/>
    <w:rsid w:val="00083F5F"/>
    <w:rsid w:val="00085357"/>
    <w:rsid w:val="00086164"/>
    <w:rsid w:val="00090B6C"/>
    <w:rsid w:val="00095ABB"/>
    <w:rsid w:val="00096028"/>
    <w:rsid w:val="000A4138"/>
    <w:rsid w:val="000C0704"/>
    <w:rsid w:val="000C359E"/>
    <w:rsid w:val="000C58A4"/>
    <w:rsid w:val="000C58AF"/>
    <w:rsid w:val="000C58C9"/>
    <w:rsid w:val="000C6868"/>
    <w:rsid w:val="000D5375"/>
    <w:rsid w:val="000D722B"/>
    <w:rsid w:val="000D75EB"/>
    <w:rsid w:val="000D760E"/>
    <w:rsid w:val="000E4F5F"/>
    <w:rsid w:val="000E7E99"/>
    <w:rsid w:val="000F2BDD"/>
    <w:rsid w:val="000F53E9"/>
    <w:rsid w:val="001002EB"/>
    <w:rsid w:val="0010411C"/>
    <w:rsid w:val="00117258"/>
    <w:rsid w:val="00117E9A"/>
    <w:rsid w:val="00123D65"/>
    <w:rsid w:val="0012437D"/>
    <w:rsid w:val="00132B7A"/>
    <w:rsid w:val="0014375F"/>
    <w:rsid w:val="0014563E"/>
    <w:rsid w:val="001631AA"/>
    <w:rsid w:val="00175B8B"/>
    <w:rsid w:val="0018013E"/>
    <w:rsid w:val="001859AE"/>
    <w:rsid w:val="001A17CA"/>
    <w:rsid w:val="001A1D3F"/>
    <w:rsid w:val="001A3831"/>
    <w:rsid w:val="001A43CC"/>
    <w:rsid w:val="001A65BE"/>
    <w:rsid w:val="001A6ACE"/>
    <w:rsid w:val="001D50AD"/>
    <w:rsid w:val="001E2A1F"/>
    <w:rsid w:val="001E2D5C"/>
    <w:rsid w:val="001F049C"/>
    <w:rsid w:val="001F0A32"/>
    <w:rsid w:val="001F4DE8"/>
    <w:rsid w:val="00212627"/>
    <w:rsid w:val="00220720"/>
    <w:rsid w:val="002301A7"/>
    <w:rsid w:val="00232D13"/>
    <w:rsid w:val="002335A1"/>
    <w:rsid w:val="00240EB2"/>
    <w:rsid w:val="00246B52"/>
    <w:rsid w:val="00252D7C"/>
    <w:rsid w:val="00253931"/>
    <w:rsid w:val="0025659A"/>
    <w:rsid w:val="0026093F"/>
    <w:rsid w:val="002669BD"/>
    <w:rsid w:val="00291848"/>
    <w:rsid w:val="00293D6C"/>
    <w:rsid w:val="00297001"/>
    <w:rsid w:val="0029790B"/>
    <w:rsid w:val="002A07B5"/>
    <w:rsid w:val="002A4883"/>
    <w:rsid w:val="002C6F4C"/>
    <w:rsid w:val="002D39B0"/>
    <w:rsid w:val="002D4F0A"/>
    <w:rsid w:val="002E0092"/>
    <w:rsid w:val="002E0555"/>
    <w:rsid w:val="002E05D9"/>
    <w:rsid w:val="002E359C"/>
    <w:rsid w:val="003027F5"/>
    <w:rsid w:val="00316BAD"/>
    <w:rsid w:val="003172D0"/>
    <w:rsid w:val="00323F0E"/>
    <w:rsid w:val="00325F62"/>
    <w:rsid w:val="003274E2"/>
    <w:rsid w:val="003347D4"/>
    <w:rsid w:val="00340A0B"/>
    <w:rsid w:val="00360FF6"/>
    <w:rsid w:val="00373AEF"/>
    <w:rsid w:val="003808CC"/>
    <w:rsid w:val="00380E3F"/>
    <w:rsid w:val="00381BAF"/>
    <w:rsid w:val="003C0F81"/>
    <w:rsid w:val="003D0183"/>
    <w:rsid w:val="003D3F24"/>
    <w:rsid w:val="003D57E9"/>
    <w:rsid w:val="003D6B63"/>
    <w:rsid w:val="003E4A2D"/>
    <w:rsid w:val="003E5D47"/>
    <w:rsid w:val="003F0DD6"/>
    <w:rsid w:val="003F2217"/>
    <w:rsid w:val="003F38B2"/>
    <w:rsid w:val="00401D2A"/>
    <w:rsid w:val="00404C08"/>
    <w:rsid w:val="00405013"/>
    <w:rsid w:val="00410D2F"/>
    <w:rsid w:val="00410ECC"/>
    <w:rsid w:val="00416A73"/>
    <w:rsid w:val="00420952"/>
    <w:rsid w:val="004238BF"/>
    <w:rsid w:val="00424CA0"/>
    <w:rsid w:val="0042561B"/>
    <w:rsid w:val="00426636"/>
    <w:rsid w:val="0042701D"/>
    <w:rsid w:val="004324DE"/>
    <w:rsid w:val="00435052"/>
    <w:rsid w:val="004441B5"/>
    <w:rsid w:val="00447790"/>
    <w:rsid w:val="0045108A"/>
    <w:rsid w:val="004617BB"/>
    <w:rsid w:val="00464BBA"/>
    <w:rsid w:val="004650A1"/>
    <w:rsid w:val="004654E1"/>
    <w:rsid w:val="00465E0F"/>
    <w:rsid w:val="00472A11"/>
    <w:rsid w:val="00476A28"/>
    <w:rsid w:val="004836DB"/>
    <w:rsid w:val="0048506B"/>
    <w:rsid w:val="00487AF0"/>
    <w:rsid w:val="00490ACF"/>
    <w:rsid w:val="00491929"/>
    <w:rsid w:val="004919C8"/>
    <w:rsid w:val="00493655"/>
    <w:rsid w:val="004A09FD"/>
    <w:rsid w:val="004A0BD9"/>
    <w:rsid w:val="004A64C0"/>
    <w:rsid w:val="004A6569"/>
    <w:rsid w:val="004A6C17"/>
    <w:rsid w:val="004A7104"/>
    <w:rsid w:val="004B766C"/>
    <w:rsid w:val="004C30C9"/>
    <w:rsid w:val="004C3758"/>
    <w:rsid w:val="004C4ECB"/>
    <w:rsid w:val="004C791B"/>
    <w:rsid w:val="004D084B"/>
    <w:rsid w:val="004D43CC"/>
    <w:rsid w:val="004D5B41"/>
    <w:rsid w:val="004E0836"/>
    <w:rsid w:val="004E232C"/>
    <w:rsid w:val="004E45D2"/>
    <w:rsid w:val="004E6A28"/>
    <w:rsid w:val="004F0C17"/>
    <w:rsid w:val="004F21CC"/>
    <w:rsid w:val="004F59E6"/>
    <w:rsid w:val="00504E59"/>
    <w:rsid w:val="00510C91"/>
    <w:rsid w:val="0051325E"/>
    <w:rsid w:val="00514A56"/>
    <w:rsid w:val="00516A9C"/>
    <w:rsid w:val="005224C6"/>
    <w:rsid w:val="00524C34"/>
    <w:rsid w:val="00525A85"/>
    <w:rsid w:val="00527CC6"/>
    <w:rsid w:val="00533965"/>
    <w:rsid w:val="00534752"/>
    <w:rsid w:val="00534923"/>
    <w:rsid w:val="00540B64"/>
    <w:rsid w:val="00541649"/>
    <w:rsid w:val="00541FCE"/>
    <w:rsid w:val="00551C80"/>
    <w:rsid w:val="00552089"/>
    <w:rsid w:val="00554F98"/>
    <w:rsid w:val="005553B5"/>
    <w:rsid w:val="005604CA"/>
    <w:rsid w:val="005722AF"/>
    <w:rsid w:val="00573D33"/>
    <w:rsid w:val="00575956"/>
    <w:rsid w:val="0057631B"/>
    <w:rsid w:val="0057681F"/>
    <w:rsid w:val="00577F87"/>
    <w:rsid w:val="00594D0A"/>
    <w:rsid w:val="0059573C"/>
    <w:rsid w:val="005A02CA"/>
    <w:rsid w:val="005A046C"/>
    <w:rsid w:val="005A2F38"/>
    <w:rsid w:val="005B22DE"/>
    <w:rsid w:val="005B2983"/>
    <w:rsid w:val="005B7690"/>
    <w:rsid w:val="005C0FEF"/>
    <w:rsid w:val="005C633B"/>
    <w:rsid w:val="005D3543"/>
    <w:rsid w:val="005D6E48"/>
    <w:rsid w:val="005E036A"/>
    <w:rsid w:val="005E584F"/>
    <w:rsid w:val="005E6180"/>
    <w:rsid w:val="005F1209"/>
    <w:rsid w:val="005F6470"/>
    <w:rsid w:val="005F75AA"/>
    <w:rsid w:val="006148FB"/>
    <w:rsid w:val="00617DF2"/>
    <w:rsid w:val="00626E7B"/>
    <w:rsid w:val="0063325A"/>
    <w:rsid w:val="00637224"/>
    <w:rsid w:val="00646DD4"/>
    <w:rsid w:val="00655258"/>
    <w:rsid w:val="006552E7"/>
    <w:rsid w:val="00656D5E"/>
    <w:rsid w:val="006615BC"/>
    <w:rsid w:val="006626D1"/>
    <w:rsid w:val="00665C51"/>
    <w:rsid w:val="006761FC"/>
    <w:rsid w:val="00680715"/>
    <w:rsid w:val="006A02F7"/>
    <w:rsid w:val="006A0542"/>
    <w:rsid w:val="006B2863"/>
    <w:rsid w:val="006B3A73"/>
    <w:rsid w:val="006C0728"/>
    <w:rsid w:val="006C68D2"/>
    <w:rsid w:val="006E3311"/>
    <w:rsid w:val="006E74B5"/>
    <w:rsid w:val="0070177A"/>
    <w:rsid w:val="00705C19"/>
    <w:rsid w:val="00732DB2"/>
    <w:rsid w:val="00734E37"/>
    <w:rsid w:val="00735CB3"/>
    <w:rsid w:val="00741A7C"/>
    <w:rsid w:val="00745372"/>
    <w:rsid w:val="00747334"/>
    <w:rsid w:val="007505D2"/>
    <w:rsid w:val="007701E7"/>
    <w:rsid w:val="00773027"/>
    <w:rsid w:val="00791EF5"/>
    <w:rsid w:val="0079572F"/>
    <w:rsid w:val="00795F61"/>
    <w:rsid w:val="00796827"/>
    <w:rsid w:val="007A0579"/>
    <w:rsid w:val="007B5758"/>
    <w:rsid w:val="007E0B16"/>
    <w:rsid w:val="007E2447"/>
    <w:rsid w:val="007E676A"/>
    <w:rsid w:val="007E72FB"/>
    <w:rsid w:val="007F1699"/>
    <w:rsid w:val="00800AD8"/>
    <w:rsid w:val="00815BAC"/>
    <w:rsid w:val="0083591E"/>
    <w:rsid w:val="0084478E"/>
    <w:rsid w:val="00845739"/>
    <w:rsid w:val="00871E8B"/>
    <w:rsid w:val="008A1E81"/>
    <w:rsid w:val="008A2497"/>
    <w:rsid w:val="008A7EC7"/>
    <w:rsid w:val="008D01C2"/>
    <w:rsid w:val="008D0F35"/>
    <w:rsid w:val="008D3647"/>
    <w:rsid w:val="008D4812"/>
    <w:rsid w:val="008E10C7"/>
    <w:rsid w:val="008E583F"/>
    <w:rsid w:val="008F5A53"/>
    <w:rsid w:val="00900E60"/>
    <w:rsid w:val="009076CC"/>
    <w:rsid w:val="009109CC"/>
    <w:rsid w:val="0091272E"/>
    <w:rsid w:val="00913FB2"/>
    <w:rsid w:val="0092388D"/>
    <w:rsid w:val="0093015F"/>
    <w:rsid w:val="00933284"/>
    <w:rsid w:val="00946858"/>
    <w:rsid w:val="00951058"/>
    <w:rsid w:val="00953198"/>
    <w:rsid w:val="009533B0"/>
    <w:rsid w:val="00970F5B"/>
    <w:rsid w:val="00973A4E"/>
    <w:rsid w:val="009765F9"/>
    <w:rsid w:val="009A0ECD"/>
    <w:rsid w:val="009A5AE1"/>
    <w:rsid w:val="009A71A6"/>
    <w:rsid w:val="009B468C"/>
    <w:rsid w:val="009C0B6E"/>
    <w:rsid w:val="009C1661"/>
    <w:rsid w:val="009C32A6"/>
    <w:rsid w:val="009F0537"/>
    <w:rsid w:val="009F130A"/>
    <w:rsid w:val="009F6FDE"/>
    <w:rsid w:val="00A00D3C"/>
    <w:rsid w:val="00A00F71"/>
    <w:rsid w:val="00A11704"/>
    <w:rsid w:val="00A13B49"/>
    <w:rsid w:val="00A166B9"/>
    <w:rsid w:val="00A17017"/>
    <w:rsid w:val="00A27BEA"/>
    <w:rsid w:val="00A419F8"/>
    <w:rsid w:val="00A45191"/>
    <w:rsid w:val="00A54325"/>
    <w:rsid w:val="00A55A0D"/>
    <w:rsid w:val="00A56878"/>
    <w:rsid w:val="00A648C1"/>
    <w:rsid w:val="00A6522D"/>
    <w:rsid w:val="00A65DC5"/>
    <w:rsid w:val="00A70557"/>
    <w:rsid w:val="00A766D7"/>
    <w:rsid w:val="00A85B4B"/>
    <w:rsid w:val="00A90567"/>
    <w:rsid w:val="00A94380"/>
    <w:rsid w:val="00A951E8"/>
    <w:rsid w:val="00AA71A0"/>
    <w:rsid w:val="00AB3960"/>
    <w:rsid w:val="00AB7C81"/>
    <w:rsid w:val="00AC7B6E"/>
    <w:rsid w:val="00AE100C"/>
    <w:rsid w:val="00AE3CCD"/>
    <w:rsid w:val="00AF002D"/>
    <w:rsid w:val="00AF219B"/>
    <w:rsid w:val="00B00D0A"/>
    <w:rsid w:val="00B04539"/>
    <w:rsid w:val="00B04BE2"/>
    <w:rsid w:val="00B07C40"/>
    <w:rsid w:val="00B10CB5"/>
    <w:rsid w:val="00B1495C"/>
    <w:rsid w:val="00B215D8"/>
    <w:rsid w:val="00B22F1D"/>
    <w:rsid w:val="00B24C1A"/>
    <w:rsid w:val="00B34FD1"/>
    <w:rsid w:val="00B410C9"/>
    <w:rsid w:val="00B410DF"/>
    <w:rsid w:val="00B43C7E"/>
    <w:rsid w:val="00B43FC1"/>
    <w:rsid w:val="00B456AC"/>
    <w:rsid w:val="00B51973"/>
    <w:rsid w:val="00B57DAD"/>
    <w:rsid w:val="00B57EBE"/>
    <w:rsid w:val="00B61D39"/>
    <w:rsid w:val="00B61FA5"/>
    <w:rsid w:val="00B6336B"/>
    <w:rsid w:val="00B634C5"/>
    <w:rsid w:val="00B66BFC"/>
    <w:rsid w:val="00B66CE6"/>
    <w:rsid w:val="00B7727E"/>
    <w:rsid w:val="00B772BD"/>
    <w:rsid w:val="00B90994"/>
    <w:rsid w:val="00B9294D"/>
    <w:rsid w:val="00B92FC2"/>
    <w:rsid w:val="00B94B0F"/>
    <w:rsid w:val="00BA0BE4"/>
    <w:rsid w:val="00BA5238"/>
    <w:rsid w:val="00BB694E"/>
    <w:rsid w:val="00BC1B61"/>
    <w:rsid w:val="00BC1C4D"/>
    <w:rsid w:val="00BC2B6D"/>
    <w:rsid w:val="00BC6B21"/>
    <w:rsid w:val="00BC795C"/>
    <w:rsid w:val="00BE60FD"/>
    <w:rsid w:val="00BF28D5"/>
    <w:rsid w:val="00BF5DE6"/>
    <w:rsid w:val="00C257B4"/>
    <w:rsid w:val="00C26F42"/>
    <w:rsid w:val="00C3070E"/>
    <w:rsid w:val="00C46EC8"/>
    <w:rsid w:val="00C54FA5"/>
    <w:rsid w:val="00C601C1"/>
    <w:rsid w:val="00C63393"/>
    <w:rsid w:val="00C77BE7"/>
    <w:rsid w:val="00C81636"/>
    <w:rsid w:val="00C81B84"/>
    <w:rsid w:val="00C9646F"/>
    <w:rsid w:val="00C96E7B"/>
    <w:rsid w:val="00CA1E86"/>
    <w:rsid w:val="00CA4717"/>
    <w:rsid w:val="00CA5E58"/>
    <w:rsid w:val="00CA78EA"/>
    <w:rsid w:val="00CB1BCA"/>
    <w:rsid w:val="00CB6150"/>
    <w:rsid w:val="00CB750E"/>
    <w:rsid w:val="00CC72E6"/>
    <w:rsid w:val="00CD472D"/>
    <w:rsid w:val="00CE01D8"/>
    <w:rsid w:val="00CE48C6"/>
    <w:rsid w:val="00CF12D6"/>
    <w:rsid w:val="00D065C4"/>
    <w:rsid w:val="00D10416"/>
    <w:rsid w:val="00D11F45"/>
    <w:rsid w:val="00D3360E"/>
    <w:rsid w:val="00D37E1E"/>
    <w:rsid w:val="00D408AD"/>
    <w:rsid w:val="00D45BBD"/>
    <w:rsid w:val="00D47B64"/>
    <w:rsid w:val="00D53C6E"/>
    <w:rsid w:val="00D62846"/>
    <w:rsid w:val="00D65FAB"/>
    <w:rsid w:val="00D846F0"/>
    <w:rsid w:val="00D87D71"/>
    <w:rsid w:val="00D92D12"/>
    <w:rsid w:val="00DA18EC"/>
    <w:rsid w:val="00DA1C4E"/>
    <w:rsid w:val="00DA32B4"/>
    <w:rsid w:val="00DB1336"/>
    <w:rsid w:val="00DB4BFA"/>
    <w:rsid w:val="00DC39D3"/>
    <w:rsid w:val="00DD6982"/>
    <w:rsid w:val="00DE2031"/>
    <w:rsid w:val="00DE4457"/>
    <w:rsid w:val="00DF1992"/>
    <w:rsid w:val="00DF1B1A"/>
    <w:rsid w:val="00DF3448"/>
    <w:rsid w:val="00DF545F"/>
    <w:rsid w:val="00DF7B2F"/>
    <w:rsid w:val="00E02827"/>
    <w:rsid w:val="00E16645"/>
    <w:rsid w:val="00E16B13"/>
    <w:rsid w:val="00E27A65"/>
    <w:rsid w:val="00E5229B"/>
    <w:rsid w:val="00E5234A"/>
    <w:rsid w:val="00E57996"/>
    <w:rsid w:val="00E60859"/>
    <w:rsid w:val="00E66D27"/>
    <w:rsid w:val="00E71E67"/>
    <w:rsid w:val="00E73286"/>
    <w:rsid w:val="00E75A1C"/>
    <w:rsid w:val="00E85DD3"/>
    <w:rsid w:val="00E86361"/>
    <w:rsid w:val="00E91A6B"/>
    <w:rsid w:val="00E93A2D"/>
    <w:rsid w:val="00E93B75"/>
    <w:rsid w:val="00E97728"/>
    <w:rsid w:val="00EB02B0"/>
    <w:rsid w:val="00EC57B2"/>
    <w:rsid w:val="00ED338C"/>
    <w:rsid w:val="00ED3449"/>
    <w:rsid w:val="00ED62E5"/>
    <w:rsid w:val="00EE02AA"/>
    <w:rsid w:val="00EE4DCC"/>
    <w:rsid w:val="00EF07CB"/>
    <w:rsid w:val="00EF276B"/>
    <w:rsid w:val="00EF4E03"/>
    <w:rsid w:val="00F05EA4"/>
    <w:rsid w:val="00F1529B"/>
    <w:rsid w:val="00F1559B"/>
    <w:rsid w:val="00F15D5E"/>
    <w:rsid w:val="00F27A1A"/>
    <w:rsid w:val="00F32D4C"/>
    <w:rsid w:val="00F40554"/>
    <w:rsid w:val="00F40DEA"/>
    <w:rsid w:val="00F475A4"/>
    <w:rsid w:val="00F53DE7"/>
    <w:rsid w:val="00F54E39"/>
    <w:rsid w:val="00F64ED5"/>
    <w:rsid w:val="00F660C8"/>
    <w:rsid w:val="00F72831"/>
    <w:rsid w:val="00F733CA"/>
    <w:rsid w:val="00F82052"/>
    <w:rsid w:val="00F855BA"/>
    <w:rsid w:val="00F868BE"/>
    <w:rsid w:val="00F93C5B"/>
    <w:rsid w:val="00F93F8B"/>
    <w:rsid w:val="00F949DB"/>
    <w:rsid w:val="00FB2185"/>
    <w:rsid w:val="00FB35BF"/>
    <w:rsid w:val="00FB7857"/>
    <w:rsid w:val="00FC57F2"/>
    <w:rsid w:val="00FC71C3"/>
    <w:rsid w:val="00FE336B"/>
    <w:rsid w:val="00FF0A0E"/>
    <w:rsid w:val="00FF60A8"/>
    <w:rsid w:val="00FF6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0B510"/>
  <w15:chartTrackingRefBased/>
  <w15:docId w15:val="{5EB049D6-5345-4D94-AEB3-94FFAEC1C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F05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0537"/>
    <w:rPr>
      <w:sz w:val="20"/>
      <w:szCs w:val="20"/>
    </w:rPr>
  </w:style>
  <w:style w:type="character" w:styleId="FootnoteReference">
    <w:name w:val="footnote reference"/>
    <w:basedOn w:val="DefaultParagraphFont"/>
    <w:uiPriority w:val="99"/>
    <w:semiHidden/>
    <w:unhideWhenUsed/>
    <w:rsid w:val="009F0537"/>
    <w:rPr>
      <w:vertAlign w:val="superscript"/>
    </w:rPr>
  </w:style>
  <w:style w:type="character" w:styleId="Hyperlink">
    <w:name w:val="Hyperlink"/>
    <w:basedOn w:val="DefaultParagraphFont"/>
    <w:uiPriority w:val="99"/>
    <w:unhideWhenUsed/>
    <w:rsid w:val="009F0537"/>
    <w:rPr>
      <w:color w:val="0563C1" w:themeColor="hyperlink"/>
      <w:u w:val="single"/>
    </w:rPr>
  </w:style>
  <w:style w:type="character" w:customStyle="1" w:styleId="UnresolvedMention1">
    <w:name w:val="Unresolved Mention1"/>
    <w:basedOn w:val="DefaultParagraphFont"/>
    <w:uiPriority w:val="99"/>
    <w:semiHidden/>
    <w:unhideWhenUsed/>
    <w:rsid w:val="009F0537"/>
    <w:rPr>
      <w:color w:val="605E5C"/>
      <w:shd w:val="clear" w:color="auto" w:fill="E1DFDD"/>
    </w:rPr>
  </w:style>
  <w:style w:type="character" w:styleId="FollowedHyperlink">
    <w:name w:val="FollowedHyperlink"/>
    <w:basedOn w:val="DefaultParagraphFont"/>
    <w:uiPriority w:val="99"/>
    <w:semiHidden/>
    <w:unhideWhenUsed/>
    <w:rsid w:val="00BB694E"/>
    <w:rPr>
      <w:color w:val="954F72" w:themeColor="followedHyperlink"/>
      <w:u w:val="single"/>
    </w:rPr>
  </w:style>
  <w:style w:type="table" w:styleId="TableGrid">
    <w:name w:val="Table Grid"/>
    <w:basedOn w:val="TableNormal"/>
    <w:uiPriority w:val="39"/>
    <w:rsid w:val="00410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9A0ECD"/>
    <w:rPr>
      <w:color w:val="605E5C"/>
      <w:shd w:val="clear" w:color="auto" w:fill="E1DFDD"/>
    </w:rPr>
  </w:style>
  <w:style w:type="character" w:customStyle="1" w:styleId="UnresolvedMention3">
    <w:name w:val="Unresolved Mention3"/>
    <w:basedOn w:val="DefaultParagraphFont"/>
    <w:uiPriority w:val="99"/>
    <w:semiHidden/>
    <w:unhideWhenUsed/>
    <w:rsid w:val="00EE02AA"/>
    <w:rPr>
      <w:color w:val="605E5C"/>
      <w:shd w:val="clear" w:color="auto" w:fill="E1DFDD"/>
    </w:rPr>
  </w:style>
  <w:style w:type="character" w:customStyle="1" w:styleId="rynqvb">
    <w:name w:val="rynqvb"/>
    <w:basedOn w:val="DefaultParagraphFont"/>
    <w:rsid w:val="00F868BE"/>
  </w:style>
  <w:style w:type="character" w:customStyle="1" w:styleId="hwtze">
    <w:name w:val="hwtze"/>
    <w:basedOn w:val="DefaultParagraphFont"/>
    <w:rsid w:val="00026EEC"/>
  </w:style>
  <w:style w:type="paragraph" w:styleId="ListParagraph">
    <w:name w:val="List Paragraph"/>
    <w:basedOn w:val="Normal"/>
    <w:uiPriority w:val="34"/>
    <w:qFormat/>
    <w:rsid w:val="00B66BFC"/>
    <w:pPr>
      <w:ind w:left="720"/>
      <w:contextualSpacing/>
    </w:pPr>
  </w:style>
  <w:style w:type="character" w:customStyle="1" w:styleId="UnresolvedMention">
    <w:name w:val="Unresolved Mention"/>
    <w:basedOn w:val="DefaultParagraphFont"/>
    <w:uiPriority w:val="99"/>
    <w:semiHidden/>
    <w:unhideWhenUsed/>
    <w:rsid w:val="00CB6150"/>
    <w:rPr>
      <w:color w:val="605E5C"/>
      <w:shd w:val="clear" w:color="auto" w:fill="E1DFDD"/>
    </w:rPr>
  </w:style>
  <w:style w:type="character" w:styleId="CommentReference">
    <w:name w:val="annotation reference"/>
    <w:basedOn w:val="DefaultParagraphFont"/>
    <w:uiPriority w:val="99"/>
    <w:semiHidden/>
    <w:unhideWhenUsed/>
    <w:rsid w:val="005F6470"/>
    <w:rPr>
      <w:sz w:val="16"/>
      <w:szCs w:val="16"/>
    </w:rPr>
  </w:style>
  <w:style w:type="paragraph" w:styleId="CommentText">
    <w:name w:val="annotation text"/>
    <w:basedOn w:val="Normal"/>
    <w:link w:val="CommentTextChar"/>
    <w:uiPriority w:val="99"/>
    <w:semiHidden/>
    <w:unhideWhenUsed/>
    <w:rsid w:val="005F6470"/>
    <w:pPr>
      <w:spacing w:line="240" w:lineRule="auto"/>
    </w:pPr>
    <w:rPr>
      <w:sz w:val="20"/>
      <w:szCs w:val="20"/>
    </w:rPr>
  </w:style>
  <w:style w:type="character" w:customStyle="1" w:styleId="CommentTextChar">
    <w:name w:val="Comment Text Char"/>
    <w:basedOn w:val="DefaultParagraphFont"/>
    <w:link w:val="CommentText"/>
    <w:uiPriority w:val="99"/>
    <w:semiHidden/>
    <w:rsid w:val="005F6470"/>
    <w:rPr>
      <w:sz w:val="20"/>
      <w:szCs w:val="20"/>
    </w:rPr>
  </w:style>
  <w:style w:type="paragraph" w:styleId="CommentSubject">
    <w:name w:val="annotation subject"/>
    <w:basedOn w:val="CommentText"/>
    <w:next w:val="CommentText"/>
    <w:link w:val="CommentSubjectChar"/>
    <w:uiPriority w:val="99"/>
    <w:semiHidden/>
    <w:unhideWhenUsed/>
    <w:rsid w:val="005F6470"/>
    <w:rPr>
      <w:b/>
      <w:bCs/>
    </w:rPr>
  </w:style>
  <w:style w:type="character" w:customStyle="1" w:styleId="CommentSubjectChar">
    <w:name w:val="Comment Subject Char"/>
    <w:basedOn w:val="CommentTextChar"/>
    <w:link w:val="CommentSubject"/>
    <w:uiPriority w:val="99"/>
    <w:semiHidden/>
    <w:rsid w:val="005F6470"/>
    <w:rPr>
      <w:b/>
      <w:bCs/>
      <w:sz w:val="20"/>
      <w:szCs w:val="20"/>
    </w:rPr>
  </w:style>
  <w:style w:type="paragraph" w:styleId="BalloonText">
    <w:name w:val="Balloon Text"/>
    <w:basedOn w:val="Normal"/>
    <w:link w:val="BalloonTextChar"/>
    <w:uiPriority w:val="99"/>
    <w:semiHidden/>
    <w:unhideWhenUsed/>
    <w:rsid w:val="005F64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4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86304">
      <w:bodyDiv w:val="1"/>
      <w:marLeft w:val="0"/>
      <w:marRight w:val="0"/>
      <w:marTop w:val="0"/>
      <w:marBottom w:val="0"/>
      <w:divBdr>
        <w:top w:val="none" w:sz="0" w:space="0" w:color="auto"/>
        <w:left w:val="none" w:sz="0" w:space="0" w:color="auto"/>
        <w:bottom w:val="none" w:sz="0" w:space="0" w:color="auto"/>
        <w:right w:val="none" w:sz="0" w:space="0" w:color="auto"/>
      </w:divBdr>
    </w:div>
    <w:div w:id="142815824">
      <w:bodyDiv w:val="1"/>
      <w:marLeft w:val="0"/>
      <w:marRight w:val="0"/>
      <w:marTop w:val="0"/>
      <w:marBottom w:val="0"/>
      <w:divBdr>
        <w:top w:val="none" w:sz="0" w:space="0" w:color="auto"/>
        <w:left w:val="none" w:sz="0" w:space="0" w:color="auto"/>
        <w:bottom w:val="none" w:sz="0" w:space="0" w:color="auto"/>
        <w:right w:val="none" w:sz="0" w:space="0" w:color="auto"/>
      </w:divBdr>
    </w:div>
    <w:div w:id="167135467">
      <w:bodyDiv w:val="1"/>
      <w:marLeft w:val="0"/>
      <w:marRight w:val="0"/>
      <w:marTop w:val="0"/>
      <w:marBottom w:val="0"/>
      <w:divBdr>
        <w:top w:val="none" w:sz="0" w:space="0" w:color="auto"/>
        <w:left w:val="none" w:sz="0" w:space="0" w:color="auto"/>
        <w:bottom w:val="none" w:sz="0" w:space="0" w:color="auto"/>
        <w:right w:val="none" w:sz="0" w:space="0" w:color="auto"/>
      </w:divBdr>
    </w:div>
    <w:div w:id="175733017">
      <w:bodyDiv w:val="1"/>
      <w:marLeft w:val="0"/>
      <w:marRight w:val="0"/>
      <w:marTop w:val="0"/>
      <w:marBottom w:val="0"/>
      <w:divBdr>
        <w:top w:val="none" w:sz="0" w:space="0" w:color="auto"/>
        <w:left w:val="none" w:sz="0" w:space="0" w:color="auto"/>
        <w:bottom w:val="none" w:sz="0" w:space="0" w:color="auto"/>
        <w:right w:val="none" w:sz="0" w:space="0" w:color="auto"/>
      </w:divBdr>
    </w:div>
    <w:div w:id="227150687">
      <w:bodyDiv w:val="1"/>
      <w:marLeft w:val="0"/>
      <w:marRight w:val="0"/>
      <w:marTop w:val="0"/>
      <w:marBottom w:val="0"/>
      <w:divBdr>
        <w:top w:val="none" w:sz="0" w:space="0" w:color="auto"/>
        <w:left w:val="none" w:sz="0" w:space="0" w:color="auto"/>
        <w:bottom w:val="none" w:sz="0" w:space="0" w:color="auto"/>
        <w:right w:val="none" w:sz="0" w:space="0" w:color="auto"/>
      </w:divBdr>
    </w:div>
    <w:div w:id="316422155">
      <w:bodyDiv w:val="1"/>
      <w:marLeft w:val="0"/>
      <w:marRight w:val="0"/>
      <w:marTop w:val="0"/>
      <w:marBottom w:val="0"/>
      <w:divBdr>
        <w:top w:val="none" w:sz="0" w:space="0" w:color="auto"/>
        <w:left w:val="none" w:sz="0" w:space="0" w:color="auto"/>
        <w:bottom w:val="none" w:sz="0" w:space="0" w:color="auto"/>
        <w:right w:val="none" w:sz="0" w:space="0" w:color="auto"/>
      </w:divBdr>
    </w:div>
    <w:div w:id="352387990">
      <w:bodyDiv w:val="1"/>
      <w:marLeft w:val="0"/>
      <w:marRight w:val="0"/>
      <w:marTop w:val="0"/>
      <w:marBottom w:val="0"/>
      <w:divBdr>
        <w:top w:val="none" w:sz="0" w:space="0" w:color="auto"/>
        <w:left w:val="none" w:sz="0" w:space="0" w:color="auto"/>
        <w:bottom w:val="none" w:sz="0" w:space="0" w:color="auto"/>
        <w:right w:val="none" w:sz="0" w:space="0" w:color="auto"/>
      </w:divBdr>
    </w:div>
    <w:div w:id="377634549">
      <w:bodyDiv w:val="1"/>
      <w:marLeft w:val="0"/>
      <w:marRight w:val="0"/>
      <w:marTop w:val="0"/>
      <w:marBottom w:val="0"/>
      <w:divBdr>
        <w:top w:val="none" w:sz="0" w:space="0" w:color="auto"/>
        <w:left w:val="none" w:sz="0" w:space="0" w:color="auto"/>
        <w:bottom w:val="none" w:sz="0" w:space="0" w:color="auto"/>
        <w:right w:val="none" w:sz="0" w:space="0" w:color="auto"/>
      </w:divBdr>
    </w:div>
    <w:div w:id="381566287">
      <w:bodyDiv w:val="1"/>
      <w:marLeft w:val="0"/>
      <w:marRight w:val="0"/>
      <w:marTop w:val="0"/>
      <w:marBottom w:val="0"/>
      <w:divBdr>
        <w:top w:val="none" w:sz="0" w:space="0" w:color="auto"/>
        <w:left w:val="none" w:sz="0" w:space="0" w:color="auto"/>
        <w:bottom w:val="none" w:sz="0" w:space="0" w:color="auto"/>
        <w:right w:val="none" w:sz="0" w:space="0" w:color="auto"/>
      </w:divBdr>
    </w:div>
    <w:div w:id="458765113">
      <w:bodyDiv w:val="1"/>
      <w:marLeft w:val="0"/>
      <w:marRight w:val="0"/>
      <w:marTop w:val="0"/>
      <w:marBottom w:val="0"/>
      <w:divBdr>
        <w:top w:val="none" w:sz="0" w:space="0" w:color="auto"/>
        <w:left w:val="none" w:sz="0" w:space="0" w:color="auto"/>
        <w:bottom w:val="none" w:sz="0" w:space="0" w:color="auto"/>
        <w:right w:val="none" w:sz="0" w:space="0" w:color="auto"/>
      </w:divBdr>
    </w:div>
    <w:div w:id="470369779">
      <w:bodyDiv w:val="1"/>
      <w:marLeft w:val="0"/>
      <w:marRight w:val="0"/>
      <w:marTop w:val="0"/>
      <w:marBottom w:val="0"/>
      <w:divBdr>
        <w:top w:val="none" w:sz="0" w:space="0" w:color="auto"/>
        <w:left w:val="none" w:sz="0" w:space="0" w:color="auto"/>
        <w:bottom w:val="none" w:sz="0" w:space="0" w:color="auto"/>
        <w:right w:val="none" w:sz="0" w:space="0" w:color="auto"/>
      </w:divBdr>
      <w:divsChild>
        <w:div w:id="95516495">
          <w:marLeft w:val="0"/>
          <w:marRight w:val="0"/>
          <w:marTop w:val="0"/>
          <w:marBottom w:val="0"/>
          <w:divBdr>
            <w:top w:val="none" w:sz="0" w:space="0" w:color="auto"/>
            <w:left w:val="none" w:sz="0" w:space="0" w:color="auto"/>
            <w:bottom w:val="none" w:sz="0" w:space="0" w:color="auto"/>
            <w:right w:val="none" w:sz="0" w:space="0" w:color="auto"/>
          </w:divBdr>
        </w:div>
        <w:div w:id="2115904483">
          <w:marLeft w:val="0"/>
          <w:marRight w:val="0"/>
          <w:marTop w:val="0"/>
          <w:marBottom w:val="0"/>
          <w:divBdr>
            <w:top w:val="none" w:sz="0" w:space="0" w:color="auto"/>
            <w:left w:val="none" w:sz="0" w:space="0" w:color="auto"/>
            <w:bottom w:val="none" w:sz="0" w:space="0" w:color="auto"/>
            <w:right w:val="none" w:sz="0" w:space="0" w:color="auto"/>
          </w:divBdr>
          <w:divsChild>
            <w:div w:id="1607999720">
              <w:marLeft w:val="0"/>
              <w:marRight w:val="0"/>
              <w:marTop w:val="0"/>
              <w:marBottom w:val="0"/>
              <w:divBdr>
                <w:top w:val="none" w:sz="0" w:space="0" w:color="auto"/>
                <w:left w:val="none" w:sz="0" w:space="0" w:color="auto"/>
                <w:bottom w:val="none" w:sz="0" w:space="0" w:color="auto"/>
                <w:right w:val="none" w:sz="0" w:space="0" w:color="auto"/>
              </w:divBdr>
              <w:divsChild>
                <w:div w:id="1426610245">
                  <w:marLeft w:val="0"/>
                  <w:marRight w:val="0"/>
                  <w:marTop w:val="0"/>
                  <w:marBottom w:val="0"/>
                  <w:divBdr>
                    <w:top w:val="none" w:sz="0" w:space="0" w:color="auto"/>
                    <w:left w:val="none" w:sz="0" w:space="0" w:color="auto"/>
                    <w:bottom w:val="none" w:sz="0" w:space="0" w:color="auto"/>
                    <w:right w:val="none" w:sz="0" w:space="0" w:color="auto"/>
                  </w:divBdr>
                  <w:divsChild>
                    <w:div w:id="85507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033832">
      <w:bodyDiv w:val="1"/>
      <w:marLeft w:val="0"/>
      <w:marRight w:val="0"/>
      <w:marTop w:val="0"/>
      <w:marBottom w:val="0"/>
      <w:divBdr>
        <w:top w:val="none" w:sz="0" w:space="0" w:color="auto"/>
        <w:left w:val="none" w:sz="0" w:space="0" w:color="auto"/>
        <w:bottom w:val="none" w:sz="0" w:space="0" w:color="auto"/>
        <w:right w:val="none" w:sz="0" w:space="0" w:color="auto"/>
      </w:divBdr>
    </w:div>
    <w:div w:id="506139412">
      <w:bodyDiv w:val="1"/>
      <w:marLeft w:val="0"/>
      <w:marRight w:val="0"/>
      <w:marTop w:val="0"/>
      <w:marBottom w:val="0"/>
      <w:divBdr>
        <w:top w:val="none" w:sz="0" w:space="0" w:color="auto"/>
        <w:left w:val="none" w:sz="0" w:space="0" w:color="auto"/>
        <w:bottom w:val="none" w:sz="0" w:space="0" w:color="auto"/>
        <w:right w:val="none" w:sz="0" w:space="0" w:color="auto"/>
      </w:divBdr>
    </w:div>
    <w:div w:id="535048840">
      <w:bodyDiv w:val="1"/>
      <w:marLeft w:val="0"/>
      <w:marRight w:val="0"/>
      <w:marTop w:val="0"/>
      <w:marBottom w:val="0"/>
      <w:divBdr>
        <w:top w:val="none" w:sz="0" w:space="0" w:color="auto"/>
        <w:left w:val="none" w:sz="0" w:space="0" w:color="auto"/>
        <w:bottom w:val="none" w:sz="0" w:space="0" w:color="auto"/>
        <w:right w:val="none" w:sz="0" w:space="0" w:color="auto"/>
      </w:divBdr>
    </w:div>
    <w:div w:id="543102092">
      <w:bodyDiv w:val="1"/>
      <w:marLeft w:val="0"/>
      <w:marRight w:val="0"/>
      <w:marTop w:val="0"/>
      <w:marBottom w:val="0"/>
      <w:divBdr>
        <w:top w:val="none" w:sz="0" w:space="0" w:color="auto"/>
        <w:left w:val="none" w:sz="0" w:space="0" w:color="auto"/>
        <w:bottom w:val="none" w:sz="0" w:space="0" w:color="auto"/>
        <w:right w:val="none" w:sz="0" w:space="0" w:color="auto"/>
      </w:divBdr>
    </w:div>
    <w:div w:id="638189927">
      <w:bodyDiv w:val="1"/>
      <w:marLeft w:val="0"/>
      <w:marRight w:val="0"/>
      <w:marTop w:val="0"/>
      <w:marBottom w:val="0"/>
      <w:divBdr>
        <w:top w:val="none" w:sz="0" w:space="0" w:color="auto"/>
        <w:left w:val="none" w:sz="0" w:space="0" w:color="auto"/>
        <w:bottom w:val="none" w:sz="0" w:space="0" w:color="auto"/>
        <w:right w:val="none" w:sz="0" w:space="0" w:color="auto"/>
      </w:divBdr>
    </w:div>
    <w:div w:id="638653053">
      <w:bodyDiv w:val="1"/>
      <w:marLeft w:val="0"/>
      <w:marRight w:val="0"/>
      <w:marTop w:val="0"/>
      <w:marBottom w:val="0"/>
      <w:divBdr>
        <w:top w:val="none" w:sz="0" w:space="0" w:color="auto"/>
        <w:left w:val="none" w:sz="0" w:space="0" w:color="auto"/>
        <w:bottom w:val="none" w:sz="0" w:space="0" w:color="auto"/>
        <w:right w:val="none" w:sz="0" w:space="0" w:color="auto"/>
      </w:divBdr>
    </w:div>
    <w:div w:id="662204008">
      <w:bodyDiv w:val="1"/>
      <w:marLeft w:val="0"/>
      <w:marRight w:val="0"/>
      <w:marTop w:val="0"/>
      <w:marBottom w:val="0"/>
      <w:divBdr>
        <w:top w:val="none" w:sz="0" w:space="0" w:color="auto"/>
        <w:left w:val="none" w:sz="0" w:space="0" w:color="auto"/>
        <w:bottom w:val="none" w:sz="0" w:space="0" w:color="auto"/>
        <w:right w:val="none" w:sz="0" w:space="0" w:color="auto"/>
      </w:divBdr>
    </w:div>
    <w:div w:id="782577813">
      <w:bodyDiv w:val="1"/>
      <w:marLeft w:val="0"/>
      <w:marRight w:val="0"/>
      <w:marTop w:val="0"/>
      <w:marBottom w:val="0"/>
      <w:divBdr>
        <w:top w:val="none" w:sz="0" w:space="0" w:color="auto"/>
        <w:left w:val="none" w:sz="0" w:space="0" w:color="auto"/>
        <w:bottom w:val="none" w:sz="0" w:space="0" w:color="auto"/>
        <w:right w:val="none" w:sz="0" w:space="0" w:color="auto"/>
      </w:divBdr>
      <w:divsChild>
        <w:div w:id="227494378">
          <w:marLeft w:val="0"/>
          <w:marRight w:val="0"/>
          <w:marTop w:val="0"/>
          <w:marBottom w:val="0"/>
          <w:divBdr>
            <w:top w:val="none" w:sz="0" w:space="0" w:color="auto"/>
            <w:left w:val="none" w:sz="0" w:space="0" w:color="auto"/>
            <w:bottom w:val="none" w:sz="0" w:space="0" w:color="auto"/>
            <w:right w:val="none" w:sz="0" w:space="0" w:color="auto"/>
          </w:divBdr>
        </w:div>
      </w:divsChild>
    </w:div>
    <w:div w:id="954679762">
      <w:bodyDiv w:val="1"/>
      <w:marLeft w:val="0"/>
      <w:marRight w:val="0"/>
      <w:marTop w:val="0"/>
      <w:marBottom w:val="0"/>
      <w:divBdr>
        <w:top w:val="none" w:sz="0" w:space="0" w:color="auto"/>
        <w:left w:val="none" w:sz="0" w:space="0" w:color="auto"/>
        <w:bottom w:val="none" w:sz="0" w:space="0" w:color="auto"/>
        <w:right w:val="none" w:sz="0" w:space="0" w:color="auto"/>
      </w:divBdr>
    </w:div>
    <w:div w:id="957178719">
      <w:bodyDiv w:val="1"/>
      <w:marLeft w:val="0"/>
      <w:marRight w:val="0"/>
      <w:marTop w:val="0"/>
      <w:marBottom w:val="0"/>
      <w:divBdr>
        <w:top w:val="none" w:sz="0" w:space="0" w:color="auto"/>
        <w:left w:val="none" w:sz="0" w:space="0" w:color="auto"/>
        <w:bottom w:val="none" w:sz="0" w:space="0" w:color="auto"/>
        <w:right w:val="none" w:sz="0" w:space="0" w:color="auto"/>
      </w:divBdr>
    </w:div>
    <w:div w:id="995065213">
      <w:bodyDiv w:val="1"/>
      <w:marLeft w:val="0"/>
      <w:marRight w:val="0"/>
      <w:marTop w:val="0"/>
      <w:marBottom w:val="0"/>
      <w:divBdr>
        <w:top w:val="none" w:sz="0" w:space="0" w:color="auto"/>
        <w:left w:val="none" w:sz="0" w:space="0" w:color="auto"/>
        <w:bottom w:val="none" w:sz="0" w:space="0" w:color="auto"/>
        <w:right w:val="none" w:sz="0" w:space="0" w:color="auto"/>
      </w:divBdr>
    </w:div>
    <w:div w:id="1007365612">
      <w:bodyDiv w:val="1"/>
      <w:marLeft w:val="0"/>
      <w:marRight w:val="0"/>
      <w:marTop w:val="0"/>
      <w:marBottom w:val="0"/>
      <w:divBdr>
        <w:top w:val="none" w:sz="0" w:space="0" w:color="auto"/>
        <w:left w:val="none" w:sz="0" w:space="0" w:color="auto"/>
        <w:bottom w:val="none" w:sz="0" w:space="0" w:color="auto"/>
        <w:right w:val="none" w:sz="0" w:space="0" w:color="auto"/>
      </w:divBdr>
    </w:div>
    <w:div w:id="1022392446">
      <w:bodyDiv w:val="1"/>
      <w:marLeft w:val="0"/>
      <w:marRight w:val="0"/>
      <w:marTop w:val="0"/>
      <w:marBottom w:val="0"/>
      <w:divBdr>
        <w:top w:val="none" w:sz="0" w:space="0" w:color="auto"/>
        <w:left w:val="none" w:sz="0" w:space="0" w:color="auto"/>
        <w:bottom w:val="none" w:sz="0" w:space="0" w:color="auto"/>
        <w:right w:val="none" w:sz="0" w:space="0" w:color="auto"/>
      </w:divBdr>
    </w:div>
    <w:div w:id="1025983365">
      <w:bodyDiv w:val="1"/>
      <w:marLeft w:val="0"/>
      <w:marRight w:val="0"/>
      <w:marTop w:val="0"/>
      <w:marBottom w:val="0"/>
      <w:divBdr>
        <w:top w:val="none" w:sz="0" w:space="0" w:color="auto"/>
        <w:left w:val="none" w:sz="0" w:space="0" w:color="auto"/>
        <w:bottom w:val="none" w:sz="0" w:space="0" w:color="auto"/>
        <w:right w:val="none" w:sz="0" w:space="0" w:color="auto"/>
      </w:divBdr>
      <w:divsChild>
        <w:div w:id="1175610887">
          <w:marLeft w:val="0"/>
          <w:marRight w:val="0"/>
          <w:marTop w:val="0"/>
          <w:marBottom w:val="0"/>
          <w:divBdr>
            <w:top w:val="none" w:sz="0" w:space="0" w:color="auto"/>
            <w:left w:val="none" w:sz="0" w:space="0" w:color="auto"/>
            <w:bottom w:val="none" w:sz="0" w:space="0" w:color="auto"/>
            <w:right w:val="none" w:sz="0" w:space="0" w:color="auto"/>
          </w:divBdr>
        </w:div>
      </w:divsChild>
    </w:div>
    <w:div w:id="1076434610">
      <w:bodyDiv w:val="1"/>
      <w:marLeft w:val="0"/>
      <w:marRight w:val="0"/>
      <w:marTop w:val="0"/>
      <w:marBottom w:val="0"/>
      <w:divBdr>
        <w:top w:val="none" w:sz="0" w:space="0" w:color="auto"/>
        <w:left w:val="none" w:sz="0" w:space="0" w:color="auto"/>
        <w:bottom w:val="none" w:sz="0" w:space="0" w:color="auto"/>
        <w:right w:val="none" w:sz="0" w:space="0" w:color="auto"/>
      </w:divBdr>
    </w:div>
    <w:div w:id="1147042712">
      <w:bodyDiv w:val="1"/>
      <w:marLeft w:val="0"/>
      <w:marRight w:val="0"/>
      <w:marTop w:val="0"/>
      <w:marBottom w:val="0"/>
      <w:divBdr>
        <w:top w:val="none" w:sz="0" w:space="0" w:color="auto"/>
        <w:left w:val="none" w:sz="0" w:space="0" w:color="auto"/>
        <w:bottom w:val="none" w:sz="0" w:space="0" w:color="auto"/>
        <w:right w:val="none" w:sz="0" w:space="0" w:color="auto"/>
      </w:divBdr>
    </w:div>
    <w:div w:id="1201016574">
      <w:bodyDiv w:val="1"/>
      <w:marLeft w:val="0"/>
      <w:marRight w:val="0"/>
      <w:marTop w:val="0"/>
      <w:marBottom w:val="0"/>
      <w:divBdr>
        <w:top w:val="none" w:sz="0" w:space="0" w:color="auto"/>
        <w:left w:val="none" w:sz="0" w:space="0" w:color="auto"/>
        <w:bottom w:val="none" w:sz="0" w:space="0" w:color="auto"/>
        <w:right w:val="none" w:sz="0" w:space="0" w:color="auto"/>
      </w:divBdr>
    </w:div>
    <w:div w:id="1208223676">
      <w:bodyDiv w:val="1"/>
      <w:marLeft w:val="0"/>
      <w:marRight w:val="0"/>
      <w:marTop w:val="0"/>
      <w:marBottom w:val="0"/>
      <w:divBdr>
        <w:top w:val="none" w:sz="0" w:space="0" w:color="auto"/>
        <w:left w:val="none" w:sz="0" w:space="0" w:color="auto"/>
        <w:bottom w:val="none" w:sz="0" w:space="0" w:color="auto"/>
        <w:right w:val="none" w:sz="0" w:space="0" w:color="auto"/>
      </w:divBdr>
    </w:div>
    <w:div w:id="1469937954">
      <w:bodyDiv w:val="1"/>
      <w:marLeft w:val="0"/>
      <w:marRight w:val="0"/>
      <w:marTop w:val="0"/>
      <w:marBottom w:val="0"/>
      <w:divBdr>
        <w:top w:val="none" w:sz="0" w:space="0" w:color="auto"/>
        <w:left w:val="none" w:sz="0" w:space="0" w:color="auto"/>
        <w:bottom w:val="none" w:sz="0" w:space="0" w:color="auto"/>
        <w:right w:val="none" w:sz="0" w:space="0" w:color="auto"/>
      </w:divBdr>
      <w:divsChild>
        <w:div w:id="276371793">
          <w:marLeft w:val="0"/>
          <w:marRight w:val="0"/>
          <w:marTop w:val="0"/>
          <w:marBottom w:val="0"/>
          <w:divBdr>
            <w:top w:val="none" w:sz="0" w:space="0" w:color="auto"/>
            <w:left w:val="none" w:sz="0" w:space="0" w:color="auto"/>
            <w:bottom w:val="none" w:sz="0" w:space="0" w:color="auto"/>
            <w:right w:val="none" w:sz="0" w:space="0" w:color="auto"/>
          </w:divBdr>
        </w:div>
      </w:divsChild>
    </w:div>
    <w:div w:id="1482230225">
      <w:bodyDiv w:val="1"/>
      <w:marLeft w:val="0"/>
      <w:marRight w:val="0"/>
      <w:marTop w:val="0"/>
      <w:marBottom w:val="0"/>
      <w:divBdr>
        <w:top w:val="none" w:sz="0" w:space="0" w:color="auto"/>
        <w:left w:val="none" w:sz="0" w:space="0" w:color="auto"/>
        <w:bottom w:val="none" w:sz="0" w:space="0" w:color="auto"/>
        <w:right w:val="none" w:sz="0" w:space="0" w:color="auto"/>
      </w:divBdr>
    </w:div>
    <w:div w:id="1530676256">
      <w:bodyDiv w:val="1"/>
      <w:marLeft w:val="0"/>
      <w:marRight w:val="0"/>
      <w:marTop w:val="0"/>
      <w:marBottom w:val="0"/>
      <w:divBdr>
        <w:top w:val="none" w:sz="0" w:space="0" w:color="auto"/>
        <w:left w:val="none" w:sz="0" w:space="0" w:color="auto"/>
        <w:bottom w:val="none" w:sz="0" w:space="0" w:color="auto"/>
        <w:right w:val="none" w:sz="0" w:space="0" w:color="auto"/>
      </w:divBdr>
    </w:div>
    <w:div w:id="1655915640">
      <w:bodyDiv w:val="1"/>
      <w:marLeft w:val="0"/>
      <w:marRight w:val="0"/>
      <w:marTop w:val="0"/>
      <w:marBottom w:val="0"/>
      <w:divBdr>
        <w:top w:val="none" w:sz="0" w:space="0" w:color="auto"/>
        <w:left w:val="none" w:sz="0" w:space="0" w:color="auto"/>
        <w:bottom w:val="none" w:sz="0" w:space="0" w:color="auto"/>
        <w:right w:val="none" w:sz="0" w:space="0" w:color="auto"/>
      </w:divBdr>
    </w:div>
    <w:div w:id="1694576338">
      <w:bodyDiv w:val="1"/>
      <w:marLeft w:val="0"/>
      <w:marRight w:val="0"/>
      <w:marTop w:val="0"/>
      <w:marBottom w:val="0"/>
      <w:divBdr>
        <w:top w:val="none" w:sz="0" w:space="0" w:color="auto"/>
        <w:left w:val="none" w:sz="0" w:space="0" w:color="auto"/>
        <w:bottom w:val="none" w:sz="0" w:space="0" w:color="auto"/>
        <w:right w:val="none" w:sz="0" w:space="0" w:color="auto"/>
      </w:divBdr>
    </w:div>
    <w:div w:id="1747145028">
      <w:bodyDiv w:val="1"/>
      <w:marLeft w:val="0"/>
      <w:marRight w:val="0"/>
      <w:marTop w:val="0"/>
      <w:marBottom w:val="0"/>
      <w:divBdr>
        <w:top w:val="none" w:sz="0" w:space="0" w:color="auto"/>
        <w:left w:val="none" w:sz="0" w:space="0" w:color="auto"/>
        <w:bottom w:val="none" w:sz="0" w:space="0" w:color="auto"/>
        <w:right w:val="none" w:sz="0" w:space="0" w:color="auto"/>
      </w:divBdr>
    </w:div>
    <w:div w:id="1786805983">
      <w:bodyDiv w:val="1"/>
      <w:marLeft w:val="0"/>
      <w:marRight w:val="0"/>
      <w:marTop w:val="0"/>
      <w:marBottom w:val="0"/>
      <w:divBdr>
        <w:top w:val="none" w:sz="0" w:space="0" w:color="auto"/>
        <w:left w:val="none" w:sz="0" w:space="0" w:color="auto"/>
        <w:bottom w:val="none" w:sz="0" w:space="0" w:color="auto"/>
        <w:right w:val="none" w:sz="0" w:space="0" w:color="auto"/>
      </w:divBdr>
    </w:div>
    <w:div w:id="1836065162">
      <w:bodyDiv w:val="1"/>
      <w:marLeft w:val="0"/>
      <w:marRight w:val="0"/>
      <w:marTop w:val="0"/>
      <w:marBottom w:val="0"/>
      <w:divBdr>
        <w:top w:val="none" w:sz="0" w:space="0" w:color="auto"/>
        <w:left w:val="none" w:sz="0" w:space="0" w:color="auto"/>
        <w:bottom w:val="none" w:sz="0" w:space="0" w:color="auto"/>
        <w:right w:val="none" w:sz="0" w:space="0" w:color="auto"/>
      </w:divBdr>
    </w:div>
    <w:div w:id="1859804611">
      <w:bodyDiv w:val="1"/>
      <w:marLeft w:val="0"/>
      <w:marRight w:val="0"/>
      <w:marTop w:val="0"/>
      <w:marBottom w:val="0"/>
      <w:divBdr>
        <w:top w:val="none" w:sz="0" w:space="0" w:color="auto"/>
        <w:left w:val="none" w:sz="0" w:space="0" w:color="auto"/>
        <w:bottom w:val="none" w:sz="0" w:space="0" w:color="auto"/>
        <w:right w:val="none" w:sz="0" w:space="0" w:color="auto"/>
      </w:divBdr>
    </w:div>
    <w:div w:id="1881820800">
      <w:bodyDiv w:val="1"/>
      <w:marLeft w:val="0"/>
      <w:marRight w:val="0"/>
      <w:marTop w:val="0"/>
      <w:marBottom w:val="0"/>
      <w:divBdr>
        <w:top w:val="none" w:sz="0" w:space="0" w:color="auto"/>
        <w:left w:val="none" w:sz="0" w:space="0" w:color="auto"/>
        <w:bottom w:val="none" w:sz="0" w:space="0" w:color="auto"/>
        <w:right w:val="none" w:sz="0" w:space="0" w:color="auto"/>
      </w:divBdr>
    </w:div>
    <w:div w:id="1906796596">
      <w:bodyDiv w:val="1"/>
      <w:marLeft w:val="0"/>
      <w:marRight w:val="0"/>
      <w:marTop w:val="0"/>
      <w:marBottom w:val="0"/>
      <w:divBdr>
        <w:top w:val="none" w:sz="0" w:space="0" w:color="auto"/>
        <w:left w:val="none" w:sz="0" w:space="0" w:color="auto"/>
        <w:bottom w:val="none" w:sz="0" w:space="0" w:color="auto"/>
        <w:right w:val="none" w:sz="0" w:space="0" w:color="auto"/>
      </w:divBdr>
    </w:div>
    <w:div w:id="1963418155">
      <w:bodyDiv w:val="1"/>
      <w:marLeft w:val="0"/>
      <w:marRight w:val="0"/>
      <w:marTop w:val="0"/>
      <w:marBottom w:val="0"/>
      <w:divBdr>
        <w:top w:val="none" w:sz="0" w:space="0" w:color="auto"/>
        <w:left w:val="none" w:sz="0" w:space="0" w:color="auto"/>
        <w:bottom w:val="none" w:sz="0" w:space="0" w:color="auto"/>
        <w:right w:val="none" w:sz="0" w:space="0" w:color="auto"/>
      </w:divBdr>
    </w:div>
    <w:div w:id="1988515260">
      <w:bodyDiv w:val="1"/>
      <w:marLeft w:val="0"/>
      <w:marRight w:val="0"/>
      <w:marTop w:val="0"/>
      <w:marBottom w:val="0"/>
      <w:divBdr>
        <w:top w:val="none" w:sz="0" w:space="0" w:color="auto"/>
        <w:left w:val="none" w:sz="0" w:space="0" w:color="auto"/>
        <w:bottom w:val="none" w:sz="0" w:space="0" w:color="auto"/>
        <w:right w:val="none" w:sz="0" w:space="0" w:color="auto"/>
      </w:divBdr>
    </w:div>
    <w:div w:id="2022124511">
      <w:bodyDiv w:val="1"/>
      <w:marLeft w:val="0"/>
      <w:marRight w:val="0"/>
      <w:marTop w:val="0"/>
      <w:marBottom w:val="0"/>
      <w:divBdr>
        <w:top w:val="none" w:sz="0" w:space="0" w:color="auto"/>
        <w:left w:val="none" w:sz="0" w:space="0" w:color="auto"/>
        <w:bottom w:val="none" w:sz="0" w:space="0" w:color="auto"/>
        <w:right w:val="none" w:sz="0" w:space="0" w:color="auto"/>
      </w:divBdr>
      <w:divsChild>
        <w:div w:id="904801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557AF-6B7A-4392-B574-A5B363019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15</Pages>
  <Words>3734</Words>
  <Characters>21289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Daniloska</dc:creator>
  <cp:keywords/>
  <dc:description/>
  <cp:lastModifiedBy>User</cp:lastModifiedBy>
  <cp:revision>6</cp:revision>
  <dcterms:created xsi:type="dcterms:W3CDTF">2024-04-11T09:34:00Z</dcterms:created>
  <dcterms:modified xsi:type="dcterms:W3CDTF">2024-04-11T10:24:00Z</dcterms:modified>
</cp:coreProperties>
</file>