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E96C92" w14:textId="77777777" w:rsidR="00952A5C" w:rsidRDefault="00484DFE">
      <w:pPr>
        <w:pStyle w:val="BodyText2"/>
        <w:spacing w:before="240" w:after="0"/>
        <w:jc w:val="right"/>
        <w:rPr>
          <w:b w:val="0"/>
          <w:i/>
          <w:sz w:val="24"/>
          <w:lang w:val="mk-MK"/>
        </w:rPr>
      </w:pPr>
      <w:r>
        <w:rPr>
          <w:b w:val="0"/>
          <w:i/>
          <w:sz w:val="24"/>
        </w:rPr>
        <w:t xml:space="preserve">Proceedings of the </w:t>
      </w:r>
      <w:bookmarkStart w:id="0" w:name="_GoBack"/>
      <w:r>
        <w:rPr>
          <w:b w:val="0"/>
          <w:i/>
          <w:sz w:val="24"/>
        </w:rPr>
        <w:t xml:space="preserve">International Conference ENERGETISC </w:t>
      </w:r>
      <w:r w:rsidR="000932E4">
        <w:rPr>
          <w:b w:val="0"/>
          <w:i/>
          <w:sz w:val="24"/>
          <w:lang w:val="mk-MK"/>
        </w:rPr>
        <w:t>2022</w:t>
      </w:r>
      <w:bookmarkEnd w:id="0"/>
    </w:p>
    <w:p w14:paraId="1AF6F934" w14:textId="77777777" w:rsidR="008652F5" w:rsidRPr="00720789" w:rsidRDefault="000932E4">
      <w:pPr>
        <w:pStyle w:val="BodyText2"/>
        <w:spacing w:before="240" w:after="0"/>
        <w:jc w:val="right"/>
        <w:rPr>
          <w:b w:val="0"/>
          <w:i/>
          <w:sz w:val="24"/>
          <w:lang w:val="mk-MK"/>
        </w:rPr>
      </w:pPr>
      <w:r w:rsidRPr="000932E4">
        <w:rPr>
          <w:b w:val="0"/>
          <w:i/>
          <w:sz w:val="24"/>
        </w:rPr>
        <w:t>September</w:t>
      </w:r>
      <w:r w:rsidR="00484DFE" w:rsidRPr="00720789">
        <w:rPr>
          <w:b w:val="0"/>
          <w:i/>
          <w:sz w:val="24"/>
        </w:rPr>
        <w:t xml:space="preserve"> </w:t>
      </w:r>
      <w:r>
        <w:rPr>
          <w:b w:val="0"/>
          <w:i/>
          <w:sz w:val="24"/>
        </w:rPr>
        <w:t>21</w:t>
      </w:r>
      <w:r>
        <w:rPr>
          <w:b w:val="0"/>
          <w:i/>
          <w:sz w:val="24"/>
          <w:lang w:val="mk-MK"/>
        </w:rPr>
        <w:t>-23</w:t>
      </w:r>
      <w:r w:rsidR="00952A5C" w:rsidRPr="00720789">
        <w:rPr>
          <w:b w:val="0"/>
          <w:i/>
          <w:sz w:val="24"/>
          <w:lang w:val="mk-MK"/>
        </w:rPr>
        <w:t xml:space="preserve">, </w:t>
      </w:r>
      <w:proofErr w:type="spellStart"/>
      <w:r w:rsidR="00484DFE" w:rsidRPr="00720789">
        <w:rPr>
          <w:b w:val="0"/>
          <w:i/>
          <w:sz w:val="24"/>
        </w:rPr>
        <w:t>Struga</w:t>
      </w:r>
      <w:proofErr w:type="spellEnd"/>
    </w:p>
    <w:p w14:paraId="47665325" w14:textId="77777777" w:rsidR="00952A5C" w:rsidRDefault="00952A5C" w:rsidP="00952A5C">
      <w:pPr>
        <w:pStyle w:val="BodyText2"/>
        <w:spacing w:before="240" w:after="0"/>
        <w:jc w:val="right"/>
        <w:rPr>
          <w:sz w:val="24"/>
        </w:rPr>
      </w:pPr>
    </w:p>
    <w:p w14:paraId="3B908C48" w14:textId="61F9E64F" w:rsidR="008652F5" w:rsidRPr="0096718E" w:rsidRDefault="00EA1F9F">
      <w:pPr>
        <w:pStyle w:val="BodyText2"/>
        <w:spacing w:before="1200" w:after="0"/>
        <w:rPr>
          <w:sz w:val="28"/>
          <w:szCs w:val="28"/>
        </w:rPr>
      </w:pPr>
      <w:r w:rsidRPr="00EA1F9F">
        <w:rPr>
          <w:sz w:val="28"/>
          <w:szCs w:val="28"/>
        </w:rPr>
        <w:t>DECARBONIZATION INITIATIVES AMONG LEADING POWER UTILITY PLAYERS</w:t>
      </w:r>
    </w:p>
    <w:p w14:paraId="336277D4" w14:textId="0731562A" w:rsidR="008652F5" w:rsidRDefault="00EA1F9F">
      <w:pPr>
        <w:pStyle w:val="BodyText"/>
        <w:spacing w:before="480" w:after="0"/>
        <w:rPr>
          <w:b/>
          <w:i w:val="0"/>
          <w:sz w:val="28"/>
        </w:rPr>
      </w:pPr>
      <w:proofErr w:type="spellStart"/>
      <w:r>
        <w:rPr>
          <w:b/>
          <w:i w:val="0"/>
          <w:sz w:val="28"/>
          <w:lang w:val="en-US"/>
        </w:rPr>
        <w:t>Vlado</w:t>
      </w:r>
      <w:proofErr w:type="spellEnd"/>
      <w:r>
        <w:rPr>
          <w:b/>
          <w:i w:val="0"/>
          <w:sz w:val="28"/>
          <w:lang w:val="en-US"/>
        </w:rPr>
        <w:t xml:space="preserve"> </w:t>
      </w:r>
      <w:proofErr w:type="spellStart"/>
      <w:r>
        <w:rPr>
          <w:b/>
          <w:i w:val="0"/>
          <w:sz w:val="28"/>
          <w:lang w:val="en-US"/>
        </w:rPr>
        <w:t>Georgievski</w:t>
      </w:r>
      <w:proofErr w:type="spellEnd"/>
      <w:r>
        <w:rPr>
          <w:b/>
          <w:i w:val="0"/>
          <w:sz w:val="28"/>
          <w:lang w:val="en-US"/>
        </w:rPr>
        <w:t xml:space="preserve">, </w:t>
      </w:r>
      <w:proofErr w:type="spellStart"/>
      <w:r>
        <w:rPr>
          <w:b/>
          <w:i w:val="0"/>
          <w:sz w:val="28"/>
          <w:lang w:val="en-US"/>
        </w:rPr>
        <w:t>Nevenka</w:t>
      </w:r>
      <w:proofErr w:type="spellEnd"/>
      <w:r>
        <w:rPr>
          <w:b/>
          <w:i w:val="0"/>
          <w:sz w:val="28"/>
          <w:lang w:val="en-US"/>
        </w:rPr>
        <w:t xml:space="preserve"> </w:t>
      </w:r>
      <w:proofErr w:type="spellStart"/>
      <w:r>
        <w:rPr>
          <w:b/>
          <w:i w:val="0"/>
          <w:sz w:val="28"/>
          <w:lang w:val="en-US"/>
        </w:rPr>
        <w:t>Kiteva</w:t>
      </w:r>
      <w:proofErr w:type="spellEnd"/>
      <w:r>
        <w:rPr>
          <w:b/>
          <w:i w:val="0"/>
          <w:sz w:val="28"/>
          <w:lang w:val="en-US"/>
        </w:rPr>
        <w:t xml:space="preserve"> </w:t>
      </w:r>
      <w:proofErr w:type="spellStart"/>
      <w:r>
        <w:rPr>
          <w:b/>
          <w:i w:val="0"/>
          <w:sz w:val="28"/>
          <w:lang w:val="en-US"/>
        </w:rPr>
        <w:t>Rogleva</w:t>
      </w:r>
      <w:proofErr w:type="spellEnd"/>
    </w:p>
    <w:p w14:paraId="1687D0BB" w14:textId="77777777" w:rsidR="00EA1F9F" w:rsidRPr="00EA1F9F" w:rsidRDefault="00EA1F9F" w:rsidP="00EA1F9F">
      <w:pPr>
        <w:pStyle w:val="BodyText"/>
        <w:spacing w:after="0"/>
        <w:rPr>
          <w:bCs/>
          <w:szCs w:val="24"/>
          <w:lang w:val="en-US"/>
        </w:rPr>
      </w:pPr>
      <w:r w:rsidRPr="00EA1F9F">
        <w:rPr>
          <w:bCs/>
          <w:szCs w:val="24"/>
          <w:lang w:val="en-US"/>
        </w:rPr>
        <w:t>Faculty of Electrical Engineering &amp; Information Technologies</w:t>
      </w:r>
    </w:p>
    <w:p w14:paraId="735F4DE7" w14:textId="77777777" w:rsidR="00EA1F9F" w:rsidRPr="00EA1F9F" w:rsidRDefault="00EA1F9F" w:rsidP="00EA1F9F">
      <w:pPr>
        <w:pStyle w:val="BodyText"/>
        <w:spacing w:after="0"/>
        <w:rPr>
          <w:bCs/>
          <w:szCs w:val="24"/>
          <w:lang w:val="en-US"/>
        </w:rPr>
      </w:pPr>
      <w:r w:rsidRPr="00EA1F9F">
        <w:rPr>
          <w:bCs/>
          <w:szCs w:val="24"/>
          <w:lang w:val="en-US"/>
        </w:rPr>
        <w:t xml:space="preserve">Ss. Cyril and Methodius University in Skopje </w:t>
      </w:r>
    </w:p>
    <w:p w14:paraId="32359938" w14:textId="7A30ECC9" w:rsidR="00EA1F9F" w:rsidRPr="00EA1F9F" w:rsidRDefault="00EA1F9F" w:rsidP="00EA1F9F">
      <w:pPr>
        <w:pStyle w:val="BodyText"/>
        <w:spacing w:after="0"/>
        <w:rPr>
          <w:bCs/>
          <w:szCs w:val="24"/>
          <w:lang w:val="en-US"/>
        </w:rPr>
      </w:pPr>
      <w:r w:rsidRPr="00EA1F9F">
        <w:rPr>
          <w:bCs/>
          <w:szCs w:val="24"/>
          <w:lang w:val="en-US"/>
        </w:rPr>
        <w:t>vlado.georgievski1@gmail.com; nkit</w:t>
      </w:r>
      <w:r>
        <w:rPr>
          <w:bCs/>
          <w:szCs w:val="24"/>
          <w:lang w:val="en-US"/>
        </w:rPr>
        <w:t>eva@feit.ukim.edu.mk</w:t>
      </w:r>
    </w:p>
    <w:p w14:paraId="6CF03901" w14:textId="493931BA" w:rsidR="001E0293" w:rsidRPr="00EA1F9F" w:rsidRDefault="008652F5" w:rsidP="001E0293">
      <w:pPr>
        <w:pStyle w:val="BodyText"/>
        <w:spacing w:after="0"/>
        <w:rPr>
          <w:b/>
          <w:lang w:val="en-US"/>
        </w:rPr>
      </w:pPr>
      <w:r w:rsidRPr="00EA1F9F">
        <w:rPr>
          <w:b/>
          <w:lang w:val="en-US"/>
        </w:rPr>
        <w:br/>
      </w:r>
    </w:p>
    <w:p w14:paraId="56C7CD7A" w14:textId="2C8D24A3" w:rsidR="008652F5" w:rsidRPr="0098777C" w:rsidRDefault="008652F5" w:rsidP="00EA1F9F">
      <w:pPr>
        <w:pStyle w:val="BodyText"/>
        <w:spacing w:after="0"/>
        <w:jc w:val="both"/>
        <w:rPr>
          <w:i w:val="0"/>
          <w:lang w:val="en-US"/>
        </w:rPr>
      </w:pPr>
      <w:r w:rsidRPr="0098777C">
        <w:rPr>
          <w:b/>
          <w:i w:val="0"/>
        </w:rPr>
        <w:t>Abstract:</w:t>
      </w:r>
      <w:r w:rsidRPr="0098777C">
        <w:rPr>
          <w:i w:val="0"/>
        </w:rPr>
        <w:t xml:space="preserve"> </w:t>
      </w:r>
      <w:r w:rsidR="00EA1F9F" w:rsidRPr="00EA1F9F">
        <w:rPr>
          <w:i w:val="0"/>
          <w:lang w:val="en-US"/>
        </w:rPr>
        <w:t>Decarbonization of the power sector means reduction of its CO2 intensity, which is reducing the emission of carbon dioxide per unit of electricity generated. In order to meet the emission reduction targets pledged to the Paris Agreement on climate change, power utility companies need to develop strategies on how to decarbonize their generation assets. Companies must achieve carbon neutrality by 2050, which is necessary to meet the targets of the Paris Agreement of capping global temperature rise at 1.5°C, and also to meet the less ambitious 2°C target. Rapid decarbonization of the power sector is needed particularly as heat and transport sectors are electrified, creating an increase in demand for electric power. Decarbonization is being achieved by increasing the share of low-carbon energy sources, particularly renewables, and a corresponding reduction in the use of fossil fuels. Worldwide, renewables now produce a third of power capacity.</w:t>
      </w:r>
    </w:p>
    <w:p w14:paraId="4A22B3BC" w14:textId="77777777" w:rsidR="00C35D2B" w:rsidRPr="00C35D2B" w:rsidRDefault="00C35D2B" w:rsidP="000659E9">
      <w:pPr>
        <w:ind w:right="567"/>
        <w:jc w:val="both"/>
        <w:rPr>
          <w:b/>
          <w:sz w:val="16"/>
          <w:szCs w:val="16"/>
          <w:lang w:val="mk-MK"/>
        </w:rPr>
      </w:pPr>
    </w:p>
    <w:p w14:paraId="5AA40DE8" w14:textId="328CF6F3" w:rsidR="008652F5" w:rsidRDefault="008652F5" w:rsidP="00EA1F9F">
      <w:pPr>
        <w:ind w:right="567"/>
        <w:jc w:val="both"/>
        <w:rPr>
          <w:sz w:val="24"/>
        </w:rPr>
      </w:pPr>
      <w:r>
        <w:rPr>
          <w:b/>
          <w:sz w:val="24"/>
        </w:rPr>
        <w:t>Key words:</w:t>
      </w:r>
      <w:r>
        <w:rPr>
          <w:sz w:val="24"/>
        </w:rPr>
        <w:t xml:space="preserve"> </w:t>
      </w:r>
      <w:r w:rsidR="00EA1F9F" w:rsidRPr="00EA1F9F">
        <w:rPr>
          <w:sz w:val="24"/>
        </w:rPr>
        <w:t>decarbonization, CO2 reduction, net-zero strategy, power utilities</w:t>
      </w:r>
    </w:p>
    <w:p w14:paraId="64EA991F" w14:textId="77777777" w:rsidR="00EA1F9F" w:rsidRPr="006811DE" w:rsidRDefault="00EA1F9F" w:rsidP="00EA1F9F">
      <w:pPr>
        <w:ind w:right="567"/>
        <w:jc w:val="both"/>
        <w:rPr>
          <w:b/>
          <w:sz w:val="28"/>
          <w:lang w:val="mk-MK"/>
        </w:rPr>
      </w:pPr>
    </w:p>
    <w:p w14:paraId="62B66B33" w14:textId="130F116E" w:rsidR="008652F5" w:rsidRPr="003816BB" w:rsidRDefault="008652F5" w:rsidP="003635E0">
      <w:pPr>
        <w:pStyle w:val="Heading1"/>
      </w:pPr>
      <w:r w:rsidRPr="003816BB">
        <w:t xml:space="preserve">1 </w:t>
      </w:r>
      <w:r w:rsidR="004B253D">
        <w:t>INTRODUCTION</w:t>
      </w:r>
      <w:r w:rsidR="004F7598" w:rsidRPr="003816BB">
        <w:t xml:space="preserve"> </w:t>
      </w:r>
    </w:p>
    <w:p w14:paraId="0B3B6F47" w14:textId="77777777" w:rsidR="008652F5" w:rsidRDefault="008652F5">
      <w:pPr>
        <w:ind w:firstLine="567"/>
        <w:jc w:val="both"/>
        <w:rPr>
          <w:sz w:val="28"/>
          <w:lang w:val="en-US"/>
        </w:rPr>
      </w:pPr>
    </w:p>
    <w:p w14:paraId="090213CB" w14:textId="46DBF93B" w:rsidR="00EA1F9F" w:rsidRPr="00EA1F9F" w:rsidRDefault="00EA1F9F" w:rsidP="00EA1F9F">
      <w:pPr>
        <w:ind w:firstLine="567"/>
        <w:jc w:val="both"/>
        <w:rPr>
          <w:sz w:val="24"/>
          <w:szCs w:val="24"/>
          <w:lang w:val="en-US"/>
        </w:rPr>
      </w:pPr>
      <w:r w:rsidRPr="00EA1F9F">
        <w:rPr>
          <w:sz w:val="24"/>
          <w:szCs w:val="24"/>
          <w:lang w:val="en-US"/>
        </w:rPr>
        <w:t xml:space="preserve">Decarbonizing our power generation sector is around one third of goal to achieve the Net Zero target and become carbon neutral in 2050. Every country and company must act, but the measures to be taken vary by region and country. Asian utilities must focus on decarbonizing </w:t>
      </w:r>
      <w:proofErr w:type="spellStart"/>
      <w:r w:rsidRPr="00EA1F9F">
        <w:rPr>
          <w:sz w:val="24"/>
          <w:szCs w:val="24"/>
          <w:lang w:val="en-US"/>
        </w:rPr>
        <w:t>thir</w:t>
      </w:r>
      <w:proofErr w:type="spellEnd"/>
      <w:r w:rsidRPr="00EA1F9F">
        <w:rPr>
          <w:sz w:val="24"/>
          <w:szCs w:val="24"/>
          <w:lang w:val="en-US"/>
        </w:rPr>
        <w:t xml:space="preserve"> coal assets, while Europe, North America and the Middle East should focus on gas. Furthermore, in developing economies that still tackle with </w:t>
      </w:r>
      <w:r w:rsidR="0064401B" w:rsidRPr="00EA1F9F">
        <w:rPr>
          <w:sz w:val="24"/>
          <w:szCs w:val="24"/>
          <w:lang w:val="en-US"/>
        </w:rPr>
        <w:t>electrification</w:t>
      </w:r>
      <w:r w:rsidRPr="00EA1F9F">
        <w:rPr>
          <w:sz w:val="24"/>
          <w:szCs w:val="24"/>
          <w:lang w:val="en-US"/>
        </w:rPr>
        <w:t xml:space="preserve"> and energy independency, decarbonizing young fleets would be even bigger challenge for the utilities. </w:t>
      </w:r>
    </w:p>
    <w:p w14:paraId="2FBE1103" w14:textId="0A2A44C2" w:rsidR="00EA1F9F" w:rsidRPr="00EA1F9F" w:rsidRDefault="00EA1F9F" w:rsidP="00EA1F9F">
      <w:pPr>
        <w:ind w:firstLine="567"/>
        <w:jc w:val="both"/>
        <w:rPr>
          <w:sz w:val="24"/>
          <w:szCs w:val="24"/>
          <w:lang w:val="en-US"/>
        </w:rPr>
      </w:pPr>
      <w:r w:rsidRPr="00EA1F9F">
        <w:rPr>
          <w:sz w:val="24"/>
          <w:szCs w:val="24"/>
          <w:lang w:val="en-US"/>
        </w:rPr>
        <w:lastRenderedPageBreak/>
        <w:t xml:space="preserve">Decarbonizing is the only option to ensure long term survival of humanity and life on our planet. With CO2 prices continuously rising, utilities will have no other option, but to get ready for the change and start implementing it today. There are many different levers to decarbonize the fossil generation assets, but no ideal solution: major CO2 reduction levers have high CAPEX and OPEX costs, require O&amp;M and staff changes, and rely on technologies yet not commercially available. On the other hand, cheaper and available measures focused on operations improvement and plant modernization can quickly impact the emissions, but still not enough to achieve zero. </w:t>
      </w:r>
    </w:p>
    <w:p w14:paraId="1121E7C7" w14:textId="172F2A6D" w:rsidR="00920001" w:rsidRDefault="00EA1F9F">
      <w:pPr>
        <w:ind w:firstLine="567"/>
        <w:jc w:val="both"/>
        <w:rPr>
          <w:sz w:val="24"/>
          <w:szCs w:val="24"/>
          <w:lang w:val="en-US"/>
        </w:rPr>
      </w:pPr>
      <w:r w:rsidRPr="00EA1F9F">
        <w:rPr>
          <w:sz w:val="24"/>
          <w:szCs w:val="24"/>
          <w:lang w:val="en-US"/>
        </w:rPr>
        <w:t>In this paper, different generation decarbonization levers will be described and analyzed. In addition, a short review of the current energy crises and huge rise of the energy prices will be presented, a fact pushing companies even further to accelerate their decarb pathways. At the end, selected power utilities players from specific regions will be benchmarked, reflecting their decarbonization initiatives on the analyzed levers.</w:t>
      </w:r>
    </w:p>
    <w:p w14:paraId="077B5B43" w14:textId="77777777" w:rsidR="00EA1F9F" w:rsidRPr="00920001" w:rsidRDefault="00EA1F9F">
      <w:pPr>
        <w:ind w:firstLine="567"/>
        <w:jc w:val="both"/>
        <w:rPr>
          <w:sz w:val="24"/>
          <w:szCs w:val="24"/>
          <w:lang w:val="mk-MK"/>
        </w:rPr>
      </w:pPr>
    </w:p>
    <w:p w14:paraId="541AD55C" w14:textId="75031A26" w:rsidR="00EA1F9F" w:rsidRPr="00311AB7" w:rsidRDefault="00311AB7" w:rsidP="00311AB7">
      <w:pPr>
        <w:pStyle w:val="Heading1"/>
        <w:rPr>
          <w:szCs w:val="24"/>
        </w:rPr>
      </w:pPr>
      <w:r w:rsidRPr="00311AB7">
        <w:rPr>
          <w:szCs w:val="24"/>
        </w:rPr>
        <w:t xml:space="preserve">2 </w:t>
      </w:r>
      <w:r w:rsidR="00EA1F9F" w:rsidRPr="00311AB7">
        <w:rPr>
          <w:szCs w:val="24"/>
        </w:rPr>
        <w:t>Decarbonization levers in power generation</w:t>
      </w:r>
    </w:p>
    <w:p w14:paraId="247813B3" w14:textId="77777777" w:rsidR="00EA1F9F" w:rsidRPr="00EA1F9F" w:rsidRDefault="00EA1F9F" w:rsidP="00EA1F9F">
      <w:pPr>
        <w:spacing w:after="120"/>
        <w:ind w:firstLine="431"/>
        <w:jc w:val="both"/>
        <w:rPr>
          <w:noProof/>
          <w:sz w:val="24"/>
          <w:szCs w:val="24"/>
          <w:lang w:val="en-US" w:eastAsia="en-GB"/>
        </w:rPr>
      </w:pPr>
      <w:r w:rsidRPr="00EA1F9F">
        <w:rPr>
          <w:noProof/>
          <w:sz w:val="24"/>
          <w:szCs w:val="24"/>
          <w:lang w:val="en-US" w:eastAsia="en-GB"/>
        </w:rPr>
        <w:t xml:space="preserve">Five different categories of decarbonization levers will be analyzed: 1. Operations improvement and equipment modernization, 2. Co-firing with lowcarbon fuels, 3. </w:t>
      </w:r>
      <w:bookmarkStart w:id="1" w:name="_Hlk111222197"/>
      <w:r w:rsidRPr="00EA1F9F">
        <w:rPr>
          <w:noProof/>
          <w:sz w:val="24"/>
          <w:szCs w:val="24"/>
          <w:lang w:val="en-US" w:eastAsia="en-GB"/>
        </w:rPr>
        <w:t>Retrofit for full fuel switch</w:t>
      </w:r>
      <w:bookmarkEnd w:id="1"/>
      <w:r w:rsidRPr="00EA1F9F">
        <w:rPr>
          <w:noProof/>
          <w:sz w:val="24"/>
          <w:szCs w:val="24"/>
          <w:lang w:val="en-US" w:eastAsia="en-GB"/>
        </w:rPr>
        <w:t xml:space="preserve">, 4. Implementation of CCUS, 5. Shutdown of fossil assets and building new plants. </w:t>
      </w:r>
    </w:p>
    <w:p w14:paraId="2D98755F" w14:textId="1FE13050" w:rsidR="00EA1F9F" w:rsidRPr="00EA1F9F" w:rsidRDefault="00311AB7" w:rsidP="00EA1F9F">
      <w:pPr>
        <w:keepNext/>
        <w:numPr>
          <w:ilvl w:val="1"/>
          <w:numId w:val="0"/>
        </w:numPr>
        <w:spacing w:before="200" w:after="120"/>
        <w:ind w:left="576" w:hanging="576"/>
        <w:outlineLvl w:val="1"/>
        <w:rPr>
          <w:b/>
          <w:bCs/>
          <w:iCs/>
          <w:noProof/>
          <w:sz w:val="24"/>
          <w:szCs w:val="24"/>
          <w:lang w:val="en-US" w:eastAsia="en-GB"/>
        </w:rPr>
      </w:pPr>
      <w:r w:rsidRPr="00311AB7">
        <w:rPr>
          <w:b/>
          <w:bCs/>
          <w:iCs/>
          <w:noProof/>
          <w:sz w:val="24"/>
          <w:szCs w:val="24"/>
          <w:lang w:val="en-US" w:eastAsia="en-GB"/>
        </w:rPr>
        <w:t xml:space="preserve">2.1 </w:t>
      </w:r>
      <w:r w:rsidR="00EA1F9F" w:rsidRPr="00EA1F9F">
        <w:rPr>
          <w:b/>
          <w:bCs/>
          <w:iCs/>
          <w:noProof/>
          <w:sz w:val="24"/>
          <w:szCs w:val="24"/>
          <w:lang w:val="en-US" w:eastAsia="en-GB"/>
        </w:rPr>
        <w:t>Operations improvement and equipment modernization</w:t>
      </w:r>
    </w:p>
    <w:p w14:paraId="4CDB91F5" w14:textId="77777777" w:rsidR="00EA1F9F" w:rsidRPr="00EA1F9F" w:rsidRDefault="00EA1F9F" w:rsidP="00EA1F9F">
      <w:pPr>
        <w:spacing w:after="120"/>
        <w:ind w:firstLine="431"/>
        <w:jc w:val="both"/>
        <w:rPr>
          <w:noProof/>
          <w:sz w:val="24"/>
          <w:szCs w:val="24"/>
          <w:lang w:val="en-US" w:eastAsia="en-GB"/>
        </w:rPr>
      </w:pPr>
      <w:r w:rsidRPr="00EA1F9F">
        <w:rPr>
          <w:noProof/>
          <w:sz w:val="24"/>
          <w:szCs w:val="24"/>
          <w:lang w:val="en-US" w:eastAsia="en-GB"/>
        </w:rPr>
        <w:t>Power plants are typically designed for a lifetime of between 25 and 35 years. It is not normally economic to retire plants prematurely and, in many countries, it is standard procedure to extend the life of a power plant to 40 years, with some units exceeding 50 years of operation. There has been much progress in plant life extension through refurbishing boiler parts, upgrading the turbines and adding flue gas cleaning to meet new emission regulations. Life extension is often possible due to the conservative nature of the original plant design and the fact that only a relatively small number of the components are life limited. Thus, while increases in national capacity may be met by the introduction of SC and USC plant, it is likely that the older, less efficient plant in the fleet would continue to dominate the capacity mix. Consequently, appropriate retrofitting of such units would improve their overall performance in terms of efficiency and emissions per unit electrical output. The potential to improve existing units through upgrade and retrofit normally requires an exhaustive examination of the major functions – the combustion process, the steam cycle and major balance of plant equipment. [1]</w:t>
      </w:r>
    </w:p>
    <w:p w14:paraId="1E7B32AE" w14:textId="77777777" w:rsidR="00EA1F9F" w:rsidRPr="00EA1F9F" w:rsidRDefault="00EA1F9F" w:rsidP="00EA1F9F">
      <w:pPr>
        <w:spacing w:after="120"/>
        <w:ind w:firstLine="431"/>
        <w:jc w:val="both"/>
        <w:rPr>
          <w:noProof/>
          <w:sz w:val="24"/>
          <w:szCs w:val="24"/>
          <w:lang w:val="en-US" w:eastAsia="en-GB"/>
        </w:rPr>
      </w:pPr>
      <w:r w:rsidRPr="00EA1F9F">
        <w:rPr>
          <w:noProof/>
          <w:sz w:val="24"/>
          <w:szCs w:val="24"/>
          <w:lang w:val="en-US" w:eastAsia="en-GB"/>
        </w:rPr>
        <w:t>Efficiency improvement methods were identified for most components and systems, as summarised in Table 1. While it is unlikely that all of these improvements could be implemented at every plant, due to site-specific circumstances, the table does provide a useful indication of the significant potential for thermal efficiency improvement. In several cases, the suggested improvements offer potential efficiency increases of 1 percentage point or more. [1]</w:t>
      </w:r>
    </w:p>
    <w:p w14:paraId="77540C68" w14:textId="77777777" w:rsidR="00EA1F9F" w:rsidRPr="00EA1F9F" w:rsidRDefault="00EA1F9F" w:rsidP="00EA1F9F">
      <w:pPr>
        <w:spacing w:before="60" w:after="60"/>
        <w:jc w:val="center"/>
        <w:rPr>
          <w:rFonts w:eastAsia="Calibri"/>
          <w:noProof/>
          <w:color w:val="000000"/>
          <w:sz w:val="24"/>
          <w:szCs w:val="24"/>
          <w:lang w:val="en-US" w:eastAsia="en-GB"/>
        </w:rPr>
      </w:pPr>
      <w:r w:rsidRPr="00EA1F9F">
        <w:rPr>
          <w:rFonts w:eastAsia="Calibri"/>
          <w:noProof/>
          <w:color w:val="000000"/>
          <w:sz w:val="24"/>
          <w:szCs w:val="24"/>
          <w:lang w:val="en-US" w:eastAsia="en-GB"/>
        </w:rPr>
        <w:t xml:space="preserve">Table </w:t>
      </w:r>
      <w:r w:rsidRPr="00EA1F9F">
        <w:rPr>
          <w:rFonts w:eastAsia="Calibri"/>
          <w:noProof/>
          <w:color w:val="000000"/>
          <w:sz w:val="24"/>
          <w:szCs w:val="24"/>
          <w:lang w:val="en-US" w:eastAsia="en-GB"/>
        </w:rPr>
        <w:fldChar w:fldCharType="begin"/>
      </w:r>
      <w:r w:rsidRPr="00EA1F9F">
        <w:rPr>
          <w:rFonts w:eastAsia="Calibri"/>
          <w:noProof/>
          <w:color w:val="000000"/>
          <w:sz w:val="24"/>
          <w:szCs w:val="24"/>
          <w:lang w:val="en-US" w:eastAsia="en-GB"/>
        </w:rPr>
        <w:instrText xml:space="preserve"> SEQ Table \* ARABIC </w:instrText>
      </w:r>
      <w:r w:rsidRPr="00EA1F9F">
        <w:rPr>
          <w:rFonts w:eastAsia="Calibri"/>
          <w:noProof/>
          <w:color w:val="000000"/>
          <w:sz w:val="24"/>
          <w:szCs w:val="24"/>
          <w:lang w:val="en-US" w:eastAsia="en-GB"/>
        </w:rPr>
        <w:fldChar w:fldCharType="separate"/>
      </w:r>
      <w:r w:rsidR="004A653C">
        <w:rPr>
          <w:rFonts w:eastAsia="Calibri"/>
          <w:noProof/>
          <w:color w:val="000000"/>
          <w:sz w:val="24"/>
          <w:szCs w:val="24"/>
          <w:lang w:val="en-US" w:eastAsia="en-GB"/>
        </w:rPr>
        <w:t>1</w:t>
      </w:r>
      <w:r w:rsidRPr="00EA1F9F">
        <w:rPr>
          <w:rFonts w:eastAsia="Calibri"/>
          <w:noProof/>
          <w:color w:val="000000"/>
          <w:sz w:val="24"/>
          <w:szCs w:val="24"/>
          <w:lang w:val="en-US" w:eastAsia="en-GB"/>
        </w:rPr>
        <w:fldChar w:fldCharType="end"/>
      </w:r>
      <w:r w:rsidRPr="00EA1F9F">
        <w:rPr>
          <w:rFonts w:eastAsia="Calibri"/>
          <w:noProof/>
          <w:color w:val="000000"/>
          <w:sz w:val="24"/>
          <w:szCs w:val="24"/>
          <w:lang w:val="en-US" w:eastAsia="en-GB"/>
        </w:rPr>
        <w:t xml:space="preserve"> Heat rate improvement levers by coal power plant [1]</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4934"/>
        <w:gridCol w:w="4695"/>
      </w:tblGrid>
      <w:tr w:rsidR="00EA1F9F" w:rsidRPr="00EA1F9F" w14:paraId="24365A23" w14:textId="77777777" w:rsidTr="00230EE1">
        <w:trPr>
          <w:trHeight w:val="323"/>
        </w:trPr>
        <w:tc>
          <w:tcPr>
            <w:tcW w:w="2562" w:type="pct"/>
            <w:shd w:val="clear" w:color="auto" w:fill="auto"/>
          </w:tcPr>
          <w:p w14:paraId="6E6CF1C2" w14:textId="77777777" w:rsidR="00EA1F9F" w:rsidRPr="00EA1F9F" w:rsidRDefault="00EA1F9F" w:rsidP="00EA1F9F">
            <w:pPr>
              <w:spacing w:before="60" w:after="60"/>
              <w:ind w:left="720"/>
              <w:rPr>
                <w:rFonts w:eastAsia="Calibri"/>
                <w:b/>
                <w:bCs/>
                <w:noProof/>
                <w:color w:val="000000"/>
                <w:sz w:val="24"/>
                <w:szCs w:val="24"/>
                <w:lang w:val="en-US" w:eastAsia="en-GB"/>
              </w:rPr>
            </w:pPr>
            <w:r w:rsidRPr="00EA1F9F">
              <w:rPr>
                <w:rFonts w:eastAsia="Calibri"/>
                <w:b/>
                <w:bCs/>
                <w:noProof/>
                <w:color w:val="000000"/>
                <w:sz w:val="24"/>
                <w:szCs w:val="24"/>
                <w:lang w:val="en-US" w:eastAsia="en-GB"/>
              </w:rPr>
              <w:t>Power plant improvements</w:t>
            </w:r>
          </w:p>
        </w:tc>
        <w:tc>
          <w:tcPr>
            <w:tcW w:w="2438" w:type="pct"/>
            <w:shd w:val="clear" w:color="auto" w:fill="auto"/>
          </w:tcPr>
          <w:p w14:paraId="6483829B" w14:textId="77777777" w:rsidR="00EA1F9F" w:rsidRPr="00EA1F9F" w:rsidRDefault="00EA1F9F" w:rsidP="00EA1F9F">
            <w:pPr>
              <w:spacing w:before="60" w:after="60"/>
              <w:jc w:val="center"/>
              <w:rPr>
                <w:rFonts w:eastAsia="Calibri"/>
                <w:b/>
                <w:bCs/>
                <w:noProof/>
                <w:color w:val="000000"/>
                <w:sz w:val="24"/>
                <w:szCs w:val="24"/>
                <w:lang w:val="en-US" w:eastAsia="en-GB"/>
              </w:rPr>
            </w:pPr>
            <w:r w:rsidRPr="00EA1F9F">
              <w:rPr>
                <w:rFonts w:eastAsia="Calibri"/>
                <w:b/>
                <w:bCs/>
                <w:noProof/>
                <w:color w:val="000000"/>
                <w:sz w:val="24"/>
                <w:szCs w:val="24"/>
                <w:lang w:val="en-US" w:eastAsia="en-GB"/>
              </w:rPr>
              <w:t>Potential efficiency increase (percentage points)</w:t>
            </w:r>
          </w:p>
        </w:tc>
      </w:tr>
      <w:tr w:rsidR="00EA1F9F" w:rsidRPr="00EA1F9F" w14:paraId="394E92C9" w14:textId="77777777" w:rsidTr="00230EE1">
        <w:trPr>
          <w:trHeight w:val="323"/>
        </w:trPr>
        <w:tc>
          <w:tcPr>
            <w:tcW w:w="2562" w:type="pct"/>
            <w:shd w:val="clear" w:color="auto" w:fill="auto"/>
          </w:tcPr>
          <w:p w14:paraId="542CC4C9" w14:textId="77777777" w:rsidR="00EA1F9F" w:rsidRPr="00EA1F9F" w:rsidRDefault="00EA1F9F" w:rsidP="00EA1F9F">
            <w:pPr>
              <w:spacing w:before="60" w:after="60"/>
              <w:ind w:left="720"/>
              <w:rPr>
                <w:rFonts w:eastAsia="Calibri"/>
                <w:noProof/>
                <w:color w:val="000000"/>
                <w:sz w:val="24"/>
                <w:szCs w:val="24"/>
                <w:lang w:val="en-US" w:eastAsia="en-GB"/>
              </w:rPr>
            </w:pPr>
            <w:r w:rsidRPr="00EA1F9F">
              <w:rPr>
                <w:rFonts w:eastAsia="Calibri"/>
                <w:noProof/>
                <w:color w:val="000000"/>
                <w:sz w:val="24"/>
                <w:szCs w:val="24"/>
                <w:lang w:val="en-US" w:eastAsia="en-GB"/>
              </w:rPr>
              <w:t>Air preheaters (optimise)</w:t>
            </w:r>
          </w:p>
        </w:tc>
        <w:tc>
          <w:tcPr>
            <w:tcW w:w="2438" w:type="pct"/>
            <w:shd w:val="clear" w:color="auto" w:fill="auto"/>
          </w:tcPr>
          <w:p w14:paraId="54862537" w14:textId="77777777" w:rsidR="00EA1F9F" w:rsidRPr="00EA1F9F" w:rsidRDefault="00EA1F9F" w:rsidP="00EA1F9F">
            <w:pPr>
              <w:spacing w:before="60" w:after="60"/>
              <w:jc w:val="center"/>
              <w:rPr>
                <w:rFonts w:eastAsia="Calibri"/>
                <w:noProof/>
                <w:color w:val="000000"/>
                <w:sz w:val="24"/>
                <w:szCs w:val="24"/>
                <w:lang w:val="en-US" w:eastAsia="en-GB"/>
              </w:rPr>
            </w:pPr>
            <w:r w:rsidRPr="00EA1F9F">
              <w:rPr>
                <w:rFonts w:eastAsia="Calibri"/>
                <w:noProof/>
                <w:color w:val="000000"/>
                <w:sz w:val="24"/>
                <w:szCs w:val="24"/>
                <w:lang w:val="en-US" w:eastAsia="en-GB"/>
              </w:rPr>
              <w:t>0.2 to 1.5</w:t>
            </w:r>
          </w:p>
        </w:tc>
      </w:tr>
      <w:tr w:rsidR="00EA1F9F" w:rsidRPr="00EA1F9F" w14:paraId="2355A2AC" w14:textId="77777777" w:rsidTr="00230EE1">
        <w:trPr>
          <w:trHeight w:val="323"/>
        </w:trPr>
        <w:tc>
          <w:tcPr>
            <w:tcW w:w="2562" w:type="pct"/>
            <w:shd w:val="clear" w:color="auto" w:fill="auto"/>
          </w:tcPr>
          <w:p w14:paraId="166200C3" w14:textId="77777777" w:rsidR="00EA1F9F" w:rsidRPr="00EA1F9F" w:rsidRDefault="00EA1F9F" w:rsidP="00EA1F9F">
            <w:pPr>
              <w:spacing w:before="60" w:after="60"/>
              <w:ind w:left="720"/>
              <w:rPr>
                <w:rFonts w:eastAsia="Calibri"/>
                <w:noProof/>
                <w:color w:val="000000"/>
                <w:sz w:val="24"/>
                <w:szCs w:val="24"/>
                <w:lang w:val="en-US" w:eastAsia="en-GB"/>
              </w:rPr>
            </w:pPr>
            <w:r w:rsidRPr="00EA1F9F">
              <w:rPr>
                <w:rFonts w:eastAsia="Calibri"/>
                <w:noProof/>
                <w:color w:val="000000"/>
                <w:sz w:val="24"/>
                <w:szCs w:val="24"/>
                <w:lang w:val="en-US" w:eastAsia="en-GB"/>
              </w:rPr>
              <w:t>Ash removal system (replace)</w:t>
            </w:r>
          </w:p>
        </w:tc>
        <w:tc>
          <w:tcPr>
            <w:tcW w:w="2438" w:type="pct"/>
            <w:shd w:val="clear" w:color="auto" w:fill="auto"/>
          </w:tcPr>
          <w:p w14:paraId="48C40737" w14:textId="77777777" w:rsidR="00EA1F9F" w:rsidRPr="00EA1F9F" w:rsidRDefault="00EA1F9F" w:rsidP="00EA1F9F">
            <w:pPr>
              <w:spacing w:before="60" w:after="60"/>
              <w:jc w:val="center"/>
              <w:rPr>
                <w:rFonts w:eastAsia="Calibri"/>
                <w:noProof/>
                <w:color w:val="000000"/>
                <w:sz w:val="24"/>
                <w:szCs w:val="24"/>
                <w:lang w:val="en-US" w:eastAsia="en-GB"/>
              </w:rPr>
            </w:pPr>
            <w:r w:rsidRPr="00EA1F9F">
              <w:rPr>
                <w:rFonts w:eastAsia="Calibri"/>
                <w:noProof/>
                <w:color w:val="000000"/>
                <w:sz w:val="24"/>
                <w:szCs w:val="24"/>
                <w:lang w:val="en-US" w:eastAsia="en-GB"/>
              </w:rPr>
              <w:t>0.1</w:t>
            </w:r>
          </w:p>
        </w:tc>
      </w:tr>
      <w:tr w:rsidR="00EA1F9F" w:rsidRPr="00EA1F9F" w14:paraId="728AD94B" w14:textId="77777777" w:rsidTr="00230EE1">
        <w:trPr>
          <w:trHeight w:val="324"/>
        </w:trPr>
        <w:tc>
          <w:tcPr>
            <w:tcW w:w="2562" w:type="pct"/>
            <w:shd w:val="clear" w:color="auto" w:fill="auto"/>
          </w:tcPr>
          <w:p w14:paraId="274E6439" w14:textId="77777777" w:rsidR="00EA1F9F" w:rsidRPr="00EA1F9F" w:rsidRDefault="00EA1F9F" w:rsidP="00EA1F9F">
            <w:pPr>
              <w:spacing w:before="60" w:after="60"/>
              <w:ind w:left="720"/>
              <w:rPr>
                <w:rFonts w:eastAsia="Calibri"/>
                <w:noProof/>
                <w:color w:val="000000"/>
                <w:sz w:val="24"/>
                <w:szCs w:val="24"/>
                <w:lang w:val="en-US" w:eastAsia="en-GB"/>
              </w:rPr>
            </w:pPr>
            <w:r w:rsidRPr="00EA1F9F">
              <w:rPr>
                <w:rFonts w:eastAsia="Calibri"/>
                <w:noProof/>
                <w:color w:val="000000"/>
                <w:sz w:val="24"/>
                <w:szCs w:val="24"/>
                <w:lang w:val="en-US" w:eastAsia="en-GB"/>
              </w:rPr>
              <w:t>Boiler (increase air heater surface)</w:t>
            </w:r>
          </w:p>
        </w:tc>
        <w:tc>
          <w:tcPr>
            <w:tcW w:w="2438" w:type="pct"/>
            <w:shd w:val="clear" w:color="auto" w:fill="auto"/>
          </w:tcPr>
          <w:p w14:paraId="056799FB" w14:textId="77777777" w:rsidR="00EA1F9F" w:rsidRPr="00EA1F9F" w:rsidRDefault="00EA1F9F" w:rsidP="00EA1F9F">
            <w:pPr>
              <w:spacing w:before="60" w:after="60"/>
              <w:jc w:val="center"/>
              <w:rPr>
                <w:rFonts w:eastAsia="Calibri"/>
                <w:noProof/>
                <w:color w:val="000000"/>
                <w:sz w:val="24"/>
                <w:szCs w:val="24"/>
                <w:lang w:val="en-US" w:eastAsia="en-GB"/>
              </w:rPr>
            </w:pPr>
            <w:r w:rsidRPr="00EA1F9F">
              <w:rPr>
                <w:rFonts w:eastAsia="Calibri"/>
                <w:noProof/>
                <w:color w:val="000000"/>
                <w:sz w:val="24"/>
                <w:szCs w:val="24"/>
                <w:lang w:val="en-US" w:eastAsia="en-GB"/>
              </w:rPr>
              <w:t>2.1</w:t>
            </w:r>
          </w:p>
        </w:tc>
      </w:tr>
      <w:tr w:rsidR="00EA1F9F" w:rsidRPr="00EA1F9F" w14:paraId="2C6DEE51" w14:textId="77777777" w:rsidTr="00230EE1">
        <w:trPr>
          <w:trHeight w:val="323"/>
        </w:trPr>
        <w:tc>
          <w:tcPr>
            <w:tcW w:w="2562" w:type="pct"/>
            <w:shd w:val="clear" w:color="auto" w:fill="auto"/>
          </w:tcPr>
          <w:p w14:paraId="53BF0B67" w14:textId="77777777" w:rsidR="00EA1F9F" w:rsidRPr="00EA1F9F" w:rsidRDefault="00EA1F9F" w:rsidP="00EA1F9F">
            <w:pPr>
              <w:spacing w:before="60" w:after="60"/>
              <w:ind w:left="720"/>
              <w:rPr>
                <w:rFonts w:eastAsia="Calibri"/>
                <w:noProof/>
                <w:color w:val="000000"/>
                <w:sz w:val="24"/>
                <w:szCs w:val="24"/>
                <w:lang w:val="en-US" w:eastAsia="en-GB"/>
              </w:rPr>
            </w:pPr>
            <w:r w:rsidRPr="00EA1F9F">
              <w:rPr>
                <w:rFonts w:eastAsia="Calibri"/>
                <w:noProof/>
                <w:color w:val="000000"/>
                <w:sz w:val="24"/>
                <w:szCs w:val="24"/>
                <w:lang w:val="en-US" w:eastAsia="en-GB"/>
              </w:rPr>
              <w:lastRenderedPageBreak/>
              <w:t>Combustion system (optimise)</w:t>
            </w:r>
          </w:p>
        </w:tc>
        <w:tc>
          <w:tcPr>
            <w:tcW w:w="2438" w:type="pct"/>
            <w:shd w:val="clear" w:color="auto" w:fill="auto"/>
          </w:tcPr>
          <w:p w14:paraId="632563AE" w14:textId="77777777" w:rsidR="00EA1F9F" w:rsidRPr="00EA1F9F" w:rsidRDefault="00EA1F9F" w:rsidP="00EA1F9F">
            <w:pPr>
              <w:spacing w:before="60" w:after="60"/>
              <w:jc w:val="center"/>
              <w:rPr>
                <w:rFonts w:eastAsia="Calibri"/>
                <w:noProof/>
                <w:color w:val="000000"/>
                <w:sz w:val="24"/>
                <w:szCs w:val="24"/>
                <w:lang w:val="en-US" w:eastAsia="en-GB"/>
              </w:rPr>
            </w:pPr>
            <w:r w:rsidRPr="00EA1F9F">
              <w:rPr>
                <w:rFonts w:eastAsia="Calibri"/>
                <w:noProof/>
                <w:color w:val="000000"/>
                <w:sz w:val="24"/>
                <w:szCs w:val="24"/>
                <w:lang w:val="en-US" w:eastAsia="en-GB"/>
              </w:rPr>
              <w:t>0.2 to 0.84</w:t>
            </w:r>
          </w:p>
        </w:tc>
      </w:tr>
      <w:tr w:rsidR="00EA1F9F" w:rsidRPr="00EA1F9F" w14:paraId="650AC3A2" w14:textId="77777777" w:rsidTr="00230EE1">
        <w:trPr>
          <w:trHeight w:val="324"/>
        </w:trPr>
        <w:tc>
          <w:tcPr>
            <w:tcW w:w="2562" w:type="pct"/>
            <w:shd w:val="clear" w:color="auto" w:fill="auto"/>
          </w:tcPr>
          <w:p w14:paraId="105C66AE" w14:textId="77777777" w:rsidR="00EA1F9F" w:rsidRPr="00EA1F9F" w:rsidRDefault="00EA1F9F" w:rsidP="00EA1F9F">
            <w:pPr>
              <w:spacing w:before="60" w:after="60"/>
              <w:ind w:left="720"/>
              <w:rPr>
                <w:rFonts w:eastAsia="Calibri"/>
                <w:noProof/>
                <w:color w:val="000000"/>
                <w:sz w:val="24"/>
                <w:szCs w:val="24"/>
                <w:lang w:val="en-US" w:eastAsia="en-GB"/>
              </w:rPr>
            </w:pPr>
            <w:r w:rsidRPr="00EA1F9F">
              <w:rPr>
                <w:rFonts w:eastAsia="Calibri"/>
                <w:noProof/>
                <w:color w:val="000000"/>
                <w:sz w:val="24"/>
                <w:szCs w:val="24"/>
                <w:lang w:val="en-US" w:eastAsia="en-GB"/>
              </w:rPr>
              <w:t>Condenser (optimise)</w:t>
            </w:r>
          </w:p>
        </w:tc>
        <w:tc>
          <w:tcPr>
            <w:tcW w:w="2438" w:type="pct"/>
            <w:shd w:val="clear" w:color="auto" w:fill="auto"/>
          </w:tcPr>
          <w:p w14:paraId="43DBDF1A" w14:textId="77777777" w:rsidR="00EA1F9F" w:rsidRPr="00EA1F9F" w:rsidRDefault="00EA1F9F" w:rsidP="00EA1F9F">
            <w:pPr>
              <w:spacing w:before="60" w:after="60"/>
              <w:jc w:val="center"/>
              <w:rPr>
                <w:rFonts w:eastAsia="Calibri"/>
                <w:noProof/>
                <w:color w:val="000000"/>
                <w:sz w:val="24"/>
                <w:szCs w:val="24"/>
                <w:lang w:val="en-US" w:eastAsia="en-GB"/>
              </w:rPr>
            </w:pPr>
            <w:r w:rsidRPr="00EA1F9F">
              <w:rPr>
                <w:rFonts w:eastAsia="Calibri"/>
                <w:noProof/>
                <w:color w:val="000000"/>
                <w:sz w:val="24"/>
                <w:szCs w:val="24"/>
                <w:lang w:val="en-US" w:eastAsia="en-GB"/>
              </w:rPr>
              <w:t>0.7 to 2.4</w:t>
            </w:r>
          </w:p>
        </w:tc>
      </w:tr>
      <w:tr w:rsidR="00EA1F9F" w:rsidRPr="00EA1F9F" w14:paraId="00B4B2AE" w14:textId="77777777" w:rsidTr="00230EE1">
        <w:trPr>
          <w:trHeight w:val="323"/>
        </w:trPr>
        <w:tc>
          <w:tcPr>
            <w:tcW w:w="2562" w:type="pct"/>
            <w:shd w:val="clear" w:color="auto" w:fill="auto"/>
          </w:tcPr>
          <w:p w14:paraId="68FFF9DD" w14:textId="77777777" w:rsidR="00EA1F9F" w:rsidRPr="00EA1F9F" w:rsidRDefault="00EA1F9F" w:rsidP="00EA1F9F">
            <w:pPr>
              <w:spacing w:before="60" w:after="60"/>
              <w:ind w:left="720"/>
              <w:rPr>
                <w:rFonts w:eastAsia="Calibri"/>
                <w:noProof/>
                <w:color w:val="000000"/>
                <w:sz w:val="24"/>
                <w:szCs w:val="24"/>
                <w:lang w:val="en-US" w:eastAsia="en-GB"/>
              </w:rPr>
            </w:pPr>
            <w:r w:rsidRPr="00EA1F9F">
              <w:rPr>
                <w:rFonts w:eastAsia="Calibri"/>
                <w:noProof/>
                <w:color w:val="000000"/>
                <w:sz w:val="24"/>
                <w:szCs w:val="24"/>
                <w:lang w:val="en-US" w:eastAsia="en-GB"/>
              </w:rPr>
              <w:t>Cooling system performance (upgrade)</w:t>
            </w:r>
          </w:p>
        </w:tc>
        <w:tc>
          <w:tcPr>
            <w:tcW w:w="2438" w:type="pct"/>
            <w:shd w:val="clear" w:color="auto" w:fill="auto"/>
          </w:tcPr>
          <w:p w14:paraId="3F216F39" w14:textId="77777777" w:rsidR="00EA1F9F" w:rsidRPr="00EA1F9F" w:rsidRDefault="00EA1F9F" w:rsidP="00EA1F9F">
            <w:pPr>
              <w:spacing w:before="60" w:after="60"/>
              <w:jc w:val="center"/>
              <w:rPr>
                <w:rFonts w:eastAsia="Calibri"/>
                <w:noProof/>
                <w:color w:val="000000"/>
                <w:sz w:val="24"/>
                <w:szCs w:val="24"/>
                <w:lang w:val="en-US" w:eastAsia="en-GB"/>
              </w:rPr>
            </w:pPr>
            <w:r w:rsidRPr="00EA1F9F">
              <w:rPr>
                <w:rFonts w:eastAsia="Calibri"/>
                <w:noProof/>
                <w:color w:val="000000"/>
                <w:sz w:val="24"/>
                <w:szCs w:val="24"/>
                <w:lang w:val="en-US" w:eastAsia="en-GB"/>
              </w:rPr>
              <w:t>0.2 to 1.0</w:t>
            </w:r>
          </w:p>
        </w:tc>
      </w:tr>
      <w:tr w:rsidR="00EA1F9F" w:rsidRPr="00EA1F9F" w14:paraId="0B1DDFA9" w14:textId="77777777" w:rsidTr="00230EE1">
        <w:trPr>
          <w:trHeight w:val="324"/>
        </w:trPr>
        <w:tc>
          <w:tcPr>
            <w:tcW w:w="2562" w:type="pct"/>
            <w:shd w:val="clear" w:color="auto" w:fill="auto"/>
          </w:tcPr>
          <w:p w14:paraId="2F376FF0" w14:textId="77777777" w:rsidR="00EA1F9F" w:rsidRPr="00EA1F9F" w:rsidRDefault="00EA1F9F" w:rsidP="00EA1F9F">
            <w:pPr>
              <w:spacing w:before="60" w:after="60"/>
              <w:ind w:left="720"/>
              <w:rPr>
                <w:rFonts w:eastAsia="Calibri"/>
                <w:noProof/>
                <w:color w:val="000000"/>
                <w:sz w:val="24"/>
                <w:szCs w:val="24"/>
                <w:lang w:val="en-US" w:eastAsia="en-GB"/>
              </w:rPr>
            </w:pPr>
            <w:r w:rsidRPr="00EA1F9F">
              <w:rPr>
                <w:rFonts w:eastAsia="Calibri"/>
                <w:noProof/>
                <w:color w:val="000000"/>
                <w:sz w:val="24"/>
                <w:szCs w:val="24"/>
                <w:lang w:val="en-US" w:eastAsia="en-GB"/>
              </w:rPr>
              <w:t>Feedwater heaters (optimise)</w:t>
            </w:r>
          </w:p>
        </w:tc>
        <w:tc>
          <w:tcPr>
            <w:tcW w:w="2438" w:type="pct"/>
            <w:shd w:val="clear" w:color="auto" w:fill="auto"/>
          </w:tcPr>
          <w:p w14:paraId="7CCE22E6" w14:textId="77777777" w:rsidR="00EA1F9F" w:rsidRPr="00EA1F9F" w:rsidRDefault="00EA1F9F" w:rsidP="00EA1F9F">
            <w:pPr>
              <w:spacing w:before="60" w:after="60"/>
              <w:jc w:val="center"/>
              <w:rPr>
                <w:rFonts w:eastAsia="Calibri"/>
                <w:noProof/>
                <w:color w:val="000000"/>
                <w:sz w:val="24"/>
                <w:szCs w:val="24"/>
                <w:lang w:val="en-US" w:eastAsia="en-GB"/>
              </w:rPr>
            </w:pPr>
            <w:r w:rsidRPr="00EA1F9F">
              <w:rPr>
                <w:rFonts w:eastAsia="Calibri"/>
                <w:noProof/>
                <w:color w:val="000000"/>
                <w:sz w:val="24"/>
                <w:szCs w:val="24"/>
                <w:lang w:val="en-US" w:eastAsia="en-GB"/>
              </w:rPr>
              <w:t>0.2 to 2.0</w:t>
            </w:r>
          </w:p>
        </w:tc>
      </w:tr>
      <w:tr w:rsidR="00EA1F9F" w:rsidRPr="00EA1F9F" w14:paraId="1DBDA0D7" w14:textId="77777777" w:rsidTr="00230EE1">
        <w:trPr>
          <w:trHeight w:val="324"/>
        </w:trPr>
        <w:tc>
          <w:tcPr>
            <w:tcW w:w="2562" w:type="pct"/>
            <w:shd w:val="clear" w:color="auto" w:fill="auto"/>
          </w:tcPr>
          <w:p w14:paraId="141A0946" w14:textId="77777777" w:rsidR="00EA1F9F" w:rsidRPr="00EA1F9F" w:rsidRDefault="00EA1F9F" w:rsidP="00EA1F9F">
            <w:pPr>
              <w:spacing w:before="60" w:after="60"/>
              <w:ind w:left="720"/>
              <w:rPr>
                <w:rFonts w:eastAsia="Calibri"/>
                <w:noProof/>
                <w:color w:val="000000"/>
                <w:sz w:val="24"/>
                <w:szCs w:val="24"/>
                <w:lang w:val="en-US" w:eastAsia="en-GB"/>
              </w:rPr>
            </w:pPr>
            <w:r w:rsidRPr="00EA1F9F">
              <w:rPr>
                <w:rFonts w:eastAsia="Calibri"/>
                <w:noProof/>
                <w:color w:val="000000"/>
                <w:sz w:val="24"/>
                <w:szCs w:val="24"/>
                <w:lang w:val="en-US" w:eastAsia="en-GB"/>
              </w:rPr>
              <w:t>Flue gas moisture recovery</w:t>
            </w:r>
          </w:p>
        </w:tc>
        <w:tc>
          <w:tcPr>
            <w:tcW w:w="2438" w:type="pct"/>
            <w:shd w:val="clear" w:color="auto" w:fill="auto"/>
          </w:tcPr>
          <w:p w14:paraId="45E282B8" w14:textId="77777777" w:rsidR="00EA1F9F" w:rsidRPr="00EA1F9F" w:rsidRDefault="00EA1F9F" w:rsidP="00EA1F9F">
            <w:pPr>
              <w:spacing w:before="60" w:after="60"/>
              <w:jc w:val="center"/>
              <w:rPr>
                <w:rFonts w:eastAsia="Calibri"/>
                <w:noProof/>
                <w:color w:val="000000"/>
                <w:sz w:val="24"/>
                <w:szCs w:val="24"/>
                <w:lang w:val="en-US" w:eastAsia="en-GB"/>
              </w:rPr>
            </w:pPr>
            <w:r w:rsidRPr="00EA1F9F">
              <w:rPr>
                <w:rFonts w:eastAsia="Calibri"/>
                <w:noProof/>
                <w:color w:val="000000"/>
                <w:sz w:val="24"/>
                <w:szCs w:val="24"/>
                <w:lang w:val="en-US" w:eastAsia="en-GB"/>
              </w:rPr>
              <w:t>0.3 to 0.7</w:t>
            </w:r>
          </w:p>
        </w:tc>
      </w:tr>
      <w:tr w:rsidR="00EA1F9F" w:rsidRPr="00EA1F9F" w14:paraId="2A16C534" w14:textId="77777777" w:rsidTr="00230EE1">
        <w:trPr>
          <w:trHeight w:val="323"/>
        </w:trPr>
        <w:tc>
          <w:tcPr>
            <w:tcW w:w="2562" w:type="pct"/>
            <w:shd w:val="clear" w:color="auto" w:fill="auto"/>
          </w:tcPr>
          <w:p w14:paraId="0ED02356" w14:textId="77777777" w:rsidR="00EA1F9F" w:rsidRPr="00EA1F9F" w:rsidRDefault="00EA1F9F" w:rsidP="00EA1F9F">
            <w:pPr>
              <w:spacing w:before="60" w:after="60"/>
              <w:ind w:left="720"/>
              <w:rPr>
                <w:rFonts w:eastAsia="Calibri"/>
                <w:noProof/>
                <w:color w:val="000000"/>
                <w:sz w:val="24"/>
                <w:szCs w:val="24"/>
                <w:lang w:val="en-US" w:eastAsia="en-GB"/>
              </w:rPr>
            </w:pPr>
            <w:r w:rsidRPr="00EA1F9F">
              <w:rPr>
                <w:rFonts w:eastAsia="Calibri"/>
                <w:noProof/>
                <w:color w:val="000000"/>
                <w:sz w:val="24"/>
                <w:szCs w:val="24"/>
                <w:lang w:val="en-US" w:eastAsia="en-GB"/>
              </w:rPr>
              <w:t>Flue gas heat recovery</w:t>
            </w:r>
          </w:p>
        </w:tc>
        <w:tc>
          <w:tcPr>
            <w:tcW w:w="2438" w:type="pct"/>
            <w:shd w:val="clear" w:color="auto" w:fill="auto"/>
          </w:tcPr>
          <w:p w14:paraId="61E85BCD" w14:textId="77777777" w:rsidR="00EA1F9F" w:rsidRPr="00EA1F9F" w:rsidRDefault="00EA1F9F" w:rsidP="00EA1F9F">
            <w:pPr>
              <w:spacing w:before="60" w:after="60"/>
              <w:jc w:val="center"/>
              <w:rPr>
                <w:rFonts w:eastAsia="Calibri"/>
                <w:noProof/>
                <w:color w:val="000000"/>
                <w:sz w:val="24"/>
                <w:szCs w:val="24"/>
                <w:lang w:val="en-US" w:eastAsia="en-GB"/>
              </w:rPr>
            </w:pPr>
            <w:r w:rsidRPr="00EA1F9F">
              <w:rPr>
                <w:rFonts w:eastAsia="Calibri"/>
                <w:noProof/>
                <w:color w:val="000000"/>
                <w:sz w:val="24"/>
                <w:szCs w:val="24"/>
                <w:lang w:val="en-US" w:eastAsia="en-GB"/>
              </w:rPr>
              <w:t>0.3 to 1.5</w:t>
            </w:r>
          </w:p>
        </w:tc>
      </w:tr>
      <w:tr w:rsidR="00EA1F9F" w:rsidRPr="00EA1F9F" w14:paraId="375EF34A" w14:textId="77777777" w:rsidTr="00230EE1">
        <w:trPr>
          <w:trHeight w:val="324"/>
        </w:trPr>
        <w:tc>
          <w:tcPr>
            <w:tcW w:w="2562" w:type="pct"/>
            <w:shd w:val="clear" w:color="auto" w:fill="auto"/>
          </w:tcPr>
          <w:p w14:paraId="46982DCA" w14:textId="77777777" w:rsidR="00EA1F9F" w:rsidRPr="00EA1F9F" w:rsidRDefault="00EA1F9F" w:rsidP="00EA1F9F">
            <w:pPr>
              <w:spacing w:before="60" w:after="60"/>
              <w:ind w:left="720"/>
              <w:rPr>
                <w:rFonts w:eastAsia="Calibri"/>
                <w:noProof/>
                <w:color w:val="000000"/>
                <w:sz w:val="24"/>
                <w:szCs w:val="24"/>
                <w:lang w:val="en-US" w:eastAsia="en-GB"/>
              </w:rPr>
            </w:pPr>
            <w:r w:rsidRPr="00EA1F9F">
              <w:rPr>
                <w:rFonts w:eastAsia="Calibri"/>
                <w:noProof/>
                <w:color w:val="000000"/>
                <w:sz w:val="24"/>
                <w:szCs w:val="24"/>
                <w:lang w:val="en-US" w:eastAsia="en-GB"/>
              </w:rPr>
              <w:t>Coal drying (installation)</w:t>
            </w:r>
          </w:p>
        </w:tc>
        <w:tc>
          <w:tcPr>
            <w:tcW w:w="2438" w:type="pct"/>
            <w:shd w:val="clear" w:color="auto" w:fill="auto"/>
          </w:tcPr>
          <w:p w14:paraId="57216650" w14:textId="77777777" w:rsidR="00EA1F9F" w:rsidRPr="00EA1F9F" w:rsidRDefault="00EA1F9F" w:rsidP="00EA1F9F">
            <w:pPr>
              <w:spacing w:before="60" w:after="60"/>
              <w:jc w:val="center"/>
              <w:rPr>
                <w:rFonts w:eastAsia="Calibri"/>
                <w:noProof/>
                <w:color w:val="000000"/>
                <w:sz w:val="24"/>
                <w:szCs w:val="24"/>
                <w:lang w:val="en-US" w:eastAsia="en-GB"/>
              </w:rPr>
            </w:pPr>
            <w:r w:rsidRPr="00EA1F9F">
              <w:rPr>
                <w:rFonts w:eastAsia="Calibri"/>
                <w:noProof/>
                <w:color w:val="000000"/>
                <w:sz w:val="24"/>
                <w:szCs w:val="24"/>
                <w:lang w:val="en-US" w:eastAsia="en-GB"/>
              </w:rPr>
              <w:t>0.1 to 1.7</w:t>
            </w:r>
          </w:p>
        </w:tc>
      </w:tr>
      <w:tr w:rsidR="00EA1F9F" w:rsidRPr="00EA1F9F" w14:paraId="057D530C" w14:textId="77777777" w:rsidTr="00230EE1">
        <w:trPr>
          <w:trHeight w:val="323"/>
        </w:trPr>
        <w:tc>
          <w:tcPr>
            <w:tcW w:w="2562" w:type="pct"/>
            <w:shd w:val="clear" w:color="auto" w:fill="auto"/>
          </w:tcPr>
          <w:p w14:paraId="50A82AC2" w14:textId="77777777" w:rsidR="00EA1F9F" w:rsidRPr="00EA1F9F" w:rsidRDefault="00EA1F9F" w:rsidP="00EA1F9F">
            <w:pPr>
              <w:spacing w:before="60" w:after="60"/>
              <w:ind w:left="720"/>
              <w:rPr>
                <w:rFonts w:eastAsia="Calibri"/>
                <w:noProof/>
                <w:color w:val="000000"/>
                <w:sz w:val="24"/>
                <w:szCs w:val="24"/>
                <w:lang w:val="en-US" w:eastAsia="en-GB"/>
              </w:rPr>
            </w:pPr>
            <w:r w:rsidRPr="00EA1F9F">
              <w:rPr>
                <w:rFonts w:eastAsia="Calibri"/>
                <w:noProof/>
                <w:color w:val="000000"/>
                <w:sz w:val="24"/>
                <w:szCs w:val="24"/>
                <w:lang w:val="en-US" w:eastAsia="en-GB"/>
              </w:rPr>
              <w:t>Process controls (installation/improvement)</w:t>
            </w:r>
          </w:p>
        </w:tc>
        <w:tc>
          <w:tcPr>
            <w:tcW w:w="2438" w:type="pct"/>
            <w:shd w:val="clear" w:color="auto" w:fill="auto"/>
          </w:tcPr>
          <w:p w14:paraId="5E7D3C40" w14:textId="77777777" w:rsidR="00EA1F9F" w:rsidRPr="00EA1F9F" w:rsidRDefault="00EA1F9F" w:rsidP="00EA1F9F">
            <w:pPr>
              <w:spacing w:before="60" w:after="60"/>
              <w:jc w:val="center"/>
              <w:rPr>
                <w:rFonts w:eastAsia="Calibri"/>
                <w:noProof/>
                <w:color w:val="000000"/>
                <w:sz w:val="24"/>
                <w:szCs w:val="24"/>
                <w:lang w:val="en-US" w:eastAsia="en-GB"/>
              </w:rPr>
            </w:pPr>
            <w:r w:rsidRPr="00EA1F9F">
              <w:rPr>
                <w:rFonts w:eastAsia="Calibri"/>
                <w:noProof/>
                <w:color w:val="000000"/>
                <w:sz w:val="24"/>
                <w:szCs w:val="24"/>
                <w:lang w:val="en-US" w:eastAsia="en-GB"/>
              </w:rPr>
              <w:t>0.2 to 2.0</w:t>
            </w:r>
          </w:p>
        </w:tc>
      </w:tr>
      <w:tr w:rsidR="00EA1F9F" w:rsidRPr="00EA1F9F" w14:paraId="7DA63075" w14:textId="77777777" w:rsidTr="00230EE1">
        <w:trPr>
          <w:trHeight w:val="323"/>
        </w:trPr>
        <w:tc>
          <w:tcPr>
            <w:tcW w:w="2562" w:type="pct"/>
            <w:shd w:val="clear" w:color="auto" w:fill="auto"/>
          </w:tcPr>
          <w:p w14:paraId="33E7A723" w14:textId="77777777" w:rsidR="00EA1F9F" w:rsidRPr="00EA1F9F" w:rsidRDefault="00EA1F9F" w:rsidP="00EA1F9F">
            <w:pPr>
              <w:spacing w:before="60" w:after="60"/>
              <w:ind w:left="720"/>
              <w:rPr>
                <w:rFonts w:eastAsia="Calibri"/>
                <w:noProof/>
                <w:color w:val="000000"/>
                <w:sz w:val="24"/>
                <w:szCs w:val="24"/>
                <w:lang w:val="en-US" w:eastAsia="en-GB"/>
              </w:rPr>
            </w:pPr>
            <w:r w:rsidRPr="00EA1F9F">
              <w:rPr>
                <w:rFonts w:eastAsia="Calibri"/>
                <w:noProof/>
                <w:color w:val="000000"/>
                <w:sz w:val="24"/>
                <w:szCs w:val="24"/>
                <w:lang w:val="en-US" w:eastAsia="en-GB"/>
              </w:rPr>
              <w:t>Reduction of slag and furnace fouling</w:t>
            </w:r>
          </w:p>
        </w:tc>
        <w:tc>
          <w:tcPr>
            <w:tcW w:w="2438" w:type="pct"/>
            <w:shd w:val="clear" w:color="auto" w:fill="auto"/>
          </w:tcPr>
          <w:p w14:paraId="5903B0E5" w14:textId="77777777" w:rsidR="00EA1F9F" w:rsidRPr="00EA1F9F" w:rsidRDefault="00EA1F9F" w:rsidP="00EA1F9F">
            <w:pPr>
              <w:spacing w:before="60" w:after="60"/>
              <w:jc w:val="center"/>
              <w:rPr>
                <w:rFonts w:eastAsia="Calibri"/>
                <w:noProof/>
                <w:color w:val="000000"/>
                <w:sz w:val="24"/>
                <w:szCs w:val="24"/>
                <w:lang w:val="en-US" w:eastAsia="en-GB"/>
              </w:rPr>
            </w:pPr>
            <w:r w:rsidRPr="00EA1F9F">
              <w:rPr>
                <w:rFonts w:eastAsia="Calibri"/>
                <w:noProof/>
                <w:color w:val="000000"/>
                <w:sz w:val="24"/>
                <w:szCs w:val="24"/>
                <w:lang w:val="en-US" w:eastAsia="en-GB"/>
              </w:rPr>
              <w:t>0.4</w:t>
            </w:r>
          </w:p>
        </w:tc>
      </w:tr>
      <w:tr w:rsidR="00EA1F9F" w:rsidRPr="00EA1F9F" w14:paraId="66639CD2" w14:textId="77777777" w:rsidTr="00230EE1">
        <w:trPr>
          <w:trHeight w:val="323"/>
        </w:trPr>
        <w:tc>
          <w:tcPr>
            <w:tcW w:w="2562" w:type="pct"/>
            <w:shd w:val="clear" w:color="auto" w:fill="auto"/>
          </w:tcPr>
          <w:p w14:paraId="6B9DEE97" w14:textId="77777777" w:rsidR="00EA1F9F" w:rsidRPr="00EA1F9F" w:rsidRDefault="00EA1F9F" w:rsidP="00EA1F9F">
            <w:pPr>
              <w:spacing w:before="60" w:after="60"/>
              <w:ind w:left="720"/>
              <w:rPr>
                <w:rFonts w:eastAsia="Calibri"/>
                <w:noProof/>
                <w:color w:val="000000"/>
                <w:sz w:val="24"/>
                <w:szCs w:val="24"/>
                <w:lang w:val="en-US" w:eastAsia="en-GB"/>
              </w:rPr>
            </w:pPr>
            <w:r w:rsidRPr="00EA1F9F">
              <w:rPr>
                <w:rFonts w:eastAsia="Calibri"/>
                <w:noProof/>
                <w:color w:val="000000"/>
                <w:sz w:val="24"/>
                <w:szCs w:val="24"/>
                <w:lang w:val="en-US" w:eastAsia="en-GB"/>
              </w:rPr>
              <w:t>Soot blower optimisation</w:t>
            </w:r>
          </w:p>
        </w:tc>
        <w:tc>
          <w:tcPr>
            <w:tcW w:w="2438" w:type="pct"/>
            <w:shd w:val="clear" w:color="auto" w:fill="auto"/>
          </w:tcPr>
          <w:p w14:paraId="24D6FAE3" w14:textId="77777777" w:rsidR="00EA1F9F" w:rsidRPr="00EA1F9F" w:rsidRDefault="00EA1F9F" w:rsidP="00EA1F9F">
            <w:pPr>
              <w:spacing w:before="60" w:after="60"/>
              <w:jc w:val="center"/>
              <w:rPr>
                <w:rFonts w:eastAsia="Calibri"/>
                <w:noProof/>
                <w:color w:val="000000"/>
                <w:sz w:val="24"/>
                <w:szCs w:val="24"/>
                <w:lang w:val="en-US" w:eastAsia="en-GB"/>
              </w:rPr>
            </w:pPr>
            <w:r w:rsidRPr="00EA1F9F">
              <w:rPr>
                <w:rFonts w:eastAsia="Calibri"/>
                <w:noProof/>
                <w:color w:val="000000"/>
                <w:sz w:val="24"/>
                <w:szCs w:val="24"/>
                <w:lang w:val="en-US" w:eastAsia="en-GB"/>
              </w:rPr>
              <w:t>0.1 to 0.7</w:t>
            </w:r>
          </w:p>
        </w:tc>
      </w:tr>
      <w:tr w:rsidR="00EA1F9F" w:rsidRPr="00EA1F9F" w14:paraId="56A52867" w14:textId="77777777" w:rsidTr="00230EE1">
        <w:trPr>
          <w:trHeight w:val="324"/>
        </w:trPr>
        <w:tc>
          <w:tcPr>
            <w:tcW w:w="2562" w:type="pct"/>
            <w:shd w:val="clear" w:color="auto" w:fill="auto"/>
          </w:tcPr>
          <w:p w14:paraId="168413A3" w14:textId="77777777" w:rsidR="00EA1F9F" w:rsidRPr="00EA1F9F" w:rsidRDefault="00EA1F9F" w:rsidP="00EA1F9F">
            <w:pPr>
              <w:spacing w:before="60" w:after="60"/>
              <w:ind w:left="720"/>
              <w:rPr>
                <w:rFonts w:eastAsia="Calibri"/>
                <w:noProof/>
                <w:color w:val="000000"/>
                <w:sz w:val="24"/>
                <w:szCs w:val="24"/>
                <w:lang w:val="en-US" w:eastAsia="en-GB"/>
              </w:rPr>
            </w:pPr>
            <w:r w:rsidRPr="00EA1F9F">
              <w:rPr>
                <w:rFonts w:eastAsia="Calibri"/>
                <w:noProof/>
                <w:color w:val="000000"/>
                <w:sz w:val="24"/>
                <w:szCs w:val="24"/>
                <w:lang w:val="en-US" w:eastAsia="en-GB"/>
              </w:rPr>
              <w:t>Steam leaks (reduce)</w:t>
            </w:r>
          </w:p>
        </w:tc>
        <w:tc>
          <w:tcPr>
            <w:tcW w:w="2438" w:type="pct"/>
            <w:shd w:val="clear" w:color="auto" w:fill="auto"/>
          </w:tcPr>
          <w:p w14:paraId="63F2048B" w14:textId="77777777" w:rsidR="00EA1F9F" w:rsidRPr="00EA1F9F" w:rsidRDefault="00EA1F9F" w:rsidP="00EA1F9F">
            <w:pPr>
              <w:spacing w:before="60" w:after="60"/>
              <w:jc w:val="center"/>
              <w:rPr>
                <w:rFonts w:eastAsia="Calibri"/>
                <w:noProof/>
                <w:color w:val="000000"/>
                <w:sz w:val="24"/>
                <w:szCs w:val="24"/>
                <w:lang w:val="en-US" w:eastAsia="en-GB"/>
              </w:rPr>
            </w:pPr>
            <w:r w:rsidRPr="00EA1F9F">
              <w:rPr>
                <w:rFonts w:eastAsia="Calibri"/>
                <w:noProof/>
                <w:color w:val="000000"/>
                <w:sz w:val="24"/>
                <w:szCs w:val="24"/>
                <w:lang w:val="en-US" w:eastAsia="en-GB"/>
              </w:rPr>
              <w:t>1.1</w:t>
            </w:r>
          </w:p>
        </w:tc>
      </w:tr>
      <w:tr w:rsidR="00EA1F9F" w:rsidRPr="00EA1F9F" w14:paraId="6A4177B4" w14:textId="77777777" w:rsidTr="00230EE1">
        <w:trPr>
          <w:trHeight w:val="325"/>
        </w:trPr>
        <w:tc>
          <w:tcPr>
            <w:tcW w:w="2562" w:type="pct"/>
            <w:shd w:val="clear" w:color="auto" w:fill="auto"/>
          </w:tcPr>
          <w:p w14:paraId="190BE471" w14:textId="77777777" w:rsidR="00EA1F9F" w:rsidRPr="00EA1F9F" w:rsidRDefault="00EA1F9F" w:rsidP="00EA1F9F">
            <w:pPr>
              <w:spacing w:before="60" w:after="60"/>
              <w:ind w:left="720"/>
              <w:rPr>
                <w:rFonts w:eastAsia="Calibri"/>
                <w:noProof/>
                <w:color w:val="000000"/>
                <w:sz w:val="24"/>
                <w:szCs w:val="24"/>
                <w:lang w:val="en-US" w:eastAsia="en-GB"/>
              </w:rPr>
            </w:pPr>
            <w:r w:rsidRPr="00EA1F9F">
              <w:rPr>
                <w:rFonts w:eastAsia="Calibri"/>
                <w:noProof/>
                <w:color w:val="000000"/>
                <w:sz w:val="24"/>
                <w:szCs w:val="24"/>
                <w:lang w:val="en-US" w:eastAsia="en-GB"/>
              </w:rPr>
              <w:t>Steam turbine (refurbish)</w:t>
            </w:r>
          </w:p>
        </w:tc>
        <w:tc>
          <w:tcPr>
            <w:tcW w:w="2438" w:type="pct"/>
            <w:shd w:val="clear" w:color="auto" w:fill="auto"/>
          </w:tcPr>
          <w:p w14:paraId="7847818A" w14:textId="77777777" w:rsidR="00EA1F9F" w:rsidRPr="00EA1F9F" w:rsidRDefault="00EA1F9F" w:rsidP="00EA1F9F">
            <w:pPr>
              <w:spacing w:before="60" w:after="60"/>
              <w:jc w:val="center"/>
              <w:rPr>
                <w:rFonts w:eastAsia="Calibri"/>
                <w:noProof/>
                <w:color w:val="000000"/>
                <w:sz w:val="24"/>
                <w:szCs w:val="24"/>
                <w:lang w:val="en-US" w:eastAsia="en-GB"/>
              </w:rPr>
            </w:pPr>
            <w:r w:rsidRPr="00EA1F9F">
              <w:rPr>
                <w:rFonts w:eastAsia="Calibri"/>
                <w:noProof/>
                <w:color w:val="000000"/>
                <w:sz w:val="24"/>
                <w:szCs w:val="24"/>
                <w:lang w:val="en-US" w:eastAsia="en-GB"/>
              </w:rPr>
              <w:t>0.8 to 2.6</w:t>
            </w:r>
          </w:p>
        </w:tc>
      </w:tr>
    </w:tbl>
    <w:p w14:paraId="6C9A15DF" w14:textId="77777777" w:rsidR="00EA1F9F" w:rsidRPr="00EA1F9F" w:rsidRDefault="00EA1F9F" w:rsidP="00EA1F9F">
      <w:pPr>
        <w:spacing w:after="120"/>
        <w:jc w:val="both"/>
        <w:rPr>
          <w:noProof/>
          <w:sz w:val="24"/>
          <w:szCs w:val="24"/>
          <w:lang w:val="en-US" w:eastAsia="en-GB"/>
        </w:rPr>
      </w:pPr>
      <w:r w:rsidRPr="00EA1F9F">
        <w:rPr>
          <w:noProof/>
          <w:sz w:val="24"/>
          <w:szCs w:val="24"/>
          <w:lang w:val="en-US" w:eastAsia="en-GB"/>
        </w:rPr>
        <w:t xml:space="preserve">Source: NETL (2008), </w:t>
      </w:r>
      <w:r w:rsidRPr="00EA1F9F">
        <w:rPr>
          <w:i/>
          <w:noProof/>
          <w:sz w:val="24"/>
          <w:szCs w:val="24"/>
          <w:lang w:val="en-US" w:eastAsia="en-GB"/>
        </w:rPr>
        <w:t>Reducing CO</w:t>
      </w:r>
      <w:r w:rsidRPr="00EA1F9F">
        <w:rPr>
          <w:i/>
          <w:noProof/>
          <w:sz w:val="24"/>
          <w:szCs w:val="24"/>
          <w:vertAlign w:val="subscript"/>
          <w:lang w:val="en-US" w:eastAsia="en-GB"/>
        </w:rPr>
        <w:t>2</w:t>
      </w:r>
      <w:r w:rsidRPr="00EA1F9F">
        <w:rPr>
          <w:i/>
          <w:noProof/>
          <w:sz w:val="24"/>
          <w:szCs w:val="24"/>
          <w:lang w:val="en-US" w:eastAsia="en-GB"/>
        </w:rPr>
        <w:t xml:space="preserve"> Emissions by Improving the Efficiency of the Existing Coal-Fired Power Plant Fleet</w:t>
      </w:r>
      <w:r w:rsidRPr="00EA1F9F">
        <w:rPr>
          <w:noProof/>
          <w:sz w:val="24"/>
          <w:szCs w:val="24"/>
          <w:lang w:val="en-US" w:eastAsia="en-GB"/>
        </w:rPr>
        <w:t xml:space="preserve">, DOE/NETL- 2008/1329, NETL, Pittsburgh, PA, </w:t>
      </w:r>
      <w:hyperlink r:id="rId7">
        <w:r w:rsidRPr="00EA1F9F">
          <w:rPr>
            <w:noProof/>
            <w:color w:val="0000FF"/>
            <w:sz w:val="24"/>
            <w:szCs w:val="24"/>
            <w:u w:val="single"/>
            <w:lang w:val="en-US" w:eastAsia="en-GB"/>
          </w:rPr>
          <w:t>www.netl.doe.gov/energy-analyses/pubs/CFPP%20Efficiency-FINAL.pdf.</w:t>
        </w:r>
      </w:hyperlink>
    </w:p>
    <w:p w14:paraId="6E45F1E9" w14:textId="77777777" w:rsidR="00EA1F9F" w:rsidRPr="00EA1F9F" w:rsidRDefault="00EA1F9F" w:rsidP="00EA1F9F">
      <w:pPr>
        <w:spacing w:after="120"/>
        <w:jc w:val="both"/>
        <w:rPr>
          <w:noProof/>
          <w:sz w:val="24"/>
          <w:szCs w:val="24"/>
          <w:lang w:val="en-US" w:eastAsia="en-GB"/>
        </w:rPr>
      </w:pPr>
      <w:r w:rsidRPr="00EA1F9F">
        <w:rPr>
          <w:noProof/>
          <w:sz w:val="24"/>
          <w:szCs w:val="24"/>
          <w:lang w:val="en-US" w:eastAsia="en-GB"/>
        </w:rPr>
        <w:t xml:space="preserve">In general, unit heat rate can be improved by improving boiler combustion efficiency and turbine cycle efficiency, and by reducing auxiliary power use. Note that heat rate improvements are generally not additive and depend on many site-specific factors. </w:t>
      </w:r>
    </w:p>
    <w:p w14:paraId="0C5E790D" w14:textId="41B2FFF7" w:rsidR="00EA1F9F" w:rsidRPr="00EA1F9F" w:rsidRDefault="00311AB7" w:rsidP="00EA1F9F">
      <w:pPr>
        <w:keepNext/>
        <w:numPr>
          <w:ilvl w:val="1"/>
          <w:numId w:val="0"/>
        </w:numPr>
        <w:spacing w:before="200" w:after="120"/>
        <w:ind w:left="576" w:hanging="576"/>
        <w:outlineLvl w:val="1"/>
        <w:rPr>
          <w:b/>
          <w:bCs/>
          <w:iCs/>
          <w:noProof/>
          <w:sz w:val="24"/>
          <w:szCs w:val="24"/>
          <w:lang w:val="en-US" w:eastAsia="en-GB"/>
        </w:rPr>
      </w:pPr>
      <w:r>
        <w:rPr>
          <w:b/>
          <w:bCs/>
          <w:iCs/>
          <w:noProof/>
          <w:sz w:val="24"/>
          <w:szCs w:val="24"/>
          <w:lang w:val="en-US" w:eastAsia="en-GB"/>
        </w:rPr>
        <w:t xml:space="preserve">2.2 </w:t>
      </w:r>
      <w:r w:rsidR="00EA1F9F" w:rsidRPr="00EA1F9F">
        <w:rPr>
          <w:b/>
          <w:bCs/>
          <w:iCs/>
          <w:noProof/>
          <w:sz w:val="24"/>
          <w:szCs w:val="24"/>
          <w:lang w:val="en-US" w:eastAsia="en-GB"/>
        </w:rPr>
        <w:t>Co-firing with low carbon fuels</w:t>
      </w:r>
    </w:p>
    <w:p w14:paraId="1F568F83" w14:textId="77777777" w:rsidR="00EA1F9F" w:rsidRPr="00EA1F9F" w:rsidRDefault="00EA1F9F" w:rsidP="00EA1F9F">
      <w:pPr>
        <w:spacing w:after="120"/>
        <w:ind w:firstLine="431"/>
        <w:jc w:val="both"/>
        <w:rPr>
          <w:noProof/>
          <w:sz w:val="24"/>
          <w:szCs w:val="24"/>
          <w:lang w:val="en-US" w:eastAsia="en-GB"/>
        </w:rPr>
      </w:pPr>
      <w:r w:rsidRPr="00EA1F9F">
        <w:rPr>
          <w:noProof/>
          <w:sz w:val="24"/>
          <w:szCs w:val="24"/>
          <w:lang w:val="en-US" w:eastAsia="en-GB"/>
        </w:rPr>
        <w:t>Co-firing with low carbon fuels refers to the simultaneous combustion of a low carbon fuel and a base fuel to produce energy. Here it is analyzed co-firing coal with biomass or green ammonia, and co-firing gas with green hydrogen.</w:t>
      </w:r>
    </w:p>
    <w:p w14:paraId="56CC595F" w14:textId="51BD0D36" w:rsidR="00EA1F9F" w:rsidRPr="00EA1F9F" w:rsidRDefault="001332C5" w:rsidP="00EA1F9F">
      <w:pPr>
        <w:keepNext/>
        <w:numPr>
          <w:ilvl w:val="2"/>
          <w:numId w:val="0"/>
        </w:numPr>
        <w:spacing w:before="200" w:after="120"/>
        <w:ind w:left="720" w:hanging="720"/>
        <w:outlineLvl w:val="2"/>
        <w:rPr>
          <w:b/>
          <w:bCs/>
          <w:noProof/>
          <w:sz w:val="24"/>
          <w:szCs w:val="24"/>
          <w:lang w:val="en-US" w:eastAsia="en-GB"/>
        </w:rPr>
      </w:pPr>
      <w:r>
        <w:rPr>
          <w:b/>
          <w:bCs/>
          <w:noProof/>
          <w:sz w:val="24"/>
          <w:szCs w:val="24"/>
          <w:lang w:val="en-US" w:eastAsia="en-GB"/>
        </w:rPr>
        <w:t xml:space="preserve">2.2.1 </w:t>
      </w:r>
      <w:r w:rsidR="00EA1F9F" w:rsidRPr="00EA1F9F">
        <w:rPr>
          <w:b/>
          <w:bCs/>
          <w:noProof/>
          <w:sz w:val="24"/>
          <w:szCs w:val="24"/>
          <w:lang w:val="en-US" w:eastAsia="en-GB"/>
        </w:rPr>
        <w:t>Co-firing coal with biomass</w:t>
      </w:r>
    </w:p>
    <w:p w14:paraId="788D87F8" w14:textId="77777777" w:rsidR="00EA1F9F" w:rsidRPr="00EA1F9F" w:rsidRDefault="00EA1F9F" w:rsidP="00EA1F9F">
      <w:pPr>
        <w:spacing w:after="120"/>
        <w:ind w:firstLine="431"/>
        <w:jc w:val="both"/>
        <w:rPr>
          <w:noProof/>
          <w:sz w:val="24"/>
          <w:szCs w:val="24"/>
          <w:lang w:val="en-US" w:eastAsia="en-GB"/>
        </w:rPr>
      </w:pPr>
      <w:r w:rsidRPr="00EA1F9F">
        <w:rPr>
          <w:noProof/>
          <w:sz w:val="24"/>
          <w:szCs w:val="24"/>
          <w:lang w:val="en-US" w:eastAsia="en-GB"/>
        </w:rPr>
        <w:t>Biomass co-firing consists of burning biomass along with coal in coal-fired power plants. Co-fi ring can play an important role in increasing the use of biomass in power generation and reducing  greenhouse gas (GHG) emissions because only a relatively modest incremental investment is needed to retrofit existing coal plants or build new co-fired plants. Compared to power plants burning 100% biomass, co-firing offers several advantages, including lower capital costs, higher efficiency, improved economies of scale and lower electricity costs due to the larger size and the superior performance of modern coal power plants. [2]</w:t>
      </w:r>
    </w:p>
    <w:p w14:paraId="68A63BF6" w14:textId="77777777" w:rsidR="00EA1F9F" w:rsidRPr="00EA1F9F" w:rsidRDefault="00EA1F9F" w:rsidP="00EA1F9F">
      <w:pPr>
        <w:spacing w:after="120"/>
        <w:ind w:firstLine="431"/>
        <w:jc w:val="both"/>
        <w:rPr>
          <w:noProof/>
          <w:sz w:val="24"/>
          <w:szCs w:val="24"/>
          <w:lang w:val="en-US" w:eastAsia="en-GB"/>
        </w:rPr>
      </w:pPr>
      <w:r w:rsidRPr="00EA1F9F">
        <w:rPr>
          <w:noProof/>
          <w:sz w:val="24"/>
          <w:szCs w:val="24"/>
          <w:lang w:val="en-US" w:eastAsia="en-GB"/>
        </w:rPr>
        <w:t>The net electric efficiency of a co-fired coal/biomass power plant ranges from 36-44%, depending on plant technology, size, quality and share of biomass. While a 20% co-firing (as energy content) is currently feasible and more than 50% is technically achievable, the usual biomass share today is below 5% and rarely exceeds 10% on a continuous basis. A high biomass share means lower GHG emissions. It is estimated that 1-10% biomass co-firing in coal power plants could reduce CO2 emissions from 45 million to 450 million tonnes per year by 2035, if no biomass upstream emissions are included. [2]</w:t>
      </w:r>
    </w:p>
    <w:p w14:paraId="4C574AC5" w14:textId="2EBC7CF2" w:rsidR="00EA1F9F" w:rsidRPr="00EA1F9F" w:rsidRDefault="001332C5" w:rsidP="00EA1F9F">
      <w:pPr>
        <w:keepNext/>
        <w:numPr>
          <w:ilvl w:val="2"/>
          <w:numId w:val="0"/>
        </w:numPr>
        <w:spacing w:before="200" w:after="120"/>
        <w:ind w:left="720" w:hanging="720"/>
        <w:outlineLvl w:val="2"/>
        <w:rPr>
          <w:b/>
          <w:bCs/>
          <w:noProof/>
          <w:sz w:val="24"/>
          <w:szCs w:val="24"/>
          <w:lang w:val="en-US" w:eastAsia="en-GB"/>
        </w:rPr>
      </w:pPr>
      <w:r>
        <w:rPr>
          <w:b/>
          <w:bCs/>
          <w:noProof/>
          <w:sz w:val="24"/>
          <w:szCs w:val="24"/>
          <w:lang w:val="en-US" w:eastAsia="en-GB"/>
        </w:rPr>
        <w:lastRenderedPageBreak/>
        <w:t xml:space="preserve">2.2.2 </w:t>
      </w:r>
      <w:r w:rsidR="00EA1F9F" w:rsidRPr="00EA1F9F">
        <w:rPr>
          <w:b/>
          <w:bCs/>
          <w:noProof/>
          <w:sz w:val="24"/>
          <w:szCs w:val="24"/>
          <w:lang w:val="en-US" w:eastAsia="en-GB"/>
        </w:rPr>
        <w:t>Co-firing coal with ammonia</w:t>
      </w:r>
    </w:p>
    <w:p w14:paraId="4BDC51D0" w14:textId="77777777" w:rsidR="00EA1F9F" w:rsidRPr="00EA1F9F" w:rsidRDefault="00EA1F9F" w:rsidP="00EA1F9F">
      <w:pPr>
        <w:spacing w:after="120"/>
        <w:ind w:firstLine="431"/>
        <w:jc w:val="both"/>
        <w:rPr>
          <w:noProof/>
          <w:sz w:val="24"/>
          <w:szCs w:val="24"/>
          <w:lang w:val="en-US" w:eastAsia="en-GB"/>
        </w:rPr>
      </w:pPr>
      <w:r w:rsidRPr="00EA1F9F">
        <w:rPr>
          <w:noProof/>
          <w:sz w:val="24"/>
          <w:szCs w:val="24"/>
          <w:lang w:val="en-US" w:eastAsia="en-GB"/>
        </w:rPr>
        <w:t>Ammonia co-firing consists of burning ammonia along with coal in coal-fired power plants. In 2017 the Japanese Chugoku Electric Power Corporation successfully demonstrated the cofiring of ammonia and coal, with a 1% share of ammonia (in terms of total energy content) at one of their commercial coal power stations (120 MW). Using ammonia as fuel raises concerns about an increase in NOx emissions, but the demonstration managed to keep them within the usual limits and to avoid any ammonia slip into exhaust gas. Higher blending shares of up to 20% ammonia in energy terms might be feasible with only minor adjustments to a coal power plant. In smaller furnaces with a capacity of 10 MW thermal, blending shares of 20% ammonia have been achieved without problems, and in particular without any slippage of ammonia into exhaust gas.</w:t>
      </w:r>
      <w:r w:rsidRPr="00EA1F9F">
        <w:rPr>
          <w:noProof/>
          <w:sz w:val="24"/>
          <w:szCs w:val="24"/>
          <w:shd w:val="clear" w:color="auto" w:fill="FFFFFF"/>
          <w:lang w:val="en-US" w:eastAsia="en-GB"/>
        </w:rPr>
        <w:t xml:space="preserve"> </w:t>
      </w:r>
      <w:r w:rsidRPr="00EA1F9F">
        <w:rPr>
          <w:noProof/>
          <w:sz w:val="24"/>
          <w:szCs w:val="24"/>
          <w:lang w:val="en-US" w:eastAsia="en-GB"/>
        </w:rPr>
        <w:t>So far serious scrutiny of the co-firing concept is limited to Japan.  In the fullness of time, the demand side of the concept may take root in other countries.  The supply side, however, could have near-term global relevance. [3]</w:t>
      </w:r>
    </w:p>
    <w:p w14:paraId="5E3B8821" w14:textId="77777777" w:rsidR="00EA1F9F" w:rsidRPr="00EA1F9F" w:rsidRDefault="00EA1F9F" w:rsidP="00EA1F9F">
      <w:pPr>
        <w:spacing w:after="120"/>
        <w:ind w:firstLine="431"/>
        <w:jc w:val="both"/>
        <w:rPr>
          <w:noProof/>
          <w:sz w:val="24"/>
          <w:szCs w:val="24"/>
          <w:lang w:val="en-US" w:eastAsia="en-GB"/>
        </w:rPr>
      </w:pPr>
      <w:r w:rsidRPr="00EA1F9F">
        <w:rPr>
          <w:noProof/>
          <w:sz w:val="24"/>
          <w:szCs w:val="24"/>
          <w:lang w:val="en-US" w:eastAsia="en-GB"/>
        </w:rPr>
        <w:tab/>
        <w:t xml:space="preserve">Technical feasibility of ammonia co-firing proven since 2017 (Mostly in Japan): IHI and Chugoku Electric tested 20% ammonia co-firing in Mizushima coal power plant (156 MW), IHI demonstrated the co-firing of ammonia and coal in a fuel mix composed of 20% ammonia in 2018. </w:t>
      </w:r>
    </w:p>
    <w:p w14:paraId="2CE24596" w14:textId="7F2A42ED" w:rsidR="00EA1F9F" w:rsidRPr="00EA1F9F" w:rsidRDefault="001332C5" w:rsidP="00EA1F9F">
      <w:pPr>
        <w:keepNext/>
        <w:numPr>
          <w:ilvl w:val="2"/>
          <w:numId w:val="0"/>
        </w:numPr>
        <w:spacing w:before="200" w:after="120"/>
        <w:ind w:left="720" w:hanging="720"/>
        <w:outlineLvl w:val="2"/>
        <w:rPr>
          <w:b/>
          <w:bCs/>
          <w:noProof/>
          <w:sz w:val="24"/>
          <w:szCs w:val="24"/>
          <w:lang w:val="en-US" w:eastAsia="en-GB"/>
        </w:rPr>
      </w:pPr>
      <w:r>
        <w:rPr>
          <w:b/>
          <w:bCs/>
          <w:noProof/>
          <w:sz w:val="24"/>
          <w:szCs w:val="24"/>
          <w:lang w:val="en-US" w:eastAsia="en-GB"/>
        </w:rPr>
        <w:t xml:space="preserve">2.2.3 </w:t>
      </w:r>
      <w:r w:rsidR="00EA1F9F" w:rsidRPr="00EA1F9F">
        <w:rPr>
          <w:b/>
          <w:bCs/>
          <w:noProof/>
          <w:sz w:val="24"/>
          <w:szCs w:val="24"/>
          <w:lang w:val="en-US" w:eastAsia="en-GB"/>
        </w:rPr>
        <w:t>Co-firing gas with hydrogen</w:t>
      </w:r>
    </w:p>
    <w:p w14:paraId="7F945F09" w14:textId="77777777" w:rsidR="00EA1F9F" w:rsidRPr="00EA1F9F" w:rsidRDefault="00EA1F9F" w:rsidP="00EA1F9F">
      <w:pPr>
        <w:spacing w:after="120"/>
        <w:ind w:firstLine="431"/>
        <w:jc w:val="both"/>
        <w:rPr>
          <w:noProof/>
          <w:sz w:val="24"/>
          <w:szCs w:val="24"/>
          <w:lang w:val="en-US" w:eastAsia="en-GB"/>
        </w:rPr>
      </w:pPr>
      <w:r w:rsidRPr="00EA1F9F">
        <w:rPr>
          <w:noProof/>
          <w:sz w:val="24"/>
          <w:szCs w:val="24"/>
          <w:lang w:val="en-US" w:eastAsia="en-GB"/>
        </w:rPr>
        <w:t>Hydrogen firing technology enables power plant owners to decarbonize their existing Gas Turbine Combined Cycle (GTCC) plants by converting them to hydrogen co-firing, or even making them 100% hydrogen firing in the future. Using hydrogen as a fuel in gas turbines plays an important role in the decarbonization of the energy sector. It’s a market need driven by regulation. Natural gas with hydrogen derived from chemical industry is emerging as a key fuel for burning in gas turbines. Gas turbines can burn hydrogen with some modifications in burner and combustion systems. NOx emissions increase if H2 percentage increases but the increase is still several order of magnitudes lower compared to conventional diffusion burners. The risk of flashback is similar to that of liquid fuels. [4]</w:t>
      </w:r>
    </w:p>
    <w:p w14:paraId="7A0ECA69" w14:textId="77777777" w:rsidR="00EA1F9F" w:rsidRPr="00EA1F9F" w:rsidRDefault="00EA1F9F" w:rsidP="00EA1F9F">
      <w:pPr>
        <w:spacing w:after="120"/>
        <w:ind w:firstLine="431"/>
        <w:jc w:val="both"/>
        <w:rPr>
          <w:noProof/>
          <w:sz w:val="24"/>
          <w:szCs w:val="24"/>
          <w:lang w:val="en-US" w:eastAsia="en-GB"/>
        </w:rPr>
      </w:pPr>
      <w:r w:rsidRPr="00EA1F9F">
        <w:rPr>
          <w:noProof/>
          <w:sz w:val="24"/>
          <w:szCs w:val="24"/>
          <w:lang w:val="en-US" w:eastAsia="en-GB"/>
        </w:rPr>
        <w:t>Mitigation differs depending on H2 amount in the fuel. The flame speed is ten times higher compared to natural gas. More compact flames in DLE burners (dry low emissions) lead to slight increase in NOx compared to natural gas. [4]</w:t>
      </w:r>
    </w:p>
    <w:p w14:paraId="24781EF3" w14:textId="77777777" w:rsidR="00EA1F9F" w:rsidRPr="00EA1F9F" w:rsidRDefault="00EA1F9F" w:rsidP="00EA1F9F">
      <w:pPr>
        <w:spacing w:after="120"/>
        <w:ind w:firstLine="431"/>
        <w:jc w:val="both"/>
        <w:rPr>
          <w:noProof/>
          <w:sz w:val="24"/>
          <w:szCs w:val="24"/>
          <w:lang w:val="en-US" w:eastAsia="en-GB"/>
        </w:rPr>
      </w:pPr>
      <w:r w:rsidRPr="00EA1F9F">
        <w:rPr>
          <w:noProof/>
          <w:sz w:val="24"/>
          <w:szCs w:val="24"/>
          <w:lang w:val="en-US" w:eastAsia="en-GB"/>
        </w:rPr>
        <w:t>Case Study of on-going co-firing projects: EnergyAustralia is integrating one of GE’s advanced gas turbines to operate with a blend of natural gas and hydrogen with commercial operations scheduled to begin in 2023/2024.</w:t>
      </w:r>
    </w:p>
    <w:p w14:paraId="2F480D0C" w14:textId="4AE07A7D" w:rsidR="00EA1F9F" w:rsidRPr="00EA1F9F" w:rsidRDefault="001332C5" w:rsidP="00EA1F9F">
      <w:pPr>
        <w:keepNext/>
        <w:numPr>
          <w:ilvl w:val="1"/>
          <w:numId w:val="0"/>
        </w:numPr>
        <w:spacing w:before="200" w:after="120"/>
        <w:ind w:left="576" w:hanging="576"/>
        <w:outlineLvl w:val="1"/>
        <w:rPr>
          <w:b/>
          <w:bCs/>
          <w:iCs/>
          <w:noProof/>
          <w:sz w:val="24"/>
          <w:szCs w:val="24"/>
          <w:lang w:val="en-US" w:eastAsia="en-GB"/>
        </w:rPr>
      </w:pPr>
      <w:r>
        <w:rPr>
          <w:b/>
          <w:bCs/>
          <w:iCs/>
          <w:noProof/>
          <w:sz w:val="24"/>
          <w:szCs w:val="24"/>
          <w:lang w:val="en-US" w:eastAsia="en-GB"/>
        </w:rPr>
        <w:t xml:space="preserve">2.3 </w:t>
      </w:r>
      <w:r w:rsidR="00EA1F9F" w:rsidRPr="00EA1F9F">
        <w:rPr>
          <w:b/>
          <w:bCs/>
          <w:iCs/>
          <w:noProof/>
          <w:sz w:val="24"/>
          <w:szCs w:val="24"/>
          <w:lang w:val="en-US" w:eastAsia="en-GB"/>
        </w:rPr>
        <w:t>Retrofit for full fuel switch</w:t>
      </w:r>
    </w:p>
    <w:p w14:paraId="7A2944BF" w14:textId="77777777" w:rsidR="00EA1F9F" w:rsidRPr="00EA1F9F" w:rsidRDefault="00EA1F9F" w:rsidP="00EA1F9F">
      <w:pPr>
        <w:spacing w:after="120"/>
        <w:ind w:firstLine="431"/>
        <w:jc w:val="both"/>
        <w:rPr>
          <w:noProof/>
          <w:sz w:val="24"/>
          <w:szCs w:val="24"/>
          <w:lang w:val="en-US" w:eastAsia="en-GB"/>
        </w:rPr>
      </w:pPr>
      <w:r w:rsidRPr="00EA1F9F">
        <w:rPr>
          <w:noProof/>
          <w:sz w:val="24"/>
          <w:szCs w:val="24"/>
          <w:lang w:val="en-US" w:eastAsia="en-GB"/>
        </w:rPr>
        <w:t xml:space="preserve">Retrofitting is the process of modifying existing systems with new technology or features, such as improving the efficiency of power plants, increasing output, or reducing emissions. Here, it is analyzed retrofit in aspect of using an existing coal or gas power plant with adjustment to accommodate new fuel type. Different fuel retrofits are possible: coal to biomass, waste or natural gas, and gas to green hydrogen. </w:t>
      </w:r>
    </w:p>
    <w:p w14:paraId="1C3F46DB" w14:textId="37C64877" w:rsidR="00EA1F9F" w:rsidRPr="00EA1F9F" w:rsidRDefault="001332C5" w:rsidP="00EA1F9F">
      <w:pPr>
        <w:keepNext/>
        <w:numPr>
          <w:ilvl w:val="2"/>
          <w:numId w:val="0"/>
        </w:numPr>
        <w:spacing w:before="200" w:after="120"/>
        <w:ind w:left="720" w:hanging="720"/>
        <w:outlineLvl w:val="2"/>
        <w:rPr>
          <w:b/>
          <w:bCs/>
          <w:noProof/>
          <w:sz w:val="24"/>
          <w:szCs w:val="24"/>
          <w:lang w:val="en-US" w:eastAsia="en-GB"/>
        </w:rPr>
      </w:pPr>
      <w:r>
        <w:rPr>
          <w:b/>
          <w:bCs/>
          <w:noProof/>
          <w:sz w:val="24"/>
          <w:szCs w:val="24"/>
          <w:lang w:val="en-US" w:eastAsia="en-GB"/>
        </w:rPr>
        <w:t xml:space="preserve">2.3.1 </w:t>
      </w:r>
      <w:r w:rsidR="00EA1F9F" w:rsidRPr="00EA1F9F">
        <w:rPr>
          <w:b/>
          <w:bCs/>
          <w:noProof/>
          <w:sz w:val="24"/>
          <w:szCs w:val="24"/>
          <w:lang w:val="en-US" w:eastAsia="en-GB"/>
        </w:rPr>
        <w:t>Retrofit coal to biomass and coal to gas</w:t>
      </w:r>
    </w:p>
    <w:p w14:paraId="428DEF96" w14:textId="77777777" w:rsidR="00EA1F9F" w:rsidRPr="00EA1F9F" w:rsidRDefault="00EA1F9F" w:rsidP="00EA1F9F">
      <w:pPr>
        <w:spacing w:after="120"/>
        <w:ind w:firstLine="431"/>
        <w:jc w:val="both"/>
        <w:rPr>
          <w:noProof/>
          <w:sz w:val="24"/>
          <w:szCs w:val="24"/>
          <w:lang w:val="en-US" w:eastAsia="en-GB"/>
        </w:rPr>
      </w:pPr>
      <w:r w:rsidRPr="00EA1F9F">
        <w:rPr>
          <w:noProof/>
          <w:sz w:val="24"/>
          <w:szCs w:val="24"/>
          <w:lang w:val="en-US" w:eastAsia="en-GB"/>
        </w:rPr>
        <w:t xml:space="preserve">Large-scale coal power plants typically employ the pulverized fuel combustion technology. When converting to biomass, the firing principle remains the same, but new mills and burners, suited to biomass fuels, substitute with the coal ones. The biomass demand for such converted plants is huge – a single unit may require more than one million tons per year – and these quantities are generally secured through imports. Currently, wood pellets are the standard biomass choice in such </w:t>
      </w:r>
      <w:r w:rsidRPr="00EA1F9F">
        <w:rPr>
          <w:noProof/>
          <w:sz w:val="24"/>
          <w:szCs w:val="24"/>
          <w:lang w:val="en-US" w:eastAsia="en-GB"/>
        </w:rPr>
        <w:lastRenderedPageBreak/>
        <w:t>conversions, since their high energy density and good fuel properties offer both economic and technical advantages. Since biomass is considered carbon neutral, full fuel switch from coal to biomass would reduce the total CO2 emissions. [5]</w:t>
      </w:r>
    </w:p>
    <w:p w14:paraId="5A2D37E4" w14:textId="77777777" w:rsidR="00EA1F9F" w:rsidRPr="00EA1F9F" w:rsidRDefault="00EA1F9F" w:rsidP="00EA1F9F">
      <w:pPr>
        <w:spacing w:after="120"/>
        <w:ind w:firstLine="431"/>
        <w:jc w:val="both"/>
        <w:rPr>
          <w:noProof/>
          <w:sz w:val="24"/>
          <w:szCs w:val="24"/>
          <w:lang w:val="en-US" w:eastAsia="en-GB"/>
        </w:rPr>
      </w:pPr>
      <w:r w:rsidRPr="00EA1F9F">
        <w:rPr>
          <w:noProof/>
          <w:sz w:val="24"/>
          <w:szCs w:val="24"/>
          <w:lang w:val="en-US" w:eastAsia="en-GB"/>
        </w:rPr>
        <w:t>A natural gas plant takes up significantly less land area than an equivalent coal power plant due to the omission of spacious coal and ash handling areas. Natural gas arrives in a pipeline and leaves no ash behind when combusted. It is therefore highly space efficient. New or converted natural gas boilers with added carbon capture can easily fit in to any existing coal power plant, and the net site annual power output can be maintained even with the addition of capture equipment. However, only coal plants relatively close to an existing natural gas transmission pipeline are applicable for this type of retrofit. [6]</w:t>
      </w:r>
    </w:p>
    <w:p w14:paraId="13C5FCF9" w14:textId="0BA27454" w:rsidR="00EA1F9F" w:rsidRPr="00EA1F9F" w:rsidRDefault="001332C5" w:rsidP="00EA1F9F">
      <w:pPr>
        <w:keepNext/>
        <w:numPr>
          <w:ilvl w:val="2"/>
          <w:numId w:val="0"/>
        </w:numPr>
        <w:spacing w:before="200" w:after="120"/>
        <w:ind w:left="720" w:hanging="720"/>
        <w:outlineLvl w:val="2"/>
        <w:rPr>
          <w:b/>
          <w:bCs/>
          <w:noProof/>
          <w:sz w:val="24"/>
          <w:szCs w:val="24"/>
          <w:lang w:val="en-US" w:eastAsia="en-GB"/>
        </w:rPr>
      </w:pPr>
      <w:r>
        <w:rPr>
          <w:b/>
          <w:bCs/>
          <w:noProof/>
          <w:sz w:val="24"/>
          <w:szCs w:val="24"/>
          <w:lang w:val="en-US" w:eastAsia="en-GB"/>
        </w:rPr>
        <w:t xml:space="preserve">2.3.2 </w:t>
      </w:r>
      <w:r w:rsidR="00EA1F9F" w:rsidRPr="00EA1F9F">
        <w:rPr>
          <w:b/>
          <w:bCs/>
          <w:noProof/>
          <w:sz w:val="24"/>
          <w:szCs w:val="24"/>
          <w:lang w:val="en-US" w:eastAsia="en-GB"/>
        </w:rPr>
        <w:t xml:space="preserve">Retrofit gas to hydrogen </w:t>
      </w:r>
    </w:p>
    <w:p w14:paraId="2D869973" w14:textId="77777777" w:rsidR="00EA1F9F" w:rsidRPr="00EA1F9F" w:rsidRDefault="00EA1F9F" w:rsidP="00EA1F9F">
      <w:pPr>
        <w:spacing w:after="120"/>
        <w:ind w:firstLine="431"/>
        <w:jc w:val="both"/>
        <w:rPr>
          <w:noProof/>
          <w:sz w:val="24"/>
          <w:szCs w:val="24"/>
          <w:lang w:val="en-US" w:eastAsia="en-GB"/>
        </w:rPr>
      </w:pPr>
      <w:r w:rsidRPr="00EA1F9F">
        <w:rPr>
          <w:noProof/>
          <w:sz w:val="24"/>
          <w:szCs w:val="24"/>
          <w:lang w:val="en-US" w:eastAsia="en-GB"/>
        </w:rPr>
        <w:t xml:space="preserve">Converting natural gas into hydrogen on-site with sorbent enhanced steam reforming reduces overall carbon emissions by 98% and eliminates the need to add a more expensive carbon capture system to the back-end of the power production process. Case Study of on-going gas turbines developments: Siemens Energy is supplying two gas turbine packages that will eventually operate on 100% hydrogen for the Leipzig Süd district heating power plant in Germany (2030), Mitsubishi M701F natural-gas-fired turbine, Hydrogen-to-Magnum Project, which aims to convert one gas turbine unit in the Vattenfall power plant, in the Netherlands, to run on 100% hydrogen by 2027. Biggest challenge is reducing flashback, where the rapid combustion speed of hydrogen means the flame can shoot back up the incoming fuel nozzle. </w:t>
      </w:r>
    </w:p>
    <w:p w14:paraId="1FB9A513" w14:textId="54FE5102" w:rsidR="00EA1F9F" w:rsidRPr="00EA1F9F" w:rsidRDefault="001332C5" w:rsidP="00EA1F9F">
      <w:pPr>
        <w:keepNext/>
        <w:numPr>
          <w:ilvl w:val="1"/>
          <w:numId w:val="0"/>
        </w:numPr>
        <w:spacing w:before="200" w:after="120"/>
        <w:ind w:left="576" w:hanging="576"/>
        <w:outlineLvl w:val="1"/>
        <w:rPr>
          <w:b/>
          <w:bCs/>
          <w:iCs/>
          <w:noProof/>
          <w:sz w:val="24"/>
          <w:szCs w:val="24"/>
          <w:lang w:val="en-US" w:eastAsia="en-GB"/>
        </w:rPr>
      </w:pPr>
      <w:r>
        <w:rPr>
          <w:b/>
          <w:bCs/>
          <w:iCs/>
          <w:noProof/>
          <w:sz w:val="24"/>
          <w:szCs w:val="24"/>
          <w:lang w:val="en-US" w:eastAsia="en-GB"/>
        </w:rPr>
        <w:t xml:space="preserve">2.4 </w:t>
      </w:r>
      <w:r w:rsidR="00EA1F9F" w:rsidRPr="00EA1F9F">
        <w:rPr>
          <w:b/>
          <w:bCs/>
          <w:iCs/>
          <w:noProof/>
          <w:sz w:val="24"/>
          <w:szCs w:val="24"/>
          <w:lang w:val="en-US" w:eastAsia="en-GB"/>
        </w:rPr>
        <w:t>Implementation of CCUS</w:t>
      </w:r>
    </w:p>
    <w:p w14:paraId="2FFE8AA4" w14:textId="77777777" w:rsidR="00EA1F9F" w:rsidRPr="00EA1F9F" w:rsidRDefault="00EA1F9F" w:rsidP="00EA1F9F">
      <w:pPr>
        <w:spacing w:after="120"/>
        <w:ind w:firstLine="431"/>
        <w:jc w:val="both"/>
        <w:rPr>
          <w:noProof/>
          <w:sz w:val="24"/>
          <w:szCs w:val="24"/>
          <w:lang w:val="en-US" w:eastAsia="en-GB"/>
        </w:rPr>
      </w:pPr>
      <w:r w:rsidRPr="00EA1F9F">
        <w:rPr>
          <w:noProof/>
          <w:sz w:val="24"/>
          <w:szCs w:val="24"/>
          <w:lang w:val="en-US" w:eastAsia="en-GB"/>
        </w:rPr>
        <w:t>CCS offers the means to achieve deep reductions in CO2 emissions from coal-fired power plants and other large energy-intensive fossil fuel sectors. The CCS process comprises three integrated stages, namely: 1. capture and subsequent compression of the CO2 2. the transport of the CO2, usually as a supercritical/dense phase fluid 3. its subsequent utilisation or injection into the selected geological formation. [1]</w:t>
      </w:r>
    </w:p>
    <w:p w14:paraId="53198D05" w14:textId="77777777" w:rsidR="00EA1F9F" w:rsidRPr="00EA1F9F" w:rsidRDefault="00EA1F9F" w:rsidP="00EA1F9F">
      <w:pPr>
        <w:spacing w:after="120"/>
        <w:ind w:firstLine="431"/>
        <w:jc w:val="both"/>
        <w:rPr>
          <w:noProof/>
          <w:sz w:val="24"/>
          <w:szCs w:val="24"/>
          <w:lang w:val="en-US" w:eastAsia="en-GB"/>
        </w:rPr>
      </w:pPr>
      <w:r w:rsidRPr="00EA1F9F">
        <w:rPr>
          <w:noProof/>
          <w:sz w:val="24"/>
          <w:szCs w:val="24"/>
          <w:lang w:val="en-US" w:eastAsia="en-GB"/>
        </w:rPr>
        <w:t>All CCS options incur costs and reduce the efficiency of the plant. Fitting CCS to a power plant requires additional capital investment for the CO2 capture and compression equipment, the transport infrastructure as well as the equipment associated with storage. In all cases, CO2 capture will use additional energy for the capture and subsequent compression of the CO2, reducing the overall process efficiency and also increasing the amount of fuel used to achieve a given power generation output. Consequently, the cost of capturing CO2 will be lowest if this is done in large plants that operate at high thermal efficiencies and can best integrate the CO2 capture process to limit, as far as practicable, the energy penalties. The technique can be applied both to new plants, where the additional process equipment can be designed for maximum integration, and to existing plants as a retrofit application. In the latter case, key requirements are the need for adequate space at the power plant site to incorporate the additional equipment, which will be extensive, and the reasonable proximity of a CO2 storage site. Capital costs are expected to decline once this technology is demonstrated and then deployed on a significant scale. [1] Based on learnings from current developments and expected economies of scale, CCUS project cost is anticipated to range between $75-$100 per tonne of CO2 captured by 2030, meaning the total market value of the sector could reach $55 billion annually by 2030. [6]</w:t>
      </w:r>
    </w:p>
    <w:p w14:paraId="1643D1AF" w14:textId="4D542160" w:rsidR="00EA1F9F" w:rsidRPr="00EA1F9F" w:rsidRDefault="001332C5" w:rsidP="00EA1F9F">
      <w:pPr>
        <w:keepNext/>
        <w:numPr>
          <w:ilvl w:val="1"/>
          <w:numId w:val="0"/>
        </w:numPr>
        <w:spacing w:before="200" w:after="120"/>
        <w:ind w:left="576" w:hanging="576"/>
        <w:outlineLvl w:val="1"/>
        <w:rPr>
          <w:b/>
          <w:bCs/>
          <w:iCs/>
          <w:noProof/>
          <w:sz w:val="24"/>
          <w:szCs w:val="24"/>
          <w:lang w:val="en-US" w:eastAsia="en-GB"/>
        </w:rPr>
      </w:pPr>
      <w:r>
        <w:rPr>
          <w:b/>
          <w:bCs/>
          <w:iCs/>
          <w:noProof/>
          <w:sz w:val="24"/>
          <w:szCs w:val="24"/>
          <w:lang w:val="en-US" w:eastAsia="en-GB"/>
        </w:rPr>
        <w:lastRenderedPageBreak/>
        <w:t xml:space="preserve">2.5 </w:t>
      </w:r>
      <w:r w:rsidR="00EA1F9F" w:rsidRPr="00EA1F9F">
        <w:rPr>
          <w:b/>
          <w:bCs/>
          <w:iCs/>
          <w:noProof/>
          <w:sz w:val="24"/>
          <w:szCs w:val="24"/>
          <w:lang w:val="en-US" w:eastAsia="en-GB"/>
        </w:rPr>
        <w:t>Shutdown of fossil assets and building new plants</w:t>
      </w:r>
    </w:p>
    <w:p w14:paraId="42CFEA62" w14:textId="77777777" w:rsidR="00EA1F9F" w:rsidRPr="00EA1F9F" w:rsidRDefault="00EA1F9F" w:rsidP="00EA1F9F">
      <w:pPr>
        <w:spacing w:after="120"/>
        <w:ind w:firstLine="431"/>
        <w:jc w:val="both"/>
        <w:rPr>
          <w:noProof/>
          <w:sz w:val="24"/>
          <w:szCs w:val="24"/>
          <w:lang w:val="en-US" w:eastAsia="en-GB"/>
        </w:rPr>
      </w:pPr>
      <w:r w:rsidRPr="00EA1F9F">
        <w:rPr>
          <w:noProof/>
          <w:sz w:val="24"/>
          <w:szCs w:val="24"/>
          <w:lang w:val="en-US" w:eastAsia="en-GB"/>
        </w:rPr>
        <w:t>This lever has multiple sublevers captuing all the possible variations, but is based on decommissioning existing coal or gas-fired plant and replace with a plant with less or zero CO2 emissions. Some of the variations for coal fired power plants are as following: 1. Coal to Gas, 2. Coal to Gas + CCS, 3. Coal to PV, 4. Coal to PV+Wind, 5. Coal to PV+Wind+Battery. Same levers can apply to gas fired power plants: 1. Gas to PV, 2. Gas to PV + Wind, 3. Gas to PV + Wind + Battery, 4. Gas to 100% Hydrogen.</w:t>
      </w:r>
    </w:p>
    <w:p w14:paraId="3D5F9A34" w14:textId="77777777" w:rsidR="00EA1F9F" w:rsidRPr="00EA1F9F" w:rsidRDefault="00EA1F9F" w:rsidP="00EA1F9F">
      <w:pPr>
        <w:spacing w:after="120"/>
        <w:ind w:firstLine="431"/>
        <w:jc w:val="both"/>
        <w:rPr>
          <w:noProof/>
          <w:sz w:val="24"/>
          <w:szCs w:val="24"/>
          <w:lang w:val="en-US" w:eastAsia="en-GB"/>
        </w:rPr>
      </w:pPr>
      <w:r w:rsidRPr="00EA1F9F">
        <w:rPr>
          <w:noProof/>
          <w:sz w:val="24"/>
          <w:szCs w:val="24"/>
          <w:lang w:val="en-US" w:eastAsia="en-GB"/>
        </w:rPr>
        <w:t xml:space="preserve">This methods typically require higher upfront CAPEX to build a new plant or invest in renewables parks. The levers are more market competitive in countries with very high CO2 and gas prices. </w:t>
      </w:r>
    </w:p>
    <w:p w14:paraId="17AB8640" w14:textId="441C528C" w:rsidR="00EA1F9F" w:rsidRPr="00EA1F9F" w:rsidRDefault="001332C5" w:rsidP="00EA1F9F">
      <w:pPr>
        <w:keepNext/>
        <w:spacing w:before="240" w:after="120"/>
        <w:ind w:left="432" w:hanging="432"/>
        <w:jc w:val="both"/>
        <w:outlineLvl w:val="0"/>
        <w:rPr>
          <w:b/>
          <w:bCs/>
          <w:caps/>
          <w:noProof/>
          <w:sz w:val="24"/>
          <w:szCs w:val="24"/>
          <w:lang w:val="en-US" w:eastAsia="en-GB"/>
        </w:rPr>
      </w:pPr>
      <w:r>
        <w:rPr>
          <w:b/>
          <w:bCs/>
          <w:caps/>
          <w:noProof/>
          <w:sz w:val="24"/>
          <w:szCs w:val="24"/>
          <w:lang w:val="en-US" w:eastAsia="en-GB"/>
        </w:rPr>
        <w:t xml:space="preserve">3 </w:t>
      </w:r>
      <w:r w:rsidR="00EA1F9F" w:rsidRPr="00EA1F9F">
        <w:rPr>
          <w:b/>
          <w:bCs/>
          <w:caps/>
          <w:noProof/>
          <w:sz w:val="24"/>
          <w:szCs w:val="24"/>
          <w:lang w:val="en-US" w:eastAsia="en-GB"/>
        </w:rPr>
        <w:t>2022 energy prices accelerating the need for decarb pathway</w:t>
      </w:r>
    </w:p>
    <w:p w14:paraId="2A49F20F" w14:textId="77777777" w:rsidR="00EA1F9F" w:rsidRPr="00EA1F9F" w:rsidRDefault="00EA1F9F" w:rsidP="00EA1F9F">
      <w:pPr>
        <w:spacing w:after="120"/>
        <w:ind w:firstLine="431"/>
        <w:jc w:val="both"/>
        <w:rPr>
          <w:noProof/>
          <w:sz w:val="24"/>
          <w:szCs w:val="24"/>
          <w:lang w:val="en-US" w:eastAsia="en-GB"/>
        </w:rPr>
      </w:pPr>
      <w:r w:rsidRPr="00EA1F9F">
        <w:rPr>
          <w:noProof/>
          <w:sz w:val="24"/>
          <w:szCs w:val="24"/>
          <w:lang w:val="en-US" w:eastAsia="en-GB"/>
        </w:rPr>
        <w:t>The European Union first proposed a cap on the price of gas and electricity in March, after energy prices took off when Russian – Ukraine conflict started. While some suppliers produce their own energy, most of the price that electricity firms pay is set by financial markets, where producers, utility firms and speculators compete based on supply and demand. [8]</w:t>
      </w:r>
    </w:p>
    <w:p w14:paraId="71D7F4C0" w14:textId="77777777" w:rsidR="00EA1F9F" w:rsidRPr="00EA1F9F" w:rsidRDefault="00EA1F9F" w:rsidP="00EA1F9F">
      <w:pPr>
        <w:spacing w:after="120"/>
        <w:ind w:firstLine="431"/>
        <w:jc w:val="both"/>
        <w:rPr>
          <w:noProof/>
          <w:sz w:val="24"/>
          <w:szCs w:val="24"/>
          <w:lang w:val="en-US" w:eastAsia="en-GB"/>
        </w:rPr>
      </w:pPr>
      <w:r w:rsidRPr="00EA1F9F">
        <w:rPr>
          <w:noProof/>
          <w:sz w:val="24"/>
          <w:szCs w:val="24"/>
          <w:lang w:val="en-US" w:eastAsia="en-GB"/>
        </w:rPr>
        <w:t>Electricity producers are paid the same price despite having vastly different expenditures. Gas power stations are much more expensive to run than wind or solar farms and, therefore, tend to set the overall market price. [8]</w:t>
      </w:r>
    </w:p>
    <w:p w14:paraId="04D558A6" w14:textId="77777777" w:rsidR="00EA1F9F" w:rsidRPr="00EA1F9F" w:rsidRDefault="00EA1F9F" w:rsidP="00EA1F9F">
      <w:pPr>
        <w:spacing w:after="120"/>
        <w:ind w:firstLine="431"/>
        <w:jc w:val="both"/>
        <w:rPr>
          <w:noProof/>
          <w:sz w:val="24"/>
          <w:szCs w:val="24"/>
          <w:lang w:val="en-US" w:eastAsia="en-GB"/>
        </w:rPr>
      </w:pPr>
      <w:r w:rsidRPr="00EA1F9F">
        <w:rPr>
          <w:noProof/>
          <w:sz w:val="24"/>
          <w:szCs w:val="24"/>
          <w:lang w:val="en-US" w:eastAsia="en-GB"/>
        </w:rPr>
        <w:t>Current German import prices reaching above 400 EUR/MWh for natural gas and above 580 EUR/MWh for coal (July 2022 [9]) were the factors for the year-ahead contract for German electricity reaching €995 ($995) per megawatt hour at the end of August. [8]</w:t>
      </w:r>
    </w:p>
    <w:p w14:paraId="07B68531" w14:textId="77777777" w:rsidR="00EA1F9F" w:rsidRPr="00EA1F9F" w:rsidRDefault="00EA1F9F" w:rsidP="00EA1F9F">
      <w:pPr>
        <w:spacing w:after="120"/>
        <w:ind w:firstLine="431"/>
        <w:jc w:val="both"/>
        <w:rPr>
          <w:noProof/>
          <w:sz w:val="24"/>
          <w:szCs w:val="24"/>
          <w:lang w:val="en-US" w:eastAsia="en-GB"/>
        </w:rPr>
      </w:pPr>
      <w:r w:rsidRPr="00EA1F9F">
        <w:rPr>
          <w:noProof/>
          <w:sz w:val="24"/>
          <w:szCs w:val="24"/>
          <w:lang w:val="en-US" w:eastAsia="en-GB"/>
        </w:rPr>
        <w:t xml:space="preserve">Moreover, with CO2 prices  also being currently high (65 EUR/ton, Sep/2022, [10]) and expected to double in the next decade  (111 EUR/ton, Dec/2030 [10]), power utilities not only need to set a decarbonization strategy, but also rapidly accelerate it, focusing on low carb fuels power generation to avoid and sooner fossil asset phase out. </w:t>
      </w:r>
    </w:p>
    <w:p w14:paraId="002054B7" w14:textId="0D97976F" w:rsidR="00EA1F9F" w:rsidRPr="00EA1F9F" w:rsidRDefault="001332C5" w:rsidP="00EA1F9F">
      <w:pPr>
        <w:keepNext/>
        <w:spacing w:before="240" w:after="120"/>
        <w:ind w:left="432" w:hanging="432"/>
        <w:jc w:val="both"/>
        <w:outlineLvl w:val="0"/>
        <w:rPr>
          <w:b/>
          <w:bCs/>
          <w:caps/>
          <w:noProof/>
          <w:sz w:val="24"/>
          <w:szCs w:val="24"/>
          <w:lang w:val="en-US" w:eastAsia="en-GB"/>
        </w:rPr>
      </w:pPr>
      <w:r>
        <w:rPr>
          <w:b/>
          <w:bCs/>
          <w:caps/>
          <w:noProof/>
          <w:sz w:val="24"/>
          <w:szCs w:val="24"/>
          <w:lang w:val="en-US" w:eastAsia="en-GB"/>
        </w:rPr>
        <w:t xml:space="preserve">4 </w:t>
      </w:r>
      <w:r w:rsidR="00EA1F9F" w:rsidRPr="00EA1F9F">
        <w:rPr>
          <w:b/>
          <w:bCs/>
          <w:caps/>
          <w:noProof/>
          <w:sz w:val="24"/>
          <w:szCs w:val="24"/>
          <w:lang w:val="en-US" w:eastAsia="en-GB"/>
        </w:rPr>
        <w:t>power utilities decarbonization initiatives benchmark</w:t>
      </w:r>
    </w:p>
    <w:p w14:paraId="735E8E86" w14:textId="77777777" w:rsidR="00EA1F9F" w:rsidRPr="00EA1F9F" w:rsidRDefault="00EA1F9F" w:rsidP="00EA1F9F">
      <w:pPr>
        <w:spacing w:after="120"/>
        <w:ind w:firstLine="431"/>
        <w:jc w:val="both"/>
        <w:rPr>
          <w:noProof/>
          <w:sz w:val="24"/>
          <w:szCs w:val="24"/>
          <w:lang w:val="en-US" w:eastAsia="en-GB"/>
        </w:rPr>
      </w:pPr>
      <w:r w:rsidRPr="00EA1F9F">
        <w:rPr>
          <w:noProof/>
          <w:sz w:val="24"/>
          <w:szCs w:val="24"/>
          <w:lang w:val="en-US" w:eastAsia="en-GB"/>
        </w:rPr>
        <w:t xml:space="preserve">Based on the analyzed levers, a research has been conducted and 13 selected companies’s strategies were reflected on their ongoing or planned decarbonization initiatives, measures and projects. The utilities immediate plans emphasize moving from coal to renewables, especially in Europe and USA. The selected companies were diveded by regions as following: US based: Duke Energy, Next Era, Evergy, EU based: Fortum, Uniper, Engie, Enel, RWE, Orsted, Asia and RoW based: CLP, NTPC, Tepco, Eskom. </w:t>
      </w:r>
    </w:p>
    <w:p w14:paraId="0D8EA4AB" w14:textId="77777777" w:rsidR="00EA1F9F" w:rsidRPr="00EA1F9F" w:rsidRDefault="00EA1F9F" w:rsidP="00EA1F9F">
      <w:pPr>
        <w:spacing w:before="60" w:after="60"/>
        <w:jc w:val="center"/>
        <w:rPr>
          <w:rFonts w:eastAsia="Calibri"/>
          <w:noProof/>
          <w:color w:val="000000"/>
          <w:sz w:val="24"/>
          <w:szCs w:val="24"/>
          <w:lang w:val="en-US" w:eastAsia="en-GB"/>
        </w:rPr>
      </w:pPr>
      <w:r w:rsidRPr="00EA1F9F">
        <w:rPr>
          <w:rFonts w:eastAsia="Calibri"/>
          <w:noProof/>
          <w:color w:val="000000"/>
          <w:sz w:val="24"/>
          <w:szCs w:val="24"/>
          <w:lang w:val="en-US" w:eastAsia="en-GB"/>
        </w:rPr>
        <w:t xml:space="preserve">Table </w:t>
      </w:r>
      <w:r w:rsidRPr="00EA1F9F">
        <w:rPr>
          <w:rFonts w:eastAsia="Calibri"/>
          <w:noProof/>
          <w:color w:val="000000"/>
          <w:sz w:val="24"/>
          <w:szCs w:val="24"/>
          <w:lang w:val="en-US" w:eastAsia="en-GB"/>
        </w:rPr>
        <w:fldChar w:fldCharType="begin"/>
      </w:r>
      <w:r w:rsidRPr="00EA1F9F">
        <w:rPr>
          <w:rFonts w:eastAsia="Calibri"/>
          <w:noProof/>
          <w:color w:val="000000"/>
          <w:sz w:val="24"/>
          <w:szCs w:val="24"/>
          <w:lang w:val="en-US" w:eastAsia="en-GB"/>
        </w:rPr>
        <w:instrText xml:space="preserve"> SEQ Table \* ARABIC </w:instrText>
      </w:r>
      <w:r w:rsidRPr="00EA1F9F">
        <w:rPr>
          <w:rFonts w:eastAsia="Calibri"/>
          <w:noProof/>
          <w:color w:val="000000"/>
          <w:sz w:val="24"/>
          <w:szCs w:val="24"/>
          <w:lang w:val="en-US" w:eastAsia="en-GB"/>
        </w:rPr>
        <w:fldChar w:fldCharType="separate"/>
      </w:r>
      <w:r w:rsidR="004A653C">
        <w:rPr>
          <w:rFonts w:eastAsia="Calibri"/>
          <w:noProof/>
          <w:color w:val="000000"/>
          <w:sz w:val="24"/>
          <w:szCs w:val="24"/>
          <w:lang w:val="en-US" w:eastAsia="en-GB"/>
        </w:rPr>
        <w:t>2</w:t>
      </w:r>
      <w:r w:rsidRPr="00EA1F9F">
        <w:rPr>
          <w:rFonts w:eastAsia="Calibri"/>
          <w:noProof/>
          <w:color w:val="000000"/>
          <w:sz w:val="24"/>
          <w:szCs w:val="24"/>
          <w:lang w:val="en-US" w:eastAsia="en-GB"/>
        </w:rPr>
        <w:fldChar w:fldCharType="end"/>
      </w:r>
      <w:r w:rsidRPr="00EA1F9F">
        <w:rPr>
          <w:rFonts w:eastAsia="Calibri"/>
          <w:noProof/>
          <w:color w:val="000000"/>
          <w:sz w:val="24"/>
          <w:szCs w:val="24"/>
          <w:lang w:val="en-US" w:eastAsia="en-GB"/>
        </w:rPr>
        <w:t xml:space="preserve"> Decarbonization Initiatives across major Power Utilities</w:t>
      </w:r>
    </w:p>
    <w:tbl>
      <w:tblPr>
        <w:tblStyle w:val="TableGrid"/>
        <w:tblW w:w="4994" w:type="pct"/>
        <w:jc w:val="center"/>
        <w:tblLook w:val="04A0" w:firstRow="1" w:lastRow="0" w:firstColumn="1" w:lastColumn="0" w:noHBand="0" w:noVBand="1"/>
      </w:tblPr>
      <w:tblGrid>
        <w:gridCol w:w="816"/>
        <w:gridCol w:w="1372"/>
        <w:gridCol w:w="980"/>
        <w:gridCol w:w="1033"/>
        <w:gridCol w:w="1306"/>
        <w:gridCol w:w="929"/>
        <w:gridCol w:w="983"/>
        <w:gridCol w:w="1221"/>
        <w:gridCol w:w="977"/>
      </w:tblGrid>
      <w:tr w:rsidR="00EA1F9F" w:rsidRPr="00EA1F9F" w14:paraId="1C41A36D" w14:textId="77777777" w:rsidTr="00A35C8D">
        <w:trPr>
          <w:jc w:val="center"/>
        </w:trPr>
        <w:tc>
          <w:tcPr>
            <w:tcW w:w="391" w:type="pct"/>
            <w:vAlign w:val="center"/>
          </w:tcPr>
          <w:p w14:paraId="344FEAE5" w14:textId="77777777" w:rsidR="00EA1F9F" w:rsidRPr="00EA1F9F" w:rsidRDefault="00EA1F9F" w:rsidP="00A35C8D">
            <w:pPr>
              <w:spacing w:after="120"/>
              <w:ind w:firstLine="0"/>
              <w:jc w:val="left"/>
              <w:rPr>
                <w:b/>
                <w:bCs/>
                <w:noProof/>
                <w:lang w:val="en-US" w:eastAsia="en-GB"/>
              </w:rPr>
            </w:pPr>
            <w:r w:rsidRPr="00EA1F9F">
              <w:rPr>
                <w:b/>
                <w:bCs/>
                <w:noProof/>
                <w:lang w:val="en-US" w:eastAsia="en-GB"/>
              </w:rPr>
              <w:t>Region</w:t>
            </w:r>
          </w:p>
        </w:tc>
        <w:tc>
          <w:tcPr>
            <w:tcW w:w="718" w:type="pct"/>
            <w:vAlign w:val="center"/>
          </w:tcPr>
          <w:p w14:paraId="78F3248F" w14:textId="77777777" w:rsidR="00EA1F9F" w:rsidRPr="00EA1F9F" w:rsidRDefault="00EA1F9F" w:rsidP="00A35C8D">
            <w:pPr>
              <w:spacing w:after="120"/>
              <w:ind w:firstLine="0"/>
              <w:jc w:val="left"/>
              <w:rPr>
                <w:b/>
                <w:bCs/>
                <w:noProof/>
                <w:lang w:val="en-US" w:eastAsia="en-GB"/>
              </w:rPr>
            </w:pPr>
            <w:r w:rsidRPr="00EA1F9F">
              <w:rPr>
                <w:b/>
                <w:bCs/>
                <w:noProof/>
                <w:lang w:val="en-US" w:eastAsia="en-GB"/>
              </w:rPr>
              <w:t>Company</w:t>
            </w:r>
          </w:p>
        </w:tc>
        <w:tc>
          <w:tcPr>
            <w:tcW w:w="1738" w:type="pct"/>
            <w:gridSpan w:val="3"/>
            <w:vAlign w:val="center"/>
          </w:tcPr>
          <w:p w14:paraId="22CE8C32" w14:textId="77777777" w:rsidR="00EA1F9F" w:rsidRPr="00EA1F9F" w:rsidRDefault="00EA1F9F" w:rsidP="00A35C8D">
            <w:pPr>
              <w:spacing w:after="120"/>
              <w:jc w:val="center"/>
              <w:rPr>
                <w:b/>
                <w:bCs/>
                <w:noProof/>
                <w:lang w:val="en-US" w:eastAsia="en-GB"/>
              </w:rPr>
            </w:pPr>
            <w:r w:rsidRPr="00EA1F9F">
              <w:rPr>
                <w:b/>
                <w:bCs/>
                <w:noProof/>
                <w:lang w:val="en-US" w:eastAsia="en-GB"/>
              </w:rPr>
              <w:t>Power Plant Actions</w:t>
            </w:r>
          </w:p>
        </w:tc>
        <w:tc>
          <w:tcPr>
            <w:tcW w:w="1641" w:type="pct"/>
            <w:gridSpan w:val="3"/>
            <w:vAlign w:val="center"/>
          </w:tcPr>
          <w:p w14:paraId="68E51295" w14:textId="77777777" w:rsidR="00EA1F9F" w:rsidRPr="00EA1F9F" w:rsidRDefault="00EA1F9F" w:rsidP="00A35C8D">
            <w:pPr>
              <w:spacing w:after="120"/>
              <w:ind w:firstLine="0"/>
              <w:jc w:val="center"/>
              <w:rPr>
                <w:b/>
                <w:bCs/>
                <w:noProof/>
                <w:lang w:val="en-US" w:eastAsia="en-GB"/>
              </w:rPr>
            </w:pPr>
            <w:r w:rsidRPr="00EA1F9F">
              <w:rPr>
                <w:b/>
                <w:bCs/>
                <w:noProof/>
                <w:lang w:val="en-US" w:eastAsia="en-GB"/>
              </w:rPr>
              <w:t>Diversifying from fossil fuel</w:t>
            </w:r>
          </w:p>
        </w:tc>
        <w:tc>
          <w:tcPr>
            <w:tcW w:w="512" w:type="pct"/>
            <w:vAlign w:val="center"/>
          </w:tcPr>
          <w:p w14:paraId="3706D5B7" w14:textId="77777777" w:rsidR="00EA1F9F" w:rsidRPr="00EA1F9F" w:rsidRDefault="00EA1F9F" w:rsidP="00A35C8D">
            <w:pPr>
              <w:spacing w:after="120"/>
              <w:ind w:firstLine="0"/>
              <w:jc w:val="center"/>
              <w:rPr>
                <w:b/>
                <w:bCs/>
                <w:noProof/>
                <w:lang w:val="en-US" w:eastAsia="en-GB"/>
              </w:rPr>
            </w:pPr>
            <w:r w:rsidRPr="00EA1F9F">
              <w:rPr>
                <w:b/>
                <w:bCs/>
                <w:noProof/>
                <w:lang w:val="en-US" w:eastAsia="en-GB"/>
              </w:rPr>
              <w:t>Carbon Capture</w:t>
            </w:r>
          </w:p>
        </w:tc>
      </w:tr>
      <w:tr w:rsidR="00EA1F9F" w:rsidRPr="00EA1F9F" w14:paraId="45A88D05" w14:textId="77777777" w:rsidTr="00A35C8D">
        <w:trPr>
          <w:trHeight w:val="486"/>
          <w:jc w:val="center"/>
        </w:trPr>
        <w:tc>
          <w:tcPr>
            <w:tcW w:w="391" w:type="pct"/>
          </w:tcPr>
          <w:p w14:paraId="1D274D30" w14:textId="77777777" w:rsidR="00EA1F9F" w:rsidRPr="00EA1F9F" w:rsidRDefault="00EA1F9F" w:rsidP="00EA1F9F">
            <w:pPr>
              <w:spacing w:after="120"/>
              <w:rPr>
                <w:noProof/>
                <w:lang w:val="en-US" w:eastAsia="en-GB"/>
              </w:rPr>
            </w:pPr>
          </w:p>
        </w:tc>
        <w:tc>
          <w:tcPr>
            <w:tcW w:w="718" w:type="pct"/>
          </w:tcPr>
          <w:p w14:paraId="07C8F3F2" w14:textId="77777777" w:rsidR="00EA1F9F" w:rsidRPr="00EA1F9F" w:rsidRDefault="00EA1F9F" w:rsidP="00EA1F9F">
            <w:pPr>
              <w:spacing w:after="120"/>
              <w:rPr>
                <w:noProof/>
                <w:lang w:val="en-US" w:eastAsia="en-GB"/>
              </w:rPr>
            </w:pPr>
          </w:p>
        </w:tc>
        <w:tc>
          <w:tcPr>
            <w:tcW w:w="514" w:type="pct"/>
            <w:vAlign w:val="center"/>
          </w:tcPr>
          <w:p w14:paraId="434345A8" w14:textId="77777777" w:rsidR="00EA1F9F" w:rsidRPr="00EA1F9F" w:rsidRDefault="00EA1F9F" w:rsidP="00A35C8D">
            <w:pPr>
              <w:spacing w:after="120"/>
              <w:ind w:firstLine="0"/>
              <w:jc w:val="center"/>
              <w:rPr>
                <w:b/>
                <w:bCs/>
                <w:noProof/>
                <w:lang w:val="en-US" w:eastAsia="en-GB"/>
              </w:rPr>
            </w:pPr>
            <w:r w:rsidRPr="00EA1F9F">
              <w:rPr>
                <w:b/>
                <w:bCs/>
                <w:noProof/>
                <w:lang w:val="en-US" w:eastAsia="en-GB"/>
              </w:rPr>
              <w:t>Coal to Gas</w:t>
            </w:r>
          </w:p>
        </w:tc>
        <w:tc>
          <w:tcPr>
            <w:tcW w:w="541" w:type="pct"/>
            <w:vAlign w:val="center"/>
          </w:tcPr>
          <w:p w14:paraId="06D42776" w14:textId="77777777" w:rsidR="00EA1F9F" w:rsidRPr="00EA1F9F" w:rsidRDefault="00EA1F9F" w:rsidP="00A35C8D">
            <w:pPr>
              <w:spacing w:after="120"/>
              <w:ind w:firstLine="0"/>
              <w:jc w:val="center"/>
              <w:rPr>
                <w:b/>
                <w:bCs/>
                <w:noProof/>
                <w:lang w:val="en-US" w:eastAsia="en-GB"/>
              </w:rPr>
            </w:pPr>
            <w:r w:rsidRPr="00EA1F9F">
              <w:rPr>
                <w:b/>
                <w:bCs/>
                <w:noProof/>
                <w:lang w:val="en-US" w:eastAsia="en-GB"/>
              </w:rPr>
              <w:t>Coal to Biomass</w:t>
            </w:r>
          </w:p>
        </w:tc>
        <w:tc>
          <w:tcPr>
            <w:tcW w:w="683" w:type="pct"/>
            <w:vAlign w:val="center"/>
          </w:tcPr>
          <w:p w14:paraId="13FA7CC9" w14:textId="77777777" w:rsidR="00EA1F9F" w:rsidRPr="00EA1F9F" w:rsidRDefault="00EA1F9F" w:rsidP="00A35C8D">
            <w:pPr>
              <w:spacing w:after="120"/>
              <w:ind w:firstLine="0"/>
              <w:jc w:val="center"/>
              <w:rPr>
                <w:b/>
                <w:bCs/>
                <w:noProof/>
                <w:lang w:val="en-US" w:eastAsia="en-GB"/>
              </w:rPr>
            </w:pPr>
            <w:r w:rsidRPr="00EA1F9F">
              <w:rPr>
                <w:b/>
                <w:bCs/>
                <w:noProof/>
                <w:lang w:val="en-US" w:eastAsia="en-GB"/>
              </w:rPr>
              <w:t>Coal Divestment</w:t>
            </w:r>
          </w:p>
        </w:tc>
        <w:tc>
          <w:tcPr>
            <w:tcW w:w="487" w:type="pct"/>
            <w:vAlign w:val="center"/>
          </w:tcPr>
          <w:p w14:paraId="0B91F73A" w14:textId="77777777" w:rsidR="00EA1F9F" w:rsidRPr="00EA1F9F" w:rsidRDefault="00EA1F9F" w:rsidP="00A35C8D">
            <w:pPr>
              <w:spacing w:after="120"/>
              <w:ind w:firstLine="0"/>
              <w:jc w:val="center"/>
              <w:rPr>
                <w:b/>
                <w:bCs/>
                <w:noProof/>
                <w:lang w:val="en-US" w:eastAsia="en-GB"/>
              </w:rPr>
            </w:pPr>
            <w:r w:rsidRPr="00EA1F9F">
              <w:rPr>
                <w:b/>
                <w:bCs/>
                <w:noProof/>
                <w:lang w:val="en-US" w:eastAsia="en-GB"/>
              </w:rPr>
              <w:t>PV and Wind</w:t>
            </w:r>
          </w:p>
        </w:tc>
        <w:tc>
          <w:tcPr>
            <w:tcW w:w="515" w:type="pct"/>
            <w:vAlign w:val="center"/>
          </w:tcPr>
          <w:p w14:paraId="79C61521" w14:textId="77777777" w:rsidR="00EA1F9F" w:rsidRPr="00EA1F9F" w:rsidRDefault="00EA1F9F" w:rsidP="00A35C8D">
            <w:pPr>
              <w:spacing w:after="120"/>
              <w:ind w:firstLine="0"/>
              <w:jc w:val="center"/>
              <w:rPr>
                <w:b/>
                <w:bCs/>
                <w:noProof/>
                <w:lang w:val="en-US" w:eastAsia="en-GB"/>
              </w:rPr>
            </w:pPr>
            <w:r w:rsidRPr="00EA1F9F">
              <w:rPr>
                <w:b/>
                <w:bCs/>
                <w:noProof/>
                <w:lang w:val="en-US" w:eastAsia="en-GB"/>
              </w:rPr>
              <w:t>Energy Storage</w:t>
            </w:r>
          </w:p>
        </w:tc>
        <w:tc>
          <w:tcPr>
            <w:tcW w:w="639" w:type="pct"/>
            <w:vAlign w:val="center"/>
          </w:tcPr>
          <w:p w14:paraId="3F258182" w14:textId="77777777" w:rsidR="00EA1F9F" w:rsidRPr="00EA1F9F" w:rsidRDefault="00EA1F9F" w:rsidP="00A35C8D">
            <w:pPr>
              <w:spacing w:after="120"/>
              <w:ind w:firstLine="0"/>
              <w:jc w:val="center"/>
              <w:rPr>
                <w:b/>
                <w:bCs/>
                <w:noProof/>
                <w:lang w:val="en-US" w:eastAsia="en-GB"/>
              </w:rPr>
            </w:pPr>
            <w:r w:rsidRPr="00EA1F9F">
              <w:rPr>
                <w:b/>
                <w:bCs/>
                <w:noProof/>
                <w:lang w:val="en-US" w:eastAsia="en-GB"/>
              </w:rPr>
              <w:t>Ammonia, H2</w:t>
            </w:r>
          </w:p>
        </w:tc>
        <w:tc>
          <w:tcPr>
            <w:tcW w:w="512" w:type="pct"/>
            <w:vAlign w:val="center"/>
          </w:tcPr>
          <w:p w14:paraId="1CE62F12" w14:textId="77777777" w:rsidR="00EA1F9F" w:rsidRPr="00EA1F9F" w:rsidRDefault="00EA1F9F" w:rsidP="00A35C8D">
            <w:pPr>
              <w:spacing w:after="120"/>
              <w:ind w:firstLine="0"/>
              <w:jc w:val="center"/>
              <w:rPr>
                <w:b/>
                <w:bCs/>
                <w:noProof/>
                <w:lang w:val="en-US" w:eastAsia="en-GB"/>
              </w:rPr>
            </w:pPr>
            <w:r w:rsidRPr="00EA1F9F">
              <w:rPr>
                <w:b/>
                <w:bCs/>
                <w:noProof/>
                <w:lang w:val="en-US" w:eastAsia="en-GB"/>
              </w:rPr>
              <w:t>CCS</w:t>
            </w:r>
          </w:p>
        </w:tc>
      </w:tr>
      <w:tr w:rsidR="00EA1F9F" w:rsidRPr="00EA1F9F" w14:paraId="728F4DDB" w14:textId="77777777" w:rsidTr="00A35C8D">
        <w:trPr>
          <w:jc w:val="center"/>
        </w:trPr>
        <w:tc>
          <w:tcPr>
            <w:tcW w:w="391" w:type="pct"/>
            <w:vMerge w:val="restart"/>
            <w:textDirection w:val="btLr"/>
          </w:tcPr>
          <w:p w14:paraId="6E36DD98" w14:textId="77777777" w:rsidR="00EA1F9F" w:rsidRPr="00EA1F9F" w:rsidRDefault="00EA1F9F" w:rsidP="00A35C8D">
            <w:pPr>
              <w:spacing w:after="120"/>
              <w:ind w:left="113" w:right="113" w:firstLine="0"/>
              <w:jc w:val="center"/>
              <w:rPr>
                <w:b/>
                <w:bCs/>
                <w:noProof/>
                <w:lang w:val="en-US" w:eastAsia="en-GB"/>
              </w:rPr>
            </w:pPr>
            <w:r w:rsidRPr="00EA1F9F">
              <w:rPr>
                <w:b/>
                <w:bCs/>
                <w:noProof/>
                <w:lang w:val="en-US" w:eastAsia="en-GB"/>
              </w:rPr>
              <w:t>US based</w:t>
            </w:r>
          </w:p>
        </w:tc>
        <w:tc>
          <w:tcPr>
            <w:tcW w:w="718" w:type="pct"/>
          </w:tcPr>
          <w:p w14:paraId="49DFF5D2" w14:textId="77777777" w:rsidR="00EA1F9F" w:rsidRPr="00EA1F9F" w:rsidRDefault="00EA1F9F" w:rsidP="00A35C8D">
            <w:pPr>
              <w:spacing w:after="120"/>
              <w:ind w:firstLine="0"/>
              <w:rPr>
                <w:noProof/>
                <w:lang w:val="en-US" w:eastAsia="en-GB"/>
              </w:rPr>
            </w:pPr>
            <w:r w:rsidRPr="00EA1F9F">
              <w:rPr>
                <w:noProof/>
                <w:lang w:val="en-US" w:eastAsia="en-GB"/>
              </w:rPr>
              <w:t>Duke Energy</w:t>
            </w:r>
          </w:p>
        </w:tc>
        <w:tc>
          <w:tcPr>
            <w:tcW w:w="514" w:type="pct"/>
          </w:tcPr>
          <w:p w14:paraId="2FE65ED1" w14:textId="77777777" w:rsidR="00EA1F9F" w:rsidRPr="00EA1F9F" w:rsidRDefault="00EA1F9F" w:rsidP="00A35C8D">
            <w:pPr>
              <w:spacing w:after="120"/>
              <w:ind w:firstLine="0"/>
              <w:jc w:val="center"/>
              <w:rPr>
                <w:noProof/>
                <w:lang w:val="en-US" w:eastAsia="en-GB"/>
              </w:rPr>
            </w:pPr>
            <w:r w:rsidRPr="00EA1F9F">
              <w:rPr>
                <w:rFonts w:ascii="Cambria Math" w:hAnsi="Cambria Math" w:cs="Cambria Math"/>
                <w:noProof/>
                <w:lang w:val="en-US" w:eastAsia="en-GB"/>
              </w:rPr>
              <w:t>◯</w:t>
            </w:r>
          </w:p>
        </w:tc>
        <w:tc>
          <w:tcPr>
            <w:tcW w:w="541" w:type="pct"/>
          </w:tcPr>
          <w:p w14:paraId="33D0567D" w14:textId="77777777" w:rsidR="00EA1F9F" w:rsidRPr="00EA1F9F" w:rsidRDefault="00EA1F9F" w:rsidP="00A35C8D">
            <w:pPr>
              <w:spacing w:after="120"/>
              <w:ind w:firstLine="0"/>
              <w:jc w:val="center"/>
              <w:rPr>
                <w:rFonts w:ascii="Cambria Math" w:hAnsi="Cambria Math" w:cs="Cambria Math"/>
                <w:noProof/>
                <w:lang w:val="en-US" w:eastAsia="en-GB"/>
              </w:rPr>
            </w:pPr>
            <w:r w:rsidRPr="00EA1F9F">
              <w:rPr>
                <w:rFonts w:ascii="Cambria Math" w:hAnsi="Cambria Math" w:cs="Cambria Math"/>
                <w:noProof/>
                <w:lang w:val="en-US" w:eastAsia="en-GB"/>
              </w:rPr>
              <w:t>◯</w:t>
            </w:r>
          </w:p>
        </w:tc>
        <w:tc>
          <w:tcPr>
            <w:tcW w:w="683" w:type="pct"/>
          </w:tcPr>
          <w:p w14:paraId="5A92B5BA" w14:textId="77777777" w:rsidR="00EA1F9F" w:rsidRPr="00EA1F9F" w:rsidRDefault="00EA1F9F" w:rsidP="00A35C8D">
            <w:pPr>
              <w:spacing w:after="120"/>
              <w:ind w:firstLine="0"/>
              <w:jc w:val="center"/>
              <w:rPr>
                <w:rFonts w:ascii="Cambria Math" w:hAnsi="Cambria Math" w:cs="Cambria Math"/>
                <w:noProof/>
                <w:lang w:val="en-US" w:eastAsia="en-GB"/>
              </w:rPr>
            </w:pPr>
            <w:r w:rsidRPr="00EA1F9F">
              <w:rPr>
                <w:rFonts w:ascii="Segoe UI Emoji" w:hAnsi="Segoe UI Emoji" w:cs="Segoe UI Emoji"/>
                <w:noProof/>
                <w:lang w:val="en-US" w:eastAsia="en-GB"/>
              </w:rPr>
              <w:t>⚫</w:t>
            </w:r>
          </w:p>
        </w:tc>
        <w:tc>
          <w:tcPr>
            <w:tcW w:w="487" w:type="pct"/>
          </w:tcPr>
          <w:p w14:paraId="495282E0" w14:textId="77777777" w:rsidR="00EA1F9F" w:rsidRPr="00EA1F9F" w:rsidRDefault="00EA1F9F" w:rsidP="00A35C8D">
            <w:pPr>
              <w:spacing w:after="120"/>
              <w:ind w:firstLine="0"/>
              <w:jc w:val="center"/>
              <w:rPr>
                <w:rFonts w:ascii="Cambria Math" w:hAnsi="Cambria Math" w:cs="Cambria Math"/>
                <w:noProof/>
                <w:lang w:val="en-US" w:eastAsia="en-GB"/>
              </w:rPr>
            </w:pPr>
            <w:r w:rsidRPr="00EA1F9F">
              <w:rPr>
                <w:rFonts w:ascii="Segoe UI Emoji" w:hAnsi="Segoe UI Emoji" w:cs="Segoe UI Emoji"/>
                <w:noProof/>
                <w:lang w:val="en-US" w:eastAsia="en-GB"/>
              </w:rPr>
              <w:t>⚫</w:t>
            </w:r>
          </w:p>
        </w:tc>
        <w:tc>
          <w:tcPr>
            <w:tcW w:w="515" w:type="pct"/>
          </w:tcPr>
          <w:p w14:paraId="7D73B133" w14:textId="77777777" w:rsidR="00EA1F9F" w:rsidRPr="00EA1F9F" w:rsidRDefault="00EA1F9F" w:rsidP="00A35C8D">
            <w:pPr>
              <w:spacing w:after="120"/>
              <w:ind w:firstLine="0"/>
              <w:jc w:val="center"/>
              <w:rPr>
                <w:rFonts w:ascii="Cambria Math" w:hAnsi="Cambria Math" w:cs="Cambria Math"/>
                <w:noProof/>
                <w:lang w:val="en-US" w:eastAsia="en-GB"/>
              </w:rPr>
            </w:pPr>
            <w:r w:rsidRPr="00EA1F9F">
              <w:rPr>
                <w:rFonts w:ascii="Segoe UI Emoji" w:hAnsi="Segoe UI Emoji" w:cs="Segoe UI Emoji"/>
                <w:noProof/>
                <w:lang w:val="en-US" w:eastAsia="en-GB"/>
              </w:rPr>
              <w:t>⚫</w:t>
            </w:r>
          </w:p>
        </w:tc>
        <w:tc>
          <w:tcPr>
            <w:tcW w:w="639" w:type="pct"/>
            <w:vAlign w:val="center"/>
          </w:tcPr>
          <w:p w14:paraId="5A61EBF5" w14:textId="77777777" w:rsidR="00EA1F9F" w:rsidRPr="00EA1F9F" w:rsidRDefault="00EA1F9F" w:rsidP="00A35C8D">
            <w:pPr>
              <w:spacing w:after="120"/>
              <w:ind w:firstLine="0"/>
              <w:jc w:val="center"/>
              <w:rPr>
                <w:rFonts w:ascii="Cambria Math" w:hAnsi="Cambria Math" w:cs="Cambria Math"/>
                <w:noProof/>
                <w:sz w:val="28"/>
                <w:szCs w:val="28"/>
                <w:lang w:val="en-US" w:eastAsia="en-GB"/>
              </w:rPr>
            </w:pPr>
            <w:r w:rsidRPr="00EA1F9F">
              <w:rPr>
                <w:rFonts w:ascii="Cambria Math" w:hAnsi="Cambria Math" w:cs="Cambria Math"/>
                <w:noProof/>
                <w:sz w:val="28"/>
                <w:szCs w:val="28"/>
                <w:lang w:val="en-US" w:eastAsia="en-GB"/>
              </w:rPr>
              <w:t>◐</w:t>
            </w:r>
          </w:p>
        </w:tc>
        <w:tc>
          <w:tcPr>
            <w:tcW w:w="512" w:type="pct"/>
            <w:vAlign w:val="center"/>
          </w:tcPr>
          <w:p w14:paraId="79A60EB6" w14:textId="77777777" w:rsidR="00EA1F9F" w:rsidRPr="00EA1F9F" w:rsidRDefault="00EA1F9F" w:rsidP="00A35C8D">
            <w:pPr>
              <w:spacing w:after="120"/>
              <w:ind w:firstLine="0"/>
              <w:jc w:val="center"/>
              <w:rPr>
                <w:rFonts w:ascii="Cambria Math" w:hAnsi="Cambria Math" w:cs="Cambria Math"/>
                <w:noProof/>
                <w:sz w:val="28"/>
                <w:szCs w:val="28"/>
                <w:lang w:val="en-US" w:eastAsia="en-GB"/>
              </w:rPr>
            </w:pPr>
            <w:r w:rsidRPr="00EA1F9F">
              <w:rPr>
                <w:rFonts w:ascii="Cambria Math" w:hAnsi="Cambria Math" w:cs="Cambria Math"/>
                <w:noProof/>
                <w:sz w:val="28"/>
                <w:szCs w:val="28"/>
                <w:lang w:val="en-US" w:eastAsia="en-GB"/>
              </w:rPr>
              <w:t>◐</w:t>
            </w:r>
          </w:p>
        </w:tc>
      </w:tr>
      <w:tr w:rsidR="00EA1F9F" w:rsidRPr="00EA1F9F" w14:paraId="7547B00E" w14:textId="77777777" w:rsidTr="00A35C8D">
        <w:trPr>
          <w:jc w:val="center"/>
        </w:trPr>
        <w:tc>
          <w:tcPr>
            <w:tcW w:w="391" w:type="pct"/>
            <w:vMerge/>
            <w:textDirection w:val="btLr"/>
          </w:tcPr>
          <w:p w14:paraId="7EAAC091" w14:textId="77777777" w:rsidR="00EA1F9F" w:rsidRPr="00EA1F9F" w:rsidRDefault="00EA1F9F" w:rsidP="00A35C8D">
            <w:pPr>
              <w:spacing w:after="120"/>
              <w:ind w:left="113" w:right="113"/>
              <w:jc w:val="center"/>
              <w:rPr>
                <w:b/>
                <w:bCs/>
                <w:noProof/>
                <w:lang w:val="en-US" w:eastAsia="en-GB"/>
              </w:rPr>
            </w:pPr>
          </w:p>
        </w:tc>
        <w:tc>
          <w:tcPr>
            <w:tcW w:w="718" w:type="pct"/>
          </w:tcPr>
          <w:p w14:paraId="77AA7E2C" w14:textId="77777777" w:rsidR="00EA1F9F" w:rsidRPr="00EA1F9F" w:rsidRDefault="00EA1F9F" w:rsidP="00A35C8D">
            <w:pPr>
              <w:spacing w:after="120"/>
              <w:ind w:firstLine="0"/>
              <w:rPr>
                <w:noProof/>
                <w:lang w:val="en-US" w:eastAsia="en-GB"/>
              </w:rPr>
            </w:pPr>
            <w:r w:rsidRPr="00EA1F9F">
              <w:rPr>
                <w:noProof/>
                <w:lang w:val="en-US" w:eastAsia="en-GB"/>
              </w:rPr>
              <w:t>NextEra</w:t>
            </w:r>
          </w:p>
        </w:tc>
        <w:tc>
          <w:tcPr>
            <w:tcW w:w="514" w:type="pct"/>
            <w:vAlign w:val="center"/>
          </w:tcPr>
          <w:p w14:paraId="62B755CB" w14:textId="77777777" w:rsidR="00EA1F9F" w:rsidRPr="00EA1F9F" w:rsidRDefault="00EA1F9F" w:rsidP="00A35C8D">
            <w:pPr>
              <w:spacing w:after="120"/>
              <w:ind w:firstLine="0"/>
              <w:jc w:val="center"/>
              <w:rPr>
                <w:noProof/>
                <w:lang w:val="en-US" w:eastAsia="en-GB"/>
              </w:rPr>
            </w:pPr>
            <w:r w:rsidRPr="00EA1F9F">
              <w:rPr>
                <w:rFonts w:ascii="Cambria Math" w:hAnsi="Cambria Math" w:cs="Cambria Math"/>
                <w:noProof/>
                <w:sz w:val="24"/>
                <w:szCs w:val="24"/>
                <w:lang w:val="en-US" w:eastAsia="en-GB"/>
              </w:rPr>
              <w:t>◐</w:t>
            </w:r>
          </w:p>
        </w:tc>
        <w:tc>
          <w:tcPr>
            <w:tcW w:w="541" w:type="pct"/>
          </w:tcPr>
          <w:p w14:paraId="2E6337AC" w14:textId="77777777" w:rsidR="00EA1F9F" w:rsidRPr="00EA1F9F" w:rsidRDefault="00EA1F9F" w:rsidP="00A35C8D">
            <w:pPr>
              <w:spacing w:after="120"/>
              <w:ind w:firstLine="0"/>
              <w:jc w:val="center"/>
              <w:rPr>
                <w:rFonts w:ascii="Cambria Math" w:hAnsi="Cambria Math" w:cs="Cambria Math"/>
                <w:noProof/>
                <w:lang w:val="en-US" w:eastAsia="en-GB"/>
              </w:rPr>
            </w:pPr>
            <w:r w:rsidRPr="00EA1F9F">
              <w:rPr>
                <w:rFonts w:ascii="Cambria Math" w:hAnsi="Cambria Math" w:cs="Cambria Math"/>
                <w:noProof/>
                <w:lang w:val="en-US" w:eastAsia="en-GB"/>
              </w:rPr>
              <w:t>◯</w:t>
            </w:r>
          </w:p>
        </w:tc>
        <w:tc>
          <w:tcPr>
            <w:tcW w:w="683" w:type="pct"/>
            <w:vAlign w:val="center"/>
          </w:tcPr>
          <w:p w14:paraId="2F5B7CAE" w14:textId="77777777" w:rsidR="00EA1F9F" w:rsidRPr="00EA1F9F" w:rsidRDefault="00EA1F9F" w:rsidP="00A35C8D">
            <w:pPr>
              <w:spacing w:after="120"/>
              <w:ind w:firstLine="0"/>
              <w:jc w:val="center"/>
              <w:rPr>
                <w:rFonts w:ascii="Cambria Math" w:hAnsi="Cambria Math" w:cs="Cambria Math"/>
                <w:noProof/>
                <w:sz w:val="28"/>
                <w:szCs w:val="28"/>
                <w:lang w:val="en-US" w:eastAsia="en-GB"/>
              </w:rPr>
            </w:pPr>
            <w:r w:rsidRPr="00EA1F9F">
              <w:rPr>
                <w:rFonts w:ascii="Cambria Math" w:hAnsi="Cambria Math" w:cs="Cambria Math"/>
                <w:noProof/>
                <w:sz w:val="28"/>
                <w:szCs w:val="28"/>
                <w:lang w:val="en-US" w:eastAsia="en-GB"/>
              </w:rPr>
              <w:t>◐</w:t>
            </w:r>
          </w:p>
        </w:tc>
        <w:tc>
          <w:tcPr>
            <w:tcW w:w="487" w:type="pct"/>
          </w:tcPr>
          <w:p w14:paraId="63CAE5B7" w14:textId="77777777" w:rsidR="00EA1F9F" w:rsidRPr="00EA1F9F" w:rsidRDefault="00EA1F9F" w:rsidP="00A35C8D">
            <w:pPr>
              <w:spacing w:after="120"/>
              <w:ind w:firstLine="0"/>
              <w:jc w:val="center"/>
              <w:rPr>
                <w:rFonts w:ascii="Cambria Math" w:hAnsi="Cambria Math" w:cs="Cambria Math"/>
                <w:noProof/>
                <w:lang w:val="en-US" w:eastAsia="en-GB"/>
              </w:rPr>
            </w:pPr>
            <w:r w:rsidRPr="00EA1F9F">
              <w:rPr>
                <w:rFonts w:ascii="Segoe UI Emoji" w:hAnsi="Segoe UI Emoji" w:cs="Segoe UI Emoji"/>
                <w:noProof/>
                <w:lang w:val="en-US" w:eastAsia="en-GB"/>
              </w:rPr>
              <w:t>⚫</w:t>
            </w:r>
          </w:p>
        </w:tc>
        <w:tc>
          <w:tcPr>
            <w:tcW w:w="515" w:type="pct"/>
          </w:tcPr>
          <w:p w14:paraId="79DB9AC2" w14:textId="77777777" w:rsidR="00EA1F9F" w:rsidRPr="00EA1F9F" w:rsidRDefault="00EA1F9F" w:rsidP="00A35C8D">
            <w:pPr>
              <w:spacing w:after="120"/>
              <w:ind w:firstLine="0"/>
              <w:jc w:val="center"/>
              <w:rPr>
                <w:rFonts w:ascii="Cambria Math" w:hAnsi="Cambria Math" w:cs="Cambria Math"/>
                <w:noProof/>
                <w:lang w:val="en-US" w:eastAsia="en-GB"/>
              </w:rPr>
            </w:pPr>
            <w:r w:rsidRPr="00EA1F9F">
              <w:rPr>
                <w:rFonts w:ascii="Segoe UI Emoji" w:hAnsi="Segoe UI Emoji" w:cs="Segoe UI Emoji"/>
                <w:noProof/>
                <w:lang w:val="en-US" w:eastAsia="en-GB"/>
              </w:rPr>
              <w:t>⚫</w:t>
            </w:r>
          </w:p>
        </w:tc>
        <w:tc>
          <w:tcPr>
            <w:tcW w:w="639" w:type="pct"/>
            <w:vAlign w:val="center"/>
          </w:tcPr>
          <w:p w14:paraId="78CCF949" w14:textId="77777777" w:rsidR="00EA1F9F" w:rsidRPr="00EA1F9F" w:rsidRDefault="00EA1F9F" w:rsidP="00A35C8D">
            <w:pPr>
              <w:spacing w:after="120"/>
              <w:ind w:firstLine="0"/>
              <w:jc w:val="center"/>
              <w:rPr>
                <w:rFonts w:ascii="Cambria Math" w:hAnsi="Cambria Math" w:cs="Cambria Math"/>
                <w:noProof/>
                <w:sz w:val="28"/>
                <w:szCs w:val="28"/>
                <w:lang w:val="en-US" w:eastAsia="en-GB"/>
              </w:rPr>
            </w:pPr>
            <w:r w:rsidRPr="00EA1F9F">
              <w:rPr>
                <w:rFonts w:ascii="Cambria Math" w:hAnsi="Cambria Math" w:cs="Cambria Math"/>
                <w:noProof/>
                <w:sz w:val="28"/>
                <w:szCs w:val="28"/>
                <w:lang w:val="en-US" w:eastAsia="en-GB"/>
              </w:rPr>
              <w:t>◐</w:t>
            </w:r>
          </w:p>
        </w:tc>
        <w:tc>
          <w:tcPr>
            <w:tcW w:w="512" w:type="pct"/>
          </w:tcPr>
          <w:p w14:paraId="6A846C9D" w14:textId="77777777" w:rsidR="00EA1F9F" w:rsidRPr="00EA1F9F" w:rsidRDefault="00EA1F9F" w:rsidP="00A35C8D">
            <w:pPr>
              <w:spacing w:after="120"/>
              <w:ind w:firstLine="0"/>
              <w:jc w:val="center"/>
              <w:rPr>
                <w:rFonts w:ascii="Cambria Math" w:hAnsi="Cambria Math" w:cs="Cambria Math"/>
                <w:noProof/>
                <w:lang w:val="en-US" w:eastAsia="en-GB"/>
              </w:rPr>
            </w:pPr>
            <w:r w:rsidRPr="00EA1F9F">
              <w:rPr>
                <w:rFonts w:ascii="Cambria Math" w:hAnsi="Cambria Math" w:cs="Cambria Math"/>
                <w:noProof/>
                <w:lang w:val="en-US" w:eastAsia="en-GB"/>
              </w:rPr>
              <w:t>◯</w:t>
            </w:r>
          </w:p>
        </w:tc>
      </w:tr>
      <w:tr w:rsidR="00EA1F9F" w:rsidRPr="00EA1F9F" w14:paraId="1373E065" w14:textId="77777777" w:rsidTr="00A35C8D">
        <w:trPr>
          <w:jc w:val="center"/>
        </w:trPr>
        <w:tc>
          <w:tcPr>
            <w:tcW w:w="391" w:type="pct"/>
            <w:vMerge/>
            <w:textDirection w:val="btLr"/>
          </w:tcPr>
          <w:p w14:paraId="5A39EDF0" w14:textId="77777777" w:rsidR="00EA1F9F" w:rsidRPr="00EA1F9F" w:rsidRDefault="00EA1F9F" w:rsidP="00A35C8D">
            <w:pPr>
              <w:spacing w:after="120"/>
              <w:ind w:left="113" w:right="113"/>
              <w:jc w:val="center"/>
              <w:rPr>
                <w:b/>
                <w:bCs/>
                <w:noProof/>
                <w:lang w:val="en-US" w:eastAsia="en-GB"/>
              </w:rPr>
            </w:pPr>
          </w:p>
        </w:tc>
        <w:tc>
          <w:tcPr>
            <w:tcW w:w="718" w:type="pct"/>
          </w:tcPr>
          <w:p w14:paraId="7B69FCE8" w14:textId="77777777" w:rsidR="00EA1F9F" w:rsidRPr="00EA1F9F" w:rsidRDefault="00EA1F9F" w:rsidP="00A35C8D">
            <w:pPr>
              <w:spacing w:after="120"/>
              <w:ind w:firstLine="0"/>
              <w:rPr>
                <w:noProof/>
                <w:lang w:val="en-US" w:eastAsia="en-GB"/>
              </w:rPr>
            </w:pPr>
            <w:r w:rsidRPr="00EA1F9F">
              <w:rPr>
                <w:noProof/>
                <w:lang w:val="en-US" w:eastAsia="en-GB"/>
              </w:rPr>
              <w:t>Evergy</w:t>
            </w:r>
          </w:p>
        </w:tc>
        <w:tc>
          <w:tcPr>
            <w:tcW w:w="514" w:type="pct"/>
          </w:tcPr>
          <w:p w14:paraId="2C183FA0" w14:textId="77777777" w:rsidR="00EA1F9F" w:rsidRPr="00EA1F9F" w:rsidRDefault="00EA1F9F" w:rsidP="00A35C8D">
            <w:pPr>
              <w:spacing w:after="120"/>
              <w:ind w:firstLine="0"/>
              <w:jc w:val="center"/>
              <w:rPr>
                <w:noProof/>
                <w:lang w:val="en-US" w:eastAsia="en-GB"/>
              </w:rPr>
            </w:pPr>
            <w:r w:rsidRPr="00EA1F9F">
              <w:rPr>
                <w:rFonts w:ascii="Cambria Math" w:hAnsi="Cambria Math" w:cs="Cambria Math"/>
                <w:noProof/>
                <w:lang w:val="en-US" w:eastAsia="en-GB"/>
              </w:rPr>
              <w:t>◯</w:t>
            </w:r>
          </w:p>
        </w:tc>
        <w:tc>
          <w:tcPr>
            <w:tcW w:w="541" w:type="pct"/>
          </w:tcPr>
          <w:p w14:paraId="394DB3F8" w14:textId="77777777" w:rsidR="00EA1F9F" w:rsidRPr="00EA1F9F" w:rsidRDefault="00EA1F9F" w:rsidP="00A35C8D">
            <w:pPr>
              <w:spacing w:after="120"/>
              <w:ind w:firstLine="0"/>
              <w:jc w:val="center"/>
              <w:rPr>
                <w:rFonts w:ascii="Cambria Math" w:hAnsi="Cambria Math" w:cs="Cambria Math"/>
                <w:noProof/>
                <w:lang w:val="en-US" w:eastAsia="en-GB"/>
              </w:rPr>
            </w:pPr>
            <w:r w:rsidRPr="00EA1F9F">
              <w:rPr>
                <w:rFonts w:ascii="Cambria Math" w:hAnsi="Cambria Math" w:cs="Cambria Math"/>
                <w:noProof/>
                <w:lang w:val="en-US" w:eastAsia="en-GB"/>
              </w:rPr>
              <w:t>◯</w:t>
            </w:r>
          </w:p>
        </w:tc>
        <w:tc>
          <w:tcPr>
            <w:tcW w:w="683" w:type="pct"/>
          </w:tcPr>
          <w:p w14:paraId="74FDF893" w14:textId="77777777" w:rsidR="00EA1F9F" w:rsidRPr="00EA1F9F" w:rsidRDefault="00EA1F9F" w:rsidP="00A35C8D">
            <w:pPr>
              <w:spacing w:after="120"/>
              <w:ind w:firstLine="0"/>
              <w:jc w:val="center"/>
              <w:rPr>
                <w:rFonts w:ascii="Segoe UI Emoji" w:hAnsi="Segoe UI Emoji" w:cs="Segoe UI Emoji"/>
                <w:noProof/>
                <w:lang w:val="en-US" w:eastAsia="en-GB"/>
              </w:rPr>
            </w:pPr>
            <w:r w:rsidRPr="00EA1F9F">
              <w:rPr>
                <w:rFonts w:ascii="Segoe UI Emoji" w:hAnsi="Segoe UI Emoji" w:cs="Segoe UI Emoji"/>
                <w:noProof/>
                <w:lang w:val="en-US" w:eastAsia="en-GB"/>
              </w:rPr>
              <w:t>⚫</w:t>
            </w:r>
          </w:p>
        </w:tc>
        <w:tc>
          <w:tcPr>
            <w:tcW w:w="487" w:type="pct"/>
          </w:tcPr>
          <w:p w14:paraId="4E36042E" w14:textId="77777777" w:rsidR="00EA1F9F" w:rsidRPr="00EA1F9F" w:rsidRDefault="00EA1F9F" w:rsidP="00A35C8D">
            <w:pPr>
              <w:spacing w:after="120"/>
              <w:ind w:firstLine="0"/>
              <w:jc w:val="center"/>
              <w:rPr>
                <w:rFonts w:ascii="Segoe UI Emoji" w:hAnsi="Segoe UI Emoji" w:cs="Segoe UI Emoji"/>
                <w:noProof/>
                <w:lang w:val="en-US" w:eastAsia="en-GB"/>
              </w:rPr>
            </w:pPr>
            <w:r w:rsidRPr="00EA1F9F">
              <w:rPr>
                <w:rFonts w:ascii="Segoe UI Emoji" w:hAnsi="Segoe UI Emoji" w:cs="Segoe UI Emoji"/>
                <w:noProof/>
                <w:lang w:val="en-US" w:eastAsia="en-GB"/>
              </w:rPr>
              <w:t>⚫</w:t>
            </w:r>
          </w:p>
        </w:tc>
        <w:tc>
          <w:tcPr>
            <w:tcW w:w="515" w:type="pct"/>
          </w:tcPr>
          <w:p w14:paraId="094B3E64" w14:textId="77777777" w:rsidR="00EA1F9F" w:rsidRPr="00EA1F9F" w:rsidRDefault="00EA1F9F" w:rsidP="00A35C8D">
            <w:pPr>
              <w:spacing w:after="120"/>
              <w:ind w:firstLine="0"/>
              <w:jc w:val="center"/>
              <w:rPr>
                <w:rFonts w:ascii="Segoe UI Emoji" w:hAnsi="Segoe UI Emoji" w:cs="Segoe UI Emoji"/>
                <w:noProof/>
                <w:lang w:val="en-US" w:eastAsia="en-GB"/>
              </w:rPr>
            </w:pPr>
            <w:r w:rsidRPr="00EA1F9F">
              <w:rPr>
                <w:rFonts w:ascii="Segoe UI Emoji" w:hAnsi="Segoe UI Emoji" w:cs="Segoe UI Emoji"/>
                <w:noProof/>
                <w:lang w:val="en-US" w:eastAsia="en-GB"/>
              </w:rPr>
              <w:t>◯</w:t>
            </w:r>
          </w:p>
        </w:tc>
        <w:tc>
          <w:tcPr>
            <w:tcW w:w="639" w:type="pct"/>
          </w:tcPr>
          <w:p w14:paraId="26A54876" w14:textId="61CFAE3C" w:rsidR="00EA1F9F" w:rsidRPr="00EA1F9F" w:rsidRDefault="00EA1F9F" w:rsidP="00A35C8D">
            <w:pPr>
              <w:tabs>
                <w:tab w:val="center" w:pos="858"/>
              </w:tabs>
              <w:spacing w:after="120"/>
              <w:ind w:firstLine="0"/>
              <w:jc w:val="center"/>
              <w:rPr>
                <w:rFonts w:ascii="Segoe UI Emoji" w:hAnsi="Segoe UI Emoji" w:cs="Segoe UI Emoji"/>
                <w:noProof/>
                <w:lang w:val="en-US" w:eastAsia="en-GB"/>
              </w:rPr>
            </w:pPr>
            <w:r w:rsidRPr="00EA1F9F">
              <w:rPr>
                <w:rFonts w:ascii="Segoe UI Emoji" w:hAnsi="Segoe UI Emoji" w:cs="Segoe UI Emoji"/>
                <w:noProof/>
                <w:lang w:val="en-US" w:eastAsia="en-GB"/>
              </w:rPr>
              <w:t>◯</w:t>
            </w:r>
          </w:p>
        </w:tc>
        <w:tc>
          <w:tcPr>
            <w:tcW w:w="512" w:type="pct"/>
          </w:tcPr>
          <w:p w14:paraId="2DD9B14F" w14:textId="77777777" w:rsidR="00EA1F9F" w:rsidRPr="00EA1F9F" w:rsidRDefault="00EA1F9F" w:rsidP="00A35C8D">
            <w:pPr>
              <w:spacing w:after="120"/>
              <w:ind w:firstLine="0"/>
              <w:jc w:val="center"/>
              <w:rPr>
                <w:rFonts w:ascii="Segoe UI Emoji" w:hAnsi="Segoe UI Emoji" w:cs="Segoe UI Emoji"/>
                <w:noProof/>
                <w:lang w:val="en-US" w:eastAsia="en-GB"/>
              </w:rPr>
            </w:pPr>
            <w:r w:rsidRPr="00EA1F9F">
              <w:rPr>
                <w:rFonts w:ascii="Segoe UI Emoji" w:hAnsi="Segoe UI Emoji" w:cs="Segoe UI Emoji"/>
                <w:noProof/>
                <w:lang w:val="en-US" w:eastAsia="en-GB"/>
              </w:rPr>
              <w:t>◯</w:t>
            </w:r>
          </w:p>
        </w:tc>
      </w:tr>
      <w:tr w:rsidR="00EA1F9F" w:rsidRPr="00EA1F9F" w14:paraId="0865F613" w14:textId="77777777" w:rsidTr="00A35C8D">
        <w:trPr>
          <w:jc w:val="center"/>
        </w:trPr>
        <w:tc>
          <w:tcPr>
            <w:tcW w:w="391" w:type="pct"/>
            <w:vMerge w:val="restart"/>
            <w:textDirection w:val="btLr"/>
          </w:tcPr>
          <w:p w14:paraId="5F743B1C" w14:textId="77777777" w:rsidR="00EA1F9F" w:rsidRPr="00EA1F9F" w:rsidRDefault="00EA1F9F" w:rsidP="00A35C8D">
            <w:pPr>
              <w:spacing w:after="120"/>
              <w:ind w:left="113" w:right="113"/>
              <w:jc w:val="center"/>
              <w:rPr>
                <w:b/>
                <w:bCs/>
                <w:noProof/>
                <w:lang w:val="en-US" w:eastAsia="en-GB"/>
              </w:rPr>
            </w:pPr>
            <w:r w:rsidRPr="00EA1F9F">
              <w:rPr>
                <w:b/>
                <w:bCs/>
                <w:noProof/>
                <w:lang w:val="en-US" w:eastAsia="en-GB"/>
              </w:rPr>
              <w:t>EU based</w:t>
            </w:r>
          </w:p>
        </w:tc>
        <w:tc>
          <w:tcPr>
            <w:tcW w:w="718" w:type="pct"/>
          </w:tcPr>
          <w:p w14:paraId="090C98C3" w14:textId="77777777" w:rsidR="00EA1F9F" w:rsidRPr="00EA1F9F" w:rsidRDefault="00EA1F9F" w:rsidP="00A35C8D">
            <w:pPr>
              <w:spacing w:after="120"/>
              <w:ind w:firstLine="0"/>
              <w:rPr>
                <w:noProof/>
                <w:lang w:val="en-US" w:eastAsia="en-GB"/>
              </w:rPr>
            </w:pPr>
            <w:r w:rsidRPr="00EA1F9F">
              <w:rPr>
                <w:noProof/>
                <w:lang w:val="en-US" w:eastAsia="en-GB"/>
              </w:rPr>
              <w:t>Fortum</w:t>
            </w:r>
          </w:p>
        </w:tc>
        <w:tc>
          <w:tcPr>
            <w:tcW w:w="514" w:type="pct"/>
          </w:tcPr>
          <w:p w14:paraId="434D206B" w14:textId="77777777" w:rsidR="00EA1F9F" w:rsidRPr="00EA1F9F" w:rsidRDefault="00EA1F9F" w:rsidP="00A35C8D">
            <w:pPr>
              <w:spacing w:after="120"/>
              <w:ind w:firstLine="0"/>
              <w:jc w:val="center"/>
              <w:rPr>
                <w:noProof/>
                <w:lang w:val="en-US" w:eastAsia="en-GB"/>
              </w:rPr>
            </w:pPr>
            <w:r w:rsidRPr="00EA1F9F">
              <w:rPr>
                <w:rFonts w:ascii="Cambria Math" w:hAnsi="Cambria Math" w:cs="Cambria Math"/>
                <w:noProof/>
                <w:lang w:val="en-US" w:eastAsia="en-GB"/>
              </w:rPr>
              <w:t>◯</w:t>
            </w:r>
          </w:p>
        </w:tc>
        <w:tc>
          <w:tcPr>
            <w:tcW w:w="541" w:type="pct"/>
          </w:tcPr>
          <w:p w14:paraId="00E18FD4" w14:textId="77777777" w:rsidR="00EA1F9F" w:rsidRPr="00EA1F9F" w:rsidRDefault="00EA1F9F" w:rsidP="00A35C8D">
            <w:pPr>
              <w:spacing w:after="120"/>
              <w:ind w:firstLine="0"/>
              <w:jc w:val="center"/>
              <w:rPr>
                <w:rFonts w:ascii="Cambria Math" w:hAnsi="Cambria Math" w:cs="Cambria Math"/>
                <w:noProof/>
                <w:lang w:val="en-US" w:eastAsia="en-GB"/>
              </w:rPr>
            </w:pPr>
            <w:r w:rsidRPr="00EA1F9F">
              <w:rPr>
                <w:rFonts w:ascii="Segoe UI Emoji" w:hAnsi="Segoe UI Emoji" w:cs="Segoe UI Emoji"/>
                <w:noProof/>
                <w:lang w:val="en-US" w:eastAsia="en-GB"/>
              </w:rPr>
              <w:t>⚫</w:t>
            </w:r>
          </w:p>
        </w:tc>
        <w:tc>
          <w:tcPr>
            <w:tcW w:w="683" w:type="pct"/>
          </w:tcPr>
          <w:p w14:paraId="68575B28" w14:textId="77777777" w:rsidR="00EA1F9F" w:rsidRPr="00EA1F9F" w:rsidRDefault="00EA1F9F" w:rsidP="00A35C8D">
            <w:pPr>
              <w:spacing w:after="120"/>
              <w:ind w:firstLine="0"/>
              <w:jc w:val="center"/>
              <w:rPr>
                <w:rFonts w:ascii="Segoe UI Emoji" w:hAnsi="Segoe UI Emoji" w:cs="Segoe UI Emoji"/>
                <w:noProof/>
                <w:lang w:val="en-US" w:eastAsia="en-GB"/>
              </w:rPr>
            </w:pPr>
            <w:r w:rsidRPr="00EA1F9F">
              <w:rPr>
                <w:rFonts w:ascii="Segoe UI Emoji" w:hAnsi="Segoe UI Emoji" w:cs="Segoe UI Emoji"/>
                <w:noProof/>
                <w:lang w:val="en-US" w:eastAsia="en-GB"/>
              </w:rPr>
              <w:t>⚫</w:t>
            </w:r>
          </w:p>
        </w:tc>
        <w:tc>
          <w:tcPr>
            <w:tcW w:w="487" w:type="pct"/>
          </w:tcPr>
          <w:p w14:paraId="7A50EEA3" w14:textId="77777777" w:rsidR="00EA1F9F" w:rsidRPr="00EA1F9F" w:rsidRDefault="00EA1F9F" w:rsidP="00A35C8D">
            <w:pPr>
              <w:spacing w:after="120"/>
              <w:ind w:firstLine="0"/>
              <w:jc w:val="center"/>
              <w:rPr>
                <w:rFonts w:ascii="Segoe UI Emoji" w:hAnsi="Segoe UI Emoji" w:cs="Segoe UI Emoji"/>
                <w:noProof/>
                <w:lang w:val="en-US" w:eastAsia="en-GB"/>
              </w:rPr>
            </w:pPr>
            <w:r w:rsidRPr="00EA1F9F">
              <w:rPr>
                <w:rFonts w:ascii="Segoe UI Emoji" w:hAnsi="Segoe UI Emoji" w:cs="Segoe UI Emoji"/>
                <w:noProof/>
                <w:lang w:val="en-US" w:eastAsia="en-GB"/>
              </w:rPr>
              <w:t>⚫</w:t>
            </w:r>
          </w:p>
        </w:tc>
        <w:tc>
          <w:tcPr>
            <w:tcW w:w="515" w:type="pct"/>
          </w:tcPr>
          <w:p w14:paraId="0DDFD81B" w14:textId="77777777" w:rsidR="00EA1F9F" w:rsidRPr="00EA1F9F" w:rsidRDefault="00EA1F9F" w:rsidP="00A35C8D">
            <w:pPr>
              <w:spacing w:after="120"/>
              <w:ind w:firstLine="0"/>
              <w:jc w:val="center"/>
              <w:rPr>
                <w:rFonts w:ascii="Segoe UI Emoji" w:hAnsi="Segoe UI Emoji" w:cs="Segoe UI Emoji"/>
                <w:noProof/>
                <w:lang w:val="en-US" w:eastAsia="en-GB"/>
              </w:rPr>
            </w:pPr>
            <w:r w:rsidRPr="00EA1F9F">
              <w:rPr>
                <w:rFonts w:ascii="Segoe UI Emoji" w:hAnsi="Segoe UI Emoji" w:cs="Segoe UI Emoji"/>
                <w:noProof/>
                <w:lang w:val="en-US" w:eastAsia="en-GB"/>
              </w:rPr>
              <w:t>⚫</w:t>
            </w:r>
          </w:p>
        </w:tc>
        <w:tc>
          <w:tcPr>
            <w:tcW w:w="639" w:type="pct"/>
          </w:tcPr>
          <w:p w14:paraId="5F724512" w14:textId="77777777" w:rsidR="00EA1F9F" w:rsidRPr="00EA1F9F" w:rsidRDefault="00EA1F9F" w:rsidP="00A35C8D">
            <w:pPr>
              <w:spacing w:after="120"/>
              <w:ind w:firstLine="0"/>
              <w:jc w:val="center"/>
              <w:rPr>
                <w:rFonts w:ascii="Segoe UI Emoji" w:hAnsi="Segoe UI Emoji" w:cs="Segoe UI Emoji"/>
                <w:noProof/>
                <w:lang w:val="en-US" w:eastAsia="en-GB"/>
              </w:rPr>
            </w:pPr>
            <w:r w:rsidRPr="00EA1F9F">
              <w:rPr>
                <w:rFonts w:ascii="Segoe UI Emoji" w:hAnsi="Segoe UI Emoji" w:cs="Segoe UI Emoji"/>
                <w:noProof/>
                <w:lang w:val="en-US" w:eastAsia="en-GB"/>
              </w:rPr>
              <w:t>⚫</w:t>
            </w:r>
          </w:p>
        </w:tc>
        <w:tc>
          <w:tcPr>
            <w:tcW w:w="512" w:type="pct"/>
          </w:tcPr>
          <w:p w14:paraId="3DD0A565" w14:textId="77777777" w:rsidR="00EA1F9F" w:rsidRPr="00EA1F9F" w:rsidRDefault="00EA1F9F" w:rsidP="00A35C8D">
            <w:pPr>
              <w:spacing w:after="120"/>
              <w:ind w:firstLine="0"/>
              <w:jc w:val="center"/>
              <w:rPr>
                <w:rFonts w:ascii="Segoe UI Emoji" w:hAnsi="Segoe UI Emoji" w:cs="Segoe UI Emoji"/>
                <w:noProof/>
                <w:lang w:val="en-US" w:eastAsia="en-GB"/>
              </w:rPr>
            </w:pPr>
            <w:r w:rsidRPr="00EA1F9F">
              <w:rPr>
                <w:rFonts w:ascii="Segoe UI Emoji" w:hAnsi="Segoe UI Emoji" w:cs="Segoe UI Emoji"/>
                <w:noProof/>
                <w:lang w:val="en-US" w:eastAsia="en-GB"/>
              </w:rPr>
              <w:t>◯</w:t>
            </w:r>
          </w:p>
        </w:tc>
      </w:tr>
      <w:tr w:rsidR="00EA1F9F" w:rsidRPr="00EA1F9F" w14:paraId="448A5230" w14:textId="77777777" w:rsidTr="00A35C8D">
        <w:trPr>
          <w:jc w:val="center"/>
        </w:trPr>
        <w:tc>
          <w:tcPr>
            <w:tcW w:w="391" w:type="pct"/>
            <w:vMerge/>
            <w:textDirection w:val="btLr"/>
          </w:tcPr>
          <w:p w14:paraId="4A9DFD56" w14:textId="77777777" w:rsidR="00EA1F9F" w:rsidRPr="00EA1F9F" w:rsidRDefault="00EA1F9F" w:rsidP="00EA1F9F">
            <w:pPr>
              <w:spacing w:after="120"/>
              <w:ind w:left="113" w:right="113"/>
              <w:jc w:val="center"/>
              <w:rPr>
                <w:b/>
                <w:bCs/>
                <w:noProof/>
                <w:lang w:val="en-US" w:eastAsia="en-GB"/>
              </w:rPr>
            </w:pPr>
          </w:p>
        </w:tc>
        <w:tc>
          <w:tcPr>
            <w:tcW w:w="718" w:type="pct"/>
          </w:tcPr>
          <w:p w14:paraId="2A0C9C31" w14:textId="77777777" w:rsidR="00EA1F9F" w:rsidRPr="00EA1F9F" w:rsidRDefault="00EA1F9F" w:rsidP="00A35C8D">
            <w:pPr>
              <w:spacing w:after="120"/>
              <w:ind w:firstLine="0"/>
              <w:rPr>
                <w:noProof/>
                <w:lang w:val="en-US" w:eastAsia="en-GB"/>
              </w:rPr>
            </w:pPr>
            <w:r w:rsidRPr="00EA1F9F">
              <w:rPr>
                <w:noProof/>
                <w:lang w:val="en-US" w:eastAsia="en-GB"/>
              </w:rPr>
              <w:t>Uniper</w:t>
            </w:r>
          </w:p>
        </w:tc>
        <w:tc>
          <w:tcPr>
            <w:tcW w:w="514" w:type="pct"/>
          </w:tcPr>
          <w:p w14:paraId="40D0D65F" w14:textId="77777777" w:rsidR="00EA1F9F" w:rsidRPr="00EA1F9F" w:rsidRDefault="00EA1F9F" w:rsidP="00A35C8D">
            <w:pPr>
              <w:spacing w:after="120"/>
              <w:ind w:firstLine="0"/>
              <w:jc w:val="center"/>
              <w:rPr>
                <w:noProof/>
                <w:lang w:val="en-US" w:eastAsia="en-GB"/>
              </w:rPr>
            </w:pPr>
            <w:r w:rsidRPr="00EA1F9F">
              <w:rPr>
                <w:rFonts w:ascii="Segoe UI Emoji" w:hAnsi="Segoe UI Emoji" w:cs="Segoe UI Emoji"/>
                <w:noProof/>
                <w:lang w:val="en-US" w:eastAsia="en-GB"/>
              </w:rPr>
              <w:t>⚫</w:t>
            </w:r>
          </w:p>
        </w:tc>
        <w:tc>
          <w:tcPr>
            <w:tcW w:w="541" w:type="pct"/>
          </w:tcPr>
          <w:p w14:paraId="26BCDACC" w14:textId="77777777" w:rsidR="00EA1F9F" w:rsidRPr="00EA1F9F" w:rsidRDefault="00EA1F9F" w:rsidP="00A35C8D">
            <w:pPr>
              <w:spacing w:after="120"/>
              <w:ind w:firstLine="0"/>
              <w:jc w:val="center"/>
              <w:rPr>
                <w:rFonts w:ascii="Cambria Math" w:hAnsi="Cambria Math" w:cs="Cambria Math"/>
                <w:noProof/>
                <w:lang w:val="en-US" w:eastAsia="en-GB"/>
              </w:rPr>
            </w:pPr>
            <w:r w:rsidRPr="00EA1F9F">
              <w:rPr>
                <w:rFonts w:ascii="Cambria Math" w:hAnsi="Cambria Math" w:cs="Cambria Math"/>
                <w:noProof/>
                <w:lang w:val="en-US" w:eastAsia="en-GB"/>
              </w:rPr>
              <w:t>◯</w:t>
            </w:r>
          </w:p>
        </w:tc>
        <w:tc>
          <w:tcPr>
            <w:tcW w:w="683" w:type="pct"/>
          </w:tcPr>
          <w:p w14:paraId="3622873F" w14:textId="77777777" w:rsidR="00EA1F9F" w:rsidRPr="00EA1F9F" w:rsidRDefault="00EA1F9F" w:rsidP="00A35C8D">
            <w:pPr>
              <w:spacing w:after="120"/>
              <w:ind w:firstLine="0"/>
              <w:jc w:val="center"/>
              <w:rPr>
                <w:rFonts w:ascii="Segoe UI Emoji" w:hAnsi="Segoe UI Emoji" w:cs="Segoe UI Emoji"/>
                <w:noProof/>
                <w:lang w:val="en-US" w:eastAsia="en-GB"/>
              </w:rPr>
            </w:pPr>
            <w:r w:rsidRPr="00EA1F9F">
              <w:rPr>
                <w:rFonts w:ascii="Segoe UI Emoji" w:hAnsi="Segoe UI Emoji" w:cs="Segoe UI Emoji"/>
                <w:noProof/>
                <w:lang w:val="en-US" w:eastAsia="en-GB"/>
              </w:rPr>
              <w:t>⚫</w:t>
            </w:r>
          </w:p>
        </w:tc>
        <w:tc>
          <w:tcPr>
            <w:tcW w:w="487" w:type="pct"/>
          </w:tcPr>
          <w:p w14:paraId="65AB4C22" w14:textId="77777777" w:rsidR="00EA1F9F" w:rsidRPr="00EA1F9F" w:rsidRDefault="00EA1F9F" w:rsidP="00A35C8D">
            <w:pPr>
              <w:spacing w:after="120"/>
              <w:ind w:firstLine="0"/>
              <w:jc w:val="center"/>
              <w:rPr>
                <w:rFonts w:ascii="Segoe UI Emoji" w:hAnsi="Segoe UI Emoji" w:cs="Segoe UI Emoji"/>
                <w:noProof/>
                <w:lang w:val="en-US" w:eastAsia="en-GB"/>
              </w:rPr>
            </w:pPr>
            <w:r w:rsidRPr="00EA1F9F">
              <w:rPr>
                <w:rFonts w:ascii="Segoe UI Emoji" w:hAnsi="Segoe UI Emoji" w:cs="Segoe UI Emoji"/>
                <w:noProof/>
                <w:lang w:val="en-US" w:eastAsia="en-GB"/>
              </w:rPr>
              <w:t>⚫</w:t>
            </w:r>
          </w:p>
        </w:tc>
        <w:tc>
          <w:tcPr>
            <w:tcW w:w="515" w:type="pct"/>
          </w:tcPr>
          <w:p w14:paraId="7794A2CB" w14:textId="77777777" w:rsidR="00EA1F9F" w:rsidRPr="00EA1F9F" w:rsidRDefault="00EA1F9F" w:rsidP="00A35C8D">
            <w:pPr>
              <w:spacing w:after="120"/>
              <w:ind w:firstLine="0"/>
              <w:jc w:val="center"/>
              <w:rPr>
                <w:rFonts w:ascii="Segoe UI Emoji" w:hAnsi="Segoe UI Emoji" w:cs="Segoe UI Emoji"/>
                <w:noProof/>
                <w:lang w:val="en-US" w:eastAsia="en-GB"/>
              </w:rPr>
            </w:pPr>
            <w:r w:rsidRPr="00EA1F9F">
              <w:rPr>
                <w:rFonts w:ascii="Segoe UI Emoji" w:hAnsi="Segoe UI Emoji" w:cs="Segoe UI Emoji"/>
                <w:noProof/>
                <w:lang w:val="en-US" w:eastAsia="en-GB"/>
              </w:rPr>
              <w:t>⚫</w:t>
            </w:r>
          </w:p>
        </w:tc>
        <w:tc>
          <w:tcPr>
            <w:tcW w:w="639" w:type="pct"/>
          </w:tcPr>
          <w:p w14:paraId="1C363BE9" w14:textId="77777777" w:rsidR="00EA1F9F" w:rsidRPr="00EA1F9F" w:rsidRDefault="00EA1F9F" w:rsidP="00A35C8D">
            <w:pPr>
              <w:spacing w:after="120"/>
              <w:ind w:firstLine="0"/>
              <w:jc w:val="center"/>
              <w:rPr>
                <w:rFonts w:ascii="Segoe UI Emoji" w:hAnsi="Segoe UI Emoji" w:cs="Segoe UI Emoji"/>
                <w:noProof/>
                <w:lang w:val="en-US" w:eastAsia="en-GB"/>
              </w:rPr>
            </w:pPr>
            <w:r w:rsidRPr="00EA1F9F">
              <w:rPr>
                <w:rFonts w:ascii="Segoe UI Emoji" w:hAnsi="Segoe UI Emoji" w:cs="Segoe UI Emoji"/>
                <w:noProof/>
                <w:lang w:val="en-US" w:eastAsia="en-GB"/>
              </w:rPr>
              <w:t>⚫</w:t>
            </w:r>
          </w:p>
        </w:tc>
        <w:tc>
          <w:tcPr>
            <w:tcW w:w="512" w:type="pct"/>
          </w:tcPr>
          <w:p w14:paraId="67A51E5A" w14:textId="1A2478E9" w:rsidR="00EA1F9F" w:rsidRPr="00EA1F9F" w:rsidRDefault="00EA1F9F" w:rsidP="00A35C8D">
            <w:pPr>
              <w:tabs>
                <w:tab w:val="center" w:pos="733"/>
              </w:tabs>
              <w:spacing w:after="120"/>
              <w:ind w:firstLine="0"/>
              <w:jc w:val="center"/>
              <w:rPr>
                <w:rFonts w:ascii="Segoe UI Emoji" w:hAnsi="Segoe UI Emoji" w:cs="Segoe UI Emoji"/>
                <w:noProof/>
                <w:lang w:val="en-US" w:eastAsia="en-GB"/>
              </w:rPr>
            </w:pPr>
            <w:r w:rsidRPr="00EA1F9F">
              <w:rPr>
                <w:rFonts w:ascii="Segoe UI Emoji" w:hAnsi="Segoe UI Emoji" w:cs="Segoe UI Emoji"/>
                <w:noProof/>
                <w:lang w:val="en-US" w:eastAsia="en-GB"/>
              </w:rPr>
              <w:t>◯</w:t>
            </w:r>
          </w:p>
        </w:tc>
      </w:tr>
      <w:tr w:rsidR="00EA1F9F" w:rsidRPr="00EA1F9F" w14:paraId="58B44535" w14:textId="77777777" w:rsidTr="00A35C8D">
        <w:trPr>
          <w:jc w:val="center"/>
        </w:trPr>
        <w:tc>
          <w:tcPr>
            <w:tcW w:w="391" w:type="pct"/>
            <w:vMerge/>
            <w:textDirection w:val="btLr"/>
          </w:tcPr>
          <w:p w14:paraId="097FE012" w14:textId="77777777" w:rsidR="00EA1F9F" w:rsidRPr="00EA1F9F" w:rsidRDefault="00EA1F9F" w:rsidP="00EA1F9F">
            <w:pPr>
              <w:spacing w:after="120"/>
              <w:ind w:left="113" w:right="113"/>
              <w:jc w:val="center"/>
              <w:rPr>
                <w:b/>
                <w:bCs/>
                <w:noProof/>
                <w:lang w:val="en-US" w:eastAsia="en-GB"/>
              </w:rPr>
            </w:pPr>
          </w:p>
        </w:tc>
        <w:tc>
          <w:tcPr>
            <w:tcW w:w="718" w:type="pct"/>
          </w:tcPr>
          <w:p w14:paraId="09C3C3D8" w14:textId="77777777" w:rsidR="00EA1F9F" w:rsidRPr="00EA1F9F" w:rsidRDefault="00EA1F9F" w:rsidP="00A35C8D">
            <w:pPr>
              <w:spacing w:after="120"/>
              <w:ind w:firstLine="0"/>
              <w:rPr>
                <w:noProof/>
                <w:lang w:val="en-US" w:eastAsia="en-GB"/>
              </w:rPr>
            </w:pPr>
            <w:r w:rsidRPr="00EA1F9F">
              <w:rPr>
                <w:noProof/>
                <w:lang w:val="en-US" w:eastAsia="en-GB"/>
              </w:rPr>
              <w:t>Engie</w:t>
            </w:r>
          </w:p>
        </w:tc>
        <w:tc>
          <w:tcPr>
            <w:tcW w:w="514" w:type="pct"/>
          </w:tcPr>
          <w:p w14:paraId="363CFCE0" w14:textId="77777777" w:rsidR="00EA1F9F" w:rsidRPr="00EA1F9F" w:rsidRDefault="00EA1F9F" w:rsidP="00A35C8D">
            <w:pPr>
              <w:spacing w:after="120"/>
              <w:ind w:firstLine="0"/>
              <w:jc w:val="center"/>
              <w:rPr>
                <w:noProof/>
                <w:lang w:val="en-US" w:eastAsia="en-GB"/>
              </w:rPr>
            </w:pPr>
            <w:r w:rsidRPr="00EA1F9F">
              <w:rPr>
                <w:rFonts w:ascii="Cambria Math" w:hAnsi="Cambria Math" w:cs="Cambria Math"/>
                <w:noProof/>
                <w:lang w:val="en-US" w:eastAsia="en-GB"/>
              </w:rPr>
              <w:t>◯</w:t>
            </w:r>
          </w:p>
        </w:tc>
        <w:tc>
          <w:tcPr>
            <w:tcW w:w="541" w:type="pct"/>
            <w:vAlign w:val="center"/>
          </w:tcPr>
          <w:p w14:paraId="5CBDFB2F" w14:textId="77777777" w:rsidR="00EA1F9F" w:rsidRPr="00EA1F9F" w:rsidRDefault="00EA1F9F" w:rsidP="00A35C8D">
            <w:pPr>
              <w:spacing w:after="120"/>
              <w:ind w:firstLine="0"/>
              <w:jc w:val="center"/>
              <w:rPr>
                <w:rFonts w:ascii="Cambria Math" w:hAnsi="Cambria Math" w:cs="Cambria Math"/>
                <w:noProof/>
                <w:sz w:val="28"/>
                <w:szCs w:val="28"/>
                <w:lang w:val="en-US" w:eastAsia="en-GB"/>
              </w:rPr>
            </w:pPr>
            <w:r w:rsidRPr="00EA1F9F">
              <w:rPr>
                <w:rFonts w:ascii="Cambria Math" w:hAnsi="Cambria Math" w:cs="Cambria Math"/>
                <w:noProof/>
                <w:sz w:val="28"/>
                <w:szCs w:val="28"/>
                <w:lang w:val="en-US" w:eastAsia="en-GB"/>
              </w:rPr>
              <w:t>◐</w:t>
            </w:r>
          </w:p>
        </w:tc>
        <w:tc>
          <w:tcPr>
            <w:tcW w:w="683" w:type="pct"/>
          </w:tcPr>
          <w:p w14:paraId="7F5A23CB" w14:textId="77777777" w:rsidR="00EA1F9F" w:rsidRPr="00EA1F9F" w:rsidRDefault="00EA1F9F" w:rsidP="00A35C8D">
            <w:pPr>
              <w:spacing w:after="120"/>
              <w:ind w:firstLine="0"/>
              <w:jc w:val="center"/>
              <w:rPr>
                <w:rFonts w:ascii="Cambria Math" w:hAnsi="Cambria Math" w:cs="Cambria Math"/>
                <w:noProof/>
                <w:lang w:val="en-US" w:eastAsia="en-GB"/>
              </w:rPr>
            </w:pPr>
            <w:r w:rsidRPr="00EA1F9F">
              <w:rPr>
                <w:rFonts w:ascii="Segoe UI Emoji" w:hAnsi="Segoe UI Emoji" w:cs="Segoe UI Emoji"/>
                <w:noProof/>
                <w:lang w:val="en-US" w:eastAsia="en-GB"/>
              </w:rPr>
              <w:t>⚫</w:t>
            </w:r>
          </w:p>
        </w:tc>
        <w:tc>
          <w:tcPr>
            <w:tcW w:w="487" w:type="pct"/>
          </w:tcPr>
          <w:p w14:paraId="401C2E43" w14:textId="77777777" w:rsidR="00EA1F9F" w:rsidRPr="00EA1F9F" w:rsidRDefault="00EA1F9F" w:rsidP="00A35C8D">
            <w:pPr>
              <w:spacing w:after="120"/>
              <w:ind w:firstLine="0"/>
              <w:jc w:val="center"/>
              <w:rPr>
                <w:rFonts w:ascii="Cambria Math" w:hAnsi="Cambria Math" w:cs="Cambria Math"/>
                <w:noProof/>
                <w:lang w:val="en-US" w:eastAsia="en-GB"/>
              </w:rPr>
            </w:pPr>
            <w:r w:rsidRPr="00EA1F9F">
              <w:rPr>
                <w:rFonts w:ascii="Segoe UI Emoji" w:hAnsi="Segoe UI Emoji" w:cs="Segoe UI Emoji"/>
                <w:noProof/>
                <w:lang w:val="en-US" w:eastAsia="en-GB"/>
              </w:rPr>
              <w:t>⚫</w:t>
            </w:r>
          </w:p>
        </w:tc>
        <w:tc>
          <w:tcPr>
            <w:tcW w:w="515" w:type="pct"/>
            <w:vAlign w:val="center"/>
          </w:tcPr>
          <w:p w14:paraId="1427A293" w14:textId="77777777" w:rsidR="00EA1F9F" w:rsidRPr="00EA1F9F" w:rsidRDefault="00EA1F9F" w:rsidP="00A35C8D">
            <w:pPr>
              <w:spacing w:after="120"/>
              <w:ind w:firstLine="0"/>
              <w:jc w:val="center"/>
              <w:rPr>
                <w:rFonts w:ascii="Cambria Math" w:hAnsi="Cambria Math" w:cs="Cambria Math"/>
                <w:noProof/>
                <w:sz w:val="28"/>
                <w:szCs w:val="28"/>
                <w:lang w:val="en-US" w:eastAsia="en-GB"/>
              </w:rPr>
            </w:pPr>
            <w:r w:rsidRPr="00EA1F9F">
              <w:rPr>
                <w:rFonts w:ascii="Cambria Math" w:hAnsi="Cambria Math" w:cs="Cambria Math"/>
                <w:noProof/>
                <w:sz w:val="28"/>
                <w:szCs w:val="28"/>
                <w:lang w:val="en-US" w:eastAsia="en-GB"/>
              </w:rPr>
              <w:t>◐</w:t>
            </w:r>
          </w:p>
        </w:tc>
        <w:tc>
          <w:tcPr>
            <w:tcW w:w="639" w:type="pct"/>
            <w:vAlign w:val="center"/>
          </w:tcPr>
          <w:p w14:paraId="4F9499E6" w14:textId="77777777" w:rsidR="00EA1F9F" w:rsidRPr="00EA1F9F" w:rsidRDefault="00EA1F9F" w:rsidP="00A35C8D">
            <w:pPr>
              <w:spacing w:after="120"/>
              <w:ind w:firstLine="0"/>
              <w:jc w:val="center"/>
              <w:rPr>
                <w:rFonts w:ascii="Cambria Math" w:hAnsi="Cambria Math" w:cs="Cambria Math"/>
                <w:noProof/>
                <w:sz w:val="28"/>
                <w:szCs w:val="28"/>
                <w:lang w:val="en-US" w:eastAsia="en-GB"/>
              </w:rPr>
            </w:pPr>
            <w:r w:rsidRPr="00EA1F9F">
              <w:rPr>
                <w:rFonts w:ascii="Cambria Math" w:hAnsi="Cambria Math" w:cs="Cambria Math"/>
                <w:noProof/>
                <w:sz w:val="28"/>
                <w:szCs w:val="28"/>
                <w:lang w:val="en-US" w:eastAsia="en-GB"/>
              </w:rPr>
              <w:t>◐</w:t>
            </w:r>
          </w:p>
        </w:tc>
        <w:tc>
          <w:tcPr>
            <w:tcW w:w="512" w:type="pct"/>
            <w:vAlign w:val="center"/>
          </w:tcPr>
          <w:p w14:paraId="12E0E4C0" w14:textId="77777777" w:rsidR="00EA1F9F" w:rsidRPr="00EA1F9F" w:rsidRDefault="00EA1F9F" w:rsidP="00A35C8D">
            <w:pPr>
              <w:spacing w:after="120"/>
              <w:ind w:firstLine="0"/>
              <w:jc w:val="center"/>
              <w:rPr>
                <w:rFonts w:ascii="Cambria Math" w:hAnsi="Cambria Math" w:cs="Cambria Math"/>
                <w:noProof/>
                <w:sz w:val="28"/>
                <w:szCs w:val="28"/>
                <w:lang w:val="en-US" w:eastAsia="en-GB"/>
              </w:rPr>
            </w:pPr>
            <w:r w:rsidRPr="00EA1F9F">
              <w:rPr>
                <w:rFonts w:ascii="Cambria Math" w:hAnsi="Cambria Math" w:cs="Cambria Math"/>
                <w:noProof/>
                <w:sz w:val="28"/>
                <w:szCs w:val="28"/>
                <w:lang w:val="en-US" w:eastAsia="en-GB"/>
              </w:rPr>
              <w:t>◐</w:t>
            </w:r>
          </w:p>
        </w:tc>
      </w:tr>
      <w:tr w:rsidR="00EA1F9F" w:rsidRPr="00EA1F9F" w14:paraId="51DED1F8" w14:textId="77777777" w:rsidTr="00A35C8D">
        <w:trPr>
          <w:jc w:val="center"/>
        </w:trPr>
        <w:tc>
          <w:tcPr>
            <w:tcW w:w="391" w:type="pct"/>
            <w:vMerge/>
            <w:textDirection w:val="btLr"/>
          </w:tcPr>
          <w:p w14:paraId="16CFE995" w14:textId="77777777" w:rsidR="00EA1F9F" w:rsidRPr="00EA1F9F" w:rsidRDefault="00EA1F9F" w:rsidP="00EA1F9F">
            <w:pPr>
              <w:spacing w:after="120"/>
              <w:ind w:left="113" w:right="113"/>
              <w:jc w:val="center"/>
              <w:rPr>
                <w:b/>
                <w:bCs/>
                <w:noProof/>
                <w:lang w:val="en-US" w:eastAsia="en-GB"/>
              </w:rPr>
            </w:pPr>
          </w:p>
        </w:tc>
        <w:tc>
          <w:tcPr>
            <w:tcW w:w="718" w:type="pct"/>
          </w:tcPr>
          <w:p w14:paraId="4140BF1D" w14:textId="77777777" w:rsidR="00EA1F9F" w:rsidRPr="00EA1F9F" w:rsidRDefault="00EA1F9F" w:rsidP="00A35C8D">
            <w:pPr>
              <w:spacing w:after="120"/>
              <w:ind w:firstLine="0"/>
              <w:rPr>
                <w:noProof/>
                <w:lang w:val="en-US" w:eastAsia="en-GB"/>
              </w:rPr>
            </w:pPr>
            <w:r w:rsidRPr="00EA1F9F">
              <w:rPr>
                <w:noProof/>
                <w:lang w:val="en-US" w:eastAsia="en-GB"/>
              </w:rPr>
              <w:t>Enel</w:t>
            </w:r>
          </w:p>
        </w:tc>
        <w:tc>
          <w:tcPr>
            <w:tcW w:w="514" w:type="pct"/>
          </w:tcPr>
          <w:p w14:paraId="6BF08809" w14:textId="77777777" w:rsidR="00EA1F9F" w:rsidRPr="00EA1F9F" w:rsidRDefault="00EA1F9F" w:rsidP="00A35C8D">
            <w:pPr>
              <w:spacing w:after="120"/>
              <w:ind w:firstLine="0"/>
              <w:jc w:val="center"/>
              <w:rPr>
                <w:noProof/>
                <w:lang w:val="en-US" w:eastAsia="en-GB"/>
              </w:rPr>
            </w:pPr>
            <w:r w:rsidRPr="00EA1F9F">
              <w:rPr>
                <w:rFonts w:ascii="Cambria Math" w:hAnsi="Cambria Math" w:cs="Cambria Math"/>
                <w:noProof/>
                <w:lang w:val="en-US" w:eastAsia="en-GB"/>
              </w:rPr>
              <w:t>◯</w:t>
            </w:r>
          </w:p>
        </w:tc>
        <w:tc>
          <w:tcPr>
            <w:tcW w:w="541" w:type="pct"/>
          </w:tcPr>
          <w:p w14:paraId="059FAC92" w14:textId="77777777" w:rsidR="00EA1F9F" w:rsidRPr="00EA1F9F" w:rsidRDefault="00EA1F9F" w:rsidP="00A35C8D">
            <w:pPr>
              <w:spacing w:after="120"/>
              <w:ind w:firstLine="0"/>
              <w:jc w:val="center"/>
              <w:rPr>
                <w:rFonts w:ascii="Cambria Math" w:hAnsi="Cambria Math" w:cs="Cambria Math"/>
                <w:noProof/>
                <w:lang w:val="en-US" w:eastAsia="en-GB"/>
              </w:rPr>
            </w:pPr>
            <w:r w:rsidRPr="00EA1F9F">
              <w:rPr>
                <w:rFonts w:ascii="Cambria Math" w:hAnsi="Cambria Math" w:cs="Cambria Math"/>
                <w:noProof/>
                <w:lang w:val="en-US" w:eastAsia="en-GB"/>
              </w:rPr>
              <w:t>◯</w:t>
            </w:r>
          </w:p>
        </w:tc>
        <w:tc>
          <w:tcPr>
            <w:tcW w:w="683" w:type="pct"/>
          </w:tcPr>
          <w:p w14:paraId="59AC14B6" w14:textId="77777777" w:rsidR="00EA1F9F" w:rsidRPr="00EA1F9F" w:rsidRDefault="00EA1F9F" w:rsidP="00A35C8D">
            <w:pPr>
              <w:spacing w:after="120"/>
              <w:ind w:firstLine="0"/>
              <w:jc w:val="center"/>
              <w:rPr>
                <w:rFonts w:ascii="Cambria Math" w:hAnsi="Cambria Math" w:cs="Cambria Math"/>
                <w:noProof/>
                <w:lang w:val="en-US" w:eastAsia="en-GB"/>
              </w:rPr>
            </w:pPr>
            <w:r w:rsidRPr="00EA1F9F">
              <w:rPr>
                <w:rFonts w:ascii="Segoe UI Emoji" w:hAnsi="Segoe UI Emoji" w:cs="Segoe UI Emoji"/>
                <w:noProof/>
                <w:lang w:val="en-US" w:eastAsia="en-GB"/>
              </w:rPr>
              <w:t>⚫</w:t>
            </w:r>
          </w:p>
        </w:tc>
        <w:tc>
          <w:tcPr>
            <w:tcW w:w="487" w:type="pct"/>
          </w:tcPr>
          <w:p w14:paraId="39A36262" w14:textId="77777777" w:rsidR="00EA1F9F" w:rsidRPr="00EA1F9F" w:rsidRDefault="00EA1F9F" w:rsidP="00A35C8D">
            <w:pPr>
              <w:spacing w:after="120"/>
              <w:ind w:firstLine="0"/>
              <w:jc w:val="center"/>
              <w:rPr>
                <w:rFonts w:ascii="Cambria Math" w:hAnsi="Cambria Math" w:cs="Cambria Math"/>
                <w:noProof/>
                <w:lang w:val="en-US" w:eastAsia="en-GB"/>
              </w:rPr>
            </w:pPr>
            <w:r w:rsidRPr="00EA1F9F">
              <w:rPr>
                <w:rFonts w:ascii="Segoe UI Emoji" w:hAnsi="Segoe UI Emoji" w:cs="Segoe UI Emoji"/>
                <w:noProof/>
                <w:lang w:val="en-US" w:eastAsia="en-GB"/>
              </w:rPr>
              <w:t>⚫</w:t>
            </w:r>
          </w:p>
        </w:tc>
        <w:tc>
          <w:tcPr>
            <w:tcW w:w="515" w:type="pct"/>
          </w:tcPr>
          <w:p w14:paraId="4C022264" w14:textId="77777777" w:rsidR="00EA1F9F" w:rsidRPr="00EA1F9F" w:rsidRDefault="00EA1F9F" w:rsidP="00A35C8D">
            <w:pPr>
              <w:spacing w:after="120"/>
              <w:ind w:firstLine="0"/>
              <w:jc w:val="center"/>
              <w:rPr>
                <w:rFonts w:ascii="Cambria Math" w:hAnsi="Cambria Math" w:cs="Cambria Math"/>
                <w:noProof/>
                <w:lang w:val="en-US" w:eastAsia="en-GB"/>
              </w:rPr>
            </w:pPr>
            <w:r w:rsidRPr="00EA1F9F">
              <w:rPr>
                <w:rFonts w:ascii="Segoe UI Emoji" w:hAnsi="Segoe UI Emoji" w:cs="Segoe UI Emoji"/>
                <w:noProof/>
                <w:lang w:val="en-US" w:eastAsia="en-GB"/>
              </w:rPr>
              <w:t>⚫</w:t>
            </w:r>
          </w:p>
        </w:tc>
        <w:tc>
          <w:tcPr>
            <w:tcW w:w="639" w:type="pct"/>
          </w:tcPr>
          <w:p w14:paraId="08EE3989" w14:textId="77777777" w:rsidR="00EA1F9F" w:rsidRPr="00EA1F9F" w:rsidRDefault="00EA1F9F" w:rsidP="00A35C8D">
            <w:pPr>
              <w:spacing w:after="120"/>
              <w:ind w:firstLine="0"/>
              <w:jc w:val="center"/>
              <w:rPr>
                <w:rFonts w:ascii="Cambria Math" w:hAnsi="Cambria Math" w:cs="Cambria Math"/>
                <w:noProof/>
                <w:lang w:val="en-US" w:eastAsia="en-GB"/>
              </w:rPr>
            </w:pPr>
            <w:r w:rsidRPr="00EA1F9F">
              <w:rPr>
                <w:rFonts w:ascii="Segoe UI Emoji" w:hAnsi="Segoe UI Emoji" w:cs="Segoe UI Emoji"/>
                <w:noProof/>
                <w:lang w:val="en-US" w:eastAsia="en-GB"/>
              </w:rPr>
              <w:t>⚫</w:t>
            </w:r>
          </w:p>
        </w:tc>
        <w:tc>
          <w:tcPr>
            <w:tcW w:w="512" w:type="pct"/>
          </w:tcPr>
          <w:p w14:paraId="36220321" w14:textId="77777777" w:rsidR="00EA1F9F" w:rsidRPr="00EA1F9F" w:rsidRDefault="00EA1F9F" w:rsidP="00A35C8D">
            <w:pPr>
              <w:spacing w:after="120"/>
              <w:ind w:firstLine="0"/>
              <w:jc w:val="center"/>
              <w:rPr>
                <w:rFonts w:ascii="Cambria Math" w:hAnsi="Cambria Math" w:cs="Cambria Math"/>
                <w:noProof/>
                <w:lang w:val="en-US" w:eastAsia="en-GB"/>
              </w:rPr>
            </w:pPr>
            <w:r w:rsidRPr="00EA1F9F">
              <w:rPr>
                <w:rFonts w:ascii="Cambria Math" w:hAnsi="Cambria Math" w:cs="Cambria Math"/>
                <w:noProof/>
                <w:lang w:val="en-US" w:eastAsia="en-GB"/>
              </w:rPr>
              <w:t>◯</w:t>
            </w:r>
          </w:p>
        </w:tc>
      </w:tr>
      <w:tr w:rsidR="00EA1F9F" w:rsidRPr="00EA1F9F" w14:paraId="4EBD2CC7" w14:textId="77777777" w:rsidTr="00A35C8D">
        <w:trPr>
          <w:jc w:val="center"/>
        </w:trPr>
        <w:tc>
          <w:tcPr>
            <w:tcW w:w="391" w:type="pct"/>
            <w:vMerge/>
            <w:textDirection w:val="btLr"/>
          </w:tcPr>
          <w:p w14:paraId="6C29EDC9" w14:textId="77777777" w:rsidR="00EA1F9F" w:rsidRPr="00EA1F9F" w:rsidRDefault="00EA1F9F" w:rsidP="00EA1F9F">
            <w:pPr>
              <w:spacing w:after="120"/>
              <w:ind w:left="113" w:right="113"/>
              <w:jc w:val="center"/>
              <w:rPr>
                <w:b/>
                <w:bCs/>
                <w:noProof/>
                <w:lang w:val="en-US" w:eastAsia="en-GB"/>
              </w:rPr>
            </w:pPr>
          </w:p>
        </w:tc>
        <w:tc>
          <w:tcPr>
            <w:tcW w:w="718" w:type="pct"/>
          </w:tcPr>
          <w:p w14:paraId="1F9417EE" w14:textId="77777777" w:rsidR="00EA1F9F" w:rsidRPr="00EA1F9F" w:rsidRDefault="00EA1F9F" w:rsidP="00A35C8D">
            <w:pPr>
              <w:spacing w:after="120"/>
              <w:ind w:firstLine="0"/>
              <w:rPr>
                <w:noProof/>
                <w:lang w:val="en-US" w:eastAsia="en-GB"/>
              </w:rPr>
            </w:pPr>
            <w:r w:rsidRPr="00EA1F9F">
              <w:rPr>
                <w:noProof/>
                <w:lang w:val="en-US" w:eastAsia="en-GB"/>
              </w:rPr>
              <w:t>RWE</w:t>
            </w:r>
          </w:p>
        </w:tc>
        <w:tc>
          <w:tcPr>
            <w:tcW w:w="514" w:type="pct"/>
          </w:tcPr>
          <w:p w14:paraId="0F66CC1F" w14:textId="77777777" w:rsidR="00EA1F9F" w:rsidRPr="00EA1F9F" w:rsidRDefault="00EA1F9F" w:rsidP="00A35C8D">
            <w:pPr>
              <w:spacing w:after="120"/>
              <w:ind w:firstLine="0"/>
              <w:jc w:val="center"/>
              <w:rPr>
                <w:noProof/>
                <w:lang w:val="en-US" w:eastAsia="en-GB"/>
              </w:rPr>
            </w:pPr>
            <w:r w:rsidRPr="00EA1F9F">
              <w:rPr>
                <w:rFonts w:ascii="Cambria Math" w:hAnsi="Cambria Math" w:cs="Cambria Math"/>
                <w:noProof/>
                <w:lang w:val="en-US" w:eastAsia="en-GB"/>
              </w:rPr>
              <w:t>◯</w:t>
            </w:r>
          </w:p>
        </w:tc>
        <w:tc>
          <w:tcPr>
            <w:tcW w:w="541" w:type="pct"/>
          </w:tcPr>
          <w:p w14:paraId="75B17FC0" w14:textId="77777777" w:rsidR="00EA1F9F" w:rsidRPr="00EA1F9F" w:rsidRDefault="00EA1F9F" w:rsidP="00A35C8D">
            <w:pPr>
              <w:spacing w:after="120"/>
              <w:ind w:firstLine="0"/>
              <w:jc w:val="center"/>
              <w:rPr>
                <w:rFonts w:ascii="Cambria Math" w:hAnsi="Cambria Math" w:cs="Cambria Math"/>
                <w:noProof/>
                <w:lang w:val="en-US" w:eastAsia="en-GB"/>
              </w:rPr>
            </w:pPr>
            <w:r w:rsidRPr="00EA1F9F">
              <w:rPr>
                <w:rFonts w:ascii="Segoe UI Emoji" w:hAnsi="Segoe UI Emoji" w:cs="Segoe UI Emoji"/>
                <w:noProof/>
                <w:lang w:val="en-US" w:eastAsia="en-GB"/>
              </w:rPr>
              <w:t>⚫</w:t>
            </w:r>
          </w:p>
        </w:tc>
        <w:tc>
          <w:tcPr>
            <w:tcW w:w="683" w:type="pct"/>
          </w:tcPr>
          <w:p w14:paraId="357ED552" w14:textId="77777777" w:rsidR="00EA1F9F" w:rsidRPr="00EA1F9F" w:rsidRDefault="00EA1F9F" w:rsidP="00A35C8D">
            <w:pPr>
              <w:spacing w:after="120"/>
              <w:ind w:firstLine="0"/>
              <w:jc w:val="center"/>
              <w:rPr>
                <w:rFonts w:ascii="Cambria Math" w:hAnsi="Cambria Math" w:cs="Cambria Math"/>
                <w:noProof/>
                <w:lang w:val="en-US" w:eastAsia="en-GB"/>
              </w:rPr>
            </w:pPr>
            <w:r w:rsidRPr="00EA1F9F">
              <w:rPr>
                <w:rFonts w:ascii="Segoe UI Emoji" w:hAnsi="Segoe UI Emoji" w:cs="Segoe UI Emoji"/>
                <w:noProof/>
                <w:lang w:val="en-US" w:eastAsia="en-GB"/>
              </w:rPr>
              <w:t>⚫</w:t>
            </w:r>
          </w:p>
        </w:tc>
        <w:tc>
          <w:tcPr>
            <w:tcW w:w="487" w:type="pct"/>
          </w:tcPr>
          <w:p w14:paraId="5DCA8C45" w14:textId="77777777" w:rsidR="00EA1F9F" w:rsidRPr="00EA1F9F" w:rsidRDefault="00EA1F9F" w:rsidP="00A35C8D">
            <w:pPr>
              <w:spacing w:after="120"/>
              <w:ind w:firstLine="0"/>
              <w:jc w:val="center"/>
              <w:rPr>
                <w:rFonts w:ascii="Cambria Math" w:hAnsi="Cambria Math" w:cs="Cambria Math"/>
                <w:noProof/>
                <w:lang w:val="en-US" w:eastAsia="en-GB"/>
              </w:rPr>
            </w:pPr>
            <w:r w:rsidRPr="00EA1F9F">
              <w:rPr>
                <w:rFonts w:ascii="Segoe UI Emoji" w:hAnsi="Segoe UI Emoji" w:cs="Segoe UI Emoji"/>
                <w:noProof/>
                <w:lang w:val="en-US" w:eastAsia="en-GB"/>
              </w:rPr>
              <w:t>⚫</w:t>
            </w:r>
          </w:p>
        </w:tc>
        <w:tc>
          <w:tcPr>
            <w:tcW w:w="515" w:type="pct"/>
          </w:tcPr>
          <w:p w14:paraId="3E7418F8" w14:textId="77777777" w:rsidR="00EA1F9F" w:rsidRPr="00EA1F9F" w:rsidRDefault="00EA1F9F" w:rsidP="00A35C8D">
            <w:pPr>
              <w:spacing w:after="120"/>
              <w:ind w:firstLine="0"/>
              <w:jc w:val="center"/>
              <w:rPr>
                <w:rFonts w:ascii="Cambria Math" w:hAnsi="Cambria Math" w:cs="Cambria Math"/>
                <w:noProof/>
                <w:lang w:val="en-US" w:eastAsia="en-GB"/>
              </w:rPr>
            </w:pPr>
            <w:r w:rsidRPr="00EA1F9F">
              <w:rPr>
                <w:rFonts w:ascii="Segoe UI Emoji" w:hAnsi="Segoe UI Emoji" w:cs="Segoe UI Emoji"/>
                <w:noProof/>
                <w:lang w:val="en-US" w:eastAsia="en-GB"/>
              </w:rPr>
              <w:t>⚫</w:t>
            </w:r>
          </w:p>
        </w:tc>
        <w:tc>
          <w:tcPr>
            <w:tcW w:w="639" w:type="pct"/>
          </w:tcPr>
          <w:p w14:paraId="06EEBD23" w14:textId="77777777" w:rsidR="00EA1F9F" w:rsidRPr="00EA1F9F" w:rsidRDefault="00EA1F9F" w:rsidP="00A35C8D">
            <w:pPr>
              <w:spacing w:after="120"/>
              <w:ind w:firstLine="0"/>
              <w:jc w:val="center"/>
              <w:rPr>
                <w:rFonts w:ascii="Cambria Math" w:hAnsi="Cambria Math" w:cs="Cambria Math"/>
                <w:noProof/>
                <w:lang w:val="en-US" w:eastAsia="en-GB"/>
              </w:rPr>
            </w:pPr>
            <w:r w:rsidRPr="00EA1F9F">
              <w:rPr>
                <w:rFonts w:ascii="Segoe UI Emoji" w:hAnsi="Segoe UI Emoji" w:cs="Segoe UI Emoji"/>
                <w:noProof/>
                <w:lang w:val="en-US" w:eastAsia="en-GB"/>
              </w:rPr>
              <w:t>⚫</w:t>
            </w:r>
          </w:p>
        </w:tc>
        <w:tc>
          <w:tcPr>
            <w:tcW w:w="512" w:type="pct"/>
          </w:tcPr>
          <w:p w14:paraId="0FDA8F6E" w14:textId="77777777" w:rsidR="00EA1F9F" w:rsidRPr="00EA1F9F" w:rsidRDefault="00EA1F9F" w:rsidP="00A35C8D">
            <w:pPr>
              <w:spacing w:after="120"/>
              <w:ind w:firstLine="0"/>
              <w:jc w:val="center"/>
              <w:rPr>
                <w:rFonts w:ascii="Cambria Math" w:hAnsi="Cambria Math" w:cs="Cambria Math"/>
                <w:noProof/>
                <w:lang w:val="en-US" w:eastAsia="en-GB"/>
              </w:rPr>
            </w:pPr>
            <w:r w:rsidRPr="00EA1F9F">
              <w:rPr>
                <w:rFonts w:ascii="Cambria Math" w:hAnsi="Cambria Math" w:cs="Cambria Math"/>
                <w:noProof/>
                <w:lang w:val="en-US" w:eastAsia="en-GB"/>
              </w:rPr>
              <w:t>◯</w:t>
            </w:r>
          </w:p>
        </w:tc>
      </w:tr>
      <w:tr w:rsidR="00EA1F9F" w:rsidRPr="00EA1F9F" w14:paraId="5414B59F" w14:textId="77777777" w:rsidTr="00A35C8D">
        <w:trPr>
          <w:jc w:val="center"/>
        </w:trPr>
        <w:tc>
          <w:tcPr>
            <w:tcW w:w="391" w:type="pct"/>
            <w:vMerge/>
            <w:textDirection w:val="btLr"/>
          </w:tcPr>
          <w:p w14:paraId="4A6BA283" w14:textId="77777777" w:rsidR="00EA1F9F" w:rsidRPr="00EA1F9F" w:rsidRDefault="00EA1F9F" w:rsidP="00EA1F9F">
            <w:pPr>
              <w:spacing w:after="120"/>
              <w:ind w:left="113" w:right="113"/>
              <w:jc w:val="center"/>
              <w:rPr>
                <w:b/>
                <w:bCs/>
                <w:noProof/>
                <w:lang w:val="en-US" w:eastAsia="en-GB"/>
              </w:rPr>
            </w:pPr>
          </w:p>
        </w:tc>
        <w:tc>
          <w:tcPr>
            <w:tcW w:w="718" w:type="pct"/>
          </w:tcPr>
          <w:p w14:paraId="1E465BBA" w14:textId="77777777" w:rsidR="00EA1F9F" w:rsidRPr="00EA1F9F" w:rsidRDefault="00EA1F9F" w:rsidP="00A35C8D">
            <w:pPr>
              <w:spacing w:after="120"/>
              <w:ind w:firstLine="0"/>
              <w:rPr>
                <w:noProof/>
                <w:lang w:val="en-US" w:eastAsia="en-GB"/>
              </w:rPr>
            </w:pPr>
            <w:r w:rsidRPr="00EA1F9F">
              <w:rPr>
                <w:noProof/>
                <w:lang w:val="en-US" w:eastAsia="en-GB"/>
              </w:rPr>
              <w:t>Orsted</w:t>
            </w:r>
          </w:p>
        </w:tc>
        <w:tc>
          <w:tcPr>
            <w:tcW w:w="514" w:type="pct"/>
          </w:tcPr>
          <w:p w14:paraId="0C39A3C6" w14:textId="77777777" w:rsidR="00EA1F9F" w:rsidRPr="00EA1F9F" w:rsidRDefault="00EA1F9F" w:rsidP="00A35C8D">
            <w:pPr>
              <w:spacing w:after="120"/>
              <w:ind w:firstLine="0"/>
              <w:jc w:val="center"/>
              <w:rPr>
                <w:noProof/>
                <w:lang w:val="en-US" w:eastAsia="en-GB"/>
              </w:rPr>
            </w:pPr>
            <w:r w:rsidRPr="00EA1F9F">
              <w:rPr>
                <w:rFonts w:ascii="Cambria Math" w:hAnsi="Cambria Math" w:cs="Cambria Math"/>
                <w:noProof/>
                <w:lang w:val="en-US" w:eastAsia="en-GB"/>
              </w:rPr>
              <w:t>◯</w:t>
            </w:r>
          </w:p>
        </w:tc>
        <w:tc>
          <w:tcPr>
            <w:tcW w:w="541" w:type="pct"/>
          </w:tcPr>
          <w:p w14:paraId="1A4C950F" w14:textId="77777777" w:rsidR="00EA1F9F" w:rsidRPr="00EA1F9F" w:rsidRDefault="00EA1F9F" w:rsidP="00A35C8D">
            <w:pPr>
              <w:spacing w:after="120"/>
              <w:ind w:firstLine="0"/>
              <w:jc w:val="center"/>
              <w:rPr>
                <w:rFonts w:ascii="Cambria Math" w:hAnsi="Cambria Math" w:cs="Cambria Math"/>
                <w:noProof/>
                <w:lang w:val="en-US" w:eastAsia="en-GB"/>
              </w:rPr>
            </w:pPr>
            <w:r w:rsidRPr="00EA1F9F">
              <w:rPr>
                <w:rFonts w:ascii="Cambria Math" w:hAnsi="Cambria Math" w:cs="Cambria Math"/>
                <w:noProof/>
                <w:lang w:val="en-US" w:eastAsia="en-GB"/>
              </w:rPr>
              <w:t>◯</w:t>
            </w:r>
          </w:p>
        </w:tc>
        <w:tc>
          <w:tcPr>
            <w:tcW w:w="683" w:type="pct"/>
          </w:tcPr>
          <w:p w14:paraId="06FF27C9" w14:textId="77777777" w:rsidR="00EA1F9F" w:rsidRPr="00EA1F9F" w:rsidRDefault="00EA1F9F" w:rsidP="00A35C8D">
            <w:pPr>
              <w:spacing w:after="120"/>
              <w:ind w:firstLine="0"/>
              <w:jc w:val="center"/>
              <w:rPr>
                <w:rFonts w:ascii="Cambria Math" w:hAnsi="Cambria Math" w:cs="Cambria Math"/>
                <w:noProof/>
                <w:lang w:val="en-US" w:eastAsia="en-GB"/>
              </w:rPr>
            </w:pPr>
            <w:r w:rsidRPr="00EA1F9F">
              <w:rPr>
                <w:rFonts w:ascii="Segoe UI Emoji" w:hAnsi="Segoe UI Emoji" w:cs="Segoe UI Emoji"/>
                <w:noProof/>
                <w:lang w:val="en-US" w:eastAsia="en-GB"/>
              </w:rPr>
              <w:t>⚫</w:t>
            </w:r>
          </w:p>
        </w:tc>
        <w:tc>
          <w:tcPr>
            <w:tcW w:w="487" w:type="pct"/>
          </w:tcPr>
          <w:p w14:paraId="05A5FA81" w14:textId="77777777" w:rsidR="00EA1F9F" w:rsidRPr="00EA1F9F" w:rsidRDefault="00EA1F9F" w:rsidP="00A35C8D">
            <w:pPr>
              <w:spacing w:after="120"/>
              <w:ind w:firstLine="0"/>
              <w:jc w:val="center"/>
              <w:rPr>
                <w:rFonts w:ascii="Cambria Math" w:hAnsi="Cambria Math" w:cs="Cambria Math"/>
                <w:noProof/>
                <w:lang w:val="en-US" w:eastAsia="en-GB"/>
              </w:rPr>
            </w:pPr>
            <w:r w:rsidRPr="00EA1F9F">
              <w:rPr>
                <w:rFonts w:ascii="Segoe UI Emoji" w:hAnsi="Segoe UI Emoji" w:cs="Segoe UI Emoji"/>
                <w:noProof/>
                <w:lang w:val="en-US" w:eastAsia="en-GB"/>
              </w:rPr>
              <w:t>⚫</w:t>
            </w:r>
          </w:p>
        </w:tc>
        <w:tc>
          <w:tcPr>
            <w:tcW w:w="515" w:type="pct"/>
          </w:tcPr>
          <w:p w14:paraId="4B87C7FB" w14:textId="77777777" w:rsidR="00EA1F9F" w:rsidRPr="00EA1F9F" w:rsidRDefault="00EA1F9F" w:rsidP="00A35C8D">
            <w:pPr>
              <w:spacing w:after="120"/>
              <w:ind w:firstLine="0"/>
              <w:jc w:val="center"/>
              <w:rPr>
                <w:rFonts w:ascii="Cambria Math" w:hAnsi="Cambria Math" w:cs="Cambria Math"/>
                <w:noProof/>
                <w:lang w:val="en-US" w:eastAsia="en-GB"/>
              </w:rPr>
            </w:pPr>
            <w:r w:rsidRPr="00EA1F9F">
              <w:rPr>
                <w:rFonts w:ascii="Segoe UI Emoji" w:hAnsi="Segoe UI Emoji" w:cs="Segoe UI Emoji"/>
                <w:noProof/>
                <w:lang w:val="en-US" w:eastAsia="en-GB"/>
              </w:rPr>
              <w:t>⚫</w:t>
            </w:r>
          </w:p>
        </w:tc>
        <w:tc>
          <w:tcPr>
            <w:tcW w:w="639" w:type="pct"/>
          </w:tcPr>
          <w:p w14:paraId="330FCCF7" w14:textId="77777777" w:rsidR="00EA1F9F" w:rsidRPr="00EA1F9F" w:rsidRDefault="00EA1F9F" w:rsidP="00A35C8D">
            <w:pPr>
              <w:spacing w:after="120"/>
              <w:ind w:firstLine="0"/>
              <w:jc w:val="center"/>
              <w:rPr>
                <w:rFonts w:ascii="Cambria Math" w:hAnsi="Cambria Math" w:cs="Cambria Math"/>
                <w:noProof/>
                <w:lang w:val="en-US" w:eastAsia="en-GB"/>
              </w:rPr>
            </w:pPr>
            <w:r w:rsidRPr="00EA1F9F">
              <w:rPr>
                <w:rFonts w:ascii="Segoe UI Emoji" w:hAnsi="Segoe UI Emoji" w:cs="Segoe UI Emoji"/>
                <w:noProof/>
                <w:lang w:val="en-US" w:eastAsia="en-GB"/>
              </w:rPr>
              <w:t>⚫</w:t>
            </w:r>
          </w:p>
        </w:tc>
        <w:tc>
          <w:tcPr>
            <w:tcW w:w="512" w:type="pct"/>
          </w:tcPr>
          <w:p w14:paraId="0036DEF9" w14:textId="77777777" w:rsidR="00EA1F9F" w:rsidRPr="00EA1F9F" w:rsidRDefault="00EA1F9F" w:rsidP="00A35C8D">
            <w:pPr>
              <w:spacing w:after="120"/>
              <w:ind w:firstLine="0"/>
              <w:jc w:val="center"/>
              <w:rPr>
                <w:rFonts w:ascii="Cambria Math" w:hAnsi="Cambria Math" w:cs="Cambria Math"/>
                <w:noProof/>
                <w:lang w:val="en-US" w:eastAsia="en-GB"/>
              </w:rPr>
            </w:pPr>
            <w:r w:rsidRPr="00EA1F9F">
              <w:rPr>
                <w:rFonts w:ascii="Segoe UI Emoji" w:hAnsi="Segoe UI Emoji" w:cs="Segoe UI Emoji"/>
                <w:noProof/>
                <w:lang w:val="en-US" w:eastAsia="en-GB"/>
              </w:rPr>
              <w:t>⚫</w:t>
            </w:r>
          </w:p>
        </w:tc>
      </w:tr>
      <w:tr w:rsidR="00EA1F9F" w:rsidRPr="00EA1F9F" w14:paraId="6B8B1FBE" w14:textId="77777777" w:rsidTr="00A35C8D">
        <w:trPr>
          <w:jc w:val="center"/>
        </w:trPr>
        <w:tc>
          <w:tcPr>
            <w:tcW w:w="391" w:type="pct"/>
            <w:vMerge w:val="restart"/>
            <w:textDirection w:val="btLr"/>
          </w:tcPr>
          <w:p w14:paraId="39887353" w14:textId="77777777" w:rsidR="00EA1F9F" w:rsidRPr="00EA1F9F" w:rsidRDefault="00EA1F9F" w:rsidP="00A35C8D">
            <w:pPr>
              <w:spacing w:after="120"/>
              <w:ind w:left="113" w:right="113" w:firstLine="0"/>
              <w:jc w:val="center"/>
              <w:rPr>
                <w:b/>
                <w:bCs/>
                <w:noProof/>
                <w:lang w:val="en-US" w:eastAsia="en-GB"/>
              </w:rPr>
            </w:pPr>
            <w:r w:rsidRPr="00EA1F9F">
              <w:rPr>
                <w:b/>
                <w:bCs/>
                <w:noProof/>
                <w:lang w:val="en-US" w:eastAsia="en-GB"/>
              </w:rPr>
              <w:t>Asia and RoW based</w:t>
            </w:r>
          </w:p>
        </w:tc>
        <w:tc>
          <w:tcPr>
            <w:tcW w:w="718" w:type="pct"/>
          </w:tcPr>
          <w:p w14:paraId="42BD01DB" w14:textId="77777777" w:rsidR="00EA1F9F" w:rsidRPr="00EA1F9F" w:rsidRDefault="00EA1F9F" w:rsidP="00A35C8D">
            <w:pPr>
              <w:spacing w:after="120"/>
              <w:ind w:firstLine="0"/>
              <w:rPr>
                <w:noProof/>
                <w:lang w:val="en-US" w:eastAsia="en-GB"/>
              </w:rPr>
            </w:pPr>
            <w:r w:rsidRPr="00EA1F9F">
              <w:rPr>
                <w:noProof/>
                <w:lang w:val="en-US" w:eastAsia="en-GB"/>
              </w:rPr>
              <w:t>CLP</w:t>
            </w:r>
          </w:p>
        </w:tc>
        <w:tc>
          <w:tcPr>
            <w:tcW w:w="514" w:type="pct"/>
          </w:tcPr>
          <w:p w14:paraId="67FD0C11" w14:textId="77777777" w:rsidR="00EA1F9F" w:rsidRPr="00EA1F9F" w:rsidRDefault="00EA1F9F" w:rsidP="00A35C8D">
            <w:pPr>
              <w:spacing w:after="120"/>
              <w:ind w:firstLine="0"/>
              <w:jc w:val="center"/>
              <w:rPr>
                <w:noProof/>
                <w:lang w:val="en-US" w:eastAsia="en-GB"/>
              </w:rPr>
            </w:pPr>
            <w:r w:rsidRPr="00EA1F9F">
              <w:rPr>
                <w:rFonts w:ascii="Cambria Math" w:hAnsi="Cambria Math" w:cs="Cambria Math"/>
                <w:noProof/>
                <w:lang w:val="en-US" w:eastAsia="en-GB"/>
              </w:rPr>
              <w:t>◯</w:t>
            </w:r>
          </w:p>
        </w:tc>
        <w:tc>
          <w:tcPr>
            <w:tcW w:w="541" w:type="pct"/>
          </w:tcPr>
          <w:p w14:paraId="71C4DC63" w14:textId="77777777" w:rsidR="00EA1F9F" w:rsidRPr="00EA1F9F" w:rsidRDefault="00EA1F9F" w:rsidP="00A35C8D">
            <w:pPr>
              <w:spacing w:after="120"/>
              <w:ind w:firstLine="0"/>
              <w:jc w:val="center"/>
              <w:rPr>
                <w:rFonts w:ascii="Cambria Math" w:hAnsi="Cambria Math" w:cs="Cambria Math"/>
                <w:noProof/>
                <w:lang w:val="en-US" w:eastAsia="en-GB"/>
              </w:rPr>
            </w:pPr>
            <w:r w:rsidRPr="00EA1F9F">
              <w:rPr>
                <w:rFonts w:ascii="Cambria Math" w:hAnsi="Cambria Math" w:cs="Cambria Math"/>
                <w:noProof/>
                <w:lang w:val="en-US" w:eastAsia="en-GB"/>
              </w:rPr>
              <w:t>◯</w:t>
            </w:r>
          </w:p>
        </w:tc>
        <w:tc>
          <w:tcPr>
            <w:tcW w:w="683" w:type="pct"/>
          </w:tcPr>
          <w:p w14:paraId="2847B79B" w14:textId="77777777" w:rsidR="00EA1F9F" w:rsidRPr="00EA1F9F" w:rsidRDefault="00EA1F9F" w:rsidP="00A35C8D">
            <w:pPr>
              <w:spacing w:after="120"/>
              <w:ind w:firstLine="0"/>
              <w:jc w:val="center"/>
              <w:rPr>
                <w:rFonts w:ascii="Cambria Math" w:hAnsi="Cambria Math" w:cs="Cambria Math"/>
                <w:noProof/>
                <w:lang w:val="en-US" w:eastAsia="en-GB"/>
              </w:rPr>
            </w:pPr>
            <w:r w:rsidRPr="00EA1F9F">
              <w:rPr>
                <w:rFonts w:ascii="Cambria Math" w:hAnsi="Cambria Math" w:cs="Cambria Math"/>
                <w:noProof/>
                <w:lang w:val="en-US" w:eastAsia="en-GB"/>
              </w:rPr>
              <w:t>◯</w:t>
            </w:r>
          </w:p>
        </w:tc>
        <w:tc>
          <w:tcPr>
            <w:tcW w:w="487" w:type="pct"/>
          </w:tcPr>
          <w:p w14:paraId="625B6FAD" w14:textId="77777777" w:rsidR="00EA1F9F" w:rsidRPr="00EA1F9F" w:rsidRDefault="00EA1F9F" w:rsidP="00A35C8D">
            <w:pPr>
              <w:spacing w:after="120"/>
              <w:ind w:firstLine="0"/>
              <w:jc w:val="center"/>
              <w:rPr>
                <w:rFonts w:ascii="Cambria Math" w:hAnsi="Cambria Math" w:cs="Cambria Math"/>
                <w:noProof/>
                <w:lang w:val="en-US" w:eastAsia="en-GB"/>
              </w:rPr>
            </w:pPr>
            <w:r w:rsidRPr="00EA1F9F">
              <w:rPr>
                <w:rFonts w:ascii="Segoe UI Emoji" w:hAnsi="Segoe UI Emoji" w:cs="Segoe UI Emoji"/>
                <w:noProof/>
                <w:lang w:val="en-US" w:eastAsia="en-GB"/>
              </w:rPr>
              <w:t>⚫</w:t>
            </w:r>
          </w:p>
        </w:tc>
        <w:tc>
          <w:tcPr>
            <w:tcW w:w="515" w:type="pct"/>
          </w:tcPr>
          <w:p w14:paraId="68D82CCB" w14:textId="77777777" w:rsidR="00EA1F9F" w:rsidRPr="00EA1F9F" w:rsidRDefault="00EA1F9F" w:rsidP="00A35C8D">
            <w:pPr>
              <w:spacing w:after="120"/>
              <w:ind w:firstLine="0"/>
              <w:jc w:val="center"/>
              <w:rPr>
                <w:rFonts w:ascii="Cambria Math" w:hAnsi="Cambria Math" w:cs="Cambria Math"/>
                <w:noProof/>
                <w:lang w:val="en-US" w:eastAsia="en-GB"/>
              </w:rPr>
            </w:pPr>
            <w:r w:rsidRPr="00EA1F9F">
              <w:rPr>
                <w:rFonts w:ascii="Cambria Math" w:hAnsi="Cambria Math" w:cs="Cambria Math"/>
                <w:noProof/>
                <w:lang w:val="en-US" w:eastAsia="en-GB"/>
              </w:rPr>
              <w:t>◯</w:t>
            </w:r>
          </w:p>
        </w:tc>
        <w:tc>
          <w:tcPr>
            <w:tcW w:w="639" w:type="pct"/>
            <w:vAlign w:val="center"/>
          </w:tcPr>
          <w:p w14:paraId="483B45A2" w14:textId="77777777" w:rsidR="00EA1F9F" w:rsidRPr="00EA1F9F" w:rsidRDefault="00EA1F9F" w:rsidP="00A35C8D">
            <w:pPr>
              <w:spacing w:after="120"/>
              <w:ind w:firstLine="0"/>
              <w:jc w:val="center"/>
              <w:rPr>
                <w:rFonts w:ascii="Cambria Math" w:hAnsi="Cambria Math" w:cs="Cambria Math"/>
                <w:noProof/>
                <w:sz w:val="28"/>
                <w:szCs w:val="28"/>
                <w:lang w:val="en-US" w:eastAsia="en-GB"/>
              </w:rPr>
            </w:pPr>
            <w:r w:rsidRPr="00EA1F9F">
              <w:rPr>
                <w:rFonts w:ascii="Cambria Math" w:hAnsi="Cambria Math" w:cs="Cambria Math"/>
                <w:noProof/>
                <w:sz w:val="28"/>
                <w:szCs w:val="28"/>
                <w:lang w:val="en-US" w:eastAsia="en-GB"/>
              </w:rPr>
              <w:t>◐</w:t>
            </w:r>
          </w:p>
        </w:tc>
        <w:tc>
          <w:tcPr>
            <w:tcW w:w="512" w:type="pct"/>
          </w:tcPr>
          <w:p w14:paraId="24EB222F" w14:textId="77777777" w:rsidR="00EA1F9F" w:rsidRPr="00EA1F9F" w:rsidRDefault="00EA1F9F" w:rsidP="00A35C8D">
            <w:pPr>
              <w:spacing w:after="120"/>
              <w:ind w:firstLine="0"/>
              <w:jc w:val="center"/>
              <w:rPr>
                <w:rFonts w:ascii="Cambria Math" w:hAnsi="Cambria Math" w:cs="Cambria Math"/>
                <w:noProof/>
                <w:lang w:val="en-US" w:eastAsia="en-GB"/>
              </w:rPr>
            </w:pPr>
            <w:r w:rsidRPr="00EA1F9F">
              <w:rPr>
                <w:rFonts w:ascii="Cambria Math" w:hAnsi="Cambria Math" w:cs="Cambria Math"/>
                <w:noProof/>
                <w:lang w:val="en-US" w:eastAsia="en-GB"/>
              </w:rPr>
              <w:t>◯</w:t>
            </w:r>
          </w:p>
        </w:tc>
      </w:tr>
      <w:tr w:rsidR="00EA1F9F" w:rsidRPr="00EA1F9F" w14:paraId="4723D827" w14:textId="77777777" w:rsidTr="00A35C8D">
        <w:trPr>
          <w:jc w:val="center"/>
        </w:trPr>
        <w:tc>
          <w:tcPr>
            <w:tcW w:w="391" w:type="pct"/>
            <w:vMerge/>
          </w:tcPr>
          <w:p w14:paraId="534D9E7A" w14:textId="77777777" w:rsidR="00EA1F9F" w:rsidRPr="00EA1F9F" w:rsidRDefault="00EA1F9F" w:rsidP="00EA1F9F">
            <w:pPr>
              <w:spacing w:after="120"/>
              <w:rPr>
                <w:noProof/>
                <w:lang w:val="en-US" w:eastAsia="en-GB"/>
              </w:rPr>
            </w:pPr>
          </w:p>
        </w:tc>
        <w:tc>
          <w:tcPr>
            <w:tcW w:w="718" w:type="pct"/>
          </w:tcPr>
          <w:p w14:paraId="63C5A23C" w14:textId="77777777" w:rsidR="00EA1F9F" w:rsidRPr="00EA1F9F" w:rsidRDefault="00EA1F9F" w:rsidP="00A35C8D">
            <w:pPr>
              <w:spacing w:after="120"/>
              <w:ind w:firstLine="0"/>
              <w:rPr>
                <w:noProof/>
                <w:lang w:val="en-US" w:eastAsia="en-GB"/>
              </w:rPr>
            </w:pPr>
            <w:r w:rsidRPr="00EA1F9F">
              <w:rPr>
                <w:noProof/>
                <w:lang w:val="en-US" w:eastAsia="en-GB"/>
              </w:rPr>
              <w:t>NTPC</w:t>
            </w:r>
          </w:p>
        </w:tc>
        <w:tc>
          <w:tcPr>
            <w:tcW w:w="514" w:type="pct"/>
          </w:tcPr>
          <w:p w14:paraId="2FEDB190" w14:textId="77777777" w:rsidR="00EA1F9F" w:rsidRPr="00EA1F9F" w:rsidRDefault="00EA1F9F" w:rsidP="00A35C8D">
            <w:pPr>
              <w:spacing w:after="120"/>
              <w:ind w:firstLine="0"/>
              <w:jc w:val="center"/>
              <w:rPr>
                <w:noProof/>
                <w:lang w:val="en-US" w:eastAsia="en-GB"/>
              </w:rPr>
            </w:pPr>
            <w:r w:rsidRPr="00EA1F9F">
              <w:rPr>
                <w:rFonts w:ascii="Cambria Math" w:hAnsi="Cambria Math" w:cs="Cambria Math"/>
                <w:noProof/>
                <w:lang w:val="en-US" w:eastAsia="en-GB"/>
              </w:rPr>
              <w:t>◯</w:t>
            </w:r>
          </w:p>
        </w:tc>
        <w:tc>
          <w:tcPr>
            <w:tcW w:w="541" w:type="pct"/>
          </w:tcPr>
          <w:p w14:paraId="4CC1AC04" w14:textId="77777777" w:rsidR="00EA1F9F" w:rsidRPr="00EA1F9F" w:rsidRDefault="00EA1F9F" w:rsidP="00A35C8D">
            <w:pPr>
              <w:spacing w:after="120"/>
              <w:ind w:firstLine="0"/>
              <w:jc w:val="center"/>
              <w:rPr>
                <w:rFonts w:ascii="Cambria Math" w:hAnsi="Cambria Math" w:cs="Cambria Math"/>
                <w:noProof/>
                <w:lang w:val="en-US" w:eastAsia="en-GB"/>
              </w:rPr>
            </w:pPr>
            <w:r w:rsidRPr="00EA1F9F">
              <w:rPr>
                <w:rFonts w:ascii="Cambria Math" w:hAnsi="Cambria Math" w:cs="Cambria Math"/>
                <w:noProof/>
                <w:lang w:val="en-US" w:eastAsia="en-GB"/>
              </w:rPr>
              <w:t>◯</w:t>
            </w:r>
          </w:p>
        </w:tc>
        <w:tc>
          <w:tcPr>
            <w:tcW w:w="683" w:type="pct"/>
            <w:vAlign w:val="center"/>
          </w:tcPr>
          <w:p w14:paraId="3CF0F2F7" w14:textId="77777777" w:rsidR="00EA1F9F" w:rsidRPr="00EA1F9F" w:rsidRDefault="00EA1F9F" w:rsidP="00A35C8D">
            <w:pPr>
              <w:spacing w:after="120"/>
              <w:ind w:firstLine="0"/>
              <w:jc w:val="center"/>
              <w:rPr>
                <w:rFonts w:ascii="Cambria Math" w:hAnsi="Cambria Math" w:cs="Cambria Math"/>
                <w:noProof/>
                <w:sz w:val="28"/>
                <w:szCs w:val="28"/>
                <w:lang w:val="en-US" w:eastAsia="en-GB"/>
              </w:rPr>
            </w:pPr>
            <w:r w:rsidRPr="00EA1F9F">
              <w:rPr>
                <w:rFonts w:ascii="Cambria Math" w:hAnsi="Cambria Math" w:cs="Cambria Math"/>
                <w:noProof/>
                <w:sz w:val="28"/>
                <w:szCs w:val="28"/>
                <w:lang w:val="en-US" w:eastAsia="en-GB"/>
              </w:rPr>
              <w:t>◐</w:t>
            </w:r>
          </w:p>
        </w:tc>
        <w:tc>
          <w:tcPr>
            <w:tcW w:w="487" w:type="pct"/>
          </w:tcPr>
          <w:p w14:paraId="02A5BB96" w14:textId="77777777" w:rsidR="00EA1F9F" w:rsidRPr="00EA1F9F" w:rsidRDefault="00EA1F9F" w:rsidP="00A35C8D">
            <w:pPr>
              <w:spacing w:after="120"/>
              <w:ind w:firstLine="0"/>
              <w:jc w:val="center"/>
              <w:rPr>
                <w:rFonts w:ascii="Cambria Math" w:hAnsi="Cambria Math" w:cs="Cambria Math"/>
                <w:noProof/>
                <w:lang w:val="en-US" w:eastAsia="en-GB"/>
              </w:rPr>
            </w:pPr>
            <w:r w:rsidRPr="00EA1F9F">
              <w:rPr>
                <w:rFonts w:ascii="Cambria Math" w:hAnsi="Cambria Math" w:cs="Cambria Math"/>
                <w:noProof/>
                <w:lang w:val="en-US" w:eastAsia="en-GB"/>
              </w:rPr>
              <w:t>◯</w:t>
            </w:r>
          </w:p>
        </w:tc>
        <w:tc>
          <w:tcPr>
            <w:tcW w:w="515" w:type="pct"/>
          </w:tcPr>
          <w:p w14:paraId="2B1A1268" w14:textId="77777777" w:rsidR="00EA1F9F" w:rsidRPr="00EA1F9F" w:rsidRDefault="00EA1F9F" w:rsidP="00A35C8D">
            <w:pPr>
              <w:spacing w:after="120"/>
              <w:ind w:firstLine="0"/>
              <w:jc w:val="center"/>
              <w:rPr>
                <w:rFonts w:ascii="Cambria Math" w:hAnsi="Cambria Math" w:cs="Cambria Math"/>
                <w:noProof/>
                <w:lang w:val="en-US" w:eastAsia="en-GB"/>
              </w:rPr>
            </w:pPr>
            <w:r w:rsidRPr="00EA1F9F">
              <w:rPr>
                <w:rFonts w:ascii="Cambria Math" w:hAnsi="Cambria Math" w:cs="Cambria Math"/>
                <w:noProof/>
                <w:lang w:val="en-US" w:eastAsia="en-GB"/>
              </w:rPr>
              <w:t>◯</w:t>
            </w:r>
          </w:p>
        </w:tc>
        <w:tc>
          <w:tcPr>
            <w:tcW w:w="639" w:type="pct"/>
            <w:vAlign w:val="center"/>
          </w:tcPr>
          <w:p w14:paraId="2240DA01" w14:textId="77777777" w:rsidR="00EA1F9F" w:rsidRPr="00EA1F9F" w:rsidRDefault="00EA1F9F" w:rsidP="00A35C8D">
            <w:pPr>
              <w:spacing w:after="120"/>
              <w:ind w:firstLine="0"/>
              <w:jc w:val="center"/>
              <w:rPr>
                <w:rFonts w:ascii="Cambria Math" w:hAnsi="Cambria Math" w:cs="Cambria Math"/>
                <w:noProof/>
                <w:sz w:val="28"/>
                <w:szCs w:val="28"/>
                <w:lang w:val="en-US" w:eastAsia="en-GB"/>
              </w:rPr>
            </w:pPr>
            <w:r w:rsidRPr="00EA1F9F">
              <w:rPr>
                <w:rFonts w:ascii="Cambria Math" w:hAnsi="Cambria Math" w:cs="Cambria Math"/>
                <w:noProof/>
                <w:sz w:val="28"/>
                <w:szCs w:val="28"/>
                <w:lang w:val="en-US" w:eastAsia="en-GB"/>
              </w:rPr>
              <w:t>◐</w:t>
            </w:r>
          </w:p>
        </w:tc>
        <w:tc>
          <w:tcPr>
            <w:tcW w:w="512" w:type="pct"/>
          </w:tcPr>
          <w:p w14:paraId="2CF82803" w14:textId="77777777" w:rsidR="00EA1F9F" w:rsidRPr="00EA1F9F" w:rsidRDefault="00EA1F9F" w:rsidP="00A35C8D">
            <w:pPr>
              <w:spacing w:after="120"/>
              <w:ind w:firstLine="0"/>
              <w:jc w:val="center"/>
              <w:rPr>
                <w:rFonts w:ascii="Cambria Math" w:hAnsi="Cambria Math" w:cs="Cambria Math"/>
                <w:noProof/>
                <w:lang w:val="en-US" w:eastAsia="en-GB"/>
              </w:rPr>
            </w:pPr>
            <w:r w:rsidRPr="00EA1F9F">
              <w:rPr>
                <w:rFonts w:ascii="Segoe UI Emoji" w:hAnsi="Segoe UI Emoji" w:cs="Segoe UI Emoji"/>
                <w:noProof/>
                <w:lang w:val="en-US" w:eastAsia="en-GB"/>
              </w:rPr>
              <w:t>⚫</w:t>
            </w:r>
          </w:p>
        </w:tc>
      </w:tr>
      <w:tr w:rsidR="00EA1F9F" w:rsidRPr="00EA1F9F" w14:paraId="43300388" w14:textId="77777777" w:rsidTr="00A35C8D">
        <w:trPr>
          <w:jc w:val="center"/>
        </w:trPr>
        <w:tc>
          <w:tcPr>
            <w:tcW w:w="391" w:type="pct"/>
            <w:vMerge/>
          </w:tcPr>
          <w:p w14:paraId="45281A92" w14:textId="77777777" w:rsidR="00EA1F9F" w:rsidRPr="00EA1F9F" w:rsidRDefault="00EA1F9F" w:rsidP="00EA1F9F">
            <w:pPr>
              <w:spacing w:after="120"/>
              <w:rPr>
                <w:noProof/>
                <w:lang w:val="en-US" w:eastAsia="en-GB"/>
              </w:rPr>
            </w:pPr>
          </w:p>
        </w:tc>
        <w:tc>
          <w:tcPr>
            <w:tcW w:w="718" w:type="pct"/>
          </w:tcPr>
          <w:p w14:paraId="2E903B0A" w14:textId="77777777" w:rsidR="00EA1F9F" w:rsidRPr="00EA1F9F" w:rsidRDefault="00EA1F9F" w:rsidP="00A35C8D">
            <w:pPr>
              <w:spacing w:after="120"/>
              <w:ind w:firstLine="0"/>
              <w:rPr>
                <w:noProof/>
                <w:lang w:val="en-US" w:eastAsia="en-GB"/>
              </w:rPr>
            </w:pPr>
            <w:r w:rsidRPr="00EA1F9F">
              <w:rPr>
                <w:noProof/>
                <w:lang w:val="en-US" w:eastAsia="en-GB"/>
              </w:rPr>
              <w:t>Tepco</w:t>
            </w:r>
          </w:p>
        </w:tc>
        <w:tc>
          <w:tcPr>
            <w:tcW w:w="514" w:type="pct"/>
          </w:tcPr>
          <w:p w14:paraId="6E35CCF7" w14:textId="77777777" w:rsidR="00EA1F9F" w:rsidRPr="00EA1F9F" w:rsidRDefault="00EA1F9F" w:rsidP="00A35C8D">
            <w:pPr>
              <w:spacing w:after="120"/>
              <w:ind w:firstLine="0"/>
              <w:jc w:val="center"/>
              <w:rPr>
                <w:noProof/>
                <w:lang w:val="en-US" w:eastAsia="en-GB"/>
              </w:rPr>
            </w:pPr>
            <w:r w:rsidRPr="00EA1F9F">
              <w:rPr>
                <w:rFonts w:ascii="Cambria Math" w:hAnsi="Cambria Math" w:cs="Cambria Math"/>
                <w:noProof/>
                <w:lang w:val="en-US" w:eastAsia="en-GB"/>
              </w:rPr>
              <w:t>◯</w:t>
            </w:r>
          </w:p>
        </w:tc>
        <w:tc>
          <w:tcPr>
            <w:tcW w:w="541" w:type="pct"/>
          </w:tcPr>
          <w:p w14:paraId="210513DF" w14:textId="77777777" w:rsidR="00EA1F9F" w:rsidRPr="00EA1F9F" w:rsidRDefault="00EA1F9F" w:rsidP="00A35C8D">
            <w:pPr>
              <w:spacing w:after="120"/>
              <w:ind w:firstLine="0"/>
              <w:jc w:val="center"/>
              <w:rPr>
                <w:rFonts w:ascii="Cambria Math" w:hAnsi="Cambria Math" w:cs="Cambria Math"/>
                <w:noProof/>
                <w:lang w:val="en-US" w:eastAsia="en-GB"/>
              </w:rPr>
            </w:pPr>
            <w:r w:rsidRPr="00EA1F9F">
              <w:rPr>
                <w:rFonts w:ascii="Cambria Math" w:hAnsi="Cambria Math" w:cs="Cambria Math"/>
                <w:noProof/>
                <w:lang w:val="en-US" w:eastAsia="en-GB"/>
              </w:rPr>
              <w:t>◯</w:t>
            </w:r>
          </w:p>
        </w:tc>
        <w:tc>
          <w:tcPr>
            <w:tcW w:w="683" w:type="pct"/>
          </w:tcPr>
          <w:p w14:paraId="5AD81A77" w14:textId="77777777" w:rsidR="00EA1F9F" w:rsidRPr="00EA1F9F" w:rsidRDefault="00EA1F9F" w:rsidP="00A35C8D">
            <w:pPr>
              <w:spacing w:after="120"/>
              <w:ind w:firstLine="0"/>
              <w:jc w:val="center"/>
              <w:rPr>
                <w:rFonts w:ascii="Cambria Math" w:hAnsi="Cambria Math" w:cs="Cambria Math"/>
                <w:noProof/>
                <w:lang w:val="en-US" w:eastAsia="en-GB"/>
              </w:rPr>
            </w:pPr>
            <w:r w:rsidRPr="00EA1F9F">
              <w:rPr>
                <w:rFonts w:ascii="Cambria Math" w:hAnsi="Cambria Math" w:cs="Cambria Math"/>
                <w:noProof/>
                <w:lang w:val="en-US" w:eastAsia="en-GB"/>
              </w:rPr>
              <w:t>◯</w:t>
            </w:r>
          </w:p>
        </w:tc>
        <w:tc>
          <w:tcPr>
            <w:tcW w:w="487" w:type="pct"/>
          </w:tcPr>
          <w:p w14:paraId="2F7C39DF" w14:textId="77777777" w:rsidR="00EA1F9F" w:rsidRPr="00EA1F9F" w:rsidRDefault="00EA1F9F" w:rsidP="00A35C8D">
            <w:pPr>
              <w:spacing w:after="120"/>
              <w:ind w:firstLine="0"/>
              <w:jc w:val="center"/>
              <w:rPr>
                <w:rFonts w:ascii="Cambria Math" w:hAnsi="Cambria Math" w:cs="Cambria Math"/>
                <w:noProof/>
                <w:lang w:val="en-US" w:eastAsia="en-GB"/>
              </w:rPr>
            </w:pPr>
            <w:r w:rsidRPr="00EA1F9F">
              <w:rPr>
                <w:rFonts w:ascii="Segoe UI Emoji" w:hAnsi="Segoe UI Emoji" w:cs="Segoe UI Emoji"/>
                <w:noProof/>
                <w:lang w:val="en-US" w:eastAsia="en-GB"/>
              </w:rPr>
              <w:t>⚫</w:t>
            </w:r>
          </w:p>
        </w:tc>
        <w:tc>
          <w:tcPr>
            <w:tcW w:w="515" w:type="pct"/>
            <w:vAlign w:val="center"/>
          </w:tcPr>
          <w:p w14:paraId="4BC4F667" w14:textId="77777777" w:rsidR="00EA1F9F" w:rsidRPr="00EA1F9F" w:rsidRDefault="00EA1F9F" w:rsidP="00A35C8D">
            <w:pPr>
              <w:spacing w:after="120"/>
              <w:ind w:firstLine="0"/>
              <w:jc w:val="center"/>
              <w:rPr>
                <w:rFonts w:ascii="Cambria Math" w:hAnsi="Cambria Math" w:cs="Cambria Math"/>
                <w:noProof/>
                <w:sz w:val="28"/>
                <w:szCs w:val="28"/>
                <w:lang w:val="en-US" w:eastAsia="en-GB"/>
              </w:rPr>
            </w:pPr>
            <w:r w:rsidRPr="00EA1F9F">
              <w:rPr>
                <w:rFonts w:ascii="Cambria Math" w:hAnsi="Cambria Math" w:cs="Cambria Math"/>
                <w:noProof/>
                <w:sz w:val="28"/>
                <w:szCs w:val="28"/>
                <w:lang w:val="en-US" w:eastAsia="en-GB"/>
              </w:rPr>
              <w:t>◐</w:t>
            </w:r>
          </w:p>
        </w:tc>
        <w:tc>
          <w:tcPr>
            <w:tcW w:w="639" w:type="pct"/>
            <w:vAlign w:val="center"/>
          </w:tcPr>
          <w:p w14:paraId="5E2DB7D1" w14:textId="77777777" w:rsidR="00EA1F9F" w:rsidRPr="00EA1F9F" w:rsidRDefault="00EA1F9F" w:rsidP="00A35C8D">
            <w:pPr>
              <w:spacing w:after="120"/>
              <w:ind w:firstLine="0"/>
              <w:jc w:val="center"/>
              <w:rPr>
                <w:rFonts w:ascii="Cambria Math" w:hAnsi="Cambria Math" w:cs="Cambria Math"/>
                <w:noProof/>
                <w:sz w:val="28"/>
                <w:szCs w:val="28"/>
                <w:lang w:val="en-US" w:eastAsia="en-GB"/>
              </w:rPr>
            </w:pPr>
            <w:r w:rsidRPr="00EA1F9F">
              <w:rPr>
                <w:rFonts w:ascii="Cambria Math" w:hAnsi="Cambria Math" w:cs="Cambria Math"/>
                <w:noProof/>
                <w:sz w:val="28"/>
                <w:szCs w:val="28"/>
                <w:lang w:val="en-US" w:eastAsia="en-GB"/>
              </w:rPr>
              <w:t>◐</w:t>
            </w:r>
          </w:p>
        </w:tc>
        <w:tc>
          <w:tcPr>
            <w:tcW w:w="512" w:type="pct"/>
          </w:tcPr>
          <w:p w14:paraId="1AF1A412" w14:textId="77777777" w:rsidR="00EA1F9F" w:rsidRPr="00EA1F9F" w:rsidRDefault="00EA1F9F" w:rsidP="00A35C8D">
            <w:pPr>
              <w:spacing w:after="120"/>
              <w:ind w:firstLine="0"/>
              <w:jc w:val="center"/>
              <w:rPr>
                <w:rFonts w:ascii="Cambria Math" w:hAnsi="Cambria Math" w:cs="Cambria Math"/>
                <w:noProof/>
                <w:lang w:val="en-US" w:eastAsia="en-GB"/>
              </w:rPr>
            </w:pPr>
            <w:r w:rsidRPr="00EA1F9F">
              <w:rPr>
                <w:rFonts w:ascii="Cambria Math" w:hAnsi="Cambria Math" w:cs="Cambria Math"/>
                <w:noProof/>
                <w:lang w:val="en-US" w:eastAsia="en-GB"/>
              </w:rPr>
              <w:t>◯</w:t>
            </w:r>
          </w:p>
        </w:tc>
      </w:tr>
      <w:tr w:rsidR="00EA1F9F" w:rsidRPr="00EA1F9F" w14:paraId="367BCA42" w14:textId="77777777" w:rsidTr="00A35C8D">
        <w:trPr>
          <w:jc w:val="center"/>
        </w:trPr>
        <w:tc>
          <w:tcPr>
            <w:tcW w:w="391" w:type="pct"/>
            <w:vMerge/>
          </w:tcPr>
          <w:p w14:paraId="24044CB4" w14:textId="77777777" w:rsidR="00EA1F9F" w:rsidRPr="00EA1F9F" w:rsidRDefault="00EA1F9F" w:rsidP="00EA1F9F">
            <w:pPr>
              <w:spacing w:after="120"/>
              <w:rPr>
                <w:noProof/>
                <w:lang w:val="en-US" w:eastAsia="en-GB"/>
              </w:rPr>
            </w:pPr>
          </w:p>
        </w:tc>
        <w:tc>
          <w:tcPr>
            <w:tcW w:w="718" w:type="pct"/>
          </w:tcPr>
          <w:p w14:paraId="53FF5621" w14:textId="77777777" w:rsidR="00EA1F9F" w:rsidRPr="00EA1F9F" w:rsidRDefault="00EA1F9F" w:rsidP="00A35C8D">
            <w:pPr>
              <w:spacing w:after="120"/>
              <w:ind w:firstLine="0"/>
              <w:rPr>
                <w:noProof/>
                <w:lang w:val="en-US" w:eastAsia="en-GB"/>
              </w:rPr>
            </w:pPr>
            <w:r w:rsidRPr="00EA1F9F">
              <w:rPr>
                <w:noProof/>
                <w:lang w:val="en-US" w:eastAsia="en-GB"/>
              </w:rPr>
              <w:t>Eskom</w:t>
            </w:r>
          </w:p>
        </w:tc>
        <w:tc>
          <w:tcPr>
            <w:tcW w:w="514" w:type="pct"/>
          </w:tcPr>
          <w:p w14:paraId="0598076F" w14:textId="77777777" w:rsidR="00EA1F9F" w:rsidRPr="00EA1F9F" w:rsidRDefault="00EA1F9F" w:rsidP="00A35C8D">
            <w:pPr>
              <w:spacing w:after="120"/>
              <w:ind w:firstLine="0"/>
              <w:jc w:val="center"/>
              <w:rPr>
                <w:noProof/>
                <w:lang w:val="en-US" w:eastAsia="en-GB"/>
              </w:rPr>
            </w:pPr>
            <w:r w:rsidRPr="00EA1F9F">
              <w:rPr>
                <w:rFonts w:ascii="Cambria Math" w:hAnsi="Cambria Math" w:cs="Cambria Math"/>
                <w:noProof/>
                <w:lang w:val="en-US" w:eastAsia="en-GB"/>
              </w:rPr>
              <w:t>◯</w:t>
            </w:r>
          </w:p>
        </w:tc>
        <w:tc>
          <w:tcPr>
            <w:tcW w:w="541" w:type="pct"/>
          </w:tcPr>
          <w:p w14:paraId="3461DFD4" w14:textId="77777777" w:rsidR="00EA1F9F" w:rsidRPr="00EA1F9F" w:rsidRDefault="00EA1F9F" w:rsidP="00A35C8D">
            <w:pPr>
              <w:spacing w:after="120"/>
              <w:ind w:firstLine="0"/>
              <w:jc w:val="center"/>
              <w:rPr>
                <w:rFonts w:ascii="Cambria Math" w:hAnsi="Cambria Math" w:cs="Cambria Math"/>
                <w:noProof/>
                <w:lang w:val="en-US" w:eastAsia="en-GB"/>
              </w:rPr>
            </w:pPr>
            <w:r w:rsidRPr="00EA1F9F">
              <w:rPr>
                <w:rFonts w:ascii="Cambria Math" w:hAnsi="Cambria Math" w:cs="Cambria Math"/>
                <w:noProof/>
                <w:lang w:val="en-US" w:eastAsia="en-GB"/>
              </w:rPr>
              <w:t>◯</w:t>
            </w:r>
          </w:p>
        </w:tc>
        <w:tc>
          <w:tcPr>
            <w:tcW w:w="683" w:type="pct"/>
          </w:tcPr>
          <w:p w14:paraId="29D48BD4" w14:textId="77777777" w:rsidR="00EA1F9F" w:rsidRPr="00EA1F9F" w:rsidRDefault="00EA1F9F" w:rsidP="00A35C8D">
            <w:pPr>
              <w:spacing w:after="120"/>
              <w:ind w:firstLine="0"/>
              <w:jc w:val="center"/>
              <w:rPr>
                <w:rFonts w:ascii="Cambria Math" w:hAnsi="Cambria Math" w:cs="Cambria Math"/>
                <w:noProof/>
                <w:lang w:val="en-US" w:eastAsia="en-GB"/>
              </w:rPr>
            </w:pPr>
            <w:r w:rsidRPr="00EA1F9F">
              <w:rPr>
                <w:rFonts w:ascii="Cambria Math" w:hAnsi="Cambria Math" w:cs="Cambria Math"/>
                <w:noProof/>
                <w:lang w:val="en-US" w:eastAsia="en-GB"/>
              </w:rPr>
              <w:t>◯</w:t>
            </w:r>
          </w:p>
        </w:tc>
        <w:tc>
          <w:tcPr>
            <w:tcW w:w="487" w:type="pct"/>
          </w:tcPr>
          <w:p w14:paraId="5A050640" w14:textId="77777777" w:rsidR="00EA1F9F" w:rsidRPr="00EA1F9F" w:rsidRDefault="00EA1F9F" w:rsidP="00A35C8D">
            <w:pPr>
              <w:spacing w:after="120"/>
              <w:ind w:firstLine="0"/>
              <w:jc w:val="center"/>
              <w:rPr>
                <w:rFonts w:ascii="Cambria Math" w:hAnsi="Cambria Math" w:cs="Cambria Math"/>
                <w:noProof/>
                <w:lang w:val="en-US" w:eastAsia="en-GB"/>
              </w:rPr>
            </w:pPr>
            <w:r w:rsidRPr="00EA1F9F">
              <w:rPr>
                <w:rFonts w:ascii="Segoe UI Emoji" w:hAnsi="Segoe UI Emoji" w:cs="Segoe UI Emoji"/>
                <w:noProof/>
                <w:lang w:val="en-US" w:eastAsia="en-GB"/>
              </w:rPr>
              <w:t>⚫</w:t>
            </w:r>
          </w:p>
        </w:tc>
        <w:tc>
          <w:tcPr>
            <w:tcW w:w="515" w:type="pct"/>
            <w:vAlign w:val="center"/>
          </w:tcPr>
          <w:p w14:paraId="0DCDB4F9" w14:textId="77777777" w:rsidR="00EA1F9F" w:rsidRPr="00EA1F9F" w:rsidRDefault="00EA1F9F" w:rsidP="00A35C8D">
            <w:pPr>
              <w:spacing w:after="120"/>
              <w:ind w:firstLine="0"/>
              <w:jc w:val="center"/>
              <w:rPr>
                <w:rFonts w:ascii="Segoe UI Emoji" w:hAnsi="Segoe UI Emoji" w:cs="Segoe UI Emoji"/>
                <w:noProof/>
                <w:sz w:val="28"/>
                <w:szCs w:val="28"/>
                <w:lang w:val="en-US" w:eastAsia="en-GB"/>
              </w:rPr>
            </w:pPr>
            <w:r w:rsidRPr="00EA1F9F">
              <w:rPr>
                <w:rFonts w:ascii="Segoe UI Emoji" w:hAnsi="Segoe UI Emoji" w:cs="Segoe UI Emoji"/>
                <w:noProof/>
                <w:sz w:val="28"/>
                <w:szCs w:val="28"/>
                <w:lang w:val="en-US" w:eastAsia="en-GB"/>
              </w:rPr>
              <w:t>◐</w:t>
            </w:r>
          </w:p>
        </w:tc>
        <w:tc>
          <w:tcPr>
            <w:tcW w:w="639" w:type="pct"/>
            <w:vAlign w:val="center"/>
          </w:tcPr>
          <w:p w14:paraId="27A46144" w14:textId="77777777" w:rsidR="00EA1F9F" w:rsidRPr="00EA1F9F" w:rsidRDefault="00EA1F9F" w:rsidP="00A35C8D">
            <w:pPr>
              <w:spacing w:after="120"/>
              <w:ind w:firstLine="0"/>
              <w:jc w:val="center"/>
              <w:rPr>
                <w:rFonts w:ascii="Cambria Math" w:hAnsi="Cambria Math" w:cs="Cambria Math"/>
                <w:noProof/>
                <w:sz w:val="28"/>
                <w:szCs w:val="28"/>
                <w:lang w:val="en-US" w:eastAsia="en-GB"/>
              </w:rPr>
            </w:pPr>
            <w:r w:rsidRPr="00EA1F9F">
              <w:rPr>
                <w:rFonts w:ascii="Cambria Math" w:hAnsi="Cambria Math" w:cs="Cambria Math"/>
                <w:noProof/>
                <w:sz w:val="28"/>
                <w:szCs w:val="28"/>
                <w:lang w:val="en-US" w:eastAsia="en-GB"/>
              </w:rPr>
              <w:t>◐</w:t>
            </w:r>
          </w:p>
        </w:tc>
        <w:tc>
          <w:tcPr>
            <w:tcW w:w="512" w:type="pct"/>
          </w:tcPr>
          <w:p w14:paraId="68343901" w14:textId="77777777" w:rsidR="00EA1F9F" w:rsidRPr="00EA1F9F" w:rsidRDefault="00EA1F9F" w:rsidP="00A35C8D">
            <w:pPr>
              <w:spacing w:after="120"/>
              <w:ind w:firstLine="0"/>
              <w:jc w:val="center"/>
              <w:rPr>
                <w:rFonts w:ascii="Cambria Math" w:hAnsi="Cambria Math" w:cs="Cambria Math"/>
                <w:noProof/>
                <w:lang w:val="en-US" w:eastAsia="en-GB"/>
              </w:rPr>
            </w:pPr>
            <w:r w:rsidRPr="00EA1F9F">
              <w:rPr>
                <w:rFonts w:ascii="Cambria Math" w:hAnsi="Cambria Math" w:cs="Cambria Math"/>
                <w:noProof/>
                <w:lang w:val="en-US" w:eastAsia="en-GB"/>
              </w:rPr>
              <w:t>◯</w:t>
            </w:r>
          </w:p>
        </w:tc>
      </w:tr>
    </w:tbl>
    <w:p w14:paraId="460B1939" w14:textId="77777777" w:rsidR="00EA1F9F" w:rsidRPr="00EA1F9F" w:rsidRDefault="00EA1F9F" w:rsidP="00EA1F9F">
      <w:pPr>
        <w:spacing w:after="120"/>
        <w:ind w:firstLine="431"/>
        <w:jc w:val="both"/>
        <w:rPr>
          <w:i/>
          <w:iCs/>
          <w:noProof/>
          <w:sz w:val="24"/>
          <w:szCs w:val="24"/>
          <w:lang w:val="en-US" w:eastAsia="en-GB"/>
        </w:rPr>
      </w:pPr>
      <w:r w:rsidRPr="00EA1F9F">
        <w:rPr>
          <w:i/>
          <w:iCs/>
          <w:noProof/>
          <w:sz w:val="24"/>
          <w:szCs w:val="24"/>
          <w:lang w:val="en-US" w:eastAsia="en-GB"/>
        </w:rPr>
        <w:t xml:space="preserve">Legend: </w:t>
      </w:r>
      <w:r w:rsidRPr="00EA1F9F">
        <w:rPr>
          <w:rFonts w:ascii="Cambria Math" w:hAnsi="Cambria Math" w:cs="Cambria Math"/>
          <w:noProof/>
          <w:sz w:val="24"/>
          <w:szCs w:val="24"/>
          <w:lang w:val="en-US" w:eastAsia="en-GB"/>
        </w:rPr>
        <w:t>◯</w:t>
      </w:r>
      <w:r w:rsidRPr="00EA1F9F">
        <w:rPr>
          <w:i/>
          <w:iCs/>
          <w:noProof/>
          <w:sz w:val="24"/>
          <w:szCs w:val="24"/>
          <w:lang w:val="en-US" w:eastAsia="en-GB"/>
        </w:rPr>
        <w:t xml:space="preserve"> No evidence of investing; </w:t>
      </w:r>
      <w:r w:rsidRPr="00EA1F9F">
        <w:rPr>
          <w:rFonts w:ascii="Cambria Math" w:hAnsi="Cambria Math" w:cs="Cambria Math"/>
          <w:noProof/>
          <w:sz w:val="24"/>
          <w:szCs w:val="24"/>
          <w:lang w:val="en-US" w:eastAsia="en-GB"/>
        </w:rPr>
        <w:t>◐</w:t>
      </w:r>
      <w:r w:rsidRPr="00EA1F9F">
        <w:rPr>
          <w:i/>
          <w:iCs/>
          <w:noProof/>
          <w:sz w:val="24"/>
          <w:szCs w:val="24"/>
          <w:lang w:val="en-US" w:eastAsia="en-GB"/>
        </w:rPr>
        <w:t xml:space="preserve"> Testing; </w:t>
      </w:r>
      <w:r w:rsidRPr="00EA1F9F">
        <w:rPr>
          <w:rFonts w:ascii="Segoe UI Emoji" w:hAnsi="Segoe UI Emoji" w:cs="Segoe UI Emoji"/>
          <w:noProof/>
          <w:sz w:val="24"/>
          <w:szCs w:val="24"/>
          <w:lang w:val="en-US" w:eastAsia="en-GB"/>
        </w:rPr>
        <w:t>⚫</w:t>
      </w:r>
      <w:r w:rsidRPr="00EA1F9F">
        <w:rPr>
          <w:i/>
          <w:iCs/>
          <w:noProof/>
          <w:sz w:val="24"/>
          <w:szCs w:val="24"/>
          <w:lang w:val="en-US" w:eastAsia="en-GB"/>
        </w:rPr>
        <w:t xml:space="preserve"> Investing</w:t>
      </w:r>
    </w:p>
    <w:p w14:paraId="32D371FB" w14:textId="0FE92F07" w:rsidR="00EA1F9F" w:rsidRPr="00EA1F9F" w:rsidRDefault="001332C5" w:rsidP="00EA1F9F">
      <w:pPr>
        <w:keepNext/>
        <w:spacing w:before="240" w:after="120"/>
        <w:ind w:left="432" w:hanging="432"/>
        <w:jc w:val="both"/>
        <w:outlineLvl w:val="0"/>
        <w:rPr>
          <w:b/>
          <w:bCs/>
          <w:caps/>
          <w:noProof/>
          <w:sz w:val="24"/>
          <w:szCs w:val="24"/>
          <w:lang w:val="en-US" w:eastAsia="en-GB"/>
        </w:rPr>
      </w:pPr>
      <w:r>
        <w:rPr>
          <w:b/>
          <w:bCs/>
          <w:caps/>
          <w:noProof/>
          <w:sz w:val="24"/>
          <w:szCs w:val="24"/>
          <w:lang w:val="en-US" w:eastAsia="en-GB"/>
        </w:rPr>
        <w:t xml:space="preserve">5 </w:t>
      </w:r>
      <w:r w:rsidR="00EA1F9F" w:rsidRPr="00EA1F9F">
        <w:rPr>
          <w:b/>
          <w:bCs/>
          <w:caps/>
          <w:noProof/>
          <w:sz w:val="24"/>
          <w:szCs w:val="24"/>
          <w:lang w:val="en-US" w:eastAsia="en-GB"/>
        </w:rPr>
        <w:t>Conclusion</w:t>
      </w:r>
    </w:p>
    <w:p w14:paraId="74C86E97" w14:textId="77777777" w:rsidR="00EA1F9F" w:rsidRPr="00EA1F9F" w:rsidRDefault="00EA1F9F" w:rsidP="00EA1F9F">
      <w:pPr>
        <w:spacing w:after="120"/>
        <w:ind w:firstLine="431"/>
        <w:jc w:val="both"/>
        <w:rPr>
          <w:noProof/>
          <w:sz w:val="24"/>
          <w:szCs w:val="24"/>
          <w:shd w:val="clear" w:color="auto" w:fill="FFFFFF"/>
          <w:lang w:val="en-US" w:eastAsia="en-GB"/>
        </w:rPr>
      </w:pPr>
      <w:r w:rsidRPr="00EA1F9F">
        <w:rPr>
          <w:noProof/>
          <w:sz w:val="24"/>
          <w:szCs w:val="24"/>
          <w:shd w:val="clear" w:color="auto" w:fill="FFFFFF"/>
          <w:lang w:val="en-US" w:eastAsia="en-GB"/>
        </w:rPr>
        <w:t xml:space="preserve">The number of countries announcing pledges to achieve net zero emissions over the coming decades continues to grow. But the pledges by governments to date – even if fully achieved – fall well short of what is required to bring global energy-related carbon dioxide emissions to net zero by 2050 and give the world an even chance of limiting the global temperature rise to 1.5 °C.  </w:t>
      </w:r>
    </w:p>
    <w:p w14:paraId="484790D7" w14:textId="77777777" w:rsidR="00EA1F9F" w:rsidRPr="00EA1F9F" w:rsidRDefault="00EA1F9F" w:rsidP="00EA1F9F">
      <w:pPr>
        <w:spacing w:after="120"/>
        <w:ind w:firstLine="431"/>
        <w:jc w:val="both"/>
        <w:rPr>
          <w:noProof/>
          <w:sz w:val="24"/>
          <w:szCs w:val="24"/>
          <w:shd w:val="clear" w:color="auto" w:fill="FFFFFF"/>
          <w:lang w:val="en-US" w:eastAsia="en-GB"/>
        </w:rPr>
      </w:pPr>
      <w:r w:rsidRPr="00EA1F9F">
        <w:rPr>
          <w:noProof/>
          <w:sz w:val="24"/>
          <w:szCs w:val="24"/>
          <w:shd w:val="clear" w:color="auto" w:fill="FFFFFF"/>
          <w:lang w:val="en-US" w:eastAsia="en-GB"/>
        </w:rPr>
        <w:t>Based on the companies’ decarbonization initiatives, we can conclude that Europe and US are phasing out coal and investing into renewables and low carbon technologies, Japan is focusing on green hydrogen and ammonia solutions, where India, Africa and China still need to push the coal phase out strategy further and focus on investing into low carbon generation.</w:t>
      </w:r>
    </w:p>
    <w:p w14:paraId="7C8C56DA" w14:textId="77777777" w:rsidR="00EA1F9F" w:rsidRPr="00EA1F9F" w:rsidRDefault="00EA1F9F" w:rsidP="00EA1F9F">
      <w:pPr>
        <w:spacing w:after="120"/>
        <w:ind w:firstLine="431"/>
        <w:jc w:val="both"/>
        <w:rPr>
          <w:noProof/>
          <w:sz w:val="24"/>
          <w:szCs w:val="24"/>
          <w:shd w:val="clear" w:color="auto" w:fill="FFFFFF"/>
          <w:lang w:val="en-US" w:eastAsia="en-GB"/>
        </w:rPr>
      </w:pPr>
      <w:r w:rsidRPr="00EA1F9F">
        <w:rPr>
          <w:noProof/>
          <w:sz w:val="24"/>
          <w:szCs w:val="24"/>
          <w:shd w:val="clear" w:color="auto" w:fill="FFFFFF"/>
          <w:lang w:val="en-US" w:eastAsia="en-GB"/>
        </w:rPr>
        <w:t xml:space="preserve">Moreover, with the impact of current energy crises and soaring energy prices, power utilities (especially EU based), will need to accelerate the phase out of their coal and lignite assets and decomission all their fossil fueled assets by 2050 in order to meet the requirements of the Paris Agreement and save the planet from ireversable climate catastrophe. With coal phasing out in 2030 in most EU countries, and gas being a costly option, investments into renewables and low carb technologies will be inevitable. </w:t>
      </w:r>
    </w:p>
    <w:p w14:paraId="2EECE5BA" w14:textId="2EE5490B" w:rsidR="00EA1F9F" w:rsidRPr="00EA1F9F" w:rsidRDefault="001332C5" w:rsidP="00EA1F9F">
      <w:pPr>
        <w:keepNext/>
        <w:spacing w:before="240" w:after="120"/>
        <w:ind w:left="432" w:hanging="432"/>
        <w:jc w:val="both"/>
        <w:outlineLvl w:val="0"/>
        <w:rPr>
          <w:b/>
          <w:bCs/>
          <w:caps/>
          <w:noProof/>
          <w:sz w:val="24"/>
          <w:szCs w:val="24"/>
          <w:lang w:val="en-US" w:eastAsia="en-GB"/>
        </w:rPr>
      </w:pPr>
      <w:r>
        <w:rPr>
          <w:b/>
          <w:bCs/>
          <w:caps/>
          <w:noProof/>
          <w:sz w:val="24"/>
          <w:szCs w:val="24"/>
          <w:lang w:val="en-US" w:eastAsia="en-GB"/>
        </w:rPr>
        <w:t xml:space="preserve">6 </w:t>
      </w:r>
      <w:r w:rsidR="00EA1F9F" w:rsidRPr="00EA1F9F">
        <w:rPr>
          <w:b/>
          <w:bCs/>
          <w:caps/>
          <w:noProof/>
          <w:sz w:val="24"/>
          <w:szCs w:val="24"/>
          <w:lang w:val="en-US" w:eastAsia="en-GB"/>
        </w:rPr>
        <w:t>References</w:t>
      </w:r>
    </w:p>
    <w:bookmarkStart w:id="2" w:name="_Ref497663497"/>
    <w:p w14:paraId="08A61488" w14:textId="77777777" w:rsidR="001332C5" w:rsidRDefault="00EA1F9F" w:rsidP="00EA1F9F">
      <w:pPr>
        <w:numPr>
          <w:ilvl w:val="0"/>
          <w:numId w:val="3"/>
        </w:numPr>
        <w:spacing w:after="60"/>
        <w:ind w:left="714" w:hanging="357"/>
        <w:jc w:val="both"/>
        <w:rPr>
          <w:noProof/>
          <w:sz w:val="24"/>
          <w:szCs w:val="24"/>
          <w:lang w:val="en-US" w:eastAsia="en-GB"/>
        </w:rPr>
      </w:pPr>
      <w:r w:rsidRPr="00EA1F9F">
        <w:rPr>
          <w:noProof/>
          <w:sz w:val="24"/>
          <w:szCs w:val="24"/>
          <w:lang w:val="en-US" w:eastAsia="en-GB"/>
        </w:rPr>
        <w:fldChar w:fldCharType="begin"/>
      </w:r>
      <w:r w:rsidRPr="00EA1F9F">
        <w:rPr>
          <w:noProof/>
          <w:sz w:val="24"/>
          <w:szCs w:val="24"/>
          <w:lang w:val="en-US" w:eastAsia="en-GB"/>
        </w:rPr>
        <w:instrText xml:space="preserve"> HYPERLINK "https://www.powermag.com/improve-plant-efficiency-and-reduce-co2-emissions-when-firing-high-moisture-coals/" </w:instrText>
      </w:r>
      <w:r w:rsidRPr="00EA1F9F">
        <w:rPr>
          <w:noProof/>
          <w:sz w:val="24"/>
          <w:szCs w:val="24"/>
          <w:lang w:val="en-US" w:eastAsia="en-GB"/>
        </w:rPr>
        <w:fldChar w:fldCharType="separate"/>
      </w:r>
      <w:r w:rsidRPr="00EA1F9F">
        <w:rPr>
          <w:noProof/>
          <w:color w:val="0000FF"/>
          <w:sz w:val="24"/>
          <w:szCs w:val="24"/>
          <w:u w:val="single"/>
          <w:lang w:val="en-US" w:eastAsia="en-GB"/>
        </w:rPr>
        <w:t>Powermag.com</w:t>
      </w:r>
      <w:r w:rsidRPr="00EA1F9F">
        <w:rPr>
          <w:noProof/>
          <w:sz w:val="24"/>
          <w:szCs w:val="24"/>
          <w:lang w:val="en-US" w:eastAsia="en-GB"/>
        </w:rPr>
        <w:fldChar w:fldCharType="end"/>
      </w:r>
      <w:r w:rsidRPr="00EA1F9F">
        <w:rPr>
          <w:noProof/>
          <w:sz w:val="24"/>
          <w:szCs w:val="24"/>
          <w:lang w:val="en-US" w:eastAsia="en-GB"/>
        </w:rPr>
        <w:t xml:space="preserve"> - Improve Plant Efficiency and Reduce CO2 Emissions When Firing High-Moisture Coals, </w:t>
      </w:r>
      <w:bookmarkEnd w:id="2"/>
      <w:r w:rsidRPr="00EA1F9F">
        <w:rPr>
          <w:noProof/>
          <w:sz w:val="24"/>
          <w:szCs w:val="24"/>
          <w:lang w:val="en-US" w:eastAsia="en-GB"/>
        </w:rPr>
        <w:t>01.11.2014</w:t>
      </w:r>
      <w:r w:rsidR="001332C5">
        <w:rPr>
          <w:noProof/>
          <w:sz w:val="24"/>
          <w:szCs w:val="24"/>
          <w:lang w:val="en-US" w:eastAsia="en-GB"/>
        </w:rPr>
        <w:t xml:space="preserve"> </w:t>
      </w:r>
    </w:p>
    <w:p w14:paraId="5135E636" w14:textId="26187040" w:rsidR="00EA1F9F" w:rsidRPr="00EA1F9F" w:rsidRDefault="001332C5" w:rsidP="001332C5">
      <w:pPr>
        <w:spacing w:after="60"/>
        <w:ind w:left="714"/>
        <w:jc w:val="both"/>
        <w:rPr>
          <w:noProof/>
          <w:sz w:val="24"/>
          <w:szCs w:val="24"/>
          <w:lang w:val="en-US" w:eastAsia="en-GB"/>
        </w:rPr>
      </w:pPr>
      <w:r>
        <w:rPr>
          <w:noProof/>
          <w:sz w:val="24"/>
          <w:szCs w:val="24"/>
          <w:lang w:val="en-US" w:eastAsia="en-GB"/>
        </w:rPr>
        <w:t>(</w:t>
      </w:r>
      <w:r w:rsidRPr="001332C5">
        <w:rPr>
          <w:noProof/>
          <w:sz w:val="24"/>
          <w:szCs w:val="24"/>
          <w:lang w:val="en-US" w:eastAsia="en-GB"/>
        </w:rPr>
        <w:t>https://www.powermag.com/improve-plant-efficiency-and-reduce-co2-emissions-when-firing-high-moisture-coals/</w:t>
      </w:r>
      <w:r>
        <w:rPr>
          <w:noProof/>
          <w:sz w:val="24"/>
          <w:szCs w:val="24"/>
          <w:lang w:val="en-US" w:eastAsia="en-GB"/>
        </w:rPr>
        <w:t>)</w:t>
      </w:r>
    </w:p>
    <w:p w14:paraId="1BCD9710" w14:textId="77777777" w:rsidR="00EA1F9F" w:rsidRPr="00EA1F9F" w:rsidRDefault="00EA1F9F" w:rsidP="00EA1F9F">
      <w:pPr>
        <w:numPr>
          <w:ilvl w:val="0"/>
          <w:numId w:val="3"/>
        </w:numPr>
        <w:spacing w:after="60"/>
        <w:ind w:left="714" w:hanging="357"/>
        <w:jc w:val="both"/>
        <w:rPr>
          <w:noProof/>
          <w:sz w:val="24"/>
          <w:szCs w:val="24"/>
          <w:lang w:val="en-US" w:eastAsia="en-GB"/>
        </w:rPr>
      </w:pPr>
      <w:r w:rsidRPr="00EA1F9F">
        <w:rPr>
          <w:noProof/>
          <w:sz w:val="24"/>
          <w:szCs w:val="24"/>
          <w:lang w:val="en-US" w:eastAsia="en-GB"/>
        </w:rPr>
        <w:t>IEA (2014), Emissions Reduction through Upgrade of Coal-Fired Power Plants 2014, OECD/IEA, Paris.</w:t>
      </w:r>
    </w:p>
    <w:p w14:paraId="6A6C00B5" w14:textId="77777777" w:rsidR="001332C5" w:rsidRDefault="00EA1F9F" w:rsidP="00EA1F9F">
      <w:pPr>
        <w:numPr>
          <w:ilvl w:val="0"/>
          <w:numId w:val="3"/>
        </w:numPr>
        <w:spacing w:after="60"/>
        <w:ind w:left="714" w:hanging="357"/>
        <w:jc w:val="both"/>
        <w:rPr>
          <w:noProof/>
          <w:sz w:val="24"/>
          <w:szCs w:val="24"/>
          <w:lang w:val="en-US" w:eastAsia="en-GB"/>
        </w:rPr>
      </w:pPr>
      <w:r w:rsidRPr="00EA1F9F">
        <w:rPr>
          <w:noProof/>
          <w:sz w:val="24"/>
          <w:szCs w:val="24"/>
          <w:lang w:val="en-US" w:eastAsia="en-GB"/>
        </w:rPr>
        <w:t xml:space="preserve">IEA, IRENA, </w:t>
      </w:r>
      <w:hyperlink r:id="rId8" w:history="1">
        <w:r w:rsidRPr="00EA1F9F">
          <w:rPr>
            <w:noProof/>
            <w:color w:val="0000FF"/>
            <w:sz w:val="24"/>
            <w:szCs w:val="24"/>
            <w:u w:val="single"/>
            <w:lang w:val="en-US" w:eastAsia="en-GB"/>
          </w:rPr>
          <w:t>Biomass Co-firing</w:t>
        </w:r>
      </w:hyperlink>
      <w:r w:rsidRPr="00EA1F9F">
        <w:rPr>
          <w:noProof/>
          <w:sz w:val="24"/>
          <w:szCs w:val="24"/>
          <w:lang w:val="en-US" w:eastAsia="en-GB"/>
        </w:rPr>
        <w:t>, January 2013</w:t>
      </w:r>
      <w:r w:rsidR="001332C5">
        <w:rPr>
          <w:noProof/>
          <w:sz w:val="24"/>
          <w:szCs w:val="24"/>
          <w:lang w:val="en-US" w:eastAsia="en-GB"/>
        </w:rPr>
        <w:t xml:space="preserve">, </w:t>
      </w:r>
    </w:p>
    <w:p w14:paraId="3928F470" w14:textId="3AA86D0B" w:rsidR="00EA1F9F" w:rsidRPr="00EA1F9F" w:rsidRDefault="001332C5" w:rsidP="001332C5">
      <w:pPr>
        <w:spacing w:after="60"/>
        <w:ind w:left="714"/>
        <w:jc w:val="both"/>
        <w:rPr>
          <w:noProof/>
          <w:sz w:val="24"/>
          <w:szCs w:val="24"/>
          <w:lang w:val="en-US" w:eastAsia="en-GB"/>
        </w:rPr>
      </w:pPr>
      <w:r>
        <w:rPr>
          <w:noProof/>
          <w:sz w:val="24"/>
          <w:szCs w:val="24"/>
          <w:lang w:val="en-US" w:eastAsia="en-GB"/>
        </w:rPr>
        <w:t>(</w:t>
      </w:r>
      <w:r w:rsidRPr="001332C5">
        <w:rPr>
          <w:noProof/>
          <w:sz w:val="24"/>
          <w:szCs w:val="24"/>
          <w:lang w:val="en-US" w:eastAsia="en-GB"/>
        </w:rPr>
        <w:t>https://irena.org/-/media/Files/IRENA/Agency/Publication/2013/IRENA-ETSAP-Tech-Brief-E21-Biomass-Co-firing.pdf</w:t>
      </w:r>
      <w:r>
        <w:rPr>
          <w:noProof/>
          <w:sz w:val="24"/>
          <w:szCs w:val="24"/>
          <w:lang w:val="en-US" w:eastAsia="en-GB"/>
        </w:rPr>
        <w:t>)</w:t>
      </w:r>
    </w:p>
    <w:p w14:paraId="73364C4B" w14:textId="690DE5B3" w:rsidR="00EA1F9F" w:rsidRDefault="00EA1F9F" w:rsidP="00EA1F9F">
      <w:pPr>
        <w:numPr>
          <w:ilvl w:val="0"/>
          <w:numId w:val="3"/>
        </w:numPr>
        <w:spacing w:after="60"/>
        <w:ind w:left="714" w:hanging="357"/>
        <w:jc w:val="both"/>
        <w:rPr>
          <w:noProof/>
          <w:sz w:val="24"/>
          <w:szCs w:val="24"/>
          <w:lang w:val="en-US" w:eastAsia="en-GB"/>
        </w:rPr>
      </w:pPr>
      <w:r w:rsidRPr="00EA1F9F">
        <w:rPr>
          <w:noProof/>
          <w:sz w:val="24"/>
          <w:szCs w:val="24"/>
          <w:lang w:val="en-US" w:eastAsia="en-GB"/>
        </w:rPr>
        <w:t xml:space="preserve">Stephen H.Crolius, Ammonia Energy Association, </w:t>
      </w:r>
      <w:hyperlink r:id="rId9" w:history="1">
        <w:r w:rsidRPr="00EA1F9F">
          <w:rPr>
            <w:noProof/>
            <w:color w:val="0000FF"/>
            <w:sz w:val="24"/>
            <w:szCs w:val="24"/>
            <w:u w:val="single"/>
            <w:lang w:val="en-US" w:eastAsia="en-GB"/>
          </w:rPr>
          <w:t>The Evolving Context of Ammonia-Coal Co-Firing</w:t>
        </w:r>
      </w:hyperlink>
      <w:r w:rsidRPr="00EA1F9F">
        <w:rPr>
          <w:noProof/>
          <w:sz w:val="24"/>
          <w:szCs w:val="24"/>
          <w:lang w:val="en-US" w:eastAsia="en-GB"/>
        </w:rPr>
        <w:t>, July 2019</w:t>
      </w:r>
    </w:p>
    <w:p w14:paraId="5531FF0F" w14:textId="4F4F2B3B" w:rsidR="001332C5" w:rsidRPr="00EA1F9F" w:rsidRDefault="001332C5" w:rsidP="001332C5">
      <w:pPr>
        <w:spacing w:after="60"/>
        <w:ind w:left="714"/>
        <w:jc w:val="both"/>
        <w:rPr>
          <w:noProof/>
          <w:sz w:val="24"/>
          <w:szCs w:val="24"/>
          <w:lang w:val="en-US" w:eastAsia="en-GB"/>
        </w:rPr>
      </w:pPr>
      <w:r>
        <w:rPr>
          <w:noProof/>
          <w:sz w:val="24"/>
          <w:szCs w:val="24"/>
          <w:lang w:val="en-US" w:eastAsia="en-GB"/>
        </w:rPr>
        <w:t>(</w:t>
      </w:r>
      <w:r w:rsidRPr="001332C5">
        <w:rPr>
          <w:noProof/>
          <w:sz w:val="24"/>
          <w:szCs w:val="24"/>
          <w:lang w:val="en-US" w:eastAsia="en-GB"/>
        </w:rPr>
        <w:t>https://www.ammoniaenergy.org/articles/the-evolving-context-of-ammonia-coal-co-firing/</w:t>
      </w:r>
      <w:r>
        <w:rPr>
          <w:noProof/>
          <w:sz w:val="24"/>
          <w:szCs w:val="24"/>
          <w:lang w:val="en-US" w:eastAsia="en-GB"/>
        </w:rPr>
        <w:t>)</w:t>
      </w:r>
    </w:p>
    <w:p w14:paraId="0519D0C3" w14:textId="78036EF6" w:rsidR="00EA1F9F" w:rsidRPr="001332C5" w:rsidRDefault="00EA1F9F" w:rsidP="00EA1F9F">
      <w:pPr>
        <w:numPr>
          <w:ilvl w:val="0"/>
          <w:numId w:val="3"/>
        </w:numPr>
        <w:spacing w:after="60"/>
        <w:ind w:left="714" w:hanging="357"/>
        <w:jc w:val="both"/>
        <w:rPr>
          <w:noProof/>
          <w:sz w:val="24"/>
          <w:szCs w:val="24"/>
          <w:lang w:val="en-US" w:eastAsia="en-GB"/>
        </w:rPr>
      </w:pPr>
      <w:r w:rsidRPr="00EA1F9F">
        <w:rPr>
          <w:noProof/>
          <w:sz w:val="24"/>
          <w:szCs w:val="24"/>
          <w:lang w:val="en-US" w:eastAsia="en-GB"/>
        </w:rPr>
        <w:lastRenderedPageBreak/>
        <w:t xml:space="preserve">Centre for Research and Technology Hellas – CERTH, </w:t>
      </w:r>
      <w:hyperlink r:id="rId10" w:history="1">
        <w:r w:rsidRPr="00EA1F9F">
          <w:rPr>
            <w:noProof/>
            <w:color w:val="0000FF"/>
            <w:sz w:val="24"/>
            <w:szCs w:val="24"/>
            <w:u w:val="single"/>
            <w:lang w:val="en-US" w:eastAsia="en-GB"/>
          </w:rPr>
          <w:t>Coal Conversions</w:t>
        </w:r>
      </w:hyperlink>
    </w:p>
    <w:p w14:paraId="36C4DB37" w14:textId="23B33CB2" w:rsidR="001332C5" w:rsidRPr="00EA1F9F" w:rsidRDefault="001332C5" w:rsidP="001332C5">
      <w:pPr>
        <w:spacing w:after="60"/>
        <w:ind w:left="714"/>
        <w:jc w:val="both"/>
        <w:rPr>
          <w:noProof/>
          <w:sz w:val="24"/>
          <w:szCs w:val="24"/>
          <w:lang w:val="en-US" w:eastAsia="en-GB"/>
        </w:rPr>
      </w:pPr>
      <w:r w:rsidRPr="001332C5">
        <w:rPr>
          <w:noProof/>
          <w:sz w:val="24"/>
          <w:szCs w:val="24"/>
          <w:lang w:val="en-US" w:eastAsia="en-GB"/>
        </w:rPr>
        <w:t>(https://www.biofit-h2020.eu/publications-reports/Biofit-Factsheet_CoalConversions.pdf)</w:t>
      </w:r>
    </w:p>
    <w:p w14:paraId="4A6A7187" w14:textId="1449A7F1" w:rsidR="00EA1F9F" w:rsidRDefault="00EA1F9F" w:rsidP="00EA1F9F">
      <w:pPr>
        <w:numPr>
          <w:ilvl w:val="0"/>
          <w:numId w:val="3"/>
        </w:numPr>
        <w:spacing w:after="60"/>
        <w:ind w:left="714" w:hanging="357"/>
        <w:jc w:val="both"/>
        <w:rPr>
          <w:noProof/>
          <w:sz w:val="24"/>
          <w:szCs w:val="24"/>
          <w:lang w:val="en-US" w:eastAsia="en-GB"/>
        </w:rPr>
      </w:pPr>
      <w:r w:rsidRPr="00EA1F9F">
        <w:rPr>
          <w:noProof/>
          <w:sz w:val="24"/>
          <w:szCs w:val="24"/>
          <w:lang w:val="en-US" w:eastAsia="en-GB"/>
        </w:rPr>
        <w:t>Staffan Qvist, Paweł Gładysz, Łukasz Bartela,Anna Sowizdzal “</w:t>
      </w:r>
      <w:hyperlink r:id="rId11" w:history="1">
        <w:r w:rsidRPr="00EA1F9F">
          <w:rPr>
            <w:noProof/>
            <w:color w:val="0000FF"/>
            <w:sz w:val="24"/>
            <w:szCs w:val="24"/>
            <w:u w:val="single"/>
            <w:lang w:val="en-US" w:eastAsia="en-GB"/>
          </w:rPr>
          <w:t>Retrofit Decarbonization of Coal Power Plants—A Case Study for Poland</w:t>
        </w:r>
      </w:hyperlink>
      <w:r w:rsidRPr="00EA1F9F">
        <w:rPr>
          <w:noProof/>
          <w:sz w:val="24"/>
          <w:szCs w:val="24"/>
          <w:lang w:val="en-US" w:eastAsia="en-GB"/>
        </w:rPr>
        <w:t>”, Basel, Switzerland, 28.12.2020</w:t>
      </w:r>
    </w:p>
    <w:p w14:paraId="68BC7415" w14:textId="585A3767" w:rsidR="001332C5" w:rsidRPr="00EA1F9F" w:rsidRDefault="001332C5" w:rsidP="001332C5">
      <w:pPr>
        <w:spacing w:after="60"/>
        <w:ind w:left="714"/>
        <w:jc w:val="both"/>
        <w:rPr>
          <w:noProof/>
          <w:sz w:val="24"/>
          <w:szCs w:val="24"/>
          <w:lang w:val="en-US" w:eastAsia="en-GB"/>
        </w:rPr>
      </w:pPr>
      <w:r>
        <w:rPr>
          <w:noProof/>
          <w:sz w:val="24"/>
          <w:szCs w:val="24"/>
          <w:lang w:val="en-US" w:eastAsia="en-GB"/>
        </w:rPr>
        <w:t>(</w:t>
      </w:r>
      <w:r w:rsidRPr="001332C5">
        <w:rPr>
          <w:noProof/>
          <w:sz w:val="24"/>
          <w:szCs w:val="24"/>
          <w:lang w:val="en-US" w:eastAsia="en-GB"/>
        </w:rPr>
        <w:t>https://www.mdpi.com/1996-1073/14/1/120</w:t>
      </w:r>
      <w:r>
        <w:rPr>
          <w:noProof/>
          <w:sz w:val="24"/>
          <w:szCs w:val="24"/>
          <w:lang w:val="en-US" w:eastAsia="en-GB"/>
        </w:rPr>
        <w:t>)</w:t>
      </w:r>
    </w:p>
    <w:p w14:paraId="709213B8" w14:textId="236FC459" w:rsidR="00EA1F9F" w:rsidRDefault="001F53B0" w:rsidP="00EA1F9F">
      <w:pPr>
        <w:numPr>
          <w:ilvl w:val="0"/>
          <w:numId w:val="3"/>
        </w:numPr>
        <w:spacing w:after="60"/>
        <w:ind w:left="714" w:hanging="357"/>
        <w:jc w:val="both"/>
        <w:rPr>
          <w:noProof/>
          <w:sz w:val="24"/>
          <w:szCs w:val="24"/>
          <w:lang w:val="en-US" w:eastAsia="en-GB"/>
        </w:rPr>
      </w:pPr>
      <w:hyperlink r:id="rId12" w:anchor=":~:text=Based%20on%20learnings%20from%20current,%2455%20billion%20annually%20by%202030." w:history="1">
        <w:r w:rsidR="00EA1F9F" w:rsidRPr="00EA1F9F">
          <w:rPr>
            <w:noProof/>
            <w:color w:val="0000FF"/>
            <w:sz w:val="24"/>
            <w:szCs w:val="24"/>
            <w:u w:val="single"/>
            <w:lang w:val="en-US" w:eastAsia="en-GB"/>
          </w:rPr>
          <w:t>Rystad Energy</w:t>
        </w:r>
      </w:hyperlink>
      <w:r w:rsidR="00EA1F9F" w:rsidRPr="00EA1F9F">
        <w:rPr>
          <w:noProof/>
          <w:sz w:val="24"/>
          <w:szCs w:val="24"/>
          <w:lang w:val="en-US" w:eastAsia="en-GB"/>
        </w:rPr>
        <w:t xml:space="preserve"> “Carbon capture capacity poised to surge more than 10 times by 2030</w:t>
      </w:r>
      <w:r w:rsidR="00EA1F9F" w:rsidRPr="00EA1F9F">
        <w:rPr>
          <w:b/>
          <w:bCs/>
          <w:color w:val="000000"/>
          <w:sz w:val="24"/>
          <w:szCs w:val="24"/>
          <w:lang w:val="en-US" w:eastAsia="de-DE"/>
        </w:rPr>
        <w:t>,</w:t>
      </w:r>
      <w:r w:rsidR="00EA1F9F" w:rsidRPr="00EA1F9F">
        <w:rPr>
          <w:noProof/>
          <w:sz w:val="24"/>
          <w:szCs w:val="24"/>
          <w:lang w:val="en-US" w:eastAsia="en-GB"/>
        </w:rPr>
        <w:t xml:space="preserve"> but aggressive investment needed to meet mid-century targets”, 26.04.2022</w:t>
      </w:r>
    </w:p>
    <w:p w14:paraId="11CC5C4F" w14:textId="3B300C17" w:rsidR="001332C5" w:rsidRPr="00EA1F9F" w:rsidRDefault="001332C5" w:rsidP="001332C5">
      <w:pPr>
        <w:spacing w:after="60"/>
        <w:ind w:left="714"/>
        <w:jc w:val="both"/>
        <w:rPr>
          <w:noProof/>
          <w:sz w:val="24"/>
          <w:szCs w:val="24"/>
          <w:lang w:val="en-US" w:eastAsia="en-GB"/>
        </w:rPr>
      </w:pPr>
      <w:r>
        <w:rPr>
          <w:noProof/>
          <w:sz w:val="24"/>
          <w:szCs w:val="24"/>
          <w:lang w:val="en-US" w:eastAsia="en-GB"/>
        </w:rPr>
        <w:t>(</w:t>
      </w:r>
      <w:r w:rsidRPr="001332C5">
        <w:rPr>
          <w:noProof/>
          <w:sz w:val="24"/>
          <w:szCs w:val="24"/>
          <w:lang w:val="en-US" w:eastAsia="en-GB"/>
        </w:rPr>
        <w:t>https://www.rystadenergy.com/newsevents/news/press-releases/carbon-capture-capacity-poised-to-surge-more-than-10-times-by-2030-but-aggressive-investment-needed-to-meet-mid-century-targets</w:t>
      </w:r>
      <w:r>
        <w:rPr>
          <w:noProof/>
          <w:sz w:val="24"/>
          <w:szCs w:val="24"/>
          <w:lang w:val="en-US" w:eastAsia="en-GB"/>
        </w:rPr>
        <w:t>)</w:t>
      </w:r>
    </w:p>
    <w:p w14:paraId="2F0B6538" w14:textId="37253663" w:rsidR="00EA1F9F" w:rsidRDefault="001F53B0" w:rsidP="00EA1F9F">
      <w:pPr>
        <w:numPr>
          <w:ilvl w:val="0"/>
          <w:numId w:val="3"/>
        </w:numPr>
        <w:spacing w:after="60"/>
        <w:ind w:left="714" w:hanging="357"/>
        <w:jc w:val="both"/>
        <w:rPr>
          <w:noProof/>
          <w:sz w:val="24"/>
          <w:szCs w:val="24"/>
          <w:lang w:val="en-US" w:eastAsia="en-GB"/>
        </w:rPr>
      </w:pPr>
      <w:hyperlink r:id="rId13" w:history="1">
        <w:r w:rsidR="00EA1F9F" w:rsidRPr="00EA1F9F">
          <w:rPr>
            <w:noProof/>
            <w:color w:val="0000FF"/>
            <w:sz w:val="24"/>
            <w:szCs w:val="24"/>
            <w:u w:val="single"/>
            <w:lang w:val="en-US" w:eastAsia="en-GB"/>
          </w:rPr>
          <w:t>DW</w:t>
        </w:r>
      </w:hyperlink>
      <w:r w:rsidR="00EA1F9F" w:rsidRPr="00EA1F9F">
        <w:rPr>
          <w:noProof/>
          <w:sz w:val="24"/>
          <w:szCs w:val="24"/>
          <w:lang w:val="en-US" w:eastAsia="en-GB"/>
        </w:rPr>
        <w:t xml:space="preserve"> “Energy crisis: Can the EU tame soaring prices?”, 30.08.2022</w:t>
      </w:r>
    </w:p>
    <w:p w14:paraId="29A44C28" w14:textId="0ADB4485" w:rsidR="001332C5" w:rsidRPr="00EA1F9F" w:rsidRDefault="001332C5" w:rsidP="001332C5">
      <w:pPr>
        <w:spacing w:after="60"/>
        <w:ind w:left="714"/>
        <w:jc w:val="both"/>
        <w:rPr>
          <w:noProof/>
          <w:sz w:val="24"/>
          <w:szCs w:val="24"/>
          <w:lang w:val="en-US" w:eastAsia="en-GB"/>
        </w:rPr>
      </w:pPr>
      <w:r>
        <w:rPr>
          <w:noProof/>
          <w:sz w:val="24"/>
          <w:szCs w:val="24"/>
          <w:lang w:val="en-US" w:eastAsia="en-GB"/>
        </w:rPr>
        <w:t>(</w:t>
      </w:r>
      <w:r w:rsidRPr="001332C5">
        <w:rPr>
          <w:noProof/>
          <w:sz w:val="24"/>
          <w:szCs w:val="24"/>
          <w:lang w:val="en-US" w:eastAsia="en-GB"/>
        </w:rPr>
        <w:t>https://www.dw.com/en/energy-crisis-can-the-eu-tame-soaring-prices/a-62960012</w:t>
      </w:r>
      <w:r>
        <w:rPr>
          <w:noProof/>
          <w:sz w:val="24"/>
          <w:szCs w:val="24"/>
          <w:lang w:val="en-US" w:eastAsia="en-GB"/>
        </w:rPr>
        <w:t>)</w:t>
      </w:r>
    </w:p>
    <w:p w14:paraId="6336D40F" w14:textId="572B34CE" w:rsidR="00EA1F9F" w:rsidRDefault="001F53B0" w:rsidP="00EA1F9F">
      <w:pPr>
        <w:numPr>
          <w:ilvl w:val="0"/>
          <w:numId w:val="3"/>
        </w:numPr>
        <w:spacing w:after="60"/>
        <w:ind w:left="714" w:hanging="357"/>
        <w:jc w:val="both"/>
        <w:rPr>
          <w:noProof/>
          <w:sz w:val="24"/>
          <w:szCs w:val="24"/>
          <w:lang w:val="de-DE" w:eastAsia="en-GB"/>
        </w:rPr>
      </w:pPr>
      <w:hyperlink r:id="rId14" w:history="1">
        <w:r w:rsidR="00EA1F9F" w:rsidRPr="00EA1F9F">
          <w:rPr>
            <w:noProof/>
            <w:color w:val="0000FF"/>
            <w:sz w:val="24"/>
            <w:szCs w:val="24"/>
            <w:u w:val="single"/>
            <w:lang w:val="de-DE" w:eastAsia="en-GB"/>
          </w:rPr>
          <w:t>www.destatis.de</w:t>
        </w:r>
      </w:hyperlink>
      <w:r w:rsidR="00EA1F9F" w:rsidRPr="00EA1F9F">
        <w:rPr>
          <w:noProof/>
          <w:sz w:val="24"/>
          <w:szCs w:val="24"/>
          <w:lang w:val="de-DE" w:eastAsia="en-GB"/>
        </w:rPr>
        <w:t xml:space="preserve"> „ Statistisches Bundesamt (Destatis)“, 09.09.2022</w:t>
      </w:r>
    </w:p>
    <w:p w14:paraId="2F95AF7C" w14:textId="29E3087A" w:rsidR="001332C5" w:rsidRPr="00EA1F9F" w:rsidRDefault="001332C5" w:rsidP="001332C5">
      <w:pPr>
        <w:spacing w:after="60"/>
        <w:ind w:left="714"/>
        <w:jc w:val="both"/>
        <w:rPr>
          <w:noProof/>
          <w:sz w:val="24"/>
          <w:szCs w:val="24"/>
          <w:lang w:val="de-DE" w:eastAsia="en-GB"/>
        </w:rPr>
      </w:pPr>
      <w:r>
        <w:rPr>
          <w:noProof/>
          <w:sz w:val="24"/>
          <w:szCs w:val="24"/>
          <w:lang w:val="de-DE" w:eastAsia="en-GB"/>
        </w:rPr>
        <w:t>(</w:t>
      </w:r>
      <w:r w:rsidRPr="001332C5">
        <w:rPr>
          <w:noProof/>
          <w:sz w:val="24"/>
          <w:szCs w:val="24"/>
          <w:lang w:val="de-DE" w:eastAsia="en-GB"/>
        </w:rPr>
        <w:t>http://www.destatis.de/</w:t>
      </w:r>
      <w:r>
        <w:rPr>
          <w:noProof/>
          <w:sz w:val="24"/>
          <w:szCs w:val="24"/>
          <w:lang w:val="de-DE" w:eastAsia="en-GB"/>
        </w:rPr>
        <w:t>)</w:t>
      </w:r>
    </w:p>
    <w:p w14:paraId="49721E90" w14:textId="4CC81C5F" w:rsidR="00EA1F9F" w:rsidRDefault="00EA1F9F" w:rsidP="00EA1F9F">
      <w:pPr>
        <w:numPr>
          <w:ilvl w:val="0"/>
          <w:numId w:val="3"/>
        </w:numPr>
        <w:spacing w:after="60"/>
        <w:ind w:left="714" w:hanging="357"/>
        <w:jc w:val="both"/>
        <w:rPr>
          <w:noProof/>
          <w:sz w:val="24"/>
          <w:szCs w:val="24"/>
          <w:lang w:val="en-US" w:eastAsia="en-GB"/>
        </w:rPr>
      </w:pPr>
      <w:r w:rsidRPr="00EA1F9F">
        <w:rPr>
          <w:noProof/>
          <w:sz w:val="24"/>
          <w:szCs w:val="24"/>
          <w:lang w:val="en-US" w:eastAsia="en-GB"/>
        </w:rPr>
        <w:t>EEX EUA FUTURE, 09.09.2022</w:t>
      </w:r>
    </w:p>
    <w:p w14:paraId="33F54DBE" w14:textId="49C3BA83" w:rsidR="001332C5" w:rsidRPr="00EA1F9F" w:rsidRDefault="001332C5" w:rsidP="001332C5">
      <w:pPr>
        <w:spacing w:after="60"/>
        <w:ind w:left="714"/>
        <w:jc w:val="both"/>
        <w:rPr>
          <w:noProof/>
          <w:sz w:val="24"/>
          <w:szCs w:val="24"/>
          <w:lang w:val="en-US" w:eastAsia="en-GB"/>
        </w:rPr>
      </w:pPr>
      <w:r>
        <w:rPr>
          <w:noProof/>
          <w:sz w:val="24"/>
          <w:szCs w:val="24"/>
          <w:lang w:val="en-US" w:eastAsia="en-GB"/>
        </w:rPr>
        <w:t>(</w:t>
      </w:r>
      <w:r w:rsidRPr="001332C5">
        <w:rPr>
          <w:noProof/>
          <w:sz w:val="24"/>
          <w:szCs w:val="24"/>
          <w:lang w:val="en-US" w:eastAsia="en-GB"/>
        </w:rPr>
        <w:t>www.eex.com/en/market-data/environmentals/futures</w:t>
      </w:r>
      <w:r>
        <w:rPr>
          <w:noProof/>
          <w:sz w:val="24"/>
          <w:szCs w:val="24"/>
          <w:lang w:val="en-US" w:eastAsia="en-GB"/>
        </w:rPr>
        <w:t>)</w:t>
      </w:r>
    </w:p>
    <w:p w14:paraId="415999CF" w14:textId="3A0B4F5B" w:rsidR="00C47539" w:rsidRPr="00311AB7" w:rsidRDefault="00C47539" w:rsidP="00EA1F9F">
      <w:pPr>
        <w:pStyle w:val="Heading1"/>
        <w:rPr>
          <w:szCs w:val="24"/>
        </w:rPr>
      </w:pPr>
    </w:p>
    <w:sectPr w:rsidR="00C47539" w:rsidRPr="00311AB7" w:rsidSect="00AC24A6">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code="9"/>
      <w:pgMar w:top="1701" w:right="1134" w:bottom="1134" w:left="1134" w:header="1134"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7951D2" w14:textId="77777777" w:rsidR="001F53B0" w:rsidRDefault="001F53B0">
      <w:r>
        <w:separator/>
      </w:r>
    </w:p>
  </w:endnote>
  <w:endnote w:type="continuationSeparator" w:id="0">
    <w:p w14:paraId="41BE1724" w14:textId="77777777" w:rsidR="001F53B0" w:rsidRDefault="001F53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bar">
    <w:altName w:val="Arial"/>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43F3EE" w14:textId="77777777" w:rsidR="00A17CC3" w:rsidRDefault="00A17CC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B49C41" w14:textId="77777777" w:rsidR="00A17CC3" w:rsidRDefault="00A17CC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B7224E" w14:textId="77777777" w:rsidR="00A17CC3" w:rsidRDefault="00A17CC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89E1CC" w14:textId="77777777" w:rsidR="001F53B0" w:rsidRDefault="001F53B0">
      <w:r>
        <w:separator/>
      </w:r>
    </w:p>
  </w:footnote>
  <w:footnote w:type="continuationSeparator" w:id="0">
    <w:p w14:paraId="41F52465" w14:textId="77777777" w:rsidR="001F53B0" w:rsidRDefault="001F53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D88ACC" w14:textId="77777777" w:rsidR="00A52D5B" w:rsidRDefault="00377A6D" w:rsidP="00A52D5B">
    <w:pPr>
      <w:pStyle w:val="BodyText2"/>
      <w:spacing w:before="240" w:after="0"/>
      <w:jc w:val="right"/>
      <w:rPr>
        <w:b w:val="0"/>
        <w:i/>
        <w:sz w:val="24"/>
        <w:lang w:val="mk-MK"/>
      </w:rPr>
    </w:pPr>
    <w:r>
      <w:rPr>
        <w:b w:val="0"/>
        <w:i/>
        <w:sz w:val="24"/>
        <w:lang w:val="mk-MK"/>
      </w:rPr>
      <w:t>Зб</w:t>
    </w:r>
    <w:r w:rsidR="00F33B66">
      <w:rPr>
        <w:b w:val="0"/>
        <w:i/>
        <w:sz w:val="24"/>
        <w:lang w:val="mk-MK"/>
      </w:rPr>
      <w:t>орник на трудови ЕНЕРГЕТИКА 2022</w:t>
    </w:r>
  </w:p>
  <w:p w14:paraId="475172C0" w14:textId="77777777" w:rsidR="00A52D5B" w:rsidRDefault="00A52D5B" w:rsidP="00377A6D">
    <w:pPr>
      <w:pStyle w:val="BodyText2"/>
      <w:spacing w:before="240" w:after="0"/>
      <w:jc w:val="right"/>
      <w:rPr>
        <w:b w:val="0"/>
        <w:i/>
        <w:sz w:val="24"/>
        <w:lang w:val="mk-MK"/>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1E415B" w14:textId="77777777" w:rsidR="00A17CC3" w:rsidRDefault="00A17CC3" w:rsidP="00A17CC3">
    <w:pPr>
      <w:pStyle w:val="BodyText2"/>
      <w:spacing w:before="240" w:after="0"/>
      <w:jc w:val="right"/>
      <w:rPr>
        <w:b w:val="0"/>
        <w:i/>
        <w:sz w:val="24"/>
        <w:lang w:val="mk-MK"/>
      </w:rPr>
    </w:pPr>
    <w:r>
      <w:rPr>
        <w:b w:val="0"/>
        <w:i/>
        <w:sz w:val="24"/>
        <w:lang w:val="mk-MK"/>
      </w:rPr>
      <w:t>Зборник на трудови ЕНЕРГЕТИКА 2022</w:t>
    </w:r>
  </w:p>
  <w:p w14:paraId="27BE1FBE" w14:textId="77777777" w:rsidR="00A17CC3" w:rsidRDefault="00A17CC3" w:rsidP="00A17CC3">
    <w:pPr>
      <w:pStyle w:val="BodyText2"/>
      <w:spacing w:before="240" w:after="0"/>
      <w:jc w:val="right"/>
      <w:rPr>
        <w:b w:val="0"/>
        <w:i/>
        <w:sz w:val="24"/>
        <w:lang w:val="mk-MK"/>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3EFBC1" w14:textId="77777777" w:rsidR="00A17CC3" w:rsidRDefault="00A17CC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63A619E"/>
    <w:multiLevelType w:val="hybridMultilevel"/>
    <w:tmpl w:val="5D68B580"/>
    <w:lvl w:ilvl="0" w:tplc="7ED899D8">
      <w:start w:val="1"/>
      <w:numFmt w:val="decimal"/>
      <w:pStyle w:val="Literatura"/>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
    <w:nsid w:val="7E9C025B"/>
    <w:multiLevelType w:val="multilevel"/>
    <w:tmpl w:val="2AF2F07E"/>
    <w:lvl w:ilvl="0">
      <w:start w:val="1"/>
      <w:numFmt w:val="decimal"/>
      <w:pStyle w:val="textwithow1line"/>
      <w:lvlText w:val="%1"/>
      <w:lvlJc w:val="left"/>
      <w:pPr>
        <w:ind w:left="432" w:hanging="432"/>
      </w:pPr>
      <w:rPr>
        <w:rFonts w:hint="default"/>
        <w:sz w:val="22"/>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1"/>
  </w:num>
  <w:num w:numId="2">
    <w:abstractNumId w:val="0"/>
  </w:num>
  <w:num w:numId="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2F5"/>
    <w:rsid w:val="00015F96"/>
    <w:rsid w:val="00024566"/>
    <w:rsid w:val="00035911"/>
    <w:rsid w:val="000659E9"/>
    <w:rsid w:val="000932E4"/>
    <w:rsid w:val="00097597"/>
    <w:rsid w:val="000B1E3F"/>
    <w:rsid w:val="000E7E9E"/>
    <w:rsid w:val="00104CDB"/>
    <w:rsid w:val="001332C5"/>
    <w:rsid w:val="001439D1"/>
    <w:rsid w:val="001D34F9"/>
    <w:rsid w:val="001D4055"/>
    <w:rsid w:val="001E0293"/>
    <w:rsid w:val="001E6679"/>
    <w:rsid w:val="001F53B0"/>
    <w:rsid w:val="00210F15"/>
    <w:rsid w:val="00224648"/>
    <w:rsid w:val="00243C6A"/>
    <w:rsid w:val="002802D8"/>
    <w:rsid w:val="002915AB"/>
    <w:rsid w:val="002A0E15"/>
    <w:rsid w:val="002B67EC"/>
    <w:rsid w:val="002D161D"/>
    <w:rsid w:val="00307C52"/>
    <w:rsid w:val="00311AB7"/>
    <w:rsid w:val="003635E0"/>
    <w:rsid w:val="00377A6D"/>
    <w:rsid w:val="003816BB"/>
    <w:rsid w:val="00386151"/>
    <w:rsid w:val="003C7B52"/>
    <w:rsid w:val="003D022D"/>
    <w:rsid w:val="003E2958"/>
    <w:rsid w:val="003E5D38"/>
    <w:rsid w:val="0040709F"/>
    <w:rsid w:val="004203DE"/>
    <w:rsid w:val="00443407"/>
    <w:rsid w:val="00456FAD"/>
    <w:rsid w:val="00484DFE"/>
    <w:rsid w:val="004A169C"/>
    <w:rsid w:val="004A653C"/>
    <w:rsid w:val="004B253D"/>
    <w:rsid w:val="004B7033"/>
    <w:rsid w:val="004C33CC"/>
    <w:rsid w:val="004E3CAB"/>
    <w:rsid w:val="004E406C"/>
    <w:rsid w:val="004E4DAD"/>
    <w:rsid w:val="004F4C43"/>
    <w:rsid w:val="004F7598"/>
    <w:rsid w:val="0061447D"/>
    <w:rsid w:val="0064401B"/>
    <w:rsid w:val="00673297"/>
    <w:rsid w:val="006811DE"/>
    <w:rsid w:val="006A2C2C"/>
    <w:rsid w:val="006A7DE7"/>
    <w:rsid w:val="006D42D0"/>
    <w:rsid w:val="006D7711"/>
    <w:rsid w:val="00720789"/>
    <w:rsid w:val="00727DFE"/>
    <w:rsid w:val="0075713D"/>
    <w:rsid w:val="0076353F"/>
    <w:rsid w:val="007B6100"/>
    <w:rsid w:val="00802B50"/>
    <w:rsid w:val="008217E6"/>
    <w:rsid w:val="00843283"/>
    <w:rsid w:val="008652F5"/>
    <w:rsid w:val="00876928"/>
    <w:rsid w:val="008804A0"/>
    <w:rsid w:val="008A0BF2"/>
    <w:rsid w:val="008A72A7"/>
    <w:rsid w:val="008B6BF1"/>
    <w:rsid w:val="008B7AF6"/>
    <w:rsid w:val="008E78E0"/>
    <w:rsid w:val="00904CF8"/>
    <w:rsid w:val="00920001"/>
    <w:rsid w:val="00921D71"/>
    <w:rsid w:val="00952A5C"/>
    <w:rsid w:val="00962E50"/>
    <w:rsid w:val="0096718E"/>
    <w:rsid w:val="009721AC"/>
    <w:rsid w:val="0098777C"/>
    <w:rsid w:val="009B5383"/>
    <w:rsid w:val="00A17CC3"/>
    <w:rsid w:val="00A35C8D"/>
    <w:rsid w:val="00A52D5B"/>
    <w:rsid w:val="00A83BA2"/>
    <w:rsid w:val="00A9554D"/>
    <w:rsid w:val="00AC24A6"/>
    <w:rsid w:val="00AE5B95"/>
    <w:rsid w:val="00AF0364"/>
    <w:rsid w:val="00AF3AA9"/>
    <w:rsid w:val="00B349F7"/>
    <w:rsid w:val="00B60024"/>
    <w:rsid w:val="00B6503F"/>
    <w:rsid w:val="00B67C58"/>
    <w:rsid w:val="00B7526C"/>
    <w:rsid w:val="00B8493E"/>
    <w:rsid w:val="00BF49EB"/>
    <w:rsid w:val="00C05409"/>
    <w:rsid w:val="00C35D2B"/>
    <w:rsid w:val="00C371FC"/>
    <w:rsid w:val="00C47539"/>
    <w:rsid w:val="00C708BE"/>
    <w:rsid w:val="00C97B6A"/>
    <w:rsid w:val="00CD3B49"/>
    <w:rsid w:val="00D06548"/>
    <w:rsid w:val="00D15D42"/>
    <w:rsid w:val="00D232C3"/>
    <w:rsid w:val="00D4480E"/>
    <w:rsid w:val="00D75469"/>
    <w:rsid w:val="00D761F6"/>
    <w:rsid w:val="00D84380"/>
    <w:rsid w:val="00D87DD9"/>
    <w:rsid w:val="00DC0784"/>
    <w:rsid w:val="00DC18D7"/>
    <w:rsid w:val="00DD174D"/>
    <w:rsid w:val="00DD754E"/>
    <w:rsid w:val="00E24A47"/>
    <w:rsid w:val="00E5603A"/>
    <w:rsid w:val="00E60AB7"/>
    <w:rsid w:val="00E7149A"/>
    <w:rsid w:val="00E90969"/>
    <w:rsid w:val="00EA0F12"/>
    <w:rsid w:val="00EA1F9F"/>
    <w:rsid w:val="00EA4777"/>
    <w:rsid w:val="00EA4BD3"/>
    <w:rsid w:val="00F06877"/>
    <w:rsid w:val="00F25542"/>
    <w:rsid w:val="00F33B66"/>
    <w:rsid w:val="00F3432E"/>
    <w:rsid w:val="00F4229C"/>
    <w:rsid w:val="00FC7C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8045533"/>
  <w15:docId w15:val="{F4E8F5DC-E52D-44C9-807C-4266054C4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33CC"/>
    <w:rPr>
      <w:lang w:val="en-GB"/>
    </w:rPr>
  </w:style>
  <w:style w:type="paragraph" w:styleId="Heading1">
    <w:name w:val="heading 1"/>
    <w:basedOn w:val="Normal"/>
    <w:next w:val="Normal"/>
    <w:autoRedefine/>
    <w:qFormat/>
    <w:rsid w:val="00311AB7"/>
    <w:pPr>
      <w:keepNext/>
      <w:spacing w:before="240" w:after="240"/>
      <w:ind w:firstLine="397"/>
      <w:outlineLvl w:val="0"/>
    </w:pPr>
    <w:rPr>
      <w:b/>
      <w:caps/>
      <w:sz w:val="24"/>
      <w:lang w:val="en-US"/>
    </w:rPr>
  </w:style>
  <w:style w:type="paragraph" w:styleId="Heading2">
    <w:name w:val="heading 2"/>
    <w:aliases w:val="Naslov 2"/>
    <w:basedOn w:val="Normal"/>
    <w:next w:val="Normal"/>
    <w:link w:val="Heading2Char"/>
    <w:unhideWhenUsed/>
    <w:qFormat/>
    <w:rsid w:val="00EA1F9F"/>
    <w:pPr>
      <w:keepNext/>
      <w:keepLines/>
      <w:numPr>
        <w:ilvl w:val="1"/>
        <w:numId w:val="1"/>
      </w:numPr>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aliases w:val="Naslov 3"/>
    <w:basedOn w:val="Normal"/>
    <w:next w:val="Normal"/>
    <w:link w:val="Heading3Char"/>
    <w:unhideWhenUsed/>
    <w:qFormat/>
    <w:rsid w:val="00EA1F9F"/>
    <w:pPr>
      <w:keepNext/>
      <w:keepLines/>
      <w:numPr>
        <w:ilvl w:val="2"/>
        <w:numId w:val="1"/>
      </w:numPr>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semiHidden/>
    <w:unhideWhenUsed/>
    <w:qFormat/>
    <w:rsid w:val="000932E4"/>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4C33CC"/>
    <w:pPr>
      <w:ind w:firstLine="397"/>
      <w:jc w:val="both"/>
    </w:pPr>
    <w:rPr>
      <w:sz w:val="24"/>
      <w:lang w:val="en-US"/>
    </w:rPr>
  </w:style>
  <w:style w:type="paragraph" w:styleId="BodyText">
    <w:name w:val="Body Text"/>
    <w:basedOn w:val="Normal"/>
    <w:rsid w:val="004C33CC"/>
    <w:pPr>
      <w:spacing w:before="240" w:after="240"/>
      <w:jc w:val="center"/>
    </w:pPr>
    <w:rPr>
      <w:i/>
      <w:sz w:val="24"/>
    </w:rPr>
  </w:style>
  <w:style w:type="paragraph" w:styleId="BodyText2">
    <w:name w:val="Body Text 2"/>
    <w:basedOn w:val="Normal"/>
    <w:rsid w:val="004C33CC"/>
    <w:pPr>
      <w:spacing w:after="480"/>
      <w:jc w:val="center"/>
    </w:pPr>
    <w:rPr>
      <w:b/>
      <w:sz w:val="32"/>
      <w:lang w:val="en-US"/>
    </w:rPr>
  </w:style>
  <w:style w:type="paragraph" w:styleId="Header">
    <w:name w:val="header"/>
    <w:basedOn w:val="Normal"/>
    <w:rsid w:val="004C33CC"/>
    <w:pPr>
      <w:tabs>
        <w:tab w:val="center" w:pos="4153"/>
        <w:tab w:val="right" w:pos="8306"/>
      </w:tabs>
    </w:pPr>
  </w:style>
  <w:style w:type="character" w:styleId="PageNumber">
    <w:name w:val="page number"/>
    <w:basedOn w:val="DefaultParagraphFont"/>
    <w:rsid w:val="004C33CC"/>
  </w:style>
  <w:style w:type="paragraph" w:styleId="Footer">
    <w:name w:val="footer"/>
    <w:basedOn w:val="Normal"/>
    <w:link w:val="FooterChar"/>
    <w:uiPriority w:val="99"/>
    <w:rsid w:val="004C33CC"/>
    <w:pPr>
      <w:tabs>
        <w:tab w:val="center" w:pos="4153"/>
        <w:tab w:val="right" w:pos="8306"/>
      </w:tabs>
    </w:pPr>
  </w:style>
  <w:style w:type="paragraph" w:customStyle="1" w:styleId="textwithow1line">
    <w:name w:val="text withow 1line"/>
    <w:basedOn w:val="Normal"/>
    <w:rsid w:val="004C33CC"/>
    <w:pPr>
      <w:numPr>
        <w:numId w:val="1"/>
      </w:numPr>
      <w:overflowPunct w:val="0"/>
      <w:autoSpaceDE w:val="0"/>
      <w:autoSpaceDN w:val="0"/>
      <w:adjustRightInd w:val="0"/>
      <w:spacing w:before="240"/>
      <w:jc w:val="both"/>
      <w:textAlignment w:val="baseline"/>
    </w:pPr>
    <w:rPr>
      <w:rFonts w:ascii="Hebar" w:hAnsi="Hebar"/>
      <w:lang w:val="en-US"/>
    </w:rPr>
  </w:style>
  <w:style w:type="paragraph" w:styleId="BalloonText">
    <w:name w:val="Balloon Text"/>
    <w:basedOn w:val="Normal"/>
    <w:semiHidden/>
    <w:rsid w:val="004C33CC"/>
    <w:rPr>
      <w:rFonts w:ascii="Tahoma" w:hAnsi="Tahoma" w:cs="Tahoma"/>
      <w:sz w:val="16"/>
      <w:szCs w:val="16"/>
    </w:rPr>
  </w:style>
  <w:style w:type="character" w:styleId="CommentReference">
    <w:name w:val="annotation reference"/>
    <w:semiHidden/>
    <w:rsid w:val="004C33CC"/>
    <w:rPr>
      <w:sz w:val="16"/>
    </w:rPr>
  </w:style>
  <w:style w:type="paragraph" w:styleId="CommentText">
    <w:name w:val="annotation text"/>
    <w:basedOn w:val="Normal"/>
    <w:semiHidden/>
    <w:rsid w:val="004C33CC"/>
  </w:style>
  <w:style w:type="paragraph" w:styleId="FootnoteText">
    <w:name w:val="footnote text"/>
    <w:basedOn w:val="Normal"/>
    <w:semiHidden/>
    <w:rsid w:val="004C33CC"/>
  </w:style>
  <w:style w:type="character" w:styleId="FootnoteReference">
    <w:name w:val="footnote reference"/>
    <w:semiHidden/>
    <w:rsid w:val="004C33CC"/>
    <w:rPr>
      <w:vertAlign w:val="superscript"/>
    </w:rPr>
  </w:style>
  <w:style w:type="character" w:styleId="Hyperlink">
    <w:name w:val="Hyperlink"/>
    <w:rsid w:val="008217E6"/>
    <w:rPr>
      <w:color w:val="0000FF"/>
      <w:u w:val="single"/>
    </w:rPr>
  </w:style>
  <w:style w:type="paragraph" w:styleId="NormalWeb">
    <w:name w:val="Normal (Web)"/>
    <w:basedOn w:val="Normal"/>
    <w:rsid w:val="008217E6"/>
    <w:pPr>
      <w:spacing w:before="100" w:beforeAutospacing="1" w:after="100" w:afterAutospacing="1"/>
    </w:pPr>
    <w:rPr>
      <w:sz w:val="24"/>
      <w:szCs w:val="24"/>
      <w:lang w:val="bg-BG"/>
    </w:rPr>
  </w:style>
  <w:style w:type="character" w:customStyle="1" w:styleId="field-content2">
    <w:name w:val="field-content2"/>
    <w:basedOn w:val="DefaultParagraphFont"/>
    <w:rsid w:val="008217E6"/>
  </w:style>
  <w:style w:type="character" w:customStyle="1" w:styleId="publish-year">
    <w:name w:val="publish-year"/>
    <w:basedOn w:val="DefaultParagraphFont"/>
    <w:rsid w:val="008217E6"/>
  </w:style>
  <w:style w:type="character" w:customStyle="1" w:styleId="searchword">
    <w:name w:val="searchword"/>
    <w:rsid w:val="008217E6"/>
    <w:rPr>
      <w:shd w:val="clear" w:color="auto" w:fill="FFFF00"/>
    </w:rPr>
  </w:style>
  <w:style w:type="paragraph" w:customStyle="1" w:styleId="Default">
    <w:name w:val="Default"/>
    <w:rsid w:val="008B7AF6"/>
    <w:pPr>
      <w:autoSpaceDE w:val="0"/>
      <w:autoSpaceDN w:val="0"/>
      <w:adjustRightInd w:val="0"/>
    </w:pPr>
    <w:rPr>
      <w:color w:val="000000"/>
      <w:sz w:val="24"/>
      <w:szCs w:val="24"/>
      <w:lang w:val="en-US" w:eastAsia="en-US"/>
    </w:rPr>
  </w:style>
  <w:style w:type="paragraph" w:customStyle="1" w:styleId="CigreTabela">
    <w:name w:val="Cigre Tabela"/>
    <w:basedOn w:val="Normal"/>
    <w:rsid w:val="00904CF8"/>
    <w:pPr>
      <w:keepNext/>
      <w:spacing w:before="20" w:after="20"/>
    </w:pPr>
    <w:rPr>
      <w:szCs w:val="22"/>
      <w:lang w:val="en-US" w:eastAsia="en-US"/>
    </w:rPr>
  </w:style>
  <w:style w:type="paragraph" w:customStyle="1" w:styleId="CigreTabelaNaslov">
    <w:name w:val="Cigre Tabela Naslov"/>
    <w:basedOn w:val="CigreTabela"/>
    <w:next w:val="CigreTabela"/>
    <w:rsid w:val="00904CF8"/>
    <w:pPr>
      <w:spacing w:before="120" w:after="120"/>
      <w:jc w:val="center"/>
    </w:pPr>
    <w:rPr>
      <w:b/>
    </w:rPr>
  </w:style>
  <w:style w:type="paragraph" w:customStyle="1" w:styleId="CigreTabelaDno">
    <w:name w:val="Cigre Tabela Dno"/>
    <w:basedOn w:val="CigreTabela"/>
    <w:next w:val="Normal"/>
    <w:rsid w:val="00904CF8"/>
    <w:pPr>
      <w:keepNext w:val="0"/>
      <w:spacing w:before="0" w:after="120"/>
    </w:pPr>
  </w:style>
  <w:style w:type="character" w:customStyle="1" w:styleId="FooterChar">
    <w:name w:val="Footer Char"/>
    <w:basedOn w:val="DefaultParagraphFont"/>
    <w:link w:val="Footer"/>
    <w:uiPriority w:val="99"/>
    <w:rsid w:val="00802B50"/>
    <w:rPr>
      <w:lang w:val="en-GB"/>
    </w:rPr>
  </w:style>
  <w:style w:type="character" w:customStyle="1" w:styleId="Heading4Char">
    <w:name w:val="Heading 4 Char"/>
    <w:basedOn w:val="DefaultParagraphFont"/>
    <w:link w:val="Heading4"/>
    <w:semiHidden/>
    <w:rsid w:val="000932E4"/>
    <w:rPr>
      <w:rFonts w:asciiTheme="majorHAnsi" w:eastAsiaTheme="majorEastAsia" w:hAnsiTheme="majorHAnsi" w:cstheme="majorBidi"/>
      <w:i/>
      <w:iCs/>
      <w:color w:val="2E74B5" w:themeColor="accent1" w:themeShade="BF"/>
      <w:lang w:val="en-GB"/>
    </w:rPr>
  </w:style>
  <w:style w:type="character" w:customStyle="1" w:styleId="UnresolvedMention">
    <w:name w:val="Unresolved Mention"/>
    <w:basedOn w:val="DefaultParagraphFont"/>
    <w:uiPriority w:val="99"/>
    <w:semiHidden/>
    <w:unhideWhenUsed/>
    <w:rsid w:val="00EA1F9F"/>
    <w:rPr>
      <w:color w:val="605E5C"/>
      <w:shd w:val="clear" w:color="auto" w:fill="E1DFDD"/>
    </w:rPr>
  </w:style>
  <w:style w:type="character" w:customStyle="1" w:styleId="Heading2Char">
    <w:name w:val="Heading 2 Char"/>
    <w:aliases w:val="Naslov 2 Char"/>
    <w:basedOn w:val="DefaultParagraphFont"/>
    <w:link w:val="Heading2"/>
    <w:semiHidden/>
    <w:rsid w:val="00EA1F9F"/>
    <w:rPr>
      <w:rFonts w:asciiTheme="majorHAnsi" w:eastAsiaTheme="majorEastAsia" w:hAnsiTheme="majorHAnsi" w:cstheme="majorBidi"/>
      <w:color w:val="2E74B5" w:themeColor="accent1" w:themeShade="BF"/>
      <w:sz w:val="26"/>
      <w:szCs w:val="26"/>
      <w:lang w:val="en-GB"/>
    </w:rPr>
  </w:style>
  <w:style w:type="character" w:customStyle="1" w:styleId="Heading3Char">
    <w:name w:val="Heading 3 Char"/>
    <w:aliases w:val="Naslov 3 Char"/>
    <w:basedOn w:val="DefaultParagraphFont"/>
    <w:link w:val="Heading3"/>
    <w:semiHidden/>
    <w:rsid w:val="00EA1F9F"/>
    <w:rPr>
      <w:rFonts w:asciiTheme="majorHAnsi" w:eastAsiaTheme="majorEastAsia" w:hAnsiTheme="majorHAnsi" w:cstheme="majorBidi"/>
      <w:color w:val="1F4D78" w:themeColor="accent1" w:themeShade="7F"/>
      <w:sz w:val="24"/>
      <w:szCs w:val="24"/>
      <w:lang w:val="en-GB"/>
    </w:rPr>
  </w:style>
  <w:style w:type="paragraph" w:customStyle="1" w:styleId="Literatura">
    <w:name w:val="Literatura"/>
    <w:basedOn w:val="Normal"/>
    <w:qFormat/>
    <w:rsid w:val="00EA1F9F"/>
    <w:pPr>
      <w:numPr>
        <w:numId w:val="2"/>
      </w:numPr>
      <w:spacing w:after="60"/>
      <w:ind w:left="567" w:hanging="567"/>
      <w:jc w:val="both"/>
    </w:pPr>
    <w:rPr>
      <w:noProof/>
      <w:szCs w:val="22"/>
      <w:lang w:val="ru-RU" w:eastAsia="en-GB"/>
    </w:rPr>
  </w:style>
  <w:style w:type="paragraph" w:customStyle="1" w:styleId="Naslov1">
    <w:name w:val="Naslov 1"/>
    <w:basedOn w:val="Heading1"/>
    <w:next w:val="Normal"/>
    <w:link w:val="Naslov1Char"/>
    <w:qFormat/>
    <w:rsid w:val="00EA1F9F"/>
    <w:pPr>
      <w:spacing w:after="120"/>
      <w:ind w:left="432" w:hanging="432"/>
      <w:jc w:val="both"/>
    </w:pPr>
    <w:rPr>
      <w:bCs/>
      <w:caps w:val="0"/>
      <w:noProof/>
      <w:sz w:val="22"/>
      <w:lang w:val="mk-MK" w:eastAsia="en-GB"/>
    </w:rPr>
  </w:style>
  <w:style w:type="character" w:customStyle="1" w:styleId="Naslov1Char">
    <w:name w:val="Naslov 1 Char"/>
    <w:link w:val="Naslov1"/>
    <w:rsid w:val="00EA1F9F"/>
    <w:rPr>
      <w:b/>
      <w:bCs/>
      <w:caps/>
      <w:noProof/>
      <w:sz w:val="22"/>
      <w:lang w:val="mk-MK" w:eastAsia="en-GB"/>
    </w:rPr>
  </w:style>
  <w:style w:type="table" w:styleId="TableGrid">
    <w:name w:val="Table Grid"/>
    <w:basedOn w:val="TableNormal"/>
    <w:uiPriority w:val="59"/>
    <w:rsid w:val="00EA1F9F"/>
    <w:pPr>
      <w:ind w:firstLine="680"/>
      <w:jc w:val="both"/>
    </w:pPr>
    <w:rPr>
      <w:color w:val="000000"/>
      <w:lang w:val="mk-MK" w:eastAsia="mk-M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aslov4">
    <w:name w:val="Naslov 4"/>
    <w:basedOn w:val="Heading3"/>
    <w:qFormat/>
    <w:rsid w:val="00EA1F9F"/>
    <w:pPr>
      <w:keepLines w:val="0"/>
      <w:spacing w:before="200" w:after="120"/>
      <w:ind w:left="864" w:hanging="864"/>
    </w:pPr>
    <w:rPr>
      <w:rFonts w:ascii="Times New Roman" w:eastAsia="Times New Roman" w:hAnsi="Times New Roman" w:cs="Times New Roman"/>
      <w:bCs/>
      <w:noProof/>
      <w:color w:val="auto"/>
      <w:sz w:val="22"/>
      <w:szCs w:val="26"/>
      <w:lang w:val="mk-MK"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5111474">
      <w:bodyDiv w:val="1"/>
      <w:marLeft w:val="0"/>
      <w:marRight w:val="0"/>
      <w:marTop w:val="0"/>
      <w:marBottom w:val="0"/>
      <w:divBdr>
        <w:top w:val="none" w:sz="0" w:space="0" w:color="auto"/>
        <w:left w:val="none" w:sz="0" w:space="0" w:color="auto"/>
        <w:bottom w:val="none" w:sz="0" w:space="0" w:color="auto"/>
        <w:right w:val="none" w:sz="0" w:space="0" w:color="auto"/>
      </w:divBdr>
    </w:div>
    <w:div w:id="1491094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rena.org/-/media/Files/IRENA/Agency/Publication/2013/IRENA-ETSAP-Tech-Brief-E21-Biomass-Co-firing.pdf" TargetMode="External"/><Relationship Id="rId13" Type="http://schemas.openxmlformats.org/officeDocument/2006/relationships/hyperlink" Target="https://www.dw.com/en/energy-crisis-can-the-eu-tame-soaring-prices/a-62960012"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netl.doe.gov/energy-analyses/pubs/CFPP%20Efficiency-FINAL.pdf" TargetMode="External"/><Relationship Id="rId12" Type="http://schemas.openxmlformats.org/officeDocument/2006/relationships/hyperlink" Target="https://www.rystadenergy.com/newsevents/news/press-releases/carbon-capture-capacity-poised-to-surge-more-than-10-times-by-2030-but-aggressive-investment-needed-to-meet-mid-century-targets/"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dpi.com/1996-1073/14/1/120"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biofit-h2020.eu/publications-reports/Biofit-Factsheet_CoalConversions.pdf"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www.ammoniaenergy.org/articles/the-evolving-context-of-ammonia-coal-co-firing/" TargetMode="External"/><Relationship Id="rId14" Type="http://schemas.openxmlformats.org/officeDocument/2006/relationships/hyperlink" Target="http://www.destatis.de/"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3337</Words>
  <Characters>19021</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International Conference</vt:lpstr>
    </vt:vector>
  </TitlesOfParts>
  <Company>TU-Sofia</Company>
  <LinksUpToDate>false</LinksUpToDate>
  <CharactersWithSpaces>22314</CharactersWithSpaces>
  <SharedDoc>false</SharedDoc>
  <HLinks>
    <vt:vector size="42" baseType="variant">
      <vt:variant>
        <vt:i4>65550</vt:i4>
      </vt:variant>
      <vt:variant>
        <vt:i4>24</vt:i4>
      </vt:variant>
      <vt:variant>
        <vt:i4>0</vt:i4>
      </vt:variant>
      <vt:variant>
        <vt:i4>5</vt:i4>
      </vt:variant>
      <vt:variant>
        <vt:lpwstr>http://www.gcf.ch/wp-content/uploads/</vt:lpwstr>
      </vt:variant>
      <vt:variant>
        <vt:lpwstr/>
      </vt:variant>
      <vt:variant>
        <vt:i4>2752617</vt:i4>
      </vt:variant>
      <vt:variant>
        <vt:i4>21</vt:i4>
      </vt:variant>
      <vt:variant>
        <vt:i4>0</vt:i4>
      </vt:variant>
      <vt:variant>
        <vt:i4>5</vt:i4>
      </vt:variant>
      <vt:variant>
        <vt:lpwstr>http://www.tandfonline.com/doi/abs/10.1080/13876988.2011.555996</vt:lpwstr>
      </vt:variant>
      <vt:variant>
        <vt:lpwstr/>
      </vt:variant>
      <vt:variant>
        <vt:i4>393243</vt:i4>
      </vt:variant>
      <vt:variant>
        <vt:i4>18</vt:i4>
      </vt:variant>
      <vt:variant>
        <vt:i4>0</vt:i4>
      </vt:variant>
      <vt:variant>
        <vt:i4>5</vt:i4>
      </vt:variant>
      <vt:variant>
        <vt:lpwstr>http://dig.csail.mit.edu/2010/Papers/w3cprivacy/paper.pdf</vt:lpwstr>
      </vt:variant>
      <vt:variant>
        <vt:lpwstr/>
      </vt:variant>
      <vt:variant>
        <vt:i4>65550</vt:i4>
      </vt:variant>
      <vt:variant>
        <vt:i4>15</vt:i4>
      </vt:variant>
      <vt:variant>
        <vt:i4>0</vt:i4>
      </vt:variant>
      <vt:variant>
        <vt:i4>5</vt:i4>
      </vt:variant>
      <vt:variant>
        <vt:lpwstr>http://www.gcf.ch/wp-content/uploads/</vt:lpwstr>
      </vt:variant>
      <vt:variant>
        <vt:lpwstr/>
      </vt:variant>
      <vt:variant>
        <vt:i4>7274610</vt:i4>
      </vt:variant>
      <vt:variant>
        <vt:i4>12</vt:i4>
      </vt:variant>
      <vt:variant>
        <vt:i4>0</vt:i4>
      </vt:variant>
      <vt:variant>
        <vt:i4>5</vt:i4>
      </vt:variant>
      <vt:variant>
        <vt:lpwstr>http://ieeexplore.ieee.org/xpl/mostRecentIssue.jsp?punumber=6187453</vt:lpwstr>
      </vt:variant>
      <vt:variant>
        <vt:lpwstr/>
      </vt:variant>
      <vt:variant>
        <vt:i4>6815769</vt:i4>
      </vt:variant>
      <vt:variant>
        <vt:i4>9</vt:i4>
      </vt:variant>
      <vt:variant>
        <vt:i4>0</vt:i4>
      </vt:variant>
      <vt:variant>
        <vt:i4>5</vt:i4>
      </vt:variant>
      <vt:variant>
        <vt:lpwstr>http://ieeexplore.ieee.org/search/searchresult.jsp?searchWithin=p_Authors:.QT.Chen,%20Deyan.QT.&amp;newsearch=partialPref</vt:lpwstr>
      </vt:variant>
      <vt:variant>
        <vt:lpwstr/>
      </vt:variant>
      <vt:variant>
        <vt:i4>2752617</vt:i4>
      </vt:variant>
      <vt:variant>
        <vt:i4>6</vt:i4>
      </vt:variant>
      <vt:variant>
        <vt:i4>0</vt:i4>
      </vt:variant>
      <vt:variant>
        <vt:i4>5</vt:i4>
      </vt:variant>
      <vt:variant>
        <vt:lpwstr>http://www.tandfonline.com/doi/abs/10.1080/13876988.2011.555996</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Conference</dc:title>
  <dc:creator>Vlado Georgievski</dc:creator>
  <cp:lastModifiedBy>User</cp:lastModifiedBy>
  <cp:revision>2</cp:revision>
  <cp:lastPrinted>2024-04-08T09:34:00Z</cp:lastPrinted>
  <dcterms:created xsi:type="dcterms:W3CDTF">2024-04-08T11:03:00Z</dcterms:created>
  <dcterms:modified xsi:type="dcterms:W3CDTF">2024-04-08T11:03:00Z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0d5c4f4-7a29-4385-b7a5-afbe2154ae6f_Enabled">
    <vt:lpwstr>true</vt:lpwstr>
  </property>
  <property fmtid="{D5CDD505-2E9C-101B-9397-08002B2CF9AE}" pid="3" name="MSIP_Label_b0d5c4f4-7a29-4385-b7a5-afbe2154ae6f_SetDate">
    <vt:lpwstr>2022-10-06T08:32:45Z</vt:lpwstr>
  </property>
  <property fmtid="{D5CDD505-2E9C-101B-9397-08002B2CF9AE}" pid="4" name="MSIP_Label_b0d5c4f4-7a29-4385-b7a5-afbe2154ae6f_Method">
    <vt:lpwstr>Standard</vt:lpwstr>
  </property>
  <property fmtid="{D5CDD505-2E9C-101B-9397-08002B2CF9AE}" pid="5" name="MSIP_Label_b0d5c4f4-7a29-4385-b7a5-afbe2154ae6f_Name">
    <vt:lpwstr>Confidential</vt:lpwstr>
  </property>
  <property fmtid="{D5CDD505-2E9C-101B-9397-08002B2CF9AE}" pid="6" name="MSIP_Label_b0d5c4f4-7a29-4385-b7a5-afbe2154ae6f_SiteId">
    <vt:lpwstr>2dfb2f0b-4d21-4268-9559-72926144c918</vt:lpwstr>
  </property>
  <property fmtid="{D5CDD505-2E9C-101B-9397-08002B2CF9AE}" pid="7" name="MSIP_Label_b0d5c4f4-7a29-4385-b7a5-afbe2154ae6f_ActionId">
    <vt:lpwstr>f85e38d3-98f6-4fb4-9120-08366421a18e</vt:lpwstr>
  </property>
  <property fmtid="{D5CDD505-2E9C-101B-9397-08002B2CF9AE}" pid="8" name="MSIP_Label_b0d5c4f4-7a29-4385-b7a5-afbe2154ae6f_ContentBits">
    <vt:lpwstr>0</vt:lpwstr>
  </property>
  <property fmtid="{D5CDD505-2E9C-101B-9397-08002B2CF9AE}" pid="9" name="bcgClassification">
    <vt:lpwstr>bcgConfidential</vt:lpwstr>
  </property>
</Properties>
</file>