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9"/>
          <w:szCs w:val="29"/>
          <w:rtl w:val="0"/>
        </w:rPr>
      </w:pP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>Ass. Prof. Dr. Timco Mucunski</w:t>
      </w:r>
      <w:r>
        <w:rPr>
          <w:rFonts w:ascii="Times" w:cs="Times" w:hAnsi="Times" w:eastAsia="Times"/>
          <w:b w:val="1"/>
          <w:bCs w:val="1"/>
          <w:sz w:val="29"/>
          <w:szCs w:val="29"/>
          <w:vertAlign w:val="superscript"/>
          <w:rtl w:val="0"/>
        </w:rPr>
        <w:footnoteReference w:id="1"/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9"/>
          <w:szCs w:val="29"/>
          <w:rtl w:val="0"/>
        </w:rPr>
      </w:pP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>The Peculium  - a Legal Instrument for Business Ventures?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9"/>
          <w:szCs w:val="29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en-US"/>
        </w:rPr>
        <w:t xml:space="preserve">Even though the </w:t>
      </w:r>
      <w:r>
        <w:rPr>
          <w:rFonts w:ascii="Times" w:hAnsi="Times"/>
          <w:sz w:val="29"/>
          <w:szCs w:val="29"/>
          <w:rtl w:val="0"/>
          <w:lang w:val="en-US"/>
        </w:rPr>
        <w:t xml:space="preserve">peculium is </w:t>
      </w:r>
      <w:r>
        <w:rPr>
          <w:rFonts w:ascii="Times" w:hAnsi="Times"/>
          <w:sz w:val="29"/>
          <w:szCs w:val="29"/>
          <w:rtl w:val="0"/>
          <w:lang w:val="en-US"/>
        </w:rPr>
        <w:t xml:space="preserve">usually interpreted </w:t>
      </w:r>
      <w:r>
        <w:rPr>
          <w:rFonts w:ascii="Times" w:hAnsi="Times"/>
          <w:sz w:val="29"/>
          <w:szCs w:val="29"/>
          <w:rtl w:val="0"/>
          <w:lang w:val="en-US"/>
        </w:rPr>
        <w:t>as a separate estate of sons, slaves, and other individuals</w:t>
      </w:r>
      <w:r>
        <w:rPr>
          <w:rFonts w:ascii="Times" w:hAnsi="Times"/>
          <w:sz w:val="29"/>
          <w:szCs w:val="29"/>
          <w:rtl w:val="0"/>
          <w:lang w:val="en-US"/>
        </w:rPr>
        <w:t xml:space="preserve"> </w:t>
      </w:r>
      <w:r>
        <w:rPr>
          <w:rFonts w:ascii="Times" w:hAnsi="Times"/>
          <w:sz w:val="29"/>
          <w:szCs w:val="29"/>
          <w:rtl w:val="0"/>
          <w:lang w:val="en-US"/>
        </w:rPr>
        <w:t>subject to the authority of someone else</w:t>
      </w:r>
      <w:r>
        <w:rPr>
          <w:rFonts w:ascii="Times" w:hAnsi="Times"/>
          <w:sz w:val="29"/>
          <w:szCs w:val="29"/>
          <w:rtl w:val="0"/>
          <w:lang w:val="en-US"/>
        </w:rPr>
        <w:t xml:space="preserve">, or </w:t>
      </w:r>
      <w:r>
        <w:rPr>
          <w:rFonts w:ascii="Times" w:hAnsi="Times"/>
          <w:i w:val="1"/>
          <w:iCs w:val="1"/>
          <w:sz w:val="29"/>
          <w:szCs w:val="29"/>
          <w:rtl w:val="0"/>
        </w:rPr>
        <w:t>personae alieno iuri subiectae</w:t>
      </w:r>
      <w:r>
        <w:rPr>
          <w:rFonts w:ascii="Times" w:hAnsi="Times"/>
          <w:i w:val="1"/>
          <w:iCs w:val="1"/>
          <w:sz w:val="29"/>
          <w:szCs w:val="29"/>
          <w:rtl w:val="0"/>
          <w:lang w:val="en-US"/>
        </w:rPr>
        <w:t xml:space="preserve"> </w:t>
      </w:r>
      <w:r>
        <w:rPr>
          <w:rFonts w:ascii="Times" w:hAnsi="Times"/>
          <w:sz w:val="29"/>
          <w:szCs w:val="29"/>
          <w:rtl w:val="0"/>
          <w:lang w:val="en-US"/>
        </w:rPr>
        <w:t xml:space="preserve"> it has two </w:t>
      </w:r>
      <w:r>
        <w:rPr>
          <w:rFonts w:ascii="Times" w:hAnsi="Times"/>
          <w:sz w:val="29"/>
          <w:szCs w:val="29"/>
          <w:rtl w:val="0"/>
        </w:rPr>
        <w:t xml:space="preserve">distinct </w:t>
      </w:r>
      <w:r>
        <w:rPr>
          <w:rFonts w:ascii="Times" w:hAnsi="Times"/>
          <w:sz w:val="29"/>
          <w:szCs w:val="29"/>
          <w:rtl w:val="0"/>
          <w:lang w:val="en-US"/>
        </w:rPr>
        <w:t xml:space="preserve">characteristics </w:t>
      </w:r>
      <w:r>
        <w:rPr>
          <w:rFonts w:ascii="Times" w:hAnsi="Times"/>
          <w:sz w:val="29"/>
          <w:szCs w:val="29"/>
          <w:rtl w:val="0"/>
          <w:lang w:val="en-US"/>
        </w:rPr>
        <w:t>for those who were subject to another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en-US"/>
        </w:rPr>
        <w:t>s authority</w:t>
      </w:r>
      <w:r>
        <w:rPr>
          <w:rFonts w:ascii="Times" w:hAnsi="Times"/>
          <w:sz w:val="29"/>
          <w:szCs w:val="29"/>
          <w:rtl w:val="0"/>
          <w:lang w:val="en-US"/>
        </w:rPr>
        <w:t>:</w:t>
      </w:r>
      <w:r>
        <w:rPr>
          <w:rFonts w:ascii="Times" w:hAnsi="Times"/>
          <w:sz w:val="29"/>
          <w:szCs w:val="29"/>
          <w:rtl w:val="0"/>
          <w:lang w:val="en-US"/>
        </w:rPr>
        <w:t xml:space="preserve"> receiving a peculium gave some degree of financial independence and autonomy, while for those who exerted authority, granting a peculium offered the pro</w:t>
      </w:r>
      <w:r>
        <w:rPr>
          <w:rFonts w:ascii="Times" w:hAnsi="Times"/>
          <w:sz w:val="29"/>
          <w:szCs w:val="29"/>
          <w:rtl w:val="0"/>
          <w:lang w:val="en-US"/>
        </w:rPr>
        <w:t xml:space="preserve"> </w:t>
      </w:r>
      <w:r>
        <w:rPr>
          <w:rFonts w:ascii="Times" w:hAnsi="Times"/>
          <w:sz w:val="29"/>
          <w:szCs w:val="29"/>
          <w:rtl w:val="0"/>
          <w:lang w:val="en-US"/>
        </w:rPr>
        <w:t>spect of participating indirectly, and therefore at lower risk, in the recipient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en-US"/>
        </w:rPr>
        <w:t xml:space="preserve"> potential</w:t>
      </w:r>
      <w:r>
        <w:rPr>
          <w:rFonts w:ascii="Times" w:hAnsi="Times"/>
          <w:sz w:val="29"/>
          <w:szCs w:val="29"/>
          <w:rtl w:val="0"/>
        </w:rPr>
        <w:t xml:space="preserve"> business ventures. </w:t>
      </w:r>
      <w:r>
        <w:rPr>
          <w:rFonts w:ascii="Times" w:hAnsi="Times"/>
          <w:sz w:val="29"/>
          <w:szCs w:val="29"/>
          <w:rtl w:val="0"/>
          <w:lang w:val="en-US"/>
        </w:rPr>
        <w:t>Recent legal theory has made it common</w:t>
      </w:r>
      <w:r>
        <w:rPr>
          <w:rFonts w:ascii="Times" w:hAnsi="Times"/>
          <w:sz w:val="29"/>
          <w:szCs w:val="29"/>
          <w:rtl w:val="0"/>
          <w:lang w:val="en-US"/>
        </w:rPr>
        <w:t xml:space="preserve"> to turn to the peculium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en-US"/>
        </w:rPr>
        <w:t xml:space="preserve">s second </w:t>
      </w:r>
      <w:r>
        <w:rPr>
          <w:rFonts w:ascii="Times" w:hAnsi="Times"/>
          <w:sz w:val="29"/>
          <w:szCs w:val="29"/>
          <w:rtl w:val="0"/>
          <w:lang w:val="en-US"/>
        </w:rPr>
        <w:t>characteristic</w:t>
      </w:r>
      <w:r>
        <w:rPr>
          <w:rFonts w:ascii="Times" w:hAnsi="Times"/>
          <w:sz w:val="29"/>
          <w:szCs w:val="29"/>
          <w:rtl w:val="0"/>
          <w:lang w:val="en-US"/>
        </w:rPr>
        <w:t xml:space="preserve"> and </w:t>
      </w:r>
      <w:r>
        <w:rPr>
          <w:rFonts w:ascii="Times" w:hAnsi="Times"/>
          <w:sz w:val="29"/>
          <w:szCs w:val="29"/>
          <w:rtl w:val="0"/>
          <w:lang w:val="en-US"/>
        </w:rPr>
        <w:t xml:space="preserve">rationalize </w:t>
      </w:r>
      <w:r>
        <w:rPr>
          <w:rFonts w:ascii="Times" w:hAnsi="Times"/>
          <w:sz w:val="29"/>
          <w:szCs w:val="29"/>
          <w:rtl w:val="0"/>
          <w:lang w:val="en-US"/>
        </w:rPr>
        <w:t xml:space="preserve">the peculium as a legal instrument through which businessmen could finance </w:t>
      </w:r>
      <w:r>
        <w:rPr>
          <w:rFonts w:ascii="Times" w:hAnsi="Times"/>
          <w:sz w:val="29"/>
          <w:szCs w:val="29"/>
          <w:rtl w:val="0"/>
          <w:lang w:val="en-US"/>
        </w:rPr>
        <w:t xml:space="preserve">specific </w:t>
      </w:r>
      <w:r>
        <w:rPr>
          <w:rFonts w:ascii="Times" w:hAnsi="Times"/>
          <w:sz w:val="29"/>
          <w:szCs w:val="29"/>
          <w:rtl w:val="0"/>
        </w:rPr>
        <w:t>business ventures.</w:t>
      </w:r>
      <w:r>
        <w:rPr>
          <w:rFonts w:ascii="Times" w:hAnsi="Times"/>
          <w:sz w:val="29"/>
          <w:szCs w:val="29"/>
          <w:rtl w:val="0"/>
          <w:lang w:val="en-US"/>
        </w:rPr>
        <w:t xml:space="preserve"> This paper will analyze this paradigm and conduct an evaluation of whether or not this legal institute of roman law can be interpreted as a sui generis corporate entity, or if on the other hand it had objectives both from a legal and practical perspective that can lead to quite contrary conclusions.</w:t>
      </w:r>
    </w:p>
    <w:p>
      <w:pPr>
        <w:pStyle w:val="Defaul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both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Key terms: </w:t>
      </w:r>
      <w:r>
        <w:rPr>
          <w:rFonts w:ascii="Times" w:hAnsi="Times"/>
          <w:sz w:val="24"/>
          <w:szCs w:val="24"/>
          <w:rtl w:val="0"/>
          <w:lang w:val="en-US"/>
        </w:rPr>
        <w:t>Peculium, Business, Corporatation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Dr. Timco Mucunski is an Assistant Professor of Roman Law at the Faculty of Law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Iustinianus Primus</w:t>
      </w:r>
      <w:r>
        <w:rPr>
          <w:rFonts w:cs="Arial Unicode MS" w:eastAsia="Arial Unicode MS" w:hint="default"/>
          <w:rtl w:val="0"/>
          <w:lang w:val="en-US"/>
        </w:rPr>
        <w:t>”</w:t>
      </w:r>
      <w:r>
        <w:rPr>
          <w:rFonts w:cs="Arial Unicode MS" w:eastAsia="Arial Unicode MS"/>
          <w:rtl w:val="0"/>
          <w:lang w:val="en-US"/>
        </w:rPr>
        <w:t>, University of Ss. Cyril and Methodius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