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FF" w:rsidRPr="00C14BB4" w:rsidRDefault="00B0349F" w:rsidP="00FA1CFF">
      <w:pPr>
        <w:spacing w:after="0" w:line="240" w:lineRule="auto"/>
        <w:jc w:val="center"/>
        <w:rPr>
          <w:rFonts w:ascii="Times New Roman" w:hAnsi="Times New Roman" w:cs="Times New Roman"/>
          <w:b/>
          <w:bCs/>
          <w:sz w:val="24"/>
          <w:szCs w:val="24"/>
          <w:lang w:val="en-US"/>
        </w:rPr>
      </w:pPr>
      <w:r w:rsidRPr="00C14BB4">
        <w:rPr>
          <w:rFonts w:ascii="Times New Roman" w:hAnsi="Times New Roman" w:cs="Times New Roman"/>
          <w:b/>
          <w:bCs/>
          <w:sz w:val="24"/>
          <w:szCs w:val="24"/>
          <w:lang w:val="en-US"/>
        </w:rPr>
        <w:t>DETERMINANTS OF LIFE EXPECTANCY: ANALYSIS OF SOUTHEASTERN EUROPEAN COUNTRIES</w:t>
      </w:r>
    </w:p>
    <w:p w:rsidR="00B0349F" w:rsidRPr="00891545" w:rsidRDefault="00B0349F" w:rsidP="00FA1CFF">
      <w:pPr>
        <w:spacing w:after="0" w:line="240" w:lineRule="auto"/>
        <w:jc w:val="center"/>
        <w:rPr>
          <w:rFonts w:ascii="Times New Roman" w:hAnsi="Times New Roman" w:cs="Times New Roman"/>
          <w:b/>
          <w:bCs/>
          <w:sz w:val="20"/>
          <w:szCs w:val="20"/>
          <w:lang w:val="en-US"/>
        </w:rPr>
      </w:pPr>
    </w:p>
    <w:p w:rsidR="00FA1CFF" w:rsidRPr="00A84350" w:rsidRDefault="00FA1CFF" w:rsidP="00FA1CFF">
      <w:pPr>
        <w:spacing w:after="0" w:line="240" w:lineRule="auto"/>
        <w:jc w:val="center"/>
        <w:rPr>
          <w:rFonts w:ascii="Times New Roman" w:hAnsi="Times New Roman" w:cs="Times New Roman"/>
          <w:b/>
          <w:bCs/>
          <w:lang w:val="en-US"/>
        </w:rPr>
      </w:pPr>
      <w:r w:rsidRPr="00A84350">
        <w:rPr>
          <w:rFonts w:ascii="Times New Roman" w:hAnsi="Times New Roman" w:cs="Times New Roman"/>
          <w:b/>
          <w:bCs/>
          <w:lang w:val="en-US"/>
        </w:rPr>
        <w:t>Marija Trpkova-Nestorovska, PhD</w:t>
      </w:r>
    </w:p>
    <w:p w:rsidR="00C14BB4" w:rsidRPr="00A372BD" w:rsidRDefault="00891545" w:rsidP="00A372BD">
      <w:pPr>
        <w:spacing w:after="0" w:line="240" w:lineRule="auto"/>
        <w:jc w:val="center"/>
        <w:rPr>
          <w:rFonts w:ascii="Times New Roman" w:hAnsi="Times New Roman" w:cs="Times New Roman"/>
          <w:lang w:val="en-US"/>
        </w:rPr>
      </w:pPr>
      <w:r w:rsidRPr="00C14BB4">
        <w:rPr>
          <w:rFonts w:ascii="Times New Roman" w:hAnsi="Times New Roman" w:cs="Times New Roman"/>
          <w:lang w:val="en-US"/>
        </w:rPr>
        <w:t>Faculty of Economics-Skopje</w:t>
      </w:r>
      <w:r w:rsidR="00AA6D69">
        <w:rPr>
          <w:rFonts w:ascii="Times New Roman" w:hAnsi="Times New Roman" w:cs="Times New Roman"/>
        </w:rPr>
        <w:t xml:space="preserve">, </w:t>
      </w:r>
      <w:r w:rsidRPr="00C14BB4">
        <w:rPr>
          <w:rFonts w:ascii="Times New Roman" w:hAnsi="Times New Roman" w:cs="Times New Roman"/>
          <w:lang w:val="en-US"/>
        </w:rPr>
        <w:t>University “Ss.Cyril and Methodius” in Skopje</w:t>
      </w:r>
      <w:r w:rsidR="00AA6D69">
        <w:rPr>
          <w:rFonts w:ascii="Times New Roman" w:hAnsi="Times New Roman" w:cs="Times New Roman"/>
        </w:rPr>
        <w:t xml:space="preserve">, </w:t>
      </w:r>
      <w:r w:rsidR="00C14BB4">
        <w:rPr>
          <w:rFonts w:ascii="Times New Roman" w:hAnsi="Times New Roman" w:cs="Times New Roman"/>
          <w:lang w:val="en-US"/>
        </w:rPr>
        <w:t>Republic of North Macedonia</w:t>
      </w:r>
      <w:r w:rsidR="00AA6D69">
        <w:rPr>
          <w:rFonts w:ascii="Times New Roman" w:hAnsi="Times New Roman" w:cs="Times New Roman"/>
        </w:rPr>
        <w:t xml:space="preserve">, </w:t>
      </w:r>
      <w:r w:rsidRPr="00C14BB4">
        <w:rPr>
          <w:rFonts w:ascii="Times New Roman" w:hAnsi="Times New Roman" w:cs="Times New Roman"/>
          <w:lang w:val="en-US"/>
        </w:rPr>
        <w:t>marijat@eccf.ukim.edu.mk</w:t>
      </w:r>
    </w:p>
    <w:p w:rsidR="00C14BB4" w:rsidRPr="00A84350" w:rsidRDefault="0005108C" w:rsidP="00FA1CFF">
      <w:pPr>
        <w:spacing w:after="0" w:line="240" w:lineRule="auto"/>
        <w:jc w:val="center"/>
        <w:rPr>
          <w:rFonts w:ascii="Times New Roman" w:hAnsi="Times New Roman" w:cs="Times New Roman"/>
          <w:b/>
          <w:bCs/>
          <w:lang w:val="en-US"/>
        </w:rPr>
      </w:pPr>
      <w:r w:rsidRPr="00A84350">
        <w:rPr>
          <w:rFonts w:ascii="Times New Roman" w:hAnsi="Times New Roman" w:cs="Times New Roman"/>
          <w:b/>
          <w:bCs/>
          <w:lang w:val="en-US"/>
        </w:rPr>
        <w:t>Nikola Levkov, PhD</w:t>
      </w:r>
    </w:p>
    <w:p w:rsidR="0005108C" w:rsidRPr="00A84350" w:rsidRDefault="00AA6D69" w:rsidP="00FA1CFF">
      <w:pPr>
        <w:spacing w:after="0" w:line="240" w:lineRule="auto"/>
        <w:jc w:val="center"/>
        <w:rPr>
          <w:rFonts w:ascii="Times New Roman" w:hAnsi="Times New Roman" w:cs="Times New Roman"/>
          <w:bCs/>
        </w:rPr>
      </w:pPr>
      <w:r w:rsidRPr="00C14BB4">
        <w:rPr>
          <w:rFonts w:ascii="Times New Roman" w:hAnsi="Times New Roman" w:cs="Times New Roman"/>
          <w:lang w:val="en-US"/>
        </w:rPr>
        <w:t>Faculty of Economics-Skopje</w:t>
      </w:r>
      <w:r>
        <w:rPr>
          <w:rFonts w:ascii="Times New Roman" w:hAnsi="Times New Roman" w:cs="Times New Roman"/>
        </w:rPr>
        <w:t xml:space="preserve">, </w:t>
      </w:r>
      <w:r w:rsidRPr="00C14BB4">
        <w:rPr>
          <w:rFonts w:ascii="Times New Roman" w:hAnsi="Times New Roman" w:cs="Times New Roman"/>
          <w:lang w:val="en-US"/>
        </w:rPr>
        <w:t>University “Ss.Cyril and Methodius” in Skopje</w:t>
      </w:r>
      <w:r>
        <w:rPr>
          <w:rFonts w:ascii="Times New Roman" w:hAnsi="Times New Roman" w:cs="Times New Roman"/>
        </w:rPr>
        <w:t xml:space="preserve">, </w:t>
      </w:r>
      <w:r>
        <w:rPr>
          <w:rFonts w:ascii="Times New Roman" w:hAnsi="Times New Roman" w:cs="Times New Roman"/>
          <w:lang w:val="en-US"/>
        </w:rPr>
        <w:t>Republic of North Macedonia</w:t>
      </w:r>
      <w:r>
        <w:rPr>
          <w:rFonts w:ascii="Times New Roman" w:hAnsi="Times New Roman" w:cs="Times New Roman"/>
        </w:rPr>
        <w:t xml:space="preserve">, </w:t>
      </w:r>
      <w:r w:rsidR="0005108C" w:rsidRPr="0005108C">
        <w:rPr>
          <w:rFonts w:ascii="Times New Roman" w:hAnsi="Times New Roman" w:cs="Times New Roman"/>
          <w:bCs/>
          <w:lang w:val="en-US"/>
        </w:rPr>
        <w:t>nikolal@eccf.ukim.edu.mk</w:t>
      </w:r>
    </w:p>
    <w:p w:rsidR="00891545" w:rsidRPr="00891545" w:rsidRDefault="00891545">
      <w:pPr>
        <w:spacing w:after="0" w:line="240" w:lineRule="auto"/>
        <w:rPr>
          <w:rFonts w:ascii="Times New Roman" w:hAnsi="Times New Roman" w:cs="Times New Roman"/>
          <w:b/>
          <w:bCs/>
          <w:sz w:val="20"/>
          <w:szCs w:val="20"/>
          <w:lang w:val="en-US"/>
        </w:rPr>
      </w:pPr>
    </w:p>
    <w:p w:rsidR="007A4B4F" w:rsidRDefault="00FA1CFF" w:rsidP="00581776">
      <w:pPr>
        <w:spacing w:after="0" w:line="240" w:lineRule="auto"/>
        <w:jc w:val="both"/>
        <w:rPr>
          <w:rFonts w:ascii="Times New Roman" w:hAnsi="Times New Roman" w:cs="Times New Roman"/>
          <w:iCs/>
          <w:sz w:val="20"/>
          <w:szCs w:val="20"/>
          <w:lang w:val="en-US"/>
        </w:rPr>
      </w:pPr>
      <w:r w:rsidRPr="0092772C">
        <w:rPr>
          <w:rFonts w:ascii="Times New Roman" w:hAnsi="Times New Roman" w:cs="Times New Roman"/>
          <w:b/>
          <w:bCs/>
          <w:sz w:val="20"/>
          <w:szCs w:val="20"/>
          <w:lang w:val="en-US"/>
        </w:rPr>
        <w:t>Abstract</w:t>
      </w:r>
      <w:r w:rsidR="00A84350">
        <w:rPr>
          <w:rFonts w:ascii="Times New Roman" w:hAnsi="Times New Roman" w:cs="Times New Roman"/>
          <w:b/>
          <w:bCs/>
          <w:sz w:val="20"/>
          <w:szCs w:val="20"/>
          <w:lang w:val="en-US"/>
        </w:rPr>
        <w:t xml:space="preserve">: </w:t>
      </w:r>
      <w:r w:rsidR="009D36DA">
        <w:rPr>
          <w:rFonts w:ascii="Times New Roman" w:hAnsi="Times New Roman" w:cs="Times New Roman"/>
          <w:iCs/>
          <w:sz w:val="20"/>
          <w:szCs w:val="20"/>
          <w:lang w:val="en-US"/>
        </w:rPr>
        <w:t xml:space="preserve">Political, social or economic factors can significantly influence the life expectancy at birth. This is important since life expectancy is an indicator of both the quality of life and one country’s development. Governments should create strategies in order to improve the quality of life, nevertheless, they should first know the main factors that determine it. Consequently, the main purpose of this analysis is to identify the key determinants of life expectancy at birth by using the cointegrated panel regression model for </w:t>
      </w:r>
      <w:r w:rsidR="00737055">
        <w:rPr>
          <w:rFonts w:ascii="Times New Roman" w:hAnsi="Times New Roman" w:cs="Times New Roman"/>
          <w:iCs/>
          <w:sz w:val="20"/>
          <w:szCs w:val="20"/>
          <w:lang w:val="en-US"/>
        </w:rPr>
        <w:t>twelve</w:t>
      </w:r>
      <w:r w:rsidR="009D36DA">
        <w:rPr>
          <w:rFonts w:ascii="Times New Roman" w:hAnsi="Times New Roman" w:cs="Times New Roman"/>
          <w:iCs/>
          <w:sz w:val="20"/>
          <w:szCs w:val="20"/>
          <w:lang w:val="en-US"/>
        </w:rPr>
        <w:t xml:space="preserve"> Southeastern European countries</w:t>
      </w:r>
      <w:r w:rsidR="00CB780B">
        <w:rPr>
          <w:rFonts w:ascii="Times New Roman" w:hAnsi="Times New Roman" w:cs="Times New Roman"/>
          <w:iCs/>
          <w:sz w:val="20"/>
          <w:szCs w:val="20"/>
          <w:lang w:val="en-US"/>
        </w:rPr>
        <w:t xml:space="preserve">. </w:t>
      </w:r>
      <w:r w:rsidR="00CB780B">
        <w:rPr>
          <w:rFonts w:ascii="Times New Roman" w:hAnsi="Times New Roman" w:cs="Times New Roman"/>
          <w:sz w:val="20"/>
          <w:szCs w:val="20"/>
          <w:lang w:val="en-US"/>
        </w:rPr>
        <w:t xml:space="preserve">The research includes annual data for period 2000-2015, for </w:t>
      </w:r>
      <w:r w:rsidR="00CB780B">
        <w:rPr>
          <w:rFonts w:ascii="Times New Roman" w:hAnsi="Times New Roman" w:cs="Times New Roman"/>
          <w:sz w:val="20"/>
          <w:szCs w:val="20"/>
          <w:lang w:val="en-US"/>
        </w:rPr>
        <w:t>twelve</w:t>
      </w:r>
      <w:r w:rsidR="00CB780B">
        <w:rPr>
          <w:rFonts w:ascii="Times New Roman" w:hAnsi="Times New Roman" w:cs="Times New Roman"/>
          <w:sz w:val="20"/>
          <w:szCs w:val="20"/>
          <w:lang w:val="en-US"/>
        </w:rPr>
        <w:t xml:space="preserve"> countries</w:t>
      </w:r>
      <w:r w:rsidR="00CB780B">
        <w:rPr>
          <w:rFonts w:ascii="Times New Roman" w:hAnsi="Times New Roman" w:cs="Times New Roman"/>
          <w:sz w:val="20"/>
          <w:szCs w:val="20"/>
          <w:lang w:val="en-US"/>
        </w:rPr>
        <w:t xml:space="preserve">. </w:t>
      </w:r>
      <w:r w:rsidR="00CB780B">
        <w:rPr>
          <w:rFonts w:ascii="Times New Roman" w:hAnsi="Times New Roman" w:cs="Times New Roman"/>
          <w:sz w:val="20"/>
          <w:szCs w:val="20"/>
          <w:lang w:val="en-US"/>
        </w:rPr>
        <w:t xml:space="preserve">The countries included in this analysis are Albania, Bosnia and Herzegovina, Bulgaria, Croatia, Cyprus, Greece, Macedonia, Moldova, Romania, Serbia, Slovenia and Turkey. Kosovo and Montenegro are not included in the analysis due to the insufficient data for the observed period. The total number of observations is 192. </w:t>
      </w:r>
      <w:r w:rsidR="00737055" w:rsidRPr="00737055">
        <w:rPr>
          <w:rFonts w:ascii="Times New Roman" w:hAnsi="Times New Roman" w:cs="Times New Roman"/>
          <w:sz w:val="20"/>
          <w:szCs w:val="20"/>
          <w:lang w:val="en-US"/>
        </w:rPr>
        <w:t xml:space="preserve"> </w:t>
      </w:r>
      <w:r w:rsidR="00581776">
        <w:rPr>
          <w:rFonts w:ascii="Times New Roman" w:hAnsi="Times New Roman" w:cs="Times New Roman"/>
          <w:iCs/>
          <w:sz w:val="20"/>
          <w:szCs w:val="20"/>
          <w:lang w:val="en-US"/>
        </w:rPr>
        <w:t>The analysis e</w:t>
      </w:r>
      <w:r w:rsidR="00F83C14">
        <w:rPr>
          <w:rFonts w:ascii="Times New Roman" w:hAnsi="Times New Roman" w:cs="Times New Roman"/>
          <w:iCs/>
          <w:sz w:val="20"/>
          <w:szCs w:val="20"/>
          <w:lang w:val="en-US"/>
        </w:rPr>
        <w:t>xamines the possible statistically significant impact that the six explanatory variables (</w:t>
      </w:r>
      <w:r w:rsidR="00581776">
        <w:rPr>
          <w:rFonts w:ascii="Times New Roman" w:hAnsi="Times New Roman" w:cs="Times New Roman"/>
          <w:iCs/>
          <w:sz w:val="20"/>
          <w:szCs w:val="20"/>
          <w:lang w:val="en-US"/>
        </w:rPr>
        <w:t>consumer price index, employment, food production index, gross national income per capita, health expenditure per capita and immunization</w:t>
      </w:r>
      <w:r w:rsidR="00F83C14">
        <w:rPr>
          <w:rFonts w:ascii="Times New Roman" w:hAnsi="Times New Roman" w:cs="Times New Roman"/>
          <w:iCs/>
          <w:sz w:val="20"/>
          <w:szCs w:val="20"/>
          <w:lang w:val="en-US"/>
        </w:rPr>
        <w:t>)</w:t>
      </w:r>
      <w:r w:rsidR="00581776">
        <w:rPr>
          <w:rFonts w:ascii="Times New Roman" w:hAnsi="Times New Roman" w:cs="Times New Roman"/>
          <w:iCs/>
          <w:sz w:val="20"/>
          <w:szCs w:val="20"/>
          <w:lang w:val="en-US"/>
        </w:rPr>
        <w:t xml:space="preserve"> </w:t>
      </w:r>
      <w:r w:rsidR="00F83C14">
        <w:rPr>
          <w:rFonts w:ascii="Times New Roman" w:hAnsi="Times New Roman" w:cs="Times New Roman"/>
          <w:iCs/>
          <w:sz w:val="20"/>
          <w:szCs w:val="20"/>
          <w:lang w:val="en-US"/>
        </w:rPr>
        <w:t>may have</w:t>
      </w:r>
      <w:r w:rsidR="00581776">
        <w:rPr>
          <w:rFonts w:ascii="Times New Roman" w:hAnsi="Times New Roman" w:cs="Times New Roman"/>
          <w:iCs/>
          <w:sz w:val="20"/>
          <w:szCs w:val="20"/>
          <w:lang w:val="en-US"/>
        </w:rPr>
        <w:t xml:space="preserve"> on the life expectancy. </w:t>
      </w:r>
      <w:r w:rsidR="00A372BD">
        <w:rPr>
          <w:rFonts w:ascii="Times New Roman" w:hAnsi="Times New Roman" w:cs="Times New Roman"/>
          <w:iCs/>
          <w:sz w:val="20"/>
          <w:szCs w:val="20"/>
          <w:lang w:val="en-US"/>
        </w:rPr>
        <w:t xml:space="preserve">Before the regression model is estimated, variables are tested for stationarity and cointegration. </w:t>
      </w:r>
      <w:r w:rsidR="00581776">
        <w:rPr>
          <w:rFonts w:ascii="Times New Roman" w:hAnsi="Times New Roman" w:cs="Times New Roman"/>
          <w:iCs/>
          <w:sz w:val="20"/>
          <w:szCs w:val="20"/>
          <w:lang w:val="en-US"/>
        </w:rPr>
        <w:t>The results from the cointegrated panel regression confirm that the consumer price index, employment and gross national income per capita are statistically significant determinants that influence the life expectancy at birth in the Southeastern European countries.</w:t>
      </w:r>
      <w:r w:rsidR="00687A12">
        <w:rPr>
          <w:rFonts w:ascii="Times New Roman" w:hAnsi="Times New Roman" w:cs="Times New Roman"/>
          <w:iCs/>
          <w:sz w:val="20"/>
          <w:szCs w:val="20"/>
          <w:lang w:val="en-US"/>
        </w:rPr>
        <w:t xml:space="preserve"> </w:t>
      </w:r>
      <w:r w:rsidR="00BF567C">
        <w:rPr>
          <w:rFonts w:ascii="Times New Roman" w:hAnsi="Times New Roman" w:cs="Times New Roman"/>
          <w:sz w:val="20"/>
          <w:szCs w:val="20"/>
        </w:rPr>
        <w:t>Consumer price index has positiv</w:t>
      </w:r>
      <w:r w:rsidR="00BF567C">
        <w:rPr>
          <w:rFonts w:ascii="Times New Roman" w:hAnsi="Times New Roman" w:cs="Times New Roman"/>
          <w:sz w:val="20"/>
          <w:szCs w:val="20"/>
        </w:rPr>
        <w:t>e impact of the life expectancy,</w:t>
      </w:r>
      <w:r w:rsidR="00BF567C" w:rsidRPr="00BF567C">
        <w:rPr>
          <w:rFonts w:ascii="Times New Roman" w:hAnsi="Times New Roman" w:cs="Times New Roman"/>
          <w:sz w:val="20"/>
          <w:szCs w:val="20"/>
        </w:rPr>
        <w:t xml:space="preserve"> </w:t>
      </w:r>
      <w:r w:rsidR="00BF567C">
        <w:rPr>
          <w:rFonts w:ascii="Times New Roman" w:hAnsi="Times New Roman" w:cs="Times New Roman"/>
          <w:sz w:val="20"/>
          <w:szCs w:val="20"/>
        </w:rPr>
        <w:t>as the life expectancy continues to increase, the demand for food also increases and so does its prices.</w:t>
      </w:r>
      <w:r w:rsidR="00BF567C" w:rsidRPr="00BF567C">
        <w:rPr>
          <w:rFonts w:ascii="Times New Roman" w:hAnsi="Times New Roman" w:cs="Times New Roman"/>
          <w:sz w:val="20"/>
          <w:szCs w:val="20"/>
        </w:rPr>
        <w:t xml:space="preserve"> </w:t>
      </w:r>
      <w:r w:rsidR="00BF567C">
        <w:rPr>
          <w:rFonts w:ascii="Times New Roman" w:hAnsi="Times New Roman" w:cs="Times New Roman"/>
          <w:sz w:val="20"/>
          <w:szCs w:val="20"/>
        </w:rPr>
        <w:t>Employment to population ratio</w:t>
      </w:r>
      <w:r w:rsidR="00BF567C">
        <w:rPr>
          <w:rFonts w:ascii="Times New Roman" w:hAnsi="Times New Roman" w:cs="Times New Roman"/>
          <w:sz w:val="20"/>
          <w:szCs w:val="20"/>
          <w:lang w:val="en-US"/>
        </w:rPr>
        <w:t xml:space="preserve"> has negative and statistically significant impact, where decline in employment is mostly due to the emigration of the active work force.</w:t>
      </w:r>
      <w:r w:rsidR="00CB780B" w:rsidRPr="00CB780B">
        <w:rPr>
          <w:rFonts w:ascii="Times New Roman" w:hAnsi="Times New Roman" w:cs="Times New Roman"/>
          <w:sz w:val="20"/>
          <w:szCs w:val="20"/>
        </w:rPr>
        <w:t xml:space="preserve"> </w:t>
      </w:r>
      <w:r w:rsidR="00CB780B">
        <w:rPr>
          <w:rFonts w:ascii="Times New Roman" w:hAnsi="Times New Roman" w:cs="Times New Roman"/>
          <w:sz w:val="20"/>
          <w:szCs w:val="20"/>
        </w:rPr>
        <w:t xml:space="preserve">While the employment rate is declining, the life expectancy, </w:t>
      </w:r>
      <w:r w:rsidR="003F0828">
        <w:rPr>
          <w:rFonts w:ascii="Times New Roman" w:hAnsi="Times New Roman" w:cs="Times New Roman"/>
          <w:sz w:val="20"/>
          <w:szCs w:val="20"/>
          <w:lang w:val="en-US"/>
        </w:rPr>
        <w:t xml:space="preserve">partly </w:t>
      </w:r>
      <w:r w:rsidR="00CB780B">
        <w:rPr>
          <w:rFonts w:ascii="Times New Roman" w:hAnsi="Times New Roman" w:cs="Times New Roman"/>
          <w:sz w:val="20"/>
          <w:szCs w:val="20"/>
        </w:rPr>
        <w:t xml:space="preserve">due to the other factors, is constantly increasing, thus the negative dependence. Gross national income has positive and statistically significant effect on the life expectancy. The result is in accordance with the expectations because greater the </w:t>
      </w:r>
      <w:r w:rsidR="00767A6D">
        <w:rPr>
          <w:rFonts w:ascii="Times New Roman" w:hAnsi="Times New Roman" w:cs="Times New Roman"/>
          <w:sz w:val="20"/>
          <w:szCs w:val="20"/>
          <w:lang w:val="en-US"/>
        </w:rPr>
        <w:t>gross national impact</w:t>
      </w:r>
      <w:r w:rsidR="00CB780B">
        <w:rPr>
          <w:rFonts w:ascii="Times New Roman" w:hAnsi="Times New Roman" w:cs="Times New Roman"/>
          <w:sz w:val="20"/>
          <w:szCs w:val="20"/>
        </w:rPr>
        <w:t xml:space="preserve"> per capita means better standard of living with quality housing, education, health providers, quality food</w:t>
      </w:r>
      <w:r w:rsidR="00CB780B">
        <w:rPr>
          <w:rFonts w:ascii="Times New Roman" w:hAnsi="Times New Roman" w:cs="Times New Roman"/>
          <w:sz w:val="20"/>
          <w:szCs w:val="20"/>
          <w:lang w:val="en-US"/>
        </w:rPr>
        <w:t>.</w:t>
      </w:r>
      <w:r w:rsidR="00CB780B" w:rsidRPr="00CB780B">
        <w:rPr>
          <w:rFonts w:ascii="Times New Roman" w:hAnsi="Times New Roman" w:cs="Times New Roman"/>
          <w:sz w:val="20"/>
          <w:szCs w:val="20"/>
        </w:rPr>
        <w:t xml:space="preserve"> </w:t>
      </w:r>
      <w:r w:rsidR="00CB780B">
        <w:rPr>
          <w:rFonts w:ascii="Times New Roman" w:hAnsi="Times New Roman" w:cs="Times New Roman"/>
          <w:sz w:val="20"/>
          <w:szCs w:val="20"/>
          <w:lang w:val="en-US"/>
        </w:rPr>
        <w:t>Solid</w:t>
      </w:r>
      <w:r w:rsidR="00CB780B">
        <w:rPr>
          <w:rFonts w:ascii="Times New Roman" w:hAnsi="Times New Roman" w:cs="Times New Roman"/>
          <w:sz w:val="20"/>
          <w:szCs w:val="20"/>
        </w:rPr>
        <w:t xml:space="preserve"> economy is precondition for improvement of life expectancy and thus quality of living.</w:t>
      </w:r>
      <w:r w:rsidR="00CB780B">
        <w:rPr>
          <w:rFonts w:ascii="Times New Roman" w:hAnsi="Times New Roman" w:cs="Times New Roman"/>
          <w:sz w:val="20"/>
          <w:szCs w:val="20"/>
        </w:rPr>
        <w:t xml:space="preserve"> </w:t>
      </w:r>
      <w:r w:rsidR="007A4B4F">
        <w:rPr>
          <w:rFonts w:ascii="Times New Roman" w:hAnsi="Times New Roman" w:cs="Times New Roman"/>
          <w:iCs/>
          <w:sz w:val="20"/>
          <w:szCs w:val="20"/>
          <w:lang w:val="en-US"/>
        </w:rPr>
        <w:t>Having economic factors as key determinants of life expectancy is important input while creating government policies and measures that could contribute to better quality of living.</w:t>
      </w:r>
    </w:p>
    <w:p w:rsidR="00FA1CFF" w:rsidRPr="00A84350" w:rsidRDefault="00FA1CFF" w:rsidP="00581776">
      <w:pPr>
        <w:spacing w:after="0" w:line="240" w:lineRule="auto"/>
        <w:jc w:val="both"/>
        <w:rPr>
          <w:rFonts w:ascii="Times New Roman" w:hAnsi="Times New Roman" w:cs="Times New Roman"/>
          <w:sz w:val="20"/>
          <w:szCs w:val="20"/>
          <w:lang w:val="en-US"/>
        </w:rPr>
      </w:pPr>
      <w:r w:rsidRPr="00687A12">
        <w:rPr>
          <w:rFonts w:ascii="Times New Roman" w:hAnsi="Times New Roman" w:cs="Times New Roman"/>
          <w:b/>
          <w:bCs/>
          <w:sz w:val="20"/>
          <w:szCs w:val="20"/>
          <w:lang w:val="en-US"/>
        </w:rPr>
        <w:t>Keywords:</w:t>
      </w:r>
      <w:r w:rsidRPr="00A84350">
        <w:rPr>
          <w:rFonts w:ascii="Times New Roman" w:hAnsi="Times New Roman" w:cs="Times New Roman"/>
          <w:bCs/>
          <w:sz w:val="20"/>
          <w:szCs w:val="20"/>
          <w:lang w:val="en-US"/>
        </w:rPr>
        <w:t xml:space="preserve"> </w:t>
      </w:r>
      <w:r w:rsidRPr="00A84350">
        <w:rPr>
          <w:rFonts w:ascii="Times New Roman" w:hAnsi="Times New Roman" w:cs="Times New Roman"/>
          <w:sz w:val="20"/>
          <w:szCs w:val="20"/>
          <w:lang w:val="en-US"/>
        </w:rPr>
        <w:t xml:space="preserve">Life expectancy at birth, cointegrated panel regression, </w:t>
      </w:r>
      <w:r w:rsidR="00581776" w:rsidRPr="00A84350">
        <w:rPr>
          <w:rFonts w:ascii="Times New Roman" w:hAnsi="Times New Roman" w:cs="Times New Roman"/>
          <w:sz w:val="20"/>
          <w:szCs w:val="20"/>
          <w:lang w:val="en-US"/>
        </w:rPr>
        <w:t>GNI per capita, employment</w:t>
      </w:r>
    </w:p>
    <w:p w:rsidR="00891545" w:rsidRDefault="00687A12" w:rsidP="0058177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Field: </w:t>
      </w:r>
      <w:r w:rsidR="00A84350" w:rsidRPr="00A84350">
        <w:rPr>
          <w:rFonts w:ascii="Times New Roman" w:hAnsi="Times New Roman" w:cs="Times New Roman"/>
          <w:sz w:val="20"/>
          <w:szCs w:val="20"/>
          <w:lang w:val="en-US"/>
        </w:rPr>
        <w:t>Social sciences</w:t>
      </w:r>
    </w:p>
    <w:p w:rsidR="00BF567C" w:rsidRDefault="00BF567C" w:rsidP="00581776">
      <w:pPr>
        <w:spacing w:after="0" w:line="240" w:lineRule="auto"/>
        <w:jc w:val="both"/>
        <w:rPr>
          <w:rFonts w:ascii="Times New Roman" w:hAnsi="Times New Roman" w:cs="Times New Roman"/>
          <w:sz w:val="20"/>
          <w:szCs w:val="20"/>
          <w:lang w:val="en-US"/>
        </w:rPr>
      </w:pPr>
    </w:p>
    <w:p w:rsidR="00A372BD" w:rsidRPr="00A372BD" w:rsidRDefault="00A372BD" w:rsidP="00A372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ДЕТЕРМИНАНТИ НА ОЧЕКУВАНОТО ТРАЕЊЕ НА ЖИВОТ: АНАЛИЗА Н</w:t>
      </w:r>
      <w:bookmarkStart w:id="0" w:name="_GoBack"/>
      <w:bookmarkEnd w:id="0"/>
      <w:r>
        <w:rPr>
          <w:rFonts w:ascii="Times New Roman" w:hAnsi="Times New Roman" w:cs="Times New Roman"/>
          <w:b/>
          <w:bCs/>
          <w:sz w:val="24"/>
          <w:szCs w:val="24"/>
        </w:rPr>
        <w:t>А ЗЕМЈИ ОД ЈУГОИСТОЧНА ЕВРОПА</w:t>
      </w:r>
    </w:p>
    <w:p w:rsidR="00A372BD" w:rsidRPr="00AA6D69" w:rsidRDefault="00A372BD" w:rsidP="00A372BD">
      <w:pPr>
        <w:spacing w:after="0" w:line="240" w:lineRule="auto"/>
        <w:jc w:val="center"/>
        <w:rPr>
          <w:rFonts w:ascii="Times New Roman" w:hAnsi="Times New Roman" w:cs="Times New Roman"/>
          <w:b/>
          <w:bCs/>
          <w:sz w:val="20"/>
          <w:szCs w:val="20"/>
        </w:rPr>
      </w:pPr>
    </w:p>
    <w:p w:rsidR="00A372BD" w:rsidRPr="00A372BD" w:rsidRDefault="00A372BD" w:rsidP="00A372BD">
      <w:pPr>
        <w:spacing w:after="0" w:line="240" w:lineRule="auto"/>
        <w:jc w:val="center"/>
        <w:rPr>
          <w:rFonts w:ascii="Times New Roman" w:hAnsi="Times New Roman" w:cs="Times New Roman"/>
          <w:b/>
          <w:bCs/>
        </w:rPr>
      </w:pPr>
      <w:r>
        <w:rPr>
          <w:rFonts w:ascii="Times New Roman" w:hAnsi="Times New Roman" w:cs="Times New Roman"/>
          <w:b/>
          <w:bCs/>
        </w:rPr>
        <w:t>Марија Трпкова-Несторовска, д-р</w:t>
      </w:r>
    </w:p>
    <w:p w:rsidR="00A372BD" w:rsidRPr="00A372BD" w:rsidRDefault="00AA6D69" w:rsidP="00A372BD">
      <w:pPr>
        <w:spacing w:after="0" w:line="240" w:lineRule="auto"/>
        <w:jc w:val="center"/>
        <w:rPr>
          <w:rFonts w:ascii="Times New Roman" w:hAnsi="Times New Roman" w:cs="Times New Roman"/>
          <w:lang w:val="en-US"/>
        </w:rPr>
      </w:pPr>
      <w:r>
        <w:rPr>
          <w:rFonts w:ascii="Times New Roman" w:hAnsi="Times New Roman" w:cs="Times New Roman"/>
        </w:rPr>
        <w:t xml:space="preserve">Економски факултет-Скопје, </w:t>
      </w:r>
      <w:r w:rsidR="00A372BD">
        <w:rPr>
          <w:rFonts w:ascii="Times New Roman" w:hAnsi="Times New Roman" w:cs="Times New Roman"/>
        </w:rPr>
        <w:t>Универзитет „Св. Кирил и Методиј</w:t>
      </w:r>
      <w:r>
        <w:rPr>
          <w:rFonts w:ascii="Times New Roman" w:hAnsi="Times New Roman" w:cs="Times New Roman"/>
        </w:rPr>
        <w:t xml:space="preserve">“ во Скопје, Република Северна Македонија, </w:t>
      </w:r>
      <w:r w:rsidR="00A372BD" w:rsidRPr="00C14BB4">
        <w:rPr>
          <w:rFonts w:ascii="Times New Roman" w:hAnsi="Times New Roman" w:cs="Times New Roman"/>
          <w:lang w:val="en-US"/>
        </w:rPr>
        <w:t>marijat@eccf.ukim.edu.mk</w:t>
      </w:r>
    </w:p>
    <w:p w:rsidR="00A372BD" w:rsidRPr="00AA6D69" w:rsidRDefault="00AA6D69" w:rsidP="00A372BD">
      <w:pPr>
        <w:spacing w:after="0" w:line="240" w:lineRule="auto"/>
        <w:jc w:val="center"/>
        <w:rPr>
          <w:rFonts w:ascii="Times New Roman" w:hAnsi="Times New Roman" w:cs="Times New Roman"/>
          <w:b/>
          <w:bCs/>
        </w:rPr>
      </w:pPr>
      <w:r>
        <w:rPr>
          <w:rFonts w:ascii="Times New Roman" w:hAnsi="Times New Roman" w:cs="Times New Roman"/>
          <w:b/>
          <w:bCs/>
        </w:rPr>
        <w:t>Никола Левков, д-р</w:t>
      </w:r>
    </w:p>
    <w:p w:rsidR="00A372BD" w:rsidRPr="00A84350" w:rsidRDefault="00AA6D69" w:rsidP="00A372BD">
      <w:pPr>
        <w:spacing w:after="0" w:line="240" w:lineRule="auto"/>
        <w:jc w:val="center"/>
        <w:rPr>
          <w:rFonts w:ascii="Times New Roman" w:hAnsi="Times New Roman" w:cs="Times New Roman"/>
          <w:bCs/>
        </w:rPr>
      </w:pPr>
      <w:r>
        <w:rPr>
          <w:rFonts w:ascii="Times New Roman" w:hAnsi="Times New Roman" w:cs="Times New Roman"/>
        </w:rPr>
        <w:t>Економски факултет-Скопје, Универзитет „Св. Кирил и Методиј“ во Скопје, Република Северна Македонија,</w:t>
      </w:r>
      <w:r>
        <w:rPr>
          <w:rFonts w:ascii="Times New Roman" w:hAnsi="Times New Roman" w:cs="Times New Roman"/>
        </w:rPr>
        <w:t xml:space="preserve"> </w:t>
      </w:r>
      <w:r w:rsidR="00A372BD" w:rsidRPr="0005108C">
        <w:rPr>
          <w:rFonts w:ascii="Times New Roman" w:hAnsi="Times New Roman" w:cs="Times New Roman"/>
          <w:bCs/>
          <w:lang w:val="en-US"/>
        </w:rPr>
        <w:t>nikolal@eccf.ukim.edu.mk</w:t>
      </w:r>
    </w:p>
    <w:p w:rsidR="00A372BD" w:rsidRPr="00891545" w:rsidRDefault="00A372BD" w:rsidP="00A372BD">
      <w:pPr>
        <w:spacing w:after="0" w:line="240" w:lineRule="auto"/>
        <w:rPr>
          <w:rFonts w:ascii="Times New Roman" w:hAnsi="Times New Roman" w:cs="Times New Roman"/>
          <w:b/>
          <w:bCs/>
          <w:sz w:val="20"/>
          <w:szCs w:val="20"/>
          <w:lang w:val="en-US"/>
        </w:rPr>
      </w:pPr>
    </w:p>
    <w:p w:rsidR="00614CD6" w:rsidRPr="003F0828" w:rsidRDefault="00AA6D69" w:rsidP="00A372BD">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Резиме</w:t>
      </w:r>
      <w:r w:rsidR="00A372BD">
        <w:rPr>
          <w:rFonts w:ascii="Times New Roman" w:hAnsi="Times New Roman" w:cs="Times New Roman"/>
          <w:b/>
          <w:bCs/>
          <w:sz w:val="20"/>
          <w:szCs w:val="20"/>
          <w:lang w:val="en-US"/>
        </w:rPr>
        <w:t xml:space="preserve">: </w:t>
      </w:r>
      <w:r>
        <w:rPr>
          <w:rFonts w:ascii="Times New Roman" w:hAnsi="Times New Roman" w:cs="Times New Roman"/>
          <w:bCs/>
          <w:sz w:val="20"/>
          <w:szCs w:val="20"/>
        </w:rPr>
        <w:t xml:space="preserve">Политичките, општествените или економските фактори можат да имаат значително влијание на очекуваното траење на живот. Ова е од значење бидејќи очекуваното траење на живот е индикатор како за квалитетот на живот, така и за развојот на една земја. Владите би требало да креираат стратегии со цел да го подобрат квалитетот на живот, но претходно би требало да ги познаваат факторите кои го условуваат. Согласно наведеното, главната цел на оваа анализа е да ги идентификува главните детерминанти на очекуваното траење на живот со користење на коинтегрирана панел регресија за дванаесет земји од Југоисточна Европа. Истражувањето се користи со годишни податоци за периодот од 2000 до 2015 година. Земјите вклучени во анализата се следните: Албанија, Босна и Херцеговина, Бугарија, Хрватска, Кипар, Грција, Македонија, Молдавија, Романија, Србија, Словенија и Турција. Косово и Црна Гора не се вклучени во анализата поради недостаток од податоци во набљудуваниот </w:t>
      </w:r>
      <w:r>
        <w:rPr>
          <w:rFonts w:ascii="Times New Roman" w:hAnsi="Times New Roman" w:cs="Times New Roman"/>
          <w:bCs/>
          <w:sz w:val="20"/>
          <w:szCs w:val="20"/>
        </w:rPr>
        <w:lastRenderedPageBreak/>
        <w:t>период. Вкупниот број на опсервации изнесува 192.</w:t>
      </w:r>
      <w:r w:rsidR="00A93BB9">
        <w:rPr>
          <w:rFonts w:ascii="Times New Roman" w:hAnsi="Times New Roman" w:cs="Times New Roman"/>
          <w:bCs/>
          <w:sz w:val="20"/>
          <w:szCs w:val="20"/>
        </w:rPr>
        <w:t xml:space="preserve"> Анализата го истражува можното статичко значајно влијание на шестте објаснувачки променливи (индекс</w:t>
      </w:r>
      <w:r w:rsidR="00614CD6">
        <w:rPr>
          <w:rFonts w:ascii="Times New Roman" w:hAnsi="Times New Roman" w:cs="Times New Roman"/>
          <w:bCs/>
          <w:sz w:val="20"/>
          <w:szCs w:val="20"/>
        </w:rPr>
        <w:t>от</w:t>
      </w:r>
      <w:r w:rsidR="00A93BB9">
        <w:rPr>
          <w:rFonts w:ascii="Times New Roman" w:hAnsi="Times New Roman" w:cs="Times New Roman"/>
          <w:bCs/>
          <w:sz w:val="20"/>
          <w:szCs w:val="20"/>
        </w:rPr>
        <w:t xml:space="preserve"> на </w:t>
      </w:r>
      <w:r w:rsidR="00614CD6">
        <w:rPr>
          <w:rFonts w:ascii="Times New Roman" w:hAnsi="Times New Roman" w:cs="Times New Roman"/>
          <w:bCs/>
          <w:sz w:val="20"/>
          <w:szCs w:val="20"/>
        </w:rPr>
        <w:t xml:space="preserve">потрошувачки </w:t>
      </w:r>
      <w:r w:rsidR="00A93BB9">
        <w:rPr>
          <w:rFonts w:ascii="Times New Roman" w:hAnsi="Times New Roman" w:cs="Times New Roman"/>
          <w:bCs/>
          <w:sz w:val="20"/>
          <w:szCs w:val="20"/>
        </w:rPr>
        <w:t>цени, вработеноста, индексот на производство на храна, бруто националниот доход по глава на жител, здравствените трошоци по глава на жител и имунизацијата)</w:t>
      </w:r>
      <w:r w:rsidR="00957ADF">
        <w:rPr>
          <w:rFonts w:ascii="Times New Roman" w:hAnsi="Times New Roman" w:cs="Times New Roman"/>
          <w:bCs/>
          <w:sz w:val="20"/>
          <w:szCs w:val="20"/>
        </w:rPr>
        <w:t xml:space="preserve"> врз очекуваното трање на живот. Пред да се оцени регресиониот модел, променливите се тестираат за стационарност и коинтеграција. Резултатите од коинтегрираната панел регрес</w:t>
      </w:r>
      <w:r w:rsidR="00614CD6">
        <w:rPr>
          <w:rFonts w:ascii="Times New Roman" w:hAnsi="Times New Roman" w:cs="Times New Roman"/>
          <w:bCs/>
          <w:sz w:val="20"/>
          <w:szCs w:val="20"/>
        </w:rPr>
        <w:t>ија</w:t>
      </w:r>
      <w:r w:rsidR="00957ADF">
        <w:rPr>
          <w:rFonts w:ascii="Times New Roman" w:hAnsi="Times New Roman" w:cs="Times New Roman"/>
          <w:bCs/>
          <w:sz w:val="20"/>
          <w:szCs w:val="20"/>
        </w:rPr>
        <w:t xml:space="preserve"> потврдуваат дека индек</w:t>
      </w:r>
      <w:r w:rsidR="00614CD6">
        <w:rPr>
          <w:rFonts w:ascii="Times New Roman" w:hAnsi="Times New Roman" w:cs="Times New Roman"/>
          <w:bCs/>
          <w:sz w:val="20"/>
          <w:szCs w:val="20"/>
        </w:rPr>
        <w:t>сот</w:t>
      </w:r>
      <w:r w:rsidR="00957ADF">
        <w:rPr>
          <w:rFonts w:ascii="Times New Roman" w:hAnsi="Times New Roman" w:cs="Times New Roman"/>
          <w:bCs/>
          <w:sz w:val="20"/>
          <w:szCs w:val="20"/>
        </w:rPr>
        <w:t xml:space="preserve"> на</w:t>
      </w:r>
      <w:r w:rsidR="00614CD6">
        <w:rPr>
          <w:rFonts w:ascii="Times New Roman" w:hAnsi="Times New Roman" w:cs="Times New Roman"/>
          <w:bCs/>
          <w:sz w:val="20"/>
          <w:szCs w:val="20"/>
        </w:rPr>
        <w:t xml:space="preserve"> потрошувачки цени, вработеноста </w:t>
      </w:r>
      <w:r w:rsidR="00957ADF">
        <w:rPr>
          <w:rFonts w:ascii="Times New Roman" w:hAnsi="Times New Roman" w:cs="Times New Roman"/>
          <w:bCs/>
          <w:sz w:val="20"/>
          <w:szCs w:val="20"/>
        </w:rPr>
        <w:t>и бруто националниот доход по глава на жител се статички значајни детерминанти кои имаат влијание на очекуваното траење на живот в</w:t>
      </w:r>
      <w:r w:rsidR="00614CD6">
        <w:rPr>
          <w:rFonts w:ascii="Times New Roman" w:hAnsi="Times New Roman" w:cs="Times New Roman"/>
          <w:bCs/>
          <w:sz w:val="20"/>
          <w:szCs w:val="20"/>
        </w:rPr>
        <w:t>о земјите од Југоисточна Европа. Индексот на потрошувачки цени има позитивно влијание на очекуваното траење на живот, како што очекуваното траење на живот продолжува да се зголемува, побарувачката за храна исто така се зголемува, а со тоа и цените на храната, што ја зголемува инфлацијата. Процентот на вработеност има негативно и статистичко значајно влијание, каде што намалувањето на вработеноста највеќе се должи на емиграцијата на активната работна сила. Како што стапката на вработеност се намалува, очекуваното траење на живот, делумно и под влијание на други фактори, постојано се зголемува</w:t>
      </w:r>
      <w:r w:rsidR="003F0828">
        <w:rPr>
          <w:rFonts w:ascii="Times New Roman" w:hAnsi="Times New Roman" w:cs="Times New Roman"/>
          <w:bCs/>
          <w:sz w:val="20"/>
          <w:szCs w:val="20"/>
          <w:lang w:val="en-US"/>
        </w:rPr>
        <w:t xml:space="preserve">, </w:t>
      </w:r>
      <w:r w:rsidR="003F0828">
        <w:rPr>
          <w:rFonts w:ascii="Times New Roman" w:hAnsi="Times New Roman" w:cs="Times New Roman"/>
          <w:bCs/>
          <w:sz w:val="20"/>
          <w:szCs w:val="20"/>
        </w:rPr>
        <w:t>од што следува негативната условеност. Бруто националниот доход има позитивен и статистички значаен ефект на очекуваното траење на живот. Резултатот е во согласност со очекувањата бидејќи поголем бруто национален доход по глава на жител значи подобар стандард за живот со квалитетно домување, образование, здравство, храна. Силната економија е предуслов за подобрување на очекуваното траење на живот, а со тоа и со квалитетот на живеење. Податокот кој потврдува дека економските фактори се главни детерминанти на очекуваното трање на живот треба да претставува инпут при крерирање на владини политики и мерки кои ќе придонесат до подобар квалитет на живот.</w:t>
      </w:r>
    </w:p>
    <w:p w:rsidR="00A372BD" w:rsidRPr="00A84350" w:rsidRDefault="003F0828" w:rsidP="00A372BD">
      <w:pPr>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rPr>
        <w:t>Клучни зборови</w:t>
      </w:r>
      <w:r w:rsidR="00A372BD" w:rsidRPr="00687A12">
        <w:rPr>
          <w:rFonts w:ascii="Times New Roman" w:hAnsi="Times New Roman" w:cs="Times New Roman"/>
          <w:b/>
          <w:bCs/>
          <w:sz w:val="20"/>
          <w:szCs w:val="20"/>
          <w:lang w:val="en-US"/>
        </w:rPr>
        <w:t>:</w:t>
      </w:r>
      <w:r w:rsidR="00A372BD" w:rsidRPr="00A84350">
        <w:rPr>
          <w:rFonts w:ascii="Times New Roman" w:hAnsi="Times New Roman" w:cs="Times New Roman"/>
          <w:bCs/>
          <w:sz w:val="20"/>
          <w:szCs w:val="20"/>
          <w:lang w:val="en-US"/>
        </w:rPr>
        <w:t xml:space="preserve"> </w:t>
      </w:r>
      <w:r>
        <w:rPr>
          <w:rFonts w:ascii="Times New Roman" w:hAnsi="Times New Roman" w:cs="Times New Roman"/>
          <w:sz w:val="20"/>
          <w:szCs w:val="20"/>
        </w:rPr>
        <w:t>Очекувано траење на живот</w:t>
      </w:r>
      <w:r w:rsidR="00A372BD" w:rsidRPr="00A84350">
        <w:rPr>
          <w:rFonts w:ascii="Times New Roman" w:hAnsi="Times New Roman" w:cs="Times New Roman"/>
          <w:sz w:val="20"/>
          <w:szCs w:val="20"/>
          <w:lang w:val="en-US"/>
        </w:rPr>
        <w:t xml:space="preserve">, </w:t>
      </w:r>
      <w:r>
        <w:rPr>
          <w:rFonts w:ascii="Times New Roman" w:hAnsi="Times New Roman" w:cs="Times New Roman"/>
          <w:sz w:val="20"/>
          <w:szCs w:val="20"/>
        </w:rPr>
        <w:t>коинтегрирана панел регресија</w:t>
      </w:r>
      <w:r w:rsidR="00A372BD" w:rsidRPr="00A84350">
        <w:rPr>
          <w:rFonts w:ascii="Times New Roman" w:hAnsi="Times New Roman" w:cs="Times New Roman"/>
          <w:sz w:val="20"/>
          <w:szCs w:val="20"/>
          <w:lang w:val="en-US"/>
        </w:rPr>
        <w:t xml:space="preserve">, </w:t>
      </w:r>
      <w:r w:rsidR="00C93730">
        <w:rPr>
          <w:rFonts w:ascii="Times New Roman" w:hAnsi="Times New Roman" w:cs="Times New Roman"/>
          <w:sz w:val="20"/>
          <w:szCs w:val="20"/>
        </w:rPr>
        <w:t>БНД по глава жител</w:t>
      </w:r>
    </w:p>
    <w:p w:rsidR="00A372BD" w:rsidRPr="00C93730" w:rsidRDefault="00C93730" w:rsidP="00A372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 Општествени науки</w:t>
      </w:r>
    </w:p>
    <w:p w:rsidR="00891545" w:rsidRPr="00891545" w:rsidRDefault="00891545">
      <w:pPr>
        <w:spacing w:after="0" w:line="240" w:lineRule="auto"/>
        <w:rPr>
          <w:rFonts w:ascii="Times New Roman" w:hAnsi="Times New Roman" w:cs="Times New Roman"/>
          <w:b/>
          <w:bCs/>
          <w:sz w:val="20"/>
          <w:szCs w:val="20"/>
          <w:lang w:val="en-US"/>
        </w:rPr>
      </w:pPr>
    </w:p>
    <w:p w:rsidR="003E5042" w:rsidRPr="00687A12" w:rsidRDefault="00687A12" w:rsidP="00687A12">
      <w:pPr>
        <w:spacing w:after="0" w:line="240" w:lineRule="auto"/>
        <w:rPr>
          <w:rFonts w:ascii="Times New Roman" w:hAnsi="Times New Roman" w:cs="Times New Roman"/>
          <w:b/>
          <w:bCs/>
          <w:sz w:val="20"/>
          <w:szCs w:val="20"/>
          <w:lang w:val="en-US"/>
        </w:rPr>
      </w:pPr>
      <w:r w:rsidRPr="00687A12">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687A12">
        <w:rPr>
          <w:rFonts w:ascii="Times New Roman" w:hAnsi="Times New Roman" w:cs="Times New Roman"/>
          <w:b/>
          <w:bCs/>
          <w:sz w:val="20"/>
          <w:szCs w:val="20"/>
          <w:lang w:val="en-US"/>
        </w:rPr>
        <w:t>INTRODUCTION</w:t>
      </w:r>
    </w:p>
    <w:p w:rsidR="00723B6A" w:rsidRPr="00891545" w:rsidRDefault="00FA1CFF" w:rsidP="0039623A">
      <w:pPr>
        <w:pStyle w:val="Default"/>
        <w:spacing w:after="22"/>
        <w:jc w:val="both"/>
        <w:rPr>
          <w:rFonts w:ascii="Times New Roman" w:hAnsi="Times New Roman" w:cs="Times New Roman"/>
          <w:sz w:val="20"/>
          <w:szCs w:val="20"/>
        </w:rPr>
      </w:pPr>
      <w:r w:rsidRPr="00891545">
        <w:rPr>
          <w:rFonts w:ascii="Times New Roman" w:hAnsi="Times New Roman" w:cs="Times New Roman"/>
          <w:color w:val="auto"/>
          <w:sz w:val="20"/>
          <w:szCs w:val="20"/>
        </w:rPr>
        <w:t>Population is the foundation of each society. The development of the population determines one country’s political and eco</w:t>
      </w:r>
      <w:r w:rsidR="00664F65" w:rsidRPr="00891545">
        <w:rPr>
          <w:rFonts w:ascii="Times New Roman" w:hAnsi="Times New Roman" w:cs="Times New Roman"/>
          <w:color w:val="auto"/>
          <w:sz w:val="20"/>
          <w:szCs w:val="20"/>
        </w:rPr>
        <w:t>nomic system, the development of the</w:t>
      </w:r>
      <w:r w:rsidRPr="00891545">
        <w:rPr>
          <w:rFonts w:ascii="Times New Roman" w:hAnsi="Times New Roman" w:cs="Times New Roman"/>
          <w:color w:val="auto"/>
          <w:sz w:val="20"/>
          <w:szCs w:val="20"/>
        </w:rPr>
        <w:t xml:space="preserve"> health system, </w:t>
      </w:r>
      <w:r w:rsidR="00664F65" w:rsidRPr="00891545">
        <w:rPr>
          <w:rFonts w:ascii="Times New Roman" w:hAnsi="Times New Roman" w:cs="Times New Roman"/>
          <w:color w:val="auto"/>
          <w:sz w:val="20"/>
          <w:szCs w:val="20"/>
        </w:rPr>
        <w:t xml:space="preserve">the </w:t>
      </w:r>
      <w:r w:rsidRPr="00891545">
        <w:rPr>
          <w:rFonts w:ascii="Times New Roman" w:hAnsi="Times New Roman" w:cs="Times New Roman"/>
          <w:color w:val="auto"/>
          <w:sz w:val="20"/>
          <w:szCs w:val="20"/>
        </w:rPr>
        <w:t>education, the level of social responsibility and the development of arts and culture.</w:t>
      </w:r>
      <w:r w:rsidR="00664F65" w:rsidRPr="00891545">
        <w:rPr>
          <w:rFonts w:ascii="Times New Roman" w:hAnsi="Times New Roman" w:cs="Times New Roman"/>
          <w:color w:val="auto"/>
          <w:sz w:val="20"/>
          <w:szCs w:val="20"/>
        </w:rPr>
        <w:t xml:space="preserve"> Numerous national governments don’t prioritize the population and the q</w:t>
      </w:r>
      <w:r w:rsidR="002E45C2">
        <w:rPr>
          <w:rFonts w:ascii="Times New Roman" w:hAnsi="Times New Roman" w:cs="Times New Roman"/>
          <w:color w:val="auto"/>
          <w:sz w:val="20"/>
          <w:szCs w:val="20"/>
        </w:rPr>
        <w:t>uality of the living conditions</w:t>
      </w:r>
      <w:r w:rsidR="00664F65" w:rsidRPr="00891545">
        <w:rPr>
          <w:rFonts w:ascii="Times New Roman" w:hAnsi="Times New Roman" w:cs="Times New Roman"/>
          <w:color w:val="auto"/>
          <w:sz w:val="20"/>
          <w:szCs w:val="20"/>
        </w:rPr>
        <w:t xml:space="preserve">. </w:t>
      </w:r>
      <w:r w:rsidR="000A161A" w:rsidRPr="00891545">
        <w:rPr>
          <w:rFonts w:ascii="Times New Roman" w:hAnsi="Times New Roman" w:cs="Times New Roman"/>
          <w:color w:val="auto"/>
          <w:sz w:val="20"/>
          <w:szCs w:val="20"/>
        </w:rPr>
        <w:t>The indicator of life expectancy at birth is forecast for the future years of age that a person is expected to live on average.</w:t>
      </w:r>
      <w:r w:rsidR="009E6B66" w:rsidRPr="00891545">
        <w:rPr>
          <w:rFonts w:ascii="Times New Roman" w:hAnsi="Times New Roman" w:cs="Times New Roman"/>
          <w:color w:val="auto"/>
          <w:sz w:val="20"/>
          <w:szCs w:val="20"/>
        </w:rPr>
        <w:t xml:space="preserve"> Simply put, the life expectancy at birth reveals the average number of years that a newborn is expected to li</w:t>
      </w:r>
      <w:r w:rsidR="003A1324">
        <w:rPr>
          <w:rFonts w:ascii="Times New Roman" w:hAnsi="Times New Roman" w:cs="Times New Roman"/>
          <w:color w:val="auto"/>
          <w:sz w:val="20"/>
          <w:szCs w:val="20"/>
        </w:rPr>
        <w:t>v</w:t>
      </w:r>
      <w:r w:rsidR="009E6B66" w:rsidRPr="00891545">
        <w:rPr>
          <w:rFonts w:ascii="Times New Roman" w:hAnsi="Times New Roman" w:cs="Times New Roman"/>
          <w:color w:val="auto"/>
          <w:sz w:val="20"/>
          <w:szCs w:val="20"/>
        </w:rPr>
        <w:t xml:space="preserve">e with the present mortality rates. </w:t>
      </w:r>
      <w:r w:rsidR="007C3603" w:rsidRPr="00891545">
        <w:rPr>
          <w:rFonts w:ascii="Times New Roman" w:hAnsi="Times New Roman" w:cs="Times New Roman"/>
          <w:sz w:val="20"/>
          <w:szCs w:val="20"/>
        </w:rPr>
        <w:t>The average life expectancy is determined by the level of country’s economic development and also by the improvement of the socioeconomic surroundings. Life expectancy also depends on the profession, place of living, marital status, sex etc. (Risteski and Trpkova-Nestorovska, 2014). Also, life expectancy at birth is significant indicator of the development of a country. It mainly represents the quality of life and thus implies important demographic and economic implications. Therefore, many countries create and implement social programs in order to increase the average life expectancy by set of measures (constant investment in the health system, promotion of healthy life style, allowing approach to clean water, increasing the literacy and education of the population).</w:t>
      </w:r>
      <w:r w:rsidR="00F93F37">
        <w:rPr>
          <w:rFonts w:ascii="Times New Roman" w:hAnsi="Times New Roman" w:cs="Times New Roman"/>
          <w:sz w:val="20"/>
          <w:szCs w:val="20"/>
        </w:rPr>
        <w:t xml:space="preserve"> A</w:t>
      </w:r>
      <w:r w:rsidR="00FA0DA6">
        <w:rPr>
          <w:rFonts w:ascii="Times New Roman" w:hAnsi="Times New Roman" w:cs="Times New Roman"/>
          <w:sz w:val="20"/>
          <w:szCs w:val="20"/>
        </w:rPr>
        <w:t>nalysis of the</w:t>
      </w:r>
      <w:r w:rsidR="0039623A">
        <w:rPr>
          <w:rFonts w:ascii="Times New Roman" w:hAnsi="Times New Roman" w:cs="Times New Roman"/>
          <w:sz w:val="20"/>
          <w:szCs w:val="20"/>
        </w:rPr>
        <w:t xml:space="preserve"> </w:t>
      </w:r>
      <w:r w:rsidR="00FA0DA6">
        <w:rPr>
          <w:rFonts w:ascii="Times New Roman" w:hAnsi="Times New Roman" w:cs="Times New Roman"/>
          <w:sz w:val="20"/>
          <w:szCs w:val="20"/>
        </w:rPr>
        <w:t>SEE</w:t>
      </w:r>
      <w:r w:rsidR="0039623A">
        <w:rPr>
          <w:rFonts w:ascii="Times New Roman" w:hAnsi="Times New Roman" w:cs="Times New Roman"/>
          <w:sz w:val="20"/>
          <w:szCs w:val="20"/>
        </w:rPr>
        <w:t xml:space="preserve"> countries confirms that there is </w:t>
      </w:r>
      <w:r w:rsidR="00723B6A" w:rsidRPr="00891545">
        <w:rPr>
          <w:rFonts w:ascii="Times New Roman" w:hAnsi="Times New Roman" w:cs="Times New Roman"/>
          <w:sz w:val="20"/>
          <w:szCs w:val="20"/>
        </w:rPr>
        <w:t>significant difference between the countries</w:t>
      </w:r>
      <w:r w:rsidR="0039623A">
        <w:rPr>
          <w:rFonts w:ascii="Times New Roman" w:hAnsi="Times New Roman" w:cs="Times New Roman"/>
          <w:sz w:val="20"/>
          <w:szCs w:val="20"/>
        </w:rPr>
        <w:t xml:space="preserve">. </w:t>
      </w:r>
      <w:r w:rsidR="00723B6A" w:rsidRPr="00891545">
        <w:rPr>
          <w:rFonts w:ascii="Times New Roman" w:hAnsi="Times New Roman" w:cs="Times New Roman"/>
          <w:sz w:val="20"/>
          <w:szCs w:val="20"/>
        </w:rPr>
        <w:t xml:space="preserve">Moldavia, for </w:t>
      </w:r>
      <w:r w:rsidR="0039623A">
        <w:rPr>
          <w:rFonts w:ascii="Times New Roman" w:hAnsi="Times New Roman" w:cs="Times New Roman"/>
          <w:sz w:val="20"/>
          <w:szCs w:val="20"/>
        </w:rPr>
        <w:t>exampl</w:t>
      </w:r>
      <w:r w:rsidR="00723B6A" w:rsidRPr="00891545">
        <w:rPr>
          <w:rFonts w:ascii="Times New Roman" w:hAnsi="Times New Roman" w:cs="Times New Roman"/>
          <w:sz w:val="20"/>
          <w:szCs w:val="20"/>
        </w:rPr>
        <w:t>e, has the lowest life expectancy at birth (</w:t>
      </w:r>
      <w:r w:rsidR="00C853FD">
        <w:rPr>
          <w:rFonts w:ascii="Times New Roman" w:hAnsi="Times New Roman" w:cs="Times New Roman"/>
          <w:sz w:val="20"/>
          <w:szCs w:val="20"/>
        </w:rPr>
        <w:t>71,5</w:t>
      </w:r>
      <w:r w:rsidR="00723B6A" w:rsidRPr="00891545">
        <w:rPr>
          <w:rFonts w:ascii="Times New Roman" w:hAnsi="Times New Roman" w:cs="Times New Roman"/>
          <w:sz w:val="20"/>
          <w:szCs w:val="20"/>
        </w:rPr>
        <w:t xml:space="preserve"> years in 201</w:t>
      </w:r>
      <w:r w:rsidR="00C853FD">
        <w:rPr>
          <w:rFonts w:ascii="Times New Roman" w:hAnsi="Times New Roman" w:cs="Times New Roman"/>
          <w:sz w:val="20"/>
          <w:szCs w:val="20"/>
        </w:rPr>
        <w:t>5</w:t>
      </w:r>
      <w:r w:rsidR="00723B6A" w:rsidRPr="00891545">
        <w:rPr>
          <w:rFonts w:ascii="Times New Roman" w:hAnsi="Times New Roman" w:cs="Times New Roman"/>
          <w:sz w:val="20"/>
          <w:szCs w:val="20"/>
        </w:rPr>
        <w:t xml:space="preserve">), whereas in Greece this indicator marks </w:t>
      </w:r>
      <w:r w:rsidR="00C853FD">
        <w:rPr>
          <w:rFonts w:ascii="Times New Roman" w:hAnsi="Times New Roman" w:cs="Times New Roman"/>
          <w:sz w:val="20"/>
          <w:szCs w:val="20"/>
        </w:rPr>
        <w:t>81,04</w:t>
      </w:r>
      <w:r w:rsidR="00723B6A" w:rsidRPr="00891545">
        <w:rPr>
          <w:rFonts w:ascii="Times New Roman" w:hAnsi="Times New Roman" w:cs="Times New Roman"/>
          <w:sz w:val="20"/>
          <w:szCs w:val="20"/>
        </w:rPr>
        <w:t xml:space="preserve"> years in 201</w:t>
      </w:r>
      <w:r w:rsidR="00C853FD">
        <w:rPr>
          <w:rFonts w:ascii="Times New Roman" w:hAnsi="Times New Roman" w:cs="Times New Roman"/>
          <w:sz w:val="20"/>
          <w:szCs w:val="20"/>
        </w:rPr>
        <w:t>5</w:t>
      </w:r>
      <w:r w:rsidR="00723B6A" w:rsidRPr="00891545">
        <w:rPr>
          <w:rFonts w:ascii="Times New Roman" w:hAnsi="Times New Roman" w:cs="Times New Roman"/>
          <w:sz w:val="20"/>
          <w:szCs w:val="20"/>
        </w:rPr>
        <w:t>. Macedonia is in the middle with life expectancy at birth of 75,</w:t>
      </w:r>
      <w:r w:rsidR="00C853FD">
        <w:rPr>
          <w:rFonts w:ascii="Times New Roman" w:hAnsi="Times New Roman" w:cs="Times New Roman"/>
          <w:sz w:val="20"/>
          <w:szCs w:val="20"/>
        </w:rPr>
        <w:t>6</w:t>
      </w:r>
      <w:r w:rsidR="00723B6A" w:rsidRPr="00891545">
        <w:rPr>
          <w:rFonts w:ascii="Times New Roman" w:hAnsi="Times New Roman" w:cs="Times New Roman"/>
          <w:sz w:val="20"/>
          <w:szCs w:val="20"/>
        </w:rPr>
        <w:t xml:space="preserve"> years in 201</w:t>
      </w:r>
      <w:r w:rsidR="00C853FD">
        <w:rPr>
          <w:rFonts w:ascii="Times New Roman" w:hAnsi="Times New Roman" w:cs="Times New Roman"/>
          <w:sz w:val="20"/>
          <w:szCs w:val="20"/>
        </w:rPr>
        <w:t>5</w:t>
      </w:r>
      <w:r w:rsidR="00723B6A" w:rsidRPr="00891545">
        <w:rPr>
          <w:rFonts w:ascii="Times New Roman" w:hAnsi="Times New Roman" w:cs="Times New Roman"/>
          <w:sz w:val="20"/>
          <w:szCs w:val="20"/>
        </w:rPr>
        <w:t xml:space="preserve">. For comparison, according to the World Health Organization report, in 2013 Sierra Leone has the lowest life </w:t>
      </w:r>
      <w:r w:rsidR="00C853FD">
        <w:rPr>
          <w:rFonts w:ascii="Times New Roman" w:hAnsi="Times New Roman" w:cs="Times New Roman"/>
          <w:sz w:val="20"/>
          <w:szCs w:val="20"/>
        </w:rPr>
        <w:t>expectancy at birth with only 51,4</w:t>
      </w:r>
      <w:r w:rsidR="00723B6A" w:rsidRPr="00891545">
        <w:rPr>
          <w:rFonts w:ascii="Times New Roman" w:hAnsi="Times New Roman" w:cs="Times New Roman"/>
          <w:sz w:val="20"/>
          <w:szCs w:val="20"/>
        </w:rPr>
        <w:t xml:space="preserve"> years. Japan has the highest, with 8</w:t>
      </w:r>
      <w:r w:rsidR="00C853FD">
        <w:rPr>
          <w:rFonts w:ascii="Times New Roman" w:hAnsi="Times New Roman" w:cs="Times New Roman"/>
          <w:sz w:val="20"/>
          <w:szCs w:val="20"/>
        </w:rPr>
        <w:t>3,8</w:t>
      </w:r>
      <w:r w:rsidR="00723B6A" w:rsidRPr="00891545">
        <w:rPr>
          <w:rFonts w:ascii="Times New Roman" w:hAnsi="Times New Roman" w:cs="Times New Roman"/>
          <w:sz w:val="20"/>
          <w:szCs w:val="20"/>
        </w:rPr>
        <w:t xml:space="preserve"> years.</w:t>
      </w:r>
    </w:p>
    <w:p w:rsidR="003E5042" w:rsidRPr="00891545" w:rsidRDefault="004E5D61" w:rsidP="008C59B6">
      <w:pPr>
        <w:spacing w:after="0" w:line="240" w:lineRule="auto"/>
        <w:jc w:val="both"/>
        <w:rPr>
          <w:rFonts w:ascii="Times New Roman" w:hAnsi="Times New Roman" w:cs="Times New Roman"/>
          <w:color w:val="8DB3E2"/>
          <w:sz w:val="20"/>
          <w:szCs w:val="20"/>
        </w:rPr>
      </w:pPr>
      <w:r w:rsidRPr="00891545">
        <w:rPr>
          <w:rFonts w:ascii="Times New Roman" w:hAnsi="Times New Roman" w:cs="Times New Roman"/>
          <w:sz w:val="20"/>
          <w:szCs w:val="20"/>
        </w:rPr>
        <w:tab/>
      </w:r>
      <w:r w:rsidR="006C09BC" w:rsidRPr="00891545">
        <w:rPr>
          <w:rFonts w:ascii="Times New Roman" w:hAnsi="Times New Roman" w:cs="Times New Roman"/>
          <w:sz w:val="20"/>
          <w:szCs w:val="20"/>
        </w:rPr>
        <w:tab/>
      </w:r>
    </w:p>
    <w:p w:rsidR="00723B6A" w:rsidRPr="00C927D1" w:rsidRDefault="00687A12" w:rsidP="00687A12">
      <w:pPr>
        <w:spacing w:after="0" w:line="240" w:lineRule="auto"/>
        <w:rPr>
          <w:rFonts w:ascii="Times New Roman" w:hAnsi="Times New Roman" w:cs="Times New Roman"/>
          <w:b/>
          <w:bCs/>
          <w:sz w:val="20"/>
          <w:szCs w:val="20"/>
          <w:lang w:val="en-US"/>
        </w:rPr>
      </w:pPr>
      <w:r w:rsidRPr="00C927D1">
        <w:rPr>
          <w:rFonts w:ascii="Times New Roman" w:hAnsi="Times New Roman" w:cs="Times New Roman"/>
          <w:b/>
          <w:bCs/>
          <w:sz w:val="20"/>
          <w:szCs w:val="20"/>
          <w:lang w:val="en-US"/>
        </w:rPr>
        <w:t>2. LITERATURE REVIEW</w:t>
      </w:r>
    </w:p>
    <w:p w:rsidR="00C853FD" w:rsidRDefault="00723B6A" w:rsidP="00C853FD">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lang w:val="en-US"/>
        </w:rPr>
        <w:t>The determinants of the life expectancy at birth are subject of number of research. Concentrating on the countries of the Eastern Mediterranean</w:t>
      </w:r>
      <w:r w:rsidR="001916CE" w:rsidRPr="00891545">
        <w:rPr>
          <w:rFonts w:ascii="Times New Roman" w:hAnsi="Times New Roman" w:cs="Times New Roman"/>
          <w:sz w:val="20"/>
          <w:szCs w:val="20"/>
          <w:lang w:val="en-US"/>
        </w:rPr>
        <w:t xml:space="preserve">, Bayati et al. (2013) perform panel regression with 21 countries for period 1995-2007. Their conclusion is that the focus must be made on the health system, in order to improve the health situation in the analyzed countries. Also, the level of economic growth and development is very important. The economic stabilization policies, which aim for productivity increase, economic growth and unemployment </w:t>
      </w:r>
      <w:r w:rsidR="00B71BFE">
        <w:rPr>
          <w:rFonts w:ascii="Times New Roman" w:hAnsi="Times New Roman" w:cs="Times New Roman"/>
          <w:sz w:val="20"/>
          <w:szCs w:val="20"/>
          <w:lang w:val="en-US"/>
        </w:rPr>
        <w:t>reduction,</w:t>
      </w:r>
      <w:r w:rsidR="001916CE" w:rsidRPr="00891545">
        <w:rPr>
          <w:rFonts w:ascii="Times New Roman" w:hAnsi="Times New Roman" w:cs="Times New Roman"/>
          <w:sz w:val="20"/>
          <w:szCs w:val="20"/>
          <w:lang w:val="en-US"/>
        </w:rPr>
        <w:t xml:space="preserve"> play important part in improving the nation’s health in the analyzed region.</w:t>
      </w:r>
    </w:p>
    <w:p w:rsidR="001916CE" w:rsidRDefault="00C92CD2" w:rsidP="00C853FD">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lang w:val="en-US"/>
        </w:rPr>
        <w:t>Similar research for Eastern Mediterranean countries can be found in Gilligan and Skrepnek (2014). They have divided the countries in groups of developed and less developed countries, by using cluster analysis. Statistically significant factors that influence the life expectancy at birth in the group of developed countries are: gross domestic product, health expenses, literacy and immunization. In the less developed countries the main factors are immunization and number of doctors.</w:t>
      </w:r>
    </w:p>
    <w:p w:rsidR="00C92CD2" w:rsidRDefault="00C92CD2" w:rsidP="00C853FD">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lang w:val="en-US"/>
        </w:rPr>
        <w:t>The determinants of life expectancy at birth for 28 countries from the European Union are analyzed by Bilas et al. (2014). The results indicate that the gross domestic product per capita and level of education, jointly explain 72,6% to 82,6% of the differences in the life expectancy at birth.</w:t>
      </w:r>
    </w:p>
    <w:p w:rsidR="00C00D3B" w:rsidRDefault="0039084F" w:rsidP="00C853F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In the research about the determinants of life expectancy in developing countries, Kabir (2008) examines the socio-economic determinants in 91 developing countries.</w:t>
      </w:r>
      <w:r w:rsidR="00CD7D0D">
        <w:rPr>
          <w:rFonts w:ascii="Times New Roman" w:hAnsi="Times New Roman" w:cs="Times New Roman"/>
          <w:sz w:val="20"/>
          <w:szCs w:val="20"/>
          <w:lang w:val="en-US"/>
        </w:rPr>
        <w:t xml:space="preserve"> Using multiple regression and probit frameworks, most of the explanatory variables like income per capita, health expenditures, urbanization, access to safe water and education have no influence on the life expectancy. The author suggests that countries should construct and implement social sector policies and programs to increase </w:t>
      </w:r>
      <w:r w:rsidR="008251AC">
        <w:rPr>
          <w:rFonts w:ascii="Times New Roman" w:hAnsi="Times New Roman" w:cs="Times New Roman"/>
          <w:sz w:val="20"/>
          <w:szCs w:val="20"/>
          <w:lang w:val="en-US"/>
        </w:rPr>
        <w:t>physician’s</w:t>
      </w:r>
      <w:r w:rsidR="00CD7D0D">
        <w:rPr>
          <w:rFonts w:ascii="Times New Roman" w:hAnsi="Times New Roman" w:cs="Times New Roman"/>
          <w:sz w:val="20"/>
          <w:szCs w:val="20"/>
          <w:lang w:val="en-US"/>
        </w:rPr>
        <w:t xml:space="preserve"> availability, to reduce adult illiteracy and undernourishment.</w:t>
      </w:r>
    </w:p>
    <w:p w:rsidR="005137C5" w:rsidRDefault="007444C0" w:rsidP="00C853F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To understand the relationship between life expectancy at birth and health expenditures, Jaba et al. (2014) performed cross-country and time-series analysis. The input of the health care system is expressed by health care expenditures per capita and the output of the health care system is expressed by the life expectancy at birth. The data were collected for 175 countries for period 1995-2010. By applying panel regression, the results show a significant relationship between health expenditures and life expectancy.</w:t>
      </w:r>
    </w:p>
    <w:p w:rsidR="00E83BCF" w:rsidRDefault="00BA719B" w:rsidP="00C853F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Hussain (2002) was analyzing the life ex</w:t>
      </w:r>
      <w:r w:rsidR="00A85379">
        <w:rPr>
          <w:rFonts w:ascii="Times New Roman" w:hAnsi="Times New Roman" w:cs="Times New Roman"/>
          <w:sz w:val="20"/>
          <w:szCs w:val="20"/>
          <w:lang w:val="en-US"/>
        </w:rPr>
        <w:t xml:space="preserve">pectancy in 91 developing countries from South Asia, Sub-Saharan Africa and Latin America and the Caribbean. </w:t>
      </w:r>
      <w:r w:rsidR="000E3C4C">
        <w:rPr>
          <w:rFonts w:ascii="Times New Roman" w:hAnsi="Times New Roman" w:cs="Times New Roman"/>
          <w:sz w:val="20"/>
          <w:szCs w:val="20"/>
          <w:lang w:val="en-US"/>
        </w:rPr>
        <w:t>The results confirm that improvement in life expectancies can be made by proper attention to fertility reduction and increasing calorie intake.</w:t>
      </w:r>
    </w:p>
    <w:p w:rsidR="00C00D3B" w:rsidRDefault="00C00D3B" w:rsidP="00C853FD">
      <w:pPr>
        <w:spacing w:after="0" w:line="240" w:lineRule="auto"/>
        <w:jc w:val="both"/>
        <w:rPr>
          <w:rFonts w:ascii="Times New Roman" w:hAnsi="Times New Roman" w:cs="Times New Roman"/>
          <w:sz w:val="20"/>
          <w:szCs w:val="20"/>
          <w:lang w:val="en-US"/>
        </w:rPr>
      </w:pPr>
    </w:p>
    <w:p w:rsidR="003E5042" w:rsidRPr="00C927D1" w:rsidRDefault="00C927D1" w:rsidP="00C927D1">
      <w:pPr>
        <w:spacing w:after="0" w:line="240" w:lineRule="auto"/>
        <w:rPr>
          <w:rFonts w:ascii="Times New Roman" w:hAnsi="Times New Roman" w:cs="Times New Roman"/>
          <w:b/>
          <w:bCs/>
          <w:sz w:val="20"/>
          <w:szCs w:val="20"/>
          <w:lang w:val="en-US"/>
        </w:rPr>
      </w:pPr>
      <w:r w:rsidRPr="00C927D1">
        <w:rPr>
          <w:rFonts w:ascii="Times New Roman" w:hAnsi="Times New Roman" w:cs="Times New Roman"/>
          <w:b/>
          <w:bCs/>
          <w:sz w:val="20"/>
          <w:szCs w:val="20"/>
          <w:lang w:val="en-US"/>
        </w:rPr>
        <w:t>3. RESEARCH METHODOLOGY</w:t>
      </w:r>
    </w:p>
    <w:p w:rsidR="00A353C8" w:rsidRDefault="003D7975" w:rsidP="001E4A4A">
      <w:pPr>
        <w:spacing w:after="0" w:line="240" w:lineRule="auto"/>
        <w:jc w:val="both"/>
        <w:rPr>
          <w:rFonts w:ascii="Times New Roman" w:eastAsiaTheme="minorEastAsia" w:hAnsi="Times New Roman" w:cs="Times New Roman"/>
          <w:sz w:val="20"/>
          <w:szCs w:val="20"/>
          <w:lang w:val="en-US"/>
        </w:rPr>
      </w:pPr>
      <w:r>
        <w:rPr>
          <w:rFonts w:ascii="Times New Roman" w:hAnsi="Times New Roman" w:cs="Times New Roman"/>
          <w:sz w:val="20"/>
          <w:szCs w:val="20"/>
          <w:lang w:val="en-US"/>
        </w:rPr>
        <w:t>C</w:t>
      </w:r>
      <w:r w:rsidR="00C14FE3">
        <w:rPr>
          <w:rFonts w:ascii="Times New Roman" w:hAnsi="Times New Roman" w:cs="Times New Roman"/>
          <w:sz w:val="20"/>
          <w:szCs w:val="20"/>
          <w:lang w:val="en-US"/>
        </w:rPr>
        <w:t>ointegrated panel regression model</w:t>
      </w:r>
      <w:r>
        <w:rPr>
          <w:rFonts w:ascii="Times New Roman" w:hAnsi="Times New Roman" w:cs="Times New Roman"/>
          <w:sz w:val="20"/>
          <w:szCs w:val="20"/>
          <w:lang w:val="en-US"/>
        </w:rPr>
        <w:t xml:space="preserve"> was used in the following analysis where all</w:t>
      </w:r>
      <w:r w:rsidR="00C14FE3">
        <w:rPr>
          <w:rFonts w:ascii="Times New Roman" w:hAnsi="Times New Roman" w:cs="Times New Roman"/>
          <w:sz w:val="20"/>
          <w:szCs w:val="20"/>
          <w:lang w:val="en-US"/>
        </w:rPr>
        <w:t xml:space="preserve"> variables </w:t>
      </w:r>
      <w:r>
        <w:rPr>
          <w:rFonts w:ascii="Times New Roman" w:hAnsi="Times New Roman" w:cs="Times New Roman"/>
          <w:sz w:val="20"/>
          <w:szCs w:val="20"/>
          <w:lang w:val="en-US"/>
        </w:rPr>
        <w:t>were</w:t>
      </w:r>
      <w:r w:rsidR="00C14FE3">
        <w:rPr>
          <w:rFonts w:ascii="Times New Roman" w:hAnsi="Times New Roman" w:cs="Times New Roman"/>
          <w:sz w:val="20"/>
          <w:szCs w:val="20"/>
          <w:lang w:val="en-US"/>
        </w:rPr>
        <w:t xml:space="preserve"> tested for stationarity with panel unit root tests. </w:t>
      </w:r>
      <w:r>
        <w:rPr>
          <w:rFonts w:ascii="Times New Roman" w:hAnsi="Times New Roman" w:cs="Times New Roman"/>
          <w:sz w:val="20"/>
          <w:szCs w:val="20"/>
          <w:lang w:val="en-US"/>
        </w:rPr>
        <w:t>Consequently</w:t>
      </w:r>
      <w:r w:rsidR="00C14FE3">
        <w:rPr>
          <w:rFonts w:ascii="Times New Roman" w:hAnsi="Times New Roman" w:cs="Times New Roman"/>
          <w:sz w:val="20"/>
          <w:szCs w:val="20"/>
          <w:lang w:val="en-US"/>
        </w:rPr>
        <w:t>, panel co</w:t>
      </w:r>
      <w:r>
        <w:rPr>
          <w:rFonts w:ascii="Times New Roman" w:hAnsi="Times New Roman" w:cs="Times New Roman"/>
          <w:sz w:val="20"/>
          <w:szCs w:val="20"/>
          <w:lang w:val="en-US"/>
        </w:rPr>
        <w:t>integration testing was</w:t>
      </w:r>
      <w:r w:rsidR="00C14FE3">
        <w:rPr>
          <w:rFonts w:ascii="Times New Roman" w:hAnsi="Times New Roman" w:cs="Times New Roman"/>
          <w:sz w:val="20"/>
          <w:szCs w:val="20"/>
          <w:lang w:val="en-US"/>
        </w:rPr>
        <w:t xml:space="preserve"> concluded. </w:t>
      </w:r>
      <w:r w:rsidR="00A353C8">
        <w:rPr>
          <w:rFonts w:ascii="Times New Roman" w:hAnsi="Times New Roman" w:cs="Times New Roman"/>
          <w:sz w:val="20"/>
          <w:szCs w:val="20"/>
          <w:lang w:val="en-US"/>
        </w:rPr>
        <w:t xml:space="preserve">Testing for cointegration in panel regression is rather complicated issue. Cointegration among the groups must also be taken under consideration, as and cointegration within the groups (Brooks, 2014). For two groups of variables </w:t>
      </w: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oMath>
      <w:r w:rsidR="001E4A4A" w:rsidRPr="00891545">
        <w:rPr>
          <w:rFonts w:ascii="Times New Roman" w:eastAsiaTheme="minorEastAsia" w:hAnsi="Times New Roman" w:cs="Times New Roman"/>
          <w:sz w:val="20"/>
          <w:szCs w:val="20"/>
          <w:lang w:val="en-US"/>
        </w:rPr>
        <w:t xml:space="preserve"> </w:t>
      </w:r>
      <w:r w:rsidR="00A353C8">
        <w:rPr>
          <w:rFonts w:ascii="Times New Roman" w:eastAsiaTheme="minorEastAsia" w:hAnsi="Times New Roman" w:cs="Times New Roman"/>
          <w:sz w:val="20"/>
          <w:szCs w:val="20"/>
          <w:lang w:val="en-US"/>
        </w:rPr>
        <w:t>and</w:t>
      </w:r>
      <w:r w:rsidR="001E4A4A" w:rsidRPr="00891545">
        <w:rPr>
          <w:rFonts w:ascii="Times New Roman" w:eastAsiaTheme="minorEastAsia" w:hAnsi="Times New Roman" w:cs="Times New Roman"/>
          <w:sz w:val="20"/>
          <w:szCs w:val="20"/>
        </w:rPr>
        <w:t xml:space="preserve">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m</m:t>
            </m:r>
            <m:r>
              <w:rPr>
                <w:rFonts w:ascii="Cambria Math" w:eastAsiaTheme="minorEastAsia" w:hAnsi="Times New Roman" w:cs="Times New Roman"/>
                <w:sz w:val="20"/>
                <w:szCs w:val="20"/>
              </w:rPr>
              <m:t>,</m:t>
            </m:r>
            <m:r>
              <w:rPr>
                <w:rFonts w:ascii="Cambria Math" w:eastAsiaTheme="minorEastAsia" w:hAnsi="Cambria Math" w:cs="Times New Roman"/>
                <w:sz w:val="20"/>
                <w:szCs w:val="20"/>
              </w:rPr>
              <m:t>i</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sub>
        </m:sSub>
      </m:oMath>
      <w:r w:rsidR="001E4A4A" w:rsidRPr="00891545">
        <w:rPr>
          <w:rFonts w:ascii="Times New Roman" w:eastAsiaTheme="minorEastAsia" w:hAnsi="Times New Roman" w:cs="Times New Roman"/>
          <w:sz w:val="20"/>
          <w:szCs w:val="20"/>
          <w:lang w:val="en-US"/>
        </w:rPr>
        <w:t xml:space="preserve"> </w:t>
      </w:r>
      <w:r w:rsidR="00A353C8">
        <w:rPr>
          <w:rFonts w:ascii="Times New Roman" w:eastAsiaTheme="minorEastAsia" w:hAnsi="Times New Roman" w:cs="Times New Roman"/>
          <w:sz w:val="20"/>
          <w:szCs w:val="20"/>
          <w:lang w:val="en-US"/>
        </w:rPr>
        <w:t>that are individually first order integrated and are considered cointegrated</w:t>
      </w:r>
    </w:p>
    <w:p w:rsidR="001E4A4A" w:rsidRDefault="00A84350" w:rsidP="001E4A4A">
      <w:pPr>
        <w:spacing w:after="0" w:line="240" w:lineRule="auto"/>
        <w:jc w:val="both"/>
        <w:rPr>
          <w:rFonts w:ascii="Times New Roman" w:eastAsiaTheme="minorEastAsia" w:hAnsi="Times New Roman" w:cs="Times New Roman"/>
          <w:sz w:val="20"/>
          <w:szCs w:val="20"/>
          <w:lang w:val="en-US"/>
        </w:rPr>
      </w:pPr>
      <m:oMathPara>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y</m:t>
              </m:r>
            </m:e>
            <m:sub>
              <m:r>
                <w:rPr>
                  <w:rFonts w:ascii="Cambria Math" w:hAnsi="Cambria Math" w:cs="Times New Roman"/>
                  <w:sz w:val="20"/>
                  <w:szCs w:val="20"/>
                  <w:lang w:val="en-US"/>
                </w:rPr>
                <m:t>it</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i</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δ</m:t>
              </m:r>
            </m:e>
            <m:sub>
              <m:r>
                <w:rPr>
                  <w:rFonts w:ascii="Cambria Math" w:hAnsi="Cambria Math" w:cs="Times New Roman"/>
                  <w:sz w:val="20"/>
                  <w:szCs w:val="20"/>
                  <w:lang w:val="en-US"/>
                </w:rPr>
                <m:t>i</m:t>
              </m:r>
            </m:sub>
          </m:sSub>
          <m:r>
            <w:rPr>
              <w:rFonts w:ascii="Cambria Math" w:hAnsi="Cambria Math" w:cs="Times New Roman"/>
              <w:sz w:val="20"/>
              <w:szCs w:val="20"/>
              <w:lang w:val="en-US"/>
            </w:rPr>
            <m:t>t</m:t>
          </m:r>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β</m:t>
              </m:r>
            </m:e>
            <m:sub>
              <m:r>
                <w:rPr>
                  <w:rFonts w:ascii="Cambria Math" w:hAnsi="Times New Roman" w:cs="Times New Roman"/>
                  <w:sz w:val="20"/>
                  <w:szCs w:val="20"/>
                  <w:lang w:val="en-US"/>
                </w:rPr>
                <m:t>1</m:t>
              </m:r>
              <m:r>
                <w:rPr>
                  <w:rFonts w:ascii="Cambria Math" w:hAnsi="Cambria Math" w:cs="Times New Roman"/>
                  <w:sz w:val="20"/>
                  <w:szCs w:val="20"/>
                  <w:lang w:val="en-US"/>
                </w:rPr>
                <m:t>i</m:t>
              </m:r>
            </m:sub>
          </m:sSub>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x</m:t>
              </m:r>
            </m:e>
            <m:sub>
              <m:r>
                <w:rPr>
                  <w:rFonts w:ascii="Cambria Math" w:hAnsi="Times New Roman" w:cs="Times New Roman"/>
                  <w:sz w:val="20"/>
                  <w:szCs w:val="20"/>
                  <w:lang w:val="en-US"/>
                </w:rPr>
                <m:t>1</m:t>
              </m:r>
              <m:r>
                <w:rPr>
                  <w:rFonts w:ascii="Cambria Math" w:hAnsi="Cambria Math" w:cs="Times New Roman"/>
                  <w:sz w:val="20"/>
                  <w:szCs w:val="20"/>
                  <w:lang w:val="en-US"/>
                </w:rPr>
                <m:t>i</m:t>
              </m:r>
              <m:r>
                <w:rPr>
                  <w:rFonts w:ascii="Cambria Math" w:hAnsi="Times New Roman" w:cs="Times New Roman"/>
                  <w:sz w:val="20"/>
                  <w:szCs w:val="20"/>
                  <w:lang w:val="en-US"/>
                </w:rPr>
                <m:t>,</m:t>
              </m:r>
              <m:r>
                <w:rPr>
                  <w:rFonts w:ascii="Cambria Math" w:hAnsi="Cambria Math" w:cs="Times New Roman"/>
                  <w:sz w:val="20"/>
                  <w:szCs w:val="20"/>
                  <w:lang w:val="en-US"/>
                </w:rPr>
                <m:t>t</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β</m:t>
              </m:r>
            </m:e>
            <m:sub>
              <m:r>
                <w:rPr>
                  <w:rFonts w:ascii="Cambria Math" w:hAnsi="Times New Roman" w:cs="Times New Roman"/>
                  <w:sz w:val="20"/>
                  <w:szCs w:val="20"/>
                  <w:lang w:val="en-US"/>
                </w:rPr>
                <m:t>2</m:t>
              </m:r>
              <m:r>
                <w:rPr>
                  <w:rFonts w:ascii="Cambria Math" w:hAnsi="Cambria Math" w:cs="Times New Roman"/>
                  <w:sz w:val="20"/>
                  <w:szCs w:val="20"/>
                  <w:lang w:val="en-US"/>
                </w:rPr>
                <m:t>i</m:t>
              </m:r>
            </m:sub>
          </m:sSub>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x</m:t>
              </m:r>
            </m:e>
            <m:sub>
              <m:r>
                <w:rPr>
                  <w:rFonts w:ascii="Cambria Math" w:hAnsi="Times New Roman" w:cs="Times New Roman"/>
                  <w:sz w:val="20"/>
                  <w:szCs w:val="20"/>
                  <w:lang w:val="en-US"/>
                </w:rPr>
                <m:t>2</m:t>
              </m:r>
              <m:r>
                <w:rPr>
                  <w:rFonts w:ascii="Cambria Math" w:hAnsi="Cambria Math" w:cs="Times New Roman"/>
                  <w:sz w:val="20"/>
                  <w:szCs w:val="20"/>
                  <w:lang w:val="en-US"/>
                </w:rPr>
                <m:t>i</m:t>
              </m:r>
              <m:r>
                <w:rPr>
                  <w:rFonts w:ascii="Cambria Math" w:hAnsi="Times New Roman" w:cs="Times New Roman"/>
                  <w:sz w:val="20"/>
                  <w:szCs w:val="20"/>
                  <w:lang w:val="en-US"/>
                </w:rPr>
                <m:t>,</m:t>
              </m:r>
              <m:r>
                <w:rPr>
                  <w:rFonts w:ascii="Cambria Math" w:hAnsi="Cambria Math" w:cs="Times New Roman"/>
                  <w:sz w:val="20"/>
                  <w:szCs w:val="20"/>
                  <w:lang w:val="en-US"/>
                </w:rPr>
                <m:t>t</m:t>
              </m:r>
            </m:sub>
          </m:sSub>
          <m:r>
            <w:rPr>
              <w:rFonts w:ascii="Cambria Math" w:hAnsi="Times New Roman" w:cs="Times New Roman"/>
              <w:sz w:val="20"/>
              <w:szCs w:val="20"/>
              <w:lang w:val="en-US"/>
            </w:rPr>
            <m:t>+</m:t>
          </m:r>
          <m:r>
            <w:rPr>
              <w:rFonts w:ascii="Cambria Math" w:hAnsi="Times New Roman" w:cs="Times New Roman"/>
              <w:sz w:val="20"/>
              <w:szCs w:val="20"/>
              <w:lang w:val="en-US"/>
            </w:rPr>
            <m:t>…</m:t>
          </m:r>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Mi</m:t>
              </m:r>
            </m:sub>
          </m:sSub>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Mi</m:t>
              </m:r>
              <m:r>
                <w:rPr>
                  <w:rFonts w:ascii="Cambria Math" w:hAnsi="Times New Roman" w:cs="Times New Roman"/>
                  <w:sz w:val="20"/>
                  <w:szCs w:val="20"/>
                  <w:lang w:val="en-US"/>
                </w:rPr>
                <m:t>,</m:t>
              </m:r>
              <m:r>
                <w:rPr>
                  <w:rFonts w:ascii="Cambria Math" w:hAnsi="Cambria Math" w:cs="Times New Roman"/>
                  <w:sz w:val="20"/>
                  <w:szCs w:val="20"/>
                  <w:lang w:val="en-US"/>
                </w:rPr>
                <m:t>t</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ϵ</m:t>
              </m:r>
            </m:e>
            <m:sub>
              <m:r>
                <w:rPr>
                  <w:rFonts w:ascii="Cambria Math" w:hAnsi="Cambria Math" w:cs="Times New Roman"/>
                  <w:sz w:val="20"/>
                  <w:szCs w:val="20"/>
                  <w:lang w:val="en-US"/>
                </w:rPr>
                <m:t>i</m:t>
              </m:r>
              <m:r>
                <w:rPr>
                  <w:rFonts w:ascii="Cambria Math" w:hAnsi="Times New Roman" w:cs="Times New Roman"/>
                  <w:sz w:val="20"/>
                  <w:szCs w:val="20"/>
                  <w:lang w:val="en-US"/>
                </w:rPr>
                <m:t>,</m:t>
              </m:r>
              <m:r>
                <w:rPr>
                  <w:rFonts w:ascii="Cambria Math" w:hAnsi="Cambria Math" w:cs="Times New Roman"/>
                  <w:sz w:val="20"/>
                  <w:szCs w:val="20"/>
                  <w:lang w:val="en-US"/>
                </w:rPr>
                <m:t>t</m:t>
              </m:r>
            </m:sub>
          </m:sSub>
        </m:oMath>
      </m:oMathPara>
    </w:p>
    <w:p w:rsidR="003E5042" w:rsidRPr="00891545" w:rsidRDefault="00A353C8" w:rsidP="00991C8B">
      <w:pPr>
        <w:spacing w:after="0" w:line="240" w:lineRule="auto"/>
        <w:jc w:val="both"/>
        <w:rPr>
          <w:rFonts w:ascii="Times New Roman" w:hAnsi="Times New Roman" w:cs="Times New Roman"/>
          <w:sz w:val="20"/>
          <w:szCs w:val="20"/>
          <w:lang w:val="en-US"/>
        </w:rPr>
      </w:pPr>
      <w:r>
        <w:rPr>
          <w:rFonts w:ascii="Times New Roman" w:eastAsiaTheme="minorEastAsia" w:hAnsi="Times New Roman" w:cs="Times New Roman"/>
          <w:sz w:val="20"/>
          <w:szCs w:val="20"/>
          <w:lang w:val="en-US"/>
        </w:rPr>
        <w:t>where</w:t>
      </w:r>
      <w:r w:rsidR="001E4A4A" w:rsidRPr="0089154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M</m:t>
        </m:r>
      </m:oMath>
      <w:r w:rsidR="001E4A4A" w:rsidRPr="00891545">
        <w:rPr>
          <w:rFonts w:ascii="Times New Roman" w:eastAsiaTheme="minorEastAsia" w:hAnsi="Times New Roman" w:cs="Times New Roman"/>
          <w:sz w:val="20"/>
          <w:szCs w:val="20"/>
        </w:rPr>
        <w:t xml:space="preserve"> </w:t>
      </w:r>
      <w:r w:rsidR="0064147F">
        <w:rPr>
          <w:rFonts w:ascii="Times New Roman" w:eastAsiaTheme="minorEastAsia" w:hAnsi="Times New Roman" w:cs="Times New Roman"/>
          <w:sz w:val="20"/>
          <w:szCs w:val="20"/>
          <w:lang w:val="en-US"/>
        </w:rPr>
        <w:t>are the explanatory variables in the potentially cointegrated regression</w:t>
      </w:r>
      <w:r w:rsidR="001E4A4A" w:rsidRPr="0089154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t</m:t>
        </m:r>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T</m:t>
        </m:r>
      </m:oMath>
      <w:r w:rsidR="001E4A4A" w:rsidRPr="00891545">
        <w:rPr>
          <w:rFonts w:ascii="Times New Roman" w:eastAsiaTheme="minorEastAsia" w:hAnsi="Times New Roman" w:cs="Times New Roman"/>
          <w:sz w:val="20"/>
          <w:szCs w:val="20"/>
          <w:lang w:val="en-US"/>
        </w:rPr>
        <w:t xml:space="preserve"> </w:t>
      </w:r>
      <w:r w:rsidR="00661968">
        <w:rPr>
          <w:rFonts w:ascii="Times New Roman" w:eastAsiaTheme="minorEastAsia" w:hAnsi="Times New Roman" w:cs="Times New Roman"/>
          <w:sz w:val="20"/>
          <w:szCs w:val="20"/>
          <w:lang w:val="en-US"/>
        </w:rPr>
        <w:t xml:space="preserve">and </w:t>
      </w:r>
      <m:oMath>
        <m:r>
          <w:rPr>
            <w:rFonts w:ascii="Cambria Math" w:eastAsiaTheme="minorEastAsia" w:hAnsi="Cambria Math" w:cs="Times New Roman"/>
            <w:sz w:val="20"/>
            <w:szCs w:val="20"/>
          </w:rPr>
          <m:t>t</m:t>
        </m:r>
      </m:oMath>
      <w:r w:rsidR="00661968" w:rsidRPr="00891545">
        <w:rPr>
          <w:rFonts w:ascii="Times New Roman" w:eastAsiaTheme="minorEastAsia" w:hAnsi="Times New Roman" w:cs="Times New Roman"/>
          <w:sz w:val="20"/>
          <w:szCs w:val="20"/>
        </w:rPr>
        <w:t xml:space="preserve"> </w:t>
      </w:r>
      <w:r w:rsidR="00661968">
        <w:rPr>
          <w:rFonts w:ascii="Times New Roman" w:eastAsiaTheme="minorEastAsia" w:hAnsi="Times New Roman" w:cs="Times New Roman"/>
          <w:sz w:val="20"/>
          <w:szCs w:val="20"/>
          <w:lang w:val="en-US"/>
        </w:rPr>
        <w:t>signifies period</w:t>
      </w:r>
      <w:r w:rsidR="00661968">
        <w:rPr>
          <w:rFonts w:ascii="Times New Roman" w:eastAsiaTheme="minorEastAsia" w:hAnsi="Times New Roman" w:cs="Times New Roman"/>
          <w:sz w:val="20"/>
          <w:szCs w:val="20"/>
          <w:lang w:val="en-US"/>
        </w:rPr>
        <w:t xml:space="preserve"> and</w:t>
      </w:r>
      <w:r w:rsidR="001E4A4A" w:rsidRPr="0089154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i</m:t>
        </m:r>
        <m:r>
          <w:rPr>
            <w:rFonts w:ascii="Cambria Math" w:eastAsiaTheme="minorEastAsia" w:hAnsi="Times New Roman" w:cs="Times New Roman"/>
            <w:sz w:val="20"/>
            <w:szCs w:val="20"/>
          </w:rPr>
          <m:t>=1,</m:t>
        </m:r>
        <m:r>
          <w:rPr>
            <w:rFonts w:ascii="Cambria Math" w:eastAsiaTheme="minorEastAsia" w:hAnsi="Times New Roman" w:cs="Times New Roman"/>
            <w:sz w:val="20"/>
            <w:szCs w:val="20"/>
          </w:rPr>
          <m: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N</m:t>
        </m:r>
      </m:oMath>
      <w:r w:rsidR="00661968">
        <w:rPr>
          <w:rFonts w:ascii="Times New Roman" w:eastAsiaTheme="minorEastAsia" w:hAnsi="Times New Roman" w:cs="Times New Roman"/>
          <w:sz w:val="20"/>
          <w:szCs w:val="20"/>
          <w:lang w:val="en-US"/>
        </w:rPr>
        <w:t xml:space="preserve"> where </w:t>
      </w:r>
      <m:oMath>
        <m:r>
          <w:rPr>
            <w:rFonts w:ascii="Cambria Math" w:eastAsiaTheme="minorEastAsia" w:hAnsi="Cambria Math" w:cs="Times New Roman"/>
            <w:sz w:val="20"/>
            <w:szCs w:val="20"/>
          </w:rPr>
          <m:t>i</m:t>
        </m:r>
      </m:oMath>
      <w:r w:rsidR="001E4A4A" w:rsidRPr="00891545">
        <w:rPr>
          <w:rFonts w:ascii="Times New Roman" w:eastAsiaTheme="minorEastAsia" w:hAnsi="Times New Roman" w:cs="Times New Roman"/>
          <w:sz w:val="20"/>
          <w:szCs w:val="20"/>
        </w:rPr>
        <w:t xml:space="preserve"> </w:t>
      </w:r>
      <w:r w:rsidR="00B92481">
        <w:rPr>
          <w:rFonts w:ascii="Times New Roman" w:eastAsiaTheme="minorEastAsia" w:hAnsi="Times New Roman" w:cs="Times New Roman"/>
          <w:sz w:val="20"/>
          <w:szCs w:val="20"/>
          <w:lang w:val="en-US"/>
        </w:rPr>
        <w:t>signifies the countries</w:t>
      </w:r>
      <w:r w:rsidR="00661968">
        <w:rPr>
          <w:rFonts w:ascii="Times New Roman" w:eastAsiaTheme="minorEastAsia" w:hAnsi="Times New Roman" w:cs="Times New Roman"/>
          <w:sz w:val="20"/>
          <w:szCs w:val="20"/>
        </w:rPr>
        <w:t>.</w:t>
      </w:r>
      <w:r w:rsidR="006E38D1">
        <w:rPr>
          <w:rFonts w:ascii="Times New Roman" w:eastAsiaTheme="minorEastAsia" w:hAnsi="Times New Roman" w:cs="Times New Roman"/>
          <w:sz w:val="20"/>
          <w:szCs w:val="20"/>
          <w:lang w:val="en-US"/>
        </w:rPr>
        <w:t xml:space="preserve"> </w:t>
      </w:r>
      <w:r w:rsidR="004B389F">
        <w:rPr>
          <w:rFonts w:ascii="Times New Roman" w:hAnsi="Times New Roman" w:cs="Times New Roman"/>
          <w:sz w:val="20"/>
          <w:szCs w:val="20"/>
          <w:lang w:val="en-US"/>
        </w:rPr>
        <w:t>There are two methods for estimation of the cointegrated panel regression:</w:t>
      </w:r>
      <w:r w:rsidR="00C928B9" w:rsidRPr="00891545">
        <w:rPr>
          <w:rFonts w:ascii="Times New Roman" w:hAnsi="Times New Roman" w:cs="Times New Roman"/>
          <w:sz w:val="20"/>
          <w:szCs w:val="20"/>
        </w:rPr>
        <w:t xml:space="preserve"> </w:t>
      </w:r>
      <w:r w:rsidR="004B389F">
        <w:rPr>
          <w:rFonts w:ascii="Times New Roman" w:hAnsi="Times New Roman" w:cs="Times New Roman"/>
          <w:sz w:val="20"/>
          <w:szCs w:val="20"/>
          <w:lang w:val="en-US"/>
        </w:rPr>
        <w:t>Fully Modified OLS method and</w:t>
      </w:r>
      <w:r w:rsidR="00C928B9" w:rsidRPr="00891545">
        <w:rPr>
          <w:rFonts w:ascii="Times New Roman" w:hAnsi="Times New Roman" w:cs="Times New Roman"/>
          <w:sz w:val="20"/>
          <w:szCs w:val="20"/>
          <w:lang w:val="en-US"/>
        </w:rPr>
        <w:t xml:space="preserve"> </w:t>
      </w:r>
      <w:r w:rsidR="004B389F">
        <w:rPr>
          <w:rFonts w:ascii="Times New Roman" w:hAnsi="Times New Roman" w:cs="Times New Roman"/>
          <w:sz w:val="20"/>
          <w:szCs w:val="20"/>
          <w:lang w:val="en-US"/>
        </w:rPr>
        <w:t>Dynamic OLS method. They provide asymptotic unbiased and normally distributed estimation of the coefficients</w:t>
      </w:r>
      <w:r w:rsidR="00C928B9" w:rsidRPr="00891545">
        <w:rPr>
          <w:rFonts w:ascii="Times New Roman" w:hAnsi="Times New Roman" w:cs="Times New Roman"/>
          <w:sz w:val="20"/>
          <w:szCs w:val="20"/>
        </w:rPr>
        <w:t xml:space="preserve"> (</w:t>
      </w:r>
      <w:r w:rsidR="00C928B9" w:rsidRPr="00891545">
        <w:rPr>
          <w:rFonts w:ascii="Times New Roman" w:hAnsi="Times New Roman" w:cs="Times New Roman"/>
          <w:sz w:val="20"/>
          <w:szCs w:val="20"/>
          <w:lang w:val="en-US"/>
        </w:rPr>
        <w:t>Phillips and Moon (1999); Pedroni, (2000), (2001); Kao and Chiang, (2000); Mark and Sul, (2003)).</w:t>
      </w:r>
    </w:p>
    <w:p w:rsidR="003E5042" w:rsidRPr="00891545" w:rsidRDefault="003E5042" w:rsidP="008C59B6">
      <w:pPr>
        <w:spacing w:after="0" w:line="240" w:lineRule="auto"/>
        <w:jc w:val="center"/>
        <w:rPr>
          <w:rFonts w:ascii="Times New Roman" w:hAnsi="Times New Roman" w:cs="Times New Roman"/>
          <w:b/>
          <w:bCs/>
          <w:sz w:val="20"/>
          <w:szCs w:val="20"/>
          <w:lang w:val="en-US"/>
        </w:rPr>
      </w:pPr>
    </w:p>
    <w:p w:rsidR="003E5042" w:rsidRPr="00C927D1" w:rsidRDefault="00C927D1" w:rsidP="00C927D1">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4. </w:t>
      </w:r>
      <w:r w:rsidRPr="00C927D1">
        <w:rPr>
          <w:rFonts w:ascii="Times New Roman" w:hAnsi="Times New Roman" w:cs="Times New Roman"/>
          <w:b/>
          <w:bCs/>
          <w:sz w:val="20"/>
          <w:szCs w:val="20"/>
          <w:lang w:val="en-US"/>
        </w:rPr>
        <w:t>DATA, ANALYSIS AND EMPIRICAL RESULTS</w:t>
      </w:r>
    </w:p>
    <w:p w:rsidR="003D7A2A" w:rsidRDefault="003D7A2A" w:rsidP="003D7A2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research includes annual data for period 2000-2015, for 12 countries from Southeastern Europe. The countries included in this analysis are Albania, Bosnia and Herzegovina, Bulgaria, Croatia, Cyprus, Greece, Macedonia, Moldova, Romania, Serbia, Slovenia and Turkey. Kosovo and Montenegro are not included in the analysis due to the insufficient data for the observed period. The total number of observations is 192. Data are collected from the World Bank data base. </w:t>
      </w:r>
      <w:r w:rsidR="00122ADC">
        <w:rPr>
          <w:rFonts w:ascii="Times New Roman" w:hAnsi="Times New Roman" w:cs="Times New Roman"/>
          <w:sz w:val="20"/>
          <w:szCs w:val="20"/>
          <w:lang w:val="en-US"/>
        </w:rPr>
        <w:t>V</w:t>
      </w:r>
      <w:r>
        <w:rPr>
          <w:rFonts w:ascii="Times New Roman" w:hAnsi="Times New Roman" w:cs="Times New Roman"/>
          <w:sz w:val="20"/>
          <w:szCs w:val="20"/>
          <w:lang w:val="en-US"/>
        </w:rPr>
        <w:t xml:space="preserve">ariables </w:t>
      </w:r>
      <w:r w:rsidR="00122ADC">
        <w:rPr>
          <w:rFonts w:ascii="Times New Roman" w:hAnsi="Times New Roman" w:cs="Times New Roman"/>
          <w:sz w:val="20"/>
          <w:szCs w:val="20"/>
          <w:lang w:val="en-US"/>
        </w:rPr>
        <w:t>included in the analysis are: LEB (Life expectancy at birth, in years); CPI (consumer price index (2010=100); EMPLOY (Employment to population ration, 15+(%); FOOD (Food production index (2004-2006=100); GNI (GNI per capita, PP</w:t>
      </w:r>
      <w:r w:rsidR="00357081">
        <w:rPr>
          <w:rFonts w:ascii="Times New Roman" w:hAnsi="Times New Roman" w:cs="Times New Roman"/>
          <w:sz w:val="20"/>
          <w:szCs w:val="20"/>
          <w:lang w:val="en-US"/>
        </w:rPr>
        <w:t>P (current international $); HEALTH (Current health expenditure per capita (current US$) and IMMUN (Immunization, DPT (% of children ages 12-24 months).</w:t>
      </w:r>
      <w:r w:rsidR="004B2582">
        <w:rPr>
          <w:rFonts w:ascii="Times New Roman" w:hAnsi="Times New Roman" w:cs="Times New Roman"/>
          <w:sz w:val="20"/>
          <w:szCs w:val="20"/>
          <w:lang w:val="en-US"/>
        </w:rPr>
        <w:t xml:space="preserve"> Data are collected from the World Development Indicators 2007 database from the World Bank.</w:t>
      </w:r>
    </w:p>
    <w:p w:rsidR="004C59D3" w:rsidRDefault="00B61C3F" w:rsidP="004C59D3">
      <w:pPr>
        <w:pStyle w:val="Default"/>
        <w:spacing w:after="22"/>
        <w:jc w:val="both"/>
        <w:rPr>
          <w:rFonts w:ascii="Times New Roman" w:hAnsi="Times New Roman" w:cs="Times New Roman"/>
          <w:sz w:val="20"/>
          <w:szCs w:val="20"/>
        </w:rPr>
      </w:pPr>
      <w:r>
        <w:rPr>
          <w:rFonts w:ascii="Times New Roman" w:hAnsi="Times New Roman" w:cs="Times New Roman"/>
          <w:color w:val="auto"/>
          <w:sz w:val="20"/>
          <w:szCs w:val="20"/>
        </w:rPr>
        <w:t xml:space="preserve">Variable LEB signifies </w:t>
      </w:r>
      <w:r>
        <w:rPr>
          <w:rFonts w:ascii="Times New Roman" w:hAnsi="Times New Roman" w:cs="Times New Roman"/>
          <w:color w:val="auto"/>
          <w:sz w:val="20"/>
          <w:szCs w:val="20"/>
        </w:rPr>
        <w:t xml:space="preserve">the number </w:t>
      </w:r>
      <w:r w:rsidRPr="004C59D3">
        <w:rPr>
          <w:rFonts w:ascii="Times New Roman" w:hAnsi="Times New Roman" w:cs="Times New Roman"/>
          <w:color w:val="auto"/>
          <w:sz w:val="20"/>
          <w:szCs w:val="20"/>
        </w:rPr>
        <w:t>of years a newborn infant would live if prevailing patterns of mortality at the time of its birth were to stay the same throughout its life</w:t>
      </w:r>
      <w:r>
        <w:rPr>
          <w:rFonts w:ascii="Times New Roman" w:hAnsi="Times New Roman" w:cs="Times New Roman"/>
          <w:color w:val="auto"/>
          <w:sz w:val="20"/>
          <w:szCs w:val="20"/>
        </w:rPr>
        <w:t xml:space="preserve"> </w:t>
      </w:r>
      <w:r w:rsidR="008B442D">
        <w:rPr>
          <w:rFonts w:ascii="Times New Roman" w:hAnsi="Times New Roman" w:cs="Times New Roman"/>
          <w:color w:val="auto"/>
          <w:sz w:val="20"/>
          <w:szCs w:val="20"/>
        </w:rPr>
        <w:t xml:space="preserve">and in this paper it </w:t>
      </w:r>
      <w:r>
        <w:rPr>
          <w:rFonts w:ascii="Times New Roman" w:hAnsi="Times New Roman" w:cs="Times New Roman"/>
          <w:color w:val="auto"/>
          <w:sz w:val="20"/>
          <w:szCs w:val="20"/>
        </w:rPr>
        <w:t>is represented as depended variable.</w:t>
      </w:r>
      <w:r w:rsidR="008B442D">
        <w:rPr>
          <w:rFonts w:ascii="Times New Roman" w:hAnsi="Times New Roman" w:cs="Times New Roman"/>
          <w:color w:val="auto"/>
          <w:sz w:val="20"/>
          <w:szCs w:val="20"/>
        </w:rPr>
        <w:t xml:space="preserve"> </w:t>
      </w:r>
      <w:r>
        <w:rPr>
          <w:rFonts w:ascii="Times New Roman" w:hAnsi="Times New Roman" w:cs="Times New Roman"/>
          <w:sz w:val="20"/>
          <w:szCs w:val="20"/>
        </w:rPr>
        <w:t>CPI (Figure 1)</w:t>
      </w:r>
      <w:r w:rsidR="004C59D3">
        <w:rPr>
          <w:rFonts w:ascii="Times New Roman" w:hAnsi="Times New Roman" w:cs="Times New Roman"/>
          <w:sz w:val="20"/>
          <w:szCs w:val="20"/>
        </w:rPr>
        <w:t xml:space="preserve"> represents the </w:t>
      </w:r>
      <w:r w:rsidR="004C59D3" w:rsidRPr="004C59D3">
        <w:rPr>
          <w:rFonts w:ascii="Times New Roman" w:hAnsi="Times New Roman" w:cs="Times New Roman"/>
          <w:sz w:val="20"/>
          <w:szCs w:val="20"/>
        </w:rPr>
        <w:t>changes in the cost to the average consumer of acquiring</w:t>
      </w:r>
      <w:r w:rsidR="004C59D3">
        <w:rPr>
          <w:rFonts w:ascii="Times New Roman" w:hAnsi="Times New Roman" w:cs="Times New Roman"/>
          <w:sz w:val="20"/>
          <w:szCs w:val="20"/>
        </w:rPr>
        <w:t xml:space="preserve"> </w:t>
      </w:r>
      <w:r w:rsidR="00C00D3B">
        <w:rPr>
          <w:rFonts w:ascii="Times New Roman" w:hAnsi="Times New Roman" w:cs="Times New Roman"/>
          <w:sz w:val="20"/>
          <w:szCs w:val="20"/>
        </w:rPr>
        <w:t>a basket of goods and services.</w:t>
      </w:r>
      <w:r w:rsidR="008A39DD">
        <w:rPr>
          <w:rFonts w:ascii="Times New Roman" w:hAnsi="Times New Roman" w:cs="Times New Roman"/>
          <w:sz w:val="20"/>
          <w:szCs w:val="20"/>
        </w:rPr>
        <w:t xml:space="preserve"> It is measured as index with 2010 as base year, which explains why it shows constant growth in almost e</w:t>
      </w:r>
      <w:r w:rsidR="00332F92">
        <w:rPr>
          <w:rFonts w:ascii="Times New Roman" w:hAnsi="Times New Roman" w:cs="Times New Roman"/>
          <w:sz w:val="20"/>
          <w:szCs w:val="20"/>
        </w:rPr>
        <w:t xml:space="preserve">very observed country (If the base period was previous year or annual average than it is possible to have different dynamics of the CPI). Yet it supports the fact that the prices constantly grow, usually with steady rate. </w:t>
      </w:r>
    </w:p>
    <w:p w:rsidR="00F87E6B" w:rsidRPr="00122ADC" w:rsidRDefault="00F87E6B" w:rsidP="00F87E6B">
      <w:pPr>
        <w:spacing w:after="0" w:line="240" w:lineRule="auto"/>
        <w:ind w:firstLine="720"/>
        <w:jc w:val="center"/>
        <w:rPr>
          <w:rFonts w:ascii="Times New Roman" w:hAnsi="Times New Roman" w:cs="Times New Roman"/>
          <w:b/>
          <w:iCs/>
          <w:sz w:val="20"/>
          <w:szCs w:val="20"/>
          <w:lang w:val="en-US"/>
        </w:rPr>
      </w:pPr>
      <w:r w:rsidRPr="00122ADC">
        <w:rPr>
          <w:rFonts w:ascii="Times New Roman" w:hAnsi="Times New Roman" w:cs="Times New Roman"/>
          <w:b/>
          <w:iCs/>
          <w:sz w:val="20"/>
          <w:szCs w:val="20"/>
          <w:lang w:val="en-US"/>
        </w:rPr>
        <w:t>Figure</w:t>
      </w:r>
      <w:r w:rsidRPr="00122ADC">
        <w:rPr>
          <w:rFonts w:ascii="Times New Roman" w:hAnsi="Times New Roman" w:cs="Times New Roman"/>
          <w:b/>
          <w:iCs/>
          <w:sz w:val="20"/>
          <w:szCs w:val="20"/>
        </w:rPr>
        <w:t xml:space="preserve"> </w:t>
      </w:r>
      <w:r w:rsidR="00CE72D2">
        <w:rPr>
          <w:rFonts w:ascii="Times New Roman" w:hAnsi="Times New Roman" w:cs="Times New Roman"/>
          <w:b/>
          <w:iCs/>
          <w:sz w:val="20"/>
          <w:szCs w:val="20"/>
          <w:lang w:val="en-US"/>
        </w:rPr>
        <w:t>1</w:t>
      </w:r>
      <w:r w:rsidRPr="00122ADC">
        <w:rPr>
          <w:rFonts w:ascii="Times New Roman" w:hAnsi="Times New Roman" w:cs="Times New Roman"/>
          <w:b/>
          <w:iCs/>
          <w:sz w:val="20"/>
          <w:szCs w:val="20"/>
        </w:rPr>
        <w:t xml:space="preserve">. </w:t>
      </w:r>
      <w:r w:rsidR="007D0CF6" w:rsidRPr="00122ADC">
        <w:rPr>
          <w:rFonts w:ascii="Times New Roman" w:hAnsi="Times New Roman" w:cs="Times New Roman"/>
          <w:b/>
          <w:iCs/>
          <w:sz w:val="20"/>
          <w:szCs w:val="20"/>
          <w:lang w:val="en-US"/>
        </w:rPr>
        <w:t>Consumer price index</w:t>
      </w:r>
      <w:r w:rsidRPr="00122ADC">
        <w:rPr>
          <w:rFonts w:ascii="Times New Roman" w:hAnsi="Times New Roman" w:cs="Times New Roman"/>
          <w:b/>
          <w:iCs/>
          <w:sz w:val="20"/>
          <w:szCs w:val="20"/>
          <w:lang w:val="en-US"/>
        </w:rPr>
        <w:t xml:space="preserve"> in Southeastern European countries</w:t>
      </w:r>
    </w:p>
    <w:p w:rsidR="00FC7D3E" w:rsidRDefault="00FC7D3E" w:rsidP="00F87E6B">
      <w:pPr>
        <w:pStyle w:val="Default"/>
        <w:spacing w:after="2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610225" cy="1044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582" w:rsidRDefault="005137C5" w:rsidP="004B25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EMPLOY </w:t>
      </w:r>
      <w:r w:rsidRPr="004C59D3">
        <w:rPr>
          <w:rFonts w:ascii="Times New Roman" w:hAnsi="Times New Roman" w:cs="Times New Roman"/>
          <w:sz w:val="20"/>
          <w:szCs w:val="20"/>
        </w:rPr>
        <w:t>is the proportion of a countr</w:t>
      </w:r>
      <w:r w:rsidR="004B2582">
        <w:rPr>
          <w:rFonts w:ascii="Times New Roman" w:hAnsi="Times New Roman" w:cs="Times New Roman"/>
          <w:sz w:val="20"/>
          <w:szCs w:val="20"/>
        </w:rPr>
        <w:t>y's population that is employed (Figure 2).</w:t>
      </w:r>
      <w:r w:rsidRPr="004C59D3">
        <w:rPr>
          <w:rFonts w:ascii="Times New Roman" w:hAnsi="Times New Roman" w:cs="Times New Roman"/>
          <w:sz w:val="20"/>
          <w:szCs w:val="20"/>
        </w:rPr>
        <w:t xml:space="preserve"> </w:t>
      </w:r>
      <w:r w:rsidR="00B61C3F" w:rsidRPr="004C59D3">
        <w:rPr>
          <w:rFonts w:ascii="Times New Roman" w:hAnsi="Times New Roman" w:cs="Times New Roman"/>
          <w:sz w:val="20"/>
          <w:szCs w:val="20"/>
        </w:rPr>
        <w:t xml:space="preserve">Employment is defined as persons of working age who, during a short reference period, were engaged in any activity to produce goods or provide services </w:t>
      </w:r>
      <w:r w:rsidR="00B61C3F">
        <w:rPr>
          <w:rFonts w:ascii="Times New Roman" w:hAnsi="Times New Roman" w:cs="Times New Roman"/>
          <w:sz w:val="20"/>
          <w:szCs w:val="20"/>
        </w:rPr>
        <w:t xml:space="preserve">for pay or profit. </w:t>
      </w:r>
      <w:r w:rsidR="00B61C3F">
        <w:rPr>
          <w:rFonts w:ascii="Times New Roman" w:hAnsi="Times New Roman" w:cs="Times New Roman"/>
          <w:sz w:val="20"/>
          <w:szCs w:val="20"/>
          <w:lang w:val="en-US"/>
        </w:rPr>
        <w:t>Countries such as Cyprus, Slovenia and Romania have the highest ratio, while Bosnia and Herzegovina and Macedonia seem to have the lowest employment ratio. In most countries the rate fluctuates through the years, it does not mark a constant growth. Countries like Bulgaria, Croatia, Cyprus, Greece, Moldova, Romania, Serbia and Slovenia have the opposite trend; their employment to population ratio is decreasing.</w:t>
      </w:r>
      <w:r w:rsidR="004B2582">
        <w:rPr>
          <w:rFonts w:ascii="Times New Roman" w:hAnsi="Times New Roman" w:cs="Times New Roman"/>
          <w:sz w:val="20"/>
          <w:szCs w:val="20"/>
          <w:lang w:val="en-US"/>
        </w:rPr>
        <w:t xml:space="preserve"> </w:t>
      </w:r>
      <w:r w:rsidR="004B2582">
        <w:rPr>
          <w:rFonts w:ascii="Times New Roman" w:hAnsi="Times New Roman" w:cs="Times New Roman"/>
          <w:sz w:val="20"/>
          <w:szCs w:val="20"/>
          <w:lang w:val="en-US"/>
        </w:rPr>
        <w:t>One possible explanation for this trend is</w:t>
      </w:r>
      <w:r w:rsidR="004B2582">
        <w:rPr>
          <w:rFonts w:ascii="Times New Roman" w:hAnsi="Times New Roman" w:cs="Times New Roman"/>
          <w:sz w:val="20"/>
          <w:szCs w:val="20"/>
          <w:lang w:val="en-US"/>
        </w:rPr>
        <w:t xml:space="preserve"> the emigration</w:t>
      </w:r>
      <w:r w:rsidR="004B2582">
        <w:rPr>
          <w:rFonts w:ascii="Times New Roman" w:hAnsi="Times New Roman" w:cs="Times New Roman"/>
          <w:sz w:val="20"/>
          <w:szCs w:val="20"/>
          <w:lang w:val="en-US"/>
        </w:rPr>
        <w:t xml:space="preserve"> component that is constantly increasing in the past decade, where significant percent of the active population is looking for work in the Western European </w:t>
      </w:r>
      <w:r w:rsidR="004B2582">
        <w:rPr>
          <w:rFonts w:ascii="Times New Roman" w:hAnsi="Times New Roman" w:cs="Times New Roman"/>
          <w:sz w:val="20"/>
          <w:szCs w:val="20"/>
          <w:lang w:val="en-US"/>
        </w:rPr>
        <w:lastRenderedPageBreak/>
        <w:t>countries. Thus, the implications in the native countries remain, the population is decreasing, as is the working force, creating significant problems like deficit of qualified workers that will weaken the economy and create other social problems.</w:t>
      </w:r>
    </w:p>
    <w:p w:rsidR="007D0CF6" w:rsidRPr="00122ADC" w:rsidRDefault="007D0CF6" w:rsidP="007D0CF6">
      <w:pPr>
        <w:spacing w:after="0" w:line="240" w:lineRule="auto"/>
        <w:ind w:firstLine="720"/>
        <w:jc w:val="center"/>
        <w:rPr>
          <w:rFonts w:ascii="Times New Roman" w:hAnsi="Times New Roman" w:cs="Times New Roman"/>
          <w:b/>
          <w:iCs/>
          <w:sz w:val="20"/>
          <w:szCs w:val="20"/>
          <w:lang w:val="en-US"/>
        </w:rPr>
      </w:pPr>
      <w:r w:rsidRPr="00122ADC">
        <w:rPr>
          <w:rFonts w:ascii="Times New Roman" w:hAnsi="Times New Roman" w:cs="Times New Roman"/>
          <w:b/>
          <w:iCs/>
          <w:sz w:val="20"/>
          <w:szCs w:val="20"/>
          <w:lang w:val="en-US"/>
        </w:rPr>
        <w:t>Figure</w:t>
      </w:r>
      <w:r w:rsidRPr="00122ADC">
        <w:rPr>
          <w:rFonts w:ascii="Times New Roman" w:hAnsi="Times New Roman" w:cs="Times New Roman"/>
          <w:b/>
          <w:iCs/>
          <w:sz w:val="20"/>
          <w:szCs w:val="20"/>
        </w:rPr>
        <w:t xml:space="preserve"> </w:t>
      </w:r>
      <w:r w:rsidR="00EB6EEB">
        <w:rPr>
          <w:rFonts w:ascii="Times New Roman" w:hAnsi="Times New Roman" w:cs="Times New Roman"/>
          <w:b/>
          <w:iCs/>
          <w:sz w:val="20"/>
          <w:szCs w:val="20"/>
          <w:lang w:val="en-US"/>
        </w:rPr>
        <w:t>2</w:t>
      </w:r>
      <w:r w:rsidRPr="00122ADC">
        <w:rPr>
          <w:rFonts w:ascii="Times New Roman" w:hAnsi="Times New Roman" w:cs="Times New Roman"/>
          <w:b/>
          <w:iCs/>
          <w:sz w:val="20"/>
          <w:szCs w:val="20"/>
        </w:rPr>
        <w:t xml:space="preserve">. </w:t>
      </w:r>
      <w:r w:rsidRPr="00122ADC">
        <w:rPr>
          <w:rFonts w:ascii="Times New Roman" w:hAnsi="Times New Roman" w:cs="Times New Roman"/>
          <w:b/>
          <w:iCs/>
          <w:sz w:val="20"/>
          <w:szCs w:val="20"/>
          <w:lang w:val="en-US"/>
        </w:rPr>
        <w:t>Employment to population ratio (%) in Southeastern European countries</w:t>
      </w:r>
    </w:p>
    <w:p w:rsidR="007D0CF6" w:rsidRDefault="007D0CF6" w:rsidP="007D0CF6">
      <w:pPr>
        <w:pStyle w:val="Default"/>
        <w:spacing w:after="2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610300" cy="10800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7C5" w:rsidRPr="001F4942" w:rsidRDefault="005137C5" w:rsidP="001F4942">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FOOD obtains</w:t>
      </w:r>
      <w:r w:rsidRPr="004C59D3">
        <w:rPr>
          <w:rFonts w:ascii="Times New Roman" w:hAnsi="Times New Roman" w:cs="Times New Roman"/>
          <w:sz w:val="20"/>
          <w:szCs w:val="20"/>
        </w:rPr>
        <w:t xml:space="preserve"> food crops that are considered edible and that contain nutrients</w:t>
      </w:r>
      <w:r w:rsidR="004B2582">
        <w:rPr>
          <w:rFonts w:ascii="Times New Roman" w:hAnsi="Times New Roman" w:cs="Times New Roman"/>
          <w:sz w:val="20"/>
          <w:szCs w:val="20"/>
        </w:rPr>
        <w:t xml:space="preserve"> </w:t>
      </w:r>
      <w:r w:rsidR="004B2582">
        <w:rPr>
          <w:rFonts w:ascii="Times New Roman" w:hAnsi="Times New Roman" w:cs="Times New Roman"/>
          <w:sz w:val="20"/>
          <w:szCs w:val="20"/>
          <w:lang w:val="en-US"/>
        </w:rPr>
        <w:t>(</w:t>
      </w:r>
      <w:r w:rsidR="004B2582">
        <w:rPr>
          <w:rFonts w:ascii="Times New Roman" w:hAnsi="Times New Roman" w:cs="Times New Roman"/>
          <w:sz w:val="20"/>
          <w:szCs w:val="20"/>
        </w:rPr>
        <w:t>Figure 3)</w:t>
      </w:r>
      <w:r>
        <w:rPr>
          <w:rFonts w:ascii="Times New Roman" w:hAnsi="Times New Roman" w:cs="Times New Roman"/>
          <w:sz w:val="20"/>
          <w:szCs w:val="20"/>
        </w:rPr>
        <w:t xml:space="preserve"> </w:t>
      </w:r>
      <w:r w:rsidR="00A74FC2">
        <w:rPr>
          <w:rFonts w:ascii="Times New Roman" w:hAnsi="Times New Roman" w:cs="Times New Roman"/>
          <w:sz w:val="20"/>
          <w:szCs w:val="20"/>
          <w:lang w:val="en-US"/>
        </w:rPr>
        <w:t>The trend is different in different countries. In Albania, Macedonia and Turkey the food production continuously increases. Cyprus, Greece and Slovenia have decreasing food production index, while in remaining countries the index fluctuates, and has no definitive trend.</w:t>
      </w:r>
    </w:p>
    <w:p w:rsidR="007D0CF6" w:rsidRPr="00122ADC" w:rsidRDefault="007D0CF6" w:rsidP="007D0CF6">
      <w:pPr>
        <w:spacing w:after="0" w:line="240" w:lineRule="auto"/>
        <w:ind w:firstLine="720"/>
        <w:jc w:val="center"/>
        <w:rPr>
          <w:rFonts w:ascii="Times New Roman" w:hAnsi="Times New Roman" w:cs="Times New Roman"/>
          <w:b/>
          <w:iCs/>
          <w:sz w:val="20"/>
          <w:szCs w:val="20"/>
          <w:lang w:val="en-US"/>
        </w:rPr>
      </w:pPr>
      <w:r w:rsidRPr="00122ADC">
        <w:rPr>
          <w:rFonts w:ascii="Times New Roman" w:hAnsi="Times New Roman" w:cs="Times New Roman"/>
          <w:b/>
          <w:iCs/>
          <w:sz w:val="20"/>
          <w:szCs w:val="20"/>
          <w:lang w:val="en-US"/>
        </w:rPr>
        <w:t>Figure</w:t>
      </w:r>
      <w:r w:rsidRPr="00122ADC">
        <w:rPr>
          <w:rFonts w:ascii="Times New Roman" w:hAnsi="Times New Roman" w:cs="Times New Roman"/>
          <w:b/>
          <w:iCs/>
          <w:sz w:val="20"/>
          <w:szCs w:val="20"/>
        </w:rPr>
        <w:t xml:space="preserve"> </w:t>
      </w:r>
      <w:r w:rsidR="00EB6EEB">
        <w:rPr>
          <w:rFonts w:ascii="Times New Roman" w:hAnsi="Times New Roman" w:cs="Times New Roman"/>
          <w:b/>
          <w:iCs/>
          <w:sz w:val="20"/>
          <w:szCs w:val="20"/>
          <w:lang w:val="en-US"/>
        </w:rPr>
        <w:t>3</w:t>
      </w:r>
      <w:r w:rsidRPr="00122ADC">
        <w:rPr>
          <w:rFonts w:ascii="Times New Roman" w:hAnsi="Times New Roman" w:cs="Times New Roman"/>
          <w:b/>
          <w:iCs/>
          <w:sz w:val="20"/>
          <w:szCs w:val="20"/>
        </w:rPr>
        <w:t xml:space="preserve">. </w:t>
      </w:r>
      <w:r w:rsidRPr="00122ADC">
        <w:rPr>
          <w:rFonts w:ascii="Times New Roman" w:hAnsi="Times New Roman" w:cs="Times New Roman"/>
          <w:b/>
          <w:iCs/>
          <w:sz w:val="20"/>
          <w:szCs w:val="20"/>
          <w:lang w:val="en-US"/>
        </w:rPr>
        <w:t>Food production index in Southeastern European countries</w:t>
      </w:r>
    </w:p>
    <w:p w:rsidR="007D0CF6" w:rsidRDefault="007D0CF6" w:rsidP="007D0CF6">
      <w:pPr>
        <w:pStyle w:val="Default"/>
        <w:spacing w:after="2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610300" cy="108000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37C5" w:rsidRPr="00122ADC" w:rsidRDefault="005137C5" w:rsidP="00A910B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GNI is gross national income p</w:t>
      </w:r>
      <w:r w:rsidRPr="004C59D3">
        <w:rPr>
          <w:rFonts w:ascii="Times New Roman" w:hAnsi="Times New Roman" w:cs="Times New Roman"/>
          <w:sz w:val="20"/>
          <w:szCs w:val="20"/>
        </w:rPr>
        <w:t>er capita based on</w:t>
      </w:r>
      <w:r>
        <w:rPr>
          <w:rFonts w:ascii="Times New Roman" w:hAnsi="Times New Roman" w:cs="Times New Roman"/>
          <w:sz w:val="20"/>
          <w:szCs w:val="20"/>
        </w:rPr>
        <w:t xml:space="preserve"> purchasing power parity. </w:t>
      </w:r>
      <w:r w:rsidR="00EE4B98">
        <w:rPr>
          <w:rFonts w:ascii="Times New Roman" w:hAnsi="Times New Roman" w:cs="Times New Roman"/>
          <w:sz w:val="20"/>
          <w:szCs w:val="20"/>
          <w:lang w:val="en-US"/>
        </w:rPr>
        <w:t>As expected, GNI per capita</w:t>
      </w:r>
      <w:r w:rsidR="00A910BB">
        <w:rPr>
          <w:rFonts w:ascii="Times New Roman" w:hAnsi="Times New Roman" w:cs="Times New Roman"/>
          <w:sz w:val="20"/>
          <w:szCs w:val="20"/>
          <w:lang w:val="en-US"/>
        </w:rPr>
        <w:t xml:space="preserve"> marks constant growth in all observed countries. Yet, the difference between countries in the scale of this indicator is immen</w:t>
      </w:r>
      <w:r w:rsidR="00EE4B98">
        <w:rPr>
          <w:rFonts w:ascii="Times New Roman" w:hAnsi="Times New Roman" w:cs="Times New Roman"/>
          <w:sz w:val="20"/>
          <w:szCs w:val="20"/>
          <w:lang w:val="en-US"/>
        </w:rPr>
        <w:t>s</w:t>
      </w:r>
      <w:r w:rsidR="00A910BB">
        <w:rPr>
          <w:rFonts w:ascii="Times New Roman" w:hAnsi="Times New Roman" w:cs="Times New Roman"/>
          <w:sz w:val="20"/>
          <w:szCs w:val="20"/>
          <w:lang w:val="en-US"/>
        </w:rPr>
        <w:t>e.</w:t>
      </w:r>
      <w:r w:rsidR="00162CA3">
        <w:rPr>
          <w:rFonts w:ascii="Times New Roman" w:hAnsi="Times New Roman" w:cs="Times New Roman"/>
          <w:sz w:val="20"/>
          <w:szCs w:val="20"/>
          <w:lang w:val="en-US"/>
        </w:rPr>
        <w:t xml:space="preserve"> In Cyprus it reaches almost 35.000 US$ per capita and in contrast it almost reaches 5000 US$ per capita in Moldavia. Cyprus, Slovenia and Greece have the highest GNI per capita, While Moldova, Bosnia and Herzegovina, Albania and Macedonia have the lowest GNI per capita. It is interesting to mention that the three countries with highest GNI per capita are also the same countries with declining food production </w:t>
      </w:r>
      <w:r w:rsidR="00162CA3" w:rsidRPr="00122ADC">
        <w:rPr>
          <w:rFonts w:ascii="Times New Roman" w:hAnsi="Times New Roman" w:cs="Times New Roman"/>
          <w:sz w:val="20"/>
          <w:szCs w:val="20"/>
          <w:lang w:val="en-US"/>
        </w:rPr>
        <w:t>index.</w:t>
      </w:r>
    </w:p>
    <w:p w:rsidR="007D0CF6" w:rsidRPr="00122ADC" w:rsidRDefault="007D0CF6" w:rsidP="007D0CF6">
      <w:pPr>
        <w:spacing w:after="0" w:line="240" w:lineRule="auto"/>
        <w:ind w:firstLine="720"/>
        <w:jc w:val="center"/>
        <w:rPr>
          <w:rFonts w:ascii="Times New Roman" w:hAnsi="Times New Roman" w:cs="Times New Roman"/>
          <w:b/>
          <w:iCs/>
          <w:sz w:val="20"/>
          <w:szCs w:val="20"/>
          <w:lang w:val="en-US"/>
        </w:rPr>
      </w:pPr>
      <w:r w:rsidRPr="00122ADC">
        <w:rPr>
          <w:rFonts w:ascii="Times New Roman" w:hAnsi="Times New Roman" w:cs="Times New Roman"/>
          <w:b/>
          <w:iCs/>
          <w:sz w:val="20"/>
          <w:szCs w:val="20"/>
          <w:lang w:val="en-US"/>
        </w:rPr>
        <w:t>Figure</w:t>
      </w:r>
      <w:r w:rsidRPr="00122ADC">
        <w:rPr>
          <w:rFonts w:ascii="Times New Roman" w:hAnsi="Times New Roman" w:cs="Times New Roman"/>
          <w:b/>
          <w:iCs/>
          <w:sz w:val="20"/>
          <w:szCs w:val="20"/>
        </w:rPr>
        <w:t xml:space="preserve"> </w:t>
      </w:r>
      <w:r w:rsidR="00EB6EEB">
        <w:rPr>
          <w:rFonts w:ascii="Times New Roman" w:hAnsi="Times New Roman" w:cs="Times New Roman"/>
          <w:b/>
          <w:iCs/>
          <w:sz w:val="20"/>
          <w:szCs w:val="20"/>
          <w:lang w:val="en-US"/>
        </w:rPr>
        <w:t>4</w:t>
      </w:r>
      <w:r w:rsidRPr="00122ADC">
        <w:rPr>
          <w:rFonts w:ascii="Times New Roman" w:hAnsi="Times New Roman" w:cs="Times New Roman"/>
          <w:b/>
          <w:iCs/>
          <w:sz w:val="20"/>
          <w:szCs w:val="20"/>
        </w:rPr>
        <w:t xml:space="preserve">. </w:t>
      </w:r>
      <w:r w:rsidRPr="00122ADC">
        <w:rPr>
          <w:rFonts w:ascii="Times New Roman" w:hAnsi="Times New Roman" w:cs="Times New Roman"/>
          <w:b/>
          <w:iCs/>
          <w:sz w:val="20"/>
          <w:szCs w:val="20"/>
          <w:lang w:val="en-US"/>
        </w:rPr>
        <w:t>GNI per capita (US$) in Southeastern European countries</w:t>
      </w:r>
    </w:p>
    <w:p w:rsidR="007D0CF6" w:rsidRDefault="007D0CF6" w:rsidP="007D0CF6">
      <w:pPr>
        <w:pStyle w:val="Default"/>
        <w:spacing w:after="2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610300" cy="108000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7C5" w:rsidRDefault="005137C5" w:rsidP="00162CA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HEALTH obtains the c</w:t>
      </w:r>
      <w:r w:rsidRPr="00F42879">
        <w:rPr>
          <w:rFonts w:ascii="Times New Roman" w:hAnsi="Times New Roman" w:cs="Times New Roman"/>
          <w:sz w:val="20"/>
          <w:szCs w:val="20"/>
        </w:rPr>
        <w:t>urrent expenditures on health per capita in current US dollars</w:t>
      </w:r>
      <w:r w:rsidR="004B2582">
        <w:rPr>
          <w:rFonts w:ascii="Times New Roman" w:hAnsi="Times New Roman" w:cs="Times New Roman"/>
          <w:sz w:val="20"/>
          <w:szCs w:val="20"/>
          <w:lang w:val="en-US"/>
        </w:rPr>
        <w:t xml:space="preserve"> (Figure 5)</w:t>
      </w:r>
      <w:r w:rsidRPr="00F42879">
        <w:rPr>
          <w:rFonts w:ascii="Times New Roman" w:hAnsi="Times New Roman" w:cs="Times New Roman"/>
          <w:sz w:val="20"/>
          <w:szCs w:val="20"/>
        </w:rPr>
        <w:t>.</w:t>
      </w:r>
      <w:r w:rsidR="004B2582">
        <w:rPr>
          <w:rFonts w:ascii="Times New Roman" w:hAnsi="Times New Roman" w:cs="Times New Roman"/>
          <w:sz w:val="20"/>
          <w:szCs w:val="20"/>
          <w:lang w:val="en-US"/>
        </w:rPr>
        <w:t xml:space="preserve"> </w:t>
      </w:r>
      <w:r w:rsidRPr="00F42879">
        <w:rPr>
          <w:rFonts w:ascii="Times New Roman" w:hAnsi="Times New Roman" w:cs="Times New Roman"/>
          <w:sz w:val="20"/>
          <w:szCs w:val="20"/>
        </w:rPr>
        <w:t>Estimates of current health expenditures include healthcare goods and services consumed during each year.</w:t>
      </w:r>
      <w:r>
        <w:rPr>
          <w:rFonts w:ascii="Times New Roman" w:hAnsi="Times New Roman" w:cs="Times New Roman"/>
          <w:sz w:val="20"/>
          <w:szCs w:val="20"/>
        </w:rPr>
        <w:t xml:space="preserve"> </w:t>
      </w:r>
      <w:r w:rsidR="002F336E">
        <w:rPr>
          <w:rFonts w:ascii="Times New Roman" w:hAnsi="Times New Roman" w:cs="Times New Roman"/>
          <w:sz w:val="20"/>
          <w:szCs w:val="20"/>
          <w:lang w:val="en-US"/>
        </w:rPr>
        <w:t>Again, countries with highest GNI per capita Cyprus, Greece and Slovenia have the highest health expenditure per capita (around 2000 US$ per capita on average). Other remaining countries has significantly lower values for indicator (less than 500 US$ per capita).</w:t>
      </w:r>
    </w:p>
    <w:p w:rsidR="003D7975" w:rsidRPr="002F336E" w:rsidRDefault="003D7975" w:rsidP="003D7975">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IMMUN represents c</w:t>
      </w:r>
      <w:r w:rsidRPr="00F42879">
        <w:rPr>
          <w:rFonts w:ascii="Times New Roman" w:hAnsi="Times New Roman" w:cs="Times New Roman"/>
          <w:sz w:val="20"/>
          <w:szCs w:val="20"/>
        </w:rPr>
        <w:t>hild immunization, DPT</w:t>
      </w:r>
      <w:r>
        <w:rPr>
          <w:rFonts w:ascii="Times New Roman" w:hAnsi="Times New Roman" w:cs="Times New Roman"/>
          <w:sz w:val="20"/>
          <w:szCs w:val="20"/>
        </w:rPr>
        <w:t xml:space="preserve"> (</w:t>
      </w:r>
      <w:r w:rsidRPr="00F42879">
        <w:rPr>
          <w:rFonts w:ascii="Times New Roman" w:hAnsi="Times New Roman" w:cs="Times New Roman"/>
          <w:sz w:val="20"/>
          <w:szCs w:val="20"/>
        </w:rPr>
        <w:t>diphtheria, pertussis and tetanus</w:t>
      </w:r>
      <w:r>
        <w:rPr>
          <w:rFonts w:ascii="Times New Roman" w:hAnsi="Times New Roman" w:cs="Times New Roman"/>
          <w:sz w:val="20"/>
          <w:szCs w:val="20"/>
        </w:rPr>
        <w:t>)</w:t>
      </w:r>
      <w:r w:rsidRPr="00F42879">
        <w:rPr>
          <w:rFonts w:ascii="Times New Roman" w:hAnsi="Times New Roman" w:cs="Times New Roman"/>
          <w:sz w:val="20"/>
          <w:szCs w:val="20"/>
        </w:rPr>
        <w:t xml:space="preserve"> measures the percentage of children ages 12-23 months who received DPT vaccinations before 12 months or</w:t>
      </w:r>
      <w:r>
        <w:rPr>
          <w:rFonts w:ascii="Times New Roman" w:hAnsi="Times New Roman" w:cs="Times New Roman"/>
          <w:sz w:val="20"/>
          <w:szCs w:val="20"/>
        </w:rPr>
        <w:t xml:space="preserve"> at any time before the survey. </w:t>
      </w:r>
      <w:r>
        <w:rPr>
          <w:rFonts w:ascii="Times New Roman" w:hAnsi="Times New Roman" w:cs="Times New Roman"/>
          <w:sz w:val="20"/>
          <w:szCs w:val="20"/>
          <w:lang w:val="en-US"/>
        </w:rPr>
        <w:t>As presented in Figure 6, the level of immunization is high in all observed countries. Bosnia and Herzegovina and Moldova are countries with lower immunization rate than the other countries of the group.</w:t>
      </w:r>
    </w:p>
    <w:p w:rsidR="007D0CF6" w:rsidRPr="008D03E8" w:rsidRDefault="007D0CF6" w:rsidP="007D0CF6">
      <w:pPr>
        <w:spacing w:after="0" w:line="240" w:lineRule="auto"/>
        <w:ind w:firstLine="720"/>
        <w:jc w:val="center"/>
        <w:rPr>
          <w:rFonts w:ascii="Times New Roman" w:hAnsi="Times New Roman" w:cs="Times New Roman"/>
          <w:b/>
          <w:iCs/>
          <w:szCs w:val="20"/>
          <w:lang w:val="en-US"/>
        </w:rPr>
      </w:pPr>
      <w:r w:rsidRPr="00122ADC">
        <w:rPr>
          <w:rFonts w:ascii="Times New Roman" w:hAnsi="Times New Roman" w:cs="Times New Roman"/>
          <w:b/>
          <w:iCs/>
          <w:sz w:val="20"/>
          <w:szCs w:val="20"/>
          <w:lang w:val="en-US"/>
        </w:rPr>
        <w:t>Figure</w:t>
      </w:r>
      <w:r w:rsidRPr="00122ADC">
        <w:rPr>
          <w:rFonts w:ascii="Times New Roman" w:hAnsi="Times New Roman" w:cs="Times New Roman"/>
          <w:b/>
          <w:iCs/>
          <w:sz w:val="20"/>
          <w:szCs w:val="20"/>
        </w:rPr>
        <w:t xml:space="preserve"> </w:t>
      </w:r>
      <w:r w:rsidR="00EB6EEB">
        <w:rPr>
          <w:rFonts w:ascii="Times New Roman" w:hAnsi="Times New Roman" w:cs="Times New Roman"/>
          <w:b/>
          <w:iCs/>
          <w:sz w:val="20"/>
          <w:szCs w:val="20"/>
          <w:lang w:val="en-US"/>
        </w:rPr>
        <w:t>5</w:t>
      </w:r>
      <w:r w:rsidRPr="00122ADC">
        <w:rPr>
          <w:rFonts w:ascii="Times New Roman" w:hAnsi="Times New Roman" w:cs="Times New Roman"/>
          <w:b/>
          <w:iCs/>
          <w:sz w:val="20"/>
          <w:szCs w:val="20"/>
        </w:rPr>
        <w:t xml:space="preserve">. </w:t>
      </w:r>
      <w:r w:rsidRPr="00122ADC">
        <w:rPr>
          <w:rFonts w:ascii="Times New Roman" w:hAnsi="Times New Roman" w:cs="Times New Roman"/>
          <w:b/>
          <w:iCs/>
          <w:sz w:val="20"/>
          <w:szCs w:val="20"/>
          <w:lang w:val="en-US"/>
        </w:rPr>
        <w:t>Health expenditure per capita (US$) in Southeastern European countries</w:t>
      </w:r>
      <w:r w:rsidR="00C927D1">
        <w:rPr>
          <w:rFonts w:ascii="Times New Roman" w:hAnsi="Times New Roman" w:cs="Times New Roman"/>
          <w:noProof/>
          <w:sz w:val="20"/>
          <w:szCs w:val="20"/>
          <w:lang w:val="en-US"/>
        </w:rPr>
        <w:drawing>
          <wp:inline distT="0" distB="0" distL="0" distR="0" wp14:anchorId="40B2CDB8" wp14:editId="268ADA98">
            <wp:extent cx="5610300" cy="108000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21AF" w:rsidRDefault="000621AF" w:rsidP="000621AF">
      <w:pPr>
        <w:pStyle w:val="Default"/>
        <w:spacing w:after="22"/>
        <w:jc w:val="both"/>
        <w:rPr>
          <w:rFonts w:ascii="Times New Roman" w:hAnsi="Times New Roman" w:cs="Times New Roman"/>
          <w:sz w:val="20"/>
          <w:szCs w:val="20"/>
        </w:rPr>
      </w:pPr>
      <w:r>
        <w:rPr>
          <w:rFonts w:ascii="Times New Roman" w:hAnsi="Times New Roman" w:cs="Times New Roman"/>
          <w:sz w:val="20"/>
          <w:szCs w:val="20"/>
        </w:rPr>
        <w:t>The first part of the analysis is examination of the stationarity of the variables using the unit root tests. Unit root tests in panel series are very similar to the tests used in one equation estimation (Brooks, 2014). Despite the similarities, in panel series several specially designed tests are used for this purpose.</w:t>
      </w:r>
    </w:p>
    <w:p w:rsidR="007D135A" w:rsidRPr="00925D76" w:rsidRDefault="007D135A" w:rsidP="007D135A">
      <w:pPr>
        <w:pStyle w:val="Default"/>
        <w:spacing w:after="22"/>
        <w:jc w:val="both"/>
        <w:rPr>
          <w:rFonts w:ascii="Times New Roman" w:hAnsi="Times New Roman" w:cs="Times New Roman"/>
          <w:sz w:val="20"/>
          <w:szCs w:val="20"/>
        </w:rPr>
      </w:pPr>
      <w:r>
        <w:rPr>
          <w:rFonts w:ascii="Times New Roman" w:hAnsi="Times New Roman" w:cs="Times New Roman"/>
          <w:sz w:val="20"/>
          <w:szCs w:val="20"/>
        </w:rPr>
        <w:lastRenderedPageBreak/>
        <w:t>After examining the results of the unit root tests (</w:t>
      </w:r>
      <w:r w:rsidRPr="00891545">
        <w:rPr>
          <w:rFonts w:ascii="Times New Roman" w:hAnsi="Times New Roman" w:cs="Times New Roman"/>
          <w:sz w:val="20"/>
          <w:szCs w:val="20"/>
        </w:rPr>
        <w:t>Levin Lin and Chu; Im, Pesaran and Shin; ADF Fisher</w:t>
      </w:r>
      <w:r>
        <w:rPr>
          <w:rFonts w:ascii="Times New Roman" w:hAnsi="Times New Roman" w:cs="Times New Roman"/>
          <w:b/>
          <w:bCs/>
          <w:sz w:val="20"/>
          <w:szCs w:val="20"/>
        </w:rPr>
        <w:t xml:space="preserve"> </w:t>
      </w:r>
      <w:r>
        <w:rPr>
          <w:rFonts w:ascii="Times New Roman" w:hAnsi="Times New Roman" w:cs="Times New Roman"/>
          <w:bCs/>
          <w:sz w:val="20"/>
          <w:szCs w:val="20"/>
        </w:rPr>
        <w:t>Chi-square and</w:t>
      </w:r>
      <w:r w:rsidRPr="00891545">
        <w:rPr>
          <w:rFonts w:ascii="Times New Roman" w:hAnsi="Times New Roman" w:cs="Times New Roman"/>
          <w:sz w:val="20"/>
          <w:szCs w:val="20"/>
          <w:lang w:val="mk-MK"/>
        </w:rPr>
        <w:t xml:space="preserve"> </w:t>
      </w:r>
      <w:r w:rsidRPr="00891545">
        <w:rPr>
          <w:rFonts w:ascii="Times New Roman" w:hAnsi="Times New Roman" w:cs="Times New Roman"/>
          <w:sz w:val="20"/>
          <w:szCs w:val="20"/>
        </w:rPr>
        <w:t>PP Fisher</w:t>
      </w:r>
      <w:r>
        <w:rPr>
          <w:rFonts w:ascii="Times New Roman" w:hAnsi="Times New Roman" w:cs="Times New Roman"/>
          <w:b/>
          <w:bCs/>
          <w:sz w:val="20"/>
          <w:szCs w:val="20"/>
        </w:rPr>
        <w:t xml:space="preserve"> </w:t>
      </w:r>
      <w:r>
        <w:rPr>
          <w:rFonts w:ascii="Times New Roman" w:hAnsi="Times New Roman" w:cs="Times New Roman"/>
          <w:bCs/>
          <w:sz w:val="20"/>
          <w:szCs w:val="20"/>
        </w:rPr>
        <w:t>Chi-square)</w:t>
      </w:r>
      <w:r>
        <w:rPr>
          <w:rFonts w:ascii="Times New Roman" w:hAnsi="Times New Roman" w:cs="Times New Roman"/>
          <w:sz w:val="20"/>
          <w:szCs w:val="20"/>
        </w:rPr>
        <w:t>, the general conclusion is that the variables are stationary in their first difference. When all the variables are stationary in their first difference a possibility for cointegration also must be tested.</w:t>
      </w:r>
    </w:p>
    <w:p w:rsidR="007D0CF6" w:rsidRPr="00122ADC" w:rsidRDefault="007D0CF6" w:rsidP="007D0CF6">
      <w:pPr>
        <w:spacing w:after="0" w:line="240" w:lineRule="auto"/>
        <w:ind w:firstLine="720"/>
        <w:jc w:val="center"/>
        <w:rPr>
          <w:rFonts w:ascii="Times New Roman" w:hAnsi="Times New Roman" w:cs="Times New Roman"/>
          <w:b/>
          <w:iCs/>
          <w:sz w:val="20"/>
          <w:szCs w:val="20"/>
          <w:lang w:val="en-US"/>
        </w:rPr>
      </w:pPr>
      <w:r w:rsidRPr="00122ADC">
        <w:rPr>
          <w:rFonts w:ascii="Times New Roman" w:hAnsi="Times New Roman" w:cs="Times New Roman"/>
          <w:b/>
          <w:iCs/>
          <w:sz w:val="20"/>
          <w:szCs w:val="20"/>
          <w:lang w:val="en-US"/>
        </w:rPr>
        <w:t>Figure</w:t>
      </w:r>
      <w:r w:rsidRPr="00122ADC">
        <w:rPr>
          <w:rFonts w:ascii="Times New Roman" w:hAnsi="Times New Roman" w:cs="Times New Roman"/>
          <w:b/>
          <w:iCs/>
          <w:sz w:val="20"/>
          <w:szCs w:val="20"/>
        </w:rPr>
        <w:t xml:space="preserve"> </w:t>
      </w:r>
      <w:r w:rsidR="00EB6EEB">
        <w:rPr>
          <w:rFonts w:ascii="Times New Roman" w:hAnsi="Times New Roman" w:cs="Times New Roman"/>
          <w:b/>
          <w:iCs/>
          <w:sz w:val="20"/>
          <w:szCs w:val="20"/>
          <w:lang w:val="en-US"/>
        </w:rPr>
        <w:t>6</w:t>
      </w:r>
      <w:r w:rsidRPr="00122ADC">
        <w:rPr>
          <w:rFonts w:ascii="Times New Roman" w:hAnsi="Times New Roman" w:cs="Times New Roman"/>
          <w:b/>
          <w:iCs/>
          <w:sz w:val="20"/>
          <w:szCs w:val="20"/>
        </w:rPr>
        <w:t>.</w:t>
      </w:r>
      <w:r w:rsidRPr="00122ADC">
        <w:rPr>
          <w:rFonts w:ascii="Times New Roman" w:hAnsi="Times New Roman" w:cs="Times New Roman"/>
          <w:b/>
          <w:iCs/>
          <w:sz w:val="20"/>
          <w:szCs w:val="20"/>
          <w:lang w:val="en-US"/>
        </w:rPr>
        <w:t xml:space="preserve"> Immunization (% of children ages 12-23 months) in Southeastern European countries</w:t>
      </w:r>
    </w:p>
    <w:p w:rsidR="007D0CF6" w:rsidRDefault="007D0CF6" w:rsidP="007D0CF6">
      <w:pPr>
        <w:pStyle w:val="Default"/>
        <w:spacing w:after="22"/>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610300" cy="108000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03C6" w:rsidRDefault="00B103C6" w:rsidP="00C927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Kao residual cointegration test is used in order to test the null hypothesis of no cointegration between the variables. The test has t-statistic of -2,32 and p-value of 0,01. For significance level of 0,05 the null hypothesis is rejected, or there is cointegration between the variables in the analysis. When the cointegration is confirmed, a cointegrated panel regression can be estimated. For its estimated the fully modified least squares method (FMOLS) is used. The results </w:t>
      </w:r>
      <w:r w:rsidR="00B718CE">
        <w:rPr>
          <w:rFonts w:ascii="Times New Roman" w:hAnsi="Times New Roman" w:cs="Times New Roman"/>
          <w:sz w:val="20"/>
          <w:szCs w:val="20"/>
          <w:lang w:val="en-US"/>
        </w:rPr>
        <w:t>are:</w:t>
      </w:r>
    </w:p>
    <w:p w:rsidR="00B718CE" w:rsidRPr="00CB284F" w:rsidRDefault="00B718CE" w:rsidP="00B718CE">
      <w:pPr>
        <w:spacing w:after="0" w:line="240" w:lineRule="auto"/>
        <w:jc w:val="both"/>
        <w:rPr>
          <w:rFonts w:ascii="Times New Roman" w:hAnsi="Times New Roman" w:cs="Times New Roman"/>
          <w:sz w:val="18"/>
          <w:szCs w:val="20"/>
          <w:lang w:val="en-US"/>
        </w:rPr>
      </w:pPr>
      <m:oMathPara>
        <m:oMath>
          <m:sSub>
            <m:sSubPr>
              <m:ctrlPr>
                <w:rPr>
                  <w:rFonts w:ascii="Cambria Math" w:hAnsi="Times New Roman" w:cs="Times New Roman"/>
                  <w:i/>
                  <w:sz w:val="18"/>
                  <w:szCs w:val="20"/>
                  <w:lang w:val="en-US"/>
                </w:rPr>
              </m:ctrlPr>
            </m:sSubPr>
            <m:e>
              <m:r>
                <w:rPr>
                  <w:rFonts w:ascii="Cambria Math" w:hAnsi="Cambria Math" w:cs="Times New Roman"/>
                  <w:sz w:val="18"/>
                  <w:szCs w:val="20"/>
                  <w:lang w:val="en-US"/>
                </w:rPr>
                <m:t>LEB</m:t>
              </m:r>
              <m:ctrlPr>
                <w:rPr>
                  <w:rFonts w:ascii="Cambria Math" w:hAnsi="Cambria Math" w:cs="Times New Roman"/>
                  <w:i/>
                  <w:sz w:val="18"/>
                  <w:szCs w:val="20"/>
                  <w:lang w:val="en-US"/>
                </w:rPr>
              </m:ctrlPr>
            </m:e>
            <m:sub>
              <m:r>
                <w:rPr>
                  <w:rFonts w:ascii="Cambria Math" w:hAnsi="Cambria Math" w:cs="Times New Roman"/>
                  <w:sz w:val="18"/>
                  <w:szCs w:val="20"/>
                  <w:lang w:val="en-US"/>
                </w:rPr>
                <m:t>it</m:t>
              </m:r>
            </m:sub>
          </m:sSub>
          <m:r>
            <w:rPr>
              <w:rFonts w:ascii="Cambria Math" w:hAnsi="Times New Roman" w:cs="Times New Roman"/>
              <w:sz w:val="18"/>
              <w:szCs w:val="20"/>
              <w:lang w:val="en-US"/>
            </w:rPr>
            <m:t>=</m:t>
          </m:r>
        </m:oMath>
      </m:oMathPara>
    </w:p>
    <w:p w:rsidR="00B718CE" w:rsidRPr="00B718CE" w:rsidRDefault="00B718CE" w:rsidP="00B718CE">
      <w:pPr>
        <w:spacing w:after="0" w:line="240" w:lineRule="auto"/>
        <w:jc w:val="both"/>
        <w:rPr>
          <w:rFonts w:ascii="Times New Roman" w:eastAsiaTheme="minorEastAsia" w:hAnsi="Times New Roman" w:cs="Times New Roman"/>
          <w:sz w:val="19"/>
          <w:szCs w:val="19"/>
          <w:lang w:val="en-US"/>
        </w:rPr>
      </w:pPr>
      <m:oMath>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α</m:t>
            </m:r>
          </m:e>
          <m:sub>
            <m:r>
              <w:rPr>
                <w:rFonts w:ascii="Cambria Math" w:hAnsi="Cambria Math" w:cs="Times New Roman"/>
                <w:sz w:val="18"/>
                <w:szCs w:val="19"/>
                <w:lang w:val="en-US"/>
              </w:rPr>
              <m:t>i</m:t>
            </m:r>
          </m:sub>
        </m:sSub>
        <m:r>
          <w:rPr>
            <w:rFonts w:ascii="Cambria Math" w:hAnsi="Times New Roman" w:cs="Times New Roman"/>
            <w:sz w:val="18"/>
            <w:szCs w:val="19"/>
            <w:lang w:val="en-US"/>
          </w:rPr>
          <m:t>+</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δ</m:t>
            </m:r>
          </m:e>
          <m:sub>
            <m:r>
              <w:rPr>
                <w:rFonts w:ascii="Cambria Math" w:hAnsi="Cambria Math" w:cs="Times New Roman"/>
                <w:sz w:val="18"/>
                <w:szCs w:val="19"/>
                <w:lang w:val="en-US"/>
              </w:rPr>
              <m:t>i</m:t>
            </m:r>
          </m:sub>
        </m:sSub>
        <m:r>
          <w:rPr>
            <w:rFonts w:ascii="Cambria Math" w:hAnsi="Cambria Math" w:cs="Times New Roman"/>
            <w:sz w:val="18"/>
            <w:szCs w:val="19"/>
            <w:lang w:val="en-US"/>
          </w:rPr>
          <m:t>t</m:t>
        </m:r>
        <m:r>
          <w:rPr>
            <w:rFonts w:ascii="Cambria Math" w:hAnsi="Times New Roman" w:cs="Times New Roman"/>
            <w:sz w:val="18"/>
            <w:szCs w:val="19"/>
            <w:lang w:val="en-US"/>
          </w:rPr>
          <m:t>+0,024</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CPI</m:t>
            </m:r>
            <m:ctrlPr>
              <w:rPr>
                <w:rFonts w:ascii="Cambria Math" w:hAnsi="Cambria Math" w:cs="Cambria Math"/>
                <w:i/>
                <w:sz w:val="18"/>
                <w:szCs w:val="19"/>
                <w:lang w:val="en-US"/>
              </w:rPr>
            </m:ctrlP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r>
          <w:rPr>
            <w:rFonts w:ascii="Cambria Math" w:hAnsi="Times New Roman" w:cs="Times New Roman"/>
            <w:sz w:val="18"/>
            <w:szCs w:val="19"/>
            <w:lang w:val="en-US"/>
          </w:rPr>
          <m:t>-</m:t>
        </m:r>
        <m:r>
          <w:rPr>
            <w:rFonts w:ascii="Cambria Math" w:hAnsi="Times New Roman" w:cs="Times New Roman"/>
            <w:sz w:val="18"/>
            <w:szCs w:val="19"/>
            <w:lang w:val="en-US"/>
          </w:rPr>
          <m:t>0,084</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EMPLOY</m:t>
            </m:r>
            <m:ctrlPr>
              <w:rPr>
                <w:rFonts w:ascii="Cambria Math" w:hAnsi="Cambria Math" w:cs="Cambria Math"/>
                <w:i/>
                <w:sz w:val="18"/>
                <w:szCs w:val="19"/>
                <w:lang w:val="en-US"/>
              </w:rPr>
            </m:ctrlP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r>
          <w:rPr>
            <w:rFonts w:ascii="Cambria Math" w:hAnsi="Times New Roman" w:cs="Times New Roman"/>
            <w:sz w:val="18"/>
            <w:szCs w:val="19"/>
            <w:lang w:val="en-US"/>
          </w:rPr>
          <m:t>+0,01</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FOOD</m:t>
            </m:r>
            <m:ctrlPr>
              <w:rPr>
                <w:rFonts w:ascii="Cambria Math" w:hAnsi="Cambria Math" w:cs="Cambria Math"/>
                <w:i/>
                <w:sz w:val="18"/>
                <w:szCs w:val="19"/>
                <w:lang w:val="en-US"/>
              </w:rPr>
            </m:ctrlP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r>
          <w:rPr>
            <w:rFonts w:ascii="Cambria Math" w:hAnsi="Times New Roman" w:cs="Times New Roman"/>
            <w:sz w:val="18"/>
            <w:szCs w:val="19"/>
            <w:lang w:val="en-US"/>
          </w:rPr>
          <m:t>+0,0002</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GNI</m:t>
            </m:r>
            <m:ctrlPr>
              <w:rPr>
                <w:rFonts w:ascii="Cambria Math" w:hAnsi="Cambria Math" w:cs="Cambria Math"/>
                <w:i/>
                <w:sz w:val="18"/>
                <w:szCs w:val="19"/>
                <w:lang w:val="en-US"/>
              </w:rPr>
            </m:ctrlP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r>
          <w:rPr>
            <w:rFonts w:ascii="Cambria Math" w:hAnsi="Times New Roman" w:cs="Times New Roman"/>
            <w:sz w:val="18"/>
            <w:szCs w:val="19"/>
            <w:lang w:val="en-US"/>
          </w:rPr>
          <m:t>+0,0002</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HEALTH</m:t>
            </m:r>
            <m:ctrlPr>
              <w:rPr>
                <w:rFonts w:ascii="Cambria Math" w:hAnsi="Cambria Math" w:cs="Cambria Math"/>
                <w:i/>
                <w:sz w:val="18"/>
                <w:szCs w:val="19"/>
                <w:lang w:val="en-US"/>
              </w:rPr>
            </m:ctrlP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r>
          <w:rPr>
            <w:rFonts w:ascii="Cambria Math" w:hAnsi="Times New Roman" w:cs="Times New Roman"/>
            <w:sz w:val="18"/>
            <w:szCs w:val="19"/>
            <w:lang w:val="en-US"/>
          </w:rPr>
          <m:t>-</m:t>
        </m:r>
        <m:r>
          <w:rPr>
            <w:rFonts w:ascii="Cambria Math" w:hAnsi="Times New Roman" w:cs="Times New Roman"/>
            <w:sz w:val="18"/>
            <w:szCs w:val="19"/>
            <w:lang w:val="en-US"/>
          </w:rPr>
          <m:t>0,012</m:t>
        </m:r>
        <m:sSub>
          <m:sSubPr>
            <m:ctrlPr>
              <w:rPr>
                <w:rFonts w:ascii="Cambria Math" w:hAnsi="Times New Roman" w:cs="Times New Roman"/>
                <w:i/>
                <w:sz w:val="18"/>
                <w:szCs w:val="19"/>
                <w:lang w:val="en-US"/>
              </w:rPr>
            </m:ctrlPr>
          </m:sSubPr>
          <m:e>
            <m:r>
              <w:rPr>
                <w:rFonts w:ascii="Cambria Math" w:hAnsi="Times New Roman" w:cs="Times New Roman"/>
                <w:sz w:val="18"/>
                <w:szCs w:val="19"/>
                <w:lang w:val="en-US"/>
              </w:rPr>
              <m:t>IMMUN</m:t>
            </m:r>
            <m:ctrlPr>
              <w:rPr>
                <w:rFonts w:ascii="Cambria Math" w:hAnsi="Cambria Math" w:cs="Cambria Math"/>
                <w:i/>
                <w:sz w:val="18"/>
                <w:szCs w:val="19"/>
                <w:lang w:val="en-US"/>
              </w:rPr>
            </m:ctrlP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r>
          <w:rPr>
            <w:rFonts w:ascii="Cambria Math" w:hAnsi="Times New Roman" w:cs="Times New Roman"/>
            <w:sz w:val="18"/>
            <w:szCs w:val="19"/>
            <w:lang w:val="en-US"/>
          </w:rPr>
          <m:t>+</m:t>
        </m:r>
        <m:sSub>
          <m:sSubPr>
            <m:ctrlPr>
              <w:rPr>
                <w:rFonts w:ascii="Cambria Math" w:hAnsi="Times New Roman" w:cs="Times New Roman"/>
                <w:i/>
                <w:sz w:val="18"/>
                <w:szCs w:val="19"/>
                <w:lang w:val="en-US"/>
              </w:rPr>
            </m:ctrlPr>
          </m:sSubPr>
          <m:e>
            <m:r>
              <w:rPr>
                <w:rFonts w:ascii="Cambria Math" w:hAnsi="Cambria Math" w:cs="Times New Roman"/>
                <w:sz w:val="18"/>
                <w:szCs w:val="19"/>
                <w:lang w:val="en-US"/>
              </w:rPr>
              <m:t>ϵ</m:t>
            </m:r>
          </m:e>
          <m:sub>
            <m:r>
              <w:rPr>
                <w:rFonts w:ascii="Cambria Math" w:hAnsi="Cambria Math" w:cs="Times New Roman"/>
                <w:sz w:val="18"/>
                <w:szCs w:val="19"/>
                <w:lang w:val="en-US"/>
              </w:rPr>
              <m:t>i</m:t>
            </m:r>
            <m:r>
              <w:rPr>
                <w:rFonts w:ascii="Cambria Math" w:hAnsi="Times New Roman" w:cs="Times New Roman"/>
                <w:sz w:val="18"/>
                <w:szCs w:val="19"/>
                <w:lang w:val="en-US"/>
              </w:rPr>
              <m:t>,</m:t>
            </m:r>
            <m:r>
              <w:rPr>
                <w:rFonts w:ascii="Cambria Math" w:hAnsi="Cambria Math" w:cs="Times New Roman"/>
                <w:sz w:val="18"/>
                <w:szCs w:val="19"/>
                <w:lang w:val="en-US"/>
              </w:rPr>
              <m:t>t</m:t>
            </m:r>
          </m:sub>
        </m:sSub>
      </m:oMath>
      <w:r w:rsidRPr="00B718CE">
        <w:rPr>
          <w:rFonts w:ascii="Times New Roman" w:eastAsiaTheme="minorEastAsia" w:hAnsi="Times New Roman" w:cs="Times New Roman"/>
          <w:sz w:val="19"/>
          <w:szCs w:val="19"/>
          <w:lang w:val="en-US"/>
        </w:rPr>
        <w:t xml:space="preserve"> </w:t>
      </w:r>
    </w:p>
    <w:p w:rsidR="00B718CE" w:rsidRPr="00B718CE" w:rsidRDefault="00B718CE" w:rsidP="00B718CE">
      <w:pPr>
        <w:spacing w:after="0" w:line="240" w:lineRule="auto"/>
        <w:jc w:val="both"/>
        <w:rPr>
          <w:rFonts w:ascii="Times New Roman" w:eastAsiaTheme="minorEastAsia" w:hAnsi="Times New Roman" w:cs="Times New Roman"/>
          <w:sz w:val="18"/>
          <w:szCs w:val="20"/>
          <w:lang w:val="en-US"/>
        </w:rPr>
      </w:pPr>
      <w:r w:rsidRPr="00B718CE">
        <w:rPr>
          <w:rFonts w:ascii="Times New Roman" w:eastAsiaTheme="minorEastAsia" w:hAnsi="Times New Roman" w:cs="Times New Roman"/>
          <w:sz w:val="18"/>
          <w:szCs w:val="20"/>
          <w:lang w:val="en-US"/>
        </w:rPr>
        <w:t xml:space="preserve">                </w:t>
      </w:r>
      <w:r>
        <w:rPr>
          <w:rFonts w:ascii="Times New Roman" w:eastAsiaTheme="minorEastAsia" w:hAnsi="Times New Roman" w:cs="Times New Roman"/>
          <w:sz w:val="18"/>
          <w:szCs w:val="20"/>
          <w:lang w:val="en-US"/>
        </w:rPr>
        <w:t xml:space="preserve">   </w:t>
      </w:r>
      <w:r w:rsidRPr="00B718CE">
        <w:rPr>
          <w:rFonts w:ascii="Times New Roman" w:eastAsiaTheme="minorEastAsia" w:hAnsi="Times New Roman" w:cs="Times New Roman"/>
          <w:sz w:val="18"/>
          <w:szCs w:val="20"/>
          <w:lang w:val="en-US"/>
        </w:rPr>
        <w:t xml:space="preserve"> (0,000*)   </w:t>
      </w:r>
      <w:r>
        <w:rPr>
          <w:rFonts w:ascii="Times New Roman" w:eastAsiaTheme="minorEastAsia" w:hAnsi="Times New Roman" w:cs="Times New Roman"/>
          <w:sz w:val="18"/>
          <w:szCs w:val="20"/>
          <w:lang w:val="en-US"/>
        </w:rPr>
        <w:t xml:space="preserve">             </w:t>
      </w:r>
      <w:r w:rsidRPr="00B718CE">
        <w:rPr>
          <w:rFonts w:ascii="Times New Roman" w:eastAsiaTheme="minorEastAsia" w:hAnsi="Times New Roman" w:cs="Times New Roman"/>
          <w:sz w:val="18"/>
          <w:szCs w:val="20"/>
          <w:lang w:val="en-US"/>
        </w:rPr>
        <w:t xml:space="preserve">(0,000*)  </w:t>
      </w:r>
      <w:r>
        <w:rPr>
          <w:rFonts w:ascii="Times New Roman" w:eastAsiaTheme="minorEastAsia" w:hAnsi="Times New Roman" w:cs="Times New Roman"/>
          <w:sz w:val="18"/>
          <w:szCs w:val="20"/>
          <w:lang w:val="en-US"/>
        </w:rPr>
        <w:t xml:space="preserve">              </w:t>
      </w:r>
      <w:r w:rsidRPr="00B718CE">
        <w:rPr>
          <w:rFonts w:ascii="Times New Roman" w:eastAsiaTheme="minorEastAsia" w:hAnsi="Times New Roman" w:cs="Times New Roman"/>
          <w:sz w:val="18"/>
          <w:szCs w:val="20"/>
          <w:lang w:val="en-US"/>
        </w:rPr>
        <w:t xml:space="preserve">(0,060)  </w:t>
      </w:r>
      <w:r>
        <w:rPr>
          <w:rFonts w:ascii="Times New Roman" w:eastAsiaTheme="minorEastAsia" w:hAnsi="Times New Roman" w:cs="Times New Roman"/>
          <w:sz w:val="18"/>
          <w:szCs w:val="20"/>
          <w:lang w:val="en-US"/>
        </w:rPr>
        <w:t xml:space="preserve">          </w:t>
      </w:r>
      <w:r w:rsidRPr="00B718CE">
        <w:rPr>
          <w:rFonts w:ascii="Times New Roman" w:eastAsiaTheme="minorEastAsia" w:hAnsi="Times New Roman" w:cs="Times New Roman"/>
          <w:sz w:val="18"/>
          <w:szCs w:val="20"/>
          <w:lang w:val="en-US"/>
        </w:rPr>
        <w:t xml:space="preserve"> (0,000*) </w:t>
      </w:r>
      <w:r>
        <w:rPr>
          <w:rFonts w:ascii="Times New Roman" w:eastAsiaTheme="minorEastAsia" w:hAnsi="Times New Roman" w:cs="Times New Roman"/>
          <w:sz w:val="18"/>
          <w:szCs w:val="20"/>
          <w:lang w:val="en-US"/>
        </w:rPr>
        <w:t xml:space="preserve">                 </w:t>
      </w:r>
      <w:r w:rsidRPr="00B718CE">
        <w:rPr>
          <w:rFonts w:ascii="Times New Roman" w:eastAsiaTheme="minorEastAsia" w:hAnsi="Times New Roman" w:cs="Times New Roman"/>
          <w:sz w:val="18"/>
          <w:szCs w:val="20"/>
          <w:lang w:val="en-US"/>
        </w:rPr>
        <w:t xml:space="preserve"> (0,351)  </w:t>
      </w:r>
      <w:r>
        <w:rPr>
          <w:rFonts w:ascii="Times New Roman" w:eastAsiaTheme="minorEastAsia" w:hAnsi="Times New Roman" w:cs="Times New Roman"/>
          <w:sz w:val="18"/>
          <w:szCs w:val="20"/>
          <w:lang w:val="en-US"/>
        </w:rPr>
        <w:t xml:space="preserve">                   </w:t>
      </w:r>
      <w:r w:rsidRPr="00B718CE">
        <w:rPr>
          <w:rFonts w:ascii="Times New Roman" w:eastAsiaTheme="minorEastAsia" w:hAnsi="Times New Roman" w:cs="Times New Roman"/>
          <w:sz w:val="18"/>
          <w:szCs w:val="20"/>
          <w:lang w:val="en-US"/>
        </w:rPr>
        <w:t xml:space="preserve"> (0,429)   </w:t>
      </w:r>
    </w:p>
    <w:p w:rsidR="00B718CE" w:rsidRPr="00122F5D" w:rsidRDefault="00B718CE" w:rsidP="00B718CE">
      <w:pPr>
        <w:pStyle w:val="Default"/>
        <w:spacing w:after="22"/>
        <w:jc w:val="both"/>
        <w:rPr>
          <w:rFonts w:ascii="Times New Roman" w:hAnsi="Times New Roman" w:cs="Times New Roman"/>
          <w:sz w:val="20"/>
          <w:szCs w:val="20"/>
        </w:rPr>
      </w:pPr>
      <w:r>
        <w:rPr>
          <w:rFonts w:ascii="Times New Roman" w:eastAsiaTheme="minorEastAsia" w:hAnsi="Times New Roman" w:cs="Times New Roman"/>
          <w:sz w:val="20"/>
          <w:szCs w:val="20"/>
        </w:rPr>
        <w:t>where</w:t>
      </w:r>
      <w:r w:rsidRPr="0089154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r>
          <w:rPr>
            <w:rFonts w:ascii="Cambria Math" w:eastAsiaTheme="minorEastAsia" w:hAnsi="Times New Roman" w:cs="Times New Roman"/>
            <w:sz w:val="20"/>
            <w:szCs w:val="20"/>
          </w:rPr>
          <m:t>=6</m:t>
        </m:r>
      </m:oMath>
      <w:r>
        <w:rPr>
          <w:rFonts w:ascii="Times New Roman" w:eastAsiaTheme="minorEastAsia" w:hAnsi="Times New Roman" w:cs="Times New Roman"/>
          <w:sz w:val="20"/>
          <w:szCs w:val="20"/>
        </w:rPr>
        <w:t xml:space="preserve"> explanatory variables </w:t>
      </w:r>
      <w:r w:rsidRPr="0089154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t</m:t>
        </m:r>
        <m:r>
          <w:rPr>
            <w:rFonts w:ascii="Cambria Math" w:eastAsiaTheme="minorEastAsia" w:hAnsi="Times New Roman" w:cs="Times New Roman"/>
            <w:sz w:val="20"/>
            <w:szCs w:val="20"/>
          </w:rPr>
          <m:t>=16</m:t>
        </m:r>
      </m:oMath>
      <w:r>
        <w:rPr>
          <w:rFonts w:ascii="Times New Roman" w:eastAsiaTheme="minorEastAsia" w:hAnsi="Times New Roman" w:cs="Times New Roman"/>
          <w:sz w:val="20"/>
          <w:szCs w:val="20"/>
        </w:rPr>
        <w:t xml:space="preserve"> periods</w:t>
      </w:r>
      <w:r w:rsidRPr="00891545">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and </w:t>
      </w:r>
      <m:oMath>
        <m:r>
          <w:rPr>
            <w:rFonts w:ascii="Cambria Math" w:eastAsiaTheme="minorEastAsia" w:hAnsi="Cambria Math" w:cs="Times New Roman"/>
            <w:sz w:val="20"/>
            <w:szCs w:val="20"/>
          </w:rPr>
          <m:t>i</m:t>
        </m:r>
        <m:r>
          <w:rPr>
            <w:rFonts w:ascii="Cambria Math" w:eastAsiaTheme="minorEastAsia" w:hAnsi="Times New Roman" w:cs="Times New Roman"/>
            <w:sz w:val="20"/>
            <w:szCs w:val="20"/>
          </w:rPr>
          <m:t>=12</m:t>
        </m:r>
      </m:oMath>
      <w:r>
        <w:rPr>
          <w:rFonts w:ascii="Times New Roman" w:eastAsiaTheme="minorEastAsia" w:hAnsi="Times New Roman" w:cs="Times New Roman"/>
          <w:sz w:val="20"/>
          <w:szCs w:val="20"/>
        </w:rPr>
        <w:t xml:space="preserve"> countries.</w:t>
      </w:r>
      <w:r w:rsidRPr="00122F5D">
        <w:rPr>
          <w:rFonts w:ascii="Times New Roman" w:hAnsi="Times New Roman" w:cs="Times New Roman"/>
          <w:sz w:val="20"/>
          <w:szCs w:val="20"/>
        </w:rPr>
        <w:t xml:space="preserve"> </w:t>
      </w:r>
      <w:r>
        <w:rPr>
          <w:rFonts w:ascii="Times New Roman" w:hAnsi="Times New Roman" w:cs="Times New Roman"/>
          <w:sz w:val="20"/>
          <w:szCs w:val="20"/>
        </w:rPr>
        <w:t>P-values for estimated coefficients in brackets. Significant coefficients are marked with *.</w:t>
      </w:r>
    </w:p>
    <w:p w:rsidR="003E5042" w:rsidRDefault="004B389F" w:rsidP="00195981">
      <w:pPr>
        <w:pStyle w:val="Default"/>
        <w:spacing w:after="22"/>
        <w:jc w:val="both"/>
        <w:rPr>
          <w:rFonts w:ascii="Times New Roman" w:hAnsi="Times New Roman" w:cs="Times New Roman"/>
          <w:sz w:val="20"/>
          <w:szCs w:val="20"/>
        </w:rPr>
      </w:pPr>
      <w:r>
        <w:rPr>
          <w:rFonts w:ascii="Times New Roman" w:hAnsi="Times New Roman" w:cs="Times New Roman"/>
          <w:sz w:val="20"/>
          <w:szCs w:val="20"/>
        </w:rPr>
        <w:t>The results confirm that the statistically significant determinants that have influence on the life expectancy at birth are consumer price index, employment and gross national income.</w:t>
      </w:r>
      <w:r w:rsidR="007A587D">
        <w:rPr>
          <w:rFonts w:ascii="Times New Roman" w:hAnsi="Times New Roman" w:cs="Times New Roman"/>
          <w:sz w:val="20"/>
          <w:szCs w:val="20"/>
        </w:rPr>
        <w:t xml:space="preserve"> </w:t>
      </w:r>
      <w:r>
        <w:rPr>
          <w:rFonts w:ascii="Times New Roman" w:hAnsi="Times New Roman" w:cs="Times New Roman"/>
          <w:sz w:val="20"/>
          <w:szCs w:val="20"/>
        </w:rPr>
        <w:t xml:space="preserve">Consumer price index has positive impact of the life expectancy. Historically, there is statistically significant relationship between prices of food and mortality. This relationship is explained in a model created by Malthus which explains that with the growth of </w:t>
      </w:r>
      <w:r w:rsidR="00A95AC4">
        <w:rPr>
          <w:rFonts w:ascii="Times New Roman" w:hAnsi="Times New Roman" w:cs="Times New Roman"/>
          <w:sz w:val="20"/>
          <w:szCs w:val="20"/>
        </w:rPr>
        <w:t>population</w:t>
      </w:r>
      <w:r>
        <w:rPr>
          <w:rFonts w:ascii="Times New Roman" w:hAnsi="Times New Roman" w:cs="Times New Roman"/>
          <w:sz w:val="20"/>
          <w:szCs w:val="20"/>
        </w:rPr>
        <w:t xml:space="preserve"> the demand for food also increases, so the prices of food also have continuous growth</w:t>
      </w:r>
      <w:r w:rsidRPr="00891545">
        <w:rPr>
          <w:rFonts w:ascii="Times New Roman" w:hAnsi="Times New Roman" w:cs="Times New Roman"/>
          <w:sz w:val="20"/>
          <w:szCs w:val="20"/>
        </w:rPr>
        <w:t xml:space="preserve"> </w:t>
      </w:r>
      <w:r w:rsidRPr="00891545">
        <w:rPr>
          <w:rFonts w:ascii="Times New Roman" w:hAnsi="Times New Roman" w:cs="Times New Roman"/>
          <w:sz w:val="20"/>
          <w:szCs w:val="20"/>
          <w:lang w:val="mk-MK"/>
        </w:rPr>
        <w:t>(Livi-Bacci,</w:t>
      </w:r>
      <w:r w:rsidRPr="00891545">
        <w:rPr>
          <w:rFonts w:ascii="Times New Roman" w:hAnsi="Times New Roman" w:cs="Times New Roman"/>
          <w:sz w:val="20"/>
          <w:szCs w:val="20"/>
        </w:rPr>
        <w:t xml:space="preserve"> 2007</w:t>
      </w:r>
      <w:r w:rsidRPr="00891545">
        <w:rPr>
          <w:rFonts w:ascii="Times New Roman" w:hAnsi="Times New Roman" w:cs="Times New Roman"/>
          <w:sz w:val="20"/>
          <w:szCs w:val="20"/>
          <w:lang w:val="mk-MK"/>
        </w:rPr>
        <w:t>).</w:t>
      </w:r>
      <w:r>
        <w:rPr>
          <w:rFonts w:ascii="Times New Roman" w:hAnsi="Times New Roman" w:cs="Times New Roman"/>
          <w:sz w:val="20"/>
          <w:szCs w:val="20"/>
        </w:rPr>
        <w:t xml:space="preserve"> Basically, as the life expectancy continues to increase, the demand for food also increases and so does its prices. It seems that life expectancy causes the growth in price</w:t>
      </w:r>
      <w:r w:rsidR="00FB1EC3">
        <w:rPr>
          <w:rFonts w:ascii="Times New Roman" w:hAnsi="Times New Roman" w:cs="Times New Roman"/>
          <w:sz w:val="20"/>
          <w:szCs w:val="20"/>
        </w:rPr>
        <w:t>s, rather the other way around.</w:t>
      </w:r>
      <w:r w:rsidR="00AA04BC">
        <w:rPr>
          <w:rFonts w:ascii="Times New Roman" w:hAnsi="Times New Roman" w:cs="Times New Roman"/>
          <w:sz w:val="20"/>
          <w:szCs w:val="20"/>
        </w:rPr>
        <w:t xml:space="preserve"> </w:t>
      </w:r>
      <w:r w:rsidR="00544B35">
        <w:rPr>
          <w:rFonts w:ascii="Times New Roman" w:hAnsi="Times New Roman" w:cs="Times New Roman"/>
          <w:sz w:val="20"/>
          <w:szCs w:val="20"/>
        </w:rPr>
        <w:t xml:space="preserve">Employment to population ratio is the second variable that has statistically significant impact on the life expectancy at birth. The dependency yet seems to be negative, meaning the decline in employment increases life expectancy. One explanation for this </w:t>
      </w:r>
      <w:r w:rsidR="00FB1EC3">
        <w:rPr>
          <w:rFonts w:ascii="Times New Roman" w:hAnsi="Times New Roman" w:cs="Times New Roman"/>
          <w:sz w:val="20"/>
          <w:szCs w:val="20"/>
        </w:rPr>
        <w:t xml:space="preserve">is that </w:t>
      </w:r>
      <w:r w:rsidR="00544B35">
        <w:rPr>
          <w:rFonts w:ascii="Times New Roman" w:hAnsi="Times New Roman" w:cs="Times New Roman"/>
          <w:sz w:val="20"/>
          <w:szCs w:val="20"/>
        </w:rPr>
        <w:t xml:space="preserve">most of the countries mark reduction in employment, </w:t>
      </w:r>
      <w:r w:rsidR="00FE22E9">
        <w:rPr>
          <w:rFonts w:ascii="Times New Roman" w:hAnsi="Times New Roman" w:cs="Times New Roman"/>
          <w:sz w:val="20"/>
          <w:szCs w:val="20"/>
        </w:rPr>
        <w:t xml:space="preserve">probably due to the </w:t>
      </w:r>
      <w:r w:rsidR="00BF567C">
        <w:rPr>
          <w:rFonts w:ascii="Times New Roman" w:hAnsi="Times New Roman" w:cs="Times New Roman"/>
          <w:sz w:val="20"/>
          <w:szCs w:val="20"/>
        </w:rPr>
        <w:t>e</w:t>
      </w:r>
      <w:r w:rsidR="00FE22E9">
        <w:rPr>
          <w:rFonts w:ascii="Times New Roman" w:hAnsi="Times New Roman" w:cs="Times New Roman"/>
          <w:sz w:val="20"/>
          <w:szCs w:val="20"/>
        </w:rPr>
        <w:t>mmigration of the active working force. While the employment rate is declining, the life expectancy, due to the other factors, is constantly increasing</w:t>
      </w:r>
      <w:r w:rsidR="005259A9">
        <w:rPr>
          <w:rFonts w:ascii="Times New Roman" w:hAnsi="Times New Roman" w:cs="Times New Roman"/>
          <w:sz w:val="20"/>
          <w:szCs w:val="20"/>
        </w:rPr>
        <w:t>, thus the negative dependence.</w:t>
      </w:r>
      <w:r w:rsidR="00AA04BC">
        <w:rPr>
          <w:rFonts w:ascii="Times New Roman" w:hAnsi="Times New Roman" w:cs="Times New Roman"/>
          <w:sz w:val="20"/>
          <w:szCs w:val="20"/>
        </w:rPr>
        <w:t xml:space="preserve"> </w:t>
      </w:r>
      <w:r w:rsidR="00F667FD">
        <w:rPr>
          <w:rFonts w:ascii="Times New Roman" w:hAnsi="Times New Roman" w:cs="Times New Roman"/>
          <w:sz w:val="20"/>
          <w:szCs w:val="20"/>
        </w:rPr>
        <w:t xml:space="preserve">Gross national income has positive and statistically significant effect on the life expectancy. </w:t>
      </w:r>
      <w:r w:rsidR="00547126">
        <w:rPr>
          <w:rFonts w:ascii="Times New Roman" w:hAnsi="Times New Roman" w:cs="Times New Roman"/>
          <w:sz w:val="20"/>
          <w:szCs w:val="20"/>
        </w:rPr>
        <w:t xml:space="preserve">The result is in accordance with the expectations because greater the GNI per capita means better standard of living with quality housing, education, health providers, quality food. This variable is one of the primary variables that influence the life expectancy at birth. Research from </w:t>
      </w:r>
      <w:r w:rsidR="00547126" w:rsidRPr="00891545">
        <w:rPr>
          <w:rFonts w:ascii="Times New Roman" w:hAnsi="Times New Roman" w:cs="Times New Roman"/>
          <w:sz w:val="20"/>
          <w:szCs w:val="20"/>
          <w:lang w:val="mk-MK"/>
        </w:rPr>
        <w:t>Bilas</w:t>
      </w:r>
      <w:r w:rsidR="00C928B9" w:rsidRPr="00891545">
        <w:rPr>
          <w:rFonts w:ascii="Times New Roman" w:hAnsi="Times New Roman" w:cs="Times New Roman"/>
          <w:sz w:val="20"/>
          <w:szCs w:val="20"/>
        </w:rPr>
        <w:t xml:space="preserve"> et al. (2014</w:t>
      </w:r>
      <w:r w:rsidR="00B618AA">
        <w:rPr>
          <w:rFonts w:ascii="Times New Roman" w:hAnsi="Times New Roman" w:cs="Times New Roman"/>
          <w:sz w:val="20"/>
          <w:szCs w:val="20"/>
        </w:rPr>
        <w:t xml:space="preserve">), Gilligan and Skrepnek (2014), </w:t>
      </w:r>
      <w:r w:rsidR="00547126">
        <w:rPr>
          <w:rFonts w:ascii="Times New Roman" w:hAnsi="Times New Roman" w:cs="Times New Roman"/>
          <w:sz w:val="20"/>
          <w:szCs w:val="20"/>
        </w:rPr>
        <w:t>Bayati et al. (2013)</w:t>
      </w:r>
      <w:r w:rsidR="00B618AA">
        <w:rPr>
          <w:rFonts w:ascii="Times New Roman" w:hAnsi="Times New Roman" w:cs="Times New Roman"/>
          <w:sz w:val="20"/>
          <w:szCs w:val="20"/>
        </w:rPr>
        <w:t>, Wilkinson (1996) and Ananad and Ravallion (1993)</w:t>
      </w:r>
      <w:r w:rsidR="00547126">
        <w:rPr>
          <w:rFonts w:ascii="Times New Roman" w:hAnsi="Times New Roman" w:cs="Times New Roman"/>
          <w:sz w:val="20"/>
          <w:szCs w:val="20"/>
        </w:rPr>
        <w:t xml:space="preserve"> confirm the importance of the national </w:t>
      </w:r>
      <w:r w:rsidR="00983235">
        <w:rPr>
          <w:rFonts w:ascii="Times New Roman" w:hAnsi="Times New Roman" w:cs="Times New Roman"/>
          <w:sz w:val="20"/>
          <w:szCs w:val="20"/>
        </w:rPr>
        <w:t>(or gross national product)</w:t>
      </w:r>
      <w:r w:rsidR="00547126">
        <w:rPr>
          <w:rFonts w:ascii="Times New Roman" w:hAnsi="Times New Roman" w:cs="Times New Roman"/>
          <w:sz w:val="20"/>
          <w:szCs w:val="20"/>
        </w:rPr>
        <w:t xml:space="preserve"> for improvement in life expectancy in different groups of countries. The conclusion is that good economy is precondition for improvement of life expectancy and thus quality of living.</w:t>
      </w:r>
    </w:p>
    <w:p w:rsidR="003E5042" w:rsidRDefault="00547126" w:rsidP="00BC4E8B">
      <w:pPr>
        <w:pStyle w:val="Default"/>
        <w:spacing w:after="22"/>
        <w:jc w:val="both"/>
        <w:rPr>
          <w:rFonts w:ascii="Times New Roman" w:hAnsi="Times New Roman" w:cs="Times New Roman"/>
          <w:sz w:val="20"/>
          <w:szCs w:val="20"/>
        </w:rPr>
      </w:pPr>
      <w:r>
        <w:rPr>
          <w:rFonts w:ascii="Times New Roman" w:hAnsi="Times New Roman" w:cs="Times New Roman"/>
          <w:sz w:val="20"/>
          <w:szCs w:val="20"/>
        </w:rPr>
        <w:t>Food production index</w:t>
      </w:r>
      <w:r w:rsidR="00721787">
        <w:rPr>
          <w:rFonts w:ascii="Times New Roman" w:hAnsi="Times New Roman" w:cs="Times New Roman"/>
          <w:sz w:val="20"/>
          <w:szCs w:val="20"/>
        </w:rPr>
        <w:t>, health expenditures per capita</w:t>
      </w:r>
      <w:r>
        <w:rPr>
          <w:rFonts w:ascii="Times New Roman" w:hAnsi="Times New Roman" w:cs="Times New Roman"/>
          <w:sz w:val="20"/>
          <w:szCs w:val="20"/>
        </w:rPr>
        <w:t xml:space="preserve"> and immuniz</w:t>
      </w:r>
      <w:r w:rsidR="000D5ADC">
        <w:rPr>
          <w:rFonts w:ascii="Times New Roman" w:hAnsi="Times New Roman" w:cs="Times New Roman"/>
          <w:sz w:val="20"/>
          <w:szCs w:val="20"/>
        </w:rPr>
        <w:t xml:space="preserve">ation prove to be insignificant </w:t>
      </w:r>
      <w:r>
        <w:rPr>
          <w:rFonts w:ascii="Times New Roman" w:hAnsi="Times New Roman" w:cs="Times New Roman"/>
          <w:sz w:val="20"/>
          <w:szCs w:val="20"/>
        </w:rPr>
        <w:t xml:space="preserve">determinants of life expectancy. </w:t>
      </w:r>
      <w:r w:rsidR="005259A9">
        <w:rPr>
          <w:rFonts w:ascii="Times New Roman" w:hAnsi="Times New Roman" w:cs="Times New Roman"/>
          <w:sz w:val="20"/>
          <w:szCs w:val="20"/>
        </w:rPr>
        <w:t>C</w:t>
      </w:r>
      <w:r w:rsidR="001F0807">
        <w:rPr>
          <w:rFonts w:ascii="Times New Roman" w:hAnsi="Times New Roman" w:cs="Times New Roman"/>
          <w:sz w:val="20"/>
          <w:szCs w:val="20"/>
        </w:rPr>
        <w:t>ountries with high life expectancy such as Slovenia, Greece and Cyprus are reducing their food production. This could mean that sources of food are not necessary produced in native countries and food can be imported, so that food production does not influence the life expectancy significantly. Probably in less developed economies (such as African countries), with poorly developed trade, food production might have greater impact on life expectancy.</w:t>
      </w:r>
      <w:r w:rsidR="00AA04BC">
        <w:rPr>
          <w:rFonts w:ascii="Times New Roman" w:hAnsi="Times New Roman" w:cs="Times New Roman"/>
          <w:sz w:val="20"/>
          <w:szCs w:val="20"/>
        </w:rPr>
        <w:t xml:space="preserve"> </w:t>
      </w:r>
      <w:r w:rsidR="00721787">
        <w:rPr>
          <w:rFonts w:ascii="Times New Roman" w:hAnsi="Times New Roman" w:cs="Times New Roman"/>
          <w:sz w:val="20"/>
          <w:szCs w:val="20"/>
        </w:rPr>
        <w:t>Regarding the health expenditures, analysis of the Southeastern European countries prove not to influence the life expectancy at birth. Yet</w:t>
      </w:r>
      <w:r w:rsidR="000D5ADC">
        <w:rPr>
          <w:rFonts w:ascii="Times New Roman" w:hAnsi="Times New Roman" w:cs="Times New Roman"/>
          <w:sz w:val="20"/>
          <w:szCs w:val="20"/>
        </w:rPr>
        <w:t>, there is research where this relationship is confirmed (Subramanian et al., 2002 and Starfield and Shi, 2002).</w:t>
      </w:r>
      <w:r w:rsidR="006132ED">
        <w:rPr>
          <w:rFonts w:ascii="Times New Roman" w:hAnsi="Times New Roman" w:cs="Times New Roman"/>
          <w:sz w:val="20"/>
          <w:szCs w:val="20"/>
        </w:rPr>
        <w:t xml:space="preserve"> Other </w:t>
      </w:r>
      <w:r w:rsidR="0037601A">
        <w:rPr>
          <w:rFonts w:ascii="Times New Roman" w:hAnsi="Times New Roman" w:cs="Times New Roman"/>
          <w:sz w:val="20"/>
          <w:szCs w:val="20"/>
        </w:rPr>
        <w:t>analysis</w:t>
      </w:r>
      <w:r w:rsidR="006132ED">
        <w:rPr>
          <w:rFonts w:ascii="Times New Roman" w:hAnsi="Times New Roman" w:cs="Times New Roman"/>
          <w:sz w:val="20"/>
          <w:szCs w:val="20"/>
        </w:rPr>
        <w:t xml:space="preserve"> confirm</w:t>
      </w:r>
      <w:r w:rsidR="00D839A3">
        <w:rPr>
          <w:rFonts w:ascii="Times New Roman" w:hAnsi="Times New Roman" w:cs="Times New Roman"/>
          <w:sz w:val="20"/>
          <w:szCs w:val="20"/>
        </w:rPr>
        <w:t>s</w:t>
      </w:r>
      <w:r w:rsidR="006132ED">
        <w:rPr>
          <w:rFonts w:ascii="Times New Roman" w:hAnsi="Times New Roman" w:cs="Times New Roman"/>
          <w:sz w:val="20"/>
          <w:szCs w:val="20"/>
        </w:rPr>
        <w:t xml:space="preserve"> a negative relationship between these two variables</w:t>
      </w:r>
      <w:r w:rsidR="0037601A">
        <w:rPr>
          <w:rFonts w:ascii="Times New Roman" w:hAnsi="Times New Roman" w:cs="Times New Roman"/>
          <w:sz w:val="20"/>
          <w:szCs w:val="20"/>
        </w:rPr>
        <w:t xml:space="preserve"> (Hitris and Posnet, 1992).</w:t>
      </w:r>
      <w:r w:rsidR="00AA04BC">
        <w:rPr>
          <w:rFonts w:ascii="Times New Roman" w:hAnsi="Times New Roman" w:cs="Times New Roman"/>
          <w:sz w:val="20"/>
          <w:szCs w:val="20"/>
        </w:rPr>
        <w:t xml:space="preserve"> </w:t>
      </w:r>
      <w:r w:rsidR="001F0807">
        <w:rPr>
          <w:rFonts w:ascii="Times New Roman" w:hAnsi="Times New Roman" w:cs="Times New Roman"/>
          <w:sz w:val="20"/>
          <w:szCs w:val="20"/>
        </w:rPr>
        <w:t>The model confirmed that immunization also is not significant factor for life expectancy</w:t>
      </w:r>
      <w:r w:rsidR="00AA04BC">
        <w:rPr>
          <w:rFonts w:ascii="Times New Roman" w:hAnsi="Times New Roman" w:cs="Times New Roman"/>
          <w:sz w:val="20"/>
          <w:szCs w:val="20"/>
        </w:rPr>
        <w:t xml:space="preserve"> and this is mostly due to the </w:t>
      </w:r>
      <w:r w:rsidR="005259A9">
        <w:rPr>
          <w:rFonts w:ascii="Times New Roman" w:hAnsi="Times New Roman" w:cs="Times New Roman"/>
          <w:sz w:val="20"/>
          <w:szCs w:val="20"/>
        </w:rPr>
        <w:t xml:space="preserve">high percent of immunization </w:t>
      </w:r>
      <w:r w:rsidR="005B0F53">
        <w:rPr>
          <w:rFonts w:ascii="Times New Roman" w:hAnsi="Times New Roman" w:cs="Times New Roman"/>
          <w:sz w:val="20"/>
          <w:szCs w:val="20"/>
        </w:rPr>
        <w:t>where it</w:t>
      </w:r>
      <w:r w:rsidR="00D02DFE">
        <w:rPr>
          <w:rFonts w:ascii="Times New Roman" w:hAnsi="Times New Roman" w:cs="Times New Roman"/>
          <w:sz w:val="20"/>
          <w:szCs w:val="20"/>
        </w:rPr>
        <w:t xml:space="preserve"> has </w:t>
      </w:r>
      <w:r w:rsidR="005259A9">
        <w:rPr>
          <w:rFonts w:ascii="Times New Roman" w:hAnsi="Times New Roman" w:cs="Times New Roman"/>
          <w:sz w:val="20"/>
          <w:szCs w:val="20"/>
        </w:rPr>
        <w:t xml:space="preserve">already </w:t>
      </w:r>
      <w:r w:rsidR="00D02DFE">
        <w:rPr>
          <w:rFonts w:ascii="Times New Roman" w:hAnsi="Times New Roman" w:cs="Times New Roman"/>
          <w:sz w:val="20"/>
          <w:szCs w:val="20"/>
        </w:rPr>
        <w:t>made its contribution to increasing the life expectancy. The percentage of immunized population must remain high due so that various diseases are prevented, and for further increase in life expectancy other factors must be considered and analyzed.</w:t>
      </w:r>
    </w:p>
    <w:p w:rsidR="00AA04BC" w:rsidRDefault="00AA04BC" w:rsidP="00BC4E8B">
      <w:pPr>
        <w:pStyle w:val="Default"/>
        <w:spacing w:after="22"/>
        <w:jc w:val="both"/>
        <w:rPr>
          <w:rFonts w:ascii="Times New Roman" w:hAnsi="Times New Roman" w:cs="Times New Roman"/>
          <w:sz w:val="20"/>
          <w:szCs w:val="20"/>
        </w:rPr>
      </w:pPr>
    </w:p>
    <w:p w:rsidR="003E5042" w:rsidRPr="000252D8" w:rsidRDefault="000252D8" w:rsidP="000252D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5. </w:t>
      </w:r>
      <w:r w:rsidRPr="000252D8">
        <w:rPr>
          <w:rFonts w:ascii="Times New Roman" w:hAnsi="Times New Roman" w:cs="Times New Roman"/>
          <w:b/>
          <w:bCs/>
          <w:sz w:val="20"/>
          <w:szCs w:val="20"/>
          <w:lang w:val="en-US"/>
        </w:rPr>
        <w:t>CONCLUSION</w:t>
      </w:r>
    </w:p>
    <w:p w:rsidR="00060DE0" w:rsidRDefault="00C44775" w:rsidP="00542EE9">
      <w:pPr>
        <w:pStyle w:val="Default"/>
        <w:spacing w:after="22"/>
        <w:jc w:val="both"/>
        <w:rPr>
          <w:rFonts w:ascii="Times New Roman" w:hAnsi="Times New Roman" w:cs="Times New Roman"/>
          <w:color w:val="auto"/>
          <w:sz w:val="20"/>
          <w:szCs w:val="20"/>
        </w:rPr>
      </w:pPr>
      <w:r>
        <w:rPr>
          <w:rFonts w:ascii="Times New Roman" w:hAnsi="Times New Roman" w:cs="Times New Roman"/>
          <w:color w:val="auto"/>
          <w:sz w:val="20"/>
          <w:szCs w:val="20"/>
        </w:rPr>
        <w:t>The purpose of this paper was to identify the main determinants of life expectancy at birth, important indicator of quality of living.</w:t>
      </w:r>
      <w:r w:rsidR="00060DE0">
        <w:rPr>
          <w:rFonts w:ascii="Times New Roman" w:hAnsi="Times New Roman" w:cs="Times New Roman"/>
          <w:color w:val="auto"/>
          <w:sz w:val="20"/>
          <w:szCs w:val="20"/>
        </w:rPr>
        <w:t xml:space="preserve"> If the people live longer in one country, it is very likely that that same country has developed economy, quality education and health system, awareness about the environment and people there are nurturing healthy life style by good nutrition and physical activity. </w:t>
      </w:r>
      <w:r w:rsidR="00A95AC4">
        <w:rPr>
          <w:rFonts w:ascii="Times New Roman" w:hAnsi="Times New Roman" w:cs="Times New Roman"/>
          <w:color w:val="auto"/>
          <w:sz w:val="20"/>
          <w:szCs w:val="20"/>
        </w:rPr>
        <w:t>The results of the cointegrated panel regressio</w:t>
      </w:r>
      <w:r w:rsidR="00060DE0">
        <w:rPr>
          <w:rFonts w:ascii="Times New Roman" w:hAnsi="Times New Roman" w:cs="Times New Roman"/>
          <w:color w:val="auto"/>
          <w:sz w:val="20"/>
          <w:szCs w:val="20"/>
        </w:rPr>
        <w:t xml:space="preserve">n analysis </w:t>
      </w:r>
      <w:r w:rsidR="00060DE0">
        <w:rPr>
          <w:rFonts w:ascii="Times New Roman" w:hAnsi="Times New Roman" w:cs="Times New Roman"/>
          <w:color w:val="auto"/>
          <w:sz w:val="20"/>
          <w:szCs w:val="20"/>
        </w:rPr>
        <w:lastRenderedPageBreak/>
        <w:t xml:space="preserve">of 12 countries from </w:t>
      </w:r>
      <w:r w:rsidR="00A95AC4">
        <w:rPr>
          <w:rFonts w:ascii="Times New Roman" w:hAnsi="Times New Roman" w:cs="Times New Roman"/>
          <w:color w:val="auto"/>
          <w:sz w:val="20"/>
          <w:szCs w:val="20"/>
        </w:rPr>
        <w:t>Southeastern Europe confirm three determinants that have statistically significant impact on the life expectancy at birth: consumer price index, employ</w:t>
      </w:r>
      <w:r w:rsidR="00542EE9">
        <w:rPr>
          <w:rFonts w:ascii="Times New Roman" w:hAnsi="Times New Roman" w:cs="Times New Roman"/>
          <w:color w:val="auto"/>
          <w:sz w:val="20"/>
          <w:szCs w:val="20"/>
        </w:rPr>
        <w:t>ment and gross national income.</w:t>
      </w:r>
    </w:p>
    <w:p w:rsidR="00A95AC4" w:rsidRDefault="00060DE0" w:rsidP="00542EE9">
      <w:pPr>
        <w:pStyle w:val="Default"/>
        <w:spacing w:after="2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Gross national income proves to be indicator of high life expectancy in most of the research on this subject. The wealth of the country and its people improves the quality of living. Employment enables people to have jobs and create their own income. Low employment signifies poor nation with reduced quality of living. Consumer price index marks constant growth as is the life expectancy rate, mostly because the needs and the demand of the population for goods and services increase, so does the production, and at the end it is the prices that are constantly increasing. </w:t>
      </w:r>
      <w:r w:rsidR="00866A96">
        <w:rPr>
          <w:rFonts w:ascii="Times New Roman" w:hAnsi="Times New Roman" w:cs="Times New Roman"/>
          <w:color w:val="auto"/>
          <w:sz w:val="20"/>
          <w:szCs w:val="20"/>
        </w:rPr>
        <w:t>These results should be taken into consideration by the national governments while creating economic and social policies, in order to improve national quality of living.</w:t>
      </w:r>
    </w:p>
    <w:p w:rsidR="007A4B4F" w:rsidRDefault="007A4B4F" w:rsidP="00345F29">
      <w:pPr>
        <w:pStyle w:val="Default"/>
        <w:spacing w:after="22"/>
        <w:jc w:val="both"/>
        <w:rPr>
          <w:rFonts w:ascii="Times New Roman" w:hAnsi="Times New Roman" w:cs="Times New Roman"/>
          <w:color w:val="auto"/>
          <w:sz w:val="20"/>
          <w:szCs w:val="20"/>
        </w:rPr>
      </w:pPr>
      <w:r>
        <w:rPr>
          <w:rFonts w:ascii="Times New Roman" w:hAnsi="Times New Roman" w:cs="Times New Roman"/>
          <w:color w:val="auto"/>
          <w:sz w:val="20"/>
          <w:szCs w:val="20"/>
        </w:rPr>
        <w:t>According to the previous, the focus of the governments must be on the economic growth. They should create policies that provide employment and growth in salaries.</w:t>
      </w:r>
      <w:r w:rsidR="00345F29">
        <w:rPr>
          <w:rFonts w:ascii="Times New Roman" w:hAnsi="Times New Roman" w:cs="Times New Roman"/>
          <w:color w:val="auto"/>
          <w:sz w:val="20"/>
          <w:szCs w:val="20"/>
        </w:rPr>
        <w:t xml:space="preserve"> </w:t>
      </w:r>
      <w:r w:rsidR="00AA04BC">
        <w:rPr>
          <w:rFonts w:ascii="Times New Roman" w:hAnsi="Times New Roman" w:cs="Times New Roman"/>
          <w:color w:val="auto"/>
          <w:sz w:val="20"/>
          <w:szCs w:val="20"/>
        </w:rPr>
        <w:t>O</w:t>
      </w:r>
      <w:r w:rsidR="00AA04BC">
        <w:rPr>
          <w:rFonts w:ascii="Times New Roman" w:hAnsi="Times New Roman" w:cs="Times New Roman"/>
          <w:sz w:val="20"/>
          <w:szCs w:val="20"/>
        </w:rPr>
        <w:t xml:space="preserve">ther factors also </w:t>
      </w:r>
      <w:r w:rsidR="006938C1">
        <w:rPr>
          <w:rFonts w:ascii="Times New Roman" w:hAnsi="Times New Roman" w:cs="Times New Roman"/>
          <w:sz w:val="20"/>
          <w:szCs w:val="20"/>
        </w:rPr>
        <w:t>must be part of the overall strategy for improvement of the quality of life.</w:t>
      </w:r>
      <w:r w:rsidR="009665DC">
        <w:rPr>
          <w:rFonts w:ascii="Times New Roman" w:hAnsi="Times New Roman" w:cs="Times New Roman"/>
          <w:sz w:val="20"/>
          <w:szCs w:val="20"/>
        </w:rPr>
        <w:t xml:space="preserve"> </w:t>
      </w:r>
      <w:r w:rsidR="00542EE9">
        <w:rPr>
          <w:rFonts w:ascii="Times New Roman" w:hAnsi="Times New Roman" w:cs="Times New Roman"/>
          <w:sz w:val="20"/>
          <w:szCs w:val="20"/>
        </w:rPr>
        <w:t>H</w:t>
      </w:r>
      <w:r w:rsidR="00866A96">
        <w:rPr>
          <w:rFonts w:ascii="Times New Roman" w:hAnsi="Times New Roman" w:cs="Times New Roman"/>
          <w:sz w:val="20"/>
          <w:szCs w:val="20"/>
        </w:rPr>
        <w:t xml:space="preserve">ealth expenditures </w:t>
      </w:r>
      <w:r w:rsidR="00542EE9">
        <w:rPr>
          <w:rFonts w:ascii="Times New Roman" w:hAnsi="Times New Roman" w:cs="Times New Roman"/>
          <w:sz w:val="20"/>
          <w:szCs w:val="20"/>
        </w:rPr>
        <w:t>per capita</w:t>
      </w:r>
      <w:r w:rsidR="00AA04BC">
        <w:rPr>
          <w:rFonts w:ascii="Times New Roman" w:hAnsi="Times New Roman" w:cs="Times New Roman"/>
          <w:sz w:val="20"/>
          <w:szCs w:val="20"/>
        </w:rPr>
        <w:t>, food production and immunization</w:t>
      </w:r>
      <w:r w:rsidR="00542EE9">
        <w:rPr>
          <w:rFonts w:ascii="Times New Roman" w:hAnsi="Times New Roman" w:cs="Times New Roman"/>
          <w:sz w:val="20"/>
          <w:szCs w:val="20"/>
        </w:rPr>
        <w:t xml:space="preserve"> must be taken into consideration </w:t>
      </w:r>
      <w:r w:rsidR="00AA04BC">
        <w:rPr>
          <w:rFonts w:ascii="Times New Roman" w:hAnsi="Times New Roman" w:cs="Times New Roman"/>
          <w:sz w:val="20"/>
          <w:szCs w:val="20"/>
        </w:rPr>
        <w:t>since they are</w:t>
      </w:r>
      <w:r w:rsidR="00542EE9">
        <w:rPr>
          <w:rFonts w:ascii="Times New Roman" w:hAnsi="Times New Roman" w:cs="Times New Roman"/>
          <w:sz w:val="20"/>
          <w:szCs w:val="20"/>
        </w:rPr>
        <w:t xml:space="preserve"> basis for </w:t>
      </w:r>
      <w:r w:rsidR="00AA04BC">
        <w:rPr>
          <w:rFonts w:ascii="Times New Roman" w:hAnsi="Times New Roman" w:cs="Times New Roman"/>
          <w:sz w:val="20"/>
          <w:szCs w:val="20"/>
        </w:rPr>
        <w:t>quality of life</w:t>
      </w:r>
      <w:r w:rsidR="00542EE9">
        <w:rPr>
          <w:rFonts w:ascii="Times New Roman" w:hAnsi="Times New Roman" w:cs="Times New Roman"/>
          <w:sz w:val="20"/>
          <w:szCs w:val="20"/>
        </w:rPr>
        <w:t xml:space="preserve">. </w:t>
      </w:r>
      <w:r w:rsidR="00345F29">
        <w:rPr>
          <w:rFonts w:ascii="Times New Roman" w:hAnsi="Times New Roman" w:cs="Times New Roman"/>
          <w:color w:val="auto"/>
          <w:sz w:val="20"/>
          <w:szCs w:val="20"/>
        </w:rPr>
        <w:t>Comprehensive knowledge of one nation’s economic, political, social and health conditions can also contribute</w:t>
      </w:r>
      <w:r w:rsidR="00345F29">
        <w:rPr>
          <w:rFonts w:ascii="Times New Roman" w:hAnsi="Times New Roman" w:cs="Times New Roman"/>
          <w:sz w:val="20"/>
          <w:szCs w:val="20"/>
        </w:rPr>
        <w:t xml:space="preserve"> in</w:t>
      </w:r>
      <w:r w:rsidR="00345F29">
        <w:rPr>
          <w:rFonts w:ascii="Times New Roman" w:hAnsi="Times New Roman" w:cs="Times New Roman"/>
          <w:color w:val="auto"/>
          <w:sz w:val="20"/>
          <w:szCs w:val="20"/>
        </w:rPr>
        <w:t xml:space="preserve"> creating the best strategy for improvement in quality of life.</w:t>
      </w:r>
    </w:p>
    <w:p w:rsidR="00DC3B0C" w:rsidRPr="00273F32" w:rsidRDefault="00DC3B0C" w:rsidP="007A4B4F">
      <w:pPr>
        <w:pStyle w:val="Default"/>
        <w:spacing w:after="22"/>
        <w:jc w:val="both"/>
        <w:rPr>
          <w:rFonts w:ascii="Times New Roman" w:hAnsi="Times New Roman" w:cs="Times New Roman"/>
          <w:color w:val="auto"/>
          <w:sz w:val="20"/>
          <w:szCs w:val="20"/>
        </w:rPr>
      </w:pPr>
    </w:p>
    <w:p w:rsidR="003E5042" w:rsidRPr="00DC3B0C" w:rsidRDefault="00DC3B0C" w:rsidP="00DC3B0C">
      <w:pPr>
        <w:spacing w:after="0" w:line="240" w:lineRule="auto"/>
        <w:rPr>
          <w:rFonts w:ascii="Times New Roman" w:hAnsi="Times New Roman" w:cs="Times New Roman"/>
          <w:b/>
          <w:bCs/>
          <w:sz w:val="20"/>
          <w:szCs w:val="20"/>
          <w:lang w:val="en-US"/>
        </w:rPr>
      </w:pPr>
      <w:r w:rsidRPr="00DC3B0C">
        <w:rPr>
          <w:rFonts w:ascii="Times New Roman" w:hAnsi="Times New Roman" w:cs="Times New Roman"/>
          <w:b/>
          <w:bCs/>
          <w:sz w:val="20"/>
          <w:szCs w:val="20"/>
          <w:lang w:val="en-US"/>
        </w:rPr>
        <w:t>LITERATURE</w:t>
      </w:r>
    </w:p>
    <w:p w:rsidR="00360BB9" w:rsidRDefault="00360BB9"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Anand, S. </w:t>
      </w:r>
      <w:r w:rsidR="00DC3B0C">
        <w:rPr>
          <w:rFonts w:ascii="Times New Roman" w:hAnsi="Times New Roman" w:cs="Times New Roman"/>
          <w:sz w:val="20"/>
          <w:szCs w:val="20"/>
          <w:lang w:val="en-US"/>
        </w:rPr>
        <w:t>&amp; Ravallion, M.</w:t>
      </w:r>
      <w:r>
        <w:rPr>
          <w:rFonts w:ascii="Times New Roman" w:hAnsi="Times New Roman" w:cs="Times New Roman"/>
          <w:sz w:val="20"/>
          <w:szCs w:val="20"/>
          <w:lang w:val="en-US"/>
        </w:rPr>
        <w:t xml:space="preserve"> </w:t>
      </w:r>
      <w:r w:rsidR="00DC3B0C">
        <w:rPr>
          <w:rFonts w:ascii="Times New Roman" w:hAnsi="Times New Roman" w:cs="Times New Roman"/>
          <w:sz w:val="20"/>
          <w:szCs w:val="20"/>
          <w:lang w:val="en-US"/>
        </w:rPr>
        <w:t>(</w:t>
      </w:r>
      <w:r>
        <w:rPr>
          <w:rFonts w:ascii="Times New Roman" w:hAnsi="Times New Roman" w:cs="Times New Roman"/>
          <w:sz w:val="20"/>
          <w:szCs w:val="20"/>
          <w:lang w:val="en-US"/>
        </w:rPr>
        <w:t>1993</w:t>
      </w:r>
      <w:r w:rsidR="00DC3B0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60BB9">
        <w:rPr>
          <w:rFonts w:ascii="Times New Roman" w:hAnsi="Times New Roman" w:cs="Times New Roman"/>
          <w:sz w:val="20"/>
          <w:szCs w:val="20"/>
          <w:lang w:val="en-US"/>
        </w:rPr>
        <w:t>Human Development in Poor Countries: On</w:t>
      </w:r>
      <w:r>
        <w:rPr>
          <w:rFonts w:ascii="Times New Roman" w:hAnsi="Times New Roman" w:cs="Times New Roman"/>
          <w:sz w:val="20"/>
          <w:szCs w:val="20"/>
          <w:lang w:val="en-US"/>
        </w:rPr>
        <w:t xml:space="preserve"> </w:t>
      </w:r>
      <w:r w:rsidRPr="00360BB9">
        <w:rPr>
          <w:rFonts w:ascii="Times New Roman" w:hAnsi="Times New Roman" w:cs="Times New Roman"/>
          <w:sz w:val="20"/>
          <w:szCs w:val="20"/>
          <w:lang w:val="en-US"/>
        </w:rPr>
        <w:t>the Role of Private Income and Public Services</w:t>
      </w:r>
      <w:r w:rsidR="00172867">
        <w:rPr>
          <w:rFonts w:ascii="Times New Roman" w:hAnsi="Times New Roman" w:cs="Times New Roman"/>
          <w:i/>
          <w:sz w:val="20"/>
          <w:szCs w:val="20"/>
          <w:lang w:val="en-US"/>
        </w:rPr>
        <w:t>.</w:t>
      </w:r>
      <w:r w:rsidRPr="00360BB9">
        <w:rPr>
          <w:rFonts w:ascii="Times New Roman" w:hAnsi="Times New Roman" w:cs="Times New Roman"/>
          <w:i/>
          <w:sz w:val="20"/>
          <w:szCs w:val="20"/>
          <w:lang w:val="en-US"/>
        </w:rPr>
        <w:t xml:space="preserve"> Journal of Economic Perspectives, </w:t>
      </w:r>
      <w:r>
        <w:rPr>
          <w:rFonts w:ascii="Times New Roman" w:hAnsi="Times New Roman" w:cs="Times New Roman"/>
          <w:i/>
          <w:sz w:val="20"/>
          <w:szCs w:val="20"/>
          <w:lang w:val="en-US"/>
        </w:rPr>
        <w:t>7(1)</w:t>
      </w:r>
      <w:r>
        <w:rPr>
          <w:rFonts w:ascii="Times New Roman" w:hAnsi="Times New Roman" w:cs="Times New Roman"/>
          <w:sz w:val="20"/>
          <w:szCs w:val="20"/>
          <w:lang w:val="en-US"/>
        </w:rPr>
        <w:t>, pp.</w:t>
      </w:r>
      <w:r w:rsidRPr="00360BB9">
        <w:rPr>
          <w:rFonts w:ascii="Times New Roman" w:hAnsi="Times New Roman" w:cs="Times New Roman"/>
          <w:sz w:val="20"/>
          <w:szCs w:val="20"/>
          <w:lang w:val="en-US"/>
        </w:rPr>
        <w:t>133-150.</w:t>
      </w:r>
    </w:p>
    <w:p w:rsidR="003E5042" w:rsidRPr="00891545" w:rsidRDefault="00C928B9" w:rsidP="00DC3B0C">
      <w:pPr>
        <w:spacing w:after="0" w:line="240" w:lineRule="auto"/>
        <w:jc w:val="both"/>
        <w:rPr>
          <w:rFonts w:ascii="Times New Roman" w:hAnsi="Times New Roman" w:cs="Times New Roman"/>
          <w:sz w:val="20"/>
          <w:szCs w:val="20"/>
        </w:rPr>
      </w:pPr>
      <w:r w:rsidRPr="00891545">
        <w:rPr>
          <w:rFonts w:ascii="Times New Roman" w:hAnsi="Times New Roman" w:cs="Times New Roman"/>
          <w:sz w:val="20"/>
          <w:szCs w:val="20"/>
          <w:lang w:val="en-US"/>
        </w:rPr>
        <w:t>Bilas, V</w:t>
      </w:r>
      <w:r w:rsidR="00B151DA">
        <w:rPr>
          <w:rFonts w:ascii="Times New Roman" w:hAnsi="Times New Roman" w:cs="Times New Roman"/>
          <w:sz w:val="20"/>
          <w:szCs w:val="20"/>
          <w:lang w:val="en-US"/>
        </w:rPr>
        <w:t>.</w:t>
      </w:r>
      <w:r w:rsidRPr="00891545">
        <w:rPr>
          <w:rFonts w:ascii="Times New Roman" w:hAnsi="Times New Roman" w:cs="Times New Roman"/>
          <w:sz w:val="20"/>
          <w:szCs w:val="20"/>
          <w:lang w:val="en-US"/>
        </w:rPr>
        <w:t xml:space="preserve"> Franc, S. </w:t>
      </w:r>
      <w:r w:rsidR="00172867">
        <w:rPr>
          <w:rFonts w:ascii="Times New Roman" w:hAnsi="Times New Roman" w:cs="Times New Roman"/>
          <w:sz w:val="20"/>
          <w:szCs w:val="20"/>
          <w:lang w:val="en-US"/>
        </w:rPr>
        <w:t>&amp;</w:t>
      </w:r>
      <w:r w:rsidRPr="00891545">
        <w:rPr>
          <w:rFonts w:ascii="Times New Roman" w:hAnsi="Times New Roman" w:cs="Times New Roman"/>
          <w:sz w:val="20"/>
          <w:szCs w:val="20"/>
          <w:lang w:val="en-US"/>
        </w:rPr>
        <w:t xml:space="preserve"> Bošnjak, M.</w:t>
      </w:r>
      <w:r w:rsidR="00172867">
        <w:rPr>
          <w:rFonts w:ascii="Times New Roman" w:hAnsi="Times New Roman" w:cs="Times New Roman"/>
          <w:sz w:val="20"/>
          <w:szCs w:val="20"/>
          <w:lang w:val="en-US"/>
        </w:rPr>
        <w:t xml:space="preserve"> (</w:t>
      </w:r>
      <w:r w:rsidRPr="00891545">
        <w:rPr>
          <w:rFonts w:ascii="Times New Roman" w:hAnsi="Times New Roman" w:cs="Times New Roman"/>
          <w:sz w:val="20"/>
          <w:szCs w:val="20"/>
        </w:rPr>
        <w:t>20</w:t>
      </w:r>
      <w:r w:rsidRPr="00891545">
        <w:rPr>
          <w:rFonts w:ascii="Times New Roman" w:hAnsi="Times New Roman" w:cs="Times New Roman"/>
          <w:sz w:val="20"/>
          <w:szCs w:val="20"/>
          <w:lang w:val="en-US"/>
        </w:rPr>
        <w:t>14</w:t>
      </w:r>
      <w:r w:rsidR="00172867">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sidRPr="00891545">
        <w:rPr>
          <w:rFonts w:ascii="Times New Roman" w:hAnsi="Times New Roman" w:cs="Times New Roman"/>
          <w:sz w:val="20"/>
          <w:szCs w:val="20"/>
        </w:rPr>
        <w:t xml:space="preserve"> </w:t>
      </w:r>
      <w:r w:rsidRPr="00891545">
        <w:rPr>
          <w:rFonts w:ascii="Times New Roman" w:hAnsi="Times New Roman" w:cs="Times New Roman"/>
          <w:sz w:val="20"/>
          <w:szCs w:val="20"/>
          <w:lang w:val="en-US"/>
        </w:rPr>
        <w:t xml:space="preserve">Determinant Factors of Life Expectancy at Birth </w:t>
      </w:r>
      <w:r w:rsidR="00172867">
        <w:rPr>
          <w:rFonts w:ascii="Times New Roman" w:hAnsi="Times New Roman" w:cs="Times New Roman"/>
          <w:sz w:val="20"/>
          <w:szCs w:val="20"/>
          <w:lang w:val="en-US"/>
        </w:rPr>
        <w:t>in the European Union Countries.</w:t>
      </w:r>
      <w:r w:rsidRPr="00891545">
        <w:rPr>
          <w:rFonts w:ascii="Times New Roman" w:hAnsi="Times New Roman" w:cs="Times New Roman"/>
          <w:sz w:val="20"/>
          <w:szCs w:val="20"/>
        </w:rPr>
        <w:t xml:space="preserve"> </w:t>
      </w:r>
      <w:r w:rsidRPr="00891545">
        <w:rPr>
          <w:rFonts w:ascii="Times New Roman" w:hAnsi="Times New Roman" w:cs="Times New Roman"/>
          <w:i/>
          <w:iCs/>
          <w:sz w:val="20"/>
          <w:szCs w:val="20"/>
          <w:lang w:val="en-US"/>
        </w:rPr>
        <w:t>Collegium Antropologicum</w:t>
      </w:r>
      <w:r w:rsidRPr="00891545">
        <w:rPr>
          <w:rFonts w:ascii="Times New Roman" w:hAnsi="Times New Roman" w:cs="Times New Roman"/>
          <w:sz w:val="20"/>
          <w:szCs w:val="20"/>
        </w:rPr>
        <w:t xml:space="preserve">, </w:t>
      </w:r>
      <w:r w:rsidRPr="00891545">
        <w:rPr>
          <w:rFonts w:ascii="Times New Roman" w:hAnsi="Times New Roman" w:cs="Times New Roman"/>
          <w:sz w:val="20"/>
          <w:szCs w:val="20"/>
          <w:lang w:val="en-US"/>
        </w:rPr>
        <w:t xml:space="preserve">38 (2014), </w:t>
      </w:r>
      <w:r w:rsidR="00D4659B">
        <w:rPr>
          <w:rFonts w:ascii="Times New Roman" w:hAnsi="Times New Roman" w:cs="Times New Roman"/>
          <w:sz w:val="20"/>
          <w:szCs w:val="20"/>
          <w:lang w:val="en-US"/>
        </w:rPr>
        <w:t>pp.</w:t>
      </w:r>
      <w:r w:rsidRPr="00891545">
        <w:rPr>
          <w:rFonts w:ascii="Times New Roman" w:hAnsi="Times New Roman" w:cs="Times New Roman"/>
          <w:sz w:val="20"/>
          <w:szCs w:val="20"/>
          <w:lang w:val="en-US"/>
        </w:rPr>
        <w:t>1-9</w:t>
      </w:r>
      <w:r w:rsidR="00D4659B">
        <w:rPr>
          <w:rFonts w:ascii="Times New Roman" w:hAnsi="Times New Roman" w:cs="Times New Roman"/>
          <w:sz w:val="20"/>
          <w:szCs w:val="20"/>
          <w:lang w:val="en-US"/>
        </w:rPr>
        <w:t>.</w:t>
      </w:r>
    </w:p>
    <w:p w:rsidR="003E5042" w:rsidRPr="00891545" w:rsidRDefault="00B151DA" w:rsidP="00DC3B0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Bayati, M.</w:t>
      </w:r>
      <w:r w:rsidR="00C928B9" w:rsidRPr="00891545">
        <w:rPr>
          <w:rFonts w:ascii="Times New Roman" w:hAnsi="Times New Roman" w:cs="Times New Roman"/>
          <w:sz w:val="20"/>
          <w:szCs w:val="20"/>
          <w:lang w:val="en-US"/>
        </w:rPr>
        <w:t xml:space="preserve"> Akbarian, R. </w:t>
      </w:r>
      <w:r w:rsidR="00172867">
        <w:rPr>
          <w:rFonts w:ascii="Times New Roman" w:hAnsi="Times New Roman" w:cs="Times New Roman"/>
          <w:sz w:val="20"/>
          <w:szCs w:val="20"/>
          <w:lang w:val="en-US"/>
        </w:rPr>
        <w:t>&amp;</w:t>
      </w:r>
      <w:r w:rsidR="00C928B9" w:rsidRPr="00891545">
        <w:rPr>
          <w:rFonts w:ascii="Times New Roman" w:hAnsi="Times New Roman" w:cs="Times New Roman"/>
          <w:sz w:val="20"/>
          <w:szCs w:val="20"/>
          <w:lang w:val="en-US"/>
        </w:rPr>
        <w:t xml:space="preserve"> Kavosi, Z.</w:t>
      </w:r>
      <w:r w:rsidR="00C928B9" w:rsidRPr="00891545">
        <w:rPr>
          <w:rFonts w:ascii="Times New Roman" w:hAnsi="Times New Roman" w:cs="Times New Roman"/>
          <w:sz w:val="20"/>
          <w:szCs w:val="20"/>
        </w:rPr>
        <w:t xml:space="preserve"> </w:t>
      </w:r>
      <w:r w:rsidR="00172867">
        <w:rPr>
          <w:rFonts w:ascii="Times New Roman" w:hAnsi="Times New Roman" w:cs="Times New Roman"/>
          <w:sz w:val="20"/>
          <w:szCs w:val="20"/>
          <w:lang w:val="en-US"/>
        </w:rPr>
        <w:t>(</w:t>
      </w:r>
      <w:r w:rsidR="00C928B9" w:rsidRPr="00891545">
        <w:rPr>
          <w:rFonts w:ascii="Times New Roman" w:hAnsi="Times New Roman" w:cs="Times New Roman"/>
          <w:sz w:val="20"/>
          <w:szCs w:val="20"/>
        </w:rPr>
        <w:t>20</w:t>
      </w:r>
      <w:r w:rsidR="00C928B9" w:rsidRPr="00891545">
        <w:rPr>
          <w:rFonts w:ascii="Times New Roman" w:hAnsi="Times New Roman" w:cs="Times New Roman"/>
          <w:sz w:val="20"/>
          <w:szCs w:val="20"/>
          <w:lang w:val="en-US"/>
        </w:rPr>
        <w:t>13</w:t>
      </w:r>
      <w:r w:rsidR="00172867">
        <w:rPr>
          <w:rFonts w:ascii="Times New Roman" w:hAnsi="Times New Roman" w:cs="Times New Roman"/>
          <w:sz w:val="20"/>
          <w:szCs w:val="20"/>
          <w:lang w:val="en-US"/>
        </w:rPr>
        <w:t>)</w:t>
      </w:r>
      <w:r>
        <w:rPr>
          <w:rFonts w:ascii="Times New Roman" w:hAnsi="Times New Roman" w:cs="Times New Roman"/>
          <w:sz w:val="20"/>
          <w:szCs w:val="20"/>
          <w:lang w:val="en-US"/>
        </w:rPr>
        <w:t>.</w:t>
      </w:r>
      <w:r w:rsidR="00C928B9" w:rsidRPr="00891545">
        <w:rPr>
          <w:rFonts w:ascii="Times New Roman" w:hAnsi="Times New Roman" w:cs="Times New Roman"/>
          <w:sz w:val="20"/>
          <w:szCs w:val="20"/>
        </w:rPr>
        <w:t xml:space="preserve"> </w:t>
      </w:r>
      <w:r w:rsidR="00C928B9" w:rsidRPr="00891545">
        <w:rPr>
          <w:rFonts w:ascii="Times New Roman" w:hAnsi="Times New Roman" w:cs="Times New Roman"/>
          <w:sz w:val="20"/>
          <w:szCs w:val="20"/>
          <w:lang w:val="en-US"/>
        </w:rPr>
        <w:t>Determinants of Life Expectancy in Eastern Mediterranean Regio</w:t>
      </w:r>
      <w:r w:rsidR="00172867">
        <w:rPr>
          <w:rFonts w:ascii="Times New Roman" w:hAnsi="Times New Roman" w:cs="Times New Roman"/>
          <w:sz w:val="20"/>
          <w:szCs w:val="20"/>
          <w:lang w:val="en-US"/>
        </w:rPr>
        <w:t>n: A Health Production Function.</w:t>
      </w:r>
      <w:r w:rsidR="00C928B9" w:rsidRPr="00891545">
        <w:rPr>
          <w:rFonts w:ascii="Times New Roman" w:hAnsi="Times New Roman" w:cs="Times New Roman"/>
          <w:sz w:val="20"/>
          <w:szCs w:val="20"/>
        </w:rPr>
        <w:t xml:space="preserve"> </w:t>
      </w:r>
      <w:r w:rsidR="00C928B9" w:rsidRPr="00891545">
        <w:rPr>
          <w:rFonts w:ascii="Times New Roman" w:hAnsi="Times New Roman" w:cs="Times New Roman"/>
          <w:i/>
          <w:iCs/>
          <w:sz w:val="20"/>
          <w:szCs w:val="20"/>
          <w:lang w:val="en-US"/>
        </w:rPr>
        <w:t>International Journal of Health Policy and Management</w:t>
      </w:r>
      <w:r w:rsidR="00C928B9" w:rsidRPr="00891545">
        <w:rPr>
          <w:rFonts w:ascii="Times New Roman" w:hAnsi="Times New Roman" w:cs="Times New Roman"/>
          <w:sz w:val="20"/>
          <w:szCs w:val="20"/>
        </w:rPr>
        <w:t xml:space="preserve">, </w:t>
      </w:r>
      <w:r w:rsidR="00C928B9" w:rsidRPr="00891545">
        <w:rPr>
          <w:rFonts w:ascii="Times New Roman" w:hAnsi="Times New Roman" w:cs="Times New Roman"/>
          <w:sz w:val="20"/>
          <w:szCs w:val="20"/>
          <w:lang w:val="en-US"/>
        </w:rPr>
        <w:t xml:space="preserve">2013, 1(1), </w:t>
      </w:r>
      <w:r w:rsidR="00D4659B">
        <w:rPr>
          <w:rFonts w:ascii="Times New Roman" w:hAnsi="Times New Roman" w:cs="Times New Roman"/>
          <w:sz w:val="20"/>
          <w:szCs w:val="20"/>
          <w:lang w:val="en-US"/>
        </w:rPr>
        <w:t>pp.</w:t>
      </w:r>
      <w:r w:rsidR="00C928B9" w:rsidRPr="00891545">
        <w:rPr>
          <w:rFonts w:ascii="Times New Roman" w:hAnsi="Times New Roman" w:cs="Times New Roman"/>
          <w:sz w:val="20"/>
          <w:szCs w:val="20"/>
          <w:lang w:val="en-US"/>
        </w:rPr>
        <w:t>57-61</w:t>
      </w:r>
      <w:r w:rsidR="00D4659B">
        <w:rPr>
          <w:rFonts w:ascii="Times New Roman" w:hAnsi="Times New Roman" w:cs="Times New Roman"/>
          <w:sz w:val="20"/>
          <w:szCs w:val="20"/>
          <w:lang w:val="en-US"/>
        </w:rPr>
        <w:t>.</w:t>
      </w:r>
    </w:p>
    <w:p w:rsidR="003E5042" w:rsidRPr="00D4659B" w:rsidRDefault="00C928B9" w:rsidP="00DC3B0C">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rPr>
        <w:t>Brooks, C</w:t>
      </w:r>
      <w:r w:rsidR="00B151DA">
        <w:rPr>
          <w:rFonts w:ascii="Times New Roman" w:hAnsi="Times New Roman" w:cs="Times New Roman"/>
          <w:sz w:val="20"/>
          <w:szCs w:val="20"/>
          <w:lang w:val="en-US"/>
        </w:rPr>
        <w:t>,</w:t>
      </w:r>
      <w:r w:rsidRPr="00891545">
        <w:rPr>
          <w:rFonts w:ascii="Times New Roman" w:hAnsi="Times New Roman" w:cs="Times New Roman"/>
          <w:sz w:val="20"/>
          <w:szCs w:val="20"/>
          <w:lang w:val="en-US"/>
        </w:rPr>
        <w:t>.</w:t>
      </w:r>
      <w:r w:rsidRPr="00891545">
        <w:rPr>
          <w:rFonts w:ascii="Times New Roman" w:hAnsi="Times New Roman" w:cs="Times New Roman"/>
          <w:sz w:val="20"/>
          <w:szCs w:val="20"/>
        </w:rPr>
        <w:t xml:space="preserve"> </w:t>
      </w:r>
      <w:r w:rsidR="00172867">
        <w:rPr>
          <w:rFonts w:ascii="Times New Roman" w:hAnsi="Times New Roman" w:cs="Times New Roman"/>
          <w:sz w:val="20"/>
          <w:szCs w:val="20"/>
          <w:lang w:val="en-US"/>
        </w:rPr>
        <w:t>(</w:t>
      </w:r>
      <w:r w:rsidRPr="00891545">
        <w:rPr>
          <w:rFonts w:ascii="Times New Roman" w:hAnsi="Times New Roman" w:cs="Times New Roman"/>
          <w:sz w:val="20"/>
          <w:szCs w:val="20"/>
        </w:rPr>
        <w:t>2014</w:t>
      </w:r>
      <w:r w:rsidR="00172867">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sidR="00172867">
        <w:rPr>
          <w:rFonts w:ascii="Times New Roman" w:hAnsi="Times New Roman" w:cs="Times New Roman"/>
          <w:sz w:val="20"/>
          <w:szCs w:val="20"/>
          <w:lang w:val="en-US"/>
        </w:rPr>
        <w:t xml:space="preserve"> </w:t>
      </w:r>
      <w:r w:rsidRPr="00891545">
        <w:rPr>
          <w:rFonts w:ascii="Times New Roman" w:hAnsi="Times New Roman" w:cs="Times New Roman"/>
          <w:i/>
          <w:iCs/>
          <w:sz w:val="20"/>
          <w:szCs w:val="20"/>
        </w:rPr>
        <w:t>Introductory Econometric for Finance</w:t>
      </w:r>
      <w:r w:rsidR="00172867">
        <w:rPr>
          <w:rFonts w:ascii="Times New Roman" w:hAnsi="Times New Roman" w:cs="Times New Roman"/>
          <w:i/>
          <w:iCs/>
          <w:sz w:val="20"/>
          <w:szCs w:val="20"/>
          <w:lang w:val="en-US"/>
        </w:rPr>
        <w:t>.</w:t>
      </w:r>
      <w:r w:rsidRPr="00891545">
        <w:rPr>
          <w:rFonts w:ascii="Times New Roman" w:hAnsi="Times New Roman" w:cs="Times New Roman"/>
          <w:sz w:val="20"/>
          <w:szCs w:val="20"/>
        </w:rPr>
        <w:t xml:space="preserve"> Cambridge University Press, Cambridge</w:t>
      </w:r>
      <w:r w:rsidR="00D4659B">
        <w:rPr>
          <w:rFonts w:ascii="Times New Roman" w:hAnsi="Times New Roman" w:cs="Times New Roman"/>
          <w:sz w:val="20"/>
          <w:szCs w:val="20"/>
          <w:lang w:val="en-US"/>
        </w:rPr>
        <w:t>.</w:t>
      </w:r>
    </w:p>
    <w:p w:rsidR="003E5042" w:rsidRPr="00891545" w:rsidRDefault="00C928B9" w:rsidP="00DC3B0C">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lang w:val="en-US"/>
        </w:rPr>
        <w:t>Fisher, R</w:t>
      </w:r>
      <w:r w:rsidR="00172867">
        <w:rPr>
          <w:rFonts w:ascii="Times New Roman" w:hAnsi="Times New Roman" w:cs="Times New Roman"/>
          <w:sz w:val="20"/>
          <w:szCs w:val="20"/>
          <w:lang w:val="en-US"/>
        </w:rPr>
        <w:t>.</w:t>
      </w:r>
      <w:r w:rsidR="00B151DA">
        <w:rPr>
          <w:rFonts w:ascii="Times New Roman" w:hAnsi="Times New Roman" w:cs="Times New Roman"/>
          <w:sz w:val="20"/>
          <w:szCs w:val="20"/>
          <w:lang w:val="en-US"/>
        </w:rPr>
        <w:t xml:space="preserve"> </w:t>
      </w:r>
      <w:r w:rsidR="00172867">
        <w:rPr>
          <w:rFonts w:ascii="Times New Roman" w:hAnsi="Times New Roman" w:cs="Times New Roman"/>
          <w:sz w:val="20"/>
          <w:szCs w:val="20"/>
          <w:lang w:val="en-US"/>
        </w:rPr>
        <w:t>(</w:t>
      </w:r>
      <w:r w:rsidRPr="00891545">
        <w:rPr>
          <w:rFonts w:ascii="Times New Roman" w:hAnsi="Times New Roman" w:cs="Times New Roman"/>
          <w:sz w:val="20"/>
          <w:szCs w:val="20"/>
          <w:lang w:val="en-US"/>
        </w:rPr>
        <w:t>1932</w:t>
      </w:r>
      <w:r w:rsidR="00172867">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sidRPr="00891545">
        <w:rPr>
          <w:rFonts w:ascii="Times New Roman" w:hAnsi="Times New Roman" w:cs="Times New Roman"/>
          <w:sz w:val="20"/>
          <w:szCs w:val="20"/>
          <w:lang w:val="en-US"/>
        </w:rPr>
        <w:t xml:space="preserve"> </w:t>
      </w:r>
      <w:r w:rsidRPr="00891545">
        <w:rPr>
          <w:rFonts w:ascii="Times New Roman" w:hAnsi="Times New Roman" w:cs="Times New Roman"/>
          <w:i/>
          <w:iCs/>
          <w:sz w:val="20"/>
          <w:szCs w:val="20"/>
          <w:lang w:val="en-US"/>
        </w:rPr>
        <w:t>Statistical Methods for Research Workers</w:t>
      </w:r>
      <w:r w:rsidR="00172867">
        <w:rPr>
          <w:rFonts w:ascii="Times New Roman" w:hAnsi="Times New Roman" w:cs="Times New Roman"/>
          <w:sz w:val="20"/>
          <w:szCs w:val="20"/>
          <w:lang w:val="en-US"/>
        </w:rPr>
        <w:t xml:space="preserve">. </w:t>
      </w:r>
      <w:r w:rsidRPr="00891545">
        <w:rPr>
          <w:rFonts w:ascii="Times New Roman" w:hAnsi="Times New Roman" w:cs="Times New Roman"/>
          <w:sz w:val="20"/>
          <w:szCs w:val="20"/>
          <w:lang w:val="en-US"/>
        </w:rPr>
        <w:t>Oliver and Boyd, Edinburgh</w:t>
      </w:r>
      <w:r w:rsidR="00D4659B">
        <w:rPr>
          <w:rFonts w:ascii="Times New Roman" w:hAnsi="Times New Roman" w:cs="Times New Roman"/>
          <w:sz w:val="20"/>
          <w:szCs w:val="20"/>
          <w:lang w:val="en-US"/>
        </w:rPr>
        <w:t>.</w:t>
      </w:r>
    </w:p>
    <w:p w:rsidR="003E5042" w:rsidRDefault="00B151DA"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Gillian, A. </w:t>
      </w:r>
      <w:r w:rsidR="00172867">
        <w:rPr>
          <w:rFonts w:ascii="Times New Roman" w:hAnsi="Times New Roman" w:cs="Times New Roman"/>
          <w:sz w:val="20"/>
          <w:szCs w:val="20"/>
          <w:lang w:val="en-US"/>
        </w:rPr>
        <w:t>&amp; Skrepnek, G.</w:t>
      </w:r>
      <w:r>
        <w:rPr>
          <w:rFonts w:ascii="Times New Roman" w:hAnsi="Times New Roman" w:cs="Times New Roman"/>
          <w:sz w:val="20"/>
          <w:szCs w:val="20"/>
          <w:lang w:val="en-US"/>
        </w:rPr>
        <w:t xml:space="preserve"> </w:t>
      </w:r>
      <w:r w:rsidR="00172867">
        <w:rPr>
          <w:rFonts w:ascii="Times New Roman" w:hAnsi="Times New Roman" w:cs="Times New Roman"/>
          <w:sz w:val="20"/>
          <w:szCs w:val="20"/>
          <w:lang w:val="en-US"/>
        </w:rPr>
        <w:t>(</w:t>
      </w:r>
      <w:r w:rsidR="00C928B9" w:rsidRPr="00891545">
        <w:rPr>
          <w:rFonts w:ascii="Times New Roman" w:hAnsi="Times New Roman" w:cs="Times New Roman"/>
          <w:sz w:val="20"/>
          <w:szCs w:val="20"/>
          <w:lang w:val="en-US"/>
        </w:rPr>
        <w:t>2014</w:t>
      </w:r>
      <w:r w:rsidR="00172867">
        <w:rPr>
          <w:rFonts w:ascii="Times New Roman" w:hAnsi="Times New Roman" w:cs="Times New Roman"/>
          <w:sz w:val="20"/>
          <w:szCs w:val="20"/>
          <w:lang w:val="en-US"/>
        </w:rPr>
        <w:t>)</w:t>
      </w:r>
      <w:r>
        <w:rPr>
          <w:rFonts w:ascii="Times New Roman" w:hAnsi="Times New Roman" w:cs="Times New Roman"/>
          <w:sz w:val="20"/>
          <w:szCs w:val="20"/>
          <w:lang w:val="en-US"/>
        </w:rPr>
        <w:t>.</w:t>
      </w:r>
      <w:r w:rsidR="00172867">
        <w:rPr>
          <w:rFonts w:ascii="Times New Roman" w:hAnsi="Times New Roman" w:cs="Times New Roman"/>
          <w:sz w:val="20"/>
          <w:szCs w:val="20"/>
          <w:lang w:val="en-US"/>
        </w:rPr>
        <w:t xml:space="preserve"> </w:t>
      </w:r>
      <w:r w:rsidR="00C928B9" w:rsidRPr="00891545">
        <w:rPr>
          <w:rFonts w:ascii="Times New Roman" w:hAnsi="Times New Roman" w:cs="Times New Roman"/>
          <w:sz w:val="20"/>
          <w:szCs w:val="20"/>
          <w:lang w:val="en-US"/>
        </w:rPr>
        <w:t>Determinants of Life Expectancy in t</w:t>
      </w:r>
      <w:r w:rsidR="00172867">
        <w:rPr>
          <w:rFonts w:ascii="Times New Roman" w:hAnsi="Times New Roman" w:cs="Times New Roman"/>
          <w:sz w:val="20"/>
          <w:szCs w:val="20"/>
          <w:lang w:val="en-US"/>
        </w:rPr>
        <w:t>he Eastern Mediterranean Region.</w:t>
      </w:r>
      <w:r w:rsidR="00C928B9" w:rsidRPr="00891545">
        <w:rPr>
          <w:rFonts w:ascii="Times New Roman" w:hAnsi="Times New Roman" w:cs="Times New Roman"/>
          <w:sz w:val="20"/>
          <w:szCs w:val="20"/>
          <w:lang w:val="en-US"/>
        </w:rPr>
        <w:t xml:space="preserve"> </w:t>
      </w:r>
      <w:r w:rsidR="00C928B9" w:rsidRPr="00891545">
        <w:rPr>
          <w:rFonts w:ascii="Times New Roman" w:hAnsi="Times New Roman" w:cs="Times New Roman"/>
          <w:i/>
          <w:iCs/>
          <w:sz w:val="20"/>
          <w:szCs w:val="20"/>
          <w:lang w:val="en-US"/>
        </w:rPr>
        <w:t>Health Policy and Planning</w:t>
      </w:r>
      <w:r w:rsidR="00D4659B">
        <w:rPr>
          <w:rFonts w:ascii="Times New Roman" w:hAnsi="Times New Roman" w:cs="Times New Roman"/>
          <w:sz w:val="20"/>
          <w:szCs w:val="20"/>
          <w:lang w:val="en-US"/>
        </w:rPr>
        <w:t>, pp.</w:t>
      </w:r>
      <w:r w:rsidR="00C928B9" w:rsidRPr="00891545">
        <w:rPr>
          <w:rFonts w:ascii="Times New Roman" w:hAnsi="Times New Roman" w:cs="Times New Roman"/>
          <w:sz w:val="20"/>
          <w:szCs w:val="20"/>
          <w:lang w:val="en-US"/>
        </w:rPr>
        <w:t>1-14</w:t>
      </w:r>
      <w:r w:rsidR="00D4659B">
        <w:rPr>
          <w:rFonts w:ascii="Times New Roman" w:hAnsi="Times New Roman" w:cs="Times New Roman"/>
          <w:sz w:val="20"/>
          <w:szCs w:val="20"/>
          <w:lang w:val="en-US"/>
        </w:rPr>
        <w:t>.</w:t>
      </w:r>
    </w:p>
    <w:p w:rsidR="0037601A" w:rsidRDefault="0037601A" w:rsidP="00DC3B0C">
      <w:pPr>
        <w:spacing w:after="0" w:line="240" w:lineRule="auto"/>
        <w:jc w:val="both"/>
        <w:rPr>
          <w:rFonts w:ascii="Times New Roman" w:hAnsi="Times New Roman" w:cs="Times New Roman"/>
          <w:sz w:val="20"/>
          <w:szCs w:val="20"/>
          <w:lang w:val="en-US"/>
        </w:rPr>
      </w:pPr>
      <w:r w:rsidRPr="0037601A">
        <w:rPr>
          <w:rFonts w:ascii="Times New Roman" w:hAnsi="Times New Roman" w:cs="Times New Roman"/>
          <w:sz w:val="20"/>
          <w:szCs w:val="20"/>
          <w:lang w:val="en-US"/>
        </w:rPr>
        <w:t>Hitiris, T</w:t>
      </w:r>
      <w:r>
        <w:rPr>
          <w:rFonts w:ascii="Times New Roman" w:hAnsi="Times New Roman" w:cs="Times New Roman"/>
          <w:sz w:val="20"/>
          <w:szCs w:val="20"/>
          <w:lang w:val="en-US"/>
        </w:rPr>
        <w:t xml:space="preserve">. </w:t>
      </w:r>
      <w:r w:rsidR="00172867">
        <w:rPr>
          <w:rFonts w:ascii="Times New Roman" w:hAnsi="Times New Roman" w:cs="Times New Roman"/>
          <w:sz w:val="20"/>
          <w:szCs w:val="20"/>
          <w:lang w:val="en-US"/>
        </w:rPr>
        <w:t>&amp;</w:t>
      </w:r>
      <w:r>
        <w:rPr>
          <w:rFonts w:ascii="Times New Roman" w:hAnsi="Times New Roman" w:cs="Times New Roman"/>
          <w:sz w:val="20"/>
          <w:szCs w:val="20"/>
          <w:lang w:val="en-US"/>
        </w:rPr>
        <w:t xml:space="preserve"> </w:t>
      </w:r>
      <w:r w:rsidRPr="0037601A">
        <w:rPr>
          <w:rFonts w:ascii="Times New Roman" w:hAnsi="Times New Roman" w:cs="Times New Roman"/>
          <w:sz w:val="20"/>
          <w:szCs w:val="20"/>
          <w:lang w:val="en-US"/>
        </w:rPr>
        <w:t>Posnet</w:t>
      </w:r>
      <w:r w:rsidR="00172867">
        <w:rPr>
          <w:rFonts w:ascii="Times New Roman" w:hAnsi="Times New Roman" w:cs="Times New Roman"/>
          <w:sz w:val="20"/>
          <w:szCs w:val="20"/>
          <w:lang w:val="en-US"/>
        </w:rPr>
        <w:t>, J.</w:t>
      </w:r>
      <w:r>
        <w:rPr>
          <w:rFonts w:ascii="Times New Roman" w:hAnsi="Times New Roman" w:cs="Times New Roman"/>
          <w:sz w:val="20"/>
          <w:szCs w:val="20"/>
          <w:lang w:val="en-US"/>
        </w:rPr>
        <w:t xml:space="preserve"> </w:t>
      </w:r>
      <w:r w:rsidR="00172867">
        <w:rPr>
          <w:rFonts w:ascii="Times New Roman" w:hAnsi="Times New Roman" w:cs="Times New Roman"/>
          <w:sz w:val="20"/>
          <w:szCs w:val="20"/>
          <w:lang w:val="en-US"/>
        </w:rPr>
        <w:t>(</w:t>
      </w:r>
      <w:r w:rsidRPr="0037601A">
        <w:rPr>
          <w:rFonts w:ascii="Times New Roman" w:hAnsi="Times New Roman" w:cs="Times New Roman"/>
          <w:sz w:val="20"/>
          <w:szCs w:val="20"/>
          <w:lang w:val="en-US"/>
        </w:rPr>
        <w:t>1</w:t>
      </w:r>
      <w:r>
        <w:rPr>
          <w:rFonts w:ascii="Times New Roman" w:hAnsi="Times New Roman" w:cs="Times New Roman"/>
          <w:sz w:val="20"/>
          <w:szCs w:val="20"/>
          <w:lang w:val="en-US"/>
        </w:rPr>
        <w:t>992</w:t>
      </w:r>
      <w:r w:rsidR="0017286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7601A">
        <w:rPr>
          <w:rFonts w:ascii="Times New Roman" w:hAnsi="Times New Roman" w:cs="Times New Roman"/>
          <w:sz w:val="20"/>
          <w:szCs w:val="20"/>
          <w:lang w:val="en-US"/>
        </w:rPr>
        <w:t>The determinants and effects of health</w:t>
      </w:r>
      <w:r>
        <w:rPr>
          <w:rFonts w:ascii="Times New Roman" w:hAnsi="Times New Roman" w:cs="Times New Roman"/>
          <w:sz w:val="20"/>
          <w:szCs w:val="20"/>
          <w:lang w:val="en-US"/>
        </w:rPr>
        <w:t xml:space="preserve"> </w:t>
      </w:r>
      <w:r w:rsidRPr="0037601A">
        <w:rPr>
          <w:rFonts w:ascii="Times New Roman" w:hAnsi="Times New Roman" w:cs="Times New Roman"/>
          <w:sz w:val="20"/>
          <w:szCs w:val="20"/>
          <w:lang w:val="en-US"/>
        </w:rPr>
        <w:t>expen</w:t>
      </w:r>
      <w:r w:rsidR="00172867">
        <w:rPr>
          <w:rFonts w:ascii="Times New Roman" w:hAnsi="Times New Roman" w:cs="Times New Roman"/>
          <w:sz w:val="20"/>
          <w:szCs w:val="20"/>
          <w:lang w:val="en-US"/>
        </w:rPr>
        <w:t xml:space="preserve">diture in developed countries. </w:t>
      </w:r>
      <w:r w:rsidRPr="0037601A">
        <w:rPr>
          <w:rFonts w:ascii="Times New Roman" w:hAnsi="Times New Roman" w:cs="Times New Roman"/>
          <w:i/>
          <w:sz w:val="20"/>
          <w:szCs w:val="20"/>
          <w:lang w:val="en-US"/>
        </w:rPr>
        <w:t>Journal of Health Economics, 11</w:t>
      </w:r>
      <w:r>
        <w:rPr>
          <w:rFonts w:ascii="Times New Roman" w:hAnsi="Times New Roman" w:cs="Times New Roman"/>
          <w:sz w:val="20"/>
          <w:szCs w:val="20"/>
          <w:lang w:val="en-US"/>
        </w:rPr>
        <w:t>, pp.</w:t>
      </w:r>
      <w:r w:rsidRPr="0037601A">
        <w:rPr>
          <w:rFonts w:ascii="Times New Roman" w:hAnsi="Times New Roman" w:cs="Times New Roman"/>
          <w:sz w:val="20"/>
          <w:szCs w:val="20"/>
          <w:lang w:val="en-US"/>
        </w:rPr>
        <w:t>173-181.</w:t>
      </w:r>
    </w:p>
    <w:p w:rsidR="0000343C" w:rsidRDefault="00172867"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Husain, A.R. (</w:t>
      </w:r>
      <w:r w:rsidR="0000343C" w:rsidRPr="0000343C">
        <w:rPr>
          <w:rFonts w:ascii="Times New Roman" w:hAnsi="Times New Roman" w:cs="Times New Roman"/>
          <w:sz w:val="20"/>
          <w:szCs w:val="20"/>
          <w:lang w:val="en-US"/>
        </w:rPr>
        <w:t>2002</w:t>
      </w:r>
      <w:r>
        <w:rPr>
          <w:rFonts w:ascii="Times New Roman" w:hAnsi="Times New Roman" w:cs="Times New Roman"/>
          <w:sz w:val="20"/>
          <w:szCs w:val="20"/>
          <w:lang w:val="en-US"/>
        </w:rPr>
        <w:t>)</w:t>
      </w:r>
      <w:r w:rsidR="0000343C" w:rsidRPr="0000343C">
        <w:rPr>
          <w:rFonts w:ascii="Times New Roman" w:hAnsi="Times New Roman" w:cs="Times New Roman"/>
          <w:sz w:val="20"/>
          <w:szCs w:val="20"/>
          <w:lang w:val="en-US"/>
        </w:rPr>
        <w:t xml:space="preserve">. Life expectancy in developing countries: a cross-section analysis. </w:t>
      </w:r>
      <w:r w:rsidR="0000343C" w:rsidRPr="0000343C">
        <w:rPr>
          <w:rFonts w:ascii="Times New Roman" w:hAnsi="Times New Roman" w:cs="Times New Roman"/>
          <w:i/>
          <w:sz w:val="20"/>
          <w:szCs w:val="20"/>
          <w:lang w:val="en-US"/>
        </w:rPr>
        <w:t>The Bangladesh Development Studies, 28(1/2)</w:t>
      </w:r>
      <w:r w:rsidR="0000343C" w:rsidRPr="0000343C">
        <w:rPr>
          <w:rFonts w:ascii="Times New Roman" w:hAnsi="Times New Roman" w:cs="Times New Roman"/>
          <w:sz w:val="20"/>
          <w:szCs w:val="20"/>
          <w:lang w:val="en-US"/>
        </w:rPr>
        <w:t>, pp.161-178.</w:t>
      </w:r>
    </w:p>
    <w:p w:rsidR="00D4659B" w:rsidRDefault="00D4659B" w:rsidP="00DC3B0C">
      <w:pPr>
        <w:spacing w:after="0" w:line="240" w:lineRule="auto"/>
        <w:jc w:val="both"/>
        <w:rPr>
          <w:rFonts w:ascii="Times New Roman" w:hAnsi="Times New Roman" w:cs="Times New Roman"/>
          <w:sz w:val="20"/>
          <w:szCs w:val="20"/>
          <w:lang w:val="en-US"/>
        </w:rPr>
      </w:pPr>
      <w:r w:rsidRPr="00D4659B">
        <w:rPr>
          <w:rFonts w:ascii="Times New Roman" w:hAnsi="Times New Roman" w:cs="Times New Roman"/>
          <w:sz w:val="20"/>
          <w:szCs w:val="20"/>
          <w:lang w:val="en-US"/>
        </w:rPr>
        <w:t xml:space="preserve">Jaba, E., Balan, C.B. </w:t>
      </w:r>
      <w:r w:rsidR="00172867">
        <w:rPr>
          <w:rFonts w:ascii="Times New Roman" w:hAnsi="Times New Roman" w:cs="Times New Roman"/>
          <w:sz w:val="20"/>
          <w:szCs w:val="20"/>
          <w:lang w:val="en-US"/>
        </w:rPr>
        <w:t>&amp;</w:t>
      </w:r>
      <w:r w:rsidR="00074E28">
        <w:rPr>
          <w:rFonts w:ascii="Times New Roman" w:hAnsi="Times New Roman" w:cs="Times New Roman"/>
          <w:sz w:val="20"/>
          <w:szCs w:val="20"/>
          <w:lang w:val="en-US"/>
        </w:rPr>
        <w:t xml:space="preserve"> Robu, I.B.</w:t>
      </w:r>
      <w:r w:rsidRPr="00D4659B">
        <w:rPr>
          <w:rFonts w:ascii="Times New Roman" w:hAnsi="Times New Roman" w:cs="Times New Roman"/>
          <w:sz w:val="20"/>
          <w:szCs w:val="20"/>
          <w:lang w:val="en-US"/>
        </w:rPr>
        <w:t xml:space="preserve"> </w:t>
      </w:r>
      <w:r w:rsidR="00074E28">
        <w:rPr>
          <w:rFonts w:ascii="Times New Roman" w:hAnsi="Times New Roman" w:cs="Times New Roman"/>
          <w:sz w:val="20"/>
          <w:szCs w:val="20"/>
          <w:lang w:val="en-US"/>
        </w:rPr>
        <w:t>(</w:t>
      </w:r>
      <w:r w:rsidRPr="00D4659B">
        <w:rPr>
          <w:rFonts w:ascii="Times New Roman" w:hAnsi="Times New Roman" w:cs="Times New Roman"/>
          <w:sz w:val="20"/>
          <w:szCs w:val="20"/>
          <w:lang w:val="en-US"/>
        </w:rPr>
        <w:t>2014</w:t>
      </w:r>
      <w:r w:rsidR="00074E28">
        <w:rPr>
          <w:rFonts w:ascii="Times New Roman" w:hAnsi="Times New Roman" w:cs="Times New Roman"/>
          <w:sz w:val="20"/>
          <w:szCs w:val="20"/>
          <w:lang w:val="en-US"/>
        </w:rPr>
        <w:t>)</w:t>
      </w:r>
      <w:r w:rsidRPr="00D4659B">
        <w:rPr>
          <w:rFonts w:ascii="Times New Roman" w:hAnsi="Times New Roman" w:cs="Times New Roman"/>
          <w:sz w:val="20"/>
          <w:szCs w:val="20"/>
          <w:lang w:val="en-US"/>
        </w:rPr>
        <w:t xml:space="preserve">. The relationship between life expectancy at birth and health expenditures estimated by a cross-country and time-series analysis. </w:t>
      </w:r>
      <w:r w:rsidRPr="00D4659B">
        <w:rPr>
          <w:rFonts w:ascii="Times New Roman" w:hAnsi="Times New Roman" w:cs="Times New Roman"/>
          <w:i/>
          <w:sz w:val="20"/>
          <w:szCs w:val="20"/>
          <w:lang w:val="en-US"/>
        </w:rPr>
        <w:t>Procedia Economics and Finance, 15</w:t>
      </w:r>
      <w:r w:rsidRPr="00D4659B">
        <w:rPr>
          <w:rFonts w:ascii="Times New Roman" w:hAnsi="Times New Roman" w:cs="Times New Roman"/>
          <w:sz w:val="20"/>
          <w:szCs w:val="20"/>
          <w:lang w:val="en-US"/>
        </w:rPr>
        <w:t>, pp.108-114.</w:t>
      </w:r>
    </w:p>
    <w:p w:rsidR="00B151DA" w:rsidRPr="00891545" w:rsidRDefault="00074E28"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Kabir, M.</w:t>
      </w:r>
      <w:r w:rsidR="00B151DA" w:rsidRPr="00B151DA">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B151DA" w:rsidRPr="00B151DA">
        <w:rPr>
          <w:rFonts w:ascii="Times New Roman" w:hAnsi="Times New Roman" w:cs="Times New Roman"/>
          <w:sz w:val="20"/>
          <w:szCs w:val="20"/>
          <w:lang w:val="en-US"/>
        </w:rPr>
        <w:t>2008</w:t>
      </w:r>
      <w:r>
        <w:rPr>
          <w:rFonts w:ascii="Times New Roman" w:hAnsi="Times New Roman" w:cs="Times New Roman"/>
          <w:sz w:val="20"/>
          <w:szCs w:val="20"/>
          <w:lang w:val="en-US"/>
        </w:rPr>
        <w:t>)</w:t>
      </w:r>
      <w:r w:rsidR="00B151DA" w:rsidRPr="00B151DA">
        <w:rPr>
          <w:rFonts w:ascii="Times New Roman" w:hAnsi="Times New Roman" w:cs="Times New Roman"/>
          <w:sz w:val="20"/>
          <w:szCs w:val="20"/>
          <w:lang w:val="en-US"/>
        </w:rPr>
        <w:t xml:space="preserve">. Determinants of life expectancy in developing countries. </w:t>
      </w:r>
      <w:r w:rsidR="00B151DA" w:rsidRPr="00B151DA">
        <w:rPr>
          <w:rFonts w:ascii="Times New Roman" w:hAnsi="Times New Roman" w:cs="Times New Roman"/>
          <w:i/>
          <w:sz w:val="20"/>
          <w:szCs w:val="20"/>
          <w:lang w:val="en-US"/>
        </w:rPr>
        <w:t>The journal of Developing areas</w:t>
      </w:r>
      <w:r w:rsidR="00B151DA" w:rsidRPr="00B151DA">
        <w:rPr>
          <w:rFonts w:ascii="Times New Roman" w:hAnsi="Times New Roman" w:cs="Times New Roman"/>
          <w:sz w:val="20"/>
          <w:szCs w:val="20"/>
          <w:lang w:val="en-US"/>
        </w:rPr>
        <w:t>, pp.185-204.</w:t>
      </w:r>
    </w:p>
    <w:p w:rsidR="003E5042" w:rsidRPr="00891545" w:rsidRDefault="00B151DA"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Kao, C. </w:t>
      </w:r>
      <w:r w:rsidR="00172867">
        <w:rPr>
          <w:rFonts w:ascii="Times New Roman" w:hAnsi="Times New Roman" w:cs="Times New Roman"/>
          <w:sz w:val="20"/>
          <w:szCs w:val="20"/>
          <w:lang w:val="en-US"/>
        </w:rPr>
        <w:t>&amp;</w:t>
      </w:r>
      <w:r w:rsidR="00074E28">
        <w:rPr>
          <w:rFonts w:ascii="Times New Roman" w:hAnsi="Times New Roman" w:cs="Times New Roman"/>
          <w:sz w:val="20"/>
          <w:szCs w:val="20"/>
          <w:lang w:val="en-US"/>
        </w:rPr>
        <w:t xml:space="preserve"> Chiang, M. (</w:t>
      </w:r>
      <w:r>
        <w:rPr>
          <w:rFonts w:ascii="Times New Roman" w:hAnsi="Times New Roman" w:cs="Times New Roman"/>
          <w:sz w:val="20"/>
          <w:szCs w:val="20"/>
          <w:lang w:val="en-US"/>
        </w:rPr>
        <w:t>2000</w:t>
      </w:r>
      <w:r w:rsidR="00074E28">
        <w:rPr>
          <w:rFonts w:ascii="Times New Roman" w:hAnsi="Times New Roman" w:cs="Times New Roman"/>
          <w:sz w:val="20"/>
          <w:szCs w:val="20"/>
          <w:lang w:val="en-US"/>
        </w:rPr>
        <w:t>)</w:t>
      </w:r>
      <w:r>
        <w:rPr>
          <w:rFonts w:ascii="Times New Roman" w:hAnsi="Times New Roman" w:cs="Times New Roman"/>
          <w:sz w:val="20"/>
          <w:szCs w:val="20"/>
          <w:lang w:val="en-US"/>
        </w:rPr>
        <w:t>.</w:t>
      </w:r>
      <w:r w:rsidR="00074E28">
        <w:rPr>
          <w:rFonts w:ascii="Times New Roman" w:hAnsi="Times New Roman" w:cs="Times New Roman"/>
          <w:sz w:val="20"/>
          <w:szCs w:val="20"/>
          <w:lang w:val="en-US"/>
        </w:rPr>
        <w:t xml:space="preserve"> </w:t>
      </w:r>
      <w:r w:rsidR="00C928B9" w:rsidRPr="00891545">
        <w:rPr>
          <w:rFonts w:ascii="Times New Roman" w:hAnsi="Times New Roman" w:cs="Times New Roman"/>
          <w:sz w:val="20"/>
          <w:szCs w:val="20"/>
          <w:lang w:val="en-US"/>
        </w:rPr>
        <w:t xml:space="preserve">On the Estimation and Inference of a Cointegrated Regression in Panel Data, in Baltagi, B. H. et al. </w:t>
      </w:r>
      <w:r w:rsidR="00C928B9" w:rsidRPr="00891545">
        <w:rPr>
          <w:rFonts w:ascii="Times New Roman" w:hAnsi="Times New Roman" w:cs="Times New Roman"/>
          <w:i/>
          <w:iCs/>
          <w:sz w:val="20"/>
          <w:szCs w:val="20"/>
          <w:lang w:val="en-US"/>
        </w:rPr>
        <w:t>eds.</w:t>
      </w:r>
      <w:r w:rsidR="00C928B9" w:rsidRPr="00891545">
        <w:rPr>
          <w:rFonts w:ascii="Times New Roman" w:hAnsi="Times New Roman" w:cs="Times New Roman"/>
          <w:sz w:val="20"/>
          <w:szCs w:val="20"/>
          <w:lang w:val="en-US"/>
        </w:rPr>
        <w:t xml:space="preserve">, </w:t>
      </w:r>
      <w:r w:rsidR="00C928B9" w:rsidRPr="00891545">
        <w:rPr>
          <w:rFonts w:ascii="Times New Roman" w:hAnsi="Times New Roman" w:cs="Times New Roman"/>
          <w:i/>
          <w:iCs/>
          <w:sz w:val="20"/>
          <w:szCs w:val="20"/>
          <w:lang w:val="en-US"/>
        </w:rPr>
        <w:t>Nonstationary Panels, Panel Cointegration and</w:t>
      </w:r>
      <w:r w:rsidR="00C928B9" w:rsidRPr="00891545">
        <w:rPr>
          <w:rFonts w:ascii="Times New Roman" w:hAnsi="Times New Roman" w:cs="Times New Roman"/>
          <w:sz w:val="20"/>
          <w:szCs w:val="20"/>
          <w:lang w:val="en-US"/>
        </w:rPr>
        <w:t xml:space="preserve"> </w:t>
      </w:r>
      <w:r w:rsidR="00C928B9" w:rsidRPr="00891545">
        <w:rPr>
          <w:rFonts w:ascii="Times New Roman" w:hAnsi="Times New Roman" w:cs="Times New Roman"/>
          <w:i/>
          <w:iCs/>
          <w:sz w:val="20"/>
          <w:szCs w:val="20"/>
          <w:lang w:val="en-US"/>
        </w:rPr>
        <w:t xml:space="preserve">Dynamic Panels, </w:t>
      </w:r>
      <w:r w:rsidR="00C928B9" w:rsidRPr="00891545">
        <w:rPr>
          <w:rFonts w:ascii="Times New Roman" w:hAnsi="Times New Roman" w:cs="Times New Roman"/>
          <w:sz w:val="20"/>
          <w:szCs w:val="20"/>
          <w:lang w:val="en-US"/>
        </w:rPr>
        <w:t xml:space="preserve">15, Amsterdam: Elsevier, </w:t>
      </w:r>
      <w:r w:rsidR="00D4659B">
        <w:rPr>
          <w:rFonts w:ascii="Times New Roman" w:hAnsi="Times New Roman" w:cs="Times New Roman"/>
          <w:sz w:val="20"/>
          <w:szCs w:val="20"/>
          <w:lang w:val="en-US"/>
        </w:rPr>
        <w:t xml:space="preserve">pp. </w:t>
      </w:r>
      <w:r w:rsidR="00C928B9" w:rsidRPr="00891545">
        <w:rPr>
          <w:rFonts w:ascii="Times New Roman" w:hAnsi="Times New Roman" w:cs="Times New Roman"/>
          <w:sz w:val="20"/>
          <w:szCs w:val="20"/>
          <w:lang w:val="en-US"/>
        </w:rPr>
        <w:t>179</w:t>
      </w:r>
      <w:r w:rsidR="006C09BC" w:rsidRPr="00891545">
        <w:rPr>
          <w:rFonts w:ascii="Times New Roman" w:hAnsi="Times New Roman" w:cs="Times New Roman"/>
          <w:sz w:val="20"/>
          <w:szCs w:val="20"/>
          <w:lang w:val="en-US"/>
        </w:rPr>
        <w:t>–</w:t>
      </w:r>
      <w:r w:rsidR="00C928B9" w:rsidRPr="00891545">
        <w:rPr>
          <w:rFonts w:ascii="Times New Roman" w:hAnsi="Times New Roman" w:cs="Times New Roman"/>
          <w:sz w:val="20"/>
          <w:szCs w:val="20"/>
          <w:lang w:val="en-US"/>
        </w:rPr>
        <w:t>222</w:t>
      </w:r>
      <w:r w:rsidR="00D4659B">
        <w:rPr>
          <w:rFonts w:ascii="Times New Roman" w:hAnsi="Times New Roman" w:cs="Times New Roman"/>
          <w:sz w:val="20"/>
          <w:szCs w:val="20"/>
          <w:lang w:val="en-US"/>
        </w:rPr>
        <w:t>.</w:t>
      </w:r>
    </w:p>
    <w:p w:rsidR="003E5042" w:rsidRPr="00891545" w:rsidRDefault="00C928B9" w:rsidP="00DC3B0C">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rPr>
        <w:t>Livi-Bacci, M</w:t>
      </w:r>
      <w:r w:rsidRPr="00891545">
        <w:rPr>
          <w:rFonts w:ascii="Times New Roman" w:hAnsi="Times New Roman" w:cs="Times New Roman"/>
          <w:sz w:val="20"/>
          <w:szCs w:val="20"/>
          <w:lang w:val="en-US"/>
        </w:rPr>
        <w:t>.</w:t>
      </w:r>
      <w:r w:rsidR="00B151DA">
        <w:rPr>
          <w:rFonts w:ascii="Times New Roman" w:hAnsi="Times New Roman" w:cs="Times New Roman"/>
          <w:sz w:val="20"/>
          <w:szCs w:val="20"/>
          <w:lang w:val="en-US"/>
        </w:rPr>
        <w:t xml:space="preserve"> </w:t>
      </w:r>
      <w:r w:rsidR="00074E28">
        <w:rPr>
          <w:rFonts w:ascii="Times New Roman" w:hAnsi="Times New Roman" w:cs="Times New Roman"/>
          <w:sz w:val="20"/>
          <w:szCs w:val="20"/>
          <w:lang w:val="en-US"/>
        </w:rPr>
        <w:t>(</w:t>
      </w:r>
      <w:r w:rsidR="00B151DA">
        <w:rPr>
          <w:rFonts w:ascii="Times New Roman" w:hAnsi="Times New Roman" w:cs="Times New Roman"/>
          <w:sz w:val="20"/>
          <w:szCs w:val="20"/>
          <w:lang w:val="en-US"/>
        </w:rPr>
        <w:t>2007</w:t>
      </w:r>
      <w:r w:rsidR="00074E28">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sidRPr="00891545">
        <w:rPr>
          <w:rFonts w:ascii="Times New Roman" w:hAnsi="Times New Roman" w:cs="Times New Roman"/>
          <w:sz w:val="20"/>
          <w:szCs w:val="20"/>
          <w:lang w:val="en-US"/>
        </w:rPr>
        <w:t xml:space="preserve"> </w:t>
      </w:r>
      <w:r w:rsidRPr="00074E28">
        <w:rPr>
          <w:rFonts w:ascii="Times New Roman" w:hAnsi="Times New Roman" w:cs="Times New Roman"/>
          <w:i/>
          <w:sz w:val="20"/>
          <w:szCs w:val="20"/>
        </w:rPr>
        <w:t>A Concise History of World Population</w:t>
      </w:r>
      <w:r w:rsidR="00074E28">
        <w:rPr>
          <w:rFonts w:ascii="Times New Roman" w:hAnsi="Times New Roman" w:cs="Times New Roman"/>
          <w:sz w:val="20"/>
          <w:szCs w:val="20"/>
        </w:rPr>
        <w:t xml:space="preserve">. </w:t>
      </w:r>
      <w:r w:rsidRPr="00891545">
        <w:rPr>
          <w:rFonts w:ascii="Times New Roman" w:hAnsi="Times New Roman" w:cs="Times New Roman"/>
          <w:sz w:val="20"/>
          <w:szCs w:val="20"/>
        </w:rPr>
        <w:t xml:space="preserve">Blackwell Publishers, </w:t>
      </w:r>
      <w:r w:rsidRPr="00891545">
        <w:rPr>
          <w:rFonts w:ascii="Times New Roman" w:hAnsi="Times New Roman" w:cs="Times New Roman"/>
          <w:sz w:val="20"/>
          <w:szCs w:val="20"/>
          <w:lang w:val="en-US"/>
        </w:rPr>
        <w:t>Hoboken</w:t>
      </w:r>
      <w:r w:rsidR="00D4659B">
        <w:rPr>
          <w:rFonts w:ascii="Times New Roman" w:hAnsi="Times New Roman" w:cs="Times New Roman"/>
          <w:sz w:val="20"/>
          <w:szCs w:val="20"/>
          <w:lang w:val="en-US"/>
        </w:rPr>
        <w:t>.</w:t>
      </w:r>
    </w:p>
    <w:p w:rsidR="003E5042" w:rsidRPr="00891545" w:rsidRDefault="00C928B9" w:rsidP="00DC3B0C">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lang w:val="en-US"/>
        </w:rPr>
        <w:t xml:space="preserve">Mark, N. </w:t>
      </w:r>
      <w:r w:rsidR="00172867">
        <w:rPr>
          <w:rFonts w:ascii="Times New Roman" w:hAnsi="Times New Roman" w:cs="Times New Roman"/>
          <w:sz w:val="20"/>
          <w:szCs w:val="20"/>
          <w:lang w:val="en-US"/>
        </w:rPr>
        <w:t>&amp;</w:t>
      </w:r>
      <w:r w:rsidRPr="00891545">
        <w:rPr>
          <w:rFonts w:ascii="Times New Roman" w:hAnsi="Times New Roman" w:cs="Times New Roman"/>
          <w:sz w:val="20"/>
          <w:szCs w:val="20"/>
          <w:lang w:val="en-US"/>
        </w:rPr>
        <w:t xml:space="preserve"> Sul, D.</w:t>
      </w:r>
      <w:r w:rsidR="00074E28">
        <w:rPr>
          <w:rFonts w:ascii="Times New Roman" w:hAnsi="Times New Roman" w:cs="Times New Roman"/>
          <w:sz w:val="20"/>
          <w:szCs w:val="20"/>
          <w:lang w:val="en-US"/>
        </w:rPr>
        <w:t xml:space="preserve"> (</w:t>
      </w:r>
      <w:r w:rsidR="00B151DA">
        <w:rPr>
          <w:rFonts w:ascii="Times New Roman" w:hAnsi="Times New Roman" w:cs="Times New Roman"/>
          <w:sz w:val="20"/>
          <w:szCs w:val="20"/>
          <w:lang w:val="en-US"/>
        </w:rPr>
        <w:t>2003</w:t>
      </w:r>
      <w:r w:rsidR="00074E28">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sidR="00074E28">
        <w:rPr>
          <w:rFonts w:ascii="Times New Roman" w:hAnsi="Times New Roman" w:cs="Times New Roman"/>
          <w:sz w:val="20"/>
          <w:szCs w:val="20"/>
          <w:lang w:val="en-US"/>
        </w:rPr>
        <w:t xml:space="preserve"> </w:t>
      </w:r>
      <w:r w:rsidRPr="00891545">
        <w:rPr>
          <w:rFonts w:ascii="Times New Roman" w:hAnsi="Times New Roman" w:cs="Times New Roman"/>
          <w:sz w:val="20"/>
          <w:szCs w:val="20"/>
          <w:lang w:val="en-US"/>
        </w:rPr>
        <w:t>Cointegration Vector Estimation by Panel D</w:t>
      </w:r>
      <w:r w:rsidR="00074E28">
        <w:rPr>
          <w:rFonts w:ascii="Times New Roman" w:hAnsi="Times New Roman" w:cs="Times New Roman"/>
          <w:sz w:val="20"/>
          <w:szCs w:val="20"/>
          <w:lang w:val="en-US"/>
        </w:rPr>
        <w:t xml:space="preserve">OLS and Long-run Money Demand. </w:t>
      </w:r>
      <w:r w:rsidRPr="00891545">
        <w:rPr>
          <w:rFonts w:ascii="Times New Roman" w:hAnsi="Times New Roman" w:cs="Times New Roman"/>
          <w:i/>
          <w:iCs/>
          <w:sz w:val="20"/>
          <w:szCs w:val="20"/>
          <w:lang w:val="en-US"/>
        </w:rPr>
        <w:t xml:space="preserve">Oxford Bulletin of Economics and Statistics, </w:t>
      </w:r>
      <w:r w:rsidRPr="00891545">
        <w:rPr>
          <w:rFonts w:ascii="Times New Roman" w:hAnsi="Times New Roman" w:cs="Times New Roman"/>
          <w:sz w:val="20"/>
          <w:szCs w:val="20"/>
          <w:lang w:val="en-US"/>
        </w:rPr>
        <w:t xml:space="preserve">65, </w:t>
      </w:r>
      <w:r w:rsidR="00D4659B">
        <w:rPr>
          <w:rFonts w:ascii="Times New Roman" w:hAnsi="Times New Roman" w:cs="Times New Roman"/>
          <w:sz w:val="20"/>
          <w:szCs w:val="20"/>
          <w:lang w:val="en-US"/>
        </w:rPr>
        <w:t xml:space="preserve">pp. </w:t>
      </w:r>
      <w:r w:rsidRPr="00891545">
        <w:rPr>
          <w:rFonts w:ascii="Times New Roman" w:hAnsi="Times New Roman" w:cs="Times New Roman"/>
          <w:sz w:val="20"/>
          <w:szCs w:val="20"/>
          <w:lang w:val="en-US"/>
        </w:rPr>
        <w:t>655</w:t>
      </w:r>
      <w:r w:rsidR="006C09BC" w:rsidRPr="00891545">
        <w:rPr>
          <w:rFonts w:ascii="Times New Roman" w:hAnsi="Times New Roman" w:cs="Times New Roman"/>
          <w:sz w:val="20"/>
          <w:szCs w:val="20"/>
          <w:lang w:val="en-US"/>
        </w:rPr>
        <w:t>–</w:t>
      </w:r>
      <w:r w:rsidRPr="00891545">
        <w:rPr>
          <w:rFonts w:ascii="Times New Roman" w:hAnsi="Times New Roman" w:cs="Times New Roman"/>
          <w:sz w:val="20"/>
          <w:szCs w:val="20"/>
          <w:lang w:val="en-US"/>
        </w:rPr>
        <w:t>680</w:t>
      </w:r>
      <w:r w:rsidR="00D4659B">
        <w:rPr>
          <w:rFonts w:ascii="Times New Roman" w:hAnsi="Times New Roman" w:cs="Times New Roman"/>
          <w:sz w:val="20"/>
          <w:szCs w:val="20"/>
          <w:lang w:val="en-US"/>
        </w:rPr>
        <w:t>.</w:t>
      </w:r>
    </w:p>
    <w:p w:rsidR="003E5042" w:rsidRPr="00891545" w:rsidRDefault="00074E28"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Pedroni, P.</w:t>
      </w:r>
      <w:r w:rsidR="00B151DA">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B151DA">
        <w:rPr>
          <w:rFonts w:ascii="Times New Roman" w:hAnsi="Times New Roman" w:cs="Times New Roman"/>
          <w:sz w:val="20"/>
          <w:szCs w:val="20"/>
          <w:lang w:val="en-US"/>
        </w:rPr>
        <w:t>2000</w:t>
      </w:r>
      <w:r>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C928B9" w:rsidRPr="00891545">
        <w:rPr>
          <w:rFonts w:ascii="Times New Roman" w:hAnsi="Times New Roman" w:cs="Times New Roman"/>
          <w:sz w:val="20"/>
          <w:szCs w:val="20"/>
          <w:lang w:val="en-US"/>
        </w:rPr>
        <w:t>Fully Modified OLS for He</w:t>
      </w:r>
      <w:r>
        <w:rPr>
          <w:rFonts w:ascii="Times New Roman" w:hAnsi="Times New Roman" w:cs="Times New Roman"/>
          <w:sz w:val="20"/>
          <w:szCs w:val="20"/>
          <w:lang w:val="en-US"/>
        </w:rPr>
        <w:t>terogeneous Cointegrated Panels,</w:t>
      </w:r>
      <w:r w:rsidR="00C928B9" w:rsidRPr="00891545">
        <w:rPr>
          <w:rFonts w:ascii="Times New Roman" w:hAnsi="Times New Roman" w:cs="Times New Roman"/>
          <w:sz w:val="20"/>
          <w:szCs w:val="20"/>
          <w:lang w:val="en-US"/>
        </w:rPr>
        <w:t xml:space="preserve"> in Baltagi, B. H. </w:t>
      </w:r>
      <w:r w:rsidR="00C928B9" w:rsidRPr="00891545">
        <w:rPr>
          <w:rFonts w:ascii="Times New Roman" w:hAnsi="Times New Roman" w:cs="Times New Roman"/>
          <w:i/>
          <w:iCs/>
          <w:sz w:val="20"/>
          <w:szCs w:val="20"/>
          <w:lang w:val="en-US"/>
        </w:rPr>
        <w:t>ed.</w:t>
      </w:r>
      <w:r w:rsidR="00C928B9" w:rsidRPr="00891545">
        <w:rPr>
          <w:rFonts w:ascii="Times New Roman" w:hAnsi="Times New Roman" w:cs="Times New Roman"/>
          <w:sz w:val="20"/>
          <w:szCs w:val="20"/>
          <w:lang w:val="en-US"/>
        </w:rPr>
        <w:t xml:space="preserve">, </w:t>
      </w:r>
      <w:r w:rsidR="00C928B9" w:rsidRPr="00891545">
        <w:rPr>
          <w:rFonts w:ascii="Times New Roman" w:hAnsi="Times New Roman" w:cs="Times New Roman"/>
          <w:i/>
          <w:iCs/>
          <w:sz w:val="20"/>
          <w:szCs w:val="20"/>
          <w:lang w:val="en-US"/>
        </w:rPr>
        <w:t xml:space="preserve">Nonstationary Panels, Panel Cointegration and Dynamic Panels, </w:t>
      </w:r>
      <w:r w:rsidR="00C928B9" w:rsidRPr="00891545">
        <w:rPr>
          <w:rFonts w:ascii="Times New Roman" w:hAnsi="Times New Roman" w:cs="Times New Roman"/>
          <w:sz w:val="20"/>
          <w:szCs w:val="20"/>
          <w:lang w:val="en-US"/>
        </w:rPr>
        <w:t xml:space="preserve">15, Amsterdam: Elsevier, </w:t>
      </w:r>
      <w:r w:rsidR="00D4659B">
        <w:rPr>
          <w:rFonts w:ascii="Times New Roman" w:hAnsi="Times New Roman" w:cs="Times New Roman"/>
          <w:sz w:val="20"/>
          <w:szCs w:val="20"/>
          <w:lang w:val="en-US"/>
        </w:rPr>
        <w:t xml:space="preserve">pp. </w:t>
      </w:r>
      <w:r w:rsidR="00C928B9" w:rsidRPr="00891545">
        <w:rPr>
          <w:rFonts w:ascii="Times New Roman" w:hAnsi="Times New Roman" w:cs="Times New Roman"/>
          <w:sz w:val="20"/>
          <w:szCs w:val="20"/>
          <w:lang w:val="en-US"/>
        </w:rPr>
        <w:t>93</w:t>
      </w:r>
      <w:r w:rsidR="006C09BC" w:rsidRPr="00891545">
        <w:rPr>
          <w:rFonts w:ascii="Times New Roman" w:hAnsi="Times New Roman" w:cs="Times New Roman"/>
          <w:sz w:val="20"/>
          <w:szCs w:val="20"/>
          <w:lang w:val="en-US"/>
        </w:rPr>
        <w:t>–</w:t>
      </w:r>
      <w:r w:rsidR="00C928B9" w:rsidRPr="00891545">
        <w:rPr>
          <w:rFonts w:ascii="Times New Roman" w:hAnsi="Times New Roman" w:cs="Times New Roman"/>
          <w:sz w:val="20"/>
          <w:szCs w:val="20"/>
          <w:lang w:val="en-US"/>
        </w:rPr>
        <w:t>130</w:t>
      </w:r>
      <w:r w:rsidR="00D4659B">
        <w:rPr>
          <w:rFonts w:ascii="Times New Roman" w:hAnsi="Times New Roman" w:cs="Times New Roman"/>
          <w:sz w:val="20"/>
          <w:szCs w:val="20"/>
          <w:lang w:val="en-US"/>
        </w:rPr>
        <w:t>.</w:t>
      </w:r>
    </w:p>
    <w:p w:rsidR="003E5042" w:rsidRPr="00891545" w:rsidRDefault="00074E28" w:rsidP="00DC3B0C">
      <w:pPr>
        <w:spacing w:after="0" w:line="240" w:lineRule="auto"/>
        <w:jc w:val="both"/>
        <w:rPr>
          <w:rFonts w:ascii="Times New Roman" w:hAnsi="Times New Roman" w:cs="Times New Roman"/>
          <w:i/>
          <w:iCs/>
          <w:sz w:val="20"/>
          <w:szCs w:val="20"/>
          <w:lang w:val="en-US"/>
        </w:rPr>
      </w:pPr>
      <w:r>
        <w:rPr>
          <w:rFonts w:ascii="Times New Roman" w:hAnsi="Times New Roman" w:cs="Times New Roman"/>
          <w:sz w:val="20"/>
          <w:szCs w:val="20"/>
          <w:lang w:val="en-US"/>
        </w:rPr>
        <w:t>Pedroni, P. (</w:t>
      </w:r>
      <w:r w:rsidR="00B151DA">
        <w:rPr>
          <w:rFonts w:ascii="Times New Roman" w:hAnsi="Times New Roman" w:cs="Times New Roman"/>
          <w:sz w:val="20"/>
          <w:szCs w:val="20"/>
          <w:lang w:val="en-US"/>
        </w:rPr>
        <w:t>2001</w:t>
      </w:r>
      <w:r>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C928B9" w:rsidRPr="00891545">
        <w:rPr>
          <w:rFonts w:ascii="Times New Roman" w:hAnsi="Times New Roman" w:cs="Times New Roman"/>
          <w:sz w:val="20"/>
          <w:szCs w:val="20"/>
          <w:lang w:val="en-US"/>
        </w:rPr>
        <w:t>Purchasing Power Parit</w:t>
      </w:r>
      <w:r>
        <w:rPr>
          <w:rFonts w:ascii="Times New Roman" w:hAnsi="Times New Roman" w:cs="Times New Roman"/>
          <w:sz w:val="20"/>
          <w:szCs w:val="20"/>
          <w:lang w:val="en-US"/>
        </w:rPr>
        <w:t>y Tests in Cointegrated Panels.</w:t>
      </w:r>
      <w:r w:rsidR="00C928B9" w:rsidRPr="00891545">
        <w:rPr>
          <w:rFonts w:ascii="Times New Roman" w:hAnsi="Times New Roman" w:cs="Times New Roman"/>
          <w:sz w:val="20"/>
          <w:szCs w:val="20"/>
          <w:lang w:val="en-US"/>
        </w:rPr>
        <w:t xml:space="preserve"> </w:t>
      </w:r>
      <w:r w:rsidR="00C928B9" w:rsidRPr="00891545">
        <w:rPr>
          <w:rFonts w:ascii="Times New Roman" w:hAnsi="Times New Roman" w:cs="Times New Roman"/>
          <w:i/>
          <w:iCs/>
          <w:sz w:val="20"/>
          <w:szCs w:val="20"/>
          <w:lang w:val="en-US"/>
        </w:rPr>
        <w:t>The Review of Economics and Statistics</w:t>
      </w:r>
      <w:r w:rsidR="00C928B9" w:rsidRPr="00891545">
        <w:rPr>
          <w:rFonts w:ascii="Times New Roman" w:hAnsi="Times New Roman" w:cs="Times New Roman"/>
          <w:sz w:val="20"/>
          <w:szCs w:val="20"/>
          <w:lang w:val="en-US"/>
        </w:rPr>
        <w:t xml:space="preserve">, 83, </w:t>
      </w:r>
      <w:r w:rsidR="00D4659B">
        <w:rPr>
          <w:rFonts w:ascii="Times New Roman" w:hAnsi="Times New Roman" w:cs="Times New Roman"/>
          <w:sz w:val="20"/>
          <w:szCs w:val="20"/>
          <w:lang w:val="en-US"/>
        </w:rPr>
        <w:t xml:space="preserve">pp. </w:t>
      </w:r>
      <w:r w:rsidR="00C928B9" w:rsidRPr="00891545">
        <w:rPr>
          <w:rFonts w:ascii="Times New Roman" w:hAnsi="Times New Roman" w:cs="Times New Roman"/>
          <w:sz w:val="20"/>
          <w:szCs w:val="20"/>
          <w:lang w:val="en-US"/>
        </w:rPr>
        <w:t>727</w:t>
      </w:r>
      <w:r w:rsidR="006C09BC" w:rsidRPr="00891545">
        <w:rPr>
          <w:rFonts w:ascii="Times New Roman" w:hAnsi="Times New Roman" w:cs="Times New Roman"/>
          <w:sz w:val="20"/>
          <w:szCs w:val="20"/>
          <w:lang w:val="en-US"/>
        </w:rPr>
        <w:t>–</w:t>
      </w:r>
      <w:r w:rsidR="00C928B9" w:rsidRPr="00891545">
        <w:rPr>
          <w:rFonts w:ascii="Times New Roman" w:hAnsi="Times New Roman" w:cs="Times New Roman"/>
          <w:sz w:val="20"/>
          <w:szCs w:val="20"/>
          <w:lang w:val="en-US"/>
        </w:rPr>
        <w:t>731</w:t>
      </w:r>
      <w:r w:rsidR="00D4659B">
        <w:rPr>
          <w:rFonts w:ascii="Times New Roman" w:hAnsi="Times New Roman" w:cs="Times New Roman"/>
          <w:sz w:val="20"/>
          <w:szCs w:val="20"/>
          <w:lang w:val="en-US"/>
        </w:rPr>
        <w:t>.</w:t>
      </w:r>
    </w:p>
    <w:p w:rsidR="003E5042" w:rsidRPr="00891545" w:rsidRDefault="00B151DA"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Phillips, P. </w:t>
      </w:r>
      <w:r w:rsidR="00172867">
        <w:rPr>
          <w:rFonts w:ascii="Times New Roman" w:hAnsi="Times New Roman" w:cs="Times New Roman"/>
          <w:sz w:val="20"/>
          <w:szCs w:val="20"/>
          <w:lang w:val="en-US"/>
        </w:rPr>
        <w:t>&amp;</w:t>
      </w:r>
      <w:r w:rsidR="00074E28">
        <w:rPr>
          <w:rFonts w:ascii="Times New Roman" w:hAnsi="Times New Roman" w:cs="Times New Roman"/>
          <w:sz w:val="20"/>
          <w:szCs w:val="20"/>
          <w:lang w:val="en-US"/>
        </w:rPr>
        <w:t xml:space="preserve"> Moon, H.</w:t>
      </w:r>
      <w:r>
        <w:rPr>
          <w:rFonts w:ascii="Times New Roman" w:hAnsi="Times New Roman" w:cs="Times New Roman"/>
          <w:sz w:val="20"/>
          <w:szCs w:val="20"/>
          <w:lang w:val="en-US"/>
        </w:rPr>
        <w:t xml:space="preserve"> </w:t>
      </w:r>
      <w:r w:rsidR="00074E28">
        <w:rPr>
          <w:rFonts w:ascii="Times New Roman" w:hAnsi="Times New Roman" w:cs="Times New Roman"/>
          <w:sz w:val="20"/>
          <w:szCs w:val="20"/>
          <w:lang w:val="en-US"/>
        </w:rPr>
        <w:t>(</w:t>
      </w:r>
      <w:r>
        <w:rPr>
          <w:rFonts w:ascii="Times New Roman" w:hAnsi="Times New Roman" w:cs="Times New Roman"/>
          <w:sz w:val="20"/>
          <w:szCs w:val="20"/>
          <w:lang w:val="en-US"/>
        </w:rPr>
        <w:t>1999</w:t>
      </w:r>
      <w:r w:rsidR="00074E28">
        <w:rPr>
          <w:rFonts w:ascii="Times New Roman" w:hAnsi="Times New Roman" w:cs="Times New Roman"/>
          <w:sz w:val="20"/>
          <w:szCs w:val="20"/>
          <w:lang w:val="en-US"/>
        </w:rPr>
        <w:t>)</w:t>
      </w:r>
      <w:r>
        <w:rPr>
          <w:rFonts w:ascii="Times New Roman" w:hAnsi="Times New Roman" w:cs="Times New Roman"/>
          <w:sz w:val="20"/>
          <w:szCs w:val="20"/>
          <w:lang w:val="en-US"/>
        </w:rPr>
        <w:t>.</w:t>
      </w:r>
      <w:r w:rsidR="00074E28">
        <w:rPr>
          <w:rFonts w:ascii="Times New Roman" w:hAnsi="Times New Roman" w:cs="Times New Roman"/>
          <w:sz w:val="20"/>
          <w:szCs w:val="20"/>
          <w:lang w:val="en-US"/>
        </w:rPr>
        <w:t xml:space="preserve"> </w:t>
      </w:r>
      <w:r w:rsidR="00C928B9" w:rsidRPr="00891545">
        <w:rPr>
          <w:rFonts w:ascii="Times New Roman" w:hAnsi="Times New Roman" w:cs="Times New Roman"/>
          <w:sz w:val="20"/>
          <w:szCs w:val="20"/>
          <w:lang w:val="en-US"/>
        </w:rPr>
        <w:t>Linear Regression Limit Theory</w:t>
      </w:r>
      <w:r w:rsidR="00074E28">
        <w:rPr>
          <w:rFonts w:ascii="Times New Roman" w:hAnsi="Times New Roman" w:cs="Times New Roman"/>
          <w:sz w:val="20"/>
          <w:szCs w:val="20"/>
          <w:lang w:val="en-US"/>
        </w:rPr>
        <w:t xml:space="preserve"> for Nonstationary Panel Data. </w:t>
      </w:r>
      <w:r w:rsidR="00C928B9" w:rsidRPr="00891545">
        <w:rPr>
          <w:rFonts w:ascii="Times New Roman" w:hAnsi="Times New Roman" w:cs="Times New Roman"/>
          <w:i/>
          <w:iCs/>
          <w:sz w:val="20"/>
          <w:szCs w:val="20"/>
          <w:lang w:val="en-US"/>
        </w:rPr>
        <w:t>Econometrica</w:t>
      </w:r>
      <w:r w:rsidR="00C928B9" w:rsidRPr="00891545">
        <w:rPr>
          <w:rFonts w:ascii="Times New Roman" w:hAnsi="Times New Roman" w:cs="Times New Roman"/>
          <w:sz w:val="20"/>
          <w:szCs w:val="20"/>
          <w:lang w:val="en-US"/>
        </w:rPr>
        <w:t xml:space="preserve">, 67, </w:t>
      </w:r>
      <w:r w:rsidR="00D4659B">
        <w:rPr>
          <w:rFonts w:ascii="Times New Roman" w:hAnsi="Times New Roman" w:cs="Times New Roman"/>
          <w:sz w:val="20"/>
          <w:szCs w:val="20"/>
          <w:lang w:val="en-US"/>
        </w:rPr>
        <w:t xml:space="preserve">pp. </w:t>
      </w:r>
      <w:r w:rsidR="00C928B9" w:rsidRPr="00891545">
        <w:rPr>
          <w:rFonts w:ascii="Times New Roman" w:hAnsi="Times New Roman" w:cs="Times New Roman"/>
          <w:sz w:val="20"/>
          <w:szCs w:val="20"/>
          <w:lang w:val="en-US"/>
        </w:rPr>
        <w:t>1057-1111</w:t>
      </w:r>
      <w:r w:rsidR="00D4659B">
        <w:rPr>
          <w:rFonts w:ascii="Times New Roman" w:hAnsi="Times New Roman" w:cs="Times New Roman"/>
          <w:sz w:val="20"/>
          <w:szCs w:val="20"/>
          <w:lang w:val="en-US"/>
        </w:rPr>
        <w:t>.</w:t>
      </w:r>
    </w:p>
    <w:p w:rsidR="003E5042" w:rsidRPr="00D4659B" w:rsidRDefault="00B151DA" w:rsidP="00DC3B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Ристески, С. </w:t>
      </w:r>
      <w:r w:rsidR="00172867">
        <w:rPr>
          <w:rFonts w:ascii="Times New Roman" w:hAnsi="Times New Roman" w:cs="Times New Roman"/>
          <w:sz w:val="20"/>
          <w:szCs w:val="20"/>
          <w:lang w:val="en-US"/>
        </w:rPr>
        <w:t>&amp;</w:t>
      </w:r>
      <w:r>
        <w:rPr>
          <w:rFonts w:ascii="Times New Roman" w:hAnsi="Times New Roman" w:cs="Times New Roman"/>
          <w:sz w:val="20"/>
          <w:szCs w:val="20"/>
        </w:rPr>
        <w:t xml:space="preserve"> Трпкова, М.</w:t>
      </w:r>
      <w:r w:rsidR="00074E28">
        <w:rPr>
          <w:rFonts w:ascii="Times New Roman" w:hAnsi="Times New Roman" w:cs="Times New Roman"/>
          <w:sz w:val="20"/>
          <w:szCs w:val="20"/>
          <w:lang w:val="en-US"/>
        </w:rPr>
        <w:t xml:space="preserve"> (</w:t>
      </w:r>
      <w:r>
        <w:rPr>
          <w:rFonts w:ascii="Times New Roman" w:hAnsi="Times New Roman" w:cs="Times New Roman"/>
          <w:sz w:val="20"/>
          <w:szCs w:val="20"/>
        </w:rPr>
        <w:t>2014</w:t>
      </w:r>
      <w:r w:rsidR="00074E28">
        <w:rPr>
          <w:rFonts w:ascii="Times New Roman" w:hAnsi="Times New Roman" w:cs="Times New Roman"/>
          <w:sz w:val="20"/>
          <w:szCs w:val="20"/>
          <w:lang w:val="en-US"/>
        </w:rPr>
        <w:t>)</w:t>
      </w:r>
      <w:r>
        <w:rPr>
          <w:rFonts w:ascii="Times New Roman" w:hAnsi="Times New Roman" w:cs="Times New Roman"/>
          <w:sz w:val="20"/>
          <w:szCs w:val="20"/>
        </w:rPr>
        <w:t>.</w:t>
      </w:r>
      <w:r w:rsidR="00C928B9" w:rsidRPr="00891545">
        <w:rPr>
          <w:rFonts w:ascii="Times New Roman" w:hAnsi="Times New Roman" w:cs="Times New Roman"/>
          <w:sz w:val="20"/>
          <w:szCs w:val="20"/>
        </w:rPr>
        <w:t xml:space="preserve"> </w:t>
      </w:r>
      <w:r w:rsidR="00C928B9" w:rsidRPr="00891545">
        <w:rPr>
          <w:rFonts w:ascii="Times New Roman" w:hAnsi="Times New Roman" w:cs="Times New Roman"/>
          <w:i/>
          <w:iCs/>
          <w:sz w:val="20"/>
          <w:szCs w:val="20"/>
        </w:rPr>
        <w:t>Демографија методи и анализа</w:t>
      </w:r>
      <w:r w:rsidR="00074E28">
        <w:rPr>
          <w:rFonts w:ascii="Times New Roman" w:hAnsi="Times New Roman" w:cs="Times New Roman"/>
          <w:sz w:val="20"/>
          <w:szCs w:val="20"/>
        </w:rPr>
        <w:t xml:space="preserve">. </w:t>
      </w:r>
      <w:r w:rsidR="00C928B9" w:rsidRPr="00891545">
        <w:rPr>
          <w:rFonts w:ascii="Times New Roman" w:hAnsi="Times New Roman" w:cs="Times New Roman"/>
          <w:sz w:val="20"/>
          <w:szCs w:val="20"/>
        </w:rPr>
        <w:t>Економски факултет, Скопје</w:t>
      </w:r>
      <w:r w:rsidR="00D4659B">
        <w:rPr>
          <w:rFonts w:ascii="Times New Roman" w:hAnsi="Times New Roman" w:cs="Times New Roman"/>
          <w:sz w:val="20"/>
          <w:szCs w:val="20"/>
          <w:lang w:val="en-US"/>
        </w:rPr>
        <w:t>.</w:t>
      </w:r>
    </w:p>
    <w:p w:rsidR="003E5042" w:rsidRDefault="00C928B9" w:rsidP="00DC3B0C">
      <w:pPr>
        <w:spacing w:after="0" w:line="240" w:lineRule="auto"/>
        <w:jc w:val="both"/>
        <w:rPr>
          <w:rFonts w:ascii="Times New Roman" w:hAnsi="Times New Roman" w:cs="Times New Roman"/>
          <w:sz w:val="20"/>
          <w:szCs w:val="20"/>
          <w:lang w:val="en-US"/>
        </w:rPr>
      </w:pPr>
      <w:r w:rsidRPr="00891545">
        <w:rPr>
          <w:rFonts w:ascii="Times New Roman" w:hAnsi="Times New Roman" w:cs="Times New Roman"/>
          <w:sz w:val="20"/>
          <w:szCs w:val="20"/>
        </w:rPr>
        <w:t>Ристески, С</w:t>
      </w:r>
      <w:r w:rsidR="00B151DA">
        <w:rPr>
          <w:rFonts w:ascii="Times New Roman" w:hAnsi="Times New Roman" w:cs="Times New Roman"/>
          <w:sz w:val="20"/>
          <w:szCs w:val="20"/>
        </w:rPr>
        <w:t xml:space="preserve">., Тевдовски, Д. </w:t>
      </w:r>
      <w:r w:rsidR="00172867">
        <w:rPr>
          <w:rFonts w:ascii="Times New Roman" w:hAnsi="Times New Roman" w:cs="Times New Roman"/>
          <w:sz w:val="20"/>
          <w:szCs w:val="20"/>
          <w:lang w:val="en-US"/>
        </w:rPr>
        <w:t>&amp;</w:t>
      </w:r>
      <w:r w:rsidR="00B151DA">
        <w:rPr>
          <w:rFonts w:ascii="Times New Roman" w:hAnsi="Times New Roman" w:cs="Times New Roman"/>
          <w:sz w:val="20"/>
          <w:szCs w:val="20"/>
        </w:rPr>
        <w:t xml:space="preserve"> Трпкова, М. </w:t>
      </w:r>
      <w:r w:rsidR="00074E28">
        <w:rPr>
          <w:rFonts w:ascii="Times New Roman" w:hAnsi="Times New Roman" w:cs="Times New Roman"/>
          <w:sz w:val="20"/>
          <w:szCs w:val="20"/>
          <w:lang w:val="en-US"/>
        </w:rPr>
        <w:t>(</w:t>
      </w:r>
      <w:r w:rsidR="00B151DA">
        <w:rPr>
          <w:rFonts w:ascii="Times New Roman" w:hAnsi="Times New Roman" w:cs="Times New Roman"/>
          <w:sz w:val="20"/>
          <w:szCs w:val="20"/>
        </w:rPr>
        <w:t>2012</w:t>
      </w:r>
      <w:r w:rsidR="00074E28">
        <w:rPr>
          <w:rFonts w:ascii="Times New Roman" w:hAnsi="Times New Roman" w:cs="Times New Roman"/>
          <w:sz w:val="20"/>
          <w:szCs w:val="20"/>
          <w:lang w:val="en-US"/>
        </w:rPr>
        <w:t>)</w:t>
      </w:r>
      <w:r w:rsidR="00B151DA">
        <w:rPr>
          <w:rFonts w:ascii="Times New Roman" w:hAnsi="Times New Roman" w:cs="Times New Roman"/>
          <w:sz w:val="20"/>
          <w:szCs w:val="20"/>
        </w:rPr>
        <w:t xml:space="preserve">. </w:t>
      </w:r>
      <w:r w:rsidRPr="00891545">
        <w:rPr>
          <w:rFonts w:ascii="Times New Roman" w:hAnsi="Times New Roman" w:cs="Times New Roman"/>
          <w:i/>
          <w:iCs/>
          <w:sz w:val="20"/>
          <w:szCs w:val="20"/>
        </w:rPr>
        <w:t>Вовед во анализата на временските серии</w:t>
      </w:r>
      <w:r w:rsidR="00074E28">
        <w:rPr>
          <w:rFonts w:ascii="Times New Roman" w:hAnsi="Times New Roman" w:cs="Times New Roman"/>
          <w:sz w:val="20"/>
          <w:szCs w:val="20"/>
        </w:rPr>
        <w:t xml:space="preserve">. </w:t>
      </w:r>
      <w:r w:rsidRPr="00891545">
        <w:rPr>
          <w:rFonts w:ascii="Times New Roman" w:hAnsi="Times New Roman" w:cs="Times New Roman"/>
          <w:sz w:val="20"/>
          <w:szCs w:val="20"/>
        </w:rPr>
        <w:t>Универзитет Св. „Кирил и Методиј“</w:t>
      </w:r>
      <w:r w:rsidRPr="00891545">
        <w:rPr>
          <w:rFonts w:ascii="Times New Roman" w:hAnsi="Times New Roman" w:cs="Times New Roman"/>
          <w:sz w:val="20"/>
          <w:szCs w:val="20"/>
          <w:lang w:val="en-US"/>
        </w:rPr>
        <w:t xml:space="preserve">, </w:t>
      </w:r>
      <w:r w:rsidRPr="00891545">
        <w:rPr>
          <w:rFonts w:ascii="Times New Roman" w:hAnsi="Times New Roman" w:cs="Times New Roman"/>
          <w:sz w:val="20"/>
          <w:szCs w:val="20"/>
        </w:rPr>
        <w:t>Скопје</w:t>
      </w:r>
      <w:r w:rsidR="00D4659B">
        <w:rPr>
          <w:rFonts w:ascii="Times New Roman" w:hAnsi="Times New Roman" w:cs="Times New Roman"/>
          <w:sz w:val="20"/>
          <w:szCs w:val="20"/>
          <w:lang w:val="en-US"/>
        </w:rPr>
        <w:t>.</w:t>
      </w:r>
    </w:p>
    <w:p w:rsidR="00E56109" w:rsidRPr="00E56109" w:rsidRDefault="00E56109" w:rsidP="00DC3B0C">
      <w:pPr>
        <w:spacing w:after="0" w:line="240" w:lineRule="auto"/>
        <w:jc w:val="both"/>
        <w:rPr>
          <w:rFonts w:ascii="Times New Roman" w:hAnsi="Times New Roman" w:cs="Times New Roman"/>
          <w:sz w:val="20"/>
          <w:szCs w:val="20"/>
          <w:lang w:val="en-US"/>
        </w:rPr>
      </w:pPr>
      <w:r w:rsidRPr="00E56109">
        <w:rPr>
          <w:rFonts w:ascii="Times New Roman" w:hAnsi="Times New Roman" w:cs="Times New Roman"/>
          <w:sz w:val="20"/>
          <w:szCs w:val="20"/>
          <w:lang w:val="en-US"/>
        </w:rPr>
        <w:t>Starfield, B</w:t>
      </w:r>
      <w:r>
        <w:rPr>
          <w:rFonts w:ascii="Times New Roman" w:hAnsi="Times New Roman" w:cs="Times New Roman"/>
          <w:sz w:val="20"/>
          <w:szCs w:val="20"/>
          <w:lang w:val="en-US"/>
        </w:rPr>
        <w:t xml:space="preserve">. </w:t>
      </w:r>
      <w:r w:rsidR="00172867">
        <w:rPr>
          <w:rFonts w:ascii="Times New Roman" w:hAnsi="Times New Roman" w:cs="Times New Roman"/>
          <w:sz w:val="20"/>
          <w:szCs w:val="20"/>
          <w:lang w:val="en-US"/>
        </w:rPr>
        <w:t>&amp;</w:t>
      </w:r>
      <w:r w:rsidR="00074E28">
        <w:rPr>
          <w:rFonts w:ascii="Times New Roman" w:hAnsi="Times New Roman" w:cs="Times New Roman"/>
          <w:sz w:val="20"/>
          <w:szCs w:val="20"/>
          <w:lang w:val="en-US"/>
        </w:rPr>
        <w:t xml:space="preserve"> Shi, L. (</w:t>
      </w:r>
      <w:r>
        <w:rPr>
          <w:rFonts w:ascii="Times New Roman" w:hAnsi="Times New Roman" w:cs="Times New Roman"/>
          <w:sz w:val="20"/>
          <w:szCs w:val="20"/>
          <w:lang w:val="en-US"/>
        </w:rPr>
        <w:t>2002</w:t>
      </w:r>
      <w:r w:rsidR="00074E2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56109">
        <w:rPr>
          <w:rFonts w:ascii="Times New Roman" w:hAnsi="Times New Roman" w:cs="Times New Roman"/>
          <w:sz w:val="20"/>
          <w:szCs w:val="20"/>
          <w:lang w:val="en-US"/>
        </w:rPr>
        <w:t>Policy relevant determinants of health: an</w:t>
      </w:r>
      <w:r>
        <w:rPr>
          <w:rFonts w:ascii="Times New Roman" w:hAnsi="Times New Roman" w:cs="Times New Roman"/>
          <w:sz w:val="20"/>
          <w:szCs w:val="20"/>
          <w:lang w:val="en-US"/>
        </w:rPr>
        <w:t xml:space="preserve"> </w:t>
      </w:r>
      <w:r w:rsidRPr="00E56109">
        <w:rPr>
          <w:rFonts w:ascii="Times New Roman" w:hAnsi="Times New Roman" w:cs="Times New Roman"/>
          <w:sz w:val="20"/>
          <w:szCs w:val="20"/>
          <w:lang w:val="en-US"/>
        </w:rPr>
        <w:t>international pers</w:t>
      </w:r>
      <w:r w:rsidR="00074E28">
        <w:rPr>
          <w:rFonts w:ascii="Times New Roman" w:hAnsi="Times New Roman" w:cs="Times New Roman"/>
          <w:sz w:val="20"/>
          <w:szCs w:val="20"/>
          <w:lang w:val="en-US"/>
        </w:rPr>
        <w:t xml:space="preserve">pective. </w:t>
      </w:r>
      <w:r w:rsidRPr="00E56109">
        <w:rPr>
          <w:rFonts w:ascii="Times New Roman" w:hAnsi="Times New Roman" w:cs="Times New Roman"/>
          <w:i/>
          <w:sz w:val="20"/>
          <w:szCs w:val="20"/>
          <w:lang w:val="en-US"/>
        </w:rPr>
        <w:t>Health Policy</w:t>
      </w:r>
      <w:r>
        <w:rPr>
          <w:rFonts w:ascii="Times New Roman" w:hAnsi="Times New Roman" w:cs="Times New Roman"/>
          <w:sz w:val="20"/>
          <w:szCs w:val="20"/>
          <w:lang w:val="en-US"/>
        </w:rPr>
        <w:t>, 60(3), pp.</w:t>
      </w:r>
      <w:r w:rsidRPr="00E56109">
        <w:rPr>
          <w:rFonts w:ascii="Times New Roman" w:hAnsi="Times New Roman" w:cs="Times New Roman"/>
          <w:sz w:val="20"/>
          <w:szCs w:val="20"/>
          <w:lang w:val="en-US"/>
        </w:rPr>
        <w:t>201-218.</w:t>
      </w:r>
    </w:p>
    <w:p w:rsidR="00E56109" w:rsidRDefault="00E56109" w:rsidP="00DC3B0C">
      <w:pPr>
        <w:spacing w:after="0" w:line="240" w:lineRule="auto"/>
        <w:jc w:val="both"/>
        <w:rPr>
          <w:rFonts w:ascii="Times New Roman" w:hAnsi="Times New Roman" w:cs="Times New Roman"/>
          <w:sz w:val="20"/>
          <w:szCs w:val="20"/>
          <w:lang w:val="en-US"/>
        </w:rPr>
      </w:pPr>
      <w:r w:rsidRPr="00E56109">
        <w:rPr>
          <w:rFonts w:ascii="Times New Roman" w:hAnsi="Times New Roman" w:cs="Times New Roman"/>
          <w:sz w:val="20"/>
          <w:szCs w:val="20"/>
          <w:lang w:val="en-US"/>
        </w:rPr>
        <w:t>Subramanian, S</w:t>
      </w:r>
      <w:r>
        <w:rPr>
          <w:rFonts w:ascii="Times New Roman" w:hAnsi="Times New Roman" w:cs="Times New Roman"/>
          <w:sz w:val="20"/>
          <w:szCs w:val="20"/>
          <w:lang w:val="en-US"/>
        </w:rPr>
        <w:t>.</w:t>
      </w:r>
      <w:r w:rsidRPr="00E56109">
        <w:rPr>
          <w:rFonts w:ascii="Times New Roman" w:hAnsi="Times New Roman" w:cs="Times New Roman"/>
          <w:sz w:val="20"/>
          <w:szCs w:val="20"/>
          <w:lang w:val="en-US"/>
        </w:rPr>
        <w:t>V</w:t>
      </w:r>
      <w:r>
        <w:rPr>
          <w:rFonts w:ascii="Times New Roman" w:hAnsi="Times New Roman" w:cs="Times New Roman"/>
          <w:sz w:val="20"/>
          <w:szCs w:val="20"/>
          <w:lang w:val="en-US"/>
        </w:rPr>
        <w:t xml:space="preserve">., </w:t>
      </w:r>
      <w:r w:rsidRPr="00E56109">
        <w:rPr>
          <w:rFonts w:ascii="Times New Roman" w:hAnsi="Times New Roman" w:cs="Times New Roman"/>
          <w:sz w:val="20"/>
          <w:szCs w:val="20"/>
          <w:lang w:val="en-US"/>
        </w:rPr>
        <w:t>Belli</w:t>
      </w:r>
      <w:r>
        <w:rPr>
          <w:rFonts w:ascii="Times New Roman" w:hAnsi="Times New Roman" w:cs="Times New Roman"/>
          <w:sz w:val="20"/>
          <w:szCs w:val="20"/>
          <w:lang w:val="en-US"/>
        </w:rPr>
        <w:t xml:space="preserve">, P. </w:t>
      </w:r>
      <w:r w:rsidR="00172867">
        <w:rPr>
          <w:rFonts w:ascii="Times New Roman" w:hAnsi="Times New Roman" w:cs="Times New Roman"/>
          <w:sz w:val="20"/>
          <w:szCs w:val="20"/>
          <w:lang w:val="en-US"/>
        </w:rPr>
        <w:t>&amp;</w:t>
      </w:r>
      <w:r>
        <w:rPr>
          <w:rFonts w:ascii="Times New Roman" w:hAnsi="Times New Roman" w:cs="Times New Roman"/>
          <w:sz w:val="20"/>
          <w:szCs w:val="20"/>
          <w:lang w:val="en-US"/>
        </w:rPr>
        <w:t xml:space="preserve"> </w:t>
      </w:r>
      <w:r w:rsidRPr="00E56109">
        <w:rPr>
          <w:rFonts w:ascii="Times New Roman" w:hAnsi="Times New Roman" w:cs="Times New Roman"/>
          <w:sz w:val="20"/>
          <w:szCs w:val="20"/>
          <w:lang w:val="en-US"/>
        </w:rPr>
        <w:t>Kawachi</w:t>
      </w:r>
      <w:r w:rsidR="00074E28">
        <w:rPr>
          <w:rFonts w:ascii="Times New Roman" w:hAnsi="Times New Roman" w:cs="Times New Roman"/>
          <w:sz w:val="20"/>
          <w:szCs w:val="20"/>
          <w:lang w:val="en-US"/>
        </w:rPr>
        <w:t>, I.</w:t>
      </w:r>
      <w:r>
        <w:rPr>
          <w:rFonts w:ascii="Times New Roman" w:hAnsi="Times New Roman" w:cs="Times New Roman"/>
          <w:sz w:val="20"/>
          <w:szCs w:val="20"/>
          <w:lang w:val="en-US"/>
        </w:rPr>
        <w:t xml:space="preserve"> </w:t>
      </w:r>
      <w:r w:rsidR="00074E28">
        <w:rPr>
          <w:rFonts w:ascii="Times New Roman" w:hAnsi="Times New Roman" w:cs="Times New Roman"/>
          <w:sz w:val="20"/>
          <w:szCs w:val="20"/>
          <w:lang w:val="en-US"/>
        </w:rPr>
        <w:t>(</w:t>
      </w:r>
      <w:r>
        <w:rPr>
          <w:rFonts w:ascii="Times New Roman" w:hAnsi="Times New Roman" w:cs="Times New Roman"/>
          <w:sz w:val="20"/>
          <w:szCs w:val="20"/>
          <w:lang w:val="en-US"/>
        </w:rPr>
        <w:t>2002).</w:t>
      </w:r>
      <w:r w:rsidR="00074E28">
        <w:rPr>
          <w:rFonts w:ascii="Times New Roman" w:hAnsi="Times New Roman" w:cs="Times New Roman"/>
          <w:sz w:val="20"/>
          <w:szCs w:val="20"/>
          <w:lang w:val="en-US"/>
        </w:rPr>
        <w:t xml:space="preserve"> </w:t>
      </w:r>
      <w:r w:rsidRPr="00E56109">
        <w:rPr>
          <w:rFonts w:ascii="Times New Roman" w:hAnsi="Times New Roman" w:cs="Times New Roman"/>
          <w:sz w:val="20"/>
          <w:szCs w:val="20"/>
          <w:lang w:val="en-US"/>
        </w:rPr>
        <w:t>The macroeconomic</w:t>
      </w:r>
      <w:r>
        <w:rPr>
          <w:rFonts w:ascii="Times New Roman" w:hAnsi="Times New Roman" w:cs="Times New Roman"/>
          <w:sz w:val="20"/>
          <w:szCs w:val="20"/>
          <w:lang w:val="en-US"/>
        </w:rPr>
        <w:t xml:space="preserve"> </w:t>
      </w:r>
      <w:r w:rsidR="00074E28">
        <w:rPr>
          <w:rFonts w:ascii="Times New Roman" w:hAnsi="Times New Roman" w:cs="Times New Roman"/>
          <w:sz w:val="20"/>
          <w:szCs w:val="20"/>
          <w:lang w:val="en-US"/>
        </w:rPr>
        <w:t xml:space="preserve">determinants of health. </w:t>
      </w:r>
      <w:r w:rsidRPr="00E56109">
        <w:rPr>
          <w:rFonts w:ascii="Times New Roman" w:hAnsi="Times New Roman" w:cs="Times New Roman"/>
          <w:i/>
          <w:sz w:val="20"/>
          <w:szCs w:val="20"/>
          <w:lang w:val="en-US"/>
        </w:rPr>
        <w:t>Annual Review of Public Health, 23</w:t>
      </w:r>
      <w:r>
        <w:rPr>
          <w:rFonts w:ascii="Times New Roman" w:hAnsi="Times New Roman" w:cs="Times New Roman"/>
          <w:sz w:val="20"/>
          <w:szCs w:val="20"/>
          <w:lang w:val="en-US"/>
        </w:rPr>
        <w:t>, pp.</w:t>
      </w:r>
      <w:r w:rsidRPr="00E56109">
        <w:rPr>
          <w:rFonts w:ascii="Times New Roman" w:hAnsi="Times New Roman" w:cs="Times New Roman"/>
          <w:sz w:val="20"/>
          <w:szCs w:val="20"/>
          <w:lang w:val="en-US"/>
        </w:rPr>
        <w:t>287-302.</w:t>
      </w:r>
    </w:p>
    <w:p w:rsidR="00432EE6" w:rsidRPr="00D4659B" w:rsidRDefault="00432EE6" w:rsidP="00DC3B0C">
      <w:pPr>
        <w:spacing w:after="0" w:line="240" w:lineRule="auto"/>
        <w:jc w:val="both"/>
        <w:rPr>
          <w:rFonts w:ascii="Times New Roman" w:hAnsi="Times New Roman" w:cs="Times New Roman"/>
          <w:sz w:val="20"/>
          <w:szCs w:val="20"/>
          <w:lang w:val="en-US"/>
        </w:rPr>
      </w:pPr>
      <w:r w:rsidRPr="00432EE6">
        <w:rPr>
          <w:rFonts w:ascii="Times New Roman" w:hAnsi="Times New Roman" w:cs="Times New Roman"/>
          <w:sz w:val="20"/>
          <w:szCs w:val="20"/>
          <w:lang w:val="en-US"/>
        </w:rPr>
        <w:t>Wilkinson, R</w:t>
      </w:r>
      <w:r>
        <w:rPr>
          <w:rFonts w:ascii="Times New Roman" w:hAnsi="Times New Roman" w:cs="Times New Roman"/>
          <w:sz w:val="20"/>
          <w:szCs w:val="20"/>
          <w:lang w:val="en-US"/>
        </w:rPr>
        <w:t>.</w:t>
      </w:r>
      <w:r w:rsidRPr="00432EE6">
        <w:rPr>
          <w:rFonts w:ascii="Times New Roman" w:hAnsi="Times New Roman" w:cs="Times New Roman"/>
          <w:sz w:val="20"/>
          <w:szCs w:val="20"/>
          <w:lang w:val="en-US"/>
        </w:rPr>
        <w:t>G</w:t>
      </w:r>
      <w:r w:rsidR="00074E28">
        <w:rPr>
          <w:rFonts w:ascii="Times New Roman" w:hAnsi="Times New Roman" w:cs="Times New Roman"/>
          <w:sz w:val="20"/>
          <w:szCs w:val="20"/>
          <w:lang w:val="en-US"/>
        </w:rPr>
        <w:t>. (</w:t>
      </w:r>
      <w:r>
        <w:rPr>
          <w:rFonts w:ascii="Times New Roman" w:hAnsi="Times New Roman" w:cs="Times New Roman"/>
          <w:sz w:val="20"/>
          <w:szCs w:val="20"/>
          <w:lang w:val="en-US"/>
        </w:rPr>
        <w:t>1996</w:t>
      </w:r>
      <w:r w:rsidR="00074E28">
        <w:rPr>
          <w:rFonts w:ascii="Times New Roman" w:hAnsi="Times New Roman" w:cs="Times New Roman"/>
          <w:sz w:val="20"/>
          <w:szCs w:val="20"/>
          <w:lang w:val="en-US"/>
        </w:rPr>
        <w:t>)</w:t>
      </w:r>
      <w:r>
        <w:rPr>
          <w:rFonts w:ascii="Times New Roman" w:hAnsi="Times New Roman" w:cs="Times New Roman"/>
          <w:sz w:val="20"/>
          <w:szCs w:val="20"/>
          <w:lang w:val="en-US"/>
        </w:rPr>
        <w:t>.</w:t>
      </w:r>
      <w:r w:rsidRPr="00432EE6">
        <w:rPr>
          <w:rFonts w:ascii="Times New Roman" w:hAnsi="Times New Roman" w:cs="Times New Roman"/>
          <w:sz w:val="20"/>
          <w:szCs w:val="20"/>
          <w:lang w:val="en-US"/>
        </w:rPr>
        <w:t xml:space="preserve"> </w:t>
      </w:r>
      <w:r w:rsidRPr="00432EE6">
        <w:rPr>
          <w:rFonts w:ascii="Times New Roman" w:hAnsi="Times New Roman" w:cs="Times New Roman"/>
          <w:i/>
          <w:sz w:val="20"/>
          <w:szCs w:val="20"/>
          <w:lang w:val="en-US"/>
        </w:rPr>
        <w:t>Unhealthy Societies: The Afflictions of Inequality</w:t>
      </w:r>
      <w:r w:rsidR="00074E28">
        <w:rPr>
          <w:rFonts w:ascii="Times New Roman" w:hAnsi="Times New Roman" w:cs="Times New Roman"/>
          <w:sz w:val="20"/>
          <w:szCs w:val="20"/>
          <w:lang w:val="en-US"/>
        </w:rPr>
        <w:t xml:space="preserve">. </w:t>
      </w:r>
      <w:r w:rsidR="0003722A" w:rsidRPr="00432EE6">
        <w:rPr>
          <w:rFonts w:ascii="Times New Roman" w:hAnsi="Times New Roman" w:cs="Times New Roman"/>
          <w:sz w:val="20"/>
          <w:szCs w:val="20"/>
          <w:lang w:val="en-US"/>
        </w:rPr>
        <w:t>Rutledge</w:t>
      </w:r>
      <w:r w:rsidRPr="00432EE6">
        <w:rPr>
          <w:rFonts w:ascii="Times New Roman" w:hAnsi="Times New Roman" w:cs="Times New Roman"/>
          <w:sz w:val="20"/>
          <w:szCs w:val="20"/>
          <w:lang w:val="en-US"/>
        </w:rPr>
        <w:t>, London.</w:t>
      </w:r>
    </w:p>
    <w:p w:rsidR="003E5042" w:rsidRPr="005B0F53" w:rsidRDefault="00074E28" w:rsidP="005B0F5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World Bank (</w:t>
      </w:r>
      <w:r w:rsidR="00B151DA">
        <w:rPr>
          <w:rFonts w:ascii="Times New Roman" w:hAnsi="Times New Roman" w:cs="Times New Roman"/>
          <w:sz w:val="20"/>
          <w:szCs w:val="20"/>
          <w:lang w:val="en-US"/>
        </w:rPr>
        <w:t>2015</w:t>
      </w:r>
      <w:r>
        <w:rPr>
          <w:rFonts w:ascii="Times New Roman" w:hAnsi="Times New Roman" w:cs="Times New Roman"/>
          <w:sz w:val="20"/>
          <w:szCs w:val="20"/>
          <w:lang w:val="en-US"/>
        </w:rPr>
        <w:t>)</w:t>
      </w:r>
      <w:r w:rsidR="00B151DA">
        <w:rPr>
          <w:rFonts w:ascii="Times New Roman" w:hAnsi="Times New Roman" w:cs="Times New Roman"/>
          <w:sz w:val="20"/>
          <w:szCs w:val="20"/>
          <w:lang w:val="en-US"/>
        </w:rPr>
        <w:t>.</w:t>
      </w:r>
      <w:r w:rsidR="00C928B9" w:rsidRPr="00891545">
        <w:rPr>
          <w:rFonts w:ascii="Times New Roman" w:hAnsi="Times New Roman" w:cs="Times New Roman"/>
          <w:sz w:val="20"/>
          <w:szCs w:val="20"/>
          <w:lang w:val="en-US"/>
        </w:rPr>
        <w:t xml:space="preserve"> </w:t>
      </w:r>
      <w:r w:rsidR="00C928B9" w:rsidRPr="00891545">
        <w:rPr>
          <w:rFonts w:ascii="Times New Roman" w:hAnsi="Times New Roman" w:cs="Times New Roman"/>
          <w:i/>
          <w:iCs/>
          <w:sz w:val="20"/>
          <w:szCs w:val="20"/>
          <w:lang w:val="en-US"/>
        </w:rPr>
        <w:t>World Development Indicators</w:t>
      </w:r>
      <w:r w:rsidR="00C928B9" w:rsidRPr="00891545">
        <w:rPr>
          <w:rFonts w:ascii="Times New Roman" w:hAnsi="Times New Roman" w:cs="Times New Roman"/>
          <w:sz w:val="20"/>
          <w:szCs w:val="20"/>
          <w:lang w:val="en-US"/>
        </w:rPr>
        <w:t xml:space="preserve"> (online database) available from: http://databank.worldbank.org/data/reports.aspx?source=World-Development-Indicators, Accessed 16</w:t>
      </w:r>
      <w:r w:rsidR="00C928B9" w:rsidRPr="00891545">
        <w:rPr>
          <w:rFonts w:ascii="Times New Roman" w:hAnsi="Times New Roman" w:cs="Times New Roman"/>
          <w:sz w:val="20"/>
          <w:szCs w:val="20"/>
          <w:vertAlign w:val="superscript"/>
          <w:lang w:val="en-US"/>
        </w:rPr>
        <w:t>th</w:t>
      </w:r>
      <w:r w:rsidR="00D4659B">
        <w:rPr>
          <w:rFonts w:ascii="Times New Roman" w:hAnsi="Times New Roman" w:cs="Times New Roman"/>
          <w:sz w:val="20"/>
          <w:szCs w:val="20"/>
          <w:lang w:val="en-US"/>
        </w:rPr>
        <w:t xml:space="preserve"> of July, 2015.</w:t>
      </w:r>
    </w:p>
    <w:sectPr w:rsidR="003E5042" w:rsidRPr="005B0F53" w:rsidSect="00704AA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0E" w:rsidRDefault="00B6640E" w:rsidP="008C59B6">
      <w:pPr>
        <w:spacing w:after="0" w:line="240" w:lineRule="auto"/>
      </w:pPr>
      <w:r>
        <w:separator/>
      </w:r>
    </w:p>
  </w:endnote>
  <w:endnote w:type="continuationSeparator" w:id="0">
    <w:p w:rsidR="00B6640E" w:rsidRDefault="00B6640E" w:rsidP="008C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0E" w:rsidRDefault="00B6640E" w:rsidP="008C59B6">
      <w:pPr>
        <w:spacing w:after="0" w:line="240" w:lineRule="auto"/>
      </w:pPr>
      <w:r>
        <w:separator/>
      </w:r>
    </w:p>
  </w:footnote>
  <w:footnote w:type="continuationSeparator" w:id="0">
    <w:p w:rsidR="00B6640E" w:rsidRDefault="00B6640E" w:rsidP="008C5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97A32"/>
    <w:multiLevelType w:val="hybridMultilevel"/>
    <w:tmpl w:val="2402A81E"/>
    <w:lvl w:ilvl="0" w:tplc="20F49B52">
      <w:start w:val="1"/>
      <w:numFmt w:val="decimal"/>
      <w:lvlText w:val="%1."/>
      <w:lvlJc w:val="center"/>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nsid w:val="4C5F26B1"/>
    <w:multiLevelType w:val="hybridMultilevel"/>
    <w:tmpl w:val="B76AD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C775E7A"/>
    <w:multiLevelType w:val="hybridMultilevel"/>
    <w:tmpl w:val="71EA8874"/>
    <w:lvl w:ilvl="0" w:tplc="042F000F">
      <w:start w:val="1"/>
      <w:numFmt w:val="decimal"/>
      <w:lvlText w:val="%1."/>
      <w:lvlJc w:val="left"/>
      <w:pPr>
        <w:ind w:left="1003" w:hanging="360"/>
      </w:pPr>
      <w:rPr>
        <w:rFonts w:hint="default"/>
      </w:rPr>
    </w:lvl>
    <w:lvl w:ilvl="1" w:tplc="042F000F">
      <w:start w:val="1"/>
      <w:numFmt w:val="decimal"/>
      <w:lvlText w:val="%2."/>
      <w:lvlJc w:val="left"/>
      <w:pPr>
        <w:ind w:left="1723" w:hanging="360"/>
      </w:pPr>
      <w:rPr>
        <w:rFonts w:hint="default"/>
      </w:rPr>
    </w:lvl>
    <w:lvl w:ilvl="2" w:tplc="042F0005">
      <w:start w:val="1"/>
      <w:numFmt w:val="bullet"/>
      <w:lvlText w:val=""/>
      <w:lvlJc w:val="left"/>
      <w:pPr>
        <w:ind w:left="2443" w:hanging="360"/>
      </w:pPr>
      <w:rPr>
        <w:rFonts w:ascii="Wingdings" w:hAnsi="Wingdings" w:cs="Wingdings" w:hint="default"/>
      </w:rPr>
    </w:lvl>
    <w:lvl w:ilvl="3" w:tplc="042F0001">
      <w:start w:val="1"/>
      <w:numFmt w:val="bullet"/>
      <w:lvlText w:val=""/>
      <w:lvlJc w:val="left"/>
      <w:pPr>
        <w:ind w:left="3163" w:hanging="360"/>
      </w:pPr>
      <w:rPr>
        <w:rFonts w:ascii="Symbol" w:hAnsi="Symbol" w:cs="Symbol" w:hint="default"/>
      </w:rPr>
    </w:lvl>
    <w:lvl w:ilvl="4" w:tplc="042F0003">
      <w:start w:val="1"/>
      <w:numFmt w:val="bullet"/>
      <w:lvlText w:val="o"/>
      <w:lvlJc w:val="left"/>
      <w:pPr>
        <w:ind w:left="3883" w:hanging="360"/>
      </w:pPr>
      <w:rPr>
        <w:rFonts w:ascii="Courier New" w:hAnsi="Courier New" w:cs="Courier New" w:hint="default"/>
      </w:rPr>
    </w:lvl>
    <w:lvl w:ilvl="5" w:tplc="042F0005">
      <w:start w:val="1"/>
      <w:numFmt w:val="bullet"/>
      <w:lvlText w:val=""/>
      <w:lvlJc w:val="left"/>
      <w:pPr>
        <w:ind w:left="4603" w:hanging="360"/>
      </w:pPr>
      <w:rPr>
        <w:rFonts w:ascii="Wingdings" w:hAnsi="Wingdings" w:cs="Wingdings" w:hint="default"/>
      </w:rPr>
    </w:lvl>
    <w:lvl w:ilvl="6" w:tplc="042F0001">
      <w:start w:val="1"/>
      <w:numFmt w:val="bullet"/>
      <w:lvlText w:val=""/>
      <w:lvlJc w:val="left"/>
      <w:pPr>
        <w:ind w:left="5323" w:hanging="360"/>
      </w:pPr>
      <w:rPr>
        <w:rFonts w:ascii="Symbol" w:hAnsi="Symbol" w:cs="Symbol" w:hint="default"/>
      </w:rPr>
    </w:lvl>
    <w:lvl w:ilvl="7" w:tplc="042F0003">
      <w:start w:val="1"/>
      <w:numFmt w:val="bullet"/>
      <w:lvlText w:val="o"/>
      <w:lvlJc w:val="left"/>
      <w:pPr>
        <w:ind w:left="6043" w:hanging="360"/>
      </w:pPr>
      <w:rPr>
        <w:rFonts w:ascii="Courier New" w:hAnsi="Courier New" w:cs="Courier New" w:hint="default"/>
      </w:rPr>
    </w:lvl>
    <w:lvl w:ilvl="8" w:tplc="042F0005">
      <w:start w:val="1"/>
      <w:numFmt w:val="bullet"/>
      <w:lvlText w:val=""/>
      <w:lvlJc w:val="left"/>
      <w:pPr>
        <w:ind w:left="6763" w:hanging="360"/>
      </w:pPr>
      <w:rPr>
        <w:rFonts w:ascii="Wingdings" w:hAnsi="Wingdings" w:cs="Wingdings" w:hint="default"/>
      </w:rPr>
    </w:lvl>
  </w:abstractNum>
  <w:abstractNum w:abstractNumId="3">
    <w:nsid w:val="6DD96BF2"/>
    <w:multiLevelType w:val="hybridMultilevel"/>
    <w:tmpl w:val="52C48AB2"/>
    <w:lvl w:ilvl="0" w:tplc="7098F9EA">
      <w:start w:val="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EC12225"/>
    <w:multiLevelType w:val="hybridMultilevel"/>
    <w:tmpl w:val="4E988C6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5">
    <w:nsid w:val="7209059B"/>
    <w:multiLevelType w:val="hybridMultilevel"/>
    <w:tmpl w:val="4C9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59B6"/>
    <w:rsid w:val="0000343C"/>
    <w:rsid w:val="00006577"/>
    <w:rsid w:val="00007EF6"/>
    <w:rsid w:val="00011846"/>
    <w:rsid w:val="00015B1D"/>
    <w:rsid w:val="00015EB2"/>
    <w:rsid w:val="000175E3"/>
    <w:rsid w:val="00023585"/>
    <w:rsid w:val="000252D8"/>
    <w:rsid w:val="000258E3"/>
    <w:rsid w:val="0003722A"/>
    <w:rsid w:val="000416B9"/>
    <w:rsid w:val="0005058C"/>
    <w:rsid w:val="0005108C"/>
    <w:rsid w:val="00057354"/>
    <w:rsid w:val="00060DE0"/>
    <w:rsid w:val="000621AF"/>
    <w:rsid w:val="00074E28"/>
    <w:rsid w:val="00076ADA"/>
    <w:rsid w:val="0008347F"/>
    <w:rsid w:val="00084463"/>
    <w:rsid w:val="000866D6"/>
    <w:rsid w:val="0009064F"/>
    <w:rsid w:val="000A161A"/>
    <w:rsid w:val="000A5931"/>
    <w:rsid w:val="000B75A6"/>
    <w:rsid w:val="000B7BDD"/>
    <w:rsid w:val="000C20D7"/>
    <w:rsid w:val="000D1C4F"/>
    <w:rsid w:val="000D24FE"/>
    <w:rsid w:val="000D5ADC"/>
    <w:rsid w:val="000D60A7"/>
    <w:rsid w:val="000D7A9C"/>
    <w:rsid w:val="000E087C"/>
    <w:rsid w:val="000E3C4C"/>
    <w:rsid w:val="001025B7"/>
    <w:rsid w:val="001048F7"/>
    <w:rsid w:val="00111A1B"/>
    <w:rsid w:val="00117B5E"/>
    <w:rsid w:val="00122ADC"/>
    <w:rsid w:val="00122F5D"/>
    <w:rsid w:val="00132324"/>
    <w:rsid w:val="00153CDB"/>
    <w:rsid w:val="00160A28"/>
    <w:rsid w:val="00162CA3"/>
    <w:rsid w:val="00164C18"/>
    <w:rsid w:val="00166D00"/>
    <w:rsid w:val="00172867"/>
    <w:rsid w:val="00181CA1"/>
    <w:rsid w:val="001870A4"/>
    <w:rsid w:val="001916CE"/>
    <w:rsid w:val="00195981"/>
    <w:rsid w:val="0019663A"/>
    <w:rsid w:val="00197F16"/>
    <w:rsid w:val="001A7A4A"/>
    <w:rsid w:val="001B0211"/>
    <w:rsid w:val="001B63C3"/>
    <w:rsid w:val="001B6DBD"/>
    <w:rsid w:val="001C5680"/>
    <w:rsid w:val="001E4A4A"/>
    <w:rsid w:val="001F0807"/>
    <w:rsid w:val="001F4942"/>
    <w:rsid w:val="001F5C9A"/>
    <w:rsid w:val="00230040"/>
    <w:rsid w:val="00230939"/>
    <w:rsid w:val="00236B48"/>
    <w:rsid w:val="00240931"/>
    <w:rsid w:val="002448C5"/>
    <w:rsid w:val="00262C8D"/>
    <w:rsid w:val="00264092"/>
    <w:rsid w:val="0026717C"/>
    <w:rsid w:val="002704F8"/>
    <w:rsid w:val="00273F32"/>
    <w:rsid w:val="00282657"/>
    <w:rsid w:val="00286022"/>
    <w:rsid w:val="0028681C"/>
    <w:rsid w:val="002A01F0"/>
    <w:rsid w:val="002C5E76"/>
    <w:rsid w:val="002D0343"/>
    <w:rsid w:val="002D08C7"/>
    <w:rsid w:val="002D36B3"/>
    <w:rsid w:val="002D7894"/>
    <w:rsid w:val="002E45C2"/>
    <w:rsid w:val="002F1EED"/>
    <w:rsid w:val="002F336E"/>
    <w:rsid w:val="00305269"/>
    <w:rsid w:val="00306C5E"/>
    <w:rsid w:val="00312554"/>
    <w:rsid w:val="00332F92"/>
    <w:rsid w:val="00336C6A"/>
    <w:rsid w:val="00345F29"/>
    <w:rsid w:val="00347747"/>
    <w:rsid w:val="00357081"/>
    <w:rsid w:val="00360BB9"/>
    <w:rsid w:val="003620D7"/>
    <w:rsid w:val="0037555E"/>
    <w:rsid w:val="0037601A"/>
    <w:rsid w:val="00382098"/>
    <w:rsid w:val="00385CD1"/>
    <w:rsid w:val="0039084F"/>
    <w:rsid w:val="0039623A"/>
    <w:rsid w:val="003A0F40"/>
    <w:rsid w:val="003A1324"/>
    <w:rsid w:val="003A2C8D"/>
    <w:rsid w:val="003B037B"/>
    <w:rsid w:val="003B6024"/>
    <w:rsid w:val="003C13BE"/>
    <w:rsid w:val="003C2138"/>
    <w:rsid w:val="003C57D5"/>
    <w:rsid w:val="003D3956"/>
    <w:rsid w:val="003D555B"/>
    <w:rsid w:val="003D63A3"/>
    <w:rsid w:val="003D6469"/>
    <w:rsid w:val="003D7975"/>
    <w:rsid w:val="003D7A2A"/>
    <w:rsid w:val="003E0FFA"/>
    <w:rsid w:val="003E2CC9"/>
    <w:rsid w:val="003E5042"/>
    <w:rsid w:val="003E66FA"/>
    <w:rsid w:val="003F0828"/>
    <w:rsid w:val="003F3824"/>
    <w:rsid w:val="003F4D9D"/>
    <w:rsid w:val="00402D87"/>
    <w:rsid w:val="00404B89"/>
    <w:rsid w:val="00405016"/>
    <w:rsid w:val="00425EF1"/>
    <w:rsid w:val="0042729F"/>
    <w:rsid w:val="00432EE6"/>
    <w:rsid w:val="00437DAB"/>
    <w:rsid w:val="00440F76"/>
    <w:rsid w:val="00446C54"/>
    <w:rsid w:val="00451591"/>
    <w:rsid w:val="004576CA"/>
    <w:rsid w:val="00460296"/>
    <w:rsid w:val="004953BD"/>
    <w:rsid w:val="00497784"/>
    <w:rsid w:val="004B11EA"/>
    <w:rsid w:val="004B1449"/>
    <w:rsid w:val="004B1A6E"/>
    <w:rsid w:val="004B2582"/>
    <w:rsid w:val="004B331B"/>
    <w:rsid w:val="004B389F"/>
    <w:rsid w:val="004C59D3"/>
    <w:rsid w:val="004C6D63"/>
    <w:rsid w:val="004C7046"/>
    <w:rsid w:val="004D3A9B"/>
    <w:rsid w:val="004D66EF"/>
    <w:rsid w:val="004E0893"/>
    <w:rsid w:val="004E16A9"/>
    <w:rsid w:val="004E1F50"/>
    <w:rsid w:val="004E5D61"/>
    <w:rsid w:val="004F46CD"/>
    <w:rsid w:val="004F5286"/>
    <w:rsid w:val="004F76FB"/>
    <w:rsid w:val="00503331"/>
    <w:rsid w:val="005042CF"/>
    <w:rsid w:val="00506D23"/>
    <w:rsid w:val="00510CB2"/>
    <w:rsid w:val="005114A5"/>
    <w:rsid w:val="005137C5"/>
    <w:rsid w:val="005171F8"/>
    <w:rsid w:val="005235BC"/>
    <w:rsid w:val="00523D79"/>
    <w:rsid w:val="00523E6D"/>
    <w:rsid w:val="005259A9"/>
    <w:rsid w:val="005271CD"/>
    <w:rsid w:val="00540D04"/>
    <w:rsid w:val="00542CDB"/>
    <w:rsid w:val="00542EE9"/>
    <w:rsid w:val="00542FCC"/>
    <w:rsid w:val="0054489E"/>
    <w:rsid w:val="00544B35"/>
    <w:rsid w:val="00547126"/>
    <w:rsid w:val="00555D59"/>
    <w:rsid w:val="00563439"/>
    <w:rsid w:val="00564BC5"/>
    <w:rsid w:val="00573158"/>
    <w:rsid w:val="005755E0"/>
    <w:rsid w:val="00581776"/>
    <w:rsid w:val="00585AF1"/>
    <w:rsid w:val="00590805"/>
    <w:rsid w:val="00596B07"/>
    <w:rsid w:val="005972F7"/>
    <w:rsid w:val="005A01F1"/>
    <w:rsid w:val="005A488C"/>
    <w:rsid w:val="005B0F53"/>
    <w:rsid w:val="005C1E38"/>
    <w:rsid w:val="005C5036"/>
    <w:rsid w:val="005D06C8"/>
    <w:rsid w:val="005D2010"/>
    <w:rsid w:val="005D315D"/>
    <w:rsid w:val="005E1275"/>
    <w:rsid w:val="005F1167"/>
    <w:rsid w:val="005F5A9C"/>
    <w:rsid w:val="005F6A2D"/>
    <w:rsid w:val="006054F1"/>
    <w:rsid w:val="00610AC9"/>
    <w:rsid w:val="006132ED"/>
    <w:rsid w:val="00614CD6"/>
    <w:rsid w:val="0064147F"/>
    <w:rsid w:val="00646A16"/>
    <w:rsid w:val="006508E2"/>
    <w:rsid w:val="0065288F"/>
    <w:rsid w:val="00661968"/>
    <w:rsid w:val="00664F65"/>
    <w:rsid w:val="00682049"/>
    <w:rsid w:val="00687A12"/>
    <w:rsid w:val="006938C1"/>
    <w:rsid w:val="00694247"/>
    <w:rsid w:val="0069635D"/>
    <w:rsid w:val="006B1FD4"/>
    <w:rsid w:val="006B62F6"/>
    <w:rsid w:val="006C09BC"/>
    <w:rsid w:val="006D0F51"/>
    <w:rsid w:val="006E38D1"/>
    <w:rsid w:val="006E54D1"/>
    <w:rsid w:val="006E7B19"/>
    <w:rsid w:val="006F2F09"/>
    <w:rsid w:val="006F45F1"/>
    <w:rsid w:val="00700C64"/>
    <w:rsid w:val="00702403"/>
    <w:rsid w:val="00704AAF"/>
    <w:rsid w:val="0070772C"/>
    <w:rsid w:val="007213F6"/>
    <w:rsid w:val="00721787"/>
    <w:rsid w:val="00723B6A"/>
    <w:rsid w:val="00724884"/>
    <w:rsid w:val="00737055"/>
    <w:rsid w:val="00741504"/>
    <w:rsid w:val="007444C0"/>
    <w:rsid w:val="00746E93"/>
    <w:rsid w:val="00761720"/>
    <w:rsid w:val="00766D4B"/>
    <w:rsid w:val="00767A6D"/>
    <w:rsid w:val="00770C3D"/>
    <w:rsid w:val="0077570F"/>
    <w:rsid w:val="007959BE"/>
    <w:rsid w:val="00795D07"/>
    <w:rsid w:val="00797F14"/>
    <w:rsid w:val="007A1B3F"/>
    <w:rsid w:val="007A4B4F"/>
    <w:rsid w:val="007A587D"/>
    <w:rsid w:val="007B0223"/>
    <w:rsid w:val="007B3EAF"/>
    <w:rsid w:val="007C3603"/>
    <w:rsid w:val="007D010E"/>
    <w:rsid w:val="007D0CF6"/>
    <w:rsid w:val="007D135A"/>
    <w:rsid w:val="007D3D80"/>
    <w:rsid w:val="007E1155"/>
    <w:rsid w:val="007E378B"/>
    <w:rsid w:val="00800022"/>
    <w:rsid w:val="00801910"/>
    <w:rsid w:val="00812930"/>
    <w:rsid w:val="008146CB"/>
    <w:rsid w:val="00821436"/>
    <w:rsid w:val="00825069"/>
    <w:rsid w:val="008251AC"/>
    <w:rsid w:val="008302CE"/>
    <w:rsid w:val="008360B8"/>
    <w:rsid w:val="00841AFF"/>
    <w:rsid w:val="00844276"/>
    <w:rsid w:val="008533E9"/>
    <w:rsid w:val="00856351"/>
    <w:rsid w:val="0086090C"/>
    <w:rsid w:val="00866A96"/>
    <w:rsid w:val="00881A8B"/>
    <w:rsid w:val="00891545"/>
    <w:rsid w:val="00894E73"/>
    <w:rsid w:val="00897130"/>
    <w:rsid w:val="008A33B5"/>
    <w:rsid w:val="008A39DD"/>
    <w:rsid w:val="008A6570"/>
    <w:rsid w:val="008B442D"/>
    <w:rsid w:val="008C0792"/>
    <w:rsid w:val="008C4A8C"/>
    <w:rsid w:val="008C59B6"/>
    <w:rsid w:val="008D03E8"/>
    <w:rsid w:val="008D296C"/>
    <w:rsid w:val="008E0994"/>
    <w:rsid w:val="008F27CF"/>
    <w:rsid w:val="008F6EF5"/>
    <w:rsid w:val="00906179"/>
    <w:rsid w:val="00912526"/>
    <w:rsid w:val="00922615"/>
    <w:rsid w:val="00925D76"/>
    <w:rsid w:val="0092772C"/>
    <w:rsid w:val="00934178"/>
    <w:rsid w:val="00935E8C"/>
    <w:rsid w:val="00941C88"/>
    <w:rsid w:val="00946A58"/>
    <w:rsid w:val="00951F72"/>
    <w:rsid w:val="00957ADF"/>
    <w:rsid w:val="00960E74"/>
    <w:rsid w:val="009665DC"/>
    <w:rsid w:val="00983235"/>
    <w:rsid w:val="00983830"/>
    <w:rsid w:val="009877FE"/>
    <w:rsid w:val="00991C8B"/>
    <w:rsid w:val="009A614B"/>
    <w:rsid w:val="009B212A"/>
    <w:rsid w:val="009B79E8"/>
    <w:rsid w:val="009D36DA"/>
    <w:rsid w:val="009E0B96"/>
    <w:rsid w:val="009E4A4F"/>
    <w:rsid w:val="009E6B66"/>
    <w:rsid w:val="009F55C1"/>
    <w:rsid w:val="00A00E04"/>
    <w:rsid w:val="00A0278F"/>
    <w:rsid w:val="00A045CA"/>
    <w:rsid w:val="00A063BD"/>
    <w:rsid w:val="00A069AC"/>
    <w:rsid w:val="00A353C8"/>
    <w:rsid w:val="00A372BD"/>
    <w:rsid w:val="00A4146B"/>
    <w:rsid w:val="00A46887"/>
    <w:rsid w:val="00A474D2"/>
    <w:rsid w:val="00A50D0D"/>
    <w:rsid w:val="00A61FB2"/>
    <w:rsid w:val="00A672F1"/>
    <w:rsid w:val="00A726ED"/>
    <w:rsid w:val="00A74FC2"/>
    <w:rsid w:val="00A77E99"/>
    <w:rsid w:val="00A84350"/>
    <w:rsid w:val="00A85379"/>
    <w:rsid w:val="00A90C15"/>
    <w:rsid w:val="00A910BB"/>
    <w:rsid w:val="00A93BB9"/>
    <w:rsid w:val="00A93EFE"/>
    <w:rsid w:val="00A95AC4"/>
    <w:rsid w:val="00AA036F"/>
    <w:rsid w:val="00AA04BC"/>
    <w:rsid w:val="00AA25FC"/>
    <w:rsid w:val="00AA2D26"/>
    <w:rsid w:val="00AA366A"/>
    <w:rsid w:val="00AA6D69"/>
    <w:rsid w:val="00AA7E6E"/>
    <w:rsid w:val="00AC42E9"/>
    <w:rsid w:val="00AE2B74"/>
    <w:rsid w:val="00AE70FE"/>
    <w:rsid w:val="00AF1B10"/>
    <w:rsid w:val="00B0349F"/>
    <w:rsid w:val="00B03512"/>
    <w:rsid w:val="00B07F76"/>
    <w:rsid w:val="00B10240"/>
    <w:rsid w:val="00B103C6"/>
    <w:rsid w:val="00B10542"/>
    <w:rsid w:val="00B12FFC"/>
    <w:rsid w:val="00B151DA"/>
    <w:rsid w:val="00B32FF2"/>
    <w:rsid w:val="00B33DE8"/>
    <w:rsid w:val="00B372D1"/>
    <w:rsid w:val="00B377E8"/>
    <w:rsid w:val="00B4181C"/>
    <w:rsid w:val="00B5216B"/>
    <w:rsid w:val="00B56AA5"/>
    <w:rsid w:val="00B577B1"/>
    <w:rsid w:val="00B618AA"/>
    <w:rsid w:val="00B61C3F"/>
    <w:rsid w:val="00B6640E"/>
    <w:rsid w:val="00B718CE"/>
    <w:rsid w:val="00B71BFE"/>
    <w:rsid w:val="00B7272B"/>
    <w:rsid w:val="00B73213"/>
    <w:rsid w:val="00B73A22"/>
    <w:rsid w:val="00B83D70"/>
    <w:rsid w:val="00B85102"/>
    <w:rsid w:val="00B864E5"/>
    <w:rsid w:val="00B9123A"/>
    <w:rsid w:val="00B92481"/>
    <w:rsid w:val="00B929E4"/>
    <w:rsid w:val="00B96537"/>
    <w:rsid w:val="00B967A3"/>
    <w:rsid w:val="00BA719B"/>
    <w:rsid w:val="00BB2A63"/>
    <w:rsid w:val="00BC4E8B"/>
    <w:rsid w:val="00BC624E"/>
    <w:rsid w:val="00BD3036"/>
    <w:rsid w:val="00BD660E"/>
    <w:rsid w:val="00BE084C"/>
    <w:rsid w:val="00BE372B"/>
    <w:rsid w:val="00BE6FCD"/>
    <w:rsid w:val="00BF4B38"/>
    <w:rsid w:val="00BF567C"/>
    <w:rsid w:val="00C00D3B"/>
    <w:rsid w:val="00C13E9B"/>
    <w:rsid w:val="00C14BB4"/>
    <w:rsid w:val="00C14FE3"/>
    <w:rsid w:val="00C222F3"/>
    <w:rsid w:val="00C26EC9"/>
    <w:rsid w:val="00C32A6C"/>
    <w:rsid w:val="00C44775"/>
    <w:rsid w:val="00C4782A"/>
    <w:rsid w:val="00C523D4"/>
    <w:rsid w:val="00C52791"/>
    <w:rsid w:val="00C631C9"/>
    <w:rsid w:val="00C66D17"/>
    <w:rsid w:val="00C71E33"/>
    <w:rsid w:val="00C73B1D"/>
    <w:rsid w:val="00C80057"/>
    <w:rsid w:val="00C82A09"/>
    <w:rsid w:val="00C853FD"/>
    <w:rsid w:val="00C869E6"/>
    <w:rsid w:val="00C87BFC"/>
    <w:rsid w:val="00C927D1"/>
    <w:rsid w:val="00C928B9"/>
    <w:rsid w:val="00C92CD2"/>
    <w:rsid w:val="00C93730"/>
    <w:rsid w:val="00C96762"/>
    <w:rsid w:val="00CA3E92"/>
    <w:rsid w:val="00CA4FC5"/>
    <w:rsid w:val="00CA52F3"/>
    <w:rsid w:val="00CB284F"/>
    <w:rsid w:val="00CB5929"/>
    <w:rsid w:val="00CB7542"/>
    <w:rsid w:val="00CB780B"/>
    <w:rsid w:val="00CC3140"/>
    <w:rsid w:val="00CC7D11"/>
    <w:rsid w:val="00CD61CB"/>
    <w:rsid w:val="00CD7D0D"/>
    <w:rsid w:val="00CE4558"/>
    <w:rsid w:val="00CE72D2"/>
    <w:rsid w:val="00CE76E0"/>
    <w:rsid w:val="00CF1F4A"/>
    <w:rsid w:val="00CF1FF3"/>
    <w:rsid w:val="00D02DFE"/>
    <w:rsid w:val="00D0593C"/>
    <w:rsid w:val="00D218E4"/>
    <w:rsid w:val="00D278B9"/>
    <w:rsid w:val="00D330A0"/>
    <w:rsid w:val="00D34CC1"/>
    <w:rsid w:val="00D4659B"/>
    <w:rsid w:val="00D4665D"/>
    <w:rsid w:val="00D57BEE"/>
    <w:rsid w:val="00D609B0"/>
    <w:rsid w:val="00D62842"/>
    <w:rsid w:val="00D747C8"/>
    <w:rsid w:val="00D76284"/>
    <w:rsid w:val="00D839A3"/>
    <w:rsid w:val="00D91CE7"/>
    <w:rsid w:val="00DA78A1"/>
    <w:rsid w:val="00DB1C73"/>
    <w:rsid w:val="00DB1D7D"/>
    <w:rsid w:val="00DC3B0C"/>
    <w:rsid w:val="00DC61BC"/>
    <w:rsid w:val="00DC6859"/>
    <w:rsid w:val="00DC68F7"/>
    <w:rsid w:val="00DD0A8A"/>
    <w:rsid w:val="00DD2DF4"/>
    <w:rsid w:val="00DE3971"/>
    <w:rsid w:val="00DE4FB6"/>
    <w:rsid w:val="00DE5577"/>
    <w:rsid w:val="00DE5A54"/>
    <w:rsid w:val="00DE78EB"/>
    <w:rsid w:val="00DE7D81"/>
    <w:rsid w:val="00DF0A7A"/>
    <w:rsid w:val="00E011DA"/>
    <w:rsid w:val="00E02043"/>
    <w:rsid w:val="00E02BB0"/>
    <w:rsid w:val="00E04A0F"/>
    <w:rsid w:val="00E067AD"/>
    <w:rsid w:val="00E067D0"/>
    <w:rsid w:val="00E1133A"/>
    <w:rsid w:val="00E11357"/>
    <w:rsid w:val="00E26353"/>
    <w:rsid w:val="00E2721C"/>
    <w:rsid w:val="00E42ED6"/>
    <w:rsid w:val="00E52387"/>
    <w:rsid w:val="00E54E31"/>
    <w:rsid w:val="00E56109"/>
    <w:rsid w:val="00E70484"/>
    <w:rsid w:val="00E75BB1"/>
    <w:rsid w:val="00E83BCF"/>
    <w:rsid w:val="00E85AF8"/>
    <w:rsid w:val="00E85C52"/>
    <w:rsid w:val="00E87A81"/>
    <w:rsid w:val="00E9449D"/>
    <w:rsid w:val="00EB0BAB"/>
    <w:rsid w:val="00EB25A3"/>
    <w:rsid w:val="00EB583C"/>
    <w:rsid w:val="00EB6EEB"/>
    <w:rsid w:val="00EC5B3C"/>
    <w:rsid w:val="00EC5C48"/>
    <w:rsid w:val="00EC6D04"/>
    <w:rsid w:val="00ED438D"/>
    <w:rsid w:val="00ED5CB1"/>
    <w:rsid w:val="00EE3E14"/>
    <w:rsid w:val="00EE4B98"/>
    <w:rsid w:val="00EF0FE3"/>
    <w:rsid w:val="00EF27D7"/>
    <w:rsid w:val="00EF2907"/>
    <w:rsid w:val="00EF41B9"/>
    <w:rsid w:val="00F02213"/>
    <w:rsid w:val="00F02337"/>
    <w:rsid w:val="00F237C0"/>
    <w:rsid w:val="00F42879"/>
    <w:rsid w:val="00F61538"/>
    <w:rsid w:val="00F651D8"/>
    <w:rsid w:val="00F654CF"/>
    <w:rsid w:val="00F667FD"/>
    <w:rsid w:val="00F6750C"/>
    <w:rsid w:val="00F71DD0"/>
    <w:rsid w:val="00F743A5"/>
    <w:rsid w:val="00F821BA"/>
    <w:rsid w:val="00F83C14"/>
    <w:rsid w:val="00F8672B"/>
    <w:rsid w:val="00F87E6B"/>
    <w:rsid w:val="00F93F37"/>
    <w:rsid w:val="00F95566"/>
    <w:rsid w:val="00F96361"/>
    <w:rsid w:val="00F9728E"/>
    <w:rsid w:val="00FA0DA6"/>
    <w:rsid w:val="00FA1CFF"/>
    <w:rsid w:val="00FB0795"/>
    <w:rsid w:val="00FB1EC3"/>
    <w:rsid w:val="00FB55D4"/>
    <w:rsid w:val="00FB6D7C"/>
    <w:rsid w:val="00FC7D3E"/>
    <w:rsid w:val="00FD094D"/>
    <w:rsid w:val="00FE1072"/>
    <w:rsid w:val="00FE22E9"/>
    <w:rsid w:val="00FF1934"/>
    <w:rsid w:val="00FF3553"/>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4568A9-F563-4506-B508-46740661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B6"/>
    <w:pPr>
      <w:spacing w:after="200" w:line="276" w:lineRule="auto"/>
    </w:pPr>
    <w:rPr>
      <w:rFonts w:cs="Calibri"/>
      <w:lang w:val="mk-MK"/>
    </w:rPr>
  </w:style>
  <w:style w:type="paragraph" w:styleId="Heading1">
    <w:name w:val="heading 1"/>
    <w:basedOn w:val="Normal"/>
    <w:next w:val="Normal"/>
    <w:link w:val="Heading1Char"/>
    <w:uiPriority w:val="99"/>
    <w:qFormat/>
    <w:rsid w:val="008C59B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8C59B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9"/>
    <w:qFormat/>
    <w:rsid w:val="008C59B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9B6"/>
    <w:rPr>
      <w:rFonts w:ascii="Cambria" w:hAnsi="Cambria" w:cs="Cambria"/>
      <w:b/>
      <w:bCs/>
      <w:color w:val="365F91"/>
      <w:sz w:val="28"/>
      <w:szCs w:val="28"/>
      <w:lang w:val="mk-MK"/>
    </w:rPr>
  </w:style>
  <w:style w:type="character" w:customStyle="1" w:styleId="Heading2Char">
    <w:name w:val="Heading 2 Char"/>
    <w:basedOn w:val="DefaultParagraphFont"/>
    <w:link w:val="Heading2"/>
    <w:uiPriority w:val="99"/>
    <w:locked/>
    <w:rsid w:val="008C59B6"/>
    <w:rPr>
      <w:rFonts w:ascii="Times New Roman" w:hAnsi="Times New Roman" w:cs="Times New Roman"/>
      <w:b/>
      <w:bCs/>
      <w:sz w:val="36"/>
      <w:szCs w:val="36"/>
      <w:lang w:val="mk-MK" w:eastAsia="mk-MK"/>
    </w:rPr>
  </w:style>
  <w:style w:type="character" w:customStyle="1" w:styleId="Heading3Char">
    <w:name w:val="Heading 3 Char"/>
    <w:basedOn w:val="DefaultParagraphFont"/>
    <w:link w:val="Heading3"/>
    <w:uiPriority w:val="99"/>
    <w:locked/>
    <w:rsid w:val="008C59B6"/>
    <w:rPr>
      <w:rFonts w:ascii="Times New Roman" w:hAnsi="Times New Roman" w:cs="Times New Roman"/>
      <w:b/>
      <w:bCs/>
      <w:sz w:val="27"/>
      <w:szCs w:val="27"/>
      <w:lang w:val="mk-MK" w:eastAsia="mk-MK"/>
    </w:rPr>
  </w:style>
  <w:style w:type="character" w:styleId="Hyperlink">
    <w:name w:val="Hyperlink"/>
    <w:basedOn w:val="DefaultParagraphFont"/>
    <w:uiPriority w:val="99"/>
    <w:rsid w:val="008C59B6"/>
    <w:rPr>
      <w:color w:val="0000FF"/>
      <w:u w:val="single"/>
    </w:rPr>
  </w:style>
  <w:style w:type="paragraph" w:customStyle="1" w:styleId="Default">
    <w:name w:val="Default"/>
    <w:uiPriority w:val="99"/>
    <w:rsid w:val="008C59B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8C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9B6"/>
    <w:rPr>
      <w:rFonts w:ascii="Tahoma" w:hAnsi="Tahoma" w:cs="Tahoma"/>
      <w:sz w:val="16"/>
      <w:szCs w:val="16"/>
      <w:lang w:val="mk-MK"/>
    </w:rPr>
  </w:style>
  <w:style w:type="table" w:styleId="TableGrid">
    <w:name w:val="Table Grid"/>
    <w:basedOn w:val="TableNormal"/>
    <w:uiPriority w:val="99"/>
    <w:rsid w:val="008C59B6"/>
    <w:rPr>
      <w:rFonts w:cs="Calibri"/>
      <w:sz w:val="20"/>
      <w:szCs w:val="20"/>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59B6"/>
    <w:rPr>
      <w:color w:val="808080"/>
    </w:rPr>
  </w:style>
  <w:style w:type="paragraph" w:styleId="ListParagraph">
    <w:name w:val="List Paragraph"/>
    <w:basedOn w:val="Normal"/>
    <w:uiPriority w:val="99"/>
    <w:qFormat/>
    <w:rsid w:val="008C59B6"/>
    <w:pPr>
      <w:ind w:left="720"/>
    </w:pPr>
  </w:style>
  <w:style w:type="character" w:customStyle="1" w:styleId="apple-converted-space">
    <w:name w:val="apple-converted-space"/>
    <w:basedOn w:val="DefaultParagraphFont"/>
    <w:uiPriority w:val="99"/>
    <w:rsid w:val="008C59B6"/>
  </w:style>
  <w:style w:type="paragraph" w:styleId="FootnoteText">
    <w:name w:val="footnote text"/>
    <w:basedOn w:val="Normal"/>
    <w:link w:val="FootnoteTextChar"/>
    <w:uiPriority w:val="99"/>
    <w:semiHidden/>
    <w:rsid w:val="008C59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59B6"/>
    <w:rPr>
      <w:sz w:val="20"/>
      <w:szCs w:val="20"/>
      <w:lang w:val="mk-MK"/>
    </w:rPr>
  </w:style>
  <w:style w:type="character" w:styleId="FootnoteReference">
    <w:name w:val="footnote reference"/>
    <w:basedOn w:val="DefaultParagraphFont"/>
    <w:uiPriority w:val="99"/>
    <w:semiHidden/>
    <w:rsid w:val="008C59B6"/>
    <w:rPr>
      <w:vertAlign w:val="superscript"/>
    </w:rPr>
  </w:style>
  <w:style w:type="paragraph" w:styleId="Caption">
    <w:name w:val="caption"/>
    <w:basedOn w:val="Normal"/>
    <w:next w:val="Normal"/>
    <w:uiPriority w:val="99"/>
    <w:qFormat/>
    <w:rsid w:val="00FF460F"/>
    <w:pPr>
      <w:spacing w:line="240" w:lineRule="auto"/>
    </w:pPr>
    <w:rPr>
      <w:b/>
      <w:bCs/>
      <w:color w:val="4F81BD"/>
      <w:sz w:val="18"/>
      <w:szCs w:val="18"/>
    </w:rPr>
  </w:style>
  <w:style w:type="paragraph" w:styleId="Header">
    <w:name w:val="header"/>
    <w:basedOn w:val="Normal"/>
    <w:link w:val="HeaderChar"/>
    <w:uiPriority w:val="99"/>
    <w:unhideWhenUsed/>
    <w:rsid w:val="0036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B9"/>
    <w:rPr>
      <w:rFonts w:cs="Calibri"/>
      <w:lang w:val="mk-MK"/>
    </w:rPr>
  </w:style>
  <w:style w:type="paragraph" w:styleId="Footer">
    <w:name w:val="footer"/>
    <w:basedOn w:val="Normal"/>
    <w:link w:val="FooterChar"/>
    <w:uiPriority w:val="99"/>
    <w:unhideWhenUsed/>
    <w:rsid w:val="0036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B9"/>
    <w:rPr>
      <w:rFonts w:cs="Calibri"/>
      <w:lang w:val="mk-MK"/>
    </w:rPr>
  </w:style>
  <w:style w:type="character" w:styleId="CommentReference">
    <w:name w:val="annotation reference"/>
    <w:basedOn w:val="DefaultParagraphFont"/>
    <w:uiPriority w:val="99"/>
    <w:semiHidden/>
    <w:unhideWhenUsed/>
    <w:rsid w:val="00542EE9"/>
    <w:rPr>
      <w:sz w:val="16"/>
      <w:szCs w:val="16"/>
    </w:rPr>
  </w:style>
  <w:style w:type="paragraph" w:styleId="CommentText">
    <w:name w:val="annotation text"/>
    <w:basedOn w:val="Normal"/>
    <w:link w:val="CommentTextChar"/>
    <w:uiPriority w:val="99"/>
    <w:semiHidden/>
    <w:unhideWhenUsed/>
    <w:rsid w:val="00542EE9"/>
    <w:pPr>
      <w:spacing w:line="240" w:lineRule="auto"/>
    </w:pPr>
    <w:rPr>
      <w:sz w:val="20"/>
      <w:szCs w:val="20"/>
    </w:rPr>
  </w:style>
  <w:style w:type="character" w:customStyle="1" w:styleId="CommentTextChar">
    <w:name w:val="Comment Text Char"/>
    <w:basedOn w:val="DefaultParagraphFont"/>
    <w:link w:val="CommentText"/>
    <w:uiPriority w:val="99"/>
    <w:semiHidden/>
    <w:rsid w:val="00542EE9"/>
    <w:rPr>
      <w:rFonts w:cs="Calibri"/>
      <w:sz w:val="20"/>
      <w:szCs w:val="20"/>
      <w:lang w:val="mk-MK"/>
    </w:rPr>
  </w:style>
  <w:style w:type="paragraph" w:styleId="CommentSubject">
    <w:name w:val="annotation subject"/>
    <w:basedOn w:val="CommentText"/>
    <w:next w:val="CommentText"/>
    <w:link w:val="CommentSubjectChar"/>
    <w:uiPriority w:val="99"/>
    <w:semiHidden/>
    <w:unhideWhenUsed/>
    <w:rsid w:val="00542EE9"/>
    <w:rPr>
      <w:b/>
      <w:bCs/>
    </w:rPr>
  </w:style>
  <w:style w:type="character" w:customStyle="1" w:styleId="CommentSubjectChar">
    <w:name w:val="Comment Subject Char"/>
    <w:basedOn w:val="CommentTextChar"/>
    <w:link w:val="CommentSubject"/>
    <w:uiPriority w:val="99"/>
    <w:semiHidden/>
    <w:rsid w:val="00542EE9"/>
    <w:rPr>
      <w:rFonts w:cs="Calibri"/>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114630855233654E-2"/>
          <c:y val="4.3650793650793676E-2"/>
          <c:w val="0.9264894657556737"/>
          <c:h val="0.72646975369097444"/>
        </c:manualLayout>
      </c:layout>
      <c:barChart>
        <c:barDir val="col"/>
        <c:grouping val="clustered"/>
        <c:varyColors val="0"/>
        <c:ser>
          <c:idx val="1"/>
          <c:order val="0"/>
          <c:tx>
            <c:strRef>
              <c:f>Sheet1!$C$1</c:f>
              <c:strCache>
                <c:ptCount val="1"/>
                <c:pt idx="0">
                  <c:v>CPI</c:v>
                </c:pt>
              </c:strCache>
            </c:strRef>
          </c:tx>
          <c:invertIfNegative val="0"/>
          <c:cat>
            <c:multiLvlStrRef>
              <c:f>Sheet1!$A$2:$B$193</c:f>
              <c:multiLvlStrCache>
                <c:ptCount val="192"/>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pt idx="47">
                    <c:v>2015</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pt idx="64">
                    <c:v>2000</c:v>
                  </c:pt>
                  <c:pt idx="65">
                    <c:v>2001</c:v>
                  </c:pt>
                  <c:pt idx="66">
                    <c:v>2002</c:v>
                  </c:pt>
                  <c:pt idx="67">
                    <c:v>2003</c:v>
                  </c:pt>
                  <c:pt idx="68">
                    <c:v>2004</c:v>
                  </c:pt>
                  <c:pt idx="69">
                    <c:v>2005</c:v>
                  </c:pt>
                  <c:pt idx="70">
                    <c:v>2006</c:v>
                  </c:pt>
                  <c:pt idx="71">
                    <c:v>2007</c:v>
                  </c:pt>
                  <c:pt idx="72">
                    <c:v>2008</c:v>
                  </c:pt>
                  <c:pt idx="73">
                    <c:v>2009</c:v>
                  </c:pt>
                  <c:pt idx="74">
                    <c:v>2010</c:v>
                  </c:pt>
                  <c:pt idx="75">
                    <c:v>2011</c:v>
                  </c:pt>
                  <c:pt idx="76">
                    <c:v>2012</c:v>
                  </c:pt>
                  <c:pt idx="77">
                    <c:v>2013</c:v>
                  </c:pt>
                  <c:pt idx="78">
                    <c:v>2014</c:v>
                  </c:pt>
                  <c:pt idx="79">
                    <c:v>2015</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2000</c:v>
                  </c:pt>
                  <c:pt idx="113">
                    <c:v>2001</c:v>
                  </c:pt>
                  <c:pt idx="114">
                    <c:v>2002</c:v>
                  </c:pt>
                  <c:pt idx="115">
                    <c:v>2003</c:v>
                  </c:pt>
                  <c:pt idx="116">
                    <c:v>2004</c:v>
                  </c:pt>
                  <c:pt idx="117">
                    <c:v>2005</c:v>
                  </c:pt>
                  <c:pt idx="118">
                    <c:v>2006</c:v>
                  </c:pt>
                  <c:pt idx="119">
                    <c:v>2007</c:v>
                  </c:pt>
                  <c:pt idx="120">
                    <c:v>2008</c:v>
                  </c:pt>
                  <c:pt idx="121">
                    <c:v>2009</c:v>
                  </c:pt>
                  <c:pt idx="122">
                    <c:v>2010</c:v>
                  </c:pt>
                  <c:pt idx="123">
                    <c:v>2011</c:v>
                  </c:pt>
                  <c:pt idx="124">
                    <c:v>2012</c:v>
                  </c:pt>
                  <c:pt idx="125">
                    <c:v>2013</c:v>
                  </c:pt>
                  <c:pt idx="126">
                    <c:v>2014</c:v>
                  </c:pt>
                  <c:pt idx="127">
                    <c:v>2015</c:v>
                  </c:pt>
                  <c:pt idx="128">
                    <c:v>2000</c:v>
                  </c:pt>
                  <c:pt idx="129">
                    <c:v>2001</c:v>
                  </c:pt>
                  <c:pt idx="130">
                    <c:v>2002</c:v>
                  </c:pt>
                  <c:pt idx="131">
                    <c:v>2003</c:v>
                  </c:pt>
                  <c:pt idx="132">
                    <c:v>2004</c:v>
                  </c:pt>
                  <c:pt idx="133">
                    <c:v>2005</c:v>
                  </c:pt>
                  <c:pt idx="134">
                    <c:v>2006</c:v>
                  </c:pt>
                  <c:pt idx="135">
                    <c:v>2007</c:v>
                  </c:pt>
                  <c:pt idx="136">
                    <c:v>2008</c:v>
                  </c:pt>
                  <c:pt idx="137">
                    <c:v>2009</c:v>
                  </c:pt>
                  <c:pt idx="138">
                    <c:v>2010</c:v>
                  </c:pt>
                  <c:pt idx="139">
                    <c:v>2011</c:v>
                  </c:pt>
                  <c:pt idx="140">
                    <c:v>2012</c:v>
                  </c:pt>
                  <c:pt idx="141">
                    <c:v>2013</c:v>
                  </c:pt>
                  <c:pt idx="142">
                    <c:v>2014</c:v>
                  </c:pt>
                  <c:pt idx="143">
                    <c:v>2015</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2000</c:v>
                  </c:pt>
                  <c:pt idx="161">
                    <c:v>2001</c:v>
                  </c:pt>
                  <c:pt idx="162">
                    <c:v>2002</c:v>
                  </c:pt>
                  <c:pt idx="163">
                    <c:v>2003</c:v>
                  </c:pt>
                  <c:pt idx="164">
                    <c:v>2004</c:v>
                  </c:pt>
                  <c:pt idx="165">
                    <c:v>2005</c:v>
                  </c:pt>
                  <c:pt idx="166">
                    <c:v>2006</c:v>
                  </c:pt>
                  <c:pt idx="167">
                    <c:v>2007</c:v>
                  </c:pt>
                  <c:pt idx="168">
                    <c:v>2008</c:v>
                  </c:pt>
                  <c:pt idx="169">
                    <c:v>2009</c:v>
                  </c:pt>
                  <c:pt idx="170">
                    <c:v>2010</c:v>
                  </c:pt>
                  <c:pt idx="171">
                    <c:v>2011</c:v>
                  </c:pt>
                  <c:pt idx="172">
                    <c:v>2012</c:v>
                  </c:pt>
                  <c:pt idx="173">
                    <c:v>2013</c:v>
                  </c:pt>
                  <c:pt idx="174">
                    <c:v>2014</c:v>
                  </c:pt>
                  <c:pt idx="175">
                    <c:v>2015</c:v>
                  </c:pt>
                  <c:pt idx="176">
                    <c:v>2000</c:v>
                  </c:pt>
                  <c:pt idx="177">
                    <c:v>2001</c:v>
                  </c:pt>
                  <c:pt idx="178">
                    <c:v>2002</c:v>
                  </c:pt>
                  <c:pt idx="179">
                    <c:v>2003</c:v>
                  </c:pt>
                  <c:pt idx="180">
                    <c:v>2004</c:v>
                  </c:pt>
                  <c:pt idx="181">
                    <c:v>2005</c:v>
                  </c:pt>
                  <c:pt idx="182">
                    <c:v>2006</c:v>
                  </c:pt>
                  <c:pt idx="183">
                    <c:v>2007</c:v>
                  </c:pt>
                  <c:pt idx="184">
                    <c:v>2008</c:v>
                  </c:pt>
                  <c:pt idx="185">
                    <c:v>2009</c:v>
                  </c:pt>
                  <c:pt idx="186">
                    <c:v>2010</c:v>
                  </c:pt>
                  <c:pt idx="187">
                    <c:v>2011</c:v>
                  </c:pt>
                  <c:pt idx="188">
                    <c:v>2012</c:v>
                  </c:pt>
                  <c:pt idx="189">
                    <c:v>2013</c:v>
                  </c:pt>
                  <c:pt idx="190">
                    <c:v>2014</c:v>
                  </c:pt>
                  <c:pt idx="191">
                    <c:v>2015</c:v>
                  </c:pt>
                </c:lvl>
                <c:lvl>
                  <c:pt idx="0">
                    <c:v>Albania</c:v>
                  </c:pt>
                  <c:pt idx="16">
                    <c:v>BiH</c:v>
                  </c:pt>
                  <c:pt idx="32">
                    <c:v>Bulgaria</c:v>
                  </c:pt>
                  <c:pt idx="48">
                    <c:v>Croatia</c:v>
                  </c:pt>
                  <c:pt idx="64">
                    <c:v>Cyprus</c:v>
                  </c:pt>
                  <c:pt idx="80">
                    <c:v>Greece</c:v>
                  </c:pt>
                  <c:pt idx="96">
                    <c:v>Macedonia</c:v>
                  </c:pt>
                  <c:pt idx="112">
                    <c:v>Moldova</c:v>
                  </c:pt>
                  <c:pt idx="128">
                    <c:v>Romania</c:v>
                  </c:pt>
                  <c:pt idx="144">
                    <c:v>Serbia</c:v>
                  </c:pt>
                  <c:pt idx="160">
                    <c:v>Slovenia</c:v>
                  </c:pt>
                  <c:pt idx="176">
                    <c:v>Turkey</c:v>
                  </c:pt>
                </c:lvl>
              </c:multiLvlStrCache>
            </c:multiLvlStrRef>
          </c:cat>
          <c:val>
            <c:numRef>
              <c:f>Sheet1!$C$2:$C$193</c:f>
              <c:numCache>
                <c:formatCode>0.0</c:formatCode>
                <c:ptCount val="192"/>
                <c:pt idx="0">
                  <c:v>74.153657089776004</c:v>
                </c:pt>
                <c:pt idx="1">
                  <c:v>76.458047439506956</c:v>
                </c:pt>
                <c:pt idx="2">
                  <c:v>82.399239768207167</c:v>
                </c:pt>
                <c:pt idx="3">
                  <c:v>82.798054240803793</c:v>
                </c:pt>
                <c:pt idx="4">
                  <c:v>84.685865749368602</c:v>
                </c:pt>
                <c:pt idx="5">
                  <c:v>86.690026168151263</c:v>
                </c:pt>
                <c:pt idx="6">
                  <c:v>88.74521116830536</c:v>
                </c:pt>
                <c:pt idx="7">
                  <c:v>91.347826429517767</c:v>
                </c:pt>
                <c:pt idx="8">
                  <c:v>94.416421362645195</c:v>
                </c:pt>
                <c:pt idx="9">
                  <c:v>96.569589949583403</c:v>
                </c:pt>
                <c:pt idx="10">
                  <c:v>100</c:v>
                </c:pt>
                <c:pt idx="11">
                  <c:v>103.45034715267991</c:v>
                </c:pt>
                <c:pt idx="12">
                  <c:v>105.552040205314</c:v>
                </c:pt>
                <c:pt idx="13">
                  <c:v>107.59723505970102</c:v>
                </c:pt>
                <c:pt idx="14">
                  <c:v>109.325625418385</c:v>
                </c:pt>
                <c:pt idx="15">
                  <c:v>111.41376342510209</c:v>
                </c:pt>
                <c:pt idx="16">
                  <c:v>97.52532093704157</c:v>
                </c:pt>
                <c:pt idx="17">
                  <c:v>97.52532093704157</c:v>
                </c:pt>
                <c:pt idx="18">
                  <c:v>97.52532093704157</c:v>
                </c:pt>
                <c:pt idx="19">
                  <c:v>97.52532093704157</c:v>
                </c:pt>
                <c:pt idx="20">
                  <c:v>97.52532093704157</c:v>
                </c:pt>
                <c:pt idx="21">
                  <c:v>84.943701962359299</c:v>
                </c:pt>
                <c:pt idx="22">
                  <c:v>90.146984725367545</c:v>
                </c:pt>
                <c:pt idx="23">
                  <c:v>91.499889978749707</c:v>
                </c:pt>
                <c:pt idx="24">
                  <c:v>98.295626412405682</c:v>
                </c:pt>
                <c:pt idx="25">
                  <c:v>97.920663578135049</c:v>
                </c:pt>
                <c:pt idx="26">
                  <c:v>100</c:v>
                </c:pt>
                <c:pt idx="27">
                  <c:v>103.67125025917802</c:v>
                </c:pt>
                <c:pt idx="28">
                  <c:v>105.79928359783204</c:v>
                </c:pt>
                <c:pt idx="29">
                  <c:v>105.700841930919</c:v>
                </c:pt>
                <c:pt idx="30">
                  <c:v>104.752500261881</c:v>
                </c:pt>
                <c:pt idx="31">
                  <c:v>103.68058359253493</c:v>
                </c:pt>
                <c:pt idx="32">
                  <c:v>56.101396844914603</c:v>
                </c:pt>
                <c:pt idx="33">
                  <c:v>60.230986597591198</c:v>
                </c:pt>
                <c:pt idx="34">
                  <c:v>63.730493445071112</c:v>
                </c:pt>
                <c:pt idx="35">
                  <c:v>65.227294387078743</c:v>
                </c:pt>
                <c:pt idx="36">
                  <c:v>69.236901452823389</c:v>
                </c:pt>
                <c:pt idx="37">
                  <c:v>72.72563680249138</c:v>
                </c:pt>
                <c:pt idx="38">
                  <c:v>78.006677737501434</c:v>
                </c:pt>
                <c:pt idx="39">
                  <c:v>84.561215504924107</c:v>
                </c:pt>
                <c:pt idx="40">
                  <c:v>95.003442897473235</c:v>
                </c:pt>
                <c:pt idx="41">
                  <c:v>97.619079814594315</c:v>
                </c:pt>
                <c:pt idx="42">
                  <c:v>100</c:v>
                </c:pt>
                <c:pt idx="43">
                  <c:v>104.21990346601908</c:v>
                </c:pt>
                <c:pt idx="44">
                  <c:v>107.29915169435505</c:v>
                </c:pt>
                <c:pt idx="45">
                  <c:v>108.25421451304102</c:v>
                </c:pt>
                <c:pt idx="46">
                  <c:v>106.71897077713298</c:v>
                </c:pt>
                <c:pt idx="47">
                  <c:v>106.60730723789393</c:v>
                </c:pt>
                <c:pt idx="48">
                  <c:v>75.814244810307827</c:v>
                </c:pt>
                <c:pt idx="49">
                  <c:v>78.677523264137548</c:v>
                </c:pt>
                <c:pt idx="50">
                  <c:v>79.992841803865488</c:v>
                </c:pt>
                <c:pt idx="51">
                  <c:v>81.406585540443899</c:v>
                </c:pt>
                <c:pt idx="52">
                  <c:v>83.079813886900482</c:v>
                </c:pt>
                <c:pt idx="53">
                  <c:v>85.835719398711589</c:v>
                </c:pt>
                <c:pt idx="54">
                  <c:v>88.573729420186183</c:v>
                </c:pt>
                <c:pt idx="55">
                  <c:v>91.141732283464535</c:v>
                </c:pt>
                <c:pt idx="56">
                  <c:v>96.680386542591179</c:v>
                </c:pt>
                <c:pt idx="57">
                  <c:v>98.979957050823188</c:v>
                </c:pt>
                <c:pt idx="58">
                  <c:v>100</c:v>
                </c:pt>
                <c:pt idx="59">
                  <c:v>102.25</c:v>
                </c:pt>
                <c:pt idx="60">
                  <c:v>105.75</c:v>
                </c:pt>
                <c:pt idx="61">
                  <c:v>108.08333333333296</c:v>
                </c:pt>
                <c:pt idx="62">
                  <c:v>107.85833333333292</c:v>
                </c:pt>
                <c:pt idx="63">
                  <c:v>107.31482686474504</c:v>
                </c:pt>
                <c:pt idx="64">
                  <c:v>77.365403201061</c:v>
                </c:pt>
                <c:pt idx="65">
                  <c:v>78.894960843063899</c:v>
                </c:pt>
                <c:pt idx="66">
                  <c:v>81.104931024340701</c:v>
                </c:pt>
                <c:pt idx="67">
                  <c:v>84.461917151412806</c:v>
                </c:pt>
                <c:pt idx="68">
                  <c:v>86.3928999173026</c:v>
                </c:pt>
                <c:pt idx="69">
                  <c:v>88.603220780755294</c:v>
                </c:pt>
                <c:pt idx="70">
                  <c:v>90.814646356501257</c:v>
                </c:pt>
                <c:pt idx="71">
                  <c:v>92.969217251334896</c:v>
                </c:pt>
                <c:pt idx="72">
                  <c:v>97.310109057615506</c:v>
                </c:pt>
                <c:pt idx="73">
                  <c:v>97.674126689950043</c:v>
                </c:pt>
                <c:pt idx="74">
                  <c:v>100</c:v>
                </c:pt>
                <c:pt idx="75">
                  <c:v>103.28975374898198</c:v>
                </c:pt>
                <c:pt idx="76">
                  <c:v>105.75709022173299</c:v>
                </c:pt>
                <c:pt idx="77">
                  <c:v>105.33474116352693</c:v>
                </c:pt>
                <c:pt idx="78">
                  <c:v>103.907467160884</c:v>
                </c:pt>
                <c:pt idx="79">
                  <c:v>101.72852997423099</c:v>
                </c:pt>
                <c:pt idx="80">
                  <c:v>72.201293408537936</c:v>
                </c:pt>
                <c:pt idx="81">
                  <c:v>74.63734121477134</c:v>
                </c:pt>
                <c:pt idx="82">
                  <c:v>77.346198234889357</c:v>
                </c:pt>
                <c:pt idx="83">
                  <c:v>80.077023240830243</c:v>
                </c:pt>
                <c:pt idx="84">
                  <c:v>82.398335195301257</c:v>
                </c:pt>
                <c:pt idx="85">
                  <c:v>85.319416774010406</c:v>
                </c:pt>
                <c:pt idx="86">
                  <c:v>88.04617749565918</c:v>
                </c:pt>
                <c:pt idx="87">
                  <c:v>90.595115632747905</c:v>
                </c:pt>
                <c:pt idx="88">
                  <c:v>94.357347282150059</c:v>
                </c:pt>
                <c:pt idx="89">
                  <c:v>95.499150933050501</c:v>
                </c:pt>
                <c:pt idx="90">
                  <c:v>100</c:v>
                </c:pt>
                <c:pt idx="91">
                  <c:v>103.32986406174705</c:v>
                </c:pt>
                <c:pt idx="92">
                  <c:v>104.88139086222796</c:v>
                </c:pt>
                <c:pt idx="93">
                  <c:v>103.91420739134712</c:v>
                </c:pt>
                <c:pt idx="94">
                  <c:v>102.551673391663</c:v>
                </c:pt>
                <c:pt idx="95">
                  <c:v>100.77133860668988</c:v>
                </c:pt>
                <c:pt idx="96">
                  <c:v>79.905959054990106</c:v>
                </c:pt>
                <c:pt idx="97">
                  <c:v>84.06017818011648</c:v>
                </c:pt>
                <c:pt idx="98">
                  <c:v>86.005833333333257</c:v>
                </c:pt>
                <c:pt idx="99">
                  <c:v>86.741666666666646</c:v>
                </c:pt>
                <c:pt idx="100">
                  <c:v>86.352499999999878</c:v>
                </c:pt>
                <c:pt idx="101">
                  <c:v>86.806296161340526</c:v>
                </c:pt>
                <c:pt idx="102">
                  <c:v>89.595928725608999</c:v>
                </c:pt>
                <c:pt idx="103">
                  <c:v>91.613412203179678</c:v>
                </c:pt>
                <c:pt idx="104">
                  <c:v>99.246547043517594</c:v>
                </c:pt>
                <c:pt idx="105">
                  <c:v>98.512485874418189</c:v>
                </c:pt>
                <c:pt idx="106">
                  <c:v>100</c:v>
                </c:pt>
                <c:pt idx="107">
                  <c:v>103.90475422069704</c:v>
                </c:pt>
                <c:pt idx="108">
                  <c:v>107.35029371118702</c:v>
                </c:pt>
                <c:pt idx="109">
                  <c:v>110.33933800334994</c:v>
                </c:pt>
                <c:pt idx="110">
                  <c:v>110.02926438236504</c:v>
                </c:pt>
                <c:pt idx="111">
                  <c:v>109.69776926351302</c:v>
                </c:pt>
                <c:pt idx="112">
                  <c:v>40.030245190851602</c:v>
                </c:pt>
                <c:pt idx="113">
                  <c:v>43.939063674799478</c:v>
                </c:pt>
                <c:pt idx="114">
                  <c:v>46.268380608726311</c:v>
                </c:pt>
                <c:pt idx="115">
                  <c:v>51.703101242279125</c:v>
                </c:pt>
                <c:pt idx="116">
                  <c:v>58.178540778187013</c:v>
                </c:pt>
                <c:pt idx="117">
                  <c:v>65.136219356752761</c:v>
                </c:pt>
                <c:pt idx="118">
                  <c:v>73.459166392460688</c:v>
                </c:pt>
                <c:pt idx="119">
                  <c:v>82.543984060540097</c:v>
                </c:pt>
                <c:pt idx="120">
                  <c:v>93.0956205548393</c:v>
                </c:pt>
                <c:pt idx="121">
                  <c:v>93.037232288027994</c:v>
                </c:pt>
                <c:pt idx="122">
                  <c:v>100</c:v>
                </c:pt>
                <c:pt idx="123">
                  <c:v>107.68725103356201</c:v>
                </c:pt>
                <c:pt idx="124">
                  <c:v>112.583073435548</c:v>
                </c:pt>
                <c:pt idx="125">
                  <c:v>117.75950689690896</c:v>
                </c:pt>
                <c:pt idx="126">
                  <c:v>123.75203566322401</c:v>
                </c:pt>
                <c:pt idx="127">
                  <c:v>135.72658004852599</c:v>
                </c:pt>
                <c:pt idx="128">
                  <c:v>31.982222053029272</c:v>
                </c:pt>
                <c:pt idx="129">
                  <c:v>43.008736699849599</c:v>
                </c:pt>
                <c:pt idx="130">
                  <c:v>52.7028570340903</c:v>
                </c:pt>
                <c:pt idx="131">
                  <c:v>60.752422102518203</c:v>
                </c:pt>
                <c:pt idx="132">
                  <c:v>67.966385594914101</c:v>
                </c:pt>
                <c:pt idx="133">
                  <c:v>74.093496012334157</c:v>
                </c:pt>
                <c:pt idx="134">
                  <c:v>78.95292841235694</c:v>
                </c:pt>
                <c:pt idx="135">
                  <c:v>82.772141538344357</c:v>
                </c:pt>
                <c:pt idx="136">
                  <c:v>89.27041894284028</c:v>
                </c:pt>
                <c:pt idx="137">
                  <c:v>94.258332223004615</c:v>
                </c:pt>
                <c:pt idx="138">
                  <c:v>100</c:v>
                </c:pt>
                <c:pt idx="139">
                  <c:v>105.78925328815905</c:v>
                </c:pt>
                <c:pt idx="140">
                  <c:v>109.31724308582508</c:v>
                </c:pt>
                <c:pt idx="141">
                  <c:v>113.673220777738</c:v>
                </c:pt>
                <c:pt idx="142">
                  <c:v>114.88760302263202</c:v>
                </c:pt>
                <c:pt idx="143">
                  <c:v>114.204990933389</c:v>
                </c:pt>
                <c:pt idx="144">
                  <c:v>19.7576882232953</c:v>
                </c:pt>
                <c:pt idx="145">
                  <c:v>38.528524534673011</c:v>
                </c:pt>
                <c:pt idx="146">
                  <c:v>46.038054584667996</c:v>
                </c:pt>
                <c:pt idx="147">
                  <c:v>50.584855216284495</c:v>
                </c:pt>
                <c:pt idx="148">
                  <c:v>56.162524832982321</c:v>
                </c:pt>
                <c:pt idx="149">
                  <c:v>65.215912967646005</c:v>
                </c:pt>
                <c:pt idx="150">
                  <c:v>72.861841602382881</c:v>
                </c:pt>
                <c:pt idx="151">
                  <c:v>77.518956627236904</c:v>
                </c:pt>
                <c:pt idx="152">
                  <c:v>87.139824082499189</c:v>
                </c:pt>
                <c:pt idx="153">
                  <c:v>94.212920837124656</c:v>
                </c:pt>
                <c:pt idx="154">
                  <c:v>100</c:v>
                </c:pt>
                <c:pt idx="155">
                  <c:v>111.137397634213</c:v>
                </c:pt>
                <c:pt idx="156">
                  <c:v>119.284197755535</c:v>
                </c:pt>
                <c:pt idx="157">
                  <c:v>128.46223839854409</c:v>
                </c:pt>
                <c:pt idx="158">
                  <c:v>131.13739763421299</c:v>
                </c:pt>
                <c:pt idx="159">
                  <c:v>132.96329996966901</c:v>
                </c:pt>
                <c:pt idx="160">
                  <c:v>66.535116761576802</c:v>
                </c:pt>
                <c:pt idx="161">
                  <c:v>72.110537235686124</c:v>
                </c:pt>
                <c:pt idx="162">
                  <c:v>77.504966229638526</c:v>
                </c:pt>
                <c:pt idx="163">
                  <c:v>81.801968834149989</c:v>
                </c:pt>
                <c:pt idx="164">
                  <c:v>84.741093894848461</c:v>
                </c:pt>
                <c:pt idx="165">
                  <c:v>86.818522932944859</c:v>
                </c:pt>
                <c:pt idx="166">
                  <c:v>88.952456628261203</c:v>
                </c:pt>
                <c:pt idx="167">
                  <c:v>92.205888844744536</c:v>
                </c:pt>
                <c:pt idx="168">
                  <c:v>97.4131461616563</c:v>
                </c:pt>
                <c:pt idx="169">
                  <c:v>98.230697920805227</c:v>
                </c:pt>
                <c:pt idx="170">
                  <c:v>100</c:v>
                </c:pt>
                <c:pt idx="171">
                  <c:v>101.80285171941895</c:v>
                </c:pt>
                <c:pt idx="172">
                  <c:v>104.44709310025205</c:v>
                </c:pt>
                <c:pt idx="173">
                  <c:v>106.29497196839304</c:v>
                </c:pt>
                <c:pt idx="174">
                  <c:v>106.50686443296702</c:v>
                </c:pt>
                <c:pt idx="175">
                  <c:v>105.94711517238299</c:v>
                </c:pt>
                <c:pt idx="176">
                  <c:v>20.594826233183881</c:v>
                </c:pt>
                <c:pt idx="177">
                  <c:v>31.798450579222685</c:v>
                </c:pt>
                <c:pt idx="178">
                  <c:v>46.096344357249578</c:v>
                </c:pt>
                <c:pt idx="179">
                  <c:v>56.054278774289998</c:v>
                </c:pt>
                <c:pt idx="180">
                  <c:v>60.873972346786211</c:v>
                </c:pt>
                <c:pt idx="181">
                  <c:v>65.852952167413918</c:v>
                </c:pt>
                <c:pt idx="182">
                  <c:v>72.173019431988081</c:v>
                </c:pt>
                <c:pt idx="183">
                  <c:v>78.492619581464893</c:v>
                </c:pt>
                <c:pt idx="184">
                  <c:v>86.690489536621683</c:v>
                </c:pt>
                <c:pt idx="185">
                  <c:v>92.109491778774256</c:v>
                </c:pt>
                <c:pt idx="186">
                  <c:v>100</c:v>
                </c:pt>
                <c:pt idx="187">
                  <c:v>106.471879671151</c:v>
                </c:pt>
                <c:pt idx="188">
                  <c:v>115.938901345291</c:v>
                </c:pt>
                <c:pt idx="189">
                  <c:v>124.62630792227201</c:v>
                </c:pt>
                <c:pt idx="190">
                  <c:v>135.66143497757801</c:v>
                </c:pt>
                <c:pt idx="191">
                  <c:v>146.06782511210798</c:v>
                </c:pt>
              </c:numCache>
            </c:numRef>
          </c:val>
        </c:ser>
        <c:dLbls>
          <c:showLegendKey val="0"/>
          <c:showVal val="0"/>
          <c:showCatName val="0"/>
          <c:showSerName val="0"/>
          <c:showPercent val="0"/>
          <c:showBubbleSize val="0"/>
        </c:dLbls>
        <c:gapWidth val="150"/>
        <c:axId val="964424576"/>
        <c:axId val="964423488"/>
      </c:barChart>
      <c:catAx>
        <c:axId val="964424576"/>
        <c:scaling>
          <c:orientation val="minMax"/>
        </c:scaling>
        <c:delete val="0"/>
        <c:axPos val="b"/>
        <c:numFmt formatCode="General" sourceLinked="0"/>
        <c:majorTickMark val="none"/>
        <c:minorTickMark val="none"/>
        <c:tickLblPos val="nextTo"/>
        <c:txPr>
          <a:bodyPr rot="-5400000" vert="horz"/>
          <a:lstStyle/>
          <a:p>
            <a:pPr>
              <a:defRPr sz="700"/>
            </a:pPr>
            <a:endParaRPr lang="en-US"/>
          </a:p>
        </c:txPr>
        <c:crossAx val="964423488"/>
        <c:crosses val="autoZero"/>
        <c:auto val="1"/>
        <c:lblAlgn val="ctr"/>
        <c:lblOffset val="100"/>
        <c:noMultiLvlLbl val="0"/>
      </c:catAx>
      <c:valAx>
        <c:axId val="964423488"/>
        <c:scaling>
          <c:orientation val="minMax"/>
        </c:scaling>
        <c:delete val="0"/>
        <c:axPos val="l"/>
        <c:majorGridlines/>
        <c:numFmt formatCode="0" sourceLinked="0"/>
        <c:majorTickMark val="out"/>
        <c:minorTickMark val="none"/>
        <c:tickLblPos val="nextTo"/>
        <c:txPr>
          <a:bodyPr/>
          <a:lstStyle/>
          <a:p>
            <a:pPr>
              <a:defRPr sz="900"/>
            </a:pPr>
            <a:endParaRPr lang="en-US"/>
          </a:p>
        </c:txPr>
        <c:crossAx val="96442457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114630855233724E-2"/>
          <c:y val="4.3650793650793697E-2"/>
          <c:w val="0.92648946575567359"/>
          <c:h val="0.72646975369097466"/>
        </c:manualLayout>
      </c:layout>
      <c:barChart>
        <c:barDir val="col"/>
        <c:grouping val="clustered"/>
        <c:varyColors val="0"/>
        <c:ser>
          <c:idx val="1"/>
          <c:order val="0"/>
          <c:tx>
            <c:strRef>
              <c:f>Sheet1!$C$1</c:f>
              <c:strCache>
                <c:ptCount val="1"/>
                <c:pt idx="0">
                  <c:v>Employment</c:v>
                </c:pt>
              </c:strCache>
            </c:strRef>
          </c:tx>
          <c:invertIfNegative val="0"/>
          <c:cat>
            <c:multiLvlStrRef>
              <c:f>Sheet1!$A$2:$B$193</c:f>
              <c:multiLvlStrCache>
                <c:ptCount val="192"/>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pt idx="47">
                    <c:v>2015</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pt idx="64">
                    <c:v>2000</c:v>
                  </c:pt>
                  <c:pt idx="65">
                    <c:v>2001</c:v>
                  </c:pt>
                  <c:pt idx="66">
                    <c:v>2002</c:v>
                  </c:pt>
                  <c:pt idx="67">
                    <c:v>2003</c:v>
                  </c:pt>
                  <c:pt idx="68">
                    <c:v>2004</c:v>
                  </c:pt>
                  <c:pt idx="69">
                    <c:v>2005</c:v>
                  </c:pt>
                  <c:pt idx="70">
                    <c:v>2006</c:v>
                  </c:pt>
                  <c:pt idx="71">
                    <c:v>2007</c:v>
                  </c:pt>
                  <c:pt idx="72">
                    <c:v>2008</c:v>
                  </c:pt>
                  <c:pt idx="73">
                    <c:v>2009</c:v>
                  </c:pt>
                  <c:pt idx="74">
                    <c:v>2010</c:v>
                  </c:pt>
                  <c:pt idx="75">
                    <c:v>2011</c:v>
                  </c:pt>
                  <c:pt idx="76">
                    <c:v>2012</c:v>
                  </c:pt>
                  <c:pt idx="77">
                    <c:v>2013</c:v>
                  </c:pt>
                  <c:pt idx="78">
                    <c:v>2014</c:v>
                  </c:pt>
                  <c:pt idx="79">
                    <c:v>2015</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2000</c:v>
                  </c:pt>
                  <c:pt idx="113">
                    <c:v>2001</c:v>
                  </c:pt>
                  <c:pt idx="114">
                    <c:v>2002</c:v>
                  </c:pt>
                  <c:pt idx="115">
                    <c:v>2003</c:v>
                  </c:pt>
                  <c:pt idx="116">
                    <c:v>2004</c:v>
                  </c:pt>
                  <c:pt idx="117">
                    <c:v>2005</c:v>
                  </c:pt>
                  <c:pt idx="118">
                    <c:v>2006</c:v>
                  </c:pt>
                  <c:pt idx="119">
                    <c:v>2007</c:v>
                  </c:pt>
                  <c:pt idx="120">
                    <c:v>2008</c:v>
                  </c:pt>
                  <c:pt idx="121">
                    <c:v>2009</c:v>
                  </c:pt>
                  <c:pt idx="122">
                    <c:v>2010</c:v>
                  </c:pt>
                  <c:pt idx="123">
                    <c:v>2011</c:v>
                  </c:pt>
                  <c:pt idx="124">
                    <c:v>2012</c:v>
                  </c:pt>
                  <c:pt idx="125">
                    <c:v>2013</c:v>
                  </c:pt>
                  <c:pt idx="126">
                    <c:v>2014</c:v>
                  </c:pt>
                  <c:pt idx="127">
                    <c:v>2015</c:v>
                  </c:pt>
                  <c:pt idx="128">
                    <c:v>2000</c:v>
                  </c:pt>
                  <c:pt idx="129">
                    <c:v>2001</c:v>
                  </c:pt>
                  <c:pt idx="130">
                    <c:v>2002</c:v>
                  </c:pt>
                  <c:pt idx="131">
                    <c:v>2003</c:v>
                  </c:pt>
                  <c:pt idx="132">
                    <c:v>2004</c:v>
                  </c:pt>
                  <c:pt idx="133">
                    <c:v>2005</c:v>
                  </c:pt>
                  <c:pt idx="134">
                    <c:v>2006</c:v>
                  </c:pt>
                  <c:pt idx="135">
                    <c:v>2007</c:v>
                  </c:pt>
                  <c:pt idx="136">
                    <c:v>2008</c:v>
                  </c:pt>
                  <c:pt idx="137">
                    <c:v>2009</c:v>
                  </c:pt>
                  <c:pt idx="138">
                    <c:v>2010</c:v>
                  </c:pt>
                  <c:pt idx="139">
                    <c:v>2011</c:v>
                  </c:pt>
                  <c:pt idx="140">
                    <c:v>2012</c:v>
                  </c:pt>
                  <c:pt idx="141">
                    <c:v>2013</c:v>
                  </c:pt>
                  <c:pt idx="142">
                    <c:v>2014</c:v>
                  </c:pt>
                  <c:pt idx="143">
                    <c:v>2015</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2000</c:v>
                  </c:pt>
                  <c:pt idx="161">
                    <c:v>2001</c:v>
                  </c:pt>
                  <c:pt idx="162">
                    <c:v>2002</c:v>
                  </c:pt>
                  <c:pt idx="163">
                    <c:v>2003</c:v>
                  </c:pt>
                  <c:pt idx="164">
                    <c:v>2004</c:v>
                  </c:pt>
                  <c:pt idx="165">
                    <c:v>2005</c:v>
                  </c:pt>
                  <c:pt idx="166">
                    <c:v>2006</c:v>
                  </c:pt>
                  <c:pt idx="167">
                    <c:v>2007</c:v>
                  </c:pt>
                  <c:pt idx="168">
                    <c:v>2008</c:v>
                  </c:pt>
                  <c:pt idx="169">
                    <c:v>2009</c:v>
                  </c:pt>
                  <c:pt idx="170">
                    <c:v>2010</c:v>
                  </c:pt>
                  <c:pt idx="171">
                    <c:v>2011</c:v>
                  </c:pt>
                  <c:pt idx="172">
                    <c:v>2012</c:v>
                  </c:pt>
                  <c:pt idx="173">
                    <c:v>2013</c:v>
                  </c:pt>
                  <c:pt idx="174">
                    <c:v>2014</c:v>
                  </c:pt>
                  <c:pt idx="175">
                    <c:v>2015</c:v>
                  </c:pt>
                  <c:pt idx="176">
                    <c:v>2000</c:v>
                  </c:pt>
                  <c:pt idx="177">
                    <c:v>2001</c:v>
                  </c:pt>
                  <c:pt idx="178">
                    <c:v>2002</c:v>
                  </c:pt>
                  <c:pt idx="179">
                    <c:v>2003</c:v>
                  </c:pt>
                  <c:pt idx="180">
                    <c:v>2004</c:v>
                  </c:pt>
                  <c:pt idx="181">
                    <c:v>2005</c:v>
                  </c:pt>
                  <c:pt idx="182">
                    <c:v>2006</c:v>
                  </c:pt>
                  <c:pt idx="183">
                    <c:v>2007</c:v>
                  </c:pt>
                  <c:pt idx="184">
                    <c:v>2008</c:v>
                  </c:pt>
                  <c:pt idx="185">
                    <c:v>2009</c:v>
                  </c:pt>
                  <c:pt idx="186">
                    <c:v>2010</c:v>
                  </c:pt>
                  <c:pt idx="187">
                    <c:v>2011</c:v>
                  </c:pt>
                  <c:pt idx="188">
                    <c:v>2012</c:v>
                  </c:pt>
                  <c:pt idx="189">
                    <c:v>2013</c:v>
                  </c:pt>
                  <c:pt idx="190">
                    <c:v>2014</c:v>
                  </c:pt>
                  <c:pt idx="191">
                    <c:v>2015</c:v>
                  </c:pt>
                </c:lvl>
                <c:lvl>
                  <c:pt idx="0">
                    <c:v>Albania</c:v>
                  </c:pt>
                  <c:pt idx="16">
                    <c:v>BiH</c:v>
                  </c:pt>
                  <c:pt idx="32">
                    <c:v>Bulgaria</c:v>
                  </c:pt>
                  <c:pt idx="48">
                    <c:v>Croatia</c:v>
                  </c:pt>
                  <c:pt idx="64">
                    <c:v>Cyprus</c:v>
                  </c:pt>
                  <c:pt idx="80">
                    <c:v>Greece</c:v>
                  </c:pt>
                  <c:pt idx="96">
                    <c:v>Macedonia</c:v>
                  </c:pt>
                  <c:pt idx="112">
                    <c:v>Moldova</c:v>
                  </c:pt>
                  <c:pt idx="128">
                    <c:v>Romania</c:v>
                  </c:pt>
                  <c:pt idx="144">
                    <c:v>Serbia</c:v>
                  </c:pt>
                  <c:pt idx="160">
                    <c:v>Slovenia</c:v>
                  </c:pt>
                  <c:pt idx="176">
                    <c:v>Turkey</c:v>
                  </c:pt>
                </c:lvl>
              </c:multiLvlStrCache>
            </c:multiLvlStrRef>
          </c:cat>
          <c:val>
            <c:numRef>
              <c:f>Sheet1!$C$2:$C$193</c:f>
              <c:numCache>
                <c:formatCode>0.0</c:formatCode>
                <c:ptCount val="192"/>
                <c:pt idx="0">
                  <c:v>48.450000762939496</c:v>
                </c:pt>
                <c:pt idx="1">
                  <c:v>48.034999847412095</c:v>
                </c:pt>
                <c:pt idx="2">
                  <c:v>48.412998199462898</c:v>
                </c:pt>
                <c:pt idx="3">
                  <c:v>48.215000152587912</c:v>
                </c:pt>
                <c:pt idx="4">
                  <c:v>47.993999481201165</c:v>
                </c:pt>
                <c:pt idx="5">
                  <c:v>47.791000366210902</c:v>
                </c:pt>
                <c:pt idx="6">
                  <c:v>47.742000579833999</c:v>
                </c:pt>
                <c:pt idx="7">
                  <c:v>48.373001098632763</c:v>
                </c:pt>
                <c:pt idx="8">
                  <c:v>47.870998382568402</c:v>
                </c:pt>
                <c:pt idx="9">
                  <c:v>47.029998779296896</c:v>
                </c:pt>
                <c:pt idx="10">
                  <c:v>46.563999176025412</c:v>
                </c:pt>
                <c:pt idx="11">
                  <c:v>47.925998687744098</c:v>
                </c:pt>
                <c:pt idx="12">
                  <c:v>49.722999572753913</c:v>
                </c:pt>
                <c:pt idx="13">
                  <c:v>45.261001586914098</c:v>
                </c:pt>
                <c:pt idx="14">
                  <c:v>44.851001739501974</c:v>
                </c:pt>
                <c:pt idx="15">
                  <c:v>46.808998107910199</c:v>
                </c:pt>
                <c:pt idx="16">
                  <c:v>36.900001525878899</c:v>
                </c:pt>
                <c:pt idx="17">
                  <c:v>36.285999298095746</c:v>
                </c:pt>
                <c:pt idx="18">
                  <c:v>35.825000762939503</c:v>
                </c:pt>
                <c:pt idx="19">
                  <c:v>35.255001068115199</c:v>
                </c:pt>
                <c:pt idx="20">
                  <c:v>34.8289985656738</c:v>
                </c:pt>
                <c:pt idx="21">
                  <c:v>34.305999755859396</c:v>
                </c:pt>
                <c:pt idx="22">
                  <c:v>33.556999206542997</c:v>
                </c:pt>
                <c:pt idx="23">
                  <c:v>34.520000457763636</c:v>
                </c:pt>
                <c:pt idx="24">
                  <c:v>37.173000335693395</c:v>
                </c:pt>
                <c:pt idx="25">
                  <c:v>36.741001129150398</c:v>
                </c:pt>
                <c:pt idx="26">
                  <c:v>35.0989990234375</c:v>
                </c:pt>
                <c:pt idx="27">
                  <c:v>34.729000091552699</c:v>
                </c:pt>
                <c:pt idx="28">
                  <c:v>34.291999816894503</c:v>
                </c:pt>
                <c:pt idx="29">
                  <c:v>34.326000213622997</c:v>
                </c:pt>
                <c:pt idx="30">
                  <c:v>34.029998779296896</c:v>
                </c:pt>
                <c:pt idx="31">
                  <c:v>34.469001770019496</c:v>
                </c:pt>
                <c:pt idx="32">
                  <c:v>41.789001464843764</c:v>
                </c:pt>
                <c:pt idx="33">
                  <c:v>41.359001159667912</c:v>
                </c:pt>
                <c:pt idx="34">
                  <c:v>41.898998260498011</c:v>
                </c:pt>
                <c:pt idx="35">
                  <c:v>43.374000549316328</c:v>
                </c:pt>
                <c:pt idx="36">
                  <c:v>44.925998687744098</c:v>
                </c:pt>
                <c:pt idx="37">
                  <c:v>45.299999237060511</c:v>
                </c:pt>
                <c:pt idx="38">
                  <c:v>47.643001556396428</c:v>
                </c:pt>
                <c:pt idx="39">
                  <c:v>50.092998504638736</c:v>
                </c:pt>
                <c:pt idx="40">
                  <c:v>52.036998748779354</c:v>
                </c:pt>
                <c:pt idx="41">
                  <c:v>50.625000000000036</c:v>
                </c:pt>
                <c:pt idx="42">
                  <c:v>47.917999267578097</c:v>
                </c:pt>
                <c:pt idx="43">
                  <c:v>46.618000030517599</c:v>
                </c:pt>
                <c:pt idx="44">
                  <c:v>46.560001373290994</c:v>
                </c:pt>
                <c:pt idx="45">
                  <c:v>46.891998291015597</c:v>
                </c:pt>
                <c:pt idx="46">
                  <c:v>47.966999053955099</c:v>
                </c:pt>
                <c:pt idx="47">
                  <c:v>49.228000640869155</c:v>
                </c:pt>
                <c:pt idx="48">
                  <c:v>45.029998779296896</c:v>
                </c:pt>
                <c:pt idx="49">
                  <c:v>44.859001159667912</c:v>
                </c:pt>
                <c:pt idx="50">
                  <c:v>44.421001434326165</c:v>
                </c:pt>
                <c:pt idx="51">
                  <c:v>45.044998168945298</c:v>
                </c:pt>
                <c:pt idx="52">
                  <c:v>46.182998657226563</c:v>
                </c:pt>
                <c:pt idx="53">
                  <c:v>46.582000732421946</c:v>
                </c:pt>
                <c:pt idx="54">
                  <c:v>46.851001739501974</c:v>
                </c:pt>
                <c:pt idx="55">
                  <c:v>47.8429985046387</c:v>
                </c:pt>
                <c:pt idx="56">
                  <c:v>48.738998413085938</c:v>
                </c:pt>
                <c:pt idx="57">
                  <c:v>48.366001129150398</c:v>
                </c:pt>
                <c:pt idx="58">
                  <c:v>46.557998657226527</c:v>
                </c:pt>
                <c:pt idx="59">
                  <c:v>44.785999298095746</c:v>
                </c:pt>
                <c:pt idx="60">
                  <c:v>43.222999572753913</c:v>
                </c:pt>
                <c:pt idx="61">
                  <c:v>42.097000122070312</c:v>
                </c:pt>
                <c:pt idx="62">
                  <c:v>43.358001708984396</c:v>
                </c:pt>
                <c:pt idx="63">
                  <c:v>44.333000183105497</c:v>
                </c:pt>
                <c:pt idx="64">
                  <c:v>57.775001525878913</c:v>
                </c:pt>
                <c:pt idx="65">
                  <c:v>59.615001678466797</c:v>
                </c:pt>
                <c:pt idx="66">
                  <c:v>59.969001770019496</c:v>
                </c:pt>
                <c:pt idx="67">
                  <c:v>60.450000762939496</c:v>
                </c:pt>
                <c:pt idx="68">
                  <c:v>60.694000244140611</c:v>
                </c:pt>
                <c:pt idx="69">
                  <c:v>59.672000885009837</c:v>
                </c:pt>
                <c:pt idx="70">
                  <c:v>60.368999481201165</c:v>
                </c:pt>
                <c:pt idx="71">
                  <c:v>61.069000244140611</c:v>
                </c:pt>
                <c:pt idx="72">
                  <c:v>61.097000122070313</c:v>
                </c:pt>
                <c:pt idx="73">
                  <c:v>60.179000854492195</c:v>
                </c:pt>
                <c:pt idx="74">
                  <c:v>60.035999298095746</c:v>
                </c:pt>
                <c:pt idx="75">
                  <c:v>58.222000122070362</c:v>
                </c:pt>
                <c:pt idx="76">
                  <c:v>55.430999755859396</c:v>
                </c:pt>
                <c:pt idx="77">
                  <c:v>52.741001129150398</c:v>
                </c:pt>
                <c:pt idx="78">
                  <c:v>53.076000213622997</c:v>
                </c:pt>
                <c:pt idx="79">
                  <c:v>53.292999267578146</c:v>
                </c:pt>
                <c:pt idx="80">
                  <c:v>47.359001159667912</c:v>
                </c:pt>
                <c:pt idx="81">
                  <c:v>46.879001617431562</c:v>
                </c:pt>
                <c:pt idx="82">
                  <c:v>47.422000885009837</c:v>
                </c:pt>
                <c:pt idx="83">
                  <c:v>48.043998718261697</c:v>
                </c:pt>
                <c:pt idx="84">
                  <c:v>48.291999816894503</c:v>
                </c:pt>
                <c:pt idx="85">
                  <c:v>48.283000946044936</c:v>
                </c:pt>
                <c:pt idx="86">
                  <c:v>49.049999237060497</c:v>
                </c:pt>
                <c:pt idx="87">
                  <c:v>49.300998687744062</c:v>
                </c:pt>
                <c:pt idx="88">
                  <c:v>49.641998291015597</c:v>
                </c:pt>
                <c:pt idx="89">
                  <c:v>49.046001434326165</c:v>
                </c:pt>
                <c:pt idx="90">
                  <c:v>47.492000579833999</c:v>
                </c:pt>
                <c:pt idx="91">
                  <c:v>44.208000183105511</c:v>
                </c:pt>
                <c:pt idx="92">
                  <c:v>40.507999420165994</c:v>
                </c:pt>
                <c:pt idx="93">
                  <c:v>38.687999725341797</c:v>
                </c:pt>
                <c:pt idx="94">
                  <c:v>38.946998596191399</c:v>
                </c:pt>
                <c:pt idx="95">
                  <c:v>39.868000030517599</c:v>
                </c:pt>
                <c:pt idx="96">
                  <c:v>36.018001556396428</c:v>
                </c:pt>
                <c:pt idx="97">
                  <c:v>36.953998565673764</c:v>
                </c:pt>
                <c:pt idx="98">
                  <c:v>36.2560005187988</c:v>
                </c:pt>
                <c:pt idx="99">
                  <c:v>33.902000427246037</c:v>
                </c:pt>
                <c:pt idx="100">
                  <c:v>32.179000854492195</c:v>
                </c:pt>
                <c:pt idx="101">
                  <c:v>33.155998229980511</c:v>
                </c:pt>
                <c:pt idx="102">
                  <c:v>34.528999328613303</c:v>
                </c:pt>
                <c:pt idx="103">
                  <c:v>35.430000305175845</c:v>
                </c:pt>
                <c:pt idx="104">
                  <c:v>36.458000183105497</c:v>
                </c:pt>
                <c:pt idx="105">
                  <c:v>37.569999694824212</c:v>
                </c:pt>
                <c:pt idx="106">
                  <c:v>37.816001892089801</c:v>
                </c:pt>
                <c:pt idx="107">
                  <c:v>38.058998107910199</c:v>
                </c:pt>
                <c:pt idx="108">
                  <c:v>38.025001525878913</c:v>
                </c:pt>
                <c:pt idx="109">
                  <c:v>39.583999633789098</c:v>
                </c:pt>
                <c:pt idx="110">
                  <c:v>40.219001770019496</c:v>
                </c:pt>
                <c:pt idx="111">
                  <c:v>41.042999267578111</c:v>
                </c:pt>
                <c:pt idx="112">
                  <c:v>46.567001342773402</c:v>
                </c:pt>
                <c:pt idx="113">
                  <c:v>46.860000610351598</c:v>
                </c:pt>
                <c:pt idx="114">
                  <c:v>46.789001464843764</c:v>
                </c:pt>
                <c:pt idx="115">
                  <c:v>46.0060005187988</c:v>
                </c:pt>
                <c:pt idx="116">
                  <c:v>45.758998870849602</c:v>
                </c:pt>
                <c:pt idx="117">
                  <c:v>44.951000213622947</c:v>
                </c:pt>
                <c:pt idx="118">
                  <c:v>43.623001098632798</c:v>
                </c:pt>
                <c:pt idx="119">
                  <c:v>43.402999877929737</c:v>
                </c:pt>
                <c:pt idx="120">
                  <c:v>42.568000793457003</c:v>
                </c:pt>
                <c:pt idx="121">
                  <c:v>40.165000915527337</c:v>
                </c:pt>
                <c:pt idx="122">
                  <c:v>38.872001647949197</c:v>
                </c:pt>
                <c:pt idx="123">
                  <c:v>39.486999511718764</c:v>
                </c:pt>
                <c:pt idx="124">
                  <c:v>38.477001190185497</c:v>
                </c:pt>
                <c:pt idx="125">
                  <c:v>39.355998992919936</c:v>
                </c:pt>
                <c:pt idx="126">
                  <c:v>39.705001831054737</c:v>
                </c:pt>
                <c:pt idx="127">
                  <c:v>42.474998474121101</c:v>
                </c:pt>
                <c:pt idx="128">
                  <c:v>59.779998779296896</c:v>
                </c:pt>
                <c:pt idx="129">
                  <c:v>58.749000549316364</c:v>
                </c:pt>
                <c:pt idx="130">
                  <c:v>52.605998992919972</c:v>
                </c:pt>
                <c:pt idx="131">
                  <c:v>51.638999938964879</c:v>
                </c:pt>
                <c:pt idx="132">
                  <c:v>50.826999664306562</c:v>
                </c:pt>
                <c:pt idx="133">
                  <c:v>49.647998809814496</c:v>
                </c:pt>
                <c:pt idx="134">
                  <c:v>50.501998901367195</c:v>
                </c:pt>
                <c:pt idx="135">
                  <c:v>50.758998870849602</c:v>
                </c:pt>
                <c:pt idx="136">
                  <c:v>50.813999176025398</c:v>
                </c:pt>
                <c:pt idx="137">
                  <c:v>50.069999694824212</c:v>
                </c:pt>
                <c:pt idx="138">
                  <c:v>51.139999389648395</c:v>
                </c:pt>
                <c:pt idx="139">
                  <c:v>50.241001129150398</c:v>
                </c:pt>
                <c:pt idx="140">
                  <c:v>50.874000549316328</c:v>
                </c:pt>
                <c:pt idx="141">
                  <c:v>50.549999237060497</c:v>
                </c:pt>
                <c:pt idx="142">
                  <c:v>50.9609985351563</c:v>
                </c:pt>
                <c:pt idx="143">
                  <c:v>50.618999481201165</c:v>
                </c:pt>
                <c:pt idx="144">
                  <c:v>49.189998626709013</c:v>
                </c:pt>
                <c:pt idx="145">
                  <c:v>48.805000305175845</c:v>
                </c:pt>
                <c:pt idx="146">
                  <c:v>47.929000854492195</c:v>
                </c:pt>
                <c:pt idx="147">
                  <c:v>46.895999908447301</c:v>
                </c:pt>
                <c:pt idx="148">
                  <c:v>44.758998870849602</c:v>
                </c:pt>
                <c:pt idx="149">
                  <c:v>43.243999481201165</c:v>
                </c:pt>
                <c:pt idx="150">
                  <c:v>43.075000762939503</c:v>
                </c:pt>
                <c:pt idx="151">
                  <c:v>44.569999694824212</c:v>
                </c:pt>
                <c:pt idx="152">
                  <c:v>46.261001586914098</c:v>
                </c:pt>
                <c:pt idx="153">
                  <c:v>43.689998626709013</c:v>
                </c:pt>
                <c:pt idx="154">
                  <c:v>41.097000122070313</c:v>
                </c:pt>
                <c:pt idx="155">
                  <c:v>39.176998138427763</c:v>
                </c:pt>
                <c:pt idx="156">
                  <c:v>38.980998992919936</c:v>
                </c:pt>
                <c:pt idx="157">
                  <c:v>40.589000701904297</c:v>
                </c:pt>
                <c:pt idx="158">
                  <c:v>42.361999511718764</c:v>
                </c:pt>
                <c:pt idx="159">
                  <c:v>42.688999176025412</c:v>
                </c:pt>
                <c:pt idx="160">
                  <c:v>53.410999298095703</c:v>
                </c:pt>
                <c:pt idx="161">
                  <c:v>54.258998870849602</c:v>
                </c:pt>
                <c:pt idx="162">
                  <c:v>54.557998657226527</c:v>
                </c:pt>
                <c:pt idx="163">
                  <c:v>52.807998657226527</c:v>
                </c:pt>
                <c:pt idx="164">
                  <c:v>55.426998138427763</c:v>
                </c:pt>
                <c:pt idx="165">
                  <c:v>55.354000091552628</c:v>
                </c:pt>
                <c:pt idx="166">
                  <c:v>55.754001617431562</c:v>
                </c:pt>
                <c:pt idx="167">
                  <c:v>56.881000518798764</c:v>
                </c:pt>
                <c:pt idx="168">
                  <c:v>56.881999969482337</c:v>
                </c:pt>
                <c:pt idx="169">
                  <c:v>55.944000244140597</c:v>
                </c:pt>
                <c:pt idx="170">
                  <c:v>54.944000244140597</c:v>
                </c:pt>
                <c:pt idx="171">
                  <c:v>53.316001892089801</c:v>
                </c:pt>
                <c:pt idx="172">
                  <c:v>52.611000061035163</c:v>
                </c:pt>
                <c:pt idx="173">
                  <c:v>51.631999969482365</c:v>
                </c:pt>
                <c:pt idx="174">
                  <c:v>52.113998413085902</c:v>
                </c:pt>
                <c:pt idx="175">
                  <c:v>52.227001190185511</c:v>
                </c:pt>
                <c:pt idx="176">
                  <c:v>45.629001617431598</c:v>
                </c:pt>
                <c:pt idx="177">
                  <c:v>44.527999877929737</c:v>
                </c:pt>
                <c:pt idx="178">
                  <c:v>43.270999908447301</c:v>
                </c:pt>
                <c:pt idx="179">
                  <c:v>41.995998382568438</c:v>
                </c:pt>
                <c:pt idx="180">
                  <c:v>40.978000640869112</c:v>
                </c:pt>
                <c:pt idx="181">
                  <c:v>41.132999420166001</c:v>
                </c:pt>
                <c:pt idx="182">
                  <c:v>41.126998901367202</c:v>
                </c:pt>
                <c:pt idx="183">
                  <c:v>41.083000183105497</c:v>
                </c:pt>
                <c:pt idx="184">
                  <c:v>41.3429985046387</c:v>
                </c:pt>
                <c:pt idx="185">
                  <c:v>40.784999847412095</c:v>
                </c:pt>
                <c:pt idx="186">
                  <c:v>42.613998413085902</c:v>
                </c:pt>
                <c:pt idx="187">
                  <c:v>44.495998382568438</c:v>
                </c:pt>
                <c:pt idx="188">
                  <c:v>44.764999389648395</c:v>
                </c:pt>
                <c:pt idx="189">
                  <c:v>45.314998626708999</c:v>
                </c:pt>
                <c:pt idx="190">
                  <c:v>45.182998657226562</c:v>
                </c:pt>
                <c:pt idx="191">
                  <c:v>45.783000946044936</c:v>
                </c:pt>
              </c:numCache>
            </c:numRef>
          </c:val>
        </c:ser>
        <c:dLbls>
          <c:showLegendKey val="0"/>
          <c:showVal val="0"/>
          <c:showCatName val="0"/>
          <c:showSerName val="0"/>
          <c:showPercent val="0"/>
          <c:showBubbleSize val="0"/>
        </c:dLbls>
        <c:gapWidth val="150"/>
        <c:axId val="964425120"/>
        <c:axId val="964421856"/>
      </c:barChart>
      <c:catAx>
        <c:axId val="964425120"/>
        <c:scaling>
          <c:orientation val="minMax"/>
        </c:scaling>
        <c:delete val="0"/>
        <c:axPos val="b"/>
        <c:numFmt formatCode="General" sourceLinked="0"/>
        <c:majorTickMark val="none"/>
        <c:minorTickMark val="none"/>
        <c:tickLblPos val="nextTo"/>
        <c:txPr>
          <a:bodyPr rot="-5400000" vert="horz"/>
          <a:lstStyle/>
          <a:p>
            <a:pPr>
              <a:defRPr sz="700"/>
            </a:pPr>
            <a:endParaRPr lang="en-US"/>
          </a:p>
        </c:txPr>
        <c:crossAx val="964421856"/>
        <c:crosses val="autoZero"/>
        <c:auto val="1"/>
        <c:lblAlgn val="ctr"/>
        <c:lblOffset val="100"/>
        <c:noMultiLvlLbl val="0"/>
      </c:catAx>
      <c:valAx>
        <c:axId val="964421856"/>
        <c:scaling>
          <c:orientation val="minMax"/>
          <c:max val="65"/>
          <c:min val="0"/>
        </c:scaling>
        <c:delete val="0"/>
        <c:axPos val="l"/>
        <c:majorGridlines/>
        <c:numFmt formatCode="0" sourceLinked="0"/>
        <c:majorTickMark val="out"/>
        <c:minorTickMark val="none"/>
        <c:tickLblPos val="nextTo"/>
        <c:txPr>
          <a:bodyPr/>
          <a:lstStyle/>
          <a:p>
            <a:pPr>
              <a:defRPr sz="900"/>
            </a:pPr>
            <a:endParaRPr lang="en-US"/>
          </a:p>
        </c:txPr>
        <c:crossAx val="964425120"/>
        <c:crosses val="autoZero"/>
        <c:crossBetween val="between"/>
        <c:majorUnit val="15"/>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114630855233724E-2"/>
          <c:y val="4.3650793650793697E-2"/>
          <c:w val="0.92648946575567359"/>
          <c:h val="0.72646975369097466"/>
        </c:manualLayout>
      </c:layout>
      <c:barChart>
        <c:barDir val="col"/>
        <c:grouping val="clustered"/>
        <c:varyColors val="0"/>
        <c:ser>
          <c:idx val="1"/>
          <c:order val="0"/>
          <c:tx>
            <c:strRef>
              <c:f>Sheet1!$C$1</c:f>
              <c:strCache>
                <c:ptCount val="1"/>
                <c:pt idx="0">
                  <c:v>FOOD</c:v>
                </c:pt>
              </c:strCache>
            </c:strRef>
          </c:tx>
          <c:invertIfNegative val="0"/>
          <c:cat>
            <c:multiLvlStrRef>
              <c:f>Sheet1!$A$2:$B$193</c:f>
              <c:multiLvlStrCache>
                <c:ptCount val="192"/>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pt idx="47">
                    <c:v>2015</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pt idx="64">
                    <c:v>2000</c:v>
                  </c:pt>
                  <c:pt idx="65">
                    <c:v>2001</c:v>
                  </c:pt>
                  <c:pt idx="66">
                    <c:v>2002</c:v>
                  </c:pt>
                  <c:pt idx="67">
                    <c:v>2003</c:v>
                  </c:pt>
                  <c:pt idx="68">
                    <c:v>2004</c:v>
                  </c:pt>
                  <c:pt idx="69">
                    <c:v>2005</c:v>
                  </c:pt>
                  <c:pt idx="70">
                    <c:v>2006</c:v>
                  </c:pt>
                  <c:pt idx="71">
                    <c:v>2007</c:v>
                  </c:pt>
                  <c:pt idx="72">
                    <c:v>2008</c:v>
                  </c:pt>
                  <c:pt idx="73">
                    <c:v>2009</c:v>
                  </c:pt>
                  <c:pt idx="74">
                    <c:v>2010</c:v>
                  </c:pt>
                  <c:pt idx="75">
                    <c:v>2011</c:v>
                  </c:pt>
                  <c:pt idx="76">
                    <c:v>2012</c:v>
                  </c:pt>
                  <c:pt idx="77">
                    <c:v>2013</c:v>
                  </c:pt>
                  <c:pt idx="78">
                    <c:v>2014</c:v>
                  </c:pt>
                  <c:pt idx="79">
                    <c:v>2015</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2000</c:v>
                  </c:pt>
                  <c:pt idx="113">
                    <c:v>2001</c:v>
                  </c:pt>
                  <c:pt idx="114">
                    <c:v>2002</c:v>
                  </c:pt>
                  <c:pt idx="115">
                    <c:v>2003</c:v>
                  </c:pt>
                  <c:pt idx="116">
                    <c:v>2004</c:v>
                  </c:pt>
                  <c:pt idx="117">
                    <c:v>2005</c:v>
                  </c:pt>
                  <c:pt idx="118">
                    <c:v>2006</c:v>
                  </c:pt>
                  <c:pt idx="119">
                    <c:v>2007</c:v>
                  </c:pt>
                  <c:pt idx="120">
                    <c:v>2008</c:v>
                  </c:pt>
                  <c:pt idx="121">
                    <c:v>2009</c:v>
                  </c:pt>
                  <c:pt idx="122">
                    <c:v>2010</c:v>
                  </c:pt>
                  <c:pt idx="123">
                    <c:v>2011</c:v>
                  </c:pt>
                  <c:pt idx="124">
                    <c:v>2012</c:v>
                  </c:pt>
                  <c:pt idx="125">
                    <c:v>2013</c:v>
                  </c:pt>
                  <c:pt idx="126">
                    <c:v>2014</c:v>
                  </c:pt>
                  <c:pt idx="127">
                    <c:v>2015</c:v>
                  </c:pt>
                  <c:pt idx="128">
                    <c:v>2000</c:v>
                  </c:pt>
                  <c:pt idx="129">
                    <c:v>2001</c:v>
                  </c:pt>
                  <c:pt idx="130">
                    <c:v>2002</c:v>
                  </c:pt>
                  <c:pt idx="131">
                    <c:v>2003</c:v>
                  </c:pt>
                  <c:pt idx="132">
                    <c:v>2004</c:v>
                  </c:pt>
                  <c:pt idx="133">
                    <c:v>2005</c:v>
                  </c:pt>
                  <c:pt idx="134">
                    <c:v>2006</c:v>
                  </c:pt>
                  <c:pt idx="135">
                    <c:v>2007</c:v>
                  </c:pt>
                  <c:pt idx="136">
                    <c:v>2008</c:v>
                  </c:pt>
                  <c:pt idx="137">
                    <c:v>2009</c:v>
                  </c:pt>
                  <c:pt idx="138">
                    <c:v>2010</c:v>
                  </c:pt>
                  <c:pt idx="139">
                    <c:v>2011</c:v>
                  </c:pt>
                  <c:pt idx="140">
                    <c:v>2012</c:v>
                  </c:pt>
                  <c:pt idx="141">
                    <c:v>2013</c:v>
                  </c:pt>
                  <c:pt idx="142">
                    <c:v>2014</c:v>
                  </c:pt>
                  <c:pt idx="143">
                    <c:v>2015</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2000</c:v>
                  </c:pt>
                  <c:pt idx="161">
                    <c:v>2001</c:v>
                  </c:pt>
                  <c:pt idx="162">
                    <c:v>2002</c:v>
                  </c:pt>
                  <c:pt idx="163">
                    <c:v>2003</c:v>
                  </c:pt>
                  <c:pt idx="164">
                    <c:v>2004</c:v>
                  </c:pt>
                  <c:pt idx="165">
                    <c:v>2005</c:v>
                  </c:pt>
                  <c:pt idx="166">
                    <c:v>2006</c:v>
                  </c:pt>
                  <c:pt idx="167">
                    <c:v>2007</c:v>
                  </c:pt>
                  <c:pt idx="168">
                    <c:v>2008</c:v>
                  </c:pt>
                  <c:pt idx="169">
                    <c:v>2009</c:v>
                  </c:pt>
                  <c:pt idx="170">
                    <c:v>2010</c:v>
                  </c:pt>
                  <c:pt idx="171">
                    <c:v>2011</c:v>
                  </c:pt>
                  <c:pt idx="172">
                    <c:v>2012</c:v>
                  </c:pt>
                  <c:pt idx="173">
                    <c:v>2013</c:v>
                  </c:pt>
                  <c:pt idx="174">
                    <c:v>2014</c:v>
                  </c:pt>
                  <c:pt idx="175">
                    <c:v>2015</c:v>
                  </c:pt>
                  <c:pt idx="176">
                    <c:v>2000</c:v>
                  </c:pt>
                  <c:pt idx="177">
                    <c:v>2001</c:v>
                  </c:pt>
                  <c:pt idx="178">
                    <c:v>2002</c:v>
                  </c:pt>
                  <c:pt idx="179">
                    <c:v>2003</c:v>
                  </c:pt>
                  <c:pt idx="180">
                    <c:v>2004</c:v>
                  </c:pt>
                  <c:pt idx="181">
                    <c:v>2005</c:v>
                  </c:pt>
                  <c:pt idx="182">
                    <c:v>2006</c:v>
                  </c:pt>
                  <c:pt idx="183">
                    <c:v>2007</c:v>
                  </c:pt>
                  <c:pt idx="184">
                    <c:v>2008</c:v>
                  </c:pt>
                  <c:pt idx="185">
                    <c:v>2009</c:v>
                  </c:pt>
                  <c:pt idx="186">
                    <c:v>2010</c:v>
                  </c:pt>
                  <c:pt idx="187">
                    <c:v>2011</c:v>
                  </c:pt>
                  <c:pt idx="188">
                    <c:v>2012</c:v>
                  </c:pt>
                  <c:pt idx="189">
                    <c:v>2013</c:v>
                  </c:pt>
                  <c:pt idx="190">
                    <c:v>2014</c:v>
                  </c:pt>
                  <c:pt idx="191">
                    <c:v>2015</c:v>
                  </c:pt>
                </c:lvl>
                <c:lvl>
                  <c:pt idx="0">
                    <c:v>Albania</c:v>
                  </c:pt>
                  <c:pt idx="16">
                    <c:v>BiH</c:v>
                  </c:pt>
                  <c:pt idx="32">
                    <c:v>Bulgaria</c:v>
                  </c:pt>
                  <c:pt idx="48">
                    <c:v>Croatia</c:v>
                  </c:pt>
                  <c:pt idx="64">
                    <c:v>Cyprus</c:v>
                  </c:pt>
                  <c:pt idx="80">
                    <c:v>Greece</c:v>
                  </c:pt>
                  <c:pt idx="96">
                    <c:v>Macedonia</c:v>
                  </c:pt>
                  <c:pt idx="112">
                    <c:v>Moldova</c:v>
                  </c:pt>
                  <c:pt idx="128">
                    <c:v>Romania</c:v>
                  </c:pt>
                  <c:pt idx="144">
                    <c:v>Serbia</c:v>
                  </c:pt>
                  <c:pt idx="160">
                    <c:v>Slovenia</c:v>
                  </c:pt>
                  <c:pt idx="176">
                    <c:v>Turkey</c:v>
                  </c:pt>
                </c:lvl>
              </c:multiLvlStrCache>
            </c:multiLvlStrRef>
          </c:cat>
          <c:val>
            <c:numRef>
              <c:f>Sheet1!$C$2:$C$193</c:f>
              <c:numCache>
                <c:formatCode>0.0</c:formatCode>
                <c:ptCount val="192"/>
                <c:pt idx="0">
                  <c:v>86.31</c:v>
                </c:pt>
                <c:pt idx="1">
                  <c:v>89.39</c:v>
                </c:pt>
                <c:pt idx="2">
                  <c:v>89.85</c:v>
                </c:pt>
                <c:pt idx="3">
                  <c:v>95.22</c:v>
                </c:pt>
                <c:pt idx="4">
                  <c:v>99.86999999999999</c:v>
                </c:pt>
                <c:pt idx="5">
                  <c:v>97.92</c:v>
                </c:pt>
                <c:pt idx="6">
                  <c:v>102.21000000000002</c:v>
                </c:pt>
                <c:pt idx="7">
                  <c:v>103.82</c:v>
                </c:pt>
                <c:pt idx="8">
                  <c:v>108.06</c:v>
                </c:pt>
                <c:pt idx="9">
                  <c:v>112.42</c:v>
                </c:pt>
                <c:pt idx="10">
                  <c:v>118.43</c:v>
                </c:pt>
                <c:pt idx="11">
                  <c:v>124.64999999999999</c:v>
                </c:pt>
                <c:pt idx="12">
                  <c:v>133.04</c:v>
                </c:pt>
                <c:pt idx="13">
                  <c:v>134.39000000000001</c:v>
                </c:pt>
                <c:pt idx="14">
                  <c:v>141.72</c:v>
                </c:pt>
                <c:pt idx="15">
                  <c:v>145.70999999999998</c:v>
                </c:pt>
                <c:pt idx="16">
                  <c:v>68.23</c:v>
                </c:pt>
                <c:pt idx="17">
                  <c:v>73.5</c:v>
                </c:pt>
                <c:pt idx="18">
                  <c:v>81.06</c:v>
                </c:pt>
                <c:pt idx="19">
                  <c:v>77.31</c:v>
                </c:pt>
                <c:pt idx="20">
                  <c:v>98.69</c:v>
                </c:pt>
                <c:pt idx="21">
                  <c:v>97.85</c:v>
                </c:pt>
                <c:pt idx="22">
                  <c:v>103.46000000000002</c:v>
                </c:pt>
                <c:pt idx="23">
                  <c:v>103.92</c:v>
                </c:pt>
                <c:pt idx="24">
                  <c:v>110.67999999999998</c:v>
                </c:pt>
                <c:pt idx="25">
                  <c:v>113.39</c:v>
                </c:pt>
                <c:pt idx="26">
                  <c:v>111.6</c:v>
                </c:pt>
                <c:pt idx="27">
                  <c:v>111.79</c:v>
                </c:pt>
                <c:pt idx="28">
                  <c:v>100.97</c:v>
                </c:pt>
                <c:pt idx="29">
                  <c:v>116.7</c:v>
                </c:pt>
                <c:pt idx="30">
                  <c:v>96.95</c:v>
                </c:pt>
                <c:pt idx="31">
                  <c:v>110.54</c:v>
                </c:pt>
                <c:pt idx="32">
                  <c:v>112.46000000000002</c:v>
                </c:pt>
                <c:pt idx="33">
                  <c:v>110.2</c:v>
                </c:pt>
                <c:pt idx="34">
                  <c:v>102.38</c:v>
                </c:pt>
                <c:pt idx="35">
                  <c:v>93.669999999999987</c:v>
                </c:pt>
                <c:pt idx="36">
                  <c:v>115.85</c:v>
                </c:pt>
                <c:pt idx="37">
                  <c:v>87.490000000000023</c:v>
                </c:pt>
                <c:pt idx="38">
                  <c:v>96.66</c:v>
                </c:pt>
                <c:pt idx="39">
                  <c:v>80.78</c:v>
                </c:pt>
                <c:pt idx="40">
                  <c:v>110.92</c:v>
                </c:pt>
                <c:pt idx="41">
                  <c:v>99.440000000000026</c:v>
                </c:pt>
                <c:pt idx="42">
                  <c:v>111.78</c:v>
                </c:pt>
                <c:pt idx="43">
                  <c:v>111.39</c:v>
                </c:pt>
                <c:pt idx="44">
                  <c:v>104.96000000000002</c:v>
                </c:pt>
                <c:pt idx="45">
                  <c:v>126.69</c:v>
                </c:pt>
                <c:pt idx="46">
                  <c:v>127.14999999999999</c:v>
                </c:pt>
                <c:pt idx="47">
                  <c:v>125.6</c:v>
                </c:pt>
                <c:pt idx="48">
                  <c:v>78.39</c:v>
                </c:pt>
                <c:pt idx="49">
                  <c:v>86.39</c:v>
                </c:pt>
                <c:pt idx="50">
                  <c:v>90.01</c:v>
                </c:pt>
                <c:pt idx="51">
                  <c:v>75.709999999999994</c:v>
                </c:pt>
                <c:pt idx="52">
                  <c:v>90.42</c:v>
                </c:pt>
                <c:pt idx="53">
                  <c:v>99.649999999999991</c:v>
                </c:pt>
                <c:pt idx="54">
                  <c:v>109.93</c:v>
                </c:pt>
                <c:pt idx="55">
                  <c:v>110.34</c:v>
                </c:pt>
                <c:pt idx="56">
                  <c:v>124.97</c:v>
                </c:pt>
                <c:pt idx="57">
                  <c:v>127.5</c:v>
                </c:pt>
                <c:pt idx="58">
                  <c:v>117.49000000000002</c:v>
                </c:pt>
                <c:pt idx="59">
                  <c:v>119.39</c:v>
                </c:pt>
                <c:pt idx="60">
                  <c:v>106.53</c:v>
                </c:pt>
                <c:pt idx="61">
                  <c:v>120.6</c:v>
                </c:pt>
                <c:pt idx="62">
                  <c:v>108.97</c:v>
                </c:pt>
                <c:pt idx="63">
                  <c:v>114.88</c:v>
                </c:pt>
                <c:pt idx="64">
                  <c:v>108.85</c:v>
                </c:pt>
                <c:pt idx="65">
                  <c:v>105.53</c:v>
                </c:pt>
                <c:pt idx="66">
                  <c:v>109.24000000000002</c:v>
                </c:pt>
                <c:pt idx="67">
                  <c:v>105.71000000000002</c:v>
                </c:pt>
                <c:pt idx="68">
                  <c:v>109.66</c:v>
                </c:pt>
                <c:pt idx="69">
                  <c:v>98.55</c:v>
                </c:pt>
                <c:pt idx="70">
                  <c:v>91.8</c:v>
                </c:pt>
                <c:pt idx="71">
                  <c:v>90.5</c:v>
                </c:pt>
                <c:pt idx="72">
                  <c:v>89.63</c:v>
                </c:pt>
                <c:pt idx="73">
                  <c:v>85.11</c:v>
                </c:pt>
                <c:pt idx="74">
                  <c:v>84.1</c:v>
                </c:pt>
                <c:pt idx="75">
                  <c:v>87.25</c:v>
                </c:pt>
                <c:pt idx="76">
                  <c:v>81.52</c:v>
                </c:pt>
                <c:pt idx="77">
                  <c:v>77.709999999999994</c:v>
                </c:pt>
                <c:pt idx="78">
                  <c:v>79.89</c:v>
                </c:pt>
                <c:pt idx="79">
                  <c:v>80.83</c:v>
                </c:pt>
                <c:pt idx="80">
                  <c:v>104.6</c:v>
                </c:pt>
                <c:pt idx="81">
                  <c:v>101.7</c:v>
                </c:pt>
                <c:pt idx="82">
                  <c:v>103.31</c:v>
                </c:pt>
                <c:pt idx="83">
                  <c:v>95.88</c:v>
                </c:pt>
                <c:pt idx="84">
                  <c:v>98.47</c:v>
                </c:pt>
                <c:pt idx="85">
                  <c:v>103.67999999999998</c:v>
                </c:pt>
                <c:pt idx="86">
                  <c:v>97.84</c:v>
                </c:pt>
                <c:pt idx="87">
                  <c:v>93.81</c:v>
                </c:pt>
                <c:pt idx="88">
                  <c:v>96.09</c:v>
                </c:pt>
                <c:pt idx="89">
                  <c:v>99.02</c:v>
                </c:pt>
                <c:pt idx="90">
                  <c:v>100.13</c:v>
                </c:pt>
                <c:pt idx="91">
                  <c:v>97.43</c:v>
                </c:pt>
                <c:pt idx="92">
                  <c:v>99.5</c:v>
                </c:pt>
                <c:pt idx="93">
                  <c:v>86.77</c:v>
                </c:pt>
                <c:pt idx="94">
                  <c:v>90.36</c:v>
                </c:pt>
                <c:pt idx="95">
                  <c:v>89.29</c:v>
                </c:pt>
                <c:pt idx="96">
                  <c:v>98.3</c:v>
                </c:pt>
                <c:pt idx="97">
                  <c:v>86.72</c:v>
                </c:pt>
                <c:pt idx="98">
                  <c:v>78.59</c:v>
                </c:pt>
                <c:pt idx="99">
                  <c:v>88.669999999999987</c:v>
                </c:pt>
                <c:pt idx="100">
                  <c:v>98.23</c:v>
                </c:pt>
                <c:pt idx="101">
                  <c:v>98.98</c:v>
                </c:pt>
                <c:pt idx="102">
                  <c:v>102.8</c:v>
                </c:pt>
                <c:pt idx="103">
                  <c:v>104.93</c:v>
                </c:pt>
                <c:pt idx="104">
                  <c:v>111.95</c:v>
                </c:pt>
                <c:pt idx="105">
                  <c:v>111.19</c:v>
                </c:pt>
                <c:pt idx="106">
                  <c:v>115.98</c:v>
                </c:pt>
                <c:pt idx="107">
                  <c:v>112.9</c:v>
                </c:pt>
                <c:pt idx="108">
                  <c:v>109.64999999999999</c:v>
                </c:pt>
                <c:pt idx="109">
                  <c:v>114.36</c:v>
                </c:pt>
                <c:pt idx="110">
                  <c:v>110.39</c:v>
                </c:pt>
                <c:pt idx="111">
                  <c:v>124.82</c:v>
                </c:pt>
                <c:pt idx="112">
                  <c:v>85.679999999999978</c:v>
                </c:pt>
                <c:pt idx="113">
                  <c:v>84.58</c:v>
                </c:pt>
                <c:pt idx="114">
                  <c:v>98.1</c:v>
                </c:pt>
                <c:pt idx="115">
                  <c:v>102.04</c:v>
                </c:pt>
                <c:pt idx="116">
                  <c:v>104.94000000000004</c:v>
                </c:pt>
                <c:pt idx="117">
                  <c:v>99.51</c:v>
                </c:pt>
                <c:pt idx="118">
                  <c:v>95.56</c:v>
                </c:pt>
                <c:pt idx="119">
                  <c:v>82.06</c:v>
                </c:pt>
                <c:pt idx="120">
                  <c:v>103.22</c:v>
                </c:pt>
                <c:pt idx="121">
                  <c:v>90.1</c:v>
                </c:pt>
                <c:pt idx="122">
                  <c:v>92.5</c:v>
                </c:pt>
                <c:pt idx="123">
                  <c:v>101.5</c:v>
                </c:pt>
                <c:pt idx="124">
                  <c:v>85.02</c:v>
                </c:pt>
                <c:pt idx="125">
                  <c:v>99.76</c:v>
                </c:pt>
                <c:pt idx="126">
                  <c:v>92.940000000000026</c:v>
                </c:pt>
                <c:pt idx="127">
                  <c:v>78.23</c:v>
                </c:pt>
                <c:pt idx="128">
                  <c:v>81.7</c:v>
                </c:pt>
                <c:pt idx="129">
                  <c:v>91.64</c:v>
                </c:pt>
                <c:pt idx="130">
                  <c:v>84.83</c:v>
                </c:pt>
                <c:pt idx="131">
                  <c:v>95.440000000000026</c:v>
                </c:pt>
                <c:pt idx="132">
                  <c:v>111.23</c:v>
                </c:pt>
                <c:pt idx="133">
                  <c:v>95.32</c:v>
                </c:pt>
                <c:pt idx="134">
                  <c:v>93.45</c:v>
                </c:pt>
                <c:pt idx="135">
                  <c:v>78.73</c:v>
                </c:pt>
                <c:pt idx="136">
                  <c:v>94.52</c:v>
                </c:pt>
                <c:pt idx="137">
                  <c:v>94.06</c:v>
                </c:pt>
                <c:pt idx="138">
                  <c:v>93.95</c:v>
                </c:pt>
                <c:pt idx="139">
                  <c:v>102.56</c:v>
                </c:pt>
                <c:pt idx="140">
                  <c:v>85.95</c:v>
                </c:pt>
                <c:pt idx="141">
                  <c:v>102.42</c:v>
                </c:pt>
                <c:pt idx="142">
                  <c:v>117.33</c:v>
                </c:pt>
                <c:pt idx="143">
                  <c:v>108.69</c:v>
                </c:pt>
                <c:pt idx="144">
                  <c:v>90.669999999999987</c:v>
                </c:pt>
                <c:pt idx="145">
                  <c:v>90.72</c:v>
                </c:pt>
                <c:pt idx="146">
                  <c:v>93.36999999999999</c:v>
                </c:pt>
                <c:pt idx="147">
                  <c:v>94.4</c:v>
                </c:pt>
                <c:pt idx="148">
                  <c:v>103.9</c:v>
                </c:pt>
                <c:pt idx="149">
                  <c:v>96.1</c:v>
                </c:pt>
                <c:pt idx="150">
                  <c:v>100</c:v>
                </c:pt>
                <c:pt idx="151">
                  <c:v>97.59</c:v>
                </c:pt>
                <c:pt idx="152">
                  <c:v>101.08</c:v>
                </c:pt>
                <c:pt idx="153">
                  <c:v>107.13</c:v>
                </c:pt>
                <c:pt idx="154">
                  <c:v>102.11999999999999</c:v>
                </c:pt>
                <c:pt idx="155">
                  <c:v>105.21000000000002</c:v>
                </c:pt>
                <c:pt idx="156">
                  <c:v>94.79</c:v>
                </c:pt>
                <c:pt idx="157">
                  <c:v>102</c:v>
                </c:pt>
                <c:pt idx="158">
                  <c:v>94.57</c:v>
                </c:pt>
                <c:pt idx="159">
                  <c:v>89.05</c:v>
                </c:pt>
                <c:pt idx="160">
                  <c:v>98.27</c:v>
                </c:pt>
                <c:pt idx="161">
                  <c:v>99.960000000000022</c:v>
                </c:pt>
                <c:pt idx="162">
                  <c:v>104.6</c:v>
                </c:pt>
                <c:pt idx="163">
                  <c:v>102.32</c:v>
                </c:pt>
                <c:pt idx="164">
                  <c:v>105.64999999999999</c:v>
                </c:pt>
                <c:pt idx="165">
                  <c:v>98.460000000000022</c:v>
                </c:pt>
                <c:pt idx="166">
                  <c:v>95.88</c:v>
                </c:pt>
                <c:pt idx="167">
                  <c:v>93.86</c:v>
                </c:pt>
                <c:pt idx="168">
                  <c:v>94.88</c:v>
                </c:pt>
                <c:pt idx="169">
                  <c:v>92.64</c:v>
                </c:pt>
                <c:pt idx="170">
                  <c:v>94.93</c:v>
                </c:pt>
                <c:pt idx="171">
                  <c:v>94.649999999999991</c:v>
                </c:pt>
                <c:pt idx="172">
                  <c:v>87.69</c:v>
                </c:pt>
                <c:pt idx="173">
                  <c:v>86.03</c:v>
                </c:pt>
                <c:pt idx="174">
                  <c:v>88.25</c:v>
                </c:pt>
                <c:pt idx="175">
                  <c:v>92.29</c:v>
                </c:pt>
                <c:pt idx="176">
                  <c:v>94.23</c:v>
                </c:pt>
                <c:pt idx="177">
                  <c:v>86.92</c:v>
                </c:pt>
                <c:pt idx="178">
                  <c:v>92.460000000000022</c:v>
                </c:pt>
                <c:pt idx="179">
                  <c:v>93.7</c:v>
                </c:pt>
                <c:pt idx="180">
                  <c:v>94.3</c:v>
                </c:pt>
                <c:pt idx="181">
                  <c:v>101.66999999999999</c:v>
                </c:pt>
                <c:pt idx="182">
                  <c:v>104.03</c:v>
                </c:pt>
                <c:pt idx="183">
                  <c:v>100.4</c:v>
                </c:pt>
                <c:pt idx="184">
                  <c:v>105.36</c:v>
                </c:pt>
                <c:pt idx="185">
                  <c:v>108.82</c:v>
                </c:pt>
                <c:pt idx="186">
                  <c:v>113.44000000000004</c:v>
                </c:pt>
                <c:pt idx="187">
                  <c:v>119.05</c:v>
                </c:pt>
                <c:pt idx="188">
                  <c:v>126.46000000000002</c:v>
                </c:pt>
                <c:pt idx="189">
                  <c:v>129.72999999999999</c:v>
                </c:pt>
                <c:pt idx="190">
                  <c:v>126.42</c:v>
                </c:pt>
                <c:pt idx="191">
                  <c:v>133.66</c:v>
                </c:pt>
              </c:numCache>
            </c:numRef>
          </c:val>
        </c:ser>
        <c:dLbls>
          <c:showLegendKey val="0"/>
          <c:showVal val="0"/>
          <c:showCatName val="0"/>
          <c:showSerName val="0"/>
          <c:showPercent val="0"/>
          <c:showBubbleSize val="0"/>
        </c:dLbls>
        <c:gapWidth val="150"/>
        <c:axId val="964426208"/>
        <c:axId val="964426752"/>
      </c:barChart>
      <c:catAx>
        <c:axId val="964426208"/>
        <c:scaling>
          <c:orientation val="minMax"/>
        </c:scaling>
        <c:delete val="0"/>
        <c:axPos val="b"/>
        <c:numFmt formatCode="General" sourceLinked="0"/>
        <c:majorTickMark val="none"/>
        <c:minorTickMark val="none"/>
        <c:tickLblPos val="nextTo"/>
        <c:txPr>
          <a:bodyPr rot="-5400000" vert="horz"/>
          <a:lstStyle/>
          <a:p>
            <a:pPr>
              <a:defRPr sz="700"/>
            </a:pPr>
            <a:endParaRPr lang="en-US"/>
          </a:p>
        </c:txPr>
        <c:crossAx val="964426752"/>
        <c:crosses val="autoZero"/>
        <c:auto val="1"/>
        <c:lblAlgn val="ctr"/>
        <c:lblOffset val="100"/>
        <c:noMultiLvlLbl val="0"/>
      </c:catAx>
      <c:valAx>
        <c:axId val="964426752"/>
        <c:scaling>
          <c:orientation val="minMax"/>
        </c:scaling>
        <c:delete val="0"/>
        <c:axPos val="l"/>
        <c:majorGridlines/>
        <c:numFmt formatCode="0" sourceLinked="0"/>
        <c:majorTickMark val="out"/>
        <c:minorTickMark val="none"/>
        <c:tickLblPos val="nextTo"/>
        <c:txPr>
          <a:bodyPr/>
          <a:lstStyle/>
          <a:p>
            <a:pPr>
              <a:defRPr sz="900"/>
            </a:pPr>
            <a:endParaRPr lang="en-US"/>
          </a:p>
        </c:txPr>
        <c:crossAx val="9644262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114630855233724E-2"/>
          <c:y val="4.3650793650793697E-2"/>
          <c:w val="0.92648946575567359"/>
          <c:h val="0.72646975369097466"/>
        </c:manualLayout>
      </c:layout>
      <c:barChart>
        <c:barDir val="col"/>
        <c:grouping val="clustered"/>
        <c:varyColors val="0"/>
        <c:ser>
          <c:idx val="1"/>
          <c:order val="0"/>
          <c:tx>
            <c:strRef>
              <c:f>Sheet1!$C$1</c:f>
              <c:strCache>
                <c:ptCount val="1"/>
                <c:pt idx="0">
                  <c:v>GNI</c:v>
                </c:pt>
              </c:strCache>
            </c:strRef>
          </c:tx>
          <c:invertIfNegative val="0"/>
          <c:cat>
            <c:multiLvlStrRef>
              <c:f>Sheet1!$A$2:$B$193</c:f>
              <c:multiLvlStrCache>
                <c:ptCount val="192"/>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pt idx="47">
                    <c:v>2015</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pt idx="64">
                    <c:v>2000</c:v>
                  </c:pt>
                  <c:pt idx="65">
                    <c:v>2001</c:v>
                  </c:pt>
                  <c:pt idx="66">
                    <c:v>2002</c:v>
                  </c:pt>
                  <c:pt idx="67">
                    <c:v>2003</c:v>
                  </c:pt>
                  <c:pt idx="68">
                    <c:v>2004</c:v>
                  </c:pt>
                  <c:pt idx="69">
                    <c:v>2005</c:v>
                  </c:pt>
                  <c:pt idx="70">
                    <c:v>2006</c:v>
                  </c:pt>
                  <c:pt idx="71">
                    <c:v>2007</c:v>
                  </c:pt>
                  <c:pt idx="72">
                    <c:v>2008</c:v>
                  </c:pt>
                  <c:pt idx="73">
                    <c:v>2009</c:v>
                  </c:pt>
                  <c:pt idx="74">
                    <c:v>2010</c:v>
                  </c:pt>
                  <c:pt idx="75">
                    <c:v>2011</c:v>
                  </c:pt>
                  <c:pt idx="76">
                    <c:v>2012</c:v>
                  </c:pt>
                  <c:pt idx="77">
                    <c:v>2013</c:v>
                  </c:pt>
                  <c:pt idx="78">
                    <c:v>2014</c:v>
                  </c:pt>
                  <c:pt idx="79">
                    <c:v>2015</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2000</c:v>
                  </c:pt>
                  <c:pt idx="113">
                    <c:v>2001</c:v>
                  </c:pt>
                  <c:pt idx="114">
                    <c:v>2002</c:v>
                  </c:pt>
                  <c:pt idx="115">
                    <c:v>2003</c:v>
                  </c:pt>
                  <c:pt idx="116">
                    <c:v>2004</c:v>
                  </c:pt>
                  <c:pt idx="117">
                    <c:v>2005</c:v>
                  </c:pt>
                  <c:pt idx="118">
                    <c:v>2006</c:v>
                  </c:pt>
                  <c:pt idx="119">
                    <c:v>2007</c:v>
                  </c:pt>
                  <c:pt idx="120">
                    <c:v>2008</c:v>
                  </c:pt>
                  <c:pt idx="121">
                    <c:v>2009</c:v>
                  </c:pt>
                  <c:pt idx="122">
                    <c:v>2010</c:v>
                  </c:pt>
                  <c:pt idx="123">
                    <c:v>2011</c:v>
                  </c:pt>
                  <c:pt idx="124">
                    <c:v>2012</c:v>
                  </c:pt>
                  <c:pt idx="125">
                    <c:v>2013</c:v>
                  </c:pt>
                  <c:pt idx="126">
                    <c:v>2014</c:v>
                  </c:pt>
                  <c:pt idx="127">
                    <c:v>2015</c:v>
                  </c:pt>
                  <c:pt idx="128">
                    <c:v>2000</c:v>
                  </c:pt>
                  <c:pt idx="129">
                    <c:v>2001</c:v>
                  </c:pt>
                  <c:pt idx="130">
                    <c:v>2002</c:v>
                  </c:pt>
                  <c:pt idx="131">
                    <c:v>2003</c:v>
                  </c:pt>
                  <c:pt idx="132">
                    <c:v>2004</c:v>
                  </c:pt>
                  <c:pt idx="133">
                    <c:v>2005</c:v>
                  </c:pt>
                  <c:pt idx="134">
                    <c:v>2006</c:v>
                  </c:pt>
                  <c:pt idx="135">
                    <c:v>2007</c:v>
                  </c:pt>
                  <c:pt idx="136">
                    <c:v>2008</c:v>
                  </c:pt>
                  <c:pt idx="137">
                    <c:v>2009</c:v>
                  </c:pt>
                  <c:pt idx="138">
                    <c:v>2010</c:v>
                  </c:pt>
                  <c:pt idx="139">
                    <c:v>2011</c:v>
                  </c:pt>
                  <c:pt idx="140">
                    <c:v>2012</c:v>
                  </c:pt>
                  <c:pt idx="141">
                    <c:v>2013</c:v>
                  </c:pt>
                  <c:pt idx="142">
                    <c:v>2014</c:v>
                  </c:pt>
                  <c:pt idx="143">
                    <c:v>2015</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2000</c:v>
                  </c:pt>
                  <c:pt idx="161">
                    <c:v>2001</c:v>
                  </c:pt>
                  <c:pt idx="162">
                    <c:v>2002</c:v>
                  </c:pt>
                  <c:pt idx="163">
                    <c:v>2003</c:v>
                  </c:pt>
                  <c:pt idx="164">
                    <c:v>2004</c:v>
                  </c:pt>
                  <c:pt idx="165">
                    <c:v>2005</c:v>
                  </c:pt>
                  <c:pt idx="166">
                    <c:v>2006</c:v>
                  </c:pt>
                  <c:pt idx="167">
                    <c:v>2007</c:v>
                  </c:pt>
                  <c:pt idx="168">
                    <c:v>2008</c:v>
                  </c:pt>
                  <c:pt idx="169">
                    <c:v>2009</c:v>
                  </c:pt>
                  <c:pt idx="170">
                    <c:v>2010</c:v>
                  </c:pt>
                  <c:pt idx="171">
                    <c:v>2011</c:v>
                  </c:pt>
                  <c:pt idx="172">
                    <c:v>2012</c:v>
                  </c:pt>
                  <c:pt idx="173">
                    <c:v>2013</c:v>
                  </c:pt>
                  <c:pt idx="174">
                    <c:v>2014</c:v>
                  </c:pt>
                  <c:pt idx="175">
                    <c:v>2015</c:v>
                  </c:pt>
                  <c:pt idx="176">
                    <c:v>2000</c:v>
                  </c:pt>
                  <c:pt idx="177">
                    <c:v>2001</c:v>
                  </c:pt>
                  <c:pt idx="178">
                    <c:v>2002</c:v>
                  </c:pt>
                  <c:pt idx="179">
                    <c:v>2003</c:v>
                  </c:pt>
                  <c:pt idx="180">
                    <c:v>2004</c:v>
                  </c:pt>
                  <c:pt idx="181">
                    <c:v>2005</c:v>
                  </c:pt>
                  <c:pt idx="182">
                    <c:v>2006</c:v>
                  </c:pt>
                  <c:pt idx="183">
                    <c:v>2007</c:v>
                  </c:pt>
                  <c:pt idx="184">
                    <c:v>2008</c:v>
                  </c:pt>
                  <c:pt idx="185">
                    <c:v>2009</c:v>
                  </c:pt>
                  <c:pt idx="186">
                    <c:v>2010</c:v>
                  </c:pt>
                  <c:pt idx="187">
                    <c:v>2011</c:v>
                  </c:pt>
                  <c:pt idx="188">
                    <c:v>2012</c:v>
                  </c:pt>
                  <c:pt idx="189">
                    <c:v>2013</c:v>
                  </c:pt>
                  <c:pt idx="190">
                    <c:v>2014</c:v>
                  </c:pt>
                  <c:pt idx="191">
                    <c:v>2015</c:v>
                  </c:pt>
                </c:lvl>
                <c:lvl>
                  <c:pt idx="0">
                    <c:v>Albania</c:v>
                  </c:pt>
                  <c:pt idx="16">
                    <c:v>BiH</c:v>
                  </c:pt>
                  <c:pt idx="32">
                    <c:v>Bulgaria</c:v>
                  </c:pt>
                  <c:pt idx="48">
                    <c:v>Croatia</c:v>
                  </c:pt>
                  <c:pt idx="64">
                    <c:v>Cyprus</c:v>
                  </c:pt>
                  <c:pt idx="80">
                    <c:v>Greece</c:v>
                  </c:pt>
                  <c:pt idx="96">
                    <c:v>Macedonia</c:v>
                  </c:pt>
                  <c:pt idx="112">
                    <c:v>Moldova</c:v>
                  </c:pt>
                  <c:pt idx="128">
                    <c:v>Romania</c:v>
                  </c:pt>
                  <c:pt idx="144">
                    <c:v>Serbia</c:v>
                  </c:pt>
                  <c:pt idx="160">
                    <c:v>Slovenia</c:v>
                  </c:pt>
                  <c:pt idx="176">
                    <c:v>Turkey</c:v>
                  </c:pt>
                </c:lvl>
              </c:multiLvlStrCache>
            </c:multiLvlStrRef>
          </c:cat>
          <c:val>
            <c:numRef>
              <c:f>Sheet1!$C$2:$C$193</c:f>
              <c:numCache>
                <c:formatCode>General</c:formatCode>
                <c:ptCount val="192"/>
                <c:pt idx="0">
                  <c:v>4150</c:v>
                </c:pt>
                <c:pt idx="1">
                  <c:v>4600</c:v>
                </c:pt>
                <c:pt idx="2">
                  <c:v>4870</c:v>
                </c:pt>
                <c:pt idx="3">
                  <c:v>5250</c:v>
                </c:pt>
                <c:pt idx="4">
                  <c:v>5650</c:v>
                </c:pt>
                <c:pt idx="5">
                  <c:v>6060</c:v>
                </c:pt>
                <c:pt idx="6">
                  <c:v>6830</c:v>
                </c:pt>
                <c:pt idx="7">
                  <c:v>7490</c:v>
                </c:pt>
                <c:pt idx="8">
                  <c:v>8270</c:v>
                </c:pt>
                <c:pt idx="9">
                  <c:v>8670</c:v>
                </c:pt>
                <c:pt idx="10">
                  <c:v>9540</c:v>
                </c:pt>
                <c:pt idx="11">
                  <c:v>10210</c:v>
                </c:pt>
                <c:pt idx="12">
                  <c:v>10450</c:v>
                </c:pt>
                <c:pt idx="13">
                  <c:v>10750</c:v>
                </c:pt>
                <c:pt idx="14">
                  <c:v>11360</c:v>
                </c:pt>
                <c:pt idx="15">
                  <c:v>11470</c:v>
                </c:pt>
                <c:pt idx="16">
                  <c:v>5010</c:v>
                </c:pt>
                <c:pt idx="17">
                  <c:v>5180</c:v>
                </c:pt>
                <c:pt idx="18">
                  <c:v>5510</c:v>
                </c:pt>
                <c:pt idx="19">
                  <c:v>5690</c:v>
                </c:pt>
                <c:pt idx="20">
                  <c:v>6140</c:v>
                </c:pt>
                <c:pt idx="21">
                  <c:v>6720</c:v>
                </c:pt>
                <c:pt idx="22">
                  <c:v>7610</c:v>
                </c:pt>
                <c:pt idx="23">
                  <c:v>8400</c:v>
                </c:pt>
                <c:pt idx="24">
                  <c:v>9340</c:v>
                </c:pt>
                <c:pt idx="25">
                  <c:v>9350</c:v>
                </c:pt>
                <c:pt idx="26">
                  <c:v>9470</c:v>
                </c:pt>
                <c:pt idx="27">
                  <c:v>9980</c:v>
                </c:pt>
                <c:pt idx="28">
                  <c:v>10260</c:v>
                </c:pt>
                <c:pt idx="29">
                  <c:v>10970</c:v>
                </c:pt>
                <c:pt idx="30">
                  <c:v>11250</c:v>
                </c:pt>
                <c:pt idx="31">
                  <c:v>11600</c:v>
                </c:pt>
                <c:pt idx="32">
                  <c:v>6220</c:v>
                </c:pt>
                <c:pt idx="33">
                  <c:v>6930</c:v>
                </c:pt>
                <c:pt idx="34">
                  <c:v>7890</c:v>
                </c:pt>
                <c:pt idx="35">
                  <c:v>8480</c:v>
                </c:pt>
                <c:pt idx="36">
                  <c:v>9230</c:v>
                </c:pt>
                <c:pt idx="37">
                  <c:v>10240</c:v>
                </c:pt>
                <c:pt idx="38">
                  <c:v>11030</c:v>
                </c:pt>
                <c:pt idx="39">
                  <c:v>11870</c:v>
                </c:pt>
                <c:pt idx="40">
                  <c:v>13720</c:v>
                </c:pt>
                <c:pt idx="41">
                  <c:v>13880</c:v>
                </c:pt>
                <c:pt idx="42">
                  <c:v>14640</c:v>
                </c:pt>
                <c:pt idx="43">
                  <c:v>15180</c:v>
                </c:pt>
                <c:pt idx="44">
                  <c:v>15990</c:v>
                </c:pt>
                <c:pt idx="45">
                  <c:v>16270</c:v>
                </c:pt>
                <c:pt idx="46">
                  <c:v>17360</c:v>
                </c:pt>
                <c:pt idx="47">
                  <c:v>17750</c:v>
                </c:pt>
                <c:pt idx="48">
                  <c:v>10550</c:v>
                </c:pt>
                <c:pt idx="49">
                  <c:v>11110</c:v>
                </c:pt>
                <c:pt idx="50">
                  <c:v>12090</c:v>
                </c:pt>
                <c:pt idx="51">
                  <c:v>12700</c:v>
                </c:pt>
                <c:pt idx="52">
                  <c:v>13870</c:v>
                </c:pt>
                <c:pt idx="53">
                  <c:v>14550</c:v>
                </c:pt>
                <c:pt idx="54">
                  <c:v>16540</c:v>
                </c:pt>
                <c:pt idx="55">
                  <c:v>18400</c:v>
                </c:pt>
                <c:pt idx="56">
                  <c:v>19690</c:v>
                </c:pt>
                <c:pt idx="57">
                  <c:v>18820</c:v>
                </c:pt>
                <c:pt idx="58">
                  <c:v>18700</c:v>
                </c:pt>
                <c:pt idx="59">
                  <c:v>20180</c:v>
                </c:pt>
                <c:pt idx="60">
                  <c:v>20530</c:v>
                </c:pt>
                <c:pt idx="61">
                  <c:v>21340</c:v>
                </c:pt>
                <c:pt idx="62">
                  <c:v>21620</c:v>
                </c:pt>
                <c:pt idx="63">
                  <c:v>22580</c:v>
                </c:pt>
                <c:pt idx="64">
                  <c:v>20550</c:v>
                </c:pt>
                <c:pt idx="65">
                  <c:v>22110</c:v>
                </c:pt>
                <c:pt idx="66">
                  <c:v>23140</c:v>
                </c:pt>
                <c:pt idx="67">
                  <c:v>23650</c:v>
                </c:pt>
                <c:pt idx="68">
                  <c:v>25280</c:v>
                </c:pt>
                <c:pt idx="69">
                  <c:v>27250</c:v>
                </c:pt>
                <c:pt idx="70">
                  <c:v>29340</c:v>
                </c:pt>
                <c:pt idx="71">
                  <c:v>32470</c:v>
                </c:pt>
                <c:pt idx="72">
                  <c:v>34110</c:v>
                </c:pt>
                <c:pt idx="73">
                  <c:v>33440</c:v>
                </c:pt>
                <c:pt idx="74">
                  <c:v>32260</c:v>
                </c:pt>
                <c:pt idx="75">
                  <c:v>33190</c:v>
                </c:pt>
                <c:pt idx="76">
                  <c:v>30930</c:v>
                </c:pt>
                <c:pt idx="77">
                  <c:v>29190</c:v>
                </c:pt>
                <c:pt idx="78">
                  <c:v>29270</c:v>
                </c:pt>
                <c:pt idx="79">
                  <c:v>31730</c:v>
                </c:pt>
                <c:pt idx="80">
                  <c:v>19650</c:v>
                </c:pt>
                <c:pt idx="81">
                  <c:v>21140</c:v>
                </c:pt>
                <c:pt idx="82">
                  <c:v>22610</c:v>
                </c:pt>
                <c:pt idx="83">
                  <c:v>23800</c:v>
                </c:pt>
                <c:pt idx="84">
                  <c:v>25150</c:v>
                </c:pt>
                <c:pt idx="85">
                  <c:v>25620</c:v>
                </c:pt>
                <c:pt idx="86">
                  <c:v>27990</c:v>
                </c:pt>
                <c:pt idx="87">
                  <c:v>28530</c:v>
                </c:pt>
                <c:pt idx="88">
                  <c:v>29940</c:v>
                </c:pt>
                <c:pt idx="89">
                  <c:v>29690</c:v>
                </c:pt>
                <c:pt idx="90">
                  <c:v>27600</c:v>
                </c:pt>
                <c:pt idx="91">
                  <c:v>25430</c:v>
                </c:pt>
                <c:pt idx="92">
                  <c:v>25450</c:v>
                </c:pt>
                <c:pt idx="93">
                  <c:v>26070</c:v>
                </c:pt>
                <c:pt idx="94">
                  <c:v>27020</c:v>
                </c:pt>
                <c:pt idx="95">
                  <c:v>26820</c:v>
                </c:pt>
                <c:pt idx="96">
                  <c:v>6010</c:v>
                </c:pt>
                <c:pt idx="97">
                  <c:v>5990</c:v>
                </c:pt>
                <c:pt idx="98">
                  <c:v>6230</c:v>
                </c:pt>
                <c:pt idx="99">
                  <c:v>6420</c:v>
                </c:pt>
                <c:pt idx="100">
                  <c:v>7040</c:v>
                </c:pt>
                <c:pt idx="101">
                  <c:v>7620</c:v>
                </c:pt>
                <c:pt idx="102">
                  <c:v>8550</c:v>
                </c:pt>
                <c:pt idx="103">
                  <c:v>8810</c:v>
                </c:pt>
                <c:pt idx="104">
                  <c:v>10290</c:v>
                </c:pt>
                <c:pt idx="105">
                  <c:v>10830</c:v>
                </c:pt>
                <c:pt idx="106">
                  <c:v>11130</c:v>
                </c:pt>
                <c:pt idx="107">
                  <c:v>11400</c:v>
                </c:pt>
                <c:pt idx="108">
                  <c:v>11580</c:v>
                </c:pt>
                <c:pt idx="109">
                  <c:v>12360</c:v>
                </c:pt>
                <c:pt idx="110">
                  <c:v>13120</c:v>
                </c:pt>
                <c:pt idx="111">
                  <c:v>13330</c:v>
                </c:pt>
                <c:pt idx="112">
                  <c:v>1870</c:v>
                </c:pt>
                <c:pt idx="113">
                  <c:v>2130</c:v>
                </c:pt>
                <c:pt idx="114">
                  <c:v>2340</c:v>
                </c:pt>
                <c:pt idx="115">
                  <c:v>2680</c:v>
                </c:pt>
                <c:pt idx="116">
                  <c:v>2990</c:v>
                </c:pt>
                <c:pt idx="117">
                  <c:v>3300</c:v>
                </c:pt>
                <c:pt idx="118">
                  <c:v>3570</c:v>
                </c:pt>
                <c:pt idx="119">
                  <c:v>3700</c:v>
                </c:pt>
                <c:pt idx="120">
                  <c:v>4090</c:v>
                </c:pt>
                <c:pt idx="121">
                  <c:v>3730</c:v>
                </c:pt>
                <c:pt idx="122">
                  <c:v>4150</c:v>
                </c:pt>
                <c:pt idx="123">
                  <c:v>4520</c:v>
                </c:pt>
                <c:pt idx="124">
                  <c:v>4700</c:v>
                </c:pt>
                <c:pt idx="125">
                  <c:v>5210</c:v>
                </c:pt>
                <c:pt idx="126">
                  <c:v>5540</c:v>
                </c:pt>
                <c:pt idx="127">
                  <c:v>5410</c:v>
                </c:pt>
                <c:pt idx="128">
                  <c:v>5840</c:v>
                </c:pt>
                <c:pt idx="129">
                  <c:v>6540</c:v>
                </c:pt>
                <c:pt idx="130">
                  <c:v>7110</c:v>
                </c:pt>
                <c:pt idx="131">
                  <c:v>7640</c:v>
                </c:pt>
                <c:pt idx="132">
                  <c:v>8760</c:v>
                </c:pt>
                <c:pt idx="133">
                  <c:v>9440</c:v>
                </c:pt>
                <c:pt idx="134">
                  <c:v>11300</c:v>
                </c:pt>
                <c:pt idx="135">
                  <c:v>13350</c:v>
                </c:pt>
                <c:pt idx="136">
                  <c:v>16310</c:v>
                </c:pt>
                <c:pt idx="137">
                  <c:v>16240</c:v>
                </c:pt>
                <c:pt idx="138">
                  <c:v>16770</c:v>
                </c:pt>
                <c:pt idx="139">
                  <c:v>17700</c:v>
                </c:pt>
                <c:pt idx="140">
                  <c:v>18660</c:v>
                </c:pt>
                <c:pt idx="141">
                  <c:v>19430</c:v>
                </c:pt>
                <c:pt idx="142">
                  <c:v>20350</c:v>
                </c:pt>
                <c:pt idx="143">
                  <c:v>21060</c:v>
                </c:pt>
                <c:pt idx="144">
                  <c:v>5730</c:v>
                </c:pt>
                <c:pt idx="145">
                  <c:v>6150</c:v>
                </c:pt>
                <c:pt idx="146">
                  <c:v>6770</c:v>
                </c:pt>
                <c:pt idx="147">
                  <c:v>7150</c:v>
                </c:pt>
                <c:pt idx="148">
                  <c:v>8000</c:v>
                </c:pt>
                <c:pt idx="149">
                  <c:v>8600</c:v>
                </c:pt>
                <c:pt idx="150">
                  <c:v>9480</c:v>
                </c:pt>
                <c:pt idx="151">
                  <c:v>10260</c:v>
                </c:pt>
                <c:pt idx="152">
                  <c:v>11590</c:v>
                </c:pt>
                <c:pt idx="153">
                  <c:v>11640</c:v>
                </c:pt>
                <c:pt idx="154">
                  <c:v>11810</c:v>
                </c:pt>
                <c:pt idx="155">
                  <c:v>12670</c:v>
                </c:pt>
                <c:pt idx="156">
                  <c:v>12660</c:v>
                </c:pt>
                <c:pt idx="157">
                  <c:v>13190</c:v>
                </c:pt>
                <c:pt idx="158">
                  <c:v>13210</c:v>
                </c:pt>
                <c:pt idx="159">
                  <c:v>13210</c:v>
                </c:pt>
                <c:pt idx="160">
                  <c:v>18080</c:v>
                </c:pt>
                <c:pt idx="161">
                  <c:v>19030</c:v>
                </c:pt>
                <c:pt idx="162">
                  <c:v>20210</c:v>
                </c:pt>
                <c:pt idx="163">
                  <c:v>20980</c:v>
                </c:pt>
                <c:pt idx="164">
                  <c:v>22550</c:v>
                </c:pt>
                <c:pt idx="165">
                  <c:v>23800</c:v>
                </c:pt>
                <c:pt idx="166">
                  <c:v>25530</c:v>
                </c:pt>
                <c:pt idx="167">
                  <c:v>27060</c:v>
                </c:pt>
                <c:pt idx="168">
                  <c:v>28940</c:v>
                </c:pt>
                <c:pt idx="169">
                  <c:v>27100</c:v>
                </c:pt>
                <c:pt idx="170">
                  <c:v>27510</c:v>
                </c:pt>
                <c:pt idx="171">
                  <c:v>28580</c:v>
                </c:pt>
                <c:pt idx="172">
                  <c:v>28640</c:v>
                </c:pt>
                <c:pt idx="173">
                  <c:v>29400</c:v>
                </c:pt>
                <c:pt idx="174">
                  <c:v>30570</c:v>
                </c:pt>
                <c:pt idx="175">
                  <c:v>30520</c:v>
                </c:pt>
                <c:pt idx="176">
                  <c:v>9440</c:v>
                </c:pt>
                <c:pt idx="177">
                  <c:v>8990</c:v>
                </c:pt>
                <c:pt idx="178">
                  <c:v>9150</c:v>
                </c:pt>
                <c:pt idx="179">
                  <c:v>9430</c:v>
                </c:pt>
                <c:pt idx="180">
                  <c:v>10710</c:v>
                </c:pt>
                <c:pt idx="181">
                  <c:v>11760</c:v>
                </c:pt>
                <c:pt idx="182">
                  <c:v>13470</c:v>
                </c:pt>
                <c:pt idx="183">
                  <c:v>14710</c:v>
                </c:pt>
                <c:pt idx="184">
                  <c:v>15890</c:v>
                </c:pt>
                <c:pt idx="185">
                  <c:v>15300</c:v>
                </c:pt>
                <c:pt idx="186">
                  <c:v>17300</c:v>
                </c:pt>
                <c:pt idx="187">
                  <c:v>19490</c:v>
                </c:pt>
                <c:pt idx="188">
                  <c:v>20480</c:v>
                </c:pt>
                <c:pt idx="189">
                  <c:v>22110</c:v>
                </c:pt>
                <c:pt idx="190">
                  <c:v>23820</c:v>
                </c:pt>
                <c:pt idx="191">
                  <c:v>24570</c:v>
                </c:pt>
              </c:numCache>
            </c:numRef>
          </c:val>
        </c:ser>
        <c:dLbls>
          <c:showLegendKey val="0"/>
          <c:showVal val="0"/>
          <c:showCatName val="0"/>
          <c:showSerName val="0"/>
          <c:showPercent val="0"/>
          <c:showBubbleSize val="0"/>
        </c:dLbls>
        <c:gapWidth val="150"/>
        <c:axId val="911358608"/>
        <c:axId val="911362416"/>
      </c:barChart>
      <c:catAx>
        <c:axId val="911358608"/>
        <c:scaling>
          <c:orientation val="minMax"/>
        </c:scaling>
        <c:delete val="0"/>
        <c:axPos val="b"/>
        <c:numFmt formatCode="General" sourceLinked="0"/>
        <c:majorTickMark val="none"/>
        <c:minorTickMark val="none"/>
        <c:tickLblPos val="nextTo"/>
        <c:txPr>
          <a:bodyPr rot="-5400000" vert="horz"/>
          <a:lstStyle/>
          <a:p>
            <a:pPr>
              <a:defRPr sz="700"/>
            </a:pPr>
            <a:endParaRPr lang="en-US"/>
          </a:p>
        </c:txPr>
        <c:crossAx val="911362416"/>
        <c:crosses val="autoZero"/>
        <c:auto val="1"/>
        <c:lblAlgn val="ctr"/>
        <c:lblOffset val="100"/>
        <c:noMultiLvlLbl val="0"/>
      </c:catAx>
      <c:valAx>
        <c:axId val="911362416"/>
        <c:scaling>
          <c:orientation val="minMax"/>
        </c:scaling>
        <c:delete val="0"/>
        <c:axPos val="l"/>
        <c:majorGridlines/>
        <c:numFmt formatCode="0" sourceLinked="0"/>
        <c:majorTickMark val="out"/>
        <c:minorTickMark val="none"/>
        <c:tickLblPos val="nextTo"/>
        <c:txPr>
          <a:bodyPr/>
          <a:lstStyle/>
          <a:p>
            <a:pPr>
              <a:defRPr sz="900"/>
            </a:pPr>
            <a:endParaRPr lang="en-US"/>
          </a:p>
        </c:txPr>
        <c:crossAx val="9113586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1473292069391158E-2"/>
          <c:y val="2.8930632934867438E-2"/>
          <c:w val="0.92648946575567359"/>
          <c:h val="0.72646975369097466"/>
        </c:manualLayout>
      </c:layout>
      <c:barChart>
        <c:barDir val="col"/>
        <c:grouping val="clustered"/>
        <c:varyColors val="0"/>
        <c:ser>
          <c:idx val="1"/>
          <c:order val="0"/>
          <c:tx>
            <c:strRef>
              <c:f>Sheet1!$C$1</c:f>
              <c:strCache>
                <c:ptCount val="1"/>
                <c:pt idx="0">
                  <c:v>HEALTH</c:v>
                </c:pt>
              </c:strCache>
            </c:strRef>
          </c:tx>
          <c:invertIfNegative val="0"/>
          <c:cat>
            <c:multiLvlStrRef>
              <c:f>Sheet1!$A$2:$B$193</c:f>
              <c:multiLvlStrCache>
                <c:ptCount val="192"/>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pt idx="47">
                    <c:v>2015</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pt idx="64">
                    <c:v>2000</c:v>
                  </c:pt>
                  <c:pt idx="65">
                    <c:v>2001</c:v>
                  </c:pt>
                  <c:pt idx="66">
                    <c:v>2002</c:v>
                  </c:pt>
                  <c:pt idx="67">
                    <c:v>2003</c:v>
                  </c:pt>
                  <c:pt idx="68">
                    <c:v>2004</c:v>
                  </c:pt>
                  <c:pt idx="69">
                    <c:v>2005</c:v>
                  </c:pt>
                  <c:pt idx="70">
                    <c:v>2006</c:v>
                  </c:pt>
                  <c:pt idx="71">
                    <c:v>2007</c:v>
                  </c:pt>
                  <c:pt idx="72">
                    <c:v>2008</c:v>
                  </c:pt>
                  <c:pt idx="73">
                    <c:v>2009</c:v>
                  </c:pt>
                  <c:pt idx="74">
                    <c:v>2010</c:v>
                  </c:pt>
                  <c:pt idx="75">
                    <c:v>2011</c:v>
                  </c:pt>
                  <c:pt idx="76">
                    <c:v>2012</c:v>
                  </c:pt>
                  <c:pt idx="77">
                    <c:v>2013</c:v>
                  </c:pt>
                  <c:pt idx="78">
                    <c:v>2014</c:v>
                  </c:pt>
                  <c:pt idx="79">
                    <c:v>2015</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2000</c:v>
                  </c:pt>
                  <c:pt idx="113">
                    <c:v>2001</c:v>
                  </c:pt>
                  <c:pt idx="114">
                    <c:v>2002</c:v>
                  </c:pt>
                  <c:pt idx="115">
                    <c:v>2003</c:v>
                  </c:pt>
                  <c:pt idx="116">
                    <c:v>2004</c:v>
                  </c:pt>
                  <c:pt idx="117">
                    <c:v>2005</c:v>
                  </c:pt>
                  <c:pt idx="118">
                    <c:v>2006</c:v>
                  </c:pt>
                  <c:pt idx="119">
                    <c:v>2007</c:v>
                  </c:pt>
                  <c:pt idx="120">
                    <c:v>2008</c:v>
                  </c:pt>
                  <c:pt idx="121">
                    <c:v>2009</c:v>
                  </c:pt>
                  <c:pt idx="122">
                    <c:v>2010</c:v>
                  </c:pt>
                  <c:pt idx="123">
                    <c:v>2011</c:v>
                  </c:pt>
                  <c:pt idx="124">
                    <c:v>2012</c:v>
                  </c:pt>
                  <c:pt idx="125">
                    <c:v>2013</c:v>
                  </c:pt>
                  <c:pt idx="126">
                    <c:v>2014</c:v>
                  </c:pt>
                  <c:pt idx="127">
                    <c:v>2015</c:v>
                  </c:pt>
                  <c:pt idx="128">
                    <c:v>2000</c:v>
                  </c:pt>
                  <c:pt idx="129">
                    <c:v>2001</c:v>
                  </c:pt>
                  <c:pt idx="130">
                    <c:v>2002</c:v>
                  </c:pt>
                  <c:pt idx="131">
                    <c:v>2003</c:v>
                  </c:pt>
                  <c:pt idx="132">
                    <c:v>2004</c:v>
                  </c:pt>
                  <c:pt idx="133">
                    <c:v>2005</c:v>
                  </c:pt>
                  <c:pt idx="134">
                    <c:v>2006</c:v>
                  </c:pt>
                  <c:pt idx="135">
                    <c:v>2007</c:v>
                  </c:pt>
                  <c:pt idx="136">
                    <c:v>2008</c:v>
                  </c:pt>
                  <c:pt idx="137">
                    <c:v>2009</c:v>
                  </c:pt>
                  <c:pt idx="138">
                    <c:v>2010</c:v>
                  </c:pt>
                  <c:pt idx="139">
                    <c:v>2011</c:v>
                  </c:pt>
                  <c:pt idx="140">
                    <c:v>2012</c:v>
                  </c:pt>
                  <c:pt idx="141">
                    <c:v>2013</c:v>
                  </c:pt>
                  <c:pt idx="142">
                    <c:v>2014</c:v>
                  </c:pt>
                  <c:pt idx="143">
                    <c:v>2015</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2000</c:v>
                  </c:pt>
                  <c:pt idx="161">
                    <c:v>2001</c:v>
                  </c:pt>
                  <c:pt idx="162">
                    <c:v>2002</c:v>
                  </c:pt>
                  <c:pt idx="163">
                    <c:v>2003</c:v>
                  </c:pt>
                  <c:pt idx="164">
                    <c:v>2004</c:v>
                  </c:pt>
                  <c:pt idx="165">
                    <c:v>2005</c:v>
                  </c:pt>
                  <c:pt idx="166">
                    <c:v>2006</c:v>
                  </c:pt>
                  <c:pt idx="167">
                    <c:v>2007</c:v>
                  </c:pt>
                  <c:pt idx="168">
                    <c:v>2008</c:v>
                  </c:pt>
                  <c:pt idx="169">
                    <c:v>2009</c:v>
                  </c:pt>
                  <c:pt idx="170">
                    <c:v>2010</c:v>
                  </c:pt>
                  <c:pt idx="171">
                    <c:v>2011</c:v>
                  </c:pt>
                  <c:pt idx="172">
                    <c:v>2012</c:v>
                  </c:pt>
                  <c:pt idx="173">
                    <c:v>2013</c:v>
                  </c:pt>
                  <c:pt idx="174">
                    <c:v>2014</c:v>
                  </c:pt>
                  <c:pt idx="175">
                    <c:v>2015</c:v>
                  </c:pt>
                  <c:pt idx="176">
                    <c:v>2000</c:v>
                  </c:pt>
                  <c:pt idx="177">
                    <c:v>2001</c:v>
                  </c:pt>
                  <c:pt idx="178">
                    <c:v>2002</c:v>
                  </c:pt>
                  <c:pt idx="179">
                    <c:v>2003</c:v>
                  </c:pt>
                  <c:pt idx="180">
                    <c:v>2004</c:v>
                  </c:pt>
                  <c:pt idx="181">
                    <c:v>2005</c:v>
                  </c:pt>
                  <c:pt idx="182">
                    <c:v>2006</c:v>
                  </c:pt>
                  <c:pt idx="183">
                    <c:v>2007</c:v>
                  </c:pt>
                  <c:pt idx="184">
                    <c:v>2008</c:v>
                  </c:pt>
                  <c:pt idx="185">
                    <c:v>2009</c:v>
                  </c:pt>
                  <c:pt idx="186">
                    <c:v>2010</c:v>
                  </c:pt>
                  <c:pt idx="187">
                    <c:v>2011</c:v>
                  </c:pt>
                  <c:pt idx="188">
                    <c:v>2012</c:v>
                  </c:pt>
                  <c:pt idx="189">
                    <c:v>2013</c:v>
                  </c:pt>
                  <c:pt idx="190">
                    <c:v>2014</c:v>
                  </c:pt>
                  <c:pt idx="191">
                    <c:v>2015</c:v>
                  </c:pt>
                </c:lvl>
                <c:lvl>
                  <c:pt idx="0">
                    <c:v>Albania</c:v>
                  </c:pt>
                  <c:pt idx="16">
                    <c:v>BiH</c:v>
                  </c:pt>
                  <c:pt idx="32">
                    <c:v>Bulgaria</c:v>
                  </c:pt>
                  <c:pt idx="48">
                    <c:v>Croatia</c:v>
                  </c:pt>
                  <c:pt idx="64">
                    <c:v>Cyprus</c:v>
                  </c:pt>
                  <c:pt idx="80">
                    <c:v>Greece</c:v>
                  </c:pt>
                  <c:pt idx="96">
                    <c:v>Macedonia</c:v>
                  </c:pt>
                  <c:pt idx="112">
                    <c:v>Moldova</c:v>
                  </c:pt>
                  <c:pt idx="128">
                    <c:v>Romania</c:v>
                  </c:pt>
                  <c:pt idx="144">
                    <c:v>Serbia</c:v>
                  </c:pt>
                  <c:pt idx="160">
                    <c:v>Slovenia</c:v>
                  </c:pt>
                  <c:pt idx="176">
                    <c:v>Turkey</c:v>
                  </c:pt>
                </c:lvl>
              </c:multiLvlStrCache>
            </c:multiLvlStrRef>
          </c:cat>
          <c:val>
            <c:numRef>
              <c:f>Sheet1!$C$2:$C$193</c:f>
              <c:numCache>
                <c:formatCode>0.0</c:formatCode>
                <c:ptCount val="192"/>
                <c:pt idx="0">
                  <c:v>75.531481209999981</c:v>
                </c:pt>
                <c:pt idx="1">
                  <c:v>81.94643619999998</c:v>
                </c:pt>
                <c:pt idx="2">
                  <c:v>89.858339289999989</c:v>
                </c:pt>
                <c:pt idx="3">
                  <c:v>113.58393768000002</c:v>
                </c:pt>
                <c:pt idx="4">
                  <c:v>151.98044712000009</c:v>
                </c:pt>
                <c:pt idx="5">
                  <c:v>165.86543866000008</c:v>
                </c:pt>
                <c:pt idx="6">
                  <c:v>172.79555736999998</c:v>
                </c:pt>
                <c:pt idx="7">
                  <c:v>216.41312036000002</c:v>
                </c:pt>
                <c:pt idx="8">
                  <c:v>240.38261741000017</c:v>
                </c:pt>
                <c:pt idx="9">
                  <c:v>207.42781165000008</c:v>
                </c:pt>
                <c:pt idx="10">
                  <c:v>204.21313715999997</c:v>
                </c:pt>
                <c:pt idx="11">
                  <c:v>248.17258715</c:v>
                </c:pt>
                <c:pt idx="12">
                  <c:v>247.26669072999991</c:v>
                </c:pt>
                <c:pt idx="13">
                  <c:v>277.66892701</c:v>
                </c:pt>
                <c:pt idx="14">
                  <c:v>314.86262914000002</c:v>
                </c:pt>
                <c:pt idx="15">
                  <c:v>265.90323578999977</c:v>
                </c:pt>
                <c:pt idx="16">
                  <c:v>105.00780356999999</c:v>
                </c:pt>
                <c:pt idx="17">
                  <c:v>110.06918275</c:v>
                </c:pt>
                <c:pt idx="18">
                  <c:v>124.50646675</c:v>
                </c:pt>
                <c:pt idx="19">
                  <c:v>180.42413221000001</c:v>
                </c:pt>
                <c:pt idx="20">
                  <c:v>244.59730514</c:v>
                </c:pt>
                <c:pt idx="21">
                  <c:v>262.27110480999977</c:v>
                </c:pt>
                <c:pt idx="22">
                  <c:v>302.89356542999985</c:v>
                </c:pt>
                <c:pt idx="23">
                  <c:v>387.68750926999985</c:v>
                </c:pt>
                <c:pt idx="24">
                  <c:v>484.32658339999995</c:v>
                </c:pt>
                <c:pt idx="25">
                  <c:v>424.87844403000008</c:v>
                </c:pt>
                <c:pt idx="26">
                  <c:v>417.00761660000001</c:v>
                </c:pt>
                <c:pt idx="27">
                  <c:v>463.89278538999997</c:v>
                </c:pt>
                <c:pt idx="28">
                  <c:v>448.14178123000016</c:v>
                </c:pt>
                <c:pt idx="29">
                  <c:v>477.76166277999999</c:v>
                </c:pt>
                <c:pt idx="30">
                  <c:v>496.60919366000002</c:v>
                </c:pt>
                <c:pt idx="31">
                  <c:v>431.22260850999999</c:v>
                </c:pt>
                <c:pt idx="32">
                  <c:v>94.497450619999995</c:v>
                </c:pt>
                <c:pt idx="33">
                  <c:v>119.82997950999996</c:v>
                </c:pt>
                <c:pt idx="34">
                  <c:v>148.14791377999998</c:v>
                </c:pt>
                <c:pt idx="35">
                  <c:v>195.74371110999991</c:v>
                </c:pt>
                <c:pt idx="36">
                  <c:v>233.11332622999998</c:v>
                </c:pt>
                <c:pt idx="37">
                  <c:v>267.74139736999985</c:v>
                </c:pt>
                <c:pt idx="38">
                  <c:v>294.10890357</c:v>
                </c:pt>
                <c:pt idx="39">
                  <c:v>361.23497551000003</c:v>
                </c:pt>
                <c:pt idx="40">
                  <c:v>455.54062273000017</c:v>
                </c:pt>
                <c:pt idx="41">
                  <c:v>459.30016626000003</c:v>
                </c:pt>
                <c:pt idx="42">
                  <c:v>484.75228658999998</c:v>
                </c:pt>
                <c:pt idx="43">
                  <c:v>556.57033918000002</c:v>
                </c:pt>
                <c:pt idx="44">
                  <c:v>558.42733186999999</c:v>
                </c:pt>
                <c:pt idx="45">
                  <c:v>601.0488154899997</c:v>
                </c:pt>
                <c:pt idx="46">
                  <c:v>666.40141037000001</c:v>
                </c:pt>
                <c:pt idx="47">
                  <c:v>572.04491186999996</c:v>
                </c:pt>
                <c:pt idx="48">
                  <c:v>370.48324371999985</c:v>
                </c:pt>
                <c:pt idx="49">
                  <c:v>387.59266343000002</c:v>
                </c:pt>
                <c:pt idx="50">
                  <c:v>386.49234362999999</c:v>
                </c:pt>
                <c:pt idx="51">
                  <c:v>512.16504167000005</c:v>
                </c:pt>
                <c:pt idx="52">
                  <c:v>634.49840482000002</c:v>
                </c:pt>
                <c:pt idx="53">
                  <c:v>726.50049977999993</c:v>
                </c:pt>
                <c:pt idx="54">
                  <c:v>815.89029237999989</c:v>
                </c:pt>
                <c:pt idx="55">
                  <c:v>1041.56553869</c:v>
                </c:pt>
                <c:pt idx="56">
                  <c:v>1258.984561160001</c:v>
                </c:pt>
                <c:pt idx="57">
                  <c:v>1187.35351593</c:v>
                </c:pt>
                <c:pt idx="58">
                  <c:v>1125.4136970500001</c:v>
                </c:pt>
                <c:pt idx="59">
                  <c:v>1131.1377812799999</c:v>
                </c:pt>
                <c:pt idx="60">
                  <c:v>1029.42425269</c:v>
                </c:pt>
                <c:pt idx="61">
                  <c:v>988.8485765800001</c:v>
                </c:pt>
                <c:pt idx="62">
                  <c:v>1005.58969102</c:v>
                </c:pt>
                <c:pt idx="63">
                  <c:v>852.08864326000037</c:v>
                </c:pt>
                <c:pt idx="64">
                  <c:v>751.07733246000032</c:v>
                </c:pt>
                <c:pt idx="65">
                  <c:v>782.59857294000062</c:v>
                </c:pt>
                <c:pt idx="66">
                  <c:v>890.5235377700003</c:v>
                </c:pt>
                <c:pt idx="67">
                  <c:v>1123.60992616</c:v>
                </c:pt>
                <c:pt idx="68">
                  <c:v>1258.17963519</c:v>
                </c:pt>
                <c:pt idx="69">
                  <c:v>1328.4127651700007</c:v>
                </c:pt>
                <c:pt idx="70">
                  <c:v>1432.1828579099999</c:v>
                </c:pt>
                <c:pt idx="71">
                  <c:v>1641.7014964299999</c:v>
                </c:pt>
                <c:pt idx="72">
                  <c:v>2156.66028697</c:v>
                </c:pt>
                <c:pt idx="73">
                  <c:v>2105.0225069200001</c:v>
                </c:pt>
                <c:pt idx="74">
                  <c:v>1958.8021271299999</c:v>
                </c:pt>
                <c:pt idx="75">
                  <c:v>2153.4023137600002</c:v>
                </c:pt>
                <c:pt idx="76">
                  <c:v>1942.2177076600008</c:v>
                </c:pt>
                <c:pt idx="77">
                  <c:v>1920.2709769600001</c:v>
                </c:pt>
                <c:pt idx="78">
                  <c:v>1847.5536227999999</c:v>
                </c:pt>
                <c:pt idx="79">
                  <c:v>1563.3198197900001</c:v>
                </c:pt>
                <c:pt idx="80">
                  <c:v>885.41046075999998</c:v>
                </c:pt>
                <c:pt idx="81">
                  <c:v>1003.9369600199997</c:v>
                </c:pt>
                <c:pt idx="82">
                  <c:v>1163.33169019</c:v>
                </c:pt>
                <c:pt idx="83">
                  <c:v>1516.4794453099998</c:v>
                </c:pt>
                <c:pt idx="84">
                  <c:v>1743.9583420499998</c:v>
                </c:pt>
                <c:pt idx="85">
                  <c:v>2032.0535878000001</c:v>
                </c:pt>
                <c:pt idx="86">
                  <c:v>2226.5514208100012</c:v>
                </c:pt>
                <c:pt idx="87">
                  <c:v>2614.67760004</c:v>
                </c:pt>
                <c:pt idx="88">
                  <c:v>3007.1507509800012</c:v>
                </c:pt>
                <c:pt idx="89">
                  <c:v>2816.1263057299984</c:v>
                </c:pt>
                <c:pt idx="90">
                  <c:v>2573.8224525200012</c:v>
                </c:pt>
                <c:pt idx="91">
                  <c:v>2353.9706744700002</c:v>
                </c:pt>
                <c:pt idx="92">
                  <c:v>1944.8292906499998</c:v>
                </c:pt>
                <c:pt idx="93">
                  <c:v>1817.0219579600007</c:v>
                </c:pt>
                <c:pt idx="94">
                  <c:v>1715.77059452</c:v>
                </c:pt>
                <c:pt idx="95">
                  <c:v>1504.75969654</c:v>
                </c:pt>
                <c:pt idx="96">
                  <c:v>71.563266639999995</c:v>
                </c:pt>
                <c:pt idx="97">
                  <c:v>66.920332889999941</c:v>
                </c:pt>
                <c:pt idx="98">
                  <c:v>168.48705468999998</c:v>
                </c:pt>
                <c:pt idx="99">
                  <c:v>221.79053372999991</c:v>
                </c:pt>
                <c:pt idx="100">
                  <c:v>239.46538113</c:v>
                </c:pt>
                <c:pt idx="101">
                  <c:v>242.55494867000004</c:v>
                </c:pt>
                <c:pt idx="102">
                  <c:v>257.83039514999984</c:v>
                </c:pt>
                <c:pt idx="103">
                  <c:v>278.67248703000024</c:v>
                </c:pt>
                <c:pt idx="104">
                  <c:v>333.05474779000002</c:v>
                </c:pt>
                <c:pt idx="105">
                  <c:v>314.07806017000001</c:v>
                </c:pt>
                <c:pt idx="106">
                  <c:v>316.33325274999976</c:v>
                </c:pt>
                <c:pt idx="107">
                  <c:v>332.54897140000003</c:v>
                </c:pt>
                <c:pt idx="108">
                  <c:v>295.8216358099998</c:v>
                </c:pt>
                <c:pt idx="109">
                  <c:v>321.85455939000002</c:v>
                </c:pt>
                <c:pt idx="110">
                  <c:v>335.14717402000002</c:v>
                </c:pt>
                <c:pt idx="111">
                  <c:v>295.4222464299998</c:v>
                </c:pt>
                <c:pt idx="112">
                  <c:v>20.546468720000011</c:v>
                </c:pt>
                <c:pt idx="113">
                  <c:v>24.86751113</c:v>
                </c:pt>
                <c:pt idx="114">
                  <c:v>32.538883059999996</c:v>
                </c:pt>
                <c:pt idx="115">
                  <c:v>38.439672170000001</c:v>
                </c:pt>
                <c:pt idx="116">
                  <c:v>64.610600050000002</c:v>
                </c:pt>
                <c:pt idx="117">
                  <c:v>79.332165739999979</c:v>
                </c:pt>
                <c:pt idx="118">
                  <c:v>100.10839651999993</c:v>
                </c:pt>
                <c:pt idx="119">
                  <c:v>135.43037411999998</c:v>
                </c:pt>
                <c:pt idx="120">
                  <c:v>186.40768646000001</c:v>
                </c:pt>
                <c:pt idx="121">
                  <c:v>208.53501750000001</c:v>
                </c:pt>
                <c:pt idx="122">
                  <c:v>198.27400634</c:v>
                </c:pt>
                <c:pt idx="123">
                  <c:v>215.00455386999991</c:v>
                </c:pt>
                <c:pt idx="124">
                  <c:v>223.63189066999999</c:v>
                </c:pt>
                <c:pt idx="125">
                  <c:v>231.66026523999992</c:v>
                </c:pt>
                <c:pt idx="126">
                  <c:v>230.76679165999997</c:v>
                </c:pt>
                <c:pt idx="127">
                  <c:v>186.43476093999999</c:v>
                </c:pt>
                <c:pt idx="128">
                  <c:v>69.893458260000003</c:v>
                </c:pt>
                <c:pt idx="129">
                  <c:v>78.817532849999978</c:v>
                </c:pt>
                <c:pt idx="130">
                  <c:v>96.577000920000003</c:v>
                </c:pt>
                <c:pt idx="131">
                  <c:v>143.54414713</c:v>
                </c:pt>
                <c:pt idx="132">
                  <c:v>190.78935968999997</c:v>
                </c:pt>
                <c:pt idx="133">
                  <c:v>254.52961536999999</c:v>
                </c:pt>
                <c:pt idx="134">
                  <c:v>291.00408548000001</c:v>
                </c:pt>
                <c:pt idx="135">
                  <c:v>415.07180755999985</c:v>
                </c:pt>
                <c:pt idx="136">
                  <c:v>521.32331815999999</c:v>
                </c:pt>
                <c:pt idx="137">
                  <c:v>449.36887410000008</c:v>
                </c:pt>
                <c:pt idx="138">
                  <c:v>472.19357246999976</c:v>
                </c:pt>
                <c:pt idx="139">
                  <c:v>426.66466509000037</c:v>
                </c:pt>
                <c:pt idx="140">
                  <c:v>401.72842291999984</c:v>
                </c:pt>
                <c:pt idx="141">
                  <c:v>495.37130937999984</c:v>
                </c:pt>
                <c:pt idx="142">
                  <c:v>503.46098977000003</c:v>
                </c:pt>
                <c:pt idx="143">
                  <c:v>442.36957460999997</c:v>
                </c:pt>
                <c:pt idx="144">
                  <c:v>65.200547799999981</c:v>
                </c:pt>
                <c:pt idx="145">
                  <c:v>110.96617345000004</c:v>
                </c:pt>
                <c:pt idx="146">
                  <c:v>173.27419309999991</c:v>
                </c:pt>
                <c:pt idx="147">
                  <c:v>230.10718914</c:v>
                </c:pt>
                <c:pt idx="148">
                  <c:v>274.42857556999968</c:v>
                </c:pt>
                <c:pt idx="149">
                  <c:v>307.56558193999996</c:v>
                </c:pt>
                <c:pt idx="150">
                  <c:v>371.55738910000002</c:v>
                </c:pt>
                <c:pt idx="151">
                  <c:v>547.19058540000003</c:v>
                </c:pt>
                <c:pt idx="152">
                  <c:v>672.9473607699997</c:v>
                </c:pt>
                <c:pt idx="153">
                  <c:v>575.87469807000002</c:v>
                </c:pt>
                <c:pt idx="154">
                  <c:v>545.3567863799999</c:v>
                </c:pt>
                <c:pt idx="155">
                  <c:v>619.17190178999999</c:v>
                </c:pt>
                <c:pt idx="156">
                  <c:v>559.81355814999961</c:v>
                </c:pt>
                <c:pt idx="157">
                  <c:v>627.53332398000009</c:v>
                </c:pt>
                <c:pt idx="158">
                  <c:v>608.85871011999996</c:v>
                </c:pt>
                <c:pt idx="159">
                  <c:v>491.25186425999999</c:v>
                </c:pt>
                <c:pt idx="160">
                  <c:v>796.64705746999971</c:v>
                </c:pt>
                <c:pt idx="161">
                  <c:v>826.22575877000031</c:v>
                </c:pt>
                <c:pt idx="162">
                  <c:v>944.87141034000001</c:v>
                </c:pt>
                <c:pt idx="163">
                  <c:v>1203.06359494</c:v>
                </c:pt>
                <c:pt idx="164">
                  <c:v>1368.6485452899999</c:v>
                </c:pt>
                <c:pt idx="165">
                  <c:v>1449.18927472</c:v>
                </c:pt>
                <c:pt idx="166">
                  <c:v>1541.6643621399994</c:v>
                </c:pt>
                <c:pt idx="167">
                  <c:v>1793.57589635</c:v>
                </c:pt>
                <c:pt idx="168">
                  <c:v>2170.6667014199984</c:v>
                </c:pt>
                <c:pt idx="169">
                  <c:v>2116.5400073599999</c:v>
                </c:pt>
                <c:pt idx="170">
                  <c:v>2008.2015712200007</c:v>
                </c:pt>
                <c:pt idx="171">
                  <c:v>2136.5315379900026</c:v>
                </c:pt>
                <c:pt idx="172">
                  <c:v>1964.0054255499999</c:v>
                </c:pt>
                <c:pt idx="173">
                  <c:v>2028.3305266499999</c:v>
                </c:pt>
                <c:pt idx="174">
                  <c:v>2052.6395179700016</c:v>
                </c:pt>
                <c:pt idx="175">
                  <c:v>1771.5538812099999</c:v>
                </c:pt>
                <c:pt idx="176">
                  <c:v>199.50491719000001</c:v>
                </c:pt>
                <c:pt idx="177">
                  <c:v>153.62459167999998</c:v>
                </c:pt>
                <c:pt idx="178">
                  <c:v>186.69799981000008</c:v>
                </c:pt>
                <c:pt idx="179">
                  <c:v>238.69855467999992</c:v>
                </c:pt>
                <c:pt idx="180">
                  <c:v>299.57672678999984</c:v>
                </c:pt>
                <c:pt idx="181">
                  <c:v>364.90733035999983</c:v>
                </c:pt>
                <c:pt idx="182">
                  <c:v>416.88470554000003</c:v>
                </c:pt>
                <c:pt idx="183">
                  <c:v>512.73452515999998</c:v>
                </c:pt>
                <c:pt idx="184">
                  <c:v>570.68098007000049</c:v>
                </c:pt>
                <c:pt idx="185">
                  <c:v>500.07160353</c:v>
                </c:pt>
                <c:pt idx="186">
                  <c:v>539.32880588999967</c:v>
                </c:pt>
                <c:pt idx="187">
                  <c:v>531.65965543999971</c:v>
                </c:pt>
                <c:pt idx="188">
                  <c:v>524.81783627000004</c:v>
                </c:pt>
                <c:pt idx="189">
                  <c:v>552.40548059000002</c:v>
                </c:pt>
                <c:pt idx="190">
                  <c:v>527.20284171000003</c:v>
                </c:pt>
                <c:pt idx="191">
                  <c:v>454.60829207</c:v>
                </c:pt>
              </c:numCache>
            </c:numRef>
          </c:val>
        </c:ser>
        <c:dLbls>
          <c:showLegendKey val="0"/>
          <c:showVal val="0"/>
          <c:showCatName val="0"/>
          <c:showSerName val="0"/>
          <c:showPercent val="0"/>
          <c:showBubbleSize val="0"/>
        </c:dLbls>
        <c:gapWidth val="150"/>
        <c:axId val="911360240"/>
        <c:axId val="911360784"/>
      </c:barChart>
      <c:catAx>
        <c:axId val="911360240"/>
        <c:scaling>
          <c:orientation val="minMax"/>
        </c:scaling>
        <c:delete val="0"/>
        <c:axPos val="b"/>
        <c:numFmt formatCode="General" sourceLinked="0"/>
        <c:majorTickMark val="none"/>
        <c:minorTickMark val="none"/>
        <c:tickLblPos val="nextTo"/>
        <c:txPr>
          <a:bodyPr rot="-5400000" vert="horz"/>
          <a:lstStyle/>
          <a:p>
            <a:pPr>
              <a:defRPr sz="700"/>
            </a:pPr>
            <a:endParaRPr lang="en-US"/>
          </a:p>
        </c:txPr>
        <c:crossAx val="911360784"/>
        <c:crosses val="autoZero"/>
        <c:auto val="1"/>
        <c:lblAlgn val="ctr"/>
        <c:lblOffset val="100"/>
        <c:noMultiLvlLbl val="0"/>
      </c:catAx>
      <c:valAx>
        <c:axId val="911360784"/>
        <c:scaling>
          <c:orientation val="minMax"/>
        </c:scaling>
        <c:delete val="0"/>
        <c:axPos val="l"/>
        <c:majorGridlines/>
        <c:numFmt formatCode="0" sourceLinked="0"/>
        <c:majorTickMark val="out"/>
        <c:minorTickMark val="none"/>
        <c:tickLblPos val="nextTo"/>
        <c:txPr>
          <a:bodyPr/>
          <a:lstStyle/>
          <a:p>
            <a:pPr>
              <a:defRPr sz="900"/>
            </a:pPr>
            <a:endParaRPr lang="en-US"/>
          </a:p>
        </c:txPr>
        <c:crossAx val="9113602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114630855233724E-2"/>
          <c:y val="4.3650793650793697E-2"/>
          <c:w val="0.92648946575567359"/>
          <c:h val="0.72646975369097466"/>
        </c:manualLayout>
      </c:layout>
      <c:barChart>
        <c:barDir val="col"/>
        <c:grouping val="clustered"/>
        <c:varyColors val="0"/>
        <c:ser>
          <c:idx val="1"/>
          <c:order val="0"/>
          <c:tx>
            <c:strRef>
              <c:f>Sheet1!$C$1</c:f>
              <c:strCache>
                <c:ptCount val="1"/>
                <c:pt idx="0">
                  <c:v>IMMUN</c:v>
                </c:pt>
              </c:strCache>
            </c:strRef>
          </c:tx>
          <c:invertIfNegative val="0"/>
          <c:cat>
            <c:multiLvlStrRef>
              <c:f>Sheet1!$A$2:$B$193</c:f>
              <c:multiLvlStrCache>
                <c:ptCount val="192"/>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pt idx="47">
                    <c:v>2015</c:v>
                  </c:pt>
                  <c:pt idx="48">
                    <c:v>2000</c:v>
                  </c:pt>
                  <c:pt idx="49">
                    <c:v>2001</c:v>
                  </c:pt>
                  <c:pt idx="50">
                    <c:v>2002</c:v>
                  </c:pt>
                  <c:pt idx="51">
                    <c:v>2003</c:v>
                  </c:pt>
                  <c:pt idx="52">
                    <c:v>2004</c:v>
                  </c:pt>
                  <c:pt idx="53">
                    <c:v>2005</c:v>
                  </c:pt>
                  <c:pt idx="54">
                    <c:v>2006</c:v>
                  </c:pt>
                  <c:pt idx="55">
                    <c:v>2007</c:v>
                  </c:pt>
                  <c:pt idx="56">
                    <c:v>2008</c:v>
                  </c:pt>
                  <c:pt idx="57">
                    <c:v>2009</c:v>
                  </c:pt>
                  <c:pt idx="58">
                    <c:v>2010</c:v>
                  </c:pt>
                  <c:pt idx="59">
                    <c:v>2011</c:v>
                  </c:pt>
                  <c:pt idx="60">
                    <c:v>2012</c:v>
                  </c:pt>
                  <c:pt idx="61">
                    <c:v>2013</c:v>
                  </c:pt>
                  <c:pt idx="62">
                    <c:v>2014</c:v>
                  </c:pt>
                  <c:pt idx="63">
                    <c:v>2015</c:v>
                  </c:pt>
                  <c:pt idx="64">
                    <c:v>2000</c:v>
                  </c:pt>
                  <c:pt idx="65">
                    <c:v>2001</c:v>
                  </c:pt>
                  <c:pt idx="66">
                    <c:v>2002</c:v>
                  </c:pt>
                  <c:pt idx="67">
                    <c:v>2003</c:v>
                  </c:pt>
                  <c:pt idx="68">
                    <c:v>2004</c:v>
                  </c:pt>
                  <c:pt idx="69">
                    <c:v>2005</c:v>
                  </c:pt>
                  <c:pt idx="70">
                    <c:v>2006</c:v>
                  </c:pt>
                  <c:pt idx="71">
                    <c:v>2007</c:v>
                  </c:pt>
                  <c:pt idx="72">
                    <c:v>2008</c:v>
                  </c:pt>
                  <c:pt idx="73">
                    <c:v>2009</c:v>
                  </c:pt>
                  <c:pt idx="74">
                    <c:v>2010</c:v>
                  </c:pt>
                  <c:pt idx="75">
                    <c:v>2011</c:v>
                  </c:pt>
                  <c:pt idx="76">
                    <c:v>2012</c:v>
                  </c:pt>
                  <c:pt idx="77">
                    <c:v>2013</c:v>
                  </c:pt>
                  <c:pt idx="78">
                    <c:v>2014</c:v>
                  </c:pt>
                  <c:pt idx="79">
                    <c:v>2015</c:v>
                  </c:pt>
                  <c:pt idx="80">
                    <c:v>2000</c:v>
                  </c:pt>
                  <c:pt idx="81">
                    <c:v>2001</c:v>
                  </c:pt>
                  <c:pt idx="82">
                    <c:v>2002</c:v>
                  </c:pt>
                  <c:pt idx="83">
                    <c:v>2003</c:v>
                  </c:pt>
                  <c:pt idx="84">
                    <c:v>2004</c:v>
                  </c:pt>
                  <c:pt idx="85">
                    <c:v>2005</c:v>
                  </c:pt>
                  <c:pt idx="86">
                    <c:v>2006</c:v>
                  </c:pt>
                  <c:pt idx="87">
                    <c:v>2007</c:v>
                  </c:pt>
                  <c:pt idx="88">
                    <c:v>2008</c:v>
                  </c:pt>
                  <c:pt idx="89">
                    <c:v>2009</c:v>
                  </c:pt>
                  <c:pt idx="90">
                    <c:v>2010</c:v>
                  </c:pt>
                  <c:pt idx="91">
                    <c:v>2011</c:v>
                  </c:pt>
                  <c:pt idx="92">
                    <c:v>2012</c:v>
                  </c:pt>
                  <c:pt idx="93">
                    <c:v>2013</c:v>
                  </c:pt>
                  <c:pt idx="94">
                    <c:v>2014</c:v>
                  </c:pt>
                  <c:pt idx="95">
                    <c:v>2015</c:v>
                  </c:pt>
                  <c:pt idx="96">
                    <c:v>2000</c:v>
                  </c:pt>
                  <c:pt idx="97">
                    <c:v>2001</c:v>
                  </c:pt>
                  <c:pt idx="98">
                    <c:v>2002</c:v>
                  </c:pt>
                  <c:pt idx="99">
                    <c:v>2003</c:v>
                  </c:pt>
                  <c:pt idx="100">
                    <c:v>2004</c:v>
                  </c:pt>
                  <c:pt idx="101">
                    <c:v>2005</c:v>
                  </c:pt>
                  <c:pt idx="102">
                    <c:v>2006</c:v>
                  </c:pt>
                  <c:pt idx="103">
                    <c:v>2007</c:v>
                  </c:pt>
                  <c:pt idx="104">
                    <c:v>2008</c:v>
                  </c:pt>
                  <c:pt idx="105">
                    <c:v>2009</c:v>
                  </c:pt>
                  <c:pt idx="106">
                    <c:v>2010</c:v>
                  </c:pt>
                  <c:pt idx="107">
                    <c:v>2011</c:v>
                  </c:pt>
                  <c:pt idx="108">
                    <c:v>2012</c:v>
                  </c:pt>
                  <c:pt idx="109">
                    <c:v>2013</c:v>
                  </c:pt>
                  <c:pt idx="110">
                    <c:v>2014</c:v>
                  </c:pt>
                  <c:pt idx="111">
                    <c:v>2015</c:v>
                  </c:pt>
                  <c:pt idx="112">
                    <c:v>2000</c:v>
                  </c:pt>
                  <c:pt idx="113">
                    <c:v>2001</c:v>
                  </c:pt>
                  <c:pt idx="114">
                    <c:v>2002</c:v>
                  </c:pt>
                  <c:pt idx="115">
                    <c:v>2003</c:v>
                  </c:pt>
                  <c:pt idx="116">
                    <c:v>2004</c:v>
                  </c:pt>
                  <c:pt idx="117">
                    <c:v>2005</c:v>
                  </c:pt>
                  <c:pt idx="118">
                    <c:v>2006</c:v>
                  </c:pt>
                  <c:pt idx="119">
                    <c:v>2007</c:v>
                  </c:pt>
                  <c:pt idx="120">
                    <c:v>2008</c:v>
                  </c:pt>
                  <c:pt idx="121">
                    <c:v>2009</c:v>
                  </c:pt>
                  <c:pt idx="122">
                    <c:v>2010</c:v>
                  </c:pt>
                  <c:pt idx="123">
                    <c:v>2011</c:v>
                  </c:pt>
                  <c:pt idx="124">
                    <c:v>2012</c:v>
                  </c:pt>
                  <c:pt idx="125">
                    <c:v>2013</c:v>
                  </c:pt>
                  <c:pt idx="126">
                    <c:v>2014</c:v>
                  </c:pt>
                  <c:pt idx="127">
                    <c:v>2015</c:v>
                  </c:pt>
                  <c:pt idx="128">
                    <c:v>2000</c:v>
                  </c:pt>
                  <c:pt idx="129">
                    <c:v>2001</c:v>
                  </c:pt>
                  <c:pt idx="130">
                    <c:v>2002</c:v>
                  </c:pt>
                  <c:pt idx="131">
                    <c:v>2003</c:v>
                  </c:pt>
                  <c:pt idx="132">
                    <c:v>2004</c:v>
                  </c:pt>
                  <c:pt idx="133">
                    <c:v>2005</c:v>
                  </c:pt>
                  <c:pt idx="134">
                    <c:v>2006</c:v>
                  </c:pt>
                  <c:pt idx="135">
                    <c:v>2007</c:v>
                  </c:pt>
                  <c:pt idx="136">
                    <c:v>2008</c:v>
                  </c:pt>
                  <c:pt idx="137">
                    <c:v>2009</c:v>
                  </c:pt>
                  <c:pt idx="138">
                    <c:v>2010</c:v>
                  </c:pt>
                  <c:pt idx="139">
                    <c:v>2011</c:v>
                  </c:pt>
                  <c:pt idx="140">
                    <c:v>2012</c:v>
                  </c:pt>
                  <c:pt idx="141">
                    <c:v>2013</c:v>
                  </c:pt>
                  <c:pt idx="142">
                    <c:v>2014</c:v>
                  </c:pt>
                  <c:pt idx="143">
                    <c:v>2015</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2000</c:v>
                  </c:pt>
                  <c:pt idx="161">
                    <c:v>2001</c:v>
                  </c:pt>
                  <c:pt idx="162">
                    <c:v>2002</c:v>
                  </c:pt>
                  <c:pt idx="163">
                    <c:v>2003</c:v>
                  </c:pt>
                  <c:pt idx="164">
                    <c:v>2004</c:v>
                  </c:pt>
                  <c:pt idx="165">
                    <c:v>2005</c:v>
                  </c:pt>
                  <c:pt idx="166">
                    <c:v>2006</c:v>
                  </c:pt>
                  <c:pt idx="167">
                    <c:v>2007</c:v>
                  </c:pt>
                  <c:pt idx="168">
                    <c:v>2008</c:v>
                  </c:pt>
                  <c:pt idx="169">
                    <c:v>2009</c:v>
                  </c:pt>
                  <c:pt idx="170">
                    <c:v>2010</c:v>
                  </c:pt>
                  <c:pt idx="171">
                    <c:v>2011</c:v>
                  </c:pt>
                  <c:pt idx="172">
                    <c:v>2012</c:v>
                  </c:pt>
                  <c:pt idx="173">
                    <c:v>2013</c:v>
                  </c:pt>
                  <c:pt idx="174">
                    <c:v>2014</c:v>
                  </c:pt>
                  <c:pt idx="175">
                    <c:v>2015</c:v>
                  </c:pt>
                  <c:pt idx="176">
                    <c:v>2000</c:v>
                  </c:pt>
                  <c:pt idx="177">
                    <c:v>2001</c:v>
                  </c:pt>
                  <c:pt idx="178">
                    <c:v>2002</c:v>
                  </c:pt>
                  <c:pt idx="179">
                    <c:v>2003</c:v>
                  </c:pt>
                  <c:pt idx="180">
                    <c:v>2004</c:v>
                  </c:pt>
                  <c:pt idx="181">
                    <c:v>2005</c:v>
                  </c:pt>
                  <c:pt idx="182">
                    <c:v>2006</c:v>
                  </c:pt>
                  <c:pt idx="183">
                    <c:v>2007</c:v>
                  </c:pt>
                  <c:pt idx="184">
                    <c:v>2008</c:v>
                  </c:pt>
                  <c:pt idx="185">
                    <c:v>2009</c:v>
                  </c:pt>
                  <c:pt idx="186">
                    <c:v>2010</c:v>
                  </c:pt>
                  <c:pt idx="187">
                    <c:v>2011</c:v>
                  </c:pt>
                  <c:pt idx="188">
                    <c:v>2012</c:v>
                  </c:pt>
                  <c:pt idx="189">
                    <c:v>2013</c:v>
                  </c:pt>
                  <c:pt idx="190">
                    <c:v>2014</c:v>
                  </c:pt>
                  <c:pt idx="191">
                    <c:v>2015</c:v>
                  </c:pt>
                </c:lvl>
                <c:lvl>
                  <c:pt idx="0">
                    <c:v>Albania</c:v>
                  </c:pt>
                  <c:pt idx="16">
                    <c:v>BiH</c:v>
                  </c:pt>
                  <c:pt idx="32">
                    <c:v>Bulgaria</c:v>
                  </c:pt>
                  <c:pt idx="48">
                    <c:v>Croatia</c:v>
                  </c:pt>
                  <c:pt idx="64">
                    <c:v>Cyprus</c:v>
                  </c:pt>
                  <c:pt idx="80">
                    <c:v>Greece</c:v>
                  </c:pt>
                  <c:pt idx="96">
                    <c:v>Macedonia</c:v>
                  </c:pt>
                  <c:pt idx="112">
                    <c:v>Moldova</c:v>
                  </c:pt>
                  <c:pt idx="128">
                    <c:v>Romania</c:v>
                  </c:pt>
                  <c:pt idx="144">
                    <c:v>Serbia</c:v>
                  </c:pt>
                  <c:pt idx="160">
                    <c:v>Slovenia</c:v>
                  </c:pt>
                  <c:pt idx="176">
                    <c:v>Turkey</c:v>
                  </c:pt>
                </c:lvl>
              </c:multiLvlStrCache>
            </c:multiLvlStrRef>
          </c:cat>
          <c:val>
            <c:numRef>
              <c:f>Sheet1!$C$2:$C$193</c:f>
              <c:numCache>
                <c:formatCode>0.0</c:formatCode>
                <c:ptCount val="192"/>
                <c:pt idx="0">
                  <c:v>97</c:v>
                </c:pt>
                <c:pt idx="1">
                  <c:v>97</c:v>
                </c:pt>
                <c:pt idx="2">
                  <c:v>98</c:v>
                </c:pt>
                <c:pt idx="3">
                  <c:v>97</c:v>
                </c:pt>
                <c:pt idx="4">
                  <c:v>97</c:v>
                </c:pt>
                <c:pt idx="5">
                  <c:v>98</c:v>
                </c:pt>
                <c:pt idx="6">
                  <c:v>97</c:v>
                </c:pt>
                <c:pt idx="7">
                  <c:v>98</c:v>
                </c:pt>
                <c:pt idx="8">
                  <c:v>99</c:v>
                </c:pt>
                <c:pt idx="9">
                  <c:v>98</c:v>
                </c:pt>
                <c:pt idx="10">
                  <c:v>99</c:v>
                </c:pt>
                <c:pt idx="11">
                  <c:v>99</c:v>
                </c:pt>
                <c:pt idx="12">
                  <c:v>99</c:v>
                </c:pt>
                <c:pt idx="13">
                  <c:v>99</c:v>
                </c:pt>
                <c:pt idx="14">
                  <c:v>98</c:v>
                </c:pt>
                <c:pt idx="15">
                  <c:v>99</c:v>
                </c:pt>
                <c:pt idx="16">
                  <c:v>85</c:v>
                </c:pt>
                <c:pt idx="17">
                  <c:v>91</c:v>
                </c:pt>
                <c:pt idx="18">
                  <c:v>80</c:v>
                </c:pt>
                <c:pt idx="19">
                  <c:v>87</c:v>
                </c:pt>
                <c:pt idx="20">
                  <c:v>84</c:v>
                </c:pt>
                <c:pt idx="21">
                  <c:v>93</c:v>
                </c:pt>
                <c:pt idx="22">
                  <c:v>87</c:v>
                </c:pt>
                <c:pt idx="23">
                  <c:v>95</c:v>
                </c:pt>
                <c:pt idx="24">
                  <c:v>91</c:v>
                </c:pt>
                <c:pt idx="25">
                  <c:v>90</c:v>
                </c:pt>
                <c:pt idx="26">
                  <c:v>89</c:v>
                </c:pt>
                <c:pt idx="27">
                  <c:v>88</c:v>
                </c:pt>
                <c:pt idx="28">
                  <c:v>92</c:v>
                </c:pt>
                <c:pt idx="29">
                  <c:v>89</c:v>
                </c:pt>
                <c:pt idx="30">
                  <c:v>86</c:v>
                </c:pt>
                <c:pt idx="31">
                  <c:v>82</c:v>
                </c:pt>
                <c:pt idx="32">
                  <c:v>93</c:v>
                </c:pt>
                <c:pt idx="33">
                  <c:v>94</c:v>
                </c:pt>
                <c:pt idx="34">
                  <c:v>93</c:v>
                </c:pt>
                <c:pt idx="35">
                  <c:v>96</c:v>
                </c:pt>
                <c:pt idx="36">
                  <c:v>95</c:v>
                </c:pt>
                <c:pt idx="37">
                  <c:v>96</c:v>
                </c:pt>
                <c:pt idx="38">
                  <c:v>95</c:v>
                </c:pt>
                <c:pt idx="39">
                  <c:v>95</c:v>
                </c:pt>
                <c:pt idx="40">
                  <c:v>95</c:v>
                </c:pt>
                <c:pt idx="41">
                  <c:v>94</c:v>
                </c:pt>
                <c:pt idx="42">
                  <c:v>94</c:v>
                </c:pt>
                <c:pt idx="43">
                  <c:v>95</c:v>
                </c:pt>
                <c:pt idx="44">
                  <c:v>95</c:v>
                </c:pt>
                <c:pt idx="45">
                  <c:v>95</c:v>
                </c:pt>
                <c:pt idx="46">
                  <c:v>88</c:v>
                </c:pt>
                <c:pt idx="47">
                  <c:v>91</c:v>
                </c:pt>
                <c:pt idx="48">
                  <c:v>93</c:v>
                </c:pt>
                <c:pt idx="49">
                  <c:v>94</c:v>
                </c:pt>
                <c:pt idx="50">
                  <c:v>95</c:v>
                </c:pt>
                <c:pt idx="51">
                  <c:v>94</c:v>
                </c:pt>
                <c:pt idx="52">
                  <c:v>96</c:v>
                </c:pt>
                <c:pt idx="53">
                  <c:v>96</c:v>
                </c:pt>
                <c:pt idx="54">
                  <c:v>96</c:v>
                </c:pt>
                <c:pt idx="55">
                  <c:v>96</c:v>
                </c:pt>
                <c:pt idx="56">
                  <c:v>96</c:v>
                </c:pt>
                <c:pt idx="57">
                  <c:v>96</c:v>
                </c:pt>
                <c:pt idx="58">
                  <c:v>97</c:v>
                </c:pt>
                <c:pt idx="59">
                  <c:v>96</c:v>
                </c:pt>
                <c:pt idx="60">
                  <c:v>96</c:v>
                </c:pt>
                <c:pt idx="61">
                  <c:v>96</c:v>
                </c:pt>
                <c:pt idx="62">
                  <c:v>95</c:v>
                </c:pt>
                <c:pt idx="63">
                  <c:v>94</c:v>
                </c:pt>
                <c:pt idx="64">
                  <c:v>97</c:v>
                </c:pt>
                <c:pt idx="65">
                  <c:v>97</c:v>
                </c:pt>
                <c:pt idx="66">
                  <c:v>98</c:v>
                </c:pt>
                <c:pt idx="67">
                  <c:v>98</c:v>
                </c:pt>
                <c:pt idx="68">
                  <c:v>98</c:v>
                </c:pt>
                <c:pt idx="69">
                  <c:v>98</c:v>
                </c:pt>
                <c:pt idx="70">
                  <c:v>97</c:v>
                </c:pt>
                <c:pt idx="71">
                  <c:v>97</c:v>
                </c:pt>
                <c:pt idx="72">
                  <c:v>97</c:v>
                </c:pt>
                <c:pt idx="73">
                  <c:v>99</c:v>
                </c:pt>
                <c:pt idx="74">
                  <c:v>99</c:v>
                </c:pt>
                <c:pt idx="75">
                  <c:v>99</c:v>
                </c:pt>
                <c:pt idx="76">
                  <c:v>99</c:v>
                </c:pt>
                <c:pt idx="77">
                  <c:v>99</c:v>
                </c:pt>
                <c:pt idx="78">
                  <c:v>99</c:v>
                </c:pt>
                <c:pt idx="79">
                  <c:v>97</c:v>
                </c:pt>
                <c:pt idx="80">
                  <c:v>89</c:v>
                </c:pt>
                <c:pt idx="81">
                  <c:v>91</c:v>
                </c:pt>
                <c:pt idx="82">
                  <c:v>92</c:v>
                </c:pt>
                <c:pt idx="83">
                  <c:v>94</c:v>
                </c:pt>
                <c:pt idx="84">
                  <c:v>95</c:v>
                </c:pt>
                <c:pt idx="85">
                  <c:v>96</c:v>
                </c:pt>
                <c:pt idx="86">
                  <c:v>98</c:v>
                </c:pt>
                <c:pt idx="87">
                  <c:v>99</c:v>
                </c:pt>
                <c:pt idx="88">
                  <c:v>99</c:v>
                </c:pt>
                <c:pt idx="89">
                  <c:v>99</c:v>
                </c:pt>
                <c:pt idx="90">
                  <c:v>99</c:v>
                </c:pt>
                <c:pt idx="91">
                  <c:v>99</c:v>
                </c:pt>
                <c:pt idx="92">
                  <c:v>99</c:v>
                </c:pt>
                <c:pt idx="93">
                  <c:v>99</c:v>
                </c:pt>
                <c:pt idx="94">
                  <c:v>99</c:v>
                </c:pt>
                <c:pt idx="95">
                  <c:v>99</c:v>
                </c:pt>
                <c:pt idx="96">
                  <c:v>95</c:v>
                </c:pt>
                <c:pt idx="97">
                  <c:v>91</c:v>
                </c:pt>
                <c:pt idx="98">
                  <c:v>96</c:v>
                </c:pt>
                <c:pt idx="99">
                  <c:v>96</c:v>
                </c:pt>
                <c:pt idx="100">
                  <c:v>94</c:v>
                </c:pt>
                <c:pt idx="101">
                  <c:v>97</c:v>
                </c:pt>
                <c:pt idx="102">
                  <c:v>93</c:v>
                </c:pt>
                <c:pt idx="103">
                  <c:v>95</c:v>
                </c:pt>
                <c:pt idx="104">
                  <c:v>95</c:v>
                </c:pt>
                <c:pt idx="105">
                  <c:v>96</c:v>
                </c:pt>
                <c:pt idx="106">
                  <c:v>95</c:v>
                </c:pt>
                <c:pt idx="107">
                  <c:v>96</c:v>
                </c:pt>
                <c:pt idx="108">
                  <c:v>95</c:v>
                </c:pt>
                <c:pt idx="109">
                  <c:v>98</c:v>
                </c:pt>
                <c:pt idx="110">
                  <c:v>95</c:v>
                </c:pt>
                <c:pt idx="111">
                  <c:v>91</c:v>
                </c:pt>
                <c:pt idx="112">
                  <c:v>95</c:v>
                </c:pt>
                <c:pt idx="113">
                  <c:v>97</c:v>
                </c:pt>
                <c:pt idx="114">
                  <c:v>97</c:v>
                </c:pt>
                <c:pt idx="115">
                  <c:v>98</c:v>
                </c:pt>
                <c:pt idx="116">
                  <c:v>98</c:v>
                </c:pt>
                <c:pt idx="117">
                  <c:v>98</c:v>
                </c:pt>
                <c:pt idx="118">
                  <c:v>97</c:v>
                </c:pt>
                <c:pt idx="119">
                  <c:v>92</c:v>
                </c:pt>
                <c:pt idx="120">
                  <c:v>90</c:v>
                </c:pt>
                <c:pt idx="121">
                  <c:v>85</c:v>
                </c:pt>
                <c:pt idx="122">
                  <c:v>90</c:v>
                </c:pt>
                <c:pt idx="123">
                  <c:v>93</c:v>
                </c:pt>
                <c:pt idx="124">
                  <c:v>92</c:v>
                </c:pt>
                <c:pt idx="125">
                  <c:v>90</c:v>
                </c:pt>
                <c:pt idx="126">
                  <c:v>90</c:v>
                </c:pt>
                <c:pt idx="127">
                  <c:v>87</c:v>
                </c:pt>
                <c:pt idx="128">
                  <c:v>99</c:v>
                </c:pt>
                <c:pt idx="129">
                  <c:v>99</c:v>
                </c:pt>
                <c:pt idx="130">
                  <c:v>98</c:v>
                </c:pt>
                <c:pt idx="131">
                  <c:v>97</c:v>
                </c:pt>
                <c:pt idx="132">
                  <c:v>97</c:v>
                </c:pt>
                <c:pt idx="133">
                  <c:v>97</c:v>
                </c:pt>
                <c:pt idx="134">
                  <c:v>97</c:v>
                </c:pt>
                <c:pt idx="135">
                  <c:v>96</c:v>
                </c:pt>
                <c:pt idx="136">
                  <c:v>96</c:v>
                </c:pt>
                <c:pt idx="137">
                  <c:v>95</c:v>
                </c:pt>
                <c:pt idx="138">
                  <c:v>94</c:v>
                </c:pt>
                <c:pt idx="139">
                  <c:v>89</c:v>
                </c:pt>
                <c:pt idx="140">
                  <c:v>91</c:v>
                </c:pt>
                <c:pt idx="141">
                  <c:v>92</c:v>
                </c:pt>
                <c:pt idx="142">
                  <c:v>94</c:v>
                </c:pt>
                <c:pt idx="143">
                  <c:v>89</c:v>
                </c:pt>
                <c:pt idx="144">
                  <c:v>95</c:v>
                </c:pt>
                <c:pt idx="145">
                  <c:v>93</c:v>
                </c:pt>
                <c:pt idx="146">
                  <c:v>95</c:v>
                </c:pt>
                <c:pt idx="147">
                  <c:v>89</c:v>
                </c:pt>
                <c:pt idx="148">
                  <c:v>88</c:v>
                </c:pt>
                <c:pt idx="149">
                  <c:v>98</c:v>
                </c:pt>
                <c:pt idx="150">
                  <c:v>92</c:v>
                </c:pt>
                <c:pt idx="151">
                  <c:v>94</c:v>
                </c:pt>
                <c:pt idx="152">
                  <c:v>95</c:v>
                </c:pt>
                <c:pt idx="153">
                  <c:v>95</c:v>
                </c:pt>
                <c:pt idx="154">
                  <c:v>91</c:v>
                </c:pt>
                <c:pt idx="155">
                  <c:v>94</c:v>
                </c:pt>
                <c:pt idx="156">
                  <c:v>91</c:v>
                </c:pt>
                <c:pt idx="157">
                  <c:v>95</c:v>
                </c:pt>
                <c:pt idx="158">
                  <c:v>93</c:v>
                </c:pt>
                <c:pt idx="159">
                  <c:v>95</c:v>
                </c:pt>
                <c:pt idx="160">
                  <c:v>91</c:v>
                </c:pt>
                <c:pt idx="161">
                  <c:v>92</c:v>
                </c:pt>
                <c:pt idx="162">
                  <c:v>93</c:v>
                </c:pt>
                <c:pt idx="163">
                  <c:v>95</c:v>
                </c:pt>
                <c:pt idx="164">
                  <c:v>94</c:v>
                </c:pt>
                <c:pt idx="165">
                  <c:v>95</c:v>
                </c:pt>
                <c:pt idx="166">
                  <c:v>97</c:v>
                </c:pt>
                <c:pt idx="167">
                  <c:v>97</c:v>
                </c:pt>
                <c:pt idx="168">
                  <c:v>97</c:v>
                </c:pt>
                <c:pt idx="169">
                  <c:v>96</c:v>
                </c:pt>
                <c:pt idx="170">
                  <c:v>96</c:v>
                </c:pt>
                <c:pt idx="171">
                  <c:v>96</c:v>
                </c:pt>
                <c:pt idx="172">
                  <c:v>96</c:v>
                </c:pt>
                <c:pt idx="173">
                  <c:v>95</c:v>
                </c:pt>
                <c:pt idx="174">
                  <c:v>95</c:v>
                </c:pt>
                <c:pt idx="175">
                  <c:v>95</c:v>
                </c:pt>
                <c:pt idx="176">
                  <c:v>85</c:v>
                </c:pt>
                <c:pt idx="177">
                  <c:v>88</c:v>
                </c:pt>
                <c:pt idx="178">
                  <c:v>78</c:v>
                </c:pt>
                <c:pt idx="179">
                  <c:v>68</c:v>
                </c:pt>
                <c:pt idx="180">
                  <c:v>85</c:v>
                </c:pt>
                <c:pt idx="181">
                  <c:v>90</c:v>
                </c:pt>
                <c:pt idx="182">
                  <c:v>90</c:v>
                </c:pt>
                <c:pt idx="183">
                  <c:v>96</c:v>
                </c:pt>
                <c:pt idx="184">
                  <c:v>96</c:v>
                </c:pt>
                <c:pt idx="185">
                  <c:v>96</c:v>
                </c:pt>
                <c:pt idx="186">
                  <c:v>97</c:v>
                </c:pt>
                <c:pt idx="187">
                  <c:v>97</c:v>
                </c:pt>
                <c:pt idx="188">
                  <c:v>97</c:v>
                </c:pt>
                <c:pt idx="189">
                  <c:v>98</c:v>
                </c:pt>
                <c:pt idx="190">
                  <c:v>96</c:v>
                </c:pt>
                <c:pt idx="191">
                  <c:v>97</c:v>
                </c:pt>
              </c:numCache>
            </c:numRef>
          </c:val>
        </c:ser>
        <c:dLbls>
          <c:showLegendKey val="0"/>
          <c:showVal val="0"/>
          <c:showCatName val="0"/>
          <c:showSerName val="0"/>
          <c:showPercent val="0"/>
          <c:showBubbleSize val="0"/>
        </c:dLbls>
        <c:gapWidth val="150"/>
        <c:axId val="849989120"/>
        <c:axId val="849985856"/>
      </c:barChart>
      <c:catAx>
        <c:axId val="849989120"/>
        <c:scaling>
          <c:orientation val="minMax"/>
        </c:scaling>
        <c:delete val="0"/>
        <c:axPos val="b"/>
        <c:numFmt formatCode="General" sourceLinked="0"/>
        <c:majorTickMark val="none"/>
        <c:minorTickMark val="none"/>
        <c:tickLblPos val="nextTo"/>
        <c:txPr>
          <a:bodyPr rot="-5400000" vert="horz"/>
          <a:lstStyle/>
          <a:p>
            <a:pPr>
              <a:defRPr sz="700"/>
            </a:pPr>
            <a:endParaRPr lang="en-US"/>
          </a:p>
        </c:txPr>
        <c:crossAx val="849985856"/>
        <c:crosses val="autoZero"/>
        <c:auto val="1"/>
        <c:lblAlgn val="ctr"/>
        <c:lblOffset val="100"/>
        <c:noMultiLvlLbl val="0"/>
      </c:catAx>
      <c:valAx>
        <c:axId val="849985856"/>
        <c:scaling>
          <c:orientation val="minMax"/>
          <c:max val="100"/>
        </c:scaling>
        <c:delete val="0"/>
        <c:axPos val="l"/>
        <c:majorGridlines/>
        <c:numFmt formatCode="0" sourceLinked="0"/>
        <c:majorTickMark val="out"/>
        <c:minorTickMark val="none"/>
        <c:tickLblPos val="nextTo"/>
        <c:txPr>
          <a:bodyPr/>
          <a:lstStyle/>
          <a:p>
            <a:pPr>
              <a:defRPr sz="900"/>
            </a:pPr>
            <a:endParaRPr lang="en-US"/>
          </a:p>
        </c:txPr>
        <c:crossAx val="84998912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86F5-BA38-41F9-AD9A-93152B32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dc:creator>
  <cp:lastModifiedBy>Windows User</cp:lastModifiedBy>
  <cp:revision>181</cp:revision>
  <dcterms:created xsi:type="dcterms:W3CDTF">2015-10-19T11:15:00Z</dcterms:created>
  <dcterms:modified xsi:type="dcterms:W3CDTF">2019-05-20T19:16:00Z</dcterms:modified>
</cp:coreProperties>
</file>