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BF" w:rsidRPr="005F6A2D" w:rsidRDefault="00754FAA" w:rsidP="008C59B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ДЕТЕРМИНАНТИ </w:t>
      </w:r>
      <w:r w:rsidR="007776AD">
        <w:rPr>
          <w:rFonts w:ascii="Times New Roman" w:hAnsi="Times New Roman" w:cs="Times New Roman"/>
          <w:b/>
          <w:sz w:val="28"/>
          <w:szCs w:val="24"/>
        </w:rPr>
        <w:t xml:space="preserve">И ПРЕДВИДУВАЊЕ НА </w:t>
      </w:r>
      <w:r>
        <w:rPr>
          <w:rFonts w:ascii="Times New Roman" w:hAnsi="Times New Roman" w:cs="Times New Roman"/>
          <w:b/>
          <w:sz w:val="28"/>
          <w:szCs w:val="24"/>
        </w:rPr>
        <w:t>НАЦИОНАЛНАТА ИНФЛАЦИЈА</w:t>
      </w:r>
    </w:p>
    <w:p w:rsidR="008C59B6" w:rsidRPr="00B33DE8" w:rsidRDefault="008C59B6" w:rsidP="008C59B6">
      <w:pPr>
        <w:spacing w:after="0" w:line="240" w:lineRule="auto"/>
        <w:jc w:val="center"/>
        <w:rPr>
          <w:rFonts w:ascii="Times New Roman" w:hAnsi="Times New Roman" w:cs="Times New Roman"/>
          <w:sz w:val="24"/>
          <w:szCs w:val="24"/>
        </w:rPr>
      </w:pPr>
    </w:p>
    <w:p w:rsidR="008C59B6" w:rsidRPr="003855B8" w:rsidRDefault="00587AE0" w:rsidP="008C59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доц. д-р Марија Трпкова-</w:t>
      </w:r>
      <w:r w:rsidR="008C59B6" w:rsidRPr="003855B8">
        <w:rPr>
          <w:rFonts w:ascii="Times New Roman" w:hAnsi="Times New Roman" w:cs="Times New Roman"/>
          <w:b/>
          <w:sz w:val="24"/>
          <w:szCs w:val="24"/>
        </w:rPr>
        <w:t xml:space="preserve">Несторовска </w:t>
      </w:r>
    </w:p>
    <w:p w:rsidR="008C59B6" w:rsidRPr="00B33DE8" w:rsidRDefault="008C59B6" w:rsidP="008C59B6">
      <w:pPr>
        <w:spacing w:after="0" w:line="240" w:lineRule="auto"/>
        <w:jc w:val="center"/>
        <w:rPr>
          <w:rFonts w:ascii="Times New Roman" w:hAnsi="Times New Roman" w:cs="Times New Roman"/>
          <w:sz w:val="24"/>
          <w:szCs w:val="24"/>
        </w:rPr>
      </w:pPr>
      <w:r w:rsidRPr="00B33DE8">
        <w:rPr>
          <w:rFonts w:ascii="Times New Roman" w:hAnsi="Times New Roman" w:cs="Times New Roman"/>
          <w:sz w:val="24"/>
          <w:szCs w:val="24"/>
        </w:rPr>
        <w:t>Економски факултет – Скопје, Универзитет „Св. Кирил и Методиј“ во Скопје</w:t>
      </w:r>
    </w:p>
    <w:p w:rsidR="008C59B6" w:rsidRPr="00B33DE8" w:rsidRDefault="008C59B6" w:rsidP="008C59B6">
      <w:pPr>
        <w:spacing w:after="0" w:line="240" w:lineRule="auto"/>
        <w:jc w:val="center"/>
        <w:rPr>
          <w:rFonts w:ascii="Times New Roman" w:hAnsi="Times New Roman" w:cs="Times New Roman"/>
          <w:sz w:val="24"/>
          <w:szCs w:val="24"/>
        </w:rPr>
      </w:pPr>
      <w:r w:rsidRPr="00B33DE8">
        <w:rPr>
          <w:rFonts w:ascii="Times New Roman" w:hAnsi="Times New Roman" w:cs="Times New Roman"/>
          <w:sz w:val="24"/>
          <w:szCs w:val="24"/>
          <w:lang w:val="en-US"/>
        </w:rPr>
        <w:t>marijat@eccf.ukim.edu.mk</w:t>
      </w:r>
    </w:p>
    <w:p w:rsidR="008C59B6" w:rsidRPr="00B33DE8" w:rsidRDefault="008C59B6" w:rsidP="008C59B6">
      <w:pPr>
        <w:spacing w:after="0" w:line="240" w:lineRule="auto"/>
        <w:jc w:val="center"/>
        <w:rPr>
          <w:rFonts w:ascii="Times New Roman" w:hAnsi="Times New Roman" w:cs="Times New Roman"/>
          <w:sz w:val="24"/>
          <w:szCs w:val="24"/>
        </w:rPr>
      </w:pPr>
    </w:p>
    <w:p w:rsidR="008C59B6" w:rsidRDefault="008C59B6" w:rsidP="008C59B6">
      <w:pPr>
        <w:spacing w:after="0" w:line="240" w:lineRule="auto"/>
        <w:ind w:firstLine="720"/>
        <w:rPr>
          <w:rFonts w:ascii="Times New Roman" w:hAnsi="Times New Roman" w:cs="Times New Roman"/>
          <w:b/>
          <w:sz w:val="24"/>
          <w:szCs w:val="24"/>
        </w:rPr>
      </w:pPr>
      <w:r w:rsidRPr="00B33DE8">
        <w:rPr>
          <w:rFonts w:ascii="Times New Roman" w:hAnsi="Times New Roman" w:cs="Times New Roman"/>
          <w:b/>
          <w:sz w:val="24"/>
          <w:szCs w:val="24"/>
        </w:rPr>
        <w:t>Апстракт</w:t>
      </w:r>
    </w:p>
    <w:p w:rsidR="00587AE0" w:rsidRPr="00B33DE8" w:rsidRDefault="00587AE0" w:rsidP="008C59B6">
      <w:pPr>
        <w:spacing w:after="0" w:line="240" w:lineRule="auto"/>
        <w:ind w:firstLine="720"/>
        <w:rPr>
          <w:rFonts w:ascii="Times New Roman" w:hAnsi="Times New Roman" w:cs="Times New Roman"/>
          <w:b/>
          <w:sz w:val="24"/>
          <w:szCs w:val="24"/>
        </w:rPr>
      </w:pPr>
    </w:p>
    <w:p w:rsidR="00754FAA" w:rsidRPr="00587AE0" w:rsidRDefault="00754FAA" w:rsidP="00754FAA">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sidRPr="00587AE0">
        <w:rPr>
          <w:rFonts w:ascii="Times New Roman" w:eastAsia="Calibri" w:hAnsi="Times New Roman" w:cs="Times New Roman"/>
          <w:i/>
          <w:sz w:val="24"/>
          <w:szCs w:val="24"/>
        </w:rPr>
        <w:t>Предмет на анализа на овој труд е векторскиот модел со корекција на грешка со блок егзогени ограничувања кој ги идентификува инфлациската инерција, глобалните цени на нафата, инфлацијата во Евро зоната, домашниот увоз и домашниот монетарен агрегат М1 како главни детерминанти на домашната инфлација. Големината и насоката на овие ефекти се потврдуваат преку функциите на импулсен одговор.</w:t>
      </w:r>
    </w:p>
    <w:p w:rsidR="00754FAA" w:rsidRPr="00587AE0" w:rsidRDefault="00754FAA" w:rsidP="00754FAA">
      <w:pPr>
        <w:spacing w:after="0" w:line="240" w:lineRule="auto"/>
        <w:jc w:val="both"/>
        <w:rPr>
          <w:rFonts w:ascii="Times New Roman" w:eastAsia="Calibri" w:hAnsi="Times New Roman" w:cs="Times New Roman"/>
          <w:i/>
          <w:sz w:val="24"/>
          <w:szCs w:val="24"/>
        </w:rPr>
      </w:pPr>
      <w:r w:rsidRPr="00587AE0">
        <w:rPr>
          <w:rFonts w:ascii="Times New Roman" w:eastAsia="Calibri" w:hAnsi="Times New Roman" w:cs="Times New Roman"/>
          <w:i/>
          <w:sz w:val="24"/>
          <w:szCs w:val="24"/>
        </w:rPr>
        <w:tab/>
        <w:t>Предвидените вредности на македоноскиот индекс на потрошувачки цени укажуваат на ниска инфлација и можност за ниска дефлација.</w:t>
      </w:r>
    </w:p>
    <w:p w:rsidR="00216FBF" w:rsidRDefault="00754FAA" w:rsidP="00754FAA">
      <w:pPr>
        <w:spacing w:after="0" w:line="240" w:lineRule="auto"/>
        <w:ind w:firstLine="720"/>
        <w:jc w:val="both"/>
        <w:rPr>
          <w:rFonts w:ascii="Times New Roman" w:hAnsi="Times New Roman" w:cs="Times New Roman"/>
          <w:i/>
          <w:sz w:val="24"/>
          <w:szCs w:val="24"/>
        </w:rPr>
      </w:pPr>
      <w:r w:rsidRPr="00216FBF">
        <w:rPr>
          <w:rFonts w:ascii="Times New Roman" w:eastAsia="Calibri" w:hAnsi="Times New Roman" w:cs="Times New Roman"/>
          <w:sz w:val="24"/>
          <w:szCs w:val="24"/>
          <w:lang w:val="en-US"/>
        </w:rPr>
        <w:tab/>
      </w:r>
      <w:r w:rsidR="007776AD" w:rsidRPr="007776AD">
        <w:rPr>
          <w:rFonts w:ascii="Times New Roman" w:hAnsi="Times New Roman" w:cs="Times New Roman"/>
          <w:i/>
          <w:sz w:val="24"/>
          <w:szCs w:val="24"/>
        </w:rPr>
        <w:t xml:space="preserve"> </w:t>
      </w:r>
    </w:p>
    <w:p w:rsidR="008C59B6" w:rsidRPr="00587AE0" w:rsidRDefault="008C59B6" w:rsidP="00897130">
      <w:pPr>
        <w:spacing w:after="0" w:line="240" w:lineRule="auto"/>
        <w:ind w:firstLine="720"/>
        <w:jc w:val="both"/>
        <w:rPr>
          <w:rFonts w:ascii="Times New Roman" w:hAnsi="Times New Roman" w:cs="Times New Roman"/>
          <w:b/>
          <w:sz w:val="24"/>
          <w:szCs w:val="24"/>
        </w:rPr>
      </w:pPr>
      <w:r w:rsidRPr="00181CA1">
        <w:rPr>
          <w:rFonts w:ascii="Times New Roman" w:hAnsi="Times New Roman" w:cs="Times New Roman"/>
          <w:b/>
          <w:sz w:val="24"/>
          <w:szCs w:val="24"/>
        </w:rPr>
        <w:t>Клучни зборови</w:t>
      </w:r>
      <w:r w:rsidRPr="00181CA1">
        <w:rPr>
          <w:rFonts w:ascii="Times New Roman" w:hAnsi="Times New Roman" w:cs="Times New Roman"/>
          <w:b/>
          <w:sz w:val="24"/>
          <w:szCs w:val="24"/>
          <w:lang w:val="en-US"/>
        </w:rPr>
        <w:t>:</w:t>
      </w:r>
      <w:r w:rsidRPr="00181CA1">
        <w:rPr>
          <w:rFonts w:ascii="Times New Roman" w:hAnsi="Times New Roman" w:cs="Times New Roman"/>
          <w:b/>
          <w:sz w:val="24"/>
          <w:szCs w:val="24"/>
        </w:rPr>
        <w:t xml:space="preserve"> </w:t>
      </w:r>
      <w:r w:rsidR="00216FBF" w:rsidRPr="00587AE0">
        <w:rPr>
          <w:rFonts w:ascii="Times New Roman" w:hAnsi="Times New Roman" w:cs="Times New Roman"/>
          <w:i/>
          <w:sz w:val="24"/>
          <w:szCs w:val="24"/>
        </w:rPr>
        <w:t xml:space="preserve">инфлација, векторски модел со корекција на грешка, </w:t>
      </w:r>
      <w:r w:rsidR="007776AD" w:rsidRPr="00587AE0">
        <w:rPr>
          <w:rFonts w:ascii="Times New Roman" w:hAnsi="Times New Roman" w:cs="Times New Roman"/>
          <w:i/>
          <w:sz w:val="24"/>
          <w:szCs w:val="24"/>
        </w:rPr>
        <w:t>предвидување</w:t>
      </w:r>
      <w:r w:rsidR="00587AE0" w:rsidRPr="00587AE0">
        <w:rPr>
          <w:rFonts w:ascii="Times New Roman" w:hAnsi="Times New Roman" w:cs="Times New Roman"/>
          <w:i/>
          <w:sz w:val="24"/>
          <w:szCs w:val="24"/>
          <w:lang w:val="en-US"/>
        </w:rPr>
        <w:t xml:space="preserve">, </w:t>
      </w:r>
      <w:r w:rsidR="00587AE0" w:rsidRPr="00587AE0">
        <w:rPr>
          <w:rFonts w:ascii="Times New Roman" w:hAnsi="Times New Roman" w:cs="Times New Roman"/>
          <w:i/>
          <w:sz w:val="24"/>
          <w:szCs w:val="24"/>
        </w:rPr>
        <w:t>Македонија</w:t>
      </w:r>
    </w:p>
    <w:p w:rsidR="008C59B6" w:rsidRDefault="008C59B6" w:rsidP="008C59B6">
      <w:pPr>
        <w:spacing w:after="0" w:line="240" w:lineRule="auto"/>
        <w:rPr>
          <w:rFonts w:ascii="Times New Roman" w:hAnsi="Times New Roman" w:cs="Times New Roman"/>
          <w:sz w:val="24"/>
          <w:szCs w:val="24"/>
        </w:rPr>
      </w:pPr>
    </w:p>
    <w:p w:rsidR="00F8672B" w:rsidRPr="00B33DE8" w:rsidRDefault="00F8672B" w:rsidP="008C59B6">
      <w:pPr>
        <w:spacing w:after="0" w:line="240" w:lineRule="auto"/>
        <w:rPr>
          <w:rFonts w:ascii="Times New Roman" w:hAnsi="Times New Roman" w:cs="Times New Roman"/>
          <w:sz w:val="24"/>
          <w:szCs w:val="24"/>
        </w:rPr>
      </w:pPr>
    </w:p>
    <w:p w:rsidR="008C59B6" w:rsidRDefault="008C59B6" w:rsidP="008C59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r w:rsidRPr="004F46CD">
        <w:rPr>
          <w:rFonts w:ascii="Times New Roman" w:hAnsi="Times New Roman" w:cs="Times New Roman"/>
          <w:b/>
          <w:sz w:val="24"/>
          <w:szCs w:val="24"/>
        </w:rPr>
        <w:t>овед</w:t>
      </w:r>
    </w:p>
    <w:p w:rsidR="008C59B6" w:rsidRDefault="008C59B6" w:rsidP="008C59B6">
      <w:pPr>
        <w:spacing w:after="0" w:line="240" w:lineRule="auto"/>
        <w:jc w:val="both"/>
        <w:rPr>
          <w:rFonts w:ascii="Times New Roman" w:hAnsi="Times New Roman" w:cs="Times New Roman"/>
          <w:sz w:val="24"/>
          <w:szCs w:val="24"/>
        </w:rPr>
      </w:pPr>
    </w:p>
    <w:p w:rsidR="00F265C6" w:rsidRDefault="0038351D" w:rsidP="00216FB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Изминатите две и пол години еден од најзначајните настани на глобалната економска сцена е значајниот пад на цената на нафтата. Што се случува со мала отворена економија, како што е Македонија, земја која е под големо влијание на глобалните економски трендови? Познато</w:t>
      </w:r>
      <w:r w:rsidR="00FA2F8D">
        <w:rPr>
          <w:rFonts w:ascii="Times New Roman" w:eastAsia="Calibri" w:hAnsi="Times New Roman" w:cs="Times New Roman"/>
          <w:sz w:val="24"/>
          <w:szCs w:val="24"/>
        </w:rPr>
        <w:t xml:space="preserve"> е дека цената на нафата и инфлацијата имаат директна зависност. Падот на цената на нафтата најчесто придонесува до дефлација. Дефлацијата е проблем на македонската економија во изминатите две и пол години, ист период од кога започна и падот на цената на нафтата. </w:t>
      </w:r>
    </w:p>
    <w:p w:rsidR="00A24823" w:rsidRPr="00A24823" w:rsidRDefault="00A24823" w:rsidP="00216FBF">
      <w:pPr>
        <w:spacing w:after="0" w:line="240" w:lineRule="auto"/>
        <w:ind w:firstLine="720"/>
        <w:jc w:val="both"/>
        <w:rPr>
          <w:rFonts w:ascii="Times New Roman" w:eastAsia="Calibri" w:hAnsi="Times New Roman" w:cs="Times New Roman"/>
          <w:sz w:val="24"/>
          <w:szCs w:val="24"/>
        </w:rPr>
      </w:pPr>
    </w:p>
    <w:p w:rsidR="00216FBF" w:rsidRPr="00014A69" w:rsidRDefault="00951FCE" w:rsidP="00014A69">
      <w:pPr>
        <w:spacing w:after="0" w:line="240" w:lineRule="auto"/>
        <w:jc w:val="center"/>
        <w:rPr>
          <w:rFonts w:ascii="Times New Roman" w:hAnsi="Times New Roman" w:cs="Times New Roman"/>
          <w:i/>
          <w:sz w:val="24"/>
          <w:szCs w:val="24"/>
        </w:rPr>
      </w:pPr>
      <w:r w:rsidRPr="00014A69">
        <w:rPr>
          <w:rFonts w:ascii="Times New Roman" w:hAnsi="Times New Roman" w:cs="Times New Roman"/>
          <w:i/>
          <w:sz w:val="24"/>
          <w:szCs w:val="24"/>
        </w:rPr>
        <w:t>Слика 1</w:t>
      </w:r>
      <w:r w:rsidR="00216FBF" w:rsidRPr="00014A69">
        <w:rPr>
          <w:rFonts w:ascii="Times New Roman" w:hAnsi="Times New Roman" w:cs="Times New Roman"/>
          <w:i/>
          <w:sz w:val="24"/>
          <w:szCs w:val="24"/>
        </w:rPr>
        <w:t xml:space="preserve"> </w:t>
      </w:r>
      <w:r w:rsidRPr="00014A69">
        <w:rPr>
          <w:rFonts w:ascii="Times New Roman" w:hAnsi="Times New Roman" w:cs="Times New Roman"/>
          <w:i/>
          <w:sz w:val="24"/>
          <w:szCs w:val="24"/>
        </w:rPr>
        <w:t>Индекс на потрошували цени на Р Македонија</w:t>
      </w:r>
      <w:r w:rsidR="00216FBF" w:rsidRPr="00014A69">
        <w:rPr>
          <w:rFonts w:ascii="Times New Roman" w:hAnsi="Times New Roman" w:cs="Times New Roman"/>
          <w:i/>
          <w:sz w:val="24"/>
          <w:szCs w:val="24"/>
        </w:rPr>
        <w:t xml:space="preserve"> (</w:t>
      </w:r>
      <w:r w:rsidRPr="00014A69">
        <w:rPr>
          <w:rFonts w:ascii="Times New Roman" w:hAnsi="Times New Roman" w:cs="Times New Roman"/>
          <w:i/>
          <w:sz w:val="24"/>
          <w:szCs w:val="24"/>
        </w:rPr>
        <w:t>годишна стапка на промена</w:t>
      </w:r>
      <w:r w:rsidR="00216FBF" w:rsidRPr="00014A69">
        <w:rPr>
          <w:rFonts w:ascii="Times New Roman" w:hAnsi="Times New Roman" w:cs="Times New Roman"/>
          <w:i/>
          <w:sz w:val="24"/>
          <w:szCs w:val="24"/>
        </w:rPr>
        <w:t>)</w:t>
      </w:r>
    </w:p>
    <w:p w:rsidR="00216FBF" w:rsidRPr="00216FBF" w:rsidRDefault="00216FBF" w:rsidP="00951FCE">
      <w:pPr>
        <w:spacing w:after="0" w:line="240" w:lineRule="auto"/>
        <w:ind w:firstLine="720"/>
        <w:jc w:val="center"/>
        <w:rPr>
          <w:rFonts w:ascii="Times New Roman" w:eastAsia="Calibri" w:hAnsi="Times New Roman" w:cs="Times New Roman"/>
          <w:b/>
          <w:sz w:val="24"/>
          <w:szCs w:val="24"/>
          <w:lang w:val="en-US"/>
        </w:rPr>
      </w:pPr>
      <w:r w:rsidRPr="00216FBF">
        <w:rPr>
          <w:rFonts w:ascii="Times New Roman" w:eastAsia="Calibri" w:hAnsi="Times New Roman" w:cs="Times New Roman"/>
          <w:b/>
          <w:noProof/>
          <w:sz w:val="24"/>
          <w:szCs w:val="24"/>
          <w:lang w:val="en-US"/>
        </w:rPr>
        <w:drawing>
          <wp:inline distT="0" distB="0" distL="0" distR="0">
            <wp:extent cx="3081523" cy="2072555"/>
            <wp:effectExtent l="19050" t="0" r="23627" b="38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6FBF" w:rsidRPr="00A24823" w:rsidRDefault="0038351D" w:rsidP="00014A69">
      <w:pPr>
        <w:spacing w:after="0" w:line="240" w:lineRule="auto"/>
        <w:jc w:val="both"/>
        <w:rPr>
          <w:rFonts w:ascii="Times New Roman" w:hAnsi="Times New Roman" w:cs="Times New Roman"/>
          <w:szCs w:val="24"/>
        </w:rPr>
      </w:pPr>
      <w:r>
        <w:rPr>
          <w:rFonts w:ascii="Times New Roman" w:hAnsi="Times New Roman" w:cs="Times New Roman"/>
          <w:szCs w:val="24"/>
        </w:rPr>
        <w:t>Извор</w:t>
      </w:r>
      <w:r w:rsidR="00216FBF" w:rsidRPr="00A24823">
        <w:rPr>
          <w:rFonts w:ascii="Times New Roman" w:hAnsi="Times New Roman" w:cs="Times New Roman"/>
          <w:szCs w:val="24"/>
        </w:rPr>
        <w:t xml:space="preserve">: </w:t>
      </w:r>
      <w:r>
        <w:rPr>
          <w:rFonts w:ascii="Times New Roman" w:hAnsi="Times New Roman" w:cs="Times New Roman"/>
          <w:szCs w:val="24"/>
        </w:rPr>
        <w:t>Народна Банка на Република Македонија</w:t>
      </w:r>
    </w:p>
    <w:p w:rsidR="00216FBF" w:rsidRPr="00216FBF" w:rsidRDefault="00216FBF" w:rsidP="00216FBF">
      <w:pPr>
        <w:spacing w:after="0" w:line="240" w:lineRule="auto"/>
        <w:ind w:firstLine="720"/>
        <w:jc w:val="both"/>
        <w:rPr>
          <w:rFonts w:ascii="Times New Roman" w:eastAsia="Calibri" w:hAnsi="Times New Roman" w:cs="Times New Roman"/>
          <w:sz w:val="24"/>
          <w:szCs w:val="24"/>
          <w:lang w:val="en-US"/>
        </w:rPr>
      </w:pPr>
    </w:p>
    <w:p w:rsidR="0010004F" w:rsidRDefault="0010004F" w:rsidP="0010004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Целта на овој труд е да ги открие клучните детерминанти на инфлацијата, со акцент на цената на нафтата. Откако влијанието на оваа детерминанта е статистички потврдено, потенцијалните закани кон националната економија од дефлацијата можат </w:t>
      </w:r>
      <w:r>
        <w:rPr>
          <w:rFonts w:ascii="Times New Roman" w:eastAsia="Calibri" w:hAnsi="Times New Roman" w:cs="Times New Roman"/>
          <w:sz w:val="24"/>
          <w:szCs w:val="24"/>
        </w:rPr>
        <w:lastRenderedPageBreak/>
        <w:t>да се идентификуваат и монетарнта политика може да предземе мерки со кои ќе се намали дефлаторниот притисок.</w:t>
      </w:r>
    </w:p>
    <w:p w:rsidR="0010004F" w:rsidRDefault="0010004F" w:rsidP="0010004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Инфлацијата во РМ се мери преку индексот на потрошувачки цени (искажан како годишна стапка на промена, слика 1). Движењето на оваа серија е динамично. Од јануари 2003 до август 2007 година инфлацијата е релативно стабилна, ненадминувајќи повеќе од 3%. Влијанието на Светската економска криза започнува од септември 2007 година и веќе во март 2008 година стапката на инфлација го достигнува својот максимум од 10,2%. Трендот започнува да се намалува и да се стабилизира во 2009 година. Во март и мај 2011 година се забележува повторен раст на инфлацијата од 5,2%. Од септември 2013 инфлацијата бележи опаѓачки тренд, пред се поради дефлацијата во Евро зоната, додека во 2014 и 2015 година падот на цената на нафтата придонесува значително на движењето на трендот.</w:t>
      </w:r>
    </w:p>
    <w:p w:rsidR="005B2A3E" w:rsidRDefault="005B2A3E" w:rsidP="00216FB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Основната цел на овој труд е да креира соодветен модел кој ќе ги објасни клучните фактори кои влијаат на македонската инфлација.</w:t>
      </w:r>
    </w:p>
    <w:p w:rsidR="00FF1934" w:rsidRPr="00FF1934" w:rsidRDefault="00FF1934" w:rsidP="0086090C">
      <w:pPr>
        <w:spacing w:after="0" w:line="240" w:lineRule="auto"/>
        <w:ind w:firstLine="720"/>
        <w:jc w:val="both"/>
        <w:rPr>
          <w:rFonts w:ascii="Times New Roman" w:hAnsi="Times New Roman" w:cs="Times New Roman"/>
          <w:sz w:val="24"/>
          <w:szCs w:val="24"/>
        </w:rPr>
      </w:pPr>
    </w:p>
    <w:p w:rsidR="008C59B6" w:rsidRPr="00E87A81" w:rsidRDefault="008C59B6" w:rsidP="008C59B6">
      <w:pPr>
        <w:spacing w:after="0" w:line="240" w:lineRule="auto"/>
        <w:jc w:val="both"/>
        <w:rPr>
          <w:rFonts w:ascii="Times New Roman" w:hAnsi="Times New Roman" w:cs="Times New Roman"/>
          <w:color w:val="8DB3E2" w:themeColor="text2" w:themeTint="66"/>
          <w:sz w:val="24"/>
          <w:szCs w:val="24"/>
        </w:rPr>
      </w:pPr>
    </w:p>
    <w:p w:rsidR="008C59B6" w:rsidRDefault="00951FCE" w:rsidP="008C59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Преглед на литература</w:t>
      </w:r>
    </w:p>
    <w:p w:rsidR="008C59B6" w:rsidRDefault="008C59B6" w:rsidP="008C59B6">
      <w:pPr>
        <w:spacing w:after="0" w:line="240" w:lineRule="auto"/>
        <w:jc w:val="both"/>
        <w:rPr>
          <w:rFonts w:ascii="Times New Roman" w:hAnsi="Times New Roman" w:cs="Times New Roman"/>
          <w:sz w:val="24"/>
          <w:szCs w:val="24"/>
        </w:rPr>
      </w:pPr>
      <w:r w:rsidRPr="00B03512">
        <w:rPr>
          <w:rFonts w:ascii="Times New Roman" w:hAnsi="Times New Roman" w:cs="Times New Roman"/>
          <w:sz w:val="24"/>
          <w:szCs w:val="24"/>
        </w:rPr>
        <w:tab/>
      </w:r>
    </w:p>
    <w:p w:rsidR="005B2A3E" w:rsidRDefault="005B2A3E" w:rsidP="00216FBF">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Следи преглед на трудови со најзначани истражувања за инфлацијата во Македонија и остантатите земји со користење на векторски модел со корекција на грешка и останати економетриски техники.</w:t>
      </w:r>
    </w:p>
    <w:p w:rsidR="00216FBF" w:rsidRPr="00216FBF" w:rsidRDefault="005B1A75" w:rsidP="00216FBF">
      <w:pPr>
        <w:spacing w:after="0" w:line="240" w:lineRule="auto"/>
        <w:ind w:firstLine="720"/>
        <w:jc w:val="both"/>
        <w:rPr>
          <w:rFonts w:ascii="Times New Roman" w:eastAsiaTheme="minorEastAsia" w:hAnsi="Times New Roman" w:cs="Times New Roman"/>
          <w:sz w:val="24"/>
          <w:szCs w:val="24"/>
          <w:lang w:val="en-US"/>
        </w:rPr>
      </w:pPr>
      <w:r w:rsidRPr="00B33FFF">
        <w:rPr>
          <w:rFonts w:ascii="Times New Roman" w:eastAsiaTheme="minorEastAsia" w:hAnsi="Times New Roman" w:cs="Times New Roman"/>
          <w:sz w:val="24"/>
          <w:szCs w:val="24"/>
        </w:rPr>
        <w:t>Многу трудови ја истражуваат инфлацијата во Евро зоната или во одредена земја од ЕУ, со посебен акцент на предвидување на инфлацијата. Како позначајни трудови можат да се наведат:</w:t>
      </w:r>
      <w:r w:rsidR="00216FBF" w:rsidRPr="00B33FFF">
        <w:rPr>
          <w:rFonts w:ascii="Times New Roman" w:eastAsiaTheme="minorEastAsia" w:hAnsi="Times New Roman" w:cs="Times New Roman"/>
          <w:sz w:val="24"/>
          <w:szCs w:val="24"/>
          <w:lang w:val="en-US"/>
        </w:rPr>
        <w:t xml:space="preserve"> Campa – Mencez and Kapetanious (2004); Espasa and Albacete (2001); Hubrich (2003); Marcellino et. al. (2003); Marcellino (2004).</w:t>
      </w:r>
    </w:p>
    <w:p w:rsidR="00CD4DE4" w:rsidRPr="00B33FFF" w:rsidRDefault="00CD4DE4" w:rsidP="00B33FFF">
      <w:pPr>
        <w:spacing w:after="0" w:line="240" w:lineRule="auto"/>
        <w:ind w:firstLine="720"/>
        <w:jc w:val="both"/>
        <w:rPr>
          <w:rFonts w:ascii="Times New Roman" w:eastAsiaTheme="minorEastAsia" w:hAnsi="Times New Roman" w:cs="Times New Roman"/>
          <w:sz w:val="24"/>
          <w:szCs w:val="24"/>
        </w:rPr>
      </w:pPr>
      <w:r w:rsidRPr="00CD4DE4">
        <w:rPr>
          <w:rFonts w:ascii="Times New Roman" w:eastAsiaTheme="minorEastAsia" w:hAnsi="Times New Roman" w:cs="Times New Roman"/>
          <w:sz w:val="24"/>
          <w:szCs w:val="24"/>
        </w:rPr>
        <w:t>Инфлацијата е предмет на истражување и кај поранешните Југословенски републики.</w:t>
      </w:r>
      <w:r w:rsidR="00B33FFF">
        <w:rPr>
          <w:rFonts w:ascii="Times New Roman" w:eastAsiaTheme="minorEastAsia" w:hAnsi="Times New Roman" w:cs="Times New Roman"/>
          <w:sz w:val="24"/>
          <w:szCs w:val="24"/>
          <w:lang w:val="en-US"/>
        </w:rPr>
        <w:t xml:space="preserve"> </w:t>
      </w:r>
      <w:r w:rsidRPr="00CD4DE4">
        <w:rPr>
          <w:rFonts w:ascii="Times New Roman" w:eastAsiaTheme="minorEastAsia" w:hAnsi="Times New Roman" w:cs="Times New Roman"/>
          <w:sz w:val="24"/>
          <w:szCs w:val="24"/>
          <w:lang w:val="en-US"/>
        </w:rPr>
        <w:t>Mladenović (2009</w:t>
      </w:r>
      <w:r w:rsidRPr="00CD4DE4">
        <w:rPr>
          <w:rFonts w:ascii="Times New Roman" w:eastAsiaTheme="minorEastAsia" w:hAnsi="Times New Roman" w:cs="Times New Roman"/>
          <w:sz w:val="24"/>
          <w:szCs w:val="24"/>
        </w:rPr>
        <w:t>) го испитува односот помеѓу инфлацијата и несигурноста на инфлацијата во Србија. Основниот заклучок на овој труд е дека високата инфлација носи и висока несигурност, додека високата несигурност долгорочно има негативно влијание на нивото на инфлација.</w:t>
      </w:r>
      <w:r w:rsidR="00B33FFF">
        <w:rPr>
          <w:rFonts w:ascii="Times New Roman" w:eastAsiaTheme="minorEastAsia" w:hAnsi="Times New Roman" w:cs="Times New Roman"/>
          <w:sz w:val="24"/>
          <w:szCs w:val="24"/>
          <w:lang w:val="en-US"/>
        </w:rPr>
        <w:t xml:space="preserve"> </w:t>
      </w:r>
      <w:r w:rsidRPr="00CD4DE4">
        <w:rPr>
          <w:rFonts w:ascii="Times New Roman" w:eastAsiaTheme="minorEastAsia" w:hAnsi="Times New Roman" w:cs="Times New Roman"/>
          <w:sz w:val="24"/>
          <w:szCs w:val="24"/>
        </w:rPr>
        <w:t xml:space="preserve">Инфлацијата во Србија е предмет на истражување во повеќе трудови, </w:t>
      </w:r>
      <w:r w:rsidRPr="00CD4DE4">
        <w:rPr>
          <w:rFonts w:ascii="Times New Roman" w:eastAsiaTheme="minorEastAsia" w:hAnsi="Times New Roman" w:cs="Times New Roman"/>
          <w:sz w:val="24"/>
          <w:szCs w:val="24"/>
          <w:lang w:val="en-US"/>
        </w:rPr>
        <w:t>Mladenović i Nojković (2011)</w:t>
      </w:r>
      <w:r w:rsidRPr="00CD4DE4">
        <w:rPr>
          <w:rFonts w:ascii="Times New Roman" w:eastAsiaTheme="minorEastAsia" w:hAnsi="Times New Roman" w:cs="Times New Roman"/>
          <w:sz w:val="24"/>
          <w:szCs w:val="24"/>
        </w:rPr>
        <w:t xml:space="preserve">, </w:t>
      </w:r>
      <w:r w:rsidRPr="00CD4DE4">
        <w:rPr>
          <w:rFonts w:ascii="Times New Roman" w:eastAsiaTheme="minorEastAsia" w:hAnsi="Times New Roman" w:cs="Times New Roman"/>
          <w:sz w:val="24"/>
          <w:szCs w:val="24"/>
          <w:lang w:val="en-US"/>
        </w:rPr>
        <w:t>Mladenović i Nojković (201</w:t>
      </w:r>
      <w:r w:rsidRPr="00CD4DE4">
        <w:rPr>
          <w:rFonts w:ascii="Times New Roman" w:eastAsiaTheme="minorEastAsia" w:hAnsi="Times New Roman" w:cs="Times New Roman"/>
          <w:sz w:val="24"/>
          <w:szCs w:val="24"/>
        </w:rPr>
        <w:t>2</w:t>
      </w:r>
      <w:r w:rsidRPr="00CD4DE4">
        <w:rPr>
          <w:rFonts w:ascii="Times New Roman" w:eastAsiaTheme="minorEastAsia" w:hAnsi="Times New Roman" w:cs="Times New Roman"/>
          <w:sz w:val="24"/>
          <w:szCs w:val="24"/>
          <w:lang w:val="en-US"/>
        </w:rPr>
        <w:t>)</w:t>
      </w:r>
      <w:r w:rsidRPr="00CD4DE4">
        <w:rPr>
          <w:rFonts w:ascii="Times New Roman" w:eastAsiaTheme="minorEastAsia" w:hAnsi="Times New Roman" w:cs="Times New Roman"/>
          <w:sz w:val="24"/>
          <w:szCs w:val="24"/>
        </w:rPr>
        <w:t xml:space="preserve">, </w:t>
      </w:r>
      <w:r w:rsidRPr="00CD4DE4">
        <w:rPr>
          <w:rFonts w:ascii="Times New Roman" w:eastAsiaTheme="minorEastAsia" w:hAnsi="Times New Roman" w:cs="Times New Roman"/>
          <w:sz w:val="24"/>
          <w:szCs w:val="24"/>
          <w:lang w:val="en-US"/>
        </w:rPr>
        <w:t>Gorbanyov (2005)</w:t>
      </w:r>
      <w:r w:rsidRPr="00CD4DE4">
        <w:rPr>
          <w:rFonts w:ascii="Times New Roman" w:eastAsiaTheme="minorEastAsia" w:hAnsi="Times New Roman" w:cs="Times New Roman"/>
          <w:sz w:val="24"/>
          <w:szCs w:val="24"/>
        </w:rPr>
        <w:t xml:space="preserve"> и</w:t>
      </w:r>
      <w:r w:rsidRPr="00CD4DE4">
        <w:rPr>
          <w:rFonts w:ascii="Times New Roman" w:eastAsiaTheme="minorEastAsia" w:hAnsi="Times New Roman" w:cs="Times New Roman"/>
          <w:sz w:val="24"/>
          <w:szCs w:val="24"/>
          <w:lang w:val="en-US"/>
        </w:rPr>
        <w:t xml:space="preserve"> Petrović i Mladenović (2005).</w:t>
      </w:r>
    </w:p>
    <w:p w:rsidR="00CD4DE4" w:rsidRPr="00CD4DE4" w:rsidRDefault="00CD4DE4" w:rsidP="00CD4DE4">
      <w:pPr>
        <w:spacing w:after="0" w:line="240" w:lineRule="auto"/>
        <w:ind w:firstLine="720"/>
        <w:jc w:val="both"/>
        <w:rPr>
          <w:rFonts w:ascii="Times New Roman" w:eastAsiaTheme="minorEastAsia" w:hAnsi="Times New Roman" w:cs="Times New Roman"/>
          <w:sz w:val="24"/>
          <w:szCs w:val="24"/>
        </w:rPr>
      </w:pPr>
      <w:r w:rsidRPr="00CD4DE4">
        <w:rPr>
          <w:rFonts w:ascii="Times New Roman" w:eastAsiaTheme="minorEastAsia" w:hAnsi="Times New Roman" w:cs="Times New Roman"/>
          <w:sz w:val="24"/>
          <w:szCs w:val="24"/>
        </w:rPr>
        <w:t xml:space="preserve">Влијанието на екстерните шокови врз инфлацијата и бруто домашниот производ на Хрватска се испитува во трудот на </w:t>
      </w:r>
      <w:r w:rsidRPr="00CD4DE4">
        <w:rPr>
          <w:rFonts w:ascii="Times New Roman" w:eastAsiaTheme="minorEastAsia" w:hAnsi="Times New Roman" w:cs="Times New Roman"/>
          <w:sz w:val="24"/>
          <w:szCs w:val="24"/>
          <w:lang w:val="en-US"/>
        </w:rPr>
        <w:t>Krznar i Kunovac (2010)</w:t>
      </w:r>
      <w:r w:rsidRPr="00CD4DE4">
        <w:rPr>
          <w:rFonts w:ascii="Times New Roman" w:eastAsiaTheme="minorEastAsia" w:hAnsi="Times New Roman" w:cs="Times New Roman"/>
          <w:sz w:val="24"/>
          <w:szCs w:val="24"/>
        </w:rPr>
        <w:t xml:space="preserve">. Резултатите од истражувањето добиени со векторски авторегресивен модел со блок – егзогени ограничувања води до заклучок дека ефектите од шоковите на светските цени врз цените на производителите и цените на потрошувачите се значајни. Исто така, шоковите кај бруто домашниот производ на ЕУ се главни детерминанти на реакцијата на домашната економска активност и се главен извор на флуктуациите кај хрватскиот бруто домашен производ. </w:t>
      </w:r>
    </w:p>
    <w:p w:rsidR="00CD4DE4" w:rsidRPr="00CD4DE4" w:rsidRDefault="00CD4DE4" w:rsidP="00CD4DE4">
      <w:pPr>
        <w:spacing w:after="0" w:line="240" w:lineRule="auto"/>
        <w:ind w:firstLine="720"/>
        <w:jc w:val="both"/>
        <w:rPr>
          <w:rFonts w:ascii="Times New Roman" w:eastAsiaTheme="minorEastAsia" w:hAnsi="Times New Roman" w:cs="Times New Roman"/>
          <w:sz w:val="24"/>
          <w:szCs w:val="24"/>
        </w:rPr>
      </w:pPr>
      <w:r w:rsidRPr="00CD4DE4">
        <w:rPr>
          <w:rFonts w:ascii="Times New Roman" w:eastAsiaTheme="minorEastAsia" w:hAnsi="Times New Roman" w:cs="Times New Roman"/>
          <w:sz w:val="24"/>
          <w:szCs w:val="24"/>
        </w:rPr>
        <w:t xml:space="preserve">Моделирањето на инфлацијата во Хрватска и утврдувањето на нејзините детерминанти се предмет на многу истражувања, меѓу кои ќе се наведат </w:t>
      </w:r>
      <w:r w:rsidRPr="00CD4DE4">
        <w:rPr>
          <w:rFonts w:ascii="Times New Roman" w:eastAsiaTheme="minorEastAsia" w:hAnsi="Times New Roman" w:cs="Times New Roman"/>
          <w:sz w:val="24"/>
          <w:szCs w:val="24"/>
          <w:lang w:val="en-US"/>
        </w:rPr>
        <w:t>Vizek i Broz (2007)</w:t>
      </w:r>
      <w:r w:rsidRPr="00CD4DE4">
        <w:rPr>
          <w:rFonts w:ascii="Times New Roman" w:eastAsiaTheme="minorEastAsia" w:hAnsi="Times New Roman" w:cs="Times New Roman"/>
          <w:sz w:val="24"/>
          <w:szCs w:val="24"/>
        </w:rPr>
        <w:t xml:space="preserve">, </w:t>
      </w:r>
      <w:r w:rsidRPr="00CD4DE4">
        <w:rPr>
          <w:rFonts w:ascii="Times New Roman" w:eastAsiaTheme="minorEastAsia" w:hAnsi="Times New Roman" w:cs="Times New Roman"/>
          <w:sz w:val="24"/>
          <w:szCs w:val="24"/>
          <w:lang w:val="en-US"/>
        </w:rPr>
        <w:t xml:space="preserve">Malešević – Perović (2009), Botrić (2005), </w:t>
      </w:r>
      <w:r w:rsidRPr="00CD4DE4">
        <w:rPr>
          <w:rFonts w:ascii="Times New Roman" w:eastAsiaTheme="minorEastAsia" w:hAnsi="Times New Roman" w:cs="Times New Roman"/>
          <w:sz w:val="24"/>
          <w:szCs w:val="24"/>
        </w:rPr>
        <w:t xml:space="preserve">и </w:t>
      </w:r>
      <w:r w:rsidRPr="00CD4DE4">
        <w:rPr>
          <w:rFonts w:ascii="Times New Roman" w:eastAsiaTheme="minorEastAsia" w:hAnsi="Times New Roman" w:cs="Times New Roman"/>
          <w:sz w:val="24"/>
          <w:szCs w:val="24"/>
          <w:lang w:val="en-US"/>
        </w:rPr>
        <w:t>Botrić i Cota (2006).</w:t>
      </w:r>
    </w:p>
    <w:p w:rsidR="00CD4DE4" w:rsidRPr="00CD4DE4" w:rsidRDefault="00CD4DE4" w:rsidP="00F265C6">
      <w:pPr>
        <w:spacing w:after="0" w:line="240" w:lineRule="auto"/>
        <w:ind w:firstLine="720"/>
        <w:jc w:val="both"/>
        <w:rPr>
          <w:rFonts w:ascii="Times New Roman" w:eastAsiaTheme="minorEastAsia" w:hAnsi="Times New Roman" w:cs="Times New Roman"/>
          <w:sz w:val="24"/>
          <w:szCs w:val="24"/>
        </w:rPr>
      </w:pPr>
      <w:r w:rsidRPr="00CD4DE4">
        <w:rPr>
          <w:rFonts w:ascii="Times New Roman" w:eastAsiaTheme="minorEastAsia" w:hAnsi="Times New Roman" w:cs="Times New Roman"/>
          <w:sz w:val="24"/>
          <w:szCs w:val="24"/>
          <w:lang w:val="en-US"/>
        </w:rPr>
        <w:t>Krušec</w:t>
      </w:r>
      <w:r w:rsidRPr="00CD4DE4">
        <w:rPr>
          <w:rFonts w:ascii="Times New Roman" w:eastAsiaTheme="minorEastAsia" w:hAnsi="Times New Roman" w:cs="Times New Roman"/>
          <w:sz w:val="24"/>
          <w:szCs w:val="24"/>
        </w:rPr>
        <w:t xml:space="preserve"> (2007) врши краткорочно предвидување на инфлацијата во Словенија. Во трудот за постстабилизаско инфлациско движење во Словенија на </w:t>
      </w:r>
      <w:r w:rsidRPr="00CD4DE4">
        <w:rPr>
          <w:rFonts w:ascii="Times New Roman" w:eastAsiaTheme="minorEastAsia" w:hAnsi="Times New Roman" w:cs="Times New Roman"/>
          <w:sz w:val="24"/>
          <w:szCs w:val="24"/>
          <w:lang w:val="en-US"/>
        </w:rPr>
        <w:t>Ross (2000)</w:t>
      </w:r>
      <w:r w:rsidRPr="00CD4DE4">
        <w:rPr>
          <w:rFonts w:ascii="Times New Roman" w:eastAsiaTheme="minorEastAsia" w:hAnsi="Times New Roman" w:cs="Times New Roman"/>
          <w:sz w:val="24"/>
          <w:szCs w:val="24"/>
        </w:rPr>
        <w:t xml:space="preserve"> се испитува инфлацискиот процес во Словенија преку испитување на одредени заеднички детерминанти на инфлацијата кај земјите во транзиција. Инфлацијата во Словенија е предмет и на други трудови, </w:t>
      </w:r>
      <w:r w:rsidRPr="00CD4DE4">
        <w:rPr>
          <w:rFonts w:ascii="Times New Roman" w:eastAsiaTheme="minorEastAsia" w:hAnsi="Times New Roman" w:cs="Times New Roman"/>
          <w:sz w:val="24"/>
          <w:szCs w:val="24"/>
          <w:lang w:val="en-US"/>
        </w:rPr>
        <w:t>Kozamernik (2008)</w:t>
      </w:r>
      <w:r w:rsidRPr="00CD4DE4">
        <w:rPr>
          <w:rFonts w:ascii="Times New Roman" w:eastAsiaTheme="minorEastAsia" w:hAnsi="Times New Roman" w:cs="Times New Roman"/>
          <w:sz w:val="24"/>
          <w:szCs w:val="24"/>
        </w:rPr>
        <w:t xml:space="preserve"> и </w:t>
      </w:r>
      <w:r w:rsidRPr="00CD4DE4">
        <w:rPr>
          <w:rFonts w:ascii="Times New Roman" w:eastAsiaTheme="minorEastAsia" w:hAnsi="Times New Roman" w:cs="Times New Roman"/>
          <w:sz w:val="24"/>
          <w:szCs w:val="24"/>
          <w:lang w:val="en-US"/>
        </w:rPr>
        <w:t>Stoviček (2007)</w:t>
      </w:r>
      <w:r w:rsidRPr="00CD4DE4">
        <w:rPr>
          <w:rFonts w:ascii="Times New Roman" w:eastAsiaTheme="minorEastAsia" w:hAnsi="Times New Roman" w:cs="Times New Roman"/>
          <w:sz w:val="24"/>
          <w:szCs w:val="24"/>
        </w:rPr>
        <w:t>.</w:t>
      </w:r>
    </w:p>
    <w:p w:rsidR="00CD4DE4" w:rsidRPr="00CD4DE4" w:rsidRDefault="00CD4DE4" w:rsidP="00F265C6">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w:t>
      </w:r>
      <w:r w:rsidRPr="00CD4DE4">
        <w:rPr>
          <w:rFonts w:ascii="Times New Roman" w:eastAsiaTheme="minorEastAsia" w:hAnsi="Times New Roman" w:cs="Times New Roman"/>
          <w:sz w:val="24"/>
          <w:szCs w:val="24"/>
        </w:rPr>
        <w:t>леди преглед на трудови во кои е разгледувана инфлацијата во Република Македонија.</w:t>
      </w:r>
      <w:r w:rsidR="00F265C6">
        <w:rPr>
          <w:rFonts w:ascii="Times New Roman" w:eastAsiaTheme="minorEastAsia" w:hAnsi="Times New Roman" w:cs="Times New Roman"/>
          <w:sz w:val="24"/>
          <w:szCs w:val="24"/>
        </w:rPr>
        <w:t xml:space="preserve"> </w:t>
      </w:r>
      <w:r w:rsidRPr="00CD4DE4">
        <w:rPr>
          <w:rFonts w:ascii="Times New Roman" w:eastAsiaTheme="minorEastAsia" w:hAnsi="Times New Roman" w:cs="Times New Roman"/>
          <w:sz w:val="24"/>
          <w:szCs w:val="24"/>
        </w:rPr>
        <w:t xml:space="preserve">Изворите на инфлација во Република Македонија ги истражува Петрески </w:t>
      </w:r>
      <w:r w:rsidRPr="00CD4DE4">
        <w:rPr>
          <w:rFonts w:ascii="Times New Roman" w:eastAsiaTheme="minorEastAsia" w:hAnsi="Times New Roman" w:cs="Times New Roman"/>
          <w:sz w:val="24"/>
          <w:szCs w:val="24"/>
        </w:rPr>
        <w:lastRenderedPageBreak/>
        <w:t>(2007). Истражувањето покажало дека постои голема разлика во изворите на инфлацијата во периодот на висока инфлација и во постстабилизацискиот период. Имено, во првиот период, инфлацискиот процес е генериран од номиналните шокови, како што се порастот на наемнините и платите и номиналната депрецијација на денарот. Од друга страна, во вториот период, номиналните варијабли го губат значењето во инфлацискиот процес, кој претежно е под влијание на промената на релативните цени.</w:t>
      </w:r>
    </w:p>
    <w:p w:rsidR="00CD4DE4" w:rsidRPr="00CD4DE4" w:rsidRDefault="00CD4DE4" w:rsidP="00CD4DE4">
      <w:pPr>
        <w:spacing w:after="0" w:line="240" w:lineRule="auto"/>
        <w:ind w:firstLine="720"/>
        <w:jc w:val="both"/>
        <w:rPr>
          <w:rFonts w:ascii="Times New Roman" w:eastAsiaTheme="minorEastAsia" w:hAnsi="Times New Roman" w:cs="Times New Roman"/>
          <w:sz w:val="24"/>
          <w:szCs w:val="24"/>
        </w:rPr>
      </w:pPr>
      <w:r w:rsidRPr="00CD4DE4">
        <w:rPr>
          <w:rFonts w:ascii="Times New Roman" w:eastAsiaTheme="minorEastAsia" w:hAnsi="Times New Roman" w:cs="Times New Roman"/>
          <w:sz w:val="24"/>
          <w:szCs w:val="24"/>
        </w:rPr>
        <w:t xml:space="preserve">Движењето на инфлацијата во Република Македонија го истражува и </w:t>
      </w:r>
      <w:r w:rsidRPr="00CD4DE4">
        <w:rPr>
          <w:rFonts w:ascii="Times New Roman" w:eastAsiaTheme="minorEastAsia" w:hAnsi="Times New Roman" w:cs="Times New Roman"/>
          <w:sz w:val="24"/>
          <w:szCs w:val="24"/>
          <w:lang w:val="en-US"/>
        </w:rPr>
        <w:t>Shamloo (2011)</w:t>
      </w:r>
      <w:r w:rsidRPr="00CD4DE4">
        <w:rPr>
          <w:rFonts w:ascii="Times New Roman" w:eastAsiaTheme="minorEastAsia" w:hAnsi="Times New Roman" w:cs="Times New Roman"/>
          <w:sz w:val="24"/>
          <w:szCs w:val="24"/>
        </w:rPr>
        <w:t xml:space="preserve">. Векторскиот модел со корекција на грешка укажува на силна коинтеграција помеѓу домашната инфлација, аутпутот, стапките преку кои се одредува монетарната политика (благајничките записи) и инфлацијата во Евро зоната. </w:t>
      </w:r>
    </w:p>
    <w:p w:rsidR="00CD4DE4" w:rsidRPr="00CD4DE4" w:rsidRDefault="00CD4DE4" w:rsidP="00CD4DE4">
      <w:pPr>
        <w:spacing w:after="0" w:line="240" w:lineRule="auto"/>
        <w:ind w:firstLine="720"/>
        <w:jc w:val="both"/>
        <w:rPr>
          <w:rFonts w:ascii="Times New Roman" w:eastAsiaTheme="minorEastAsia" w:hAnsi="Times New Roman" w:cs="Times New Roman"/>
          <w:sz w:val="24"/>
          <w:szCs w:val="24"/>
        </w:rPr>
      </w:pPr>
      <w:r w:rsidRPr="00CD4DE4">
        <w:rPr>
          <w:rFonts w:ascii="Times New Roman" w:eastAsiaTheme="minorEastAsia" w:hAnsi="Times New Roman" w:cs="Times New Roman"/>
          <w:sz w:val="24"/>
          <w:szCs w:val="24"/>
        </w:rPr>
        <w:t>Рамадани (2012) спроведува емпириска анализа за долгорочните и краткорочните детерминанти на инфлацијата во Македонија. Во неговиот труд се потврдува долгорочна врска помеѓу цените, паричната маса, номиналниот ефективен девизен курс и реалниот доход.</w:t>
      </w:r>
      <w:r w:rsidRPr="00CD4DE4">
        <w:rPr>
          <w:rFonts w:ascii="Times New Roman" w:eastAsiaTheme="minorEastAsia" w:hAnsi="Times New Roman" w:cs="Times New Roman"/>
          <w:sz w:val="24"/>
          <w:szCs w:val="24"/>
        </w:rPr>
        <w:tab/>
      </w:r>
    </w:p>
    <w:p w:rsidR="00F8672B" w:rsidRPr="00CC3140" w:rsidRDefault="00F8672B" w:rsidP="00F8672B">
      <w:pPr>
        <w:spacing w:after="0" w:line="240" w:lineRule="auto"/>
        <w:ind w:firstLine="720"/>
        <w:jc w:val="both"/>
        <w:rPr>
          <w:rFonts w:ascii="Times New Roman" w:eastAsiaTheme="minorEastAsia" w:hAnsi="Times New Roman" w:cs="Times New Roman"/>
          <w:sz w:val="24"/>
          <w:szCs w:val="24"/>
          <w:lang w:val="en-US"/>
        </w:rPr>
      </w:pPr>
    </w:p>
    <w:p w:rsidR="00023585" w:rsidRPr="00A474D2" w:rsidRDefault="00023585" w:rsidP="008C59B6">
      <w:pPr>
        <w:spacing w:after="0" w:line="240" w:lineRule="auto"/>
        <w:ind w:firstLine="720"/>
        <w:jc w:val="both"/>
        <w:rPr>
          <w:rFonts w:ascii="Times New Roman" w:eastAsiaTheme="minorEastAsia" w:hAnsi="Times New Roman" w:cs="Times New Roman"/>
          <w:sz w:val="24"/>
          <w:szCs w:val="24"/>
        </w:rPr>
      </w:pPr>
    </w:p>
    <w:p w:rsidR="008C59B6" w:rsidRDefault="008C59B6" w:rsidP="008C59B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М</w:t>
      </w:r>
      <w:r w:rsidRPr="004F46CD">
        <w:rPr>
          <w:rFonts w:ascii="Times New Roman" w:hAnsi="Times New Roman" w:cs="Times New Roman"/>
          <w:b/>
          <w:sz w:val="24"/>
          <w:szCs w:val="24"/>
        </w:rPr>
        <w:t>етодологија на истражување</w:t>
      </w:r>
    </w:p>
    <w:p w:rsidR="0010004F" w:rsidRDefault="0010004F" w:rsidP="0010004F">
      <w:pPr>
        <w:spacing w:after="0" w:line="240" w:lineRule="auto"/>
        <w:jc w:val="both"/>
        <w:rPr>
          <w:rFonts w:ascii="Times New Roman" w:hAnsi="Times New Roman" w:cs="Times New Roman"/>
          <w:sz w:val="24"/>
          <w:szCs w:val="24"/>
        </w:rPr>
      </w:pPr>
    </w:p>
    <w:p w:rsidR="00216FBF" w:rsidRDefault="0010004F" w:rsidP="001000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 конструкција на векторски модел со корекција на грешка со блок егзогени ограничувања собрани се податоци за пет променливи.</w:t>
      </w:r>
    </w:p>
    <w:p w:rsidR="0010004F" w:rsidRPr="00216FBF" w:rsidRDefault="0010004F" w:rsidP="0010004F">
      <w:pPr>
        <w:spacing w:after="0" w:line="240" w:lineRule="auto"/>
        <w:ind w:firstLine="720"/>
        <w:jc w:val="both"/>
        <w:rPr>
          <w:rFonts w:ascii="Times New Roman" w:hAnsi="Times New Roman" w:cs="Times New Roman"/>
          <w:sz w:val="24"/>
          <w:szCs w:val="24"/>
          <w:lang w:val="en-US"/>
        </w:rPr>
      </w:pPr>
    </w:p>
    <w:p w:rsidR="00216FBF" w:rsidRPr="00014A69" w:rsidRDefault="00AA6C2D" w:rsidP="00AA6C2D">
      <w:pPr>
        <w:spacing w:after="0" w:line="240" w:lineRule="auto"/>
        <w:jc w:val="center"/>
        <w:rPr>
          <w:rFonts w:ascii="Times New Roman" w:hAnsi="Times New Roman" w:cs="Times New Roman"/>
          <w:i/>
          <w:sz w:val="24"/>
          <w:szCs w:val="24"/>
        </w:rPr>
      </w:pPr>
      <w:r w:rsidRPr="00014A69">
        <w:rPr>
          <w:rFonts w:ascii="Times New Roman" w:hAnsi="Times New Roman" w:cs="Times New Roman"/>
          <w:i/>
          <w:sz w:val="24"/>
          <w:szCs w:val="24"/>
        </w:rPr>
        <w:t>Слика 2 Графички приказ на променливите вклучени во моделот и нивна споредба со националниот индекс на потрошувачки цени</w:t>
      </w:r>
    </w:p>
    <w:p w:rsidR="00216FBF" w:rsidRPr="00216FBF" w:rsidRDefault="00EB4495" w:rsidP="00216FBF">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-117475</wp:posOffset>
            </wp:positionH>
            <wp:positionV relativeFrom="paragraph">
              <wp:posOffset>149860</wp:posOffset>
            </wp:positionV>
            <wp:extent cx="2930525" cy="1855470"/>
            <wp:effectExtent l="19050" t="0" r="22225" b="0"/>
            <wp:wrapTight wrapText="bothSides">
              <wp:wrapPolygon edited="0">
                <wp:start x="-140" y="0"/>
                <wp:lineTo x="-140" y="21511"/>
                <wp:lineTo x="21764" y="21511"/>
                <wp:lineTo x="21764" y="0"/>
                <wp:lineTo x="-140" y="0"/>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3089910</wp:posOffset>
            </wp:positionH>
            <wp:positionV relativeFrom="paragraph">
              <wp:posOffset>177165</wp:posOffset>
            </wp:positionV>
            <wp:extent cx="2932430" cy="1855470"/>
            <wp:effectExtent l="19050" t="0" r="20320" b="0"/>
            <wp:wrapTight wrapText="bothSides">
              <wp:wrapPolygon edited="0">
                <wp:start x="-140" y="0"/>
                <wp:lineTo x="-140" y="21511"/>
                <wp:lineTo x="21750" y="21511"/>
                <wp:lineTo x="21750" y="0"/>
                <wp:lineTo x="-140" y="0"/>
              </wp:wrapPolygon>
            </wp:wrapTight>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B4495" w:rsidRDefault="00EB4495" w:rsidP="00014A69">
      <w:pPr>
        <w:spacing w:after="0" w:line="240" w:lineRule="auto"/>
        <w:jc w:val="both"/>
        <w:rPr>
          <w:rFonts w:ascii="Times New Roman" w:hAnsi="Times New Roman" w:cs="Times New Roman"/>
          <w:szCs w:val="24"/>
          <w:lang w:val="en-US"/>
        </w:rPr>
      </w:pPr>
      <w:r>
        <w:rPr>
          <w:rFonts w:ascii="Times New Roman" w:hAnsi="Times New Roman" w:cs="Times New Roman"/>
          <w:noProof/>
          <w:szCs w:val="24"/>
          <w:lang w:val="en-US"/>
        </w:rPr>
        <w:drawing>
          <wp:anchor distT="0" distB="0" distL="114300" distR="114300" simplePos="0" relativeHeight="251661312" behindDoc="0" locked="0" layoutInCell="1" allowOverlap="1">
            <wp:simplePos x="0" y="0"/>
            <wp:positionH relativeFrom="column">
              <wp:posOffset>3087370</wp:posOffset>
            </wp:positionH>
            <wp:positionV relativeFrom="paragraph">
              <wp:posOffset>66675</wp:posOffset>
            </wp:positionV>
            <wp:extent cx="2938145" cy="1855470"/>
            <wp:effectExtent l="19050" t="0" r="14605" b="0"/>
            <wp:wrapTight wrapText="bothSides">
              <wp:wrapPolygon edited="0">
                <wp:start x="-140" y="0"/>
                <wp:lineTo x="-140" y="21511"/>
                <wp:lineTo x="21707" y="21511"/>
                <wp:lineTo x="21707" y="0"/>
                <wp:lineTo x="-140" y="0"/>
              </wp:wrapPolygon>
            </wp:wrapTight>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noProof/>
          <w:szCs w:val="24"/>
          <w:lang w:val="en-US"/>
        </w:rPr>
        <w:drawing>
          <wp:anchor distT="0" distB="0" distL="114300" distR="114300" simplePos="0" relativeHeight="251662336" behindDoc="0" locked="0" layoutInCell="1" allowOverlap="1">
            <wp:simplePos x="0" y="0"/>
            <wp:positionH relativeFrom="column">
              <wp:posOffset>-117475</wp:posOffset>
            </wp:positionH>
            <wp:positionV relativeFrom="paragraph">
              <wp:posOffset>66675</wp:posOffset>
            </wp:positionV>
            <wp:extent cx="2937510" cy="1855470"/>
            <wp:effectExtent l="19050" t="0" r="15240" b="0"/>
            <wp:wrapTight wrapText="bothSides">
              <wp:wrapPolygon edited="0">
                <wp:start x="-140" y="0"/>
                <wp:lineTo x="-140" y="21511"/>
                <wp:lineTo x="21712" y="21511"/>
                <wp:lineTo x="21712" y="0"/>
                <wp:lineTo x="-140" y="0"/>
              </wp:wrapPolygon>
            </wp:wrapTight>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16FBF" w:rsidRPr="00AA6C2D" w:rsidRDefault="00AA6C2D" w:rsidP="00014A69">
      <w:pPr>
        <w:spacing w:after="0" w:line="240" w:lineRule="auto"/>
        <w:jc w:val="both"/>
        <w:rPr>
          <w:rFonts w:ascii="Times New Roman" w:hAnsi="Times New Roman" w:cs="Times New Roman"/>
          <w:szCs w:val="24"/>
        </w:rPr>
      </w:pPr>
      <w:r>
        <w:rPr>
          <w:rFonts w:ascii="Times New Roman" w:hAnsi="Times New Roman" w:cs="Times New Roman"/>
          <w:szCs w:val="24"/>
        </w:rPr>
        <w:t>Извор</w:t>
      </w:r>
      <w:r w:rsidR="00216FBF" w:rsidRPr="00AA6C2D">
        <w:rPr>
          <w:rFonts w:ascii="Times New Roman" w:hAnsi="Times New Roman" w:cs="Times New Roman"/>
          <w:szCs w:val="24"/>
          <w:lang w:val="en-US"/>
        </w:rPr>
        <w:t xml:space="preserve">: </w:t>
      </w:r>
      <w:r>
        <w:rPr>
          <w:rFonts w:ascii="Times New Roman" w:hAnsi="Times New Roman" w:cs="Times New Roman"/>
          <w:szCs w:val="24"/>
        </w:rPr>
        <w:t>Народна Банка на Република Македонија</w:t>
      </w:r>
      <w:r w:rsidR="00216FBF" w:rsidRPr="00AA6C2D">
        <w:rPr>
          <w:rFonts w:ascii="Times New Roman" w:hAnsi="Times New Roman" w:cs="Times New Roman"/>
          <w:szCs w:val="24"/>
          <w:lang w:val="en-US"/>
        </w:rPr>
        <w:t xml:space="preserve">, </w:t>
      </w:r>
      <w:r>
        <w:rPr>
          <w:rFonts w:ascii="Times New Roman" w:hAnsi="Times New Roman" w:cs="Times New Roman"/>
          <w:szCs w:val="24"/>
        </w:rPr>
        <w:t>Светска Банка и Еуростат.</w:t>
      </w:r>
    </w:p>
    <w:p w:rsidR="00216FBF" w:rsidRPr="00216FBF" w:rsidRDefault="00216FBF" w:rsidP="00216FBF">
      <w:pPr>
        <w:spacing w:after="0" w:line="240" w:lineRule="auto"/>
        <w:jc w:val="both"/>
        <w:rPr>
          <w:rFonts w:ascii="Times New Roman" w:hAnsi="Times New Roman" w:cs="Times New Roman"/>
          <w:sz w:val="24"/>
          <w:szCs w:val="24"/>
          <w:lang w:val="en-US"/>
        </w:rPr>
      </w:pPr>
      <w:r w:rsidRPr="00216FBF">
        <w:rPr>
          <w:rFonts w:ascii="Times New Roman" w:hAnsi="Times New Roman" w:cs="Times New Roman"/>
          <w:sz w:val="24"/>
          <w:szCs w:val="24"/>
          <w:lang w:val="en-US"/>
        </w:rPr>
        <w:tab/>
      </w:r>
    </w:p>
    <w:p w:rsidR="0010004F" w:rsidRPr="008E6410" w:rsidRDefault="0010004F" w:rsidP="001000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Наведените променливи се:</w:t>
      </w:r>
      <w:r>
        <w:rPr>
          <w:rFonts w:ascii="Times New Roman" w:hAnsi="Times New Roman" w:cs="Times New Roman"/>
          <w:sz w:val="24"/>
          <w:szCs w:val="24"/>
          <w:lang w:val="en-US"/>
        </w:rPr>
        <w:t xml:space="preserve"> </w:t>
      </w:r>
      <w:r w:rsidRPr="008E6410">
        <w:rPr>
          <w:rFonts w:ascii="Times New Roman" w:hAnsi="Times New Roman" w:cs="Times New Roman"/>
          <w:sz w:val="24"/>
          <w:szCs w:val="24"/>
        </w:rPr>
        <w:t xml:space="preserve">Индекс на потрошувачки цени на РМ (според </w:t>
      </w:r>
      <w:r w:rsidRPr="008E6410">
        <w:rPr>
          <w:rFonts w:ascii="Times New Roman" w:hAnsi="Times New Roman" w:cs="Times New Roman"/>
          <w:sz w:val="24"/>
          <w:szCs w:val="24"/>
          <w:lang w:val="en-US"/>
        </w:rPr>
        <w:t>COICOP</w:t>
      </w:r>
      <w:r w:rsidRPr="008E6410">
        <w:rPr>
          <w:rFonts w:ascii="Times New Roman" w:hAnsi="Times New Roman" w:cs="Times New Roman"/>
          <w:sz w:val="24"/>
          <w:szCs w:val="24"/>
        </w:rPr>
        <w:t xml:space="preserve">), годишна стапка на промена или </w:t>
      </w:r>
      <m:oMath>
        <m:r>
          <w:rPr>
            <w:rFonts w:ascii="Cambria Math" w:hAnsi="Cambria Math" w:cs="Times New Roman"/>
            <w:sz w:val="24"/>
            <w:szCs w:val="24"/>
            <w:lang w:val="en-US"/>
          </w:rPr>
          <m:t>CPIMK</m:t>
        </m:r>
      </m:oMath>
      <w:r w:rsidRPr="008E6410">
        <w:rPr>
          <w:rFonts w:ascii="Times New Roman" w:hAnsi="Times New Roman" w:cs="Times New Roman"/>
          <w:sz w:val="24"/>
          <w:szCs w:val="24"/>
          <w:lang w:val="en-US"/>
        </w:rPr>
        <w:t xml:space="preserve">; </w:t>
      </w:r>
      <w:r w:rsidRPr="008E6410">
        <w:rPr>
          <w:rFonts w:ascii="Times New Roman" w:hAnsi="Times New Roman" w:cs="Times New Roman"/>
          <w:sz w:val="24"/>
          <w:szCs w:val="24"/>
        </w:rPr>
        <w:t>Цени на сурова нафта по барел искажани во долари (САД) или</w:t>
      </w:r>
      <m:oMath>
        <m:r>
          <w:rPr>
            <w:rFonts w:ascii="Cambria Math" w:hAnsi="Cambria Math" w:cs="Times New Roman"/>
            <w:sz w:val="24"/>
            <w:szCs w:val="24"/>
            <w:lang w:val="en-US"/>
          </w:rPr>
          <m:t xml:space="preserve"> OIL</m:t>
        </m:r>
      </m:oMath>
      <w:r w:rsidRPr="008E6410">
        <w:rPr>
          <w:rFonts w:ascii="Times New Roman" w:hAnsi="Times New Roman" w:cs="Times New Roman"/>
          <w:sz w:val="24"/>
          <w:szCs w:val="24"/>
          <w:lang w:val="en-US"/>
        </w:rPr>
        <w:t xml:space="preserve">; </w:t>
      </w:r>
      <w:r w:rsidRPr="008E6410">
        <w:rPr>
          <w:rFonts w:ascii="Times New Roman" w:hAnsi="Times New Roman" w:cs="Times New Roman"/>
          <w:sz w:val="24"/>
          <w:szCs w:val="24"/>
        </w:rPr>
        <w:t>Хармонизиран индекс на потрошувачки цени за Евро зоната за 17 земји, годишна стапка на промена или</w:t>
      </w:r>
      <w:r w:rsidRPr="008E6410">
        <w:rPr>
          <w:rFonts w:ascii="Times New Roman" w:hAnsi="Times New Roman" w:cs="Times New Roman"/>
          <w:sz w:val="24"/>
          <w:szCs w:val="24"/>
          <w:lang w:val="en-US"/>
        </w:rPr>
        <w:t xml:space="preserve"> </w:t>
      </w:r>
      <m:oMath>
        <m:r>
          <w:rPr>
            <w:rFonts w:ascii="Cambria Math" w:hAnsi="Cambria Math" w:cs="Times New Roman"/>
            <w:sz w:val="24"/>
            <w:szCs w:val="24"/>
            <w:lang w:val="en-US"/>
          </w:rPr>
          <m:t>CPIEU</m:t>
        </m:r>
      </m:oMath>
      <w:r w:rsidRPr="008E6410">
        <w:rPr>
          <w:rFonts w:ascii="Times New Roman" w:hAnsi="Times New Roman" w:cs="Times New Roman"/>
          <w:sz w:val="24"/>
          <w:szCs w:val="24"/>
          <w:lang w:val="en-US"/>
        </w:rPr>
        <w:t xml:space="preserve">; </w:t>
      </w:r>
      <w:r w:rsidRPr="008E6410">
        <w:rPr>
          <w:rFonts w:ascii="Times New Roman" w:hAnsi="Times New Roman" w:cs="Times New Roman"/>
          <w:sz w:val="24"/>
          <w:szCs w:val="24"/>
        </w:rPr>
        <w:t>Увоз на добра и услуги во РМ, годишна стапка на промена или</w:t>
      </w:r>
      <w:r w:rsidRPr="008E6410">
        <w:rPr>
          <w:rFonts w:ascii="Times New Roman" w:hAnsi="Times New Roman" w:cs="Times New Roman"/>
          <w:sz w:val="24"/>
          <w:szCs w:val="24"/>
          <w:lang w:val="en-US"/>
        </w:rPr>
        <w:t xml:space="preserve"> </w:t>
      </w:r>
      <m:oMath>
        <m:r>
          <w:rPr>
            <w:rFonts w:ascii="Cambria Math" w:hAnsi="Cambria Math" w:cs="Times New Roman"/>
            <w:sz w:val="24"/>
            <w:szCs w:val="24"/>
            <w:lang w:val="en-US"/>
          </w:rPr>
          <m:t>IMP</m:t>
        </m:r>
      </m:oMath>
      <w:r>
        <w:rPr>
          <w:rFonts w:ascii="Times New Roman" w:hAnsi="Times New Roman" w:cs="Times New Roman"/>
          <w:sz w:val="24"/>
          <w:szCs w:val="24"/>
          <w:lang w:val="en-US"/>
        </w:rPr>
        <w:t xml:space="preserve"> </w:t>
      </w:r>
      <w:r>
        <w:rPr>
          <w:rFonts w:ascii="Times New Roman" w:hAnsi="Times New Roman" w:cs="Times New Roman"/>
          <w:sz w:val="24"/>
          <w:szCs w:val="24"/>
        </w:rPr>
        <w:t xml:space="preserve">и </w:t>
      </w:r>
      <w:r w:rsidRPr="008E6410">
        <w:rPr>
          <w:rFonts w:ascii="Times New Roman" w:hAnsi="Times New Roman" w:cs="Times New Roman"/>
          <w:sz w:val="24"/>
          <w:szCs w:val="24"/>
        </w:rPr>
        <w:t xml:space="preserve">Монетарен агрегат М1 на РМ, годишна стапка на промена или </w:t>
      </w:r>
      <w:r w:rsidRPr="008E6410">
        <w:rPr>
          <w:rFonts w:ascii="Times New Roman" w:hAnsi="Times New Roman" w:cs="Times New Roman"/>
          <w:sz w:val="24"/>
          <w:szCs w:val="24"/>
          <w:lang w:val="en-US"/>
        </w:rPr>
        <w:t xml:space="preserve"> </w:t>
      </w:r>
      <m:oMath>
        <m:r>
          <w:rPr>
            <w:rFonts w:ascii="Cambria Math" w:hAnsi="Cambria Math" w:cs="Times New Roman"/>
            <w:sz w:val="24"/>
            <w:szCs w:val="24"/>
            <w:lang w:val="en-US"/>
          </w:rPr>
          <m:t>M1</m:t>
        </m:r>
      </m:oMath>
      <w:r w:rsidRPr="008E6410">
        <w:rPr>
          <w:rFonts w:ascii="Times New Roman" w:hAnsi="Times New Roman" w:cs="Times New Roman"/>
          <w:sz w:val="24"/>
          <w:szCs w:val="24"/>
          <w:lang w:val="en-US"/>
        </w:rPr>
        <w:t xml:space="preserve">. </w:t>
      </w:r>
    </w:p>
    <w:p w:rsidR="0010004F" w:rsidRDefault="0010004F" w:rsidP="001000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Податоците се со месечна фреквенција за период јануари 2004 – март 2015 година. Содржани се вкупно 135 опсервации. Изворот на податоците за РМ е Народната банка на РМ, податоците за цената на нафтата е Светската Банка и изворот на податоци за Евро зоната е Еуростат. Динамиката на променливите е прикажана на слика 2. Секоја од променливите е споредена со динамиката на индексот на потрошувачки цени на РМ, така што сличностите во движењето лесно можат да се воочат. Ова иде во прилог на докажување на постоењето на коинтеграција.</w:t>
      </w:r>
    </w:p>
    <w:p w:rsidR="0010004F" w:rsidRPr="008E6410" w:rsidRDefault="0010004F" w:rsidP="00100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Авторот го избира периодот од 2004 година бидејќи смета дека станува збор за постабилен период. Деветесетите години инфлацијата е под влијание на транзицискиот ефект, додека воениот конфликт во 2001 година исто така има влијание на инфлацијата.</w:t>
      </w:r>
    </w:p>
    <w:p w:rsidR="0010004F" w:rsidRPr="00216FBF" w:rsidRDefault="0010004F" w:rsidP="0010004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Анализата започнува со тестовите за стационарност. Резултатите од тестовите на единечен корен се прикажани во табела 1. Сите тестови потврдуваат дека променливите се нестационарни и стануваат стационарни кога ќе се изврши трансформација од прва диференција.</w:t>
      </w:r>
    </w:p>
    <w:p w:rsidR="00216FBF" w:rsidRPr="00216FBF" w:rsidRDefault="00216FBF" w:rsidP="00216FBF">
      <w:pPr>
        <w:spacing w:after="0" w:line="240" w:lineRule="auto"/>
        <w:jc w:val="both"/>
        <w:rPr>
          <w:rFonts w:ascii="Times New Roman" w:hAnsi="Times New Roman" w:cs="Times New Roman"/>
          <w:sz w:val="24"/>
          <w:szCs w:val="24"/>
          <w:lang w:val="en-US"/>
        </w:rPr>
      </w:pPr>
    </w:p>
    <w:p w:rsidR="00216FBF" w:rsidRPr="008877B0" w:rsidRDefault="008877B0" w:rsidP="00680ED5">
      <w:pPr>
        <w:spacing w:after="0" w:line="240" w:lineRule="auto"/>
        <w:jc w:val="center"/>
        <w:rPr>
          <w:rFonts w:ascii="Times New Roman" w:hAnsi="Times New Roman" w:cs="Times New Roman"/>
          <w:sz w:val="24"/>
          <w:szCs w:val="24"/>
        </w:rPr>
      </w:pPr>
      <w:r w:rsidRPr="008877B0">
        <w:rPr>
          <w:rFonts w:ascii="Times New Roman" w:hAnsi="Times New Roman" w:cs="Times New Roman"/>
          <w:sz w:val="24"/>
          <w:szCs w:val="24"/>
        </w:rPr>
        <w:t>Табела 1 Тестови на единечен корен</w:t>
      </w:r>
    </w:p>
    <w:tbl>
      <w:tblPr>
        <w:tblStyle w:val="TableGrid"/>
        <w:tblW w:w="9069" w:type="dxa"/>
        <w:jc w:val="center"/>
        <w:tblLook w:val="04A0"/>
      </w:tblPr>
      <w:tblGrid>
        <w:gridCol w:w="1587"/>
        <w:gridCol w:w="1372"/>
        <w:gridCol w:w="1372"/>
        <w:gridCol w:w="996"/>
        <w:gridCol w:w="1373"/>
        <w:gridCol w:w="1373"/>
        <w:gridCol w:w="996"/>
      </w:tblGrid>
      <w:tr w:rsidR="00216FBF" w:rsidRPr="00701DFF" w:rsidTr="00680ED5">
        <w:trPr>
          <w:trHeight w:val="251"/>
          <w:jc w:val="center"/>
        </w:trPr>
        <w:tc>
          <w:tcPr>
            <w:tcW w:w="1587" w:type="dxa"/>
          </w:tcPr>
          <w:p w:rsidR="00216FBF" w:rsidRPr="00701DFF" w:rsidRDefault="00216FBF" w:rsidP="008877B0">
            <w:pPr>
              <w:jc w:val="center"/>
              <w:rPr>
                <w:rFonts w:ascii="Times New Roman" w:hAnsi="Times New Roman" w:cs="Times New Roman"/>
                <w:b/>
                <w:lang w:val="en-US"/>
              </w:rPr>
            </w:pPr>
          </w:p>
        </w:tc>
        <w:tc>
          <w:tcPr>
            <w:tcW w:w="3740" w:type="dxa"/>
            <w:gridSpan w:val="3"/>
            <w:vAlign w:val="center"/>
          </w:tcPr>
          <w:p w:rsidR="00216FBF" w:rsidRPr="00701DFF" w:rsidRDefault="008877B0" w:rsidP="008877B0">
            <w:pPr>
              <w:jc w:val="center"/>
              <w:rPr>
                <w:rFonts w:ascii="Times New Roman" w:hAnsi="Times New Roman" w:cs="Times New Roman"/>
                <w:b/>
              </w:rPr>
            </w:pPr>
            <w:r w:rsidRPr="00701DFF">
              <w:rPr>
                <w:rFonts w:ascii="Times New Roman" w:hAnsi="Times New Roman" w:cs="Times New Roman"/>
                <w:b/>
              </w:rPr>
              <w:t>Изворна серија</w:t>
            </w:r>
          </w:p>
        </w:tc>
        <w:tc>
          <w:tcPr>
            <w:tcW w:w="3742" w:type="dxa"/>
            <w:gridSpan w:val="3"/>
            <w:vAlign w:val="center"/>
          </w:tcPr>
          <w:p w:rsidR="00216FBF" w:rsidRPr="00701DFF" w:rsidRDefault="008877B0" w:rsidP="008877B0">
            <w:pPr>
              <w:jc w:val="center"/>
              <w:rPr>
                <w:rFonts w:ascii="Times New Roman" w:hAnsi="Times New Roman" w:cs="Times New Roman"/>
                <w:b/>
              </w:rPr>
            </w:pPr>
            <w:r w:rsidRPr="00701DFF">
              <w:rPr>
                <w:rFonts w:ascii="Times New Roman" w:hAnsi="Times New Roman" w:cs="Times New Roman"/>
                <w:b/>
              </w:rPr>
              <w:t>Прва диференција на серијата</w:t>
            </w:r>
          </w:p>
        </w:tc>
      </w:tr>
      <w:tr w:rsidR="00216FBF" w:rsidRPr="00701DFF" w:rsidTr="00680ED5">
        <w:trPr>
          <w:trHeight w:val="251"/>
          <w:jc w:val="center"/>
        </w:trPr>
        <w:tc>
          <w:tcPr>
            <w:tcW w:w="1587" w:type="dxa"/>
          </w:tcPr>
          <w:p w:rsidR="00216FBF" w:rsidRPr="00701DFF" w:rsidRDefault="008877B0" w:rsidP="008877B0">
            <w:pPr>
              <w:jc w:val="center"/>
              <w:rPr>
                <w:rFonts w:ascii="Times New Roman" w:hAnsi="Times New Roman" w:cs="Times New Roman"/>
                <w:b/>
              </w:rPr>
            </w:pPr>
            <w:r w:rsidRPr="00701DFF">
              <w:rPr>
                <w:rFonts w:ascii="Times New Roman" w:hAnsi="Times New Roman" w:cs="Times New Roman"/>
                <w:b/>
              </w:rPr>
              <w:t>Променлива</w:t>
            </w:r>
          </w:p>
        </w:tc>
        <w:tc>
          <w:tcPr>
            <w:tcW w:w="1372" w:type="dxa"/>
            <w:vAlign w:val="center"/>
          </w:tcPr>
          <w:p w:rsidR="00216FBF" w:rsidRPr="00701DFF" w:rsidRDefault="00216FBF" w:rsidP="008877B0">
            <w:pPr>
              <w:jc w:val="center"/>
              <w:rPr>
                <w:rFonts w:ascii="Times New Roman" w:hAnsi="Times New Roman" w:cs="Times New Roman"/>
                <w:b/>
                <w:lang w:val="en-US"/>
              </w:rPr>
            </w:pPr>
            <w:r w:rsidRPr="00701DFF">
              <w:rPr>
                <w:rFonts w:ascii="Times New Roman" w:hAnsi="Times New Roman" w:cs="Times New Roman"/>
                <w:b/>
                <w:lang w:val="en-US"/>
              </w:rPr>
              <w:t>ADF</w:t>
            </w:r>
          </w:p>
        </w:tc>
        <w:tc>
          <w:tcPr>
            <w:tcW w:w="1372" w:type="dxa"/>
            <w:vAlign w:val="center"/>
          </w:tcPr>
          <w:p w:rsidR="00216FBF" w:rsidRPr="00701DFF" w:rsidRDefault="00216FBF" w:rsidP="008877B0">
            <w:pPr>
              <w:jc w:val="center"/>
              <w:rPr>
                <w:rFonts w:ascii="Times New Roman" w:hAnsi="Times New Roman" w:cs="Times New Roman"/>
                <w:b/>
                <w:lang w:val="en-US"/>
              </w:rPr>
            </w:pPr>
            <w:r w:rsidRPr="00701DFF">
              <w:rPr>
                <w:rFonts w:ascii="Times New Roman" w:hAnsi="Times New Roman" w:cs="Times New Roman"/>
                <w:b/>
                <w:lang w:val="en-US"/>
              </w:rPr>
              <w:t>PP</w:t>
            </w:r>
          </w:p>
        </w:tc>
        <w:tc>
          <w:tcPr>
            <w:tcW w:w="996" w:type="dxa"/>
            <w:vAlign w:val="center"/>
          </w:tcPr>
          <w:p w:rsidR="00216FBF" w:rsidRPr="00701DFF" w:rsidRDefault="00216FBF" w:rsidP="008877B0">
            <w:pPr>
              <w:jc w:val="center"/>
              <w:rPr>
                <w:rFonts w:ascii="Times New Roman" w:hAnsi="Times New Roman" w:cs="Times New Roman"/>
                <w:b/>
                <w:lang w:val="en-US"/>
              </w:rPr>
            </w:pPr>
            <w:r w:rsidRPr="00701DFF">
              <w:rPr>
                <w:rFonts w:ascii="Times New Roman" w:hAnsi="Times New Roman" w:cs="Times New Roman"/>
                <w:b/>
                <w:lang w:val="en-US"/>
              </w:rPr>
              <w:t>KPSS</w:t>
            </w:r>
          </w:p>
        </w:tc>
        <w:tc>
          <w:tcPr>
            <w:tcW w:w="1373" w:type="dxa"/>
            <w:vAlign w:val="center"/>
          </w:tcPr>
          <w:p w:rsidR="00216FBF" w:rsidRPr="00701DFF" w:rsidRDefault="00216FBF" w:rsidP="008877B0">
            <w:pPr>
              <w:jc w:val="center"/>
              <w:rPr>
                <w:rFonts w:ascii="Times New Roman" w:hAnsi="Times New Roman" w:cs="Times New Roman"/>
                <w:b/>
                <w:lang w:val="en-US"/>
              </w:rPr>
            </w:pPr>
            <w:r w:rsidRPr="00701DFF">
              <w:rPr>
                <w:rFonts w:ascii="Times New Roman" w:hAnsi="Times New Roman" w:cs="Times New Roman"/>
                <w:b/>
                <w:lang w:val="en-US"/>
              </w:rPr>
              <w:t>ADF</w:t>
            </w:r>
          </w:p>
        </w:tc>
        <w:tc>
          <w:tcPr>
            <w:tcW w:w="1373" w:type="dxa"/>
            <w:vAlign w:val="center"/>
          </w:tcPr>
          <w:p w:rsidR="00216FBF" w:rsidRPr="00701DFF" w:rsidRDefault="00216FBF" w:rsidP="008877B0">
            <w:pPr>
              <w:jc w:val="center"/>
              <w:rPr>
                <w:rFonts w:ascii="Times New Roman" w:hAnsi="Times New Roman" w:cs="Times New Roman"/>
                <w:b/>
                <w:lang w:val="en-US"/>
              </w:rPr>
            </w:pPr>
            <w:r w:rsidRPr="00701DFF">
              <w:rPr>
                <w:rFonts w:ascii="Times New Roman" w:hAnsi="Times New Roman" w:cs="Times New Roman"/>
                <w:b/>
                <w:lang w:val="en-US"/>
              </w:rPr>
              <w:t>PP</w:t>
            </w:r>
          </w:p>
        </w:tc>
        <w:tc>
          <w:tcPr>
            <w:tcW w:w="996" w:type="dxa"/>
            <w:vAlign w:val="center"/>
          </w:tcPr>
          <w:p w:rsidR="00216FBF" w:rsidRPr="00701DFF" w:rsidRDefault="00216FBF" w:rsidP="008877B0">
            <w:pPr>
              <w:jc w:val="center"/>
              <w:rPr>
                <w:rFonts w:ascii="Times New Roman" w:hAnsi="Times New Roman" w:cs="Times New Roman"/>
                <w:b/>
                <w:lang w:val="en-US"/>
              </w:rPr>
            </w:pPr>
            <w:r w:rsidRPr="00701DFF">
              <w:rPr>
                <w:rFonts w:ascii="Times New Roman" w:hAnsi="Times New Roman" w:cs="Times New Roman"/>
                <w:b/>
                <w:lang w:val="en-US"/>
              </w:rPr>
              <w:t>KPSS</w:t>
            </w:r>
          </w:p>
        </w:tc>
      </w:tr>
      <w:tr w:rsidR="00216FBF" w:rsidRPr="00701DFF" w:rsidTr="00680ED5">
        <w:trPr>
          <w:trHeight w:val="275"/>
          <w:jc w:val="center"/>
        </w:trPr>
        <w:tc>
          <w:tcPr>
            <w:tcW w:w="1587" w:type="dxa"/>
          </w:tcPr>
          <w:p w:rsidR="00216FBF" w:rsidRPr="00701DFF" w:rsidRDefault="008877B0" w:rsidP="00216FBF">
            <w:pPr>
              <w:jc w:val="both"/>
              <w:rPr>
                <w:rFonts w:ascii="Times New Roman" w:hAnsi="Times New Roman" w:cs="Times New Roman"/>
                <w:b/>
                <w:lang w:val="en-US"/>
              </w:rPr>
            </w:pPr>
            <m:oMathPara>
              <m:oMath>
                <m:r>
                  <m:rPr>
                    <m:sty m:val="bi"/>
                  </m:rPr>
                  <w:rPr>
                    <w:rFonts w:ascii="Cambria Math" w:hAnsi="Cambria Math" w:cs="Times New Roman"/>
                    <w:lang w:val="en-US"/>
                  </w:rPr>
                  <m:t>CPIMK</m:t>
                </m:r>
              </m:oMath>
            </m:oMathPara>
          </w:p>
        </w:tc>
        <w:tc>
          <w:tcPr>
            <w:tcW w:w="1372"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0,3077  </w:t>
            </w:r>
          </w:p>
        </w:tc>
        <w:tc>
          <w:tcPr>
            <w:tcW w:w="1372"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0,1291</w:t>
            </w:r>
          </w:p>
        </w:tc>
        <w:tc>
          <w:tcPr>
            <w:tcW w:w="99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0,1070</w:t>
            </w:r>
          </w:p>
        </w:tc>
        <w:tc>
          <w:tcPr>
            <w:tcW w:w="1373"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0,0000***</w:t>
            </w:r>
          </w:p>
        </w:tc>
        <w:tc>
          <w:tcPr>
            <w:tcW w:w="1373"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0,0000***</w:t>
            </w:r>
          </w:p>
        </w:tc>
        <w:tc>
          <w:tcPr>
            <w:tcW w:w="99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0,0522</w:t>
            </w:r>
          </w:p>
        </w:tc>
      </w:tr>
      <w:tr w:rsidR="00216FBF" w:rsidRPr="00701DFF" w:rsidTr="00680ED5">
        <w:trPr>
          <w:trHeight w:val="275"/>
          <w:jc w:val="center"/>
        </w:trPr>
        <w:tc>
          <w:tcPr>
            <w:tcW w:w="1587" w:type="dxa"/>
          </w:tcPr>
          <w:p w:rsidR="00216FBF" w:rsidRPr="00701DFF" w:rsidRDefault="008877B0" w:rsidP="00216FBF">
            <w:pPr>
              <w:jc w:val="both"/>
              <w:rPr>
                <w:rFonts w:ascii="Times New Roman" w:hAnsi="Times New Roman" w:cs="Times New Roman"/>
                <w:b/>
                <w:lang w:val="en-US"/>
              </w:rPr>
            </w:pPr>
            <m:oMathPara>
              <m:oMath>
                <m:r>
                  <m:rPr>
                    <m:sty m:val="bi"/>
                  </m:rPr>
                  <w:rPr>
                    <w:rFonts w:ascii="Cambria Math" w:hAnsi="Cambria Math" w:cs="Times New Roman"/>
                    <w:lang w:val="en-US"/>
                  </w:rPr>
                  <m:t>OIL</m:t>
                </m:r>
              </m:oMath>
            </m:oMathPara>
          </w:p>
        </w:tc>
        <w:tc>
          <w:tcPr>
            <w:tcW w:w="1372"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0,0761*</w:t>
            </w:r>
          </w:p>
        </w:tc>
        <w:tc>
          <w:tcPr>
            <w:tcW w:w="1372"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0,1459</w:t>
            </w:r>
          </w:p>
        </w:tc>
        <w:tc>
          <w:tcPr>
            <w:tcW w:w="99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0,9018</w:t>
            </w:r>
          </w:p>
        </w:tc>
        <w:tc>
          <w:tcPr>
            <w:tcW w:w="1373"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0,0000***</w:t>
            </w:r>
          </w:p>
        </w:tc>
        <w:tc>
          <w:tcPr>
            <w:tcW w:w="1373"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0,0000***</w:t>
            </w:r>
          </w:p>
        </w:tc>
        <w:tc>
          <w:tcPr>
            <w:tcW w:w="99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0,1672</w:t>
            </w:r>
          </w:p>
        </w:tc>
      </w:tr>
      <w:tr w:rsidR="00216FBF" w:rsidRPr="00701DFF" w:rsidTr="00680ED5">
        <w:trPr>
          <w:trHeight w:val="251"/>
          <w:jc w:val="center"/>
        </w:trPr>
        <w:tc>
          <w:tcPr>
            <w:tcW w:w="1587" w:type="dxa"/>
          </w:tcPr>
          <w:p w:rsidR="00216FBF" w:rsidRPr="00701DFF" w:rsidRDefault="008877B0" w:rsidP="00216FBF">
            <w:pPr>
              <w:jc w:val="both"/>
              <w:rPr>
                <w:rFonts w:ascii="Times New Roman" w:hAnsi="Times New Roman" w:cs="Times New Roman"/>
                <w:b/>
                <w:lang w:val="en-US"/>
              </w:rPr>
            </w:pPr>
            <m:oMathPara>
              <m:oMath>
                <m:r>
                  <m:rPr>
                    <m:sty m:val="bi"/>
                  </m:rPr>
                  <w:rPr>
                    <w:rFonts w:ascii="Cambria Math" w:hAnsi="Cambria Math" w:cs="Times New Roman"/>
                    <w:lang w:val="en-US"/>
                  </w:rPr>
                  <m:t>CPIEU</m:t>
                </m:r>
              </m:oMath>
            </m:oMathPara>
          </w:p>
        </w:tc>
        <w:tc>
          <w:tcPr>
            <w:tcW w:w="1372"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0,4208</w:t>
            </w:r>
          </w:p>
        </w:tc>
        <w:tc>
          <w:tcPr>
            <w:tcW w:w="1372"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0,4737</w:t>
            </w:r>
          </w:p>
        </w:tc>
        <w:tc>
          <w:tcPr>
            <w:tcW w:w="99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0,2877</w:t>
            </w:r>
          </w:p>
        </w:tc>
        <w:tc>
          <w:tcPr>
            <w:tcW w:w="1373"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0,0002***</w:t>
            </w:r>
          </w:p>
        </w:tc>
        <w:tc>
          <w:tcPr>
            <w:tcW w:w="1373"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0,0000***</w:t>
            </w:r>
          </w:p>
        </w:tc>
        <w:tc>
          <w:tcPr>
            <w:tcW w:w="99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0,1386</w:t>
            </w:r>
          </w:p>
        </w:tc>
      </w:tr>
      <w:tr w:rsidR="00216FBF" w:rsidRPr="00701DFF" w:rsidTr="00680ED5">
        <w:trPr>
          <w:trHeight w:val="251"/>
          <w:jc w:val="center"/>
        </w:trPr>
        <w:tc>
          <w:tcPr>
            <w:tcW w:w="1587" w:type="dxa"/>
          </w:tcPr>
          <w:p w:rsidR="00216FBF" w:rsidRPr="00701DFF" w:rsidRDefault="008877B0" w:rsidP="00216FBF">
            <w:pPr>
              <w:jc w:val="both"/>
              <w:rPr>
                <w:rFonts w:ascii="Times New Roman" w:hAnsi="Times New Roman" w:cs="Times New Roman"/>
                <w:b/>
                <w:lang w:val="en-US"/>
              </w:rPr>
            </w:pPr>
            <m:oMathPara>
              <m:oMath>
                <m:r>
                  <m:rPr>
                    <m:sty m:val="bi"/>
                  </m:rPr>
                  <w:rPr>
                    <w:rFonts w:ascii="Cambria Math" w:hAnsi="Cambria Math" w:cs="Times New Roman"/>
                    <w:lang w:val="en-US"/>
                  </w:rPr>
                  <m:t>IMP</m:t>
                </m:r>
              </m:oMath>
            </m:oMathPara>
          </w:p>
        </w:tc>
        <w:tc>
          <w:tcPr>
            <w:tcW w:w="1372"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0,0001***</w:t>
            </w:r>
          </w:p>
        </w:tc>
        <w:tc>
          <w:tcPr>
            <w:tcW w:w="1372"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0,0003***</w:t>
            </w:r>
          </w:p>
        </w:tc>
        <w:tc>
          <w:tcPr>
            <w:tcW w:w="99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0,2356</w:t>
            </w:r>
          </w:p>
        </w:tc>
        <w:tc>
          <w:tcPr>
            <w:tcW w:w="1373"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0,0000***</w:t>
            </w:r>
          </w:p>
        </w:tc>
        <w:tc>
          <w:tcPr>
            <w:tcW w:w="1373"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0,0001***</w:t>
            </w:r>
          </w:p>
        </w:tc>
        <w:tc>
          <w:tcPr>
            <w:tcW w:w="99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0,1556</w:t>
            </w:r>
          </w:p>
        </w:tc>
      </w:tr>
      <w:tr w:rsidR="00216FBF" w:rsidRPr="00701DFF" w:rsidTr="00680ED5">
        <w:trPr>
          <w:trHeight w:val="275"/>
          <w:jc w:val="center"/>
        </w:trPr>
        <w:tc>
          <w:tcPr>
            <w:tcW w:w="1587" w:type="dxa"/>
          </w:tcPr>
          <w:p w:rsidR="00216FBF" w:rsidRPr="00701DFF" w:rsidRDefault="008877B0" w:rsidP="00216FBF">
            <w:pPr>
              <w:jc w:val="both"/>
              <w:rPr>
                <w:rFonts w:ascii="Times New Roman" w:hAnsi="Times New Roman" w:cs="Times New Roman"/>
                <w:b/>
                <w:lang w:val="en-US"/>
              </w:rPr>
            </w:pPr>
            <m:oMathPara>
              <m:oMath>
                <m:r>
                  <m:rPr>
                    <m:sty m:val="bi"/>
                  </m:rPr>
                  <w:rPr>
                    <w:rFonts w:ascii="Cambria Math" w:hAnsi="Cambria Math" w:cs="Times New Roman"/>
                    <w:lang w:val="en-US"/>
                  </w:rPr>
                  <m:t>M</m:t>
                </m:r>
                <m:r>
                  <m:rPr>
                    <m:sty m:val="bi"/>
                  </m:rPr>
                  <w:rPr>
                    <w:rFonts w:ascii="Cambria Math" w:hAnsi="Cambria Math" w:cs="Times New Roman"/>
                    <w:lang w:val="en-US"/>
                  </w:rPr>
                  <m:t>1</m:t>
                </m:r>
              </m:oMath>
            </m:oMathPara>
          </w:p>
        </w:tc>
        <w:tc>
          <w:tcPr>
            <w:tcW w:w="1372"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0,2567</w:t>
            </w:r>
          </w:p>
        </w:tc>
        <w:tc>
          <w:tcPr>
            <w:tcW w:w="1372"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0,2173</w:t>
            </w:r>
          </w:p>
        </w:tc>
        <w:tc>
          <w:tcPr>
            <w:tcW w:w="99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0,1132</w:t>
            </w:r>
          </w:p>
        </w:tc>
        <w:tc>
          <w:tcPr>
            <w:tcW w:w="1373"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0,0000***</w:t>
            </w:r>
          </w:p>
        </w:tc>
        <w:tc>
          <w:tcPr>
            <w:tcW w:w="1373"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0,0000***</w:t>
            </w:r>
          </w:p>
        </w:tc>
        <w:tc>
          <w:tcPr>
            <w:tcW w:w="99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0,0739</w:t>
            </w:r>
          </w:p>
        </w:tc>
      </w:tr>
    </w:tbl>
    <w:p w:rsidR="00216FBF" w:rsidRPr="008877B0" w:rsidRDefault="008877B0" w:rsidP="00216FBF">
      <w:pPr>
        <w:spacing w:after="0" w:line="240" w:lineRule="auto"/>
        <w:jc w:val="both"/>
        <w:rPr>
          <w:rFonts w:ascii="Times New Roman" w:hAnsi="Times New Roman" w:cs="Times New Roman"/>
          <w:szCs w:val="24"/>
          <w:lang w:val="en-US"/>
        </w:rPr>
      </w:pPr>
      <w:r w:rsidRPr="008877B0">
        <w:rPr>
          <w:rFonts w:ascii="Times New Roman" w:hAnsi="Times New Roman" w:cs="Times New Roman"/>
          <w:szCs w:val="24"/>
        </w:rPr>
        <w:t>Забелешка: Нултат</w:t>
      </w:r>
      <w:r>
        <w:rPr>
          <w:rFonts w:ascii="Times New Roman" w:hAnsi="Times New Roman" w:cs="Times New Roman"/>
          <w:szCs w:val="24"/>
        </w:rPr>
        <w:t>а</w:t>
      </w:r>
      <w:r w:rsidRPr="008877B0">
        <w:rPr>
          <w:rFonts w:ascii="Times New Roman" w:hAnsi="Times New Roman" w:cs="Times New Roman"/>
          <w:szCs w:val="24"/>
        </w:rPr>
        <w:t xml:space="preserve"> хипотеза за </w:t>
      </w:r>
      <w:r w:rsidR="00216FBF" w:rsidRPr="008877B0">
        <w:rPr>
          <w:rFonts w:ascii="Times New Roman" w:hAnsi="Times New Roman" w:cs="Times New Roman"/>
          <w:szCs w:val="24"/>
          <w:lang w:val="en-US"/>
        </w:rPr>
        <w:t xml:space="preserve"> ADF </w:t>
      </w:r>
      <w:r w:rsidRPr="008877B0">
        <w:rPr>
          <w:rFonts w:ascii="Times New Roman" w:hAnsi="Times New Roman" w:cs="Times New Roman"/>
          <w:szCs w:val="24"/>
        </w:rPr>
        <w:t>и</w:t>
      </w:r>
      <w:r w:rsidR="00216FBF" w:rsidRPr="008877B0">
        <w:rPr>
          <w:rFonts w:ascii="Times New Roman" w:hAnsi="Times New Roman" w:cs="Times New Roman"/>
          <w:szCs w:val="24"/>
          <w:lang w:val="en-US"/>
        </w:rPr>
        <w:t xml:space="preserve"> PP </w:t>
      </w:r>
      <w:r w:rsidRPr="008877B0">
        <w:rPr>
          <w:rFonts w:ascii="Times New Roman" w:hAnsi="Times New Roman" w:cs="Times New Roman"/>
          <w:szCs w:val="24"/>
        </w:rPr>
        <w:t>тестот гласи дека сери</w:t>
      </w:r>
      <w:r>
        <w:rPr>
          <w:rFonts w:ascii="Times New Roman" w:hAnsi="Times New Roman" w:cs="Times New Roman"/>
          <w:szCs w:val="24"/>
        </w:rPr>
        <w:t>јата има</w:t>
      </w:r>
      <w:r w:rsidRPr="008877B0">
        <w:rPr>
          <w:rFonts w:ascii="Times New Roman" w:hAnsi="Times New Roman" w:cs="Times New Roman"/>
          <w:szCs w:val="24"/>
        </w:rPr>
        <w:t xml:space="preserve"> единечен корен. </w:t>
      </w:r>
      <w:r>
        <w:rPr>
          <w:rFonts w:ascii="Times New Roman" w:hAnsi="Times New Roman" w:cs="Times New Roman"/>
          <w:szCs w:val="24"/>
        </w:rPr>
        <w:t xml:space="preserve">За </w:t>
      </w:r>
      <w:r w:rsidR="00216FBF" w:rsidRPr="008877B0">
        <w:rPr>
          <w:rFonts w:ascii="Times New Roman" w:hAnsi="Times New Roman" w:cs="Times New Roman"/>
          <w:szCs w:val="24"/>
          <w:lang w:val="en-US"/>
        </w:rPr>
        <w:t xml:space="preserve">KPSS </w:t>
      </w:r>
      <w:r>
        <w:rPr>
          <w:rFonts w:ascii="Times New Roman" w:hAnsi="Times New Roman" w:cs="Times New Roman"/>
          <w:szCs w:val="24"/>
        </w:rPr>
        <w:t>тестот нултата хипотеза гласи дека серијата е стационарна</w:t>
      </w:r>
      <w:r w:rsidR="00216FBF" w:rsidRPr="008877B0">
        <w:rPr>
          <w:rFonts w:ascii="Times New Roman" w:hAnsi="Times New Roman" w:cs="Times New Roman"/>
          <w:szCs w:val="24"/>
          <w:lang w:val="en-US"/>
        </w:rPr>
        <w:t>. *p&lt;0</w:t>
      </w:r>
      <w:proofErr w:type="gramStart"/>
      <w:r w:rsidR="00216FBF" w:rsidRPr="008877B0">
        <w:rPr>
          <w:rFonts w:ascii="Times New Roman" w:hAnsi="Times New Roman" w:cs="Times New Roman"/>
          <w:szCs w:val="24"/>
          <w:lang w:val="en-US"/>
        </w:rPr>
        <w:t>,1</w:t>
      </w:r>
      <w:proofErr w:type="gramEnd"/>
      <w:r w:rsidR="00216FBF" w:rsidRPr="008877B0">
        <w:rPr>
          <w:rFonts w:ascii="Times New Roman" w:hAnsi="Times New Roman" w:cs="Times New Roman"/>
          <w:szCs w:val="24"/>
          <w:lang w:val="en-US"/>
        </w:rPr>
        <w:t>;**p&lt;0,05; ***p&lt;0,01.</w:t>
      </w:r>
    </w:p>
    <w:p w:rsidR="00216FBF" w:rsidRPr="008877B0" w:rsidRDefault="008877B0" w:rsidP="00216FBF">
      <w:pPr>
        <w:spacing w:after="0" w:line="240" w:lineRule="auto"/>
        <w:jc w:val="both"/>
        <w:rPr>
          <w:rFonts w:ascii="Times New Roman" w:hAnsi="Times New Roman" w:cs="Times New Roman"/>
          <w:szCs w:val="24"/>
        </w:rPr>
      </w:pPr>
      <w:r>
        <w:rPr>
          <w:rFonts w:ascii="Times New Roman" w:hAnsi="Times New Roman" w:cs="Times New Roman"/>
          <w:szCs w:val="24"/>
        </w:rPr>
        <w:t>Извор: Пресметки на авторот.</w:t>
      </w:r>
    </w:p>
    <w:p w:rsidR="00216FBF" w:rsidRPr="00216FBF" w:rsidRDefault="00216FBF" w:rsidP="00216FBF">
      <w:pPr>
        <w:spacing w:after="0" w:line="240" w:lineRule="auto"/>
        <w:jc w:val="both"/>
        <w:rPr>
          <w:rFonts w:ascii="Times New Roman" w:hAnsi="Times New Roman" w:cs="Times New Roman"/>
          <w:sz w:val="24"/>
          <w:szCs w:val="24"/>
          <w:lang w:val="en-US"/>
        </w:rPr>
      </w:pPr>
    </w:p>
    <w:p w:rsidR="00216FBF" w:rsidRDefault="00680ED5" w:rsidP="00216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Следниот чекор е испитување на бројот на временски доцнења кои ќе се вклучат во моделот. Резултатите се прикажани во табела 2. </w:t>
      </w:r>
    </w:p>
    <w:p w:rsidR="0010004F" w:rsidRPr="00216FBF" w:rsidRDefault="0010004F" w:rsidP="00216FBF">
      <w:pPr>
        <w:spacing w:after="0" w:line="240" w:lineRule="auto"/>
        <w:jc w:val="both"/>
        <w:rPr>
          <w:rFonts w:ascii="Times New Roman" w:hAnsi="Times New Roman" w:cs="Times New Roman"/>
          <w:sz w:val="24"/>
          <w:szCs w:val="24"/>
          <w:lang w:val="en-US"/>
        </w:rPr>
      </w:pPr>
    </w:p>
    <w:p w:rsidR="00216FBF" w:rsidRPr="00680ED5" w:rsidRDefault="00680ED5" w:rsidP="00680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Табела 2 Тестови за временски доцнења</w:t>
      </w:r>
    </w:p>
    <w:tbl>
      <w:tblPr>
        <w:tblStyle w:val="TableGrid"/>
        <w:tblW w:w="7727" w:type="dxa"/>
        <w:jc w:val="center"/>
        <w:tblInd w:w="934" w:type="dxa"/>
        <w:tblLook w:val="04A0"/>
      </w:tblPr>
      <w:tblGrid>
        <w:gridCol w:w="1191"/>
        <w:gridCol w:w="1316"/>
        <w:gridCol w:w="1251"/>
        <w:gridCol w:w="1276"/>
        <w:gridCol w:w="1417"/>
        <w:gridCol w:w="1276"/>
      </w:tblGrid>
      <w:tr w:rsidR="00216FBF" w:rsidRPr="00701DFF" w:rsidTr="00051579">
        <w:trPr>
          <w:jc w:val="center"/>
        </w:trPr>
        <w:tc>
          <w:tcPr>
            <w:tcW w:w="1191" w:type="dxa"/>
            <w:vAlign w:val="center"/>
          </w:tcPr>
          <w:p w:rsidR="00216FBF" w:rsidRPr="00701DFF" w:rsidRDefault="00680ED5" w:rsidP="0010004F">
            <w:pPr>
              <w:jc w:val="center"/>
              <w:rPr>
                <w:rFonts w:ascii="Times New Roman" w:hAnsi="Times New Roman" w:cs="Times New Roman"/>
                <w:b/>
              </w:rPr>
            </w:pPr>
            <w:r w:rsidRPr="00701DFF">
              <w:rPr>
                <w:rFonts w:ascii="Times New Roman" w:hAnsi="Times New Roman" w:cs="Times New Roman"/>
                <w:b/>
              </w:rPr>
              <w:t>Вре</w:t>
            </w:r>
            <w:r w:rsidR="0010004F">
              <w:rPr>
                <w:rFonts w:ascii="Times New Roman" w:hAnsi="Times New Roman" w:cs="Times New Roman"/>
                <w:b/>
              </w:rPr>
              <w:t>м.</w:t>
            </w:r>
            <w:r w:rsidRPr="00701DFF">
              <w:rPr>
                <w:rFonts w:ascii="Times New Roman" w:hAnsi="Times New Roman" w:cs="Times New Roman"/>
                <w:b/>
              </w:rPr>
              <w:t>доц</w:t>
            </w:r>
            <w:r w:rsidR="0010004F">
              <w:rPr>
                <w:rFonts w:ascii="Times New Roman" w:hAnsi="Times New Roman" w:cs="Times New Roman"/>
                <w:b/>
              </w:rPr>
              <w:t>.</w:t>
            </w:r>
          </w:p>
        </w:tc>
        <w:tc>
          <w:tcPr>
            <w:tcW w:w="1316" w:type="dxa"/>
            <w:vAlign w:val="center"/>
          </w:tcPr>
          <w:p w:rsidR="00216FBF" w:rsidRPr="00701DFF" w:rsidRDefault="00216FBF" w:rsidP="00680ED5">
            <w:pPr>
              <w:jc w:val="center"/>
              <w:rPr>
                <w:rFonts w:ascii="Times New Roman" w:hAnsi="Times New Roman" w:cs="Times New Roman"/>
                <w:b/>
                <w:lang w:val="en-US"/>
              </w:rPr>
            </w:pPr>
            <w:r w:rsidRPr="00701DFF">
              <w:rPr>
                <w:rFonts w:ascii="Times New Roman" w:hAnsi="Times New Roman" w:cs="Times New Roman"/>
                <w:b/>
                <w:lang w:val="en-US"/>
              </w:rPr>
              <w:t>LR</w:t>
            </w:r>
          </w:p>
        </w:tc>
        <w:tc>
          <w:tcPr>
            <w:tcW w:w="1251" w:type="dxa"/>
            <w:vAlign w:val="center"/>
          </w:tcPr>
          <w:p w:rsidR="00216FBF" w:rsidRPr="00701DFF" w:rsidRDefault="00216FBF" w:rsidP="00680ED5">
            <w:pPr>
              <w:jc w:val="center"/>
              <w:rPr>
                <w:rFonts w:ascii="Times New Roman" w:hAnsi="Times New Roman" w:cs="Times New Roman"/>
                <w:b/>
                <w:lang w:val="en-US"/>
              </w:rPr>
            </w:pPr>
            <w:r w:rsidRPr="00701DFF">
              <w:rPr>
                <w:rFonts w:ascii="Times New Roman" w:hAnsi="Times New Roman" w:cs="Times New Roman"/>
                <w:b/>
                <w:lang w:val="en-US"/>
              </w:rPr>
              <w:t>FPE</w:t>
            </w:r>
          </w:p>
        </w:tc>
        <w:tc>
          <w:tcPr>
            <w:tcW w:w="1276" w:type="dxa"/>
            <w:vAlign w:val="center"/>
          </w:tcPr>
          <w:p w:rsidR="00216FBF" w:rsidRPr="00701DFF" w:rsidRDefault="00216FBF" w:rsidP="00680ED5">
            <w:pPr>
              <w:jc w:val="center"/>
              <w:rPr>
                <w:rFonts w:ascii="Times New Roman" w:hAnsi="Times New Roman" w:cs="Times New Roman"/>
                <w:b/>
                <w:lang w:val="en-US"/>
              </w:rPr>
            </w:pPr>
            <w:r w:rsidRPr="00701DFF">
              <w:rPr>
                <w:rFonts w:ascii="Times New Roman" w:hAnsi="Times New Roman" w:cs="Times New Roman"/>
                <w:b/>
                <w:lang w:val="en-US"/>
              </w:rPr>
              <w:t>AIC</w:t>
            </w:r>
          </w:p>
        </w:tc>
        <w:tc>
          <w:tcPr>
            <w:tcW w:w="1417" w:type="dxa"/>
            <w:vAlign w:val="center"/>
          </w:tcPr>
          <w:p w:rsidR="00216FBF" w:rsidRPr="00701DFF" w:rsidRDefault="00216FBF" w:rsidP="00680ED5">
            <w:pPr>
              <w:jc w:val="center"/>
              <w:rPr>
                <w:rFonts w:ascii="Times New Roman" w:hAnsi="Times New Roman" w:cs="Times New Roman"/>
                <w:b/>
                <w:lang w:val="en-US"/>
              </w:rPr>
            </w:pPr>
            <w:r w:rsidRPr="00701DFF">
              <w:rPr>
                <w:rFonts w:ascii="Times New Roman" w:hAnsi="Times New Roman" w:cs="Times New Roman"/>
                <w:b/>
                <w:lang w:val="en-US"/>
              </w:rPr>
              <w:t>SC</w:t>
            </w:r>
          </w:p>
        </w:tc>
        <w:tc>
          <w:tcPr>
            <w:tcW w:w="1276" w:type="dxa"/>
            <w:vAlign w:val="center"/>
          </w:tcPr>
          <w:p w:rsidR="00216FBF" w:rsidRPr="00701DFF" w:rsidRDefault="00216FBF" w:rsidP="00680ED5">
            <w:pPr>
              <w:jc w:val="center"/>
              <w:rPr>
                <w:rFonts w:ascii="Times New Roman" w:hAnsi="Times New Roman" w:cs="Times New Roman"/>
                <w:b/>
                <w:lang w:val="en-US"/>
              </w:rPr>
            </w:pPr>
            <w:r w:rsidRPr="00701DFF">
              <w:rPr>
                <w:rFonts w:ascii="Times New Roman" w:hAnsi="Times New Roman" w:cs="Times New Roman"/>
                <w:b/>
                <w:lang w:val="en-US"/>
              </w:rPr>
              <w:t>HQ</w:t>
            </w:r>
          </w:p>
        </w:tc>
      </w:tr>
      <w:tr w:rsidR="00216FBF" w:rsidRPr="00701DFF" w:rsidTr="00051579">
        <w:trPr>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1</w:t>
            </w:r>
          </w:p>
        </w:tc>
        <w:tc>
          <w:tcPr>
            <w:tcW w:w="1316" w:type="dxa"/>
            <w:vAlign w:val="center"/>
          </w:tcPr>
          <w:p w:rsidR="00216FBF" w:rsidRPr="00701DFF" w:rsidRDefault="00216FBF" w:rsidP="00701DFF">
            <w:pPr>
              <w:jc w:val="center"/>
              <w:rPr>
                <w:rFonts w:ascii="Times New Roman" w:hAnsi="Times New Roman" w:cs="Times New Roman"/>
                <w:lang w:val="en-US"/>
              </w:rPr>
            </w:pPr>
            <w:r w:rsidRPr="00701DFF">
              <w:rPr>
                <w:rFonts w:ascii="Times New Roman" w:hAnsi="Times New Roman" w:cs="Times New Roman"/>
                <w:lang w:val="en-US"/>
              </w:rPr>
              <w:t>NA</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1038,533</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21,13473</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21,70631*</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21,36690</w:t>
            </w:r>
          </w:p>
        </w:tc>
      </w:tr>
      <w:tr w:rsidR="00216FBF" w:rsidRPr="00701DFF" w:rsidTr="00051579">
        <w:trPr>
          <w:trHeight w:val="284"/>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2</w:t>
            </w:r>
          </w:p>
        </w:tc>
        <w:tc>
          <w:tcPr>
            <w:tcW w:w="131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75,93035</w:t>
            </w:r>
          </w:p>
        </w:tc>
        <w:tc>
          <w:tcPr>
            <w:tcW w:w="1251" w:type="dxa"/>
            <w:vAlign w:val="center"/>
          </w:tcPr>
          <w:p w:rsidR="00216FBF" w:rsidRPr="00701DFF" w:rsidRDefault="00680ED5" w:rsidP="00680ED5">
            <w:pPr>
              <w:jc w:val="both"/>
              <w:rPr>
                <w:rFonts w:ascii="Times New Roman" w:hAnsi="Times New Roman" w:cs="Times New Roman"/>
                <w:lang w:val="en-US"/>
              </w:rPr>
            </w:pPr>
            <w:r w:rsidRPr="00701DFF">
              <w:rPr>
                <w:rFonts w:ascii="Times New Roman" w:hAnsi="Times New Roman" w:cs="Times New Roman"/>
                <w:lang w:val="en-US"/>
              </w:rPr>
              <w:t xml:space="preserve">  </w:t>
            </w:r>
            <w:r w:rsidR="00216FBF" w:rsidRPr="00701DFF">
              <w:rPr>
                <w:rFonts w:ascii="Times New Roman" w:hAnsi="Times New Roman" w:cs="Times New Roman"/>
                <w:lang w:val="en-US"/>
              </w:rPr>
              <w:t>97,6679*</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20,86928</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22,01244</w:t>
            </w:r>
          </w:p>
        </w:tc>
        <w:tc>
          <w:tcPr>
            <w:tcW w:w="1276" w:type="dxa"/>
            <w:vAlign w:val="center"/>
          </w:tcPr>
          <w:p w:rsidR="00216FBF" w:rsidRPr="00701DFF" w:rsidRDefault="00680ED5" w:rsidP="00216FBF">
            <w:pPr>
              <w:jc w:val="both"/>
              <w:rPr>
                <w:rFonts w:ascii="Times New Roman" w:hAnsi="Times New Roman" w:cs="Times New Roman"/>
                <w:lang w:val="en-US"/>
              </w:rPr>
            </w:pPr>
            <w:r w:rsidRPr="00701DFF">
              <w:rPr>
                <w:rFonts w:ascii="Times New Roman" w:hAnsi="Times New Roman" w:cs="Times New Roman"/>
                <w:lang w:val="en-US"/>
              </w:rPr>
              <w:t xml:space="preserve"> </w:t>
            </w:r>
            <w:r w:rsidR="00216FBF" w:rsidRPr="00701DFF">
              <w:rPr>
                <w:rFonts w:ascii="Times New Roman" w:hAnsi="Times New Roman" w:cs="Times New Roman"/>
                <w:lang w:val="en-US"/>
              </w:rPr>
              <w:t>21,33363*</w:t>
            </w:r>
          </w:p>
        </w:tc>
      </w:tr>
      <w:tr w:rsidR="00216FBF" w:rsidRPr="00701DFF" w:rsidTr="00051579">
        <w:trPr>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3</w:t>
            </w:r>
          </w:p>
        </w:tc>
        <w:tc>
          <w:tcPr>
            <w:tcW w:w="131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44,01576</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800,2665</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20,86823</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22,58298</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21,56476</w:t>
            </w:r>
          </w:p>
        </w:tc>
      </w:tr>
      <w:tr w:rsidR="00216FBF" w:rsidRPr="00701DFF" w:rsidTr="00051579">
        <w:trPr>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4</w:t>
            </w:r>
          </w:p>
        </w:tc>
        <w:tc>
          <w:tcPr>
            <w:tcW w:w="131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29,00850</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914,4061</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20,99310</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23,27943</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21,92180</w:t>
            </w:r>
          </w:p>
        </w:tc>
      </w:tr>
      <w:tr w:rsidR="00216FBF" w:rsidRPr="00701DFF" w:rsidTr="00051579">
        <w:trPr>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5</w:t>
            </w:r>
          </w:p>
        </w:tc>
        <w:tc>
          <w:tcPr>
            <w:tcW w:w="131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27,84974</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1048,105</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21,11542</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23,97333</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22,27630</w:t>
            </w:r>
          </w:p>
        </w:tc>
      </w:tr>
      <w:tr w:rsidR="00216FBF" w:rsidRPr="00701DFF" w:rsidTr="00051579">
        <w:trPr>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6</w:t>
            </w:r>
          </w:p>
        </w:tc>
        <w:tc>
          <w:tcPr>
            <w:tcW w:w="131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29,11825</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1175,687</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21,20883</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24,63832</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22,60188</w:t>
            </w:r>
          </w:p>
        </w:tc>
      </w:tr>
      <w:tr w:rsidR="00216FBF" w:rsidRPr="00701DFF" w:rsidTr="00051579">
        <w:trPr>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7</w:t>
            </w:r>
          </w:p>
        </w:tc>
        <w:tc>
          <w:tcPr>
            <w:tcW w:w="131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28,47672</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1316,995</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21,29173</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25,29281</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22,91696</w:t>
            </w:r>
          </w:p>
        </w:tc>
      </w:tr>
      <w:tr w:rsidR="00216FBF" w:rsidRPr="00701DFF" w:rsidTr="00051579">
        <w:trPr>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8</w:t>
            </w:r>
          </w:p>
        </w:tc>
        <w:tc>
          <w:tcPr>
            <w:tcW w:w="131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29,74549</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1440,846</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21,33986</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25,91251</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23,19726</w:t>
            </w:r>
          </w:p>
        </w:tc>
      </w:tr>
      <w:tr w:rsidR="00216FBF" w:rsidRPr="00701DFF" w:rsidTr="00051579">
        <w:trPr>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9</w:t>
            </w:r>
          </w:p>
        </w:tc>
        <w:tc>
          <w:tcPr>
            <w:tcW w:w="131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41,46373</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1343,626</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21,21477</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26,35901</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23,30435</w:t>
            </w:r>
          </w:p>
        </w:tc>
      </w:tr>
      <w:tr w:rsidR="00216FBF" w:rsidRPr="00701DFF" w:rsidTr="00051579">
        <w:trPr>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10</w:t>
            </w:r>
          </w:p>
        </w:tc>
        <w:tc>
          <w:tcPr>
            <w:tcW w:w="131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36,79997</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1308,848</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21,11717</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26,83299</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23,43892</w:t>
            </w:r>
          </w:p>
        </w:tc>
      </w:tr>
      <w:tr w:rsidR="00216FBF" w:rsidRPr="00701DFF" w:rsidTr="00051579">
        <w:trPr>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11</w:t>
            </w:r>
          </w:p>
        </w:tc>
        <w:tc>
          <w:tcPr>
            <w:tcW w:w="131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40,83024</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1180,480</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20,92323</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27,21063</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23,47716</w:t>
            </w:r>
          </w:p>
        </w:tc>
      </w:tr>
      <w:tr w:rsidR="00216FBF" w:rsidRPr="00701DFF" w:rsidTr="00051579">
        <w:trPr>
          <w:trHeight w:val="104"/>
          <w:jc w:val="center"/>
        </w:trPr>
        <w:tc>
          <w:tcPr>
            <w:tcW w:w="1191" w:type="dxa"/>
            <w:vAlign w:val="center"/>
          </w:tcPr>
          <w:p w:rsidR="00216FBF" w:rsidRPr="00701DFF" w:rsidRDefault="00216FBF" w:rsidP="00680ED5">
            <w:pPr>
              <w:jc w:val="center"/>
              <w:rPr>
                <w:rFonts w:ascii="Times New Roman" w:hAnsi="Times New Roman" w:cs="Times New Roman"/>
                <w:lang w:val="en-US"/>
              </w:rPr>
            </w:pPr>
            <w:r w:rsidRPr="00701DFF">
              <w:rPr>
                <w:rFonts w:ascii="Times New Roman" w:hAnsi="Times New Roman" w:cs="Times New Roman"/>
                <w:lang w:val="en-US"/>
              </w:rPr>
              <w:t>12</w:t>
            </w:r>
          </w:p>
        </w:tc>
        <w:tc>
          <w:tcPr>
            <w:tcW w:w="1316" w:type="dxa"/>
            <w:vAlign w:val="center"/>
          </w:tcPr>
          <w:p w:rsidR="00216FBF" w:rsidRPr="00701DFF" w:rsidRDefault="00051579" w:rsidP="00216FBF">
            <w:pPr>
              <w:jc w:val="both"/>
              <w:rPr>
                <w:rFonts w:ascii="Times New Roman" w:hAnsi="Times New Roman" w:cs="Times New Roman"/>
                <w:lang w:val="en-US"/>
              </w:rPr>
            </w:pPr>
            <w:r>
              <w:rPr>
                <w:rFonts w:ascii="Times New Roman" w:hAnsi="Times New Roman" w:cs="Times New Roman"/>
                <w:lang w:val="en-US"/>
              </w:rPr>
              <w:t xml:space="preserve"> </w:t>
            </w:r>
            <w:r w:rsidR="00216FBF" w:rsidRPr="00701DFF">
              <w:rPr>
                <w:rFonts w:ascii="Times New Roman" w:hAnsi="Times New Roman" w:cs="Times New Roman"/>
                <w:lang w:val="en-US"/>
              </w:rPr>
              <w:t>46,28853*</w:t>
            </w:r>
          </w:p>
        </w:tc>
        <w:tc>
          <w:tcPr>
            <w:tcW w:w="1251"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952,7151</w:t>
            </w:r>
          </w:p>
        </w:tc>
        <w:tc>
          <w:tcPr>
            <w:tcW w:w="1276" w:type="dxa"/>
            <w:vAlign w:val="center"/>
          </w:tcPr>
          <w:p w:rsidR="00216FBF" w:rsidRPr="00701DFF" w:rsidRDefault="00051579" w:rsidP="00216FBF">
            <w:pPr>
              <w:jc w:val="both"/>
              <w:rPr>
                <w:rFonts w:ascii="Times New Roman" w:hAnsi="Times New Roman" w:cs="Times New Roman"/>
                <w:lang w:val="en-US"/>
              </w:rPr>
            </w:pPr>
            <w:r>
              <w:rPr>
                <w:rFonts w:ascii="Times New Roman" w:hAnsi="Times New Roman" w:cs="Times New Roman"/>
                <w:lang w:val="en-US"/>
              </w:rPr>
              <w:t xml:space="preserve"> </w:t>
            </w:r>
            <w:r w:rsidR="00216FBF" w:rsidRPr="00701DFF">
              <w:rPr>
                <w:rFonts w:ascii="Times New Roman" w:hAnsi="Times New Roman" w:cs="Times New Roman"/>
                <w:lang w:val="en-US"/>
              </w:rPr>
              <w:t>20,59499*</w:t>
            </w:r>
          </w:p>
        </w:tc>
        <w:tc>
          <w:tcPr>
            <w:tcW w:w="1417"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27,45398</w:t>
            </w:r>
          </w:p>
        </w:tc>
        <w:tc>
          <w:tcPr>
            <w:tcW w:w="1276" w:type="dxa"/>
            <w:vAlign w:val="center"/>
          </w:tcPr>
          <w:p w:rsidR="00216FBF" w:rsidRPr="00701DFF" w:rsidRDefault="00216FBF" w:rsidP="00216FBF">
            <w:pPr>
              <w:jc w:val="both"/>
              <w:rPr>
                <w:rFonts w:ascii="Times New Roman" w:hAnsi="Times New Roman" w:cs="Times New Roman"/>
                <w:lang w:val="en-US"/>
              </w:rPr>
            </w:pPr>
            <w:r w:rsidRPr="00701DFF">
              <w:rPr>
                <w:rFonts w:ascii="Times New Roman" w:hAnsi="Times New Roman" w:cs="Times New Roman"/>
                <w:lang w:val="en-US"/>
              </w:rPr>
              <w:t xml:space="preserve"> 23,38110</w:t>
            </w:r>
          </w:p>
        </w:tc>
      </w:tr>
    </w:tbl>
    <w:p w:rsidR="00216FBF" w:rsidRPr="00680ED5" w:rsidRDefault="00680ED5" w:rsidP="00216FBF">
      <w:pPr>
        <w:spacing w:after="0" w:line="240" w:lineRule="auto"/>
        <w:jc w:val="both"/>
        <w:rPr>
          <w:rFonts w:ascii="Times New Roman" w:hAnsi="Times New Roman" w:cs="Times New Roman"/>
          <w:szCs w:val="24"/>
        </w:rPr>
      </w:pPr>
      <w:r>
        <w:rPr>
          <w:rFonts w:ascii="Times New Roman" w:hAnsi="Times New Roman" w:cs="Times New Roman"/>
          <w:szCs w:val="24"/>
        </w:rPr>
        <w:t>Извор: Пресметки на авторот</w:t>
      </w:r>
    </w:p>
    <w:p w:rsidR="00216FBF" w:rsidRPr="00216FBF" w:rsidRDefault="00216FBF" w:rsidP="00216FBF">
      <w:pPr>
        <w:spacing w:after="0" w:line="240" w:lineRule="auto"/>
        <w:jc w:val="both"/>
        <w:rPr>
          <w:rFonts w:ascii="Times New Roman" w:hAnsi="Times New Roman" w:cs="Times New Roman"/>
          <w:sz w:val="24"/>
          <w:szCs w:val="24"/>
          <w:lang w:val="en-US"/>
        </w:rPr>
      </w:pPr>
    </w:p>
    <w:p w:rsidR="0010004F" w:rsidRPr="00216FBF" w:rsidRDefault="00255A97" w:rsidP="0010004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10004F">
        <w:rPr>
          <w:rFonts w:ascii="Times New Roman" w:hAnsi="Times New Roman" w:cs="Times New Roman"/>
          <w:sz w:val="24"/>
          <w:szCs w:val="24"/>
        </w:rPr>
        <w:t>Според нив, два од пет теста (</w:t>
      </w:r>
      <w:proofErr w:type="spellStart"/>
      <w:r w:rsidR="0010004F" w:rsidRPr="00216FBF">
        <w:rPr>
          <w:rFonts w:ascii="Times New Roman" w:hAnsi="Times New Roman" w:cs="Times New Roman"/>
          <w:sz w:val="24"/>
          <w:szCs w:val="24"/>
          <w:lang w:val="en-US"/>
        </w:rPr>
        <w:t>Akaike</w:t>
      </w:r>
      <w:proofErr w:type="spellEnd"/>
      <w:r w:rsidR="0010004F" w:rsidRPr="00216FBF">
        <w:rPr>
          <w:rFonts w:ascii="Times New Roman" w:hAnsi="Times New Roman" w:cs="Times New Roman"/>
          <w:sz w:val="24"/>
          <w:szCs w:val="24"/>
          <w:lang w:val="en-US"/>
        </w:rPr>
        <w:t xml:space="preserve"> information criterion </w:t>
      </w:r>
      <w:r w:rsidR="0010004F">
        <w:rPr>
          <w:rFonts w:ascii="Times New Roman" w:hAnsi="Times New Roman" w:cs="Times New Roman"/>
          <w:sz w:val="24"/>
          <w:szCs w:val="24"/>
        </w:rPr>
        <w:t>и</w:t>
      </w:r>
      <w:r w:rsidR="0010004F" w:rsidRPr="00216FBF">
        <w:rPr>
          <w:rFonts w:ascii="Times New Roman" w:hAnsi="Times New Roman" w:cs="Times New Roman"/>
          <w:sz w:val="24"/>
          <w:szCs w:val="24"/>
          <w:lang w:val="en-US"/>
        </w:rPr>
        <w:t xml:space="preserve"> sequential modified LR statistic</w:t>
      </w:r>
      <w:r w:rsidR="0010004F">
        <w:rPr>
          <w:rFonts w:ascii="Times New Roman" w:hAnsi="Times New Roman" w:cs="Times New Roman"/>
          <w:sz w:val="24"/>
          <w:szCs w:val="24"/>
        </w:rPr>
        <w:t>) укажуваат на 12 временски доценња. Ова е конзистентно со месечната фреквенција на временските серии каде што се препорачува 12 временски доцнења. Оттука, 12 временски доцнења ќе бидат вклучени во моделот.</w:t>
      </w:r>
    </w:p>
    <w:p w:rsidR="00255A97" w:rsidRDefault="00255A97" w:rsidP="001000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Тестирањето за коинтеграција се врши со тестот за коинтеграција на Јохансен. Резултатите од коинтеграцијата се прикажани во табела 3. Од прикажаното се извлекува заклучок за користење на една коинтеграциска врска бидејќи е најчест резултат кај повеќето наведени опции за податоци без тренд (авторото смета дека не постои праволиниски или криволиниски тренд кај податоците (слика 2)). Постоењето на коинтеграција означува постоење на долгорочна економска врска помеѓу избраните променливи.</w:t>
      </w:r>
    </w:p>
    <w:p w:rsidR="00255A97" w:rsidRPr="00255A97" w:rsidRDefault="00255A97" w:rsidP="00216FBF">
      <w:pPr>
        <w:spacing w:after="0" w:line="240" w:lineRule="auto"/>
        <w:jc w:val="both"/>
        <w:rPr>
          <w:rFonts w:ascii="Times New Roman" w:hAnsi="Times New Roman" w:cs="Times New Roman"/>
          <w:sz w:val="24"/>
          <w:szCs w:val="24"/>
        </w:rPr>
      </w:pPr>
    </w:p>
    <w:p w:rsidR="00216FBF" w:rsidRPr="00255A97" w:rsidRDefault="00255A97" w:rsidP="00255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Табела 3 Тестирање за коинтеграција</w:t>
      </w:r>
    </w:p>
    <w:tbl>
      <w:tblPr>
        <w:tblStyle w:val="TableGrid"/>
        <w:tblW w:w="8904" w:type="dxa"/>
        <w:jc w:val="center"/>
        <w:tblInd w:w="534" w:type="dxa"/>
        <w:tblLook w:val="04A0"/>
      </w:tblPr>
      <w:tblGrid>
        <w:gridCol w:w="1725"/>
        <w:gridCol w:w="1241"/>
        <w:gridCol w:w="821"/>
        <w:gridCol w:w="1704"/>
        <w:gridCol w:w="1704"/>
        <w:gridCol w:w="1709"/>
      </w:tblGrid>
      <w:tr w:rsidR="00255A97" w:rsidRPr="00701DFF" w:rsidTr="007A01C4">
        <w:trPr>
          <w:trHeight w:val="428"/>
          <w:jc w:val="center"/>
        </w:trPr>
        <w:tc>
          <w:tcPr>
            <w:tcW w:w="1705" w:type="dxa"/>
            <w:tcBorders>
              <w:bottom w:val="single" w:sz="18" w:space="0" w:color="auto"/>
            </w:tcBorders>
            <w:vAlign w:val="center"/>
          </w:tcPr>
          <w:p w:rsidR="00216FBF" w:rsidRPr="00701DFF" w:rsidRDefault="00255A97" w:rsidP="00255A97">
            <w:pPr>
              <w:jc w:val="center"/>
              <w:rPr>
                <w:rFonts w:ascii="Times New Roman" w:hAnsi="Times New Roman" w:cs="Times New Roman"/>
                <w:b/>
                <w:lang w:val="en-US"/>
              </w:rPr>
            </w:pPr>
            <w:r w:rsidRPr="00701DFF">
              <w:rPr>
                <w:rFonts w:ascii="Times New Roman" w:hAnsi="Times New Roman" w:cs="Times New Roman"/>
                <w:b/>
              </w:rPr>
              <w:t>Тренд кај променливите</w:t>
            </w:r>
            <w:r w:rsidR="00216FBF" w:rsidRPr="00701DFF">
              <w:rPr>
                <w:rFonts w:ascii="Times New Roman" w:hAnsi="Times New Roman" w:cs="Times New Roman"/>
                <w:b/>
                <w:lang w:val="en-US"/>
              </w:rPr>
              <w:t>:</w:t>
            </w:r>
          </w:p>
        </w:tc>
        <w:tc>
          <w:tcPr>
            <w:tcW w:w="1226" w:type="dxa"/>
            <w:tcBorders>
              <w:bottom w:val="single" w:sz="18" w:space="0" w:color="auto"/>
            </w:tcBorders>
            <w:vAlign w:val="center"/>
          </w:tcPr>
          <w:p w:rsidR="00216FBF" w:rsidRPr="00701DFF" w:rsidRDefault="00255A97" w:rsidP="00255A97">
            <w:pPr>
              <w:jc w:val="center"/>
              <w:rPr>
                <w:rFonts w:ascii="Times New Roman" w:hAnsi="Times New Roman" w:cs="Times New Roman"/>
                <w:b/>
              </w:rPr>
            </w:pPr>
            <w:r w:rsidRPr="00701DFF">
              <w:rPr>
                <w:rFonts w:ascii="Times New Roman" w:hAnsi="Times New Roman" w:cs="Times New Roman"/>
                <w:b/>
              </w:rPr>
              <w:t>Нема</w:t>
            </w:r>
          </w:p>
        </w:tc>
        <w:tc>
          <w:tcPr>
            <w:tcW w:w="916" w:type="dxa"/>
            <w:tcBorders>
              <w:bottom w:val="single" w:sz="18" w:space="0" w:color="auto"/>
            </w:tcBorders>
            <w:vAlign w:val="center"/>
          </w:tcPr>
          <w:p w:rsidR="00216FBF" w:rsidRPr="00701DFF" w:rsidRDefault="00255A97" w:rsidP="00255A97">
            <w:pPr>
              <w:jc w:val="center"/>
              <w:rPr>
                <w:rFonts w:ascii="Times New Roman" w:hAnsi="Times New Roman" w:cs="Times New Roman"/>
                <w:b/>
              </w:rPr>
            </w:pPr>
            <w:r w:rsidRPr="00701DFF">
              <w:rPr>
                <w:rFonts w:ascii="Times New Roman" w:hAnsi="Times New Roman" w:cs="Times New Roman"/>
                <w:b/>
              </w:rPr>
              <w:t>Нема</w:t>
            </w:r>
          </w:p>
        </w:tc>
        <w:tc>
          <w:tcPr>
            <w:tcW w:w="1684" w:type="dxa"/>
            <w:tcBorders>
              <w:bottom w:val="single" w:sz="18" w:space="0" w:color="auto"/>
            </w:tcBorders>
            <w:vAlign w:val="center"/>
          </w:tcPr>
          <w:p w:rsidR="00216FBF" w:rsidRPr="00701DFF" w:rsidRDefault="00255A97" w:rsidP="00255A97">
            <w:pPr>
              <w:jc w:val="center"/>
              <w:rPr>
                <w:rFonts w:ascii="Times New Roman" w:hAnsi="Times New Roman" w:cs="Times New Roman"/>
                <w:b/>
              </w:rPr>
            </w:pPr>
            <w:r w:rsidRPr="00701DFF">
              <w:rPr>
                <w:rFonts w:ascii="Times New Roman" w:hAnsi="Times New Roman" w:cs="Times New Roman"/>
                <w:b/>
              </w:rPr>
              <w:t>Праволиниски</w:t>
            </w:r>
          </w:p>
        </w:tc>
        <w:tc>
          <w:tcPr>
            <w:tcW w:w="1684" w:type="dxa"/>
            <w:tcBorders>
              <w:bottom w:val="single" w:sz="18" w:space="0" w:color="auto"/>
            </w:tcBorders>
            <w:vAlign w:val="center"/>
          </w:tcPr>
          <w:p w:rsidR="00216FBF" w:rsidRPr="00701DFF" w:rsidRDefault="00255A97" w:rsidP="00255A97">
            <w:pPr>
              <w:jc w:val="center"/>
              <w:rPr>
                <w:rFonts w:ascii="Times New Roman" w:hAnsi="Times New Roman" w:cs="Times New Roman"/>
                <w:b/>
                <w:lang w:val="en-US"/>
              </w:rPr>
            </w:pPr>
            <w:r w:rsidRPr="00701DFF">
              <w:rPr>
                <w:rFonts w:ascii="Times New Roman" w:hAnsi="Times New Roman" w:cs="Times New Roman"/>
                <w:b/>
              </w:rPr>
              <w:t>Праволиниски</w:t>
            </w:r>
          </w:p>
        </w:tc>
        <w:tc>
          <w:tcPr>
            <w:tcW w:w="1689" w:type="dxa"/>
            <w:tcBorders>
              <w:bottom w:val="single" w:sz="18" w:space="0" w:color="auto"/>
            </w:tcBorders>
            <w:vAlign w:val="center"/>
          </w:tcPr>
          <w:p w:rsidR="00216FBF" w:rsidRPr="00701DFF" w:rsidRDefault="00255A97" w:rsidP="00255A97">
            <w:pPr>
              <w:jc w:val="center"/>
              <w:rPr>
                <w:rFonts w:ascii="Times New Roman" w:hAnsi="Times New Roman" w:cs="Times New Roman"/>
                <w:b/>
              </w:rPr>
            </w:pPr>
            <w:r w:rsidRPr="00701DFF">
              <w:rPr>
                <w:rFonts w:ascii="Times New Roman" w:hAnsi="Times New Roman" w:cs="Times New Roman"/>
                <w:b/>
              </w:rPr>
              <w:t>Криволиниски</w:t>
            </w:r>
          </w:p>
        </w:tc>
      </w:tr>
      <w:tr w:rsidR="00255A97" w:rsidRPr="00701DFF" w:rsidTr="007A01C4">
        <w:trPr>
          <w:trHeight w:val="428"/>
          <w:jc w:val="center"/>
        </w:trPr>
        <w:tc>
          <w:tcPr>
            <w:tcW w:w="1705" w:type="dxa"/>
            <w:vMerge w:val="restart"/>
            <w:tcBorders>
              <w:top w:val="single" w:sz="18" w:space="0" w:color="auto"/>
            </w:tcBorders>
            <w:vAlign w:val="center"/>
          </w:tcPr>
          <w:p w:rsidR="00255A97" w:rsidRPr="00701DFF" w:rsidRDefault="00255A97" w:rsidP="00255A97">
            <w:pPr>
              <w:jc w:val="center"/>
              <w:rPr>
                <w:rFonts w:ascii="Times New Roman" w:hAnsi="Times New Roman" w:cs="Times New Roman"/>
                <w:b/>
              </w:rPr>
            </w:pPr>
            <w:r w:rsidRPr="00701DFF">
              <w:rPr>
                <w:rFonts w:ascii="Times New Roman" w:hAnsi="Times New Roman" w:cs="Times New Roman"/>
                <w:b/>
              </w:rPr>
              <w:t>Вид на тест</w:t>
            </w:r>
          </w:p>
        </w:tc>
        <w:tc>
          <w:tcPr>
            <w:tcW w:w="1226" w:type="dxa"/>
            <w:tcBorders>
              <w:top w:val="single" w:sz="18" w:space="0" w:color="auto"/>
            </w:tcBorders>
            <w:vAlign w:val="center"/>
          </w:tcPr>
          <w:p w:rsidR="00255A97" w:rsidRPr="00701DFF" w:rsidRDefault="00255A97" w:rsidP="00255A97">
            <w:pPr>
              <w:jc w:val="center"/>
              <w:rPr>
                <w:rFonts w:ascii="Times New Roman" w:hAnsi="Times New Roman" w:cs="Times New Roman"/>
                <w:b/>
              </w:rPr>
            </w:pPr>
            <w:r w:rsidRPr="00701DFF">
              <w:rPr>
                <w:rFonts w:ascii="Times New Roman" w:hAnsi="Times New Roman" w:cs="Times New Roman"/>
                <w:b/>
              </w:rPr>
              <w:t>Нема константа</w:t>
            </w:r>
          </w:p>
        </w:tc>
        <w:tc>
          <w:tcPr>
            <w:tcW w:w="5972" w:type="dxa"/>
            <w:gridSpan w:val="4"/>
            <w:tcBorders>
              <w:top w:val="single" w:sz="18" w:space="0" w:color="auto"/>
            </w:tcBorders>
            <w:vAlign w:val="center"/>
          </w:tcPr>
          <w:p w:rsidR="00255A97" w:rsidRPr="00701DFF" w:rsidRDefault="00255A97" w:rsidP="00255A97">
            <w:pPr>
              <w:jc w:val="center"/>
              <w:rPr>
                <w:rFonts w:ascii="Times New Roman" w:hAnsi="Times New Roman" w:cs="Times New Roman"/>
                <w:b/>
              </w:rPr>
            </w:pPr>
            <w:r w:rsidRPr="00701DFF">
              <w:rPr>
                <w:rFonts w:ascii="Times New Roman" w:hAnsi="Times New Roman" w:cs="Times New Roman"/>
                <w:b/>
              </w:rPr>
              <w:t>Со константа</w:t>
            </w:r>
          </w:p>
        </w:tc>
      </w:tr>
      <w:tr w:rsidR="00255A97" w:rsidRPr="00701DFF" w:rsidTr="007A01C4">
        <w:trPr>
          <w:trHeight w:val="125"/>
          <w:jc w:val="center"/>
        </w:trPr>
        <w:tc>
          <w:tcPr>
            <w:tcW w:w="1705" w:type="dxa"/>
            <w:vMerge/>
            <w:vAlign w:val="center"/>
          </w:tcPr>
          <w:p w:rsidR="00255A97" w:rsidRPr="00701DFF" w:rsidRDefault="00255A97" w:rsidP="00255A97">
            <w:pPr>
              <w:jc w:val="center"/>
              <w:rPr>
                <w:rFonts w:ascii="Times New Roman" w:hAnsi="Times New Roman" w:cs="Times New Roman"/>
                <w:b/>
                <w:lang w:val="en-US"/>
              </w:rPr>
            </w:pPr>
          </w:p>
        </w:tc>
        <w:tc>
          <w:tcPr>
            <w:tcW w:w="1226" w:type="dxa"/>
            <w:vAlign w:val="center"/>
          </w:tcPr>
          <w:p w:rsidR="00255A97" w:rsidRPr="00701DFF" w:rsidRDefault="00255A97" w:rsidP="00255A97">
            <w:pPr>
              <w:jc w:val="center"/>
              <w:rPr>
                <w:rFonts w:ascii="Times New Roman" w:hAnsi="Times New Roman" w:cs="Times New Roman"/>
                <w:b/>
              </w:rPr>
            </w:pPr>
            <w:r w:rsidRPr="00701DFF">
              <w:rPr>
                <w:rFonts w:ascii="Times New Roman" w:hAnsi="Times New Roman" w:cs="Times New Roman"/>
                <w:b/>
              </w:rPr>
              <w:t>Нема тренд</w:t>
            </w:r>
          </w:p>
        </w:tc>
        <w:tc>
          <w:tcPr>
            <w:tcW w:w="916" w:type="dxa"/>
            <w:vAlign w:val="center"/>
          </w:tcPr>
          <w:p w:rsidR="00255A97" w:rsidRPr="00701DFF" w:rsidRDefault="00255A97" w:rsidP="00255A97">
            <w:pPr>
              <w:jc w:val="center"/>
            </w:pPr>
            <w:r w:rsidRPr="00701DFF">
              <w:rPr>
                <w:rFonts w:ascii="Times New Roman" w:hAnsi="Times New Roman" w:cs="Times New Roman"/>
                <w:b/>
              </w:rPr>
              <w:t>Нема тренд</w:t>
            </w:r>
          </w:p>
        </w:tc>
        <w:tc>
          <w:tcPr>
            <w:tcW w:w="1684" w:type="dxa"/>
            <w:vAlign w:val="center"/>
          </w:tcPr>
          <w:p w:rsidR="00255A97" w:rsidRPr="00701DFF" w:rsidRDefault="00255A97" w:rsidP="00255A97">
            <w:pPr>
              <w:jc w:val="center"/>
            </w:pPr>
            <w:r w:rsidRPr="00701DFF">
              <w:rPr>
                <w:rFonts w:ascii="Times New Roman" w:hAnsi="Times New Roman" w:cs="Times New Roman"/>
                <w:b/>
              </w:rPr>
              <w:t>Нема тренд</w:t>
            </w:r>
          </w:p>
        </w:tc>
        <w:tc>
          <w:tcPr>
            <w:tcW w:w="1684" w:type="dxa"/>
            <w:vAlign w:val="center"/>
          </w:tcPr>
          <w:p w:rsidR="00255A97" w:rsidRPr="00701DFF" w:rsidRDefault="00255A97" w:rsidP="00255A97">
            <w:pPr>
              <w:jc w:val="center"/>
              <w:rPr>
                <w:rFonts w:ascii="Times New Roman" w:hAnsi="Times New Roman" w:cs="Times New Roman"/>
                <w:b/>
              </w:rPr>
            </w:pPr>
            <w:r w:rsidRPr="00701DFF">
              <w:rPr>
                <w:rFonts w:ascii="Times New Roman" w:hAnsi="Times New Roman" w:cs="Times New Roman"/>
                <w:b/>
              </w:rPr>
              <w:t>Тренд</w:t>
            </w:r>
          </w:p>
        </w:tc>
        <w:tc>
          <w:tcPr>
            <w:tcW w:w="1689" w:type="dxa"/>
            <w:vAlign w:val="center"/>
          </w:tcPr>
          <w:p w:rsidR="00255A97" w:rsidRPr="00701DFF" w:rsidRDefault="00255A97" w:rsidP="00255A97">
            <w:pPr>
              <w:jc w:val="center"/>
              <w:rPr>
                <w:rFonts w:ascii="Times New Roman" w:hAnsi="Times New Roman" w:cs="Times New Roman"/>
                <w:b/>
              </w:rPr>
            </w:pPr>
            <w:r w:rsidRPr="00701DFF">
              <w:rPr>
                <w:rFonts w:ascii="Times New Roman" w:hAnsi="Times New Roman" w:cs="Times New Roman"/>
                <w:b/>
              </w:rPr>
              <w:t>Тренд</w:t>
            </w:r>
          </w:p>
        </w:tc>
      </w:tr>
      <w:tr w:rsidR="00255A97" w:rsidRPr="00701DFF" w:rsidTr="007A01C4">
        <w:trPr>
          <w:trHeight w:val="204"/>
          <w:jc w:val="center"/>
        </w:trPr>
        <w:tc>
          <w:tcPr>
            <w:tcW w:w="1705" w:type="dxa"/>
            <w:shd w:val="clear" w:color="auto" w:fill="auto"/>
            <w:vAlign w:val="center"/>
          </w:tcPr>
          <w:p w:rsidR="00216FBF" w:rsidRPr="00701DFF" w:rsidRDefault="00216FBF" w:rsidP="00255A97">
            <w:pPr>
              <w:jc w:val="center"/>
              <w:rPr>
                <w:rFonts w:ascii="Times New Roman" w:hAnsi="Times New Roman" w:cs="Times New Roman"/>
                <w:b/>
                <w:lang w:val="en-US"/>
              </w:rPr>
            </w:pPr>
            <w:r w:rsidRPr="00701DFF">
              <w:rPr>
                <w:rFonts w:ascii="Times New Roman" w:hAnsi="Times New Roman" w:cs="Times New Roman"/>
                <w:b/>
                <w:lang w:val="en-US"/>
              </w:rPr>
              <w:t>Trace test</w:t>
            </w:r>
          </w:p>
        </w:tc>
        <w:tc>
          <w:tcPr>
            <w:tcW w:w="1226" w:type="dxa"/>
            <w:vAlign w:val="center"/>
          </w:tcPr>
          <w:p w:rsidR="00216FBF" w:rsidRPr="00701DFF" w:rsidRDefault="00216FBF" w:rsidP="00255A97">
            <w:pPr>
              <w:jc w:val="center"/>
              <w:rPr>
                <w:rFonts w:ascii="Times New Roman" w:hAnsi="Times New Roman" w:cs="Times New Roman"/>
                <w:lang w:val="en-US"/>
              </w:rPr>
            </w:pPr>
            <w:r w:rsidRPr="00701DFF">
              <w:rPr>
                <w:rFonts w:ascii="Times New Roman" w:hAnsi="Times New Roman" w:cs="Times New Roman"/>
                <w:lang w:val="en-US"/>
              </w:rPr>
              <w:t>1</w:t>
            </w:r>
          </w:p>
        </w:tc>
        <w:tc>
          <w:tcPr>
            <w:tcW w:w="916" w:type="dxa"/>
            <w:vAlign w:val="center"/>
          </w:tcPr>
          <w:p w:rsidR="00216FBF" w:rsidRPr="00701DFF" w:rsidRDefault="00216FBF" w:rsidP="00255A97">
            <w:pPr>
              <w:jc w:val="center"/>
              <w:rPr>
                <w:rFonts w:ascii="Times New Roman" w:hAnsi="Times New Roman" w:cs="Times New Roman"/>
                <w:lang w:val="en-US"/>
              </w:rPr>
            </w:pPr>
            <w:r w:rsidRPr="00701DFF">
              <w:rPr>
                <w:rFonts w:ascii="Times New Roman" w:hAnsi="Times New Roman" w:cs="Times New Roman"/>
                <w:lang w:val="en-US"/>
              </w:rPr>
              <w:t>2</w:t>
            </w:r>
          </w:p>
        </w:tc>
        <w:tc>
          <w:tcPr>
            <w:tcW w:w="1684" w:type="dxa"/>
            <w:vAlign w:val="center"/>
          </w:tcPr>
          <w:p w:rsidR="00216FBF" w:rsidRPr="00701DFF" w:rsidRDefault="00216FBF" w:rsidP="00255A97">
            <w:pPr>
              <w:jc w:val="center"/>
              <w:rPr>
                <w:rFonts w:ascii="Times New Roman" w:hAnsi="Times New Roman" w:cs="Times New Roman"/>
                <w:lang w:val="en-US"/>
              </w:rPr>
            </w:pPr>
            <w:r w:rsidRPr="00701DFF">
              <w:rPr>
                <w:rFonts w:ascii="Times New Roman" w:hAnsi="Times New Roman" w:cs="Times New Roman"/>
                <w:lang w:val="en-US"/>
              </w:rPr>
              <w:t>2</w:t>
            </w:r>
          </w:p>
        </w:tc>
        <w:tc>
          <w:tcPr>
            <w:tcW w:w="1684" w:type="dxa"/>
            <w:vAlign w:val="center"/>
          </w:tcPr>
          <w:p w:rsidR="00216FBF" w:rsidRPr="00701DFF" w:rsidRDefault="00216FBF" w:rsidP="00255A97">
            <w:pPr>
              <w:jc w:val="center"/>
              <w:rPr>
                <w:rFonts w:ascii="Times New Roman" w:hAnsi="Times New Roman" w:cs="Times New Roman"/>
                <w:lang w:val="en-US"/>
              </w:rPr>
            </w:pPr>
            <w:r w:rsidRPr="00701DFF">
              <w:rPr>
                <w:rFonts w:ascii="Times New Roman" w:hAnsi="Times New Roman" w:cs="Times New Roman"/>
                <w:lang w:val="en-US"/>
              </w:rPr>
              <w:t>3</w:t>
            </w:r>
          </w:p>
        </w:tc>
        <w:tc>
          <w:tcPr>
            <w:tcW w:w="1689" w:type="dxa"/>
            <w:vAlign w:val="center"/>
          </w:tcPr>
          <w:p w:rsidR="00216FBF" w:rsidRPr="00701DFF" w:rsidRDefault="00216FBF" w:rsidP="00255A97">
            <w:pPr>
              <w:jc w:val="center"/>
              <w:rPr>
                <w:rFonts w:ascii="Times New Roman" w:hAnsi="Times New Roman" w:cs="Times New Roman"/>
                <w:lang w:val="en-US"/>
              </w:rPr>
            </w:pPr>
            <w:r w:rsidRPr="00701DFF">
              <w:rPr>
                <w:rFonts w:ascii="Times New Roman" w:hAnsi="Times New Roman" w:cs="Times New Roman"/>
                <w:lang w:val="en-US"/>
              </w:rPr>
              <w:t>3</w:t>
            </w:r>
          </w:p>
        </w:tc>
      </w:tr>
      <w:tr w:rsidR="00255A97" w:rsidRPr="00701DFF" w:rsidTr="007A01C4">
        <w:trPr>
          <w:trHeight w:val="223"/>
          <w:jc w:val="center"/>
        </w:trPr>
        <w:tc>
          <w:tcPr>
            <w:tcW w:w="1705" w:type="dxa"/>
            <w:shd w:val="clear" w:color="auto" w:fill="auto"/>
            <w:vAlign w:val="center"/>
          </w:tcPr>
          <w:p w:rsidR="00216FBF" w:rsidRPr="00701DFF" w:rsidRDefault="001C5926" w:rsidP="00255A97">
            <w:pPr>
              <w:jc w:val="center"/>
              <w:rPr>
                <w:rFonts w:ascii="Times New Roman" w:hAnsi="Times New Roman" w:cs="Times New Roman"/>
                <w:b/>
                <w:lang w:val="en-US"/>
              </w:rPr>
            </w:pPr>
            <w:r w:rsidRPr="00701DFF">
              <w:rPr>
                <w:rFonts w:ascii="Times New Roman" w:hAnsi="Times New Roman" w:cs="Times New Roman"/>
                <w:b/>
                <w:sz w:val="20"/>
                <w:lang w:val="en-US"/>
              </w:rPr>
              <w:t>Max</w:t>
            </w:r>
            <w:r w:rsidRPr="00701DFF">
              <w:rPr>
                <w:rFonts w:ascii="Times New Roman" w:hAnsi="Times New Roman" w:cs="Times New Roman"/>
                <w:b/>
                <w:sz w:val="20"/>
              </w:rPr>
              <w:t xml:space="preserve">. </w:t>
            </w:r>
            <w:proofErr w:type="spellStart"/>
            <w:r w:rsidR="00216FBF" w:rsidRPr="00701DFF">
              <w:rPr>
                <w:rFonts w:ascii="Times New Roman" w:hAnsi="Times New Roman" w:cs="Times New Roman"/>
                <w:b/>
                <w:sz w:val="20"/>
                <w:lang w:val="en-US"/>
              </w:rPr>
              <w:t>Eigenvalue</w:t>
            </w:r>
            <w:proofErr w:type="spellEnd"/>
          </w:p>
        </w:tc>
        <w:tc>
          <w:tcPr>
            <w:tcW w:w="1226" w:type="dxa"/>
            <w:vAlign w:val="center"/>
          </w:tcPr>
          <w:p w:rsidR="00216FBF" w:rsidRPr="00701DFF" w:rsidRDefault="00216FBF" w:rsidP="00255A97">
            <w:pPr>
              <w:jc w:val="center"/>
              <w:rPr>
                <w:rFonts w:ascii="Times New Roman" w:hAnsi="Times New Roman" w:cs="Times New Roman"/>
                <w:lang w:val="en-US"/>
              </w:rPr>
            </w:pPr>
            <w:r w:rsidRPr="00701DFF">
              <w:rPr>
                <w:rFonts w:ascii="Times New Roman" w:hAnsi="Times New Roman" w:cs="Times New Roman"/>
                <w:lang w:val="en-US"/>
              </w:rPr>
              <w:t>1</w:t>
            </w:r>
          </w:p>
        </w:tc>
        <w:tc>
          <w:tcPr>
            <w:tcW w:w="916" w:type="dxa"/>
            <w:vAlign w:val="center"/>
          </w:tcPr>
          <w:p w:rsidR="00216FBF" w:rsidRPr="00701DFF" w:rsidRDefault="00216FBF" w:rsidP="00255A97">
            <w:pPr>
              <w:jc w:val="center"/>
              <w:rPr>
                <w:rFonts w:ascii="Times New Roman" w:hAnsi="Times New Roman" w:cs="Times New Roman"/>
                <w:lang w:val="en-US"/>
              </w:rPr>
            </w:pPr>
            <w:r w:rsidRPr="00701DFF">
              <w:rPr>
                <w:rFonts w:ascii="Times New Roman" w:hAnsi="Times New Roman" w:cs="Times New Roman"/>
                <w:lang w:val="en-US"/>
              </w:rPr>
              <w:t>1</w:t>
            </w:r>
          </w:p>
        </w:tc>
        <w:tc>
          <w:tcPr>
            <w:tcW w:w="1684" w:type="dxa"/>
            <w:vAlign w:val="center"/>
          </w:tcPr>
          <w:p w:rsidR="00216FBF" w:rsidRPr="00701DFF" w:rsidRDefault="00216FBF" w:rsidP="00255A97">
            <w:pPr>
              <w:jc w:val="center"/>
              <w:rPr>
                <w:rFonts w:ascii="Times New Roman" w:hAnsi="Times New Roman" w:cs="Times New Roman"/>
                <w:lang w:val="en-US"/>
              </w:rPr>
            </w:pPr>
            <w:r w:rsidRPr="00701DFF">
              <w:rPr>
                <w:rFonts w:ascii="Times New Roman" w:hAnsi="Times New Roman" w:cs="Times New Roman"/>
                <w:lang w:val="en-US"/>
              </w:rPr>
              <w:t>1</w:t>
            </w:r>
          </w:p>
        </w:tc>
        <w:tc>
          <w:tcPr>
            <w:tcW w:w="1684" w:type="dxa"/>
            <w:vAlign w:val="center"/>
          </w:tcPr>
          <w:p w:rsidR="00216FBF" w:rsidRPr="00701DFF" w:rsidRDefault="00216FBF" w:rsidP="00255A97">
            <w:pPr>
              <w:jc w:val="center"/>
              <w:rPr>
                <w:rFonts w:ascii="Times New Roman" w:hAnsi="Times New Roman" w:cs="Times New Roman"/>
                <w:lang w:val="en-US"/>
              </w:rPr>
            </w:pPr>
            <w:r w:rsidRPr="00701DFF">
              <w:rPr>
                <w:rFonts w:ascii="Times New Roman" w:hAnsi="Times New Roman" w:cs="Times New Roman"/>
                <w:lang w:val="en-US"/>
              </w:rPr>
              <w:t>1</w:t>
            </w:r>
          </w:p>
        </w:tc>
        <w:tc>
          <w:tcPr>
            <w:tcW w:w="1689" w:type="dxa"/>
            <w:vAlign w:val="center"/>
          </w:tcPr>
          <w:p w:rsidR="00216FBF" w:rsidRPr="00701DFF" w:rsidRDefault="00216FBF" w:rsidP="00255A97">
            <w:pPr>
              <w:jc w:val="center"/>
              <w:rPr>
                <w:rFonts w:ascii="Times New Roman" w:hAnsi="Times New Roman" w:cs="Times New Roman"/>
                <w:lang w:val="en-US"/>
              </w:rPr>
            </w:pPr>
            <w:r w:rsidRPr="00701DFF">
              <w:rPr>
                <w:rFonts w:ascii="Times New Roman" w:hAnsi="Times New Roman" w:cs="Times New Roman"/>
                <w:lang w:val="en-US"/>
              </w:rPr>
              <w:t>1</w:t>
            </w:r>
          </w:p>
        </w:tc>
      </w:tr>
    </w:tbl>
    <w:p w:rsidR="00216FBF" w:rsidRDefault="00255A97" w:rsidP="00216FBF">
      <w:pPr>
        <w:spacing w:after="0" w:line="240" w:lineRule="auto"/>
        <w:jc w:val="both"/>
        <w:rPr>
          <w:rFonts w:ascii="Times New Roman" w:hAnsi="Times New Roman" w:cs="Times New Roman"/>
          <w:szCs w:val="24"/>
        </w:rPr>
      </w:pPr>
      <w:r>
        <w:rPr>
          <w:rFonts w:ascii="Times New Roman" w:hAnsi="Times New Roman" w:cs="Times New Roman"/>
          <w:szCs w:val="24"/>
        </w:rPr>
        <w:t>Извор: Пресметки на авторот</w:t>
      </w:r>
    </w:p>
    <w:p w:rsidR="00255A97" w:rsidRPr="00255A97" w:rsidRDefault="00255A97" w:rsidP="00216FBF">
      <w:pPr>
        <w:spacing w:after="0" w:line="240" w:lineRule="auto"/>
        <w:jc w:val="both"/>
        <w:rPr>
          <w:rFonts w:ascii="Times New Roman" w:hAnsi="Times New Roman" w:cs="Times New Roman"/>
          <w:sz w:val="24"/>
          <w:szCs w:val="24"/>
          <w:lang w:val="en-US"/>
        </w:rPr>
      </w:pPr>
    </w:p>
    <w:p w:rsidR="006840BC" w:rsidRDefault="006840BC" w:rsidP="00216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Коинтеграциската врска вели дека македонската инфлација зависи од останатите четири променливи:</w:t>
      </w:r>
    </w:p>
    <w:p w:rsidR="00216FBF" w:rsidRPr="00216FBF" w:rsidRDefault="00216FBF" w:rsidP="00216FBF">
      <w:pPr>
        <w:spacing w:after="0" w:line="24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CPIMK=</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OIL+</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m:t>
              </m:r>
            </m:sub>
          </m:sSub>
          <m:r>
            <w:rPr>
              <w:rFonts w:ascii="Cambria Math" w:hAnsi="Cambria Math" w:cs="Times New Roman"/>
              <w:sz w:val="24"/>
              <w:szCs w:val="24"/>
              <w:lang w:val="en-US"/>
            </w:rPr>
            <m:t>CPIEU+</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3</m:t>
              </m:r>
            </m:sub>
          </m:sSub>
          <m:r>
            <w:rPr>
              <w:rFonts w:ascii="Cambria Math" w:hAnsi="Cambria Math" w:cs="Times New Roman"/>
              <w:sz w:val="24"/>
              <w:szCs w:val="24"/>
              <w:lang w:val="en-US"/>
            </w:rPr>
            <m:t>IMP+</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r>
            <w:rPr>
              <w:rFonts w:ascii="Cambria Math" w:hAnsi="Cambria Math" w:cs="Times New Roman"/>
              <w:sz w:val="24"/>
              <w:szCs w:val="24"/>
              <w:lang w:val="en-US"/>
            </w:rPr>
            <m:t>M1+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t</m:t>
              </m:r>
            </m:sub>
          </m:sSub>
        </m:oMath>
      </m:oMathPara>
    </w:p>
    <w:p w:rsidR="00216FBF" w:rsidRPr="00216FBF" w:rsidRDefault="006840BC" w:rsidP="00216FB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каде</w:t>
      </w:r>
      <w:r w:rsidR="00216FBF" w:rsidRPr="00216FB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t</m:t>
            </m:r>
          </m:sub>
        </m:sSub>
      </m:oMath>
      <w:r w:rsidR="00216FBF" w:rsidRPr="00216FBF">
        <w:rPr>
          <w:rFonts w:ascii="Times New Roman" w:hAnsi="Times New Roman" w:cs="Times New Roman"/>
          <w:sz w:val="24"/>
          <w:szCs w:val="24"/>
          <w:lang w:val="en-US"/>
        </w:rPr>
        <w:t xml:space="preserve"> </w:t>
      </w:r>
      <w:r>
        <w:rPr>
          <w:rFonts w:ascii="Times New Roman" w:hAnsi="Times New Roman" w:cs="Times New Roman"/>
          <w:sz w:val="24"/>
          <w:szCs w:val="24"/>
        </w:rPr>
        <w:t xml:space="preserve">е серија на стационарни случајни резидуали и </w:t>
      </w:r>
      <w:r w:rsidR="00216FBF" w:rsidRPr="00216FB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m:t>
            </m:r>
          </m:sub>
        </m:sSub>
      </m:oMath>
      <w:r w:rsidR="00216FBF" w:rsidRPr="00216FBF">
        <w:rPr>
          <w:rFonts w:ascii="Times New Roman" w:hAnsi="Times New Roman" w:cs="Times New Roman"/>
          <w:sz w:val="24"/>
          <w:szCs w:val="24"/>
          <w:lang w:val="en-US"/>
        </w:rPr>
        <w:t xml:space="preserve"> </w:t>
      </w:r>
      <w:r>
        <w:rPr>
          <w:rFonts w:ascii="Times New Roman" w:hAnsi="Times New Roman" w:cs="Times New Roman"/>
          <w:sz w:val="24"/>
          <w:szCs w:val="24"/>
        </w:rPr>
        <w:t>се параметри кои треба да се оценат</w:t>
      </w:r>
      <w:r w:rsidR="00216FBF" w:rsidRPr="00216FBF">
        <w:rPr>
          <w:rFonts w:ascii="Times New Roman" w:hAnsi="Times New Roman" w:cs="Times New Roman"/>
          <w:sz w:val="24"/>
          <w:szCs w:val="24"/>
          <w:lang w:val="en-US"/>
        </w:rPr>
        <w:t>.</w:t>
      </w:r>
    </w:p>
    <w:p w:rsidR="00216FBF" w:rsidRPr="00216FBF" w:rsidRDefault="00216FBF" w:rsidP="00216FBF">
      <w:pPr>
        <w:spacing w:after="0" w:line="240" w:lineRule="auto"/>
        <w:jc w:val="both"/>
        <w:rPr>
          <w:rFonts w:ascii="Times New Roman" w:hAnsi="Times New Roman" w:cs="Times New Roman"/>
          <w:sz w:val="24"/>
          <w:szCs w:val="24"/>
          <w:lang w:val="en-US"/>
        </w:rPr>
      </w:pPr>
      <w:r w:rsidRPr="00216FBF">
        <w:rPr>
          <w:rFonts w:ascii="Times New Roman" w:hAnsi="Times New Roman" w:cs="Times New Roman"/>
          <w:sz w:val="24"/>
          <w:szCs w:val="24"/>
          <w:lang w:val="en-US"/>
        </w:rPr>
        <w:tab/>
      </w:r>
      <w:r w:rsidR="006840BC">
        <w:rPr>
          <w:rFonts w:ascii="Times New Roman" w:hAnsi="Times New Roman" w:cs="Times New Roman"/>
          <w:sz w:val="24"/>
          <w:szCs w:val="24"/>
        </w:rPr>
        <w:t>Равенката може да се запише и како</w:t>
      </w:r>
      <w:r w:rsidRPr="00216FBF">
        <w:rPr>
          <w:rFonts w:ascii="Times New Roman" w:hAnsi="Times New Roman" w:cs="Times New Roman"/>
          <w:sz w:val="24"/>
          <w:szCs w:val="24"/>
          <w:lang w:val="en-US"/>
        </w:rPr>
        <w:t>:</w:t>
      </w:r>
    </w:p>
    <w:p w:rsidR="00216FBF" w:rsidRPr="00216FBF" w:rsidRDefault="00103D62" w:rsidP="00216FBF">
      <w:pPr>
        <w:spacing w:after="0" w:line="24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t</m:t>
              </m:r>
            </m:sub>
          </m:sSub>
          <m:r>
            <w:rPr>
              <w:rFonts w:ascii="Cambria Math" w:hAnsi="Cambria Math" w:cs="Times New Roman"/>
              <w:sz w:val="24"/>
              <w:szCs w:val="24"/>
              <w:lang w:val="en-US"/>
            </w:rPr>
            <m:t>=CPIMK-</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OIL-</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m:t>
              </m:r>
            </m:sub>
          </m:sSub>
          <m:r>
            <w:rPr>
              <w:rFonts w:ascii="Cambria Math" w:hAnsi="Cambria Math" w:cs="Times New Roman"/>
              <w:sz w:val="24"/>
              <w:szCs w:val="24"/>
              <w:lang w:val="en-US"/>
            </w:rPr>
            <m:t>CPIEU-</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3</m:t>
              </m:r>
            </m:sub>
          </m:sSub>
          <m:r>
            <w:rPr>
              <w:rFonts w:ascii="Cambria Math" w:hAnsi="Cambria Math" w:cs="Times New Roman"/>
              <w:sz w:val="24"/>
              <w:szCs w:val="24"/>
              <w:lang w:val="en-US"/>
            </w:rPr>
            <m:t>IMP-</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r>
            <w:rPr>
              <w:rFonts w:ascii="Cambria Math" w:hAnsi="Cambria Math" w:cs="Times New Roman"/>
              <w:sz w:val="24"/>
              <w:szCs w:val="24"/>
              <w:lang w:val="en-US"/>
            </w:rPr>
            <m:t>M1</m:t>
          </m:r>
        </m:oMath>
      </m:oMathPara>
    </w:p>
    <w:p w:rsidR="00216FBF" w:rsidRPr="00216FBF" w:rsidRDefault="006840BC" w:rsidP="00216FB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Бидејќи</w:t>
      </w:r>
      <w:r w:rsidR="00216FBF" w:rsidRPr="00216FB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t</m:t>
            </m:r>
          </m:sub>
        </m:sSub>
      </m:oMath>
      <w:r w:rsidR="00216FBF" w:rsidRPr="00216FBF">
        <w:rPr>
          <w:rFonts w:ascii="Times New Roman" w:hAnsi="Times New Roman" w:cs="Times New Roman"/>
          <w:sz w:val="24"/>
          <w:szCs w:val="24"/>
          <w:lang w:val="en-US"/>
        </w:rPr>
        <w:t xml:space="preserve"> </w:t>
      </w:r>
      <w:r>
        <w:rPr>
          <w:rFonts w:ascii="Times New Roman" w:hAnsi="Times New Roman" w:cs="Times New Roman"/>
          <w:sz w:val="24"/>
          <w:szCs w:val="24"/>
        </w:rPr>
        <w:t>е стационарна серија, и линеарната комбинација на интегрираните променливи</w:t>
      </w:r>
      <w:r w:rsidR="0040231E">
        <w:rPr>
          <w:rFonts w:ascii="Times New Roman" w:hAnsi="Times New Roman" w:cs="Times New Roman"/>
          <w:sz w:val="24"/>
          <w:szCs w:val="24"/>
        </w:rPr>
        <w:t xml:space="preserve"> мора да биде стационарна. Тоа покажува дека временските движења напетте нестационарни променливи се поврзани. Векторот на променливи е претставен како:</w:t>
      </w:r>
    </w:p>
    <w:p w:rsidR="00216FBF" w:rsidRPr="00216FBF" w:rsidRDefault="00103D62" w:rsidP="00216FBF">
      <w:pPr>
        <w:spacing w:after="0" w:line="24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(CPIMK; OIL; CPIEU;IMP;M1)</m:t>
              </m:r>
            </m:e>
            <m:sup>
              <m:r>
                <w:rPr>
                  <w:rFonts w:ascii="Cambria Math" w:hAnsi="Cambria Math" w:cs="Times New Roman"/>
                  <w:sz w:val="24"/>
                  <w:szCs w:val="24"/>
                  <w:lang w:val="en-US"/>
                </w:rPr>
                <m:t>'</m:t>
              </m:r>
            </m:sup>
          </m:sSup>
        </m:oMath>
      </m:oMathPara>
    </w:p>
    <w:p w:rsidR="00216FBF" w:rsidRPr="00216FBF" w:rsidRDefault="0040231E" w:rsidP="00216FB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додека коинтеграцискиот вектор е претставен како</w:t>
      </w:r>
      <w:r w:rsidR="00216FBF" w:rsidRPr="00216FBF">
        <w:rPr>
          <w:rFonts w:ascii="Times New Roman" w:hAnsi="Times New Roman" w:cs="Times New Roman"/>
          <w:sz w:val="24"/>
          <w:szCs w:val="24"/>
          <w:lang w:val="en-US"/>
        </w:rPr>
        <w:t>:</w:t>
      </w:r>
    </w:p>
    <w:p w:rsidR="00216FBF" w:rsidRPr="00216FBF" w:rsidRDefault="00103D62" w:rsidP="00216FBF">
      <w:pPr>
        <w:spacing w:after="0" w:line="24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β=(1;-β</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m:t>
                  </m:r>
                </m:sub>
              </m:sSub>
              <m:r>
                <w:rPr>
                  <w:rFonts w:ascii="Cambria Math" w:hAnsi="Cambria Math" w:cs="Times New Roman"/>
                  <w:sz w:val="24"/>
                  <w:szCs w:val="24"/>
                  <w:lang w:val="en-US"/>
                </w:rPr>
                <m:t>;-β</m:t>
              </m:r>
            </m:e>
            <m:sub>
              <m:r>
                <w:rPr>
                  <w:rFonts w:ascii="Cambria Math" w:hAnsi="Cambria Math" w:cs="Times New Roman"/>
                  <w:sz w:val="24"/>
                  <w:szCs w:val="24"/>
                  <w:lang w:val="en-US"/>
                </w:rPr>
                <m:t>2</m:t>
              </m:r>
            </m:sub>
          </m:sSub>
          <m:r>
            <w:rPr>
              <w:rFonts w:ascii="Cambria Math" w:hAnsi="Cambria Math" w:cs="Times New Roman"/>
              <w:sz w:val="24"/>
              <w:szCs w:val="24"/>
              <w:lang w:val="en-US"/>
            </w:rPr>
            <m:t>)</m:t>
          </m:r>
        </m:oMath>
      </m:oMathPara>
    </w:p>
    <w:p w:rsidR="0040231E" w:rsidRDefault="0040231E" w:rsidP="00402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Коинтеграциската равенка со оценетите параметри на коинтеграцискиот вектор е искажана како:</w:t>
      </w:r>
    </w:p>
    <w:p w:rsidR="00216FBF" w:rsidRPr="00216FBF" w:rsidRDefault="00103D62" w:rsidP="00216FBF">
      <w:pPr>
        <w:spacing w:after="0" w:line="24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CPIMK</m:t>
              </m:r>
            </m:e>
            <m:sub>
              <m:r>
                <w:rPr>
                  <w:rFonts w:ascii="Cambria Math" w:hAnsi="Cambria Math" w:cs="Times New Roman"/>
                  <w:sz w:val="24"/>
                  <w:szCs w:val="24"/>
                  <w:lang w:val="en-US"/>
                </w:rPr>
                <m:t>t-1</m:t>
              </m:r>
            </m:sub>
          </m:sSub>
          <m:r>
            <w:rPr>
              <w:rFonts w:ascii="Cambria Math" w:hAnsi="Cambria Math" w:cs="Times New Roman"/>
              <w:sz w:val="24"/>
              <w:szCs w:val="24"/>
              <w:lang w:val="en-US"/>
            </w:rPr>
            <m:t>+8,835-0,05</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OIL</m:t>
              </m:r>
            </m:e>
            <m:sub>
              <m:r>
                <w:rPr>
                  <w:rFonts w:ascii="Cambria Math" w:hAnsi="Cambria Math" w:cs="Times New Roman"/>
                  <w:sz w:val="24"/>
                  <w:szCs w:val="24"/>
                  <w:lang w:val="en-US"/>
                </w:rPr>
                <m:t>t-1</m:t>
              </m:r>
            </m:sub>
          </m:sSub>
          <m:r>
            <w:rPr>
              <w:rFonts w:ascii="Cambria Math" w:hAnsi="Cambria Math" w:cs="Times New Roman"/>
              <w:sz w:val="24"/>
              <w:szCs w:val="24"/>
              <w:lang w:val="en-US"/>
            </w:rPr>
            <m:t>-1,916</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CPIEU</m:t>
              </m:r>
            </m:e>
            <m:sub>
              <m:r>
                <w:rPr>
                  <w:rFonts w:ascii="Cambria Math" w:hAnsi="Cambria Math" w:cs="Times New Roman"/>
                  <w:sz w:val="24"/>
                  <w:szCs w:val="24"/>
                  <w:lang w:val="en-US"/>
                </w:rPr>
                <m:t>t-1</m:t>
              </m:r>
            </m:sub>
          </m:sSub>
          <m:r>
            <w:rPr>
              <w:rFonts w:ascii="Cambria Math" w:hAnsi="Cambria Math" w:cs="Times New Roman"/>
              <w:sz w:val="24"/>
              <w:szCs w:val="24"/>
              <w:lang w:val="en-US"/>
            </w:rPr>
            <m:t>-0,216</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IMP</m:t>
              </m:r>
            </m:e>
            <m:sub>
              <m:r>
                <w:rPr>
                  <w:rFonts w:ascii="Cambria Math" w:hAnsi="Cambria Math" w:cs="Times New Roman"/>
                  <w:sz w:val="24"/>
                  <w:szCs w:val="24"/>
                  <w:lang w:val="en-US"/>
                </w:rPr>
                <m:t>t-1</m:t>
              </m:r>
            </m:sub>
          </m:sSub>
          <m:r>
            <w:rPr>
              <w:rFonts w:ascii="Cambria Math" w:hAnsi="Cambria Math" w:cs="Times New Roman"/>
              <w:sz w:val="24"/>
              <w:szCs w:val="24"/>
              <w:lang w:val="en-US"/>
            </w:rPr>
            <m:t>-0,069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M1</m:t>
              </m:r>
            </m:e>
            <m:sub>
              <m:r>
                <w:rPr>
                  <w:rFonts w:ascii="Cambria Math" w:hAnsi="Cambria Math" w:cs="Times New Roman"/>
                  <w:sz w:val="24"/>
                  <w:szCs w:val="24"/>
                  <w:lang w:val="en-US"/>
                </w:rPr>
                <m:t>t-1</m:t>
              </m:r>
            </m:sub>
          </m:sSub>
          <m:r>
            <w:rPr>
              <w:rFonts w:ascii="Cambria Math" w:hAnsi="Cambria Math" w:cs="Times New Roman"/>
              <w:sz w:val="24"/>
              <w:szCs w:val="24"/>
              <w:lang w:val="en-US"/>
            </w:rPr>
            <m:t>=0</m:t>
          </m:r>
        </m:oMath>
      </m:oMathPara>
    </w:p>
    <w:p w:rsidR="0040231E" w:rsidRPr="0040231E" w:rsidRDefault="00216FBF" w:rsidP="00216FBF">
      <w:pPr>
        <w:spacing w:after="0" w:line="240" w:lineRule="auto"/>
        <w:jc w:val="both"/>
        <w:rPr>
          <w:rFonts w:ascii="Times New Roman" w:hAnsi="Times New Roman" w:cs="Times New Roman"/>
          <w:sz w:val="24"/>
          <w:szCs w:val="24"/>
        </w:rPr>
      </w:pPr>
      <w:r w:rsidRPr="00216FBF">
        <w:rPr>
          <w:rFonts w:ascii="Times New Roman" w:hAnsi="Times New Roman" w:cs="Times New Roman"/>
          <w:sz w:val="24"/>
          <w:szCs w:val="24"/>
          <w:lang w:val="en-US"/>
        </w:rPr>
        <w:tab/>
      </w:r>
      <w:r w:rsidR="0040231E">
        <w:rPr>
          <w:rFonts w:ascii="Times New Roman" w:hAnsi="Times New Roman" w:cs="Times New Roman"/>
          <w:sz w:val="24"/>
          <w:szCs w:val="24"/>
        </w:rPr>
        <w:t>Истата равенка која ја претставува долгорочната врска на променливите може да се запише и како:</w:t>
      </w:r>
    </w:p>
    <w:p w:rsidR="00216FBF" w:rsidRPr="00216FBF" w:rsidRDefault="00103D62" w:rsidP="00216FBF">
      <w:pPr>
        <w:spacing w:after="0" w:line="240"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CPIMK</m:t>
              </m:r>
            </m:e>
            <m:sub>
              <m:r>
                <w:rPr>
                  <w:rFonts w:ascii="Cambria Math" w:hAnsi="Cambria Math" w:cs="Times New Roman"/>
                  <w:sz w:val="24"/>
                  <w:szCs w:val="24"/>
                  <w:lang w:val="en-US"/>
                </w:rPr>
                <m:t>t-1</m:t>
              </m:r>
            </m:sub>
          </m:sSub>
          <m:r>
            <w:rPr>
              <w:rFonts w:ascii="Cambria Math" w:hAnsi="Cambria Math" w:cs="Times New Roman"/>
              <w:sz w:val="24"/>
              <w:szCs w:val="24"/>
              <w:lang w:val="en-US"/>
            </w:rPr>
            <m:t>=-8,835+0,05</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OIL</m:t>
              </m:r>
            </m:e>
            <m:sub>
              <m:r>
                <w:rPr>
                  <w:rFonts w:ascii="Cambria Math" w:hAnsi="Cambria Math" w:cs="Times New Roman"/>
                  <w:sz w:val="24"/>
                  <w:szCs w:val="24"/>
                  <w:lang w:val="en-US"/>
                </w:rPr>
                <m:t>t-1</m:t>
              </m:r>
            </m:sub>
          </m:sSub>
          <m:r>
            <w:rPr>
              <w:rFonts w:ascii="Cambria Math" w:hAnsi="Cambria Math" w:cs="Times New Roman"/>
              <w:sz w:val="24"/>
              <w:szCs w:val="24"/>
              <w:lang w:val="en-US"/>
            </w:rPr>
            <m:t>+1,916</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CPIEU</m:t>
              </m:r>
            </m:e>
            <m:sub>
              <m:r>
                <w:rPr>
                  <w:rFonts w:ascii="Cambria Math" w:hAnsi="Cambria Math" w:cs="Times New Roman"/>
                  <w:sz w:val="24"/>
                  <w:szCs w:val="24"/>
                  <w:lang w:val="en-US"/>
                </w:rPr>
                <m:t>t-1</m:t>
              </m:r>
            </m:sub>
          </m:sSub>
          <m:r>
            <w:rPr>
              <w:rFonts w:ascii="Cambria Math" w:hAnsi="Cambria Math" w:cs="Times New Roman"/>
              <w:sz w:val="24"/>
              <w:szCs w:val="24"/>
              <w:lang w:val="en-US"/>
            </w:rPr>
            <m:t>+0,216</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IMP</m:t>
              </m:r>
            </m:e>
            <m:sub>
              <m:r>
                <w:rPr>
                  <w:rFonts w:ascii="Cambria Math" w:hAnsi="Cambria Math" w:cs="Times New Roman"/>
                  <w:sz w:val="24"/>
                  <w:szCs w:val="24"/>
                  <w:lang w:val="en-US"/>
                </w:rPr>
                <m:t>t-1</m:t>
              </m:r>
            </m:sub>
          </m:sSub>
          <m:r>
            <w:rPr>
              <w:rFonts w:ascii="Cambria Math" w:hAnsi="Cambria Math" w:cs="Times New Roman"/>
              <w:sz w:val="24"/>
              <w:szCs w:val="24"/>
              <w:lang w:val="en-US"/>
            </w:rPr>
            <m:t>+0,069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M1</m:t>
              </m:r>
            </m:e>
            <m:sub>
              <m:r>
                <w:rPr>
                  <w:rFonts w:ascii="Cambria Math" w:hAnsi="Cambria Math" w:cs="Times New Roman"/>
                  <w:sz w:val="24"/>
                  <w:szCs w:val="24"/>
                  <w:lang w:val="en-US"/>
                </w:rPr>
                <m:t>t-1</m:t>
              </m:r>
            </m:sub>
          </m:sSub>
        </m:oMath>
      </m:oMathPara>
    </w:p>
    <w:p w:rsidR="0040231E" w:rsidRDefault="00216FBF" w:rsidP="00216FBF">
      <w:pPr>
        <w:spacing w:after="0" w:line="240" w:lineRule="auto"/>
        <w:jc w:val="both"/>
        <w:rPr>
          <w:rFonts w:ascii="Times New Roman" w:hAnsi="Times New Roman" w:cs="Times New Roman"/>
          <w:sz w:val="24"/>
          <w:szCs w:val="24"/>
        </w:rPr>
      </w:pPr>
      <w:r w:rsidRPr="00216FBF">
        <w:rPr>
          <w:rFonts w:ascii="Times New Roman" w:hAnsi="Times New Roman" w:cs="Times New Roman"/>
          <w:sz w:val="24"/>
          <w:szCs w:val="24"/>
          <w:lang w:val="en-US"/>
        </w:rPr>
        <w:tab/>
      </w:r>
      <w:r w:rsidR="0040231E">
        <w:rPr>
          <w:rFonts w:ascii="Times New Roman" w:hAnsi="Times New Roman" w:cs="Times New Roman"/>
          <w:sz w:val="24"/>
          <w:szCs w:val="24"/>
        </w:rPr>
        <w:t>Равенката потврдува дека постои директна и позитивна врска помеѓу националната инфлација од една страна и цената на нафтата, европската инфлација, националниот увоз и националниот монетарен агрегат М1, од друга страна.</w:t>
      </w:r>
    </w:p>
    <w:p w:rsidR="0040231E" w:rsidRPr="0040231E" w:rsidRDefault="0040231E" w:rsidP="00216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Коинтеграцискиот вектор со оценетите параметри е запишан како:</w:t>
      </w:r>
    </w:p>
    <w:p w:rsidR="00216FBF" w:rsidRPr="00216FBF" w:rsidRDefault="00216FBF" w:rsidP="0040231E">
      <w:pPr>
        <w:spacing w:after="0" w:line="240" w:lineRule="auto"/>
        <w:jc w:val="center"/>
        <w:rPr>
          <w:rFonts w:ascii="Times New Roman" w:hAnsi="Times New Roman" w:cs="Times New Roman"/>
          <w:sz w:val="24"/>
          <w:szCs w:val="24"/>
          <w:lang w:val="en-US"/>
        </w:rPr>
      </w:pPr>
      <m:oMathPara>
        <m:oMath>
          <m:r>
            <w:rPr>
              <w:rFonts w:ascii="Cambria Math" w:hAnsi="Cambria Math" w:cs="Times New Roman"/>
              <w:sz w:val="24"/>
              <w:szCs w:val="24"/>
              <w:lang w:val="en-US"/>
            </w:rPr>
            <m:t>β=(1;-8,835; 0,05;1,916;0,216;0,069)</m:t>
          </m:r>
        </m:oMath>
      </m:oMathPara>
    </w:p>
    <w:p w:rsidR="00216FBF" w:rsidRDefault="00216FBF" w:rsidP="0040231E">
      <w:pPr>
        <w:spacing w:after="0" w:line="240" w:lineRule="auto"/>
        <w:jc w:val="both"/>
        <w:rPr>
          <w:rFonts w:ascii="Times New Roman" w:hAnsi="Times New Roman" w:cs="Times New Roman"/>
          <w:sz w:val="24"/>
          <w:szCs w:val="24"/>
        </w:rPr>
      </w:pPr>
      <w:r w:rsidRPr="00216FBF">
        <w:rPr>
          <w:rFonts w:ascii="Times New Roman" w:hAnsi="Times New Roman" w:cs="Times New Roman"/>
          <w:sz w:val="24"/>
          <w:szCs w:val="24"/>
          <w:lang w:val="en-US"/>
        </w:rPr>
        <w:lastRenderedPageBreak/>
        <w:tab/>
      </w:r>
      <w:r w:rsidR="0040231E">
        <w:rPr>
          <w:rFonts w:ascii="Times New Roman" w:hAnsi="Times New Roman" w:cs="Times New Roman"/>
          <w:sz w:val="24"/>
          <w:szCs w:val="24"/>
        </w:rPr>
        <w:t>Следниот чекор е поставување на блок егзогените ограничувања. Ограничувањата се поставуваат за да се ограничи влијанието на националните променливи</w:t>
      </w:r>
      <w:r w:rsidRPr="00216FBF">
        <w:rPr>
          <w:rFonts w:ascii="Times New Roman" w:hAnsi="Times New Roman" w:cs="Times New Roman"/>
          <w:sz w:val="24"/>
          <w:szCs w:val="24"/>
          <w:lang w:val="en-US"/>
        </w:rPr>
        <w:t xml:space="preserve"> </w:t>
      </w:r>
      <m:oMath>
        <m:r>
          <w:rPr>
            <w:rFonts w:ascii="Cambria Math" w:hAnsi="Cambria Math" w:cs="Times New Roman"/>
            <w:sz w:val="24"/>
            <w:szCs w:val="24"/>
            <w:lang w:val="en-US"/>
          </w:rPr>
          <m:t>(CPIMK;IMP; M1)</m:t>
        </m:r>
      </m:oMath>
      <w:r w:rsidRPr="00216FBF">
        <w:rPr>
          <w:rFonts w:ascii="Times New Roman" w:hAnsi="Times New Roman" w:cs="Times New Roman"/>
          <w:sz w:val="24"/>
          <w:szCs w:val="24"/>
          <w:lang w:val="en-US"/>
        </w:rPr>
        <w:t xml:space="preserve"> </w:t>
      </w:r>
      <w:r w:rsidR="0040231E">
        <w:rPr>
          <w:rFonts w:ascii="Times New Roman" w:hAnsi="Times New Roman" w:cs="Times New Roman"/>
          <w:sz w:val="24"/>
          <w:szCs w:val="24"/>
        </w:rPr>
        <w:t>на интернационалните променливи</w:t>
      </w:r>
      <w:r w:rsidRPr="00216FBF">
        <w:rPr>
          <w:rFonts w:ascii="Times New Roman" w:hAnsi="Times New Roman" w:cs="Times New Roman"/>
          <w:sz w:val="24"/>
          <w:szCs w:val="24"/>
          <w:lang w:val="en-US"/>
        </w:rPr>
        <w:t xml:space="preserve"> </w:t>
      </w:r>
      <m:oMath>
        <m:r>
          <w:rPr>
            <w:rFonts w:ascii="Cambria Math" w:hAnsi="Cambria Math" w:cs="Times New Roman"/>
            <w:sz w:val="24"/>
            <w:szCs w:val="24"/>
            <w:lang w:val="en-US"/>
          </w:rPr>
          <m:t>(OIL,;CPIEU)</m:t>
        </m:r>
      </m:oMath>
      <w:r w:rsidRPr="00216FBF">
        <w:rPr>
          <w:rFonts w:ascii="Times New Roman" w:hAnsi="Times New Roman" w:cs="Times New Roman"/>
          <w:sz w:val="24"/>
          <w:szCs w:val="24"/>
          <w:lang w:val="en-US"/>
        </w:rPr>
        <w:t xml:space="preserve">. </w:t>
      </w:r>
      <w:r w:rsidR="0040231E">
        <w:rPr>
          <w:rFonts w:ascii="Times New Roman" w:hAnsi="Times New Roman" w:cs="Times New Roman"/>
          <w:sz w:val="24"/>
          <w:szCs w:val="24"/>
        </w:rPr>
        <w:t>Поставено е и ограничување на влијанието на</w:t>
      </w:r>
      <w:r w:rsidRPr="00216FBF">
        <w:rPr>
          <w:rFonts w:ascii="Times New Roman" w:hAnsi="Times New Roman" w:cs="Times New Roman"/>
          <w:sz w:val="24"/>
          <w:szCs w:val="24"/>
          <w:lang w:val="en-US"/>
        </w:rPr>
        <w:t xml:space="preserve"> </w:t>
      </w:r>
      <m:oMath>
        <m:r>
          <w:rPr>
            <w:rFonts w:ascii="Cambria Math" w:hAnsi="Cambria Math" w:cs="Times New Roman"/>
            <w:sz w:val="24"/>
            <w:szCs w:val="24"/>
            <w:lang w:val="en-US"/>
          </w:rPr>
          <m:t xml:space="preserve"> CPIEU</m:t>
        </m:r>
      </m:oMath>
      <w:r w:rsidRPr="00216FBF">
        <w:rPr>
          <w:rFonts w:ascii="Times New Roman" w:hAnsi="Times New Roman" w:cs="Times New Roman"/>
          <w:sz w:val="24"/>
          <w:szCs w:val="24"/>
          <w:lang w:val="en-US"/>
        </w:rPr>
        <w:t xml:space="preserve"> </w:t>
      </w:r>
      <w:r w:rsidR="0040231E">
        <w:rPr>
          <w:rFonts w:ascii="Times New Roman" w:hAnsi="Times New Roman" w:cs="Times New Roman"/>
          <w:sz w:val="24"/>
          <w:szCs w:val="24"/>
        </w:rPr>
        <w:t>врз</w:t>
      </w:r>
      <w:r w:rsidRPr="00216FBF">
        <w:rPr>
          <w:rFonts w:ascii="Times New Roman" w:hAnsi="Times New Roman" w:cs="Times New Roman"/>
          <w:sz w:val="24"/>
          <w:szCs w:val="24"/>
          <w:lang w:val="en-US"/>
        </w:rPr>
        <w:t xml:space="preserve"> </w:t>
      </w:r>
      <m:oMath>
        <m:r>
          <w:rPr>
            <w:rFonts w:ascii="Cambria Math" w:hAnsi="Cambria Math" w:cs="Times New Roman"/>
            <w:sz w:val="24"/>
            <w:szCs w:val="24"/>
            <w:lang w:val="en-US"/>
          </w:rPr>
          <m:t>OIL</m:t>
        </m:r>
      </m:oMath>
      <w:r w:rsidRPr="00216FBF">
        <w:rPr>
          <w:rFonts w:ascii="Times New Roman" w:hAnsi="Times New Roman" w:cs="Times New Roman"/>
          <w:sz w:val="24"/>
          <w:szCs w:val="24"/>
          <w:lang w:val="en-US"/>
        </w:rPr>
        <w:t xml:space="preserve">, </w:t>
      </w:r>
      <w:r w:rsidR="0040231E">
        <w:rPr>
          <w:rFonts w:ascii="Times New Roman" w:hAnsi="Times New Roman" w:cs="Times New Roman"/>
          <w:sz w:val="24"/>
          <w:szCs w:val="24"/>
        </w:rPr>
        <w:t>бидејќи се смета дека во овој модел европската инфлација не влијае на цената на нафтата.</w:t>
      </w:r>
    </w:p>
    <w:p w:rsidR="0040231E" w:rsidRPr="0040231E" w:rsidRDefault="0040231E" w:rsidP="00402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Векторот на променливите, матриците на структурните коефицинти и векторот на резидуали се прикажани во нивна матрична форма:</w:t>
      </w:r>
    </w:p>
    <w:p w:rsidR="00216FBF" w:rsidRPr="00216FBF" w:rsidRDefault="00103D62" w:rsidP="0040231E">
      <w:pPr>
        <w:spacing w:after="0" w:line="240" w:lineRule="auto"/>
        <w:jc w:val="center"/>
        <w:rPr>
          <w:rFonts w:ascii="Times New Roman" w:hAnsi="Times New Roman" w:cs="Times New Roman"/>
          <w:sz w:val="24"/>
          <w:szCs w:val="24"/>
          <w:lang w:val="en-US"/>
        </w:rPr>
      </w:pPr>
      <m:oMathPara>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s</m:t>
              </m:r>
            </m:sub>
            <m:sup>
              <m:r>
                <w:rPr>
                  <w:rFonts w:ascii="Cambria Math" w:hAnsi="Cambria Math" w:cs="Times New Roman"/>
                  <w:sz w:val="24"/>
                  <w:szCs w:val="24"/>
                  <w:lang w:val="en-US"/>
                </w:rPr>
                <m:t>p</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s</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s</m:t>
                  </m:r>
                </m:sub>
              </m:sSub>
            </m:e>
          </m:nary>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t</m:t>
              </m:r>
            </m:sub>
          </m:sSub>
        </m:oMath>
      </m:oMathPara>
    </w:p>
    <w:p w:rsidR="00216FBF" w:rsidRPr="0040231E" w:rsidRDefault="0040231E" w:rsidP="00216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w:t>
      </w:r>
    </w:p>
    <w:p w:rsidR="00216FBF" w:rsidRPr="00216FBF" w:rsidRDefault="00103D62" w:rsidP="00216FBF">
      <w:pPr>
        <w:spacing w:after="0" w:line="24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CP</m:t>
                </m:r>
                <m:r>
                  <w:rPr>
                    <w:rFonts w:ascii="Cambria Math" w:hAnsi="Cambria Math" w:cs="Times New Roman"/>
                    <w:sz w:val="24"/>
                    <w:szCs w:val="24"/>
                    <w:lang w:val="en-US"/>
                  </w:rPr>
                  <m:t>IMK</m:t>
                </m:r>
              </m:e>
              <m:e>
                <m:r>
                  <w:rPr>
                    <w:rFonts w:ascii="Cambria Math" w:hAnsi="Cambria Math" w:cs="Times New Roman"/>
                    <w:sz w:val="24"/>
                    <w:szCs w:val="24"/>
                    <w:lang w:val="en-US"/>
                  </w:rPr>
                  <m:t>OIL</m:t>
                </m:r>
              </m:e>
              <m:e>
                <m:r>
                  <w:rPr>
                    <w:rFonts w:ascii="Cambria Math" w:hAnsi="Cambria Math" w:cs="Times New Roman"/>
                    <w:sz w:val="24"/>
                    <w:szCs w:val="24"/>
                    <w:lang w:val="en-US"/>
                  </w:rPr>
                  <m:t>CPIEU</m:t>
                </m:r>
              </m:e>
              <m:e>
                <m:r>
                  <w:rPr>
                    <w:rFonts w:ascii="Cambria Math" w:hAnsi="Cambria Math" w:cs="Times New Roman"/>
                    <w:sz w:val="24"/>
                    <w:szCs w:val="24"/>
                    <w:lang w:val="en-US"/>
                  </w:rPr>
                  <m:t>IMP</m:t>
                </m:r>
              </m:e>
              <m:e>
                <m:r>
                  <w:rPr>
                    <w:rFonts w:ascii="Cambria Math" w:hAnsi="Cambria Math" w:cs="Times New Roman"/>
                    <w:sz w:val="24"/>
                    <w:szCs w:val="24"/>
                    <w:lang w:val="en-US"/>
                  </w:rPr>
                  <m:t>M1</m:t>
                </m:r>
              </m:e>
            </m:eqArr>
          </m:e>
        </m:d>
      </m:oMath>
      <w:r w:rsidR="00216FBF" w:rsidRPr="00216FB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j</m:t>
            </m:r>
          </m:sub>
        </m:sSub>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m>
              <m:mPr>
                <m:mcs>
                  <m:mc>
                    <m:mcPr>
                      <m:count m:val="5"/>
                      <m:mcJc m:val="center"/>
                    </m:mcPr>
                  </m:mc>
                </m:mcs>
                <m:ctrlPr>
                  <w:rPr>
                    <w:rFonts w:ascii="Cambria Math" w:hAnsi="Cambria Math" w:cs="Times New Roman"/>
                    <w:i/>
                    <w:sz w:val="24"/>
                    <w:szCs w:val="24"/>
                    <w:lang w:val="en-US"/>
                  </w:rPr>
                </m:ctrlPr>
              </m:mPr>
              <m:m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11</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12</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13</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14</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15</m:t>
                      </m:r>
                    </m:sub>
                    <m:sup>
                      <m:r>
                        <w:rPr>
                          <w:rFonts w:ascii="Cambria Math" w:hAnsi="Cambria Math" w:cs="Times New Roman"/>
                          <w:sz w:val="24"/>
                          <w:szCs w:val="24"/>
                          <w:lang w:val="en-US"/>
                        </w:rPr>
                        <m:t>j</m:t>
                      </m:r>
                    </m:sup>
                  </m:sSubSup>
                </m:e>
              </m:mr>
              <m:mr>
                <m:e>
                  <m:r>
                    <w:rPr>
                      <w:rFonts w:ascii="Cambria Math" w:hAnsi="Cambria Math" w:cs="Times New Roman"/>
                      <w:sz w:val="24"/>
                      <w:szCs w:val="24"/>
                      <w:lang w:val="en-US"/>
                    </w:rPr>
                    <m:t>0</m:t>
                  </m:r>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22</m:t>
                      </m:r>
                    </m:sub>
                    <m:sup>
                      <m:r>
                        <w:rPr>
                          <w:rFonts w:ascii="Cambria Math" w:hAnsi="Cambria Math" w:cs="Times New Roman"/>
                          <w:sz w:val="24"/>
                          <w:szCs w:val="24"/>
                          <w:lang w:val="en-US"/>
                        </w:rPr>
                        <m:t>j</m:t>
                      </m:r>
                    </m:sup>
                  </m:sSubSup>
                </m:e>
                <m:e>
                  <m:r>
                    <w:rPr>
                      <w:rFonts w:ascii="Cambria Math" w:hAnsi="Cambria Math" w:cs="Times New Roman"/>
                      <w:sz w:val="24"/>
                      <w:szCs w:val="24"/>
                      <w:lang w:val="en-US"/>
                    </w:rPr>
                    <m:t>0</m:t>
                  </m:r>
                </m:e>
                <m:e>
                  <m:r>
                    <w:rPr>
                      <w:rFonts w:ascii="Cambria Math" w:hAnsi="Cambria Math" w:cs="Times New Roman"/>
                      <w:sz w:val="24"/>
                      <w:szCs w:val="24"/>
                      <w:lang w:val="en-US"/>
                    </w:rPr>
                    <m:t>0</m:t>
                  </m:r>
                </m:e>
                <m:e>
                  <m:r>
                    <w:rPr>
                      <w:rFonts w:ascii="Cambria Math" w:hAnsi="Cambria Math" w:cs="Times New Roman"/>
                      <w:sz w:val="24"/>
                      <w:szCs w:val="24"/>
                      <w:lang w:val="en-US"/>
                    </w:rPr>
                    <m:t>0</m:t>
                  </m:r>
                </m:e>
              </m:mr>
              <m:mr>
                <m:e>
                  <m:r>
                    <w:rPr>
                      <w:rFonts w:ascii="Cambria Math" w:hAnsi="Cambria Math" w:cs="Times New Roman"/>
                      <w:sz w:val="24"/>
                      <w:szCs w:val="24"/>
                      <w:lang w:val="en-US"/>
                    </w:rPr>
                    <m:t>0</m:t>
                  </m:r>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32</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33</m:t>
                      </m:r>
                    </m:sub>
                    <m:sup>
                      <m:r>
                        <w:rPr>
                          <w:rFonts w:ascii="Cambria Math" w:hAnsi="Cambria Math" w:cs="Times New Roman"/>
                          <w:sz w:val="24"/>
                          <w:szCs w:val="24"/>
                          <w:lang w:val="en-US"/>
                        </w:rPr>
                        <m:t>j</m:t>
                      </m:r>
                    </m:sup>
                  </m:sSubSup>
                </m:e>
                <m:e>
                  <m:r>
                    <w:rPr>
                      <w:rFonts w:ascii="Cambria Math" w:hAnsi="Cambria Math" w:cs="Times New Roman"/>
                      <w:sz w:val="24"/>
                      <w:szCs w:val="24"/>
                      <w:lang w:val="en-US"/>
                    </w:rPr>
                    <m:t>0</m:t>
                  </m:r>
                </m:e>
                <m:e>
                  <m:r>
                    <w:rPr>
                      <w:rFonts w:ascii="Cambria Math" w:hAnsi="Cambria Math" w:cs="Times New Roman"/>
                      <w:sz w:val="24"/>
                      <w:szCs w:val="24"/>
                      <w:lang w:val="en-US"/>
                    </w:rPr>
                    <m:t>0</m:t>
                  </m:r>
                </m:e>
              </m:mr>
              <m:m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41</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42</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43</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44</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45</m:t>
                      </m:r>
                    </m:sub>
                    <m:sup>
                      <m:r>
                        <w:rPr>
                          <w:rFonts w:ascii="Cambria Math" w:hAnsi="Cambria Math" w:cs="Times New Roman"/>
                          <w:sz w:val="24"/>
                          <w:szCs w:val="24"/>
                          <w:lang w:val="en-US"/>
                        </w:rPr>
                        <m:t>j</m:t>
                      </m:r>
                    </m:sup>
                  </m:sSubSup>
                </m:e>
              </m:mr>
              <m:m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51</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52</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53</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54</m:t>
                      </m:r>
                    </m:sub>
                    <m:sup>
                      <m:r>
                        <w:rPr>
                          <w:rFonts w:ascii="Cambria Math" w:hAnsi="Cambria Math" w:cs="Times New Roman"/>
                          <w:sz w:val="24"/>
                          <w:szCs w:val="24"/>
                          <w:lang w:val="en-US"/>
                        </w:rPr>
                        <m:t>j</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55</m:t>
                      </m:r>
                    </m:sub>
                    <m:sup>
                      <m:r>
                        <w:rPr>
                          <w:rFonts w:ascii="Cambria Math" w:hAnsi="Cambria Math" w:cs="Times New Roman"/>
                          <w:sz w:val="24"/>
                          <w:szCs w:val="24"/>
                          <w:lang w:val="en-US"/>
                        </w:rPr>
                        <m:t>j</m:t>
                      </m:r>
                    </m:sup>
                  </m:sSubSup>
                </m:e>
              </m:mr>
            </m:m>
          </m:e>
        </m:d>
      </m:oMath>
      <w:r w:rsidR="00216FBF" w:rsidRPr="00216FBF">
        <w:rPr>
          <w:rFonts w:ascii="Times New Roman" w:hAnsi="Times New Roman" w:cs="Times New Roman"/>
          <w:sz w:val="24"/>
          <w:szCs w:val="24"/>
          <w:lang w:val="en-US"/>
        </w:rPr>
        <w:t xml:space="preserve">, </w:t>
      </w:r>
      <m:oMath>
        <m:r>
          <w:rPr>
            <w:rFonts w:ascii="Cambria Math" w:hAnsi="Cambria Math" w:cs="Times New Roman"/>
            <w:sz w:val="24"/>
            <w:szCs w:val="24"/>
            <w:lang w:val="en-US"/>
          </w:rPr>
          <m:t>ј=1,…,12</m:t>
        </m:r>
      </m:oMath>
      <w:r w:rsidR="00216FBF" w:rsidRPr="00216FB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t</m:t>
            </m:r>
          </m:sub>
        </m:sSub>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m:t>
                    </m:r>
                  </m:e>
                  <m:sub>
                    <m:r>
                      <w:rPr>
                        <w:rFonts w:ascii="Cambria Math" w:hAnsi="Cambria Math" w:cs="Times New Roman"/>
                        <w:sz w:val="24"/>
                        <w:szCs w:val="24"/>
                        <w:lang w:val="en-US"/>
                      </w:rPr>
                      <m:t>t</m:t>
                    </m:r>
                  </m:sub>
                  <m:sup>
                    <m:r>
                      <w:rPr>
                        <w:rFonts w:ascii="Cambria Math" w:hAnsi="Cambria Math" w:cs="Times New Roman"/>
                        <w:sz w:val="24"/>
                        <w:szCs w:val="24"/>
                        <w:lang w:val="en-US"/>
                      </w:rPr>
                      <m:t>CPIMK</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m:t>
                    </m:r>
                  </m:e>
                  <m:sub>
                    <m:r>
                      <w:rPr>
                        <w:rFonts w:ascii="Cambria Math" w:hAnsi="Cambria Math" w:cs="Times New Roman"/>
                        <w:sz w:val="24"/>
                        <w:szCs w:val="24"/>
                        <w:lang w:val="en-US"/>
                      </w:rPr>
                      <m:t>t</m:t>
                    </m:r>
                  </m:sub>
                  <m:sup>
                    <m:r>
                      <w:rPr>
                        <w:rFonts w:ascii="Cambria Math" w:hAnsi="Cambria Math" w:cs="Times New Roman"/>
                        <w:sz w:val="24"/>
                        <w:szCs w:val="24"/>
                        <w:lang w:val="en-US"/>
                      </w:rPr>
                      <m:t>OIL</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m:t>
                    </m:r>
                  </m:e>
                  <m:sub>
                    <m:r>
                      <w:rPr>
                        <w:rFonts w:ascii="Cambria Math" w:hAnsi="Cambria Math" w:cs="Times New Roman"/>
                        <w:sz w:val="24"/>
                        <w:szCs w:val="24"/>
                        <w:lang w:val="en-US"/>
                      </w:rPr>
                      <m:t>t</m:t>
                    </m:r>
                  </m:sub>
                  <m:sup>
                    <m:r>
                      <w:rPr>
                        <w:rFonts w:ascii="Cambria Math" w:hAnsi="Cambria Math" w:cs="Times New Roman"/>
                        <w:sz w:val="24"/>
                        <w:szCs w:val="24"/>
                        <w:lang w:val="en-US"/>
                      </w:rPr>
                      <m:t>CPIEU</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m:t>
                    </m:r>
                  </m:e>
                  <m:sub>
                    <m:r>
                      <w:rPr>
                        <w:rFonts w:ascii="Cambria Math" w:hAnsi="Cambria Math" w:cs="Times New Roman"/>
                        <w:sz w:val="24"/>
                        <w:szCs w:val="24"/>
                        <w:lang w:val="en-US"/>
                      </w:rPr>
                      <m:t>t</m:t>
                    </m:r>
                  </m:sub>
                  <m:sup>
                    <m:r>
                      <w:rPr>
                        <w:rFonts w:ascii="Cambria Math" w:hAnsi="Cambria Math" w:cs="Times New Roman"/>
                        <w:sz w:val="24"/>
                        <w:szCs w:val="24"/>
                        <w:lang w:val="en-US"/>
                      </w:rPr>
                      <m:t>IMP</m:t>
                    </m:r>
                  </m:sup>
                </m:sSubSup>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m:t>
                    </m:r>
                  </m:e>
                  <m:sub>
                    <m:r>
                      <w:rPr>
                        <w:rFonts w:ascii="Cambria Math" w:hAnsi="Cambria Math" w:cs="Times New Roman"/>
                        <w:sz w:val="24"/>
                        <w:szCs w:val="24"/>
                        <w:lang w:val="en-US"/>
                      </w:rPr>
                      <m:t>t</m:t>
                    </m:r>
                  </m:sub>
                  <m:sup>
                    <m:r>
                      <w:rPr>
                        <w:rFonts w:ascii="Cambria Math" w:hAnsi="Cambria Math" w:cs="Times New Roman"/>
                        <w:sz w:val="24"/>
                        <w:szCs w:val="24"/>
                        <w:lang w:val="en-US"/>
                      </w:rPr>
                      <m:t>M1</m:t>
                    </m:r>
                  </m:sup>
                </m:sSubSup>
              </m:e>
            </m:eqArr>
          </m:e>
        </m:d>
      </m:oMath>
    </w:p>
    <w:p w:rsidR="00216FBF" w:rsidRPr="00216FBF" w:rsidRDefault="00216FBF" w:rsidP="00216FBF">
      <w:pPr>
        <w:spacing w:after="0" w:line="240" w:lineRule="auto"/>
        <w:jc w:val="both"/>
        <w:rPr>
          <w:rFonts w:ascii="Times New Roman" w:hAnsi="Times New Roman" w:cs="Times New Roman"/>
          <w:sz w:val="24"/>
          <w:szCs w:val="24"/>
          <w:lang w:val="en-US"/>
        </w:rPr>
      </w:pPr>
      <w:r w:rsidRPr="00216FBF">
        <w:rPr>
          <w:rFonts w:ascii="Times New Roman" w:hAnsi="Times New Roman" w:cs="Times New Roman"/>
          <w:sz w:val="24"/>
          <w:szCs w:val="24"/>
          <w:lang w:val="en-US"/>
        </w:rPr>
        <w:tab/>
      </w:r>
    </w:p>
    <w:p w:rsidR="00216FBF" w:rsidRDefault="0040231E" w:rsidP="00402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Векторот</w:t>
      </w:r>
      <w:r w:rsidR="00216FBF" w:rsidRPr="00216FB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sidR="00216FBF" w:rsidRPr="00216FBF">
        <w:rPr>
          <w:rFonts w:ascii="Times New Roman" w:hAnsi="Times New Roman" w:cs="Times New Roman"/>
          <w:sz w:val="24"/>
          <w:szCs w:val="24"/>
          <w:lang w:val="en-US"/>
        </w:rPr>
        <w:t xml:space="preserve"> </w:t>
      </w:r>
      <w:r>
        <w:rPr>
          <w:rFonts w:ascii="Times New Roman" w:hAnsi="Times New Roman" w:cs="Times New Roman"/>
          <w:sz w:val="24"/>
          <w:szCs w:val="24"/>
        </w:rPr>
        <w:t>ги содржи променливите на моделот</w:t>
      </w:r>
      <w:r w:rsidR="00216FBF" w:rsidRPr="00216FBF">
        <w:rPr>
          <w:rFonts w:ascii="Times New Roman" w:hAnsi="Times New Roman" w:cs="Times New Roman"/>
          <w:sz w:val="24"/>
          <w:szCs w:val="24"/>
          <w:lang w:val="en-US"/>
        </w:rPr>
        <w:t xml:space="preserve">, </w:t>
      </w:r>
      <w:r>
        <w:rPr>
          <w:rFonts w:ascii="Times New Roman" w:hAnsi="Times New Roman" w:cs="Times New Roman"/>
          <w:sz w:val="24"/>
          <w:szCs w:val="24"/>
        </w:rPr>
        <w:t>матриците на структурни коефициенти се преставени во</w:t>
      </w:r>
      <w:r w:rsidR="00216FBF" w:rsidRPr="00216FB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j</m:t>
            </m:r>
          </m:sub>
        </m:sSub>
      </m:oMath>
      <w:r w:rsidR="00216FBF" w:rsidRPr="00216FBF">
        <w:rPr>
          <w:rFonts w:ascii="Times New Roman" w:hAnsi="Times New Roman" w:cs="Times New Roman"/>
          <w:sz w:val="24"/>
          <w:szCs w:val="24"/>
          <w:lang w:val="en-US"/>
        </w:rPr>
        <w:t xml:space="preserve"> (</w:t>
      </w:r>
      <w:r>
        <w:rPr>
          <w:rFonts w:ascii="Times New Roman" w:hAnsi="Times New Roman" w:cs="Times New Roman"/>
          <w:sz w:val="24"/>
          <w:szCs w:val="24"/>
        </w:rPr>
        <w:t>12 матрици за 12 временски доцнења</w:t>
      </w:r>
      <w:r w:rsidR="00216FBF" w:rsidRPr="00216FBF">
        <w:rPr>
          <w:rFonts w:ascii="Times New Roman" w:hAnsi="Times New Roman" w:cs="Times New Roman"/>
          <w:sz w:val="24"/>
          <w:szCs w:val="24"/>
          <w:lang w:val="en-US"/>
        </w:rPr>
        <w:t xml:space="preserve">) </w:t>
      </w:r>
      <w:r>
        <w:rPr>
          <w:rFonts w:ascii="Times New Roman" w:hAnsi="Times New Roman" w:cs="Times New Roman"/>
          <w:sz w:val="24"/>
          <w:szCs w:val="24"/>
        </w:rPr>
        <w:t>и последниот вектор</w:t>
      </w:r>
      <w:r w:rsidR="00216FBF" w:rsidRPr="00216FB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t</m:t>
            </m:r>
          </m:sub>
        </m:sSub>
      </m:oMath>
      <w:r>
        <w:rPr>
          <w:rFonts w:ascii="Times New Roman" w:hAnsi="Times New Roman" w:cs="Times New Roman"/>
          <w:sz w:val="24"/>
          <w:szCs w:val="24"/>
          <w:lang w:val="en-US"/>
        </w:rPr>
        <w:t xml:space="preserve"> кој</w:t>
      </w:r>
      <w:r>
        <w:rPr>
          <w:rFonts w:ascii="Times New Roman" w:hAnsi="Times New Roman" w:cs="Times New Roman"/>
          <w:sz w:val="24"/>
          <w:szCs w:val="24"/>
        </w:rPr>
        <w:t xml:space="preserve"> е составен од независни, случајни грешки со нормален распоред.</w:t>
      </w:r>
      <w:r w:rsidR="00F90EE1">
        <w:rPr>
          <w:rFonts w:ascii="Times New Roman" w:hAnsi="Times New Roman" w:cs="Times New Roman"/>
          <w:sz w:val="24"/>
          <w:szCs w:val="24"/>
        </w:rPr>
        <w:t xml:space="preserve"> Блок </w:t>
      </w:r>
      <w:r>
        <w:rPr>
          <w:rFonts w:ascii="Times New Roman" w:hAnsi="Times New Roman" w:cs="Times New Roman"/>
          <w:sz w:val="24"/>
          <w:szCs w:val="24"/>
          <w:lang w:val="en-US"/>
        </w:rPr>
        <w:t xml:space="preserve"> </w:t>
      </w:r>
      <w:r w:rsidR="00F90EE1">
        <w:rPr>
          <w:rFonts w:ascii="Times New Roman" w:hAnsi="Times New Roman" w:cs="Times New Roman"/>
          <w:sz w:val="24"/>
          <w:szCs w:val="24"/>
        </w:rPr>
        <w:t>егзогените ограничувања се претставени со нули во матриците на структурни коефициенти.</w:t>
      </w:r>
    </w:p>
    <w:p w:rsidR="00F90EE1" w:rsidRPr="00F90EE1" w:rsidRDefault="00F90EE1" w:rsidP="004023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Тестирани се претпоставките на моделот и истите се исполнети (поради просторно ограничување резултатите се достапни на барање).</w:t>
      </w:r>
    </w:p>
    <w:p w:rsidR="00FB55D4" w:rsidRDefault="00FB55D4" w:rsidP="00216FBF">
      <w:pPr>
        <w:spacing w:after="0" w:line="240" w:lineRule="auto"/>
        <w:jc w:val="both"/>
        <w:rPr>
          <w:rFonts w:ascii="Times New Roman" w:hAnsi="Times New Roman" w:cs="Times New Roman"/>
          <w:b/>
          <w:sz w:val="24"/>
          <w:szCs w:val="24"/>
          <w:lang w:val="en-US"/>
        </w:rPr>
      </w:pPr>
    </w:p>
    <w:p w:rsidR="004576CA" w:rsidRPr="004576CA" w:rsidRDefault="004576CA" w:rsidP="008C59B6">
      <w:pPr>
        <w:spacing w:after="0" w:line="240" w:lineRule="auto"/>
        <w:jc w:val="center"/>
        <w:rPr>
          <w:rFonts w:ascii="Times New Roman" w:hAnsi="Times New Roman" w:cs="Times New Roman"/>
          <w:b/>
          <w:sz w:val="24"/>
          <w:szCs w:val="24"/>
          <w:lang w:val="en-US"/>
        </w:rPr>
      </w:pPr>
    </w:p>
    <w:p w:rsidR="008C59B6" w:rsidRPr="004F46CD" w:rsidRDefault="008C59B6" w:rsidP="008C59B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Анализа на добиените резултати</w:t>
      </w:r>
    </w:p>
    <w:p w:rsidR="008C59B6" w:rsidRDefault="008C59B6" w:rsidP="008C59B6">
      <w:pPr>
        <w:spacing w:after="0" w:line="240" w:lineRule="auto"/>
        <w:jc w:val="both"/>
        <w:rPr>
          <w:rFonts w:ascii="Times New Roman" w:hAnsi="Times New Roman" w:cs="Times New Roman"/>
          <w:sz w:val="24"/>
          <w:szCs w:val="24"/>
        </w:rPr>
      </w:pPr>
    </w:p>
    <w:p w:rsidR="006D1821" w:rsidRDefault="006D1821" w:rsidP="006D1821">
      <w:pPr>
        <w:pStyle w:val="Default"/>
        <w:spacing w:after="22"/>
        <w:ind w:firstLine="720"/>
        <w:jc w:val="both"/>
        <w:rPr>
          <w:rFonts w:ascii="Times New Roman" w:hAnsi="Times New Roman" w:cs="Times New Roman"/>
          <w:lang w:val="mk-MK"/>
        </w:rPr>
      </w:pPr>
      <w:r w:rsidRPr="006D1821">
        <w:rPr>
          <w:rFonts w:ascii="Times New Roman" w:hAnsi="Times New Roman" w:cs="Times New Roman"/>
          <w:lang w:val="mk-MK"/>
        </w:rPr>
        <w:t>Функциите на импулсен одговор се користат за да се анализираат динамичките интеракции помеѓу ендогените променливи. Кај векторските модели со корекција на грешка функциите на импулсен одговор се искажани преку векторски авторегресивен модел каде што променливите се искажани во нивните оригинални вредности. Во примерот ќе се разгледуваат ортогонални функции на импулсен одговор каде што иновацијата или шокот изнесува една стандардна девијација во трансформираниот модел. Функциите се прикажуваат за временски период од 24 месеци, односно две години, за подобро да се утврди ефектот на шоковите врз инфлацијата во Република Македонија.</w:t>
      </w:r>
    </w:p>
    <w:p w:rsidR="006D1821" w:rsidRPr="006D1821" w:rsidRDefault="006D1821" w:rsidP="006D1821">
      <w:pPr>
        <w:pStyle w:val="Default"/>
        <w:spacing w:after="22"/>
        <w:ind w:firstLine="720"/>
        <w:jc w:val="both"/>
        <w:rPr>
          <w:rFonts w:ascii="Times New Roman" w:hAnsi="Times New Roman" w:cs="Times New Roman"/>
          <w:lang w:val="mk-MK"/>
        </w:rPr>
      </w:pPr>
      <w:r>
        <w:rPr>
          <w:rFonts w:ascii="Times New Roman" w:hAnsi="Times New Roman" w:cs="Times New Roman"/>
          <w:lang w:val="mk-MK"/>
        </w:rPr>
        <w:t>Функциите на импулсен одговор се прикажани на слика 3</w:t>
      </w:r>
      <w:r w:rsidR="00216FBF" w:rsidRPr="00216FBF">
        <w:rPr>
          <w:rFonts w:ascii="Times New Roman" w:hAnsi="Times New Roman" w:cs="Times New Roman"/>
        </w:rPr>
        <w:t xml:space="preserve">. </w:t>
      </w:r>
      <w:r>
        <w:rPr>
          <w:rFonts w:ascii="Times New Roman" w:hAnsi="Times New Roman" w:cs="Times New Roman"/>
          <w:lang w:val="mk-MK"/>
        </w:rPr>
        <w:t>Првиот графикон покажува како одреден шок кај цената на нафтата влијае врз националната инфлација. Позитивен шок во цената на нафтата од една стандардна девијација може да предизвика позитивен ефект на македонската инфлација. Ефектот започнува веднаш, почнувајќи од првиот месец, продолжува да расне и го достигнува максимумот од 0,9098 процентни поени во дванаесетиот месец. После првата година ефектот се намалува, но останува силен и во овтората година. На крајот на 23 месец ефектот речиси исчезнува. Интензивниот ефект кој цената на нафтата го има на домашната инфлација само потврдува дека цената на нафтата значајно и константно влијае на националното ниво на цените во РМ.</w:t>
      </w:r>
    </w:p>
    <w:p w:rsidR="00216FBF" w:rsidRPr="00216FBF" w:rsidRDefault="00216FBF" w:rsidP="00F90EE1">
      <w:pPr>
        <w:pStyle w:val="Default"/>
        <w:spacing w:after="22"/>
        <w:jc w:val="both"/>
        <w:rPr>
          <w:rFonts w:ascii="Times New Roman" w:hAnsi="Times New Roman" w:cs="Times New Roman"/>
        </w:rPr>
      </w:pPr>
      <w:r w:rsidRPr="00216FBF">
        <w:rPr>
          <w:rFonts w:ascii="Times New Roman" w:hAnsi="Times New Roman" w:cs="Times New Roman"/>
        </w:rPr>
        <w:tab/>
      </w:r>
    </w:p>
    <w:p w:rsidR="00216FBF" w:rsidRPr="006D1821" w:rsidRDefault="006D1821" w:rsidP="006D1821">
      <w:pPr>
        <w:pStyle w:val="Default"/>
        <w:spacing w:after="22"/>
        <w:jc w:val="center"/>
        <w:rPr>
          <w:rFonts w:ascii="Times New Roman" w:hAnsi="Times New Roman" w:cs="Times New Roman"/>
        </w:rPr>
      </w:pPr>
      <w:proofErr w:type="spellStart"/>
      <w:r>
        <w:rPr>
          <w:rFonts w:ascii="Times New Roman" w:hAnsi="Times New Roman" w:cs="Times New Roman"/>
        </w:rPr>
        <w:lastRenderedPageBreak/>
        <w:t>Слика</w:t>
      </w:r>
      <w:proofErr w:type="spellEnd"/>
      <w:r>
        <w:rPr>
          <w:rFonts w:ascii="Times New Roman" w:hAnsi="Times New Roman" w:cs="Times New Roman"/>
        </w:rPr>
        <w:t xml:space="preserve"> 3</w:t>
      </w:r>
      <w:r w:rsidR="00216FBF" w:rsidRPr="006D1821">
        <w:rPr>
          <w:rFonts w:ascii="Times New Roman" w:hAnsi="Times New Roman" w:cs="Times New Roman"/>
        </w:rPr>
        <w:t xml:space="preserve"> </w:t>
      </w:r>
      <w:r>
        <w:rPr>
          <w:rFonts w:ascii="Times New Roman" w:hAnsi="Times New Roman" w:cs="Times New Roman"/>
          <w:lang w:val="mk-MK"/>
        </w:rPr>
        <w:t>Ортогонални функции на импулсен одговор</w:t>
      </w:r>
      <w:r w:rsidR="00216FBF" w:rsidRPr="006D1821">
        <w:rPr>
          <w:rFonts w:ascii="Times New Roman" w:hAnsi="Times New Roman" w:cs="Times New Roman"/>
        </w:rPr>
        <w:t xml:space="preserve"> (</w:t>
      </w:r>
      <w:r>
        <w:rPr>
          <w:rFonts w:ascii="Times New Roman" w:hAnsi="Times New Roman" w:cs="Times New Roman"/>
          <w:lang w:val="mk-MK"/>
        </w:rPr>
        <w:t>24 месеци</w:t>
      </w:r>
      <w:r w:rsidR="00216FBF" w:rsidRPr="006D1821">
        <w:rPr>
          <w:rFonts w:ascii="Times New Roman" w:hAnsi="Times New Roman" w:cs="Times New Roman"/>
        </w:rPr>
        <w:t>)</w:t>
      </w:r>
    </w:p>
    <w:p w:rsidR="00216FBF" w:rsidRPr="00216FBF" w:rsidRDefault="00EB4495" w:rsidP="00216FBF">
      <w:pPr>
        <w:pStyle w:val="Default"/>
        <w:spacing w:after="22"/>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1" locked="0" layoutInCell="1" allowOverlap="1">
            <wp:simplePos x="0" y="0"/>
            <wp:positionH relativeFrom="column">
              <wp:posOffset>802640</wp:posOffset>
            </wp:positionH>
            <wp:positionV relativeFrom="paragraph">
              <wp:posOffset>39370</wp:posOffset>
            </wp:positionV>
            <wp:extent cx="2164080" cy="1419225"/>
            <wp:effectExtent l="19050" t="0" r="0" b="0"/>
            <wp:wrapTight wrapText="bothSides">
              <wp:wrapPolygon edited="0">
                <wp:start x="-190" y="1740"/>
                <wp:lineTo x="-190" y="15656"/>
                <wp:lineTo x="380" y="16816"/>
                <wp:lineTo x="6465" y="19715"/>
                <wp:lineTo x="8556" y="19715"/>
                <wp:lineTo x="15401" y="19715"/>
                <wp:lineTo x="20535" y="17686"/>
                <wp:lineTo x="19965" y="16236"/>
                <wp:lineTo x="1141" y="15656"/>
                <wp:lineTo x="1901" y="15656"/>
                <wp:lineTo x="2092" y="3479"/>
                <wp:lineTo x="1901" y="1740"/>
                <wp:lineTo x="-190" y="1740"/>
              </wp:wrapPolygon>
            </wp:wrapTight>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hAnsi="Times New Roman" w:cs="Times New Roman"/>
          <w:noProof/>
        </w:rPr>
        <w:drawing>
          <wp:anchor distT="0" distB="0" distL="114300" distR="114300" simplePos="0" relativeHeight="251667456" behindDoc="1" locked="0" layoutInCell="1" allowOverlap="1">
            <wp:simplePos x="0" y="0"/>
            <wp:positionH relativeFrom="column">
              <wp:posOffset>2966720</wp:posOffset>
            </wp:positionH>
            <wp:positionV relativeFrom="paragraph">
              <wp:posOffset>39370</wp:posOffset>
            </wp:positionV>
            <wp:extent cx="2150745" cy="1405255"/>
            <wp:effectExtent l="19050" t="0" r="0" b="0"/>
            <wp:wrapTight wrapText="bothSides">
              <wp:wrapPolygon edited="0">
                <wp:start x="191" y="586"/>
                <wp:lineTo x="-191" y="16105"/>
                <wp:lineTo x="6696" y="19326"/>
                <wp:lineTo x="9566" y="19619"/>
                <wp:lineTo x="16262" y="19619"/>
                <wp:lineTo x="15880" y="19326"/>
                <wp:lineTo x="20471" y="17569"/>
                <wp:lineTo x="19897" y="16105"/>
                <wp:lineTo x="2487" y="14641"/>
                <wp:lineTo x="2678" y="8784"/>
                <wp:lineTo x="2296" y="5856"/>
                <wp:lineTo x="1913" y="5271"/>
                <wp:lineTo x="2105" y="5271"/>
                <wp:lineTo x="2296" y="1171"/>
                <wp:lineTo x="2296" y="586"/>
                <wp:lineTo x="191" y="586"/>
              </wp:wrapPolygon>
            </wp:wrapTight>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EB4495" w:rsidP="00216FBF">
      <w:pPr>
        <w:pStyle w:val="Default"/>
        <w:spacing w:after="22"/>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1" locked="0" layoutInCell="1" allowOverlap="1">
            <wp:simplePos x="0" y="0"/>
            <wp:positionH relativeFrom="column">
              <wp:posOffset>2974975</wp:posOffset>
            </wp:positionH>
            <wp:positionV relativeFrom="paragraph">
              <wp:posOffset>53975</wp:posOffset>
            </wp:positionV>
            <wp:extent cx="2150745" cy="1405255"/>
            <wp:effectExtent l="19050" t="0" r="0" b="0"/>
            <wp:wrapTight wrapText="bothSides">
              <wp:wrapPolygon edited="0">
                <wp:start x="191" y="586"/>
                <wp:lineTo x="0" y="8492"/>
                <wp:lineTo x="1148" y="9077"/>
                <wp:lineTo x="957" y="10249"/>
                <wp:lineTo x="0" y="10541"/>
                <wp:lineTo x="-191" y="14934"/>
                <wp:lineTo x="3444" y="18155"/>
                <wp:lineTo x="9375" y="19326"/>
                <wp:lineTo x="9375" y="19619"/>
                <wp:lineTo x="16262" y="19619"/>
                <wp:lineTo x="16071" y="19326"/>
                <wp:lineTo x="20471" y="17862"/>
                <wp:lineTo x="19897" y="16398"/>
                <wp:lineTo x="2296" y="14641"/>
                <wp:lineTo x="10523" y="9956"/>
                <wp:lineTo x="1531" y="5271"/>
                <wp:lineTo x="2105" y="5271"/>
                <wp:lineTo x="2487" y="2928"/>
                <wp:lineTo x="2296" y="586"/>
                <wp:lineTo x="191" y="586"/>
              </wp:wrapPolygon>
            </wp:wrapTight>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796925</wp:posOffset>
            </wp:positionH>
            <wp:positionV relativeFrom="paragraph">
              <wp:posOffset>53975</wp:posOffset>
            </wp:positionV>
            <wp:extent cx="2183130" cy="1405255"/>
            <wp:effectExtent l="0" t="0" r="0" b="0"/>
            <wp:wrapTight wrapText="bothSides">
              <wp:wrapPolygon edited="0">
                <wp:start x="188" y="1464"/>
                <wp:lineTo x="0" y="16105"/>
                <wp:lineTo x="7728" y="19911"/>
                <wp:lineTo x="9236" y="19911"/>
                <wp:lineTo x="16209" y="19911"/>
                <wp:lineTo x="20545" y="17862"/>
                <wp:lineTo x="19979" y="16398"/>
                <wp:lineTo x="3204" y="15519"/>
                <wp:lineTo x="3204" y="10834"/>
                <wp:lineTo x="3016" y="6442"/>
                <wp:lineTo x="3016" y="1464"/>
                <wp:lineTo x="188" y="1464"/>
              </wp:wrapPolygon>
            </wp:wrapTight>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EB4495" w:rsidP="00216FBF">
      <w:pPr>
        <w:pStyle w:val="Default"/>
        <w:spacing w:after="22"/>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2005965</wp:posOffset>
            </wp:positionH>
            <wp:positionV relativeFrom="paragraph">
              <wp:posOffset>13970</wp:posOffset>
            </wp:positionV>
            <wp:extent cx="2183130" cy="1405255"/>
            <wp:effectExtent l="0" t="0" r="0" b="0"/>
            <wp:wrapTight wrapText="bothSides">
              <wp:wrapPolygon edited="0">
                <wp:start x="188" y="586"/>
                <wp:lineTo x="0" y="8199"/>
                <wp:lineTo x="565" y="8492"/>
                <wp:lineTo x="10743" y="9956"/>
                <wp:lineTo x="188" y="9956"/>
                <wp:lineTo x="0" y="15519"/>
                <wp:lineTo x="6597" y="19326"/>
                <wp:lineTo x="8293" y="19619"/>
                <wp:lineTo x="16963" y="19619"/>
                <wp:lineTo x="16775" y="19326"/>
                <wp:lineTo x="20545" y="16983"/>
                <wp:lineTo x="19979" y="15812"/>
                <wp:lineTo x="2450" y="14641"/>
                <wp:lineTo x="10743" y="9956"/>
                <wp:lineTo x="7728" y="9956"/>
                <wp:lineTo x="2073" y="7028"/>
                <wp:lineTo x="1508" y="5271"/>
                <wp:lineTo x="2073" y="5271"/>
                <wp:lineTo x="2450" y="2928"/>
                <wp:lineTo x="2262" y="586"/>
                <wp:lineTo x="188" y="586"/>
              </wp:wrapPolygon>
            </wp:wrapTight>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216FBF" w:rsidRDefault="00216FBF" w:rsidP="00216FBF">
      <w:pPr>
        <w:pStyle w:val="Default"/>
        <w:spacing w:after="22"/>
        <w:rPr>
          <w:rFonts w:ascii="Times New Roman" w:hAnsi="Times New Roman" w:cs="Times New Roman"/>
        </w:rPr>
      </w:pPr>
    </w:p>
    <w:p w:rsidR="00216FBF" w:rsidRPr="006D1821" w:rsidRDefault="006D1821" w:rsidP="00216FBF">
      <w:pPr>
        <w:pStyle w:val="Default"/>
        <w:spacing w:after="22"/>
        <w:rPr>
          <w:rFonts w:ascii="Times New Roman" w:hAnsi="Times New Roman" w:cs="Times New Roman"/>
          <w:sz w:val="22"/>
          <w:lang w:val="mk-MK"/>
        </w:rPr>
      </w:pPr>
      <w:r w:rsidRPr="006D1821">
        <w:rPr>
          <w:rFonts w:ascii="Times New Roman" w:hAnsi="Times New Roman" w:cs="Times New Roman"/>
          <w:sz w:val="22"/>
          <w:lang w:val="mk-MK"/>
        </w:rPr>
        <w:t>Извор: Пресметки на авторот</w:t>
      </w:r>
    </w:p>
    <w:p w:rsidR="00216FBF" w:rsidRPr="00216FBF" w:rsidRDefault="00216FBF" w:rsidP="00216FBF">
      <w:pPr>
        <w:pStyle w:val="Default"/>
        <w:spacing w:after="22"/>
        <w:rPr>
          <w:rFonts w:ascii="Times New Roman" w:hAnsi="Times New Roman" w:cs="Times New Roman"/>
        </w:rPr>
      </w:pPr>
    </w:p>
    <w:p w:rsidR="00A96BCA" w:rsidRPr="00A96BCA" w:rsidRDefault="00955CFB" w:rsidP="00A96BCA">
      <w:pPr>
        <w:pStyle w:val="Default"/>
        <w:spacing w:after="22"/>
        <w:ind w:firstLine="720"/>
        <w:jc w:val="both"/>
        <w:rPr>
          <w:rFonts w:ascii="Times New Roman" w:hAnsi="Times New Roman" w:cs="Times New Roman"/>
          <w:lang w:val="mk-MK"/>
        </w:rPr>
      </w:pPr>
      <w:r>
        <w:rPr>
          <w:rFonts w:ascii="Times New Roman" w:hAnsi="Times New Roman" w:cs="Times New Roman"/>
          <w:lang w:val="mk-MK"/>
        </w:rPr>
        <w:t>Втората функција на импулсен одговор го мери влијанието на инфлацијата на Евро зоната врз националната инфлација. На сличен начин како и цената на нафтата, влијанието на Европската инфлација е силно и постојано. Значаен ефект од шокот од Европската инфлација врз домашната инфлација започнува да се забележува приближно во вториот месец. Ефектот продолжува да расте и го стигнува врвот во четиринаесетиот месец кога шокот од една стандардна девијација предизвикува максимална вредност на ефектот врз националната инфлација од 0,4796 процентни поени. Во втората година ефектот се намалува што укажува дека постои силна и конзистентна реакција врз македонската инфлација, предизвикана од инфлацијата во Евро зоната. Ова не е изненадувачко ако се земе во предвид долгорочната релација помеѓу денарот и еврото. Логично е да се заклучи дека било која промена на цените во Евро зоната многу брзо предизвикува промени во македонските цени, бидејќи станува збор за мала отворена економија со фиксен девизен курс.</w:t>
      </w:r>
      <w:r w:rsidR="007A12A6">
        <w:rPr>
          <w:rFonts w:ascii="Times New Roman" w:hAnsi="Times New Roman" w:cs="Times New Roman"/>
          <w:lang w:val="mk-MK"/>
        </w:rPr>
        <w:t xml:space="preserve"> Ова е и причина зошто македонските монетарни власти треба константно да ги следат европските цени и да ги земаат сериозно во разгледување при формирање на инфлациските очекувања. </w:t>
      </w:r>
      <w:r w:rsidR="00FD1D26">
        <w:rPr>
          <w:rFonts w:ascii="Times New Roman" w:hAnsi="Times New Roman" w:cs="Times New Roman"/>
          <w:lang w:val="mk-MK"/>
        </w:rPr>
        <w:t xml:space="preserve">Инфлацијата во Евро зоната и цените на нафатата се веројатно најзначајни екстерни фактори на националната инфлација како што потврдува и </w:t>
      </w:r>
      <w:r w:rsidR="00F90EE1" w:rsidRPr="00216FBF">
        <w:rPr>
          <w:rFonts w:ascii="Times New Roman" w:hAnsi="Times New Roman" w:cs="Times New Roman"/>
        </w:rPr>
        <w:t>Shamloo (2011) (</w:t>
      </w:r>
      <w:r w:rsidR="00FD1D26">
        <w:rPr>
          <w:rFonts w:ascii="Times New Roman" w:hAnsi="Times New Roman" w:cs="Times New Roman"/>
          <w:lang w:val="mk-MK"/>
        </w:rPr>
        <w:t>само за инфлацијата во Евро зоната</w:t>
      </w:r>
      <w:r w:rsidR="00F90EE1" w:rsidRPr="00216FBF">
        <w:rPr>
          <w:rFonts w:ascii="Times New Roman" w:hAnsi="Times New Roman" w:cs="Times New Roman"/>
        </w:rPr>
        <w:t xml:space="preserve">). </w:t>
      </w:r>
      <w:r w:rsidR="00FD1D26">
        <w:rPr>
          <w:rFonts w:ascii="Times New Roman" w:hAnsi="Times New Roman" w:cs="Times New Roman"/>
          <w:lang w:val="mk-MK"/>
        </w:rPr>
        <w:t>Дали преку девизниот курс или преку увозот</w:t>
      </w:r>
      <w:r w:rsidR="00A96BCA">
        <w:rPr>
          <w:rFonts w:ascii="Times New Roman" w:hAnsi="Times New Roman" w:cs="Times New Roman"/>
          <w:lang w:val="mk-MK"/>
        </w:rPr>
        <w:t xml:space="preserve">, јасно е дека инфлацијата во Евро зоната е главна детерминанта на националната инфлација. Тоа го потврдува и </w:t>
      </w:r>
      <w:r w:rsidR="00F90EE1" w:rsidRPr="00216FBF">
        <w:rPr>
          <w:rFonts w:ascii="Times New Roman" w:hAnsi="Times New Roman" w:cs="Times New Roman"/>
        </w:rPr>
        <w:t xml:space="preserve">Petrevski et. al. (2014) </w:t>
      </w:r>
      <w:r w:rsidR="00A96BCA">
        <w:rPr>
          <w:rFonts w:ascii="Times New Roman" w:hAnsi="Times New Roman" w:cs="Times New Roman"/>
          <w:lang w:val="mk-MK"/>
        </w:rPr>
        <w:t>каде што се заклучува дека инфлацијата од Евро зоната инстантно се пренесува на домашната инфлација.</w:t>
      </w:r>
    </w:p>
    <w:p w:rsidR="00F90EE1" w:rsidRDefault="00A96BCA" w:rsidP="00A96BCA">
      <w:pPr>
        <w:pStyle w:val="Default"/>
        <w:spacing w:after="22"/>
        <w:jc w:val="both"/>
        <w:rPr>
          <w:rFonts w:ascii="Times New Roman" w:hAnsi="Times New Roman" w:cs="Times New Roman"/>
          <w:lang w:val="mk-MK"/>
        </w:rPr>
      </w:pPr>
      <w:r>
        <w:rPr>
          <w:rFonts w:ascii="Times New Roman" w:hAnsi="Times New Roman" w:cs="Times New Roman"/>
          <w:lang w:val="mk-MK"/>
        </w:rPr>
        <w:lastRenderedPageBreak/>
        <w:tab/>
        <w:t xml:space="preserve">Функцијата на импулсен одговор на променливата увоз е со помал интезитет и е најразлична од останатите функции. Интезитетот е умерен бидејќи најголемиот позитивен ефект врз инфлацијата кој е предизвикан од </w:t>
      </w:r>
      <w:r w:rsidR="0000649D">
        <w:rPr>
          <w:rFonts w:ascii="Times New Roman" w:hAnsi="Times New Roman" w:cs="Times New Roman"/>
          <w:lang w:val="mk-MK"/>
        </w:rPr>
        <w:t xml:space="preserve">шок кај увозот на добра и услуги изнесува 0,1696 процентни поени во вториот месец. </w:t>
      </w:r>
    </w:p>
    <w:p w:rsidR="00216FBF" w:rsidRDefault="0000649D" w:rsidP="0000649D">
      <w:pPr>
        <w:pStyle w:val="Default"/>
        <w:spacing w:after="22"/>
        <w:jc w:val="both"/>
        <w:rPr>
          <w:rFonts w:ascii="Times New Roman" w:hAnsi="Times New Roman" w:cs="Times New Roman"/>
          <w:lang w:val="mk-MK"/>
        </w:rPr>
      </w:pPr>
      <w:r>
        <w:rPr>
          <w:rFonts w:ascii="Times New Roman" w:hAnsi="Times New Roman" w:cs="Times New Roman"/>
          <w:lang w:val="mk-MK"/>
        </w:rPr>
        <w:tab/>
        <w:t>Македонија има концентриран увоз каде повеќе од половината од увозените добра се од земјите од ЕУ. Увозот значајно ја детерминира домашната инфлација. Авторот претпоставува дека не само девизниот курс, туку и Европските цени влијаат на домашната инфлација преку увозените добра и услуги. Екстерните фактори значајно влијаат на националната инфлација, многу слично на ситуацијата во Хрватска</w:t>
      </w:r>
      <w:r w:rsidR="00216FBF" w:rsidRPr="00216FBF">
        <w:rPr>
          <w:rFonts w:ascii="Times New Roman" w:hAnsi="Times New Roman" w:cs="Times New Roman"/>
        </w:rPr>
        <w:t xml:space="preserve"> (Krznar and Kunovac (2010)). Petrevski </w:t>
      </w:r>
      <w:proofErr w:type="gramStart"/>
      <w:r w:rsidR="00216FBF" w:rsidRPr="00216FBF">
        <w:rPr>
          <w:rFonts w:ascii="Times New Roman" w:hAnsi="Times New Roman" w:cs="Times New Roman"/>
        </w:rPr>
        <w:t>et</w:t>
      </w:r>
      <w:proofErr w:type="gramEnd"/>
      <w:r w:rsidR="00216FBF" w:rsidRPr="00216FBF">
        <w:rPr>
          <w:rFonts w:ascii="Times New Roman" w:hAnsi="Times New Roman" w:cs="Times New Roman"/>
        </w:rPr>
        <w:t xml:space="preserve">. al. (2014) </w:t>
      </w:r>
      <w:r>
        <w:rPr>
          <w:rFonts w:ascii="Times New Roman" w:hAnsi="Times New Roman" w:cs="Times New Roman"/>
          <w:lang w:val="mk-MK"/>
        </w:rPr>
        <w:t xml:space="preserve">назначува дека високата трговска интеграција со земјите од Југоисточна Европа во рамките на Евро зоната и фиксниот девизен курс се причини зошто инфлацијта од Евро зоната лесно се пренесува </w:t>
      </w:r>
      <w:r w:rsidR="0066479D">
        <w:rPr>
          <w:rFonts w:ascii="Times New Roman" w:hAnsi="Times New Roman" w:cs="Times New Roman"/>
          <w:lang w:val="mk-MK"/>
        </w:rPr>
        <w:t>врз</w:t>
      </w:r>
      <w:r>
        <w:rPr>
          <w:rFonts w:ascii="Times New Roman" w:hAnsi="Times New Roman" w:cs="Times New Roman"/>
          <w:lang w:val="mk-MK"/>
        </w:rPr>
        <w:t xml:space="preserve"> домашната инфлација.</w:t>
      </w:r>
    </w:p>
    <w:p w:rsidR="005C6EF9" w:rsidRPr="0000649D" w:rsidRDefault="005C6EF9" w:rsidP="0000649D">
      <w:pPr>
        <w:pStyle w:val="Default"/>
        <w:spacing w:after="22"/>
        <w:jc w:val="both"/>
        <w:rPr>
          <w:rFonts w:ascii="Times New Roman" w:hAnsi="Times New Roman" w:cs="Times New Roman"/>
          <w:lang w:val="mk-MK"/>
        </w:rPr>
      </w:pPr>
      <w:r>
        <w:rPr>
          <w:rFonts w:ascii="Times New Roman" w:hAnsi="Times New Roman" w:cs="Times New Roman"/>
          <w:lang w:val="mk-MK"/>
        </w:rPr>
        <w:tab/>
        <w:t>Моделот укажува на инверзна зависност помеѓу националната инфлација и националниот увоз. Шок кај увозот од една стандардна девијација предизвикува негативен ефект кај инфлацијата во првата година. Ова се објаснува на следниот начин: во економија со фиксен девизен курс, каде увозот го надминува извозот, кога добрата и и услугите се увезуваат, треба да се платат во странска валута, или евра во случајот со Македонија. Народната банка треба одржува стабилен девизен курс и поради тоа таа ќе започне да продава дел од своите девизни резерви. При фиксен девизен курс продажбата на странска валута значи дека денарите се повлекуваат, односно нивната понуда е намалена. Тоа воедно значи и намалена инфлација. Во овој случај монетарните власти прават стерилизирана интервенција, или купуваат владини обврзници или благајнички записи за да ослободат одредена сума на националната валута во циркулација. Тоа компензира за намалена понуда на пари.</w:t>
      </w:r>
    </w:p>
    <w:p w:rsidR="00216FBF" w:rsidRDefault="00216FBF" w:rsidP="005C6EF9">
      <w:pPr>
        <w:pStyle w:val="Default"/>
        <w:spacing w:after="22"/>
        <w:jc w:val="both"/>
        <w:rPr>
          <w:rFonts w:ascii="Times New Roman" w:hAnsi="Times New Roman" w:cs="Times New Roman"/>
          <w:lang w:val="mk-MK"/>
        </w:rPr>
      </w:pPr>
      <w:r w:rsidRPr="00216FBF">
        <w:rPr>
          <w:rFonts w:ascii="Times New Roman" w:hAnsi="Times New Roman" w:cs="Times New Roman"/>
        </w:rPr>
        <w:tab/>
      </w:r>
      <w:r w:rsidR="005C6EF9">
        <w:rPr>
          <w:rFonts w:ascii="Times New Roman" w:hAnsi="Times New Roman" w:cs="Times New Roman"/>
          <w:lang w:val="mk-MK"/>
        </w:rPr>
        <w:t>Шок од една стандардна девијација кај монетарниот агрегат М1 предизвикува значаен ефект на домашната инфлација. Ефектот не е многу силен во првите четири до пет месеци, а потоа започнува да заземе растечки тренд. Максималната вредност ја достигнува во петнаесетиот месек кога шок кај М1 од една стандардна девијација предизвикува ефект од</w:t>
      </w:r>
      <w:r w:rsidR="00A9707E">
        <w:rPr>
          <w:rFonts w:ascii="Times New Roman" w:hAnsi="Times New Roman" w:cs="Times New Roman"/>
          <w:lang w:val="mk-MK"/>
        </w:rPr>
        <w:t xml:space="preserve"> 0,4118 процентни поени кај националната инфлација. После тоа, трендот на функцијата започнува да опаѓа, но останува значаен и во втората година. Овој ефект врз домашната инфлација е многу сличен во своето движење и во интезитетот на ефектот од Европската инфлација. Овие заклучоци се потврдуваат и кај </w:t>
      </w:r>
      <w:r w:rsidRPr="00216FBF">
        <w:rPr>
          <w:rFonts w:ascii="Times New Roman" w:hAnsi="Times New Roman" w:cs="Times New Roman"/>
        </w:rPr>
        <w:t xml:space="preserve"> Shamloo (2011) </w:t>
      </w:r>
      <w:r w:rsidR="00A9707E">
        <w:rPr>
          <w:rFonts w:ascii="Times New Roman" w:hAnsi="Times New Roman" w:cs="Times New Roman"/>
          <w:lang w:val="mk-MK"/>
        </w:rPr>
        <w:t>и</w:t>
      </w:r>
      <w:r w:rsidRPr="00216FBF">
        <w:rPr>
          <w:rFonts w:ascii="Times New Roman" w:hAnsi="Times New Roman" w:cs="Times New Roman"/>
        </w:rPr>
        <w:t xml:space="preserve"> Besimi, Pugh and Adnett (2006).</w:t>
      </w:r>
    </w:p>
    <w:p w:rsidR="00216FBF" w:rsidRDefault="00121DA2" w:rsidP="00121DA2">
      <w:pPr>
        <w:pStyle w:val="Default"/>
        <w:spacing w:after="22"/>
        <w:jc w:val="both"/>
        <w:rPr>
          <w:rFonts w:ascii="Times New Roman" w:hAnsi="Times New Roman" w:cs="Times New Roman"/>
          <w:lang w:val="mk-MK"/>
        </w:rPr>
      </w:pPr>
      <w:r>
        <w:rPr>
          <w:rFonts w:ascii="Times New Roman" w:hAnsi="Times New Roman" w:cs="Times New Roman"/>
          <w:lang w:val="mk-MK"/>
        </w:rPr>
        <w:tab/>
        <w:t>Важен елемент во истражувањето на инфлацијата е инфлациската инерција. Овој феномен е присутен во сите модерни економии, но интезитетот е помал кај транзициските економии во споредба со развиените економии.</w:t>
      </w:r>
      <w:r w:rsidR="00216FBF" w:rsidRPr="00216FBF">
        <w:rPr>
          <w:rFonts w:ascii="Times New Roman" w:hAnsi="Times New Roman" w:cs="Times New Roman"/>
        </w:rPr>
        <w:t xml:space="preserve"> Petreski (2007) </w:t>
      </w:r>
      <w:r>
        <w:rPr>
          <w:rFonts w:ascii="Times New Roman" w:hAnsi="Times New Roman" w:cs="Times New Roman"/>
          <w:lang w:val="mk-MK"/>
        </w:rPr>
        <w:t>го потврдува влијанието на минатата инфлација врз идниот инфлациски тренд. Тој потврдува дека постеои одредена инерција во инфлациското движење во РМ.</w:t>
      </w:r>
    </w:p>
    <w:p w:rsidR="008602DA" w:rsidRPr="00121DA2" w:rsidRDefault="005D2E08" w:rsidP="00121DA2">
      <w:pPr>
        <w:pStyle w:val="Default"/>
        <w:spacing w:after="22"/>
        <w:jc w:val="both"/>
        <w:rPr>
          <w:rFonts w:ascii="Times New Roman" w:hAnsi="Times New Roman" w:cs="Times New Roman"/>
          <w:lang w:val="mk-MK"/>
        </w:rPr>
      </w:pPr>
      <w:r>
        <w:rPr>
          <w:rFonts w:ascii="Times New Roman" w:hAnsi="Times New Roman" w:cs="Times New Roman"/>
          <w:lang w:val="mk-MK"/>
        </w:rPr>
        <w:tab/>
        <w:t>Еден начин да се анализира инфлациската инерција е преку функцијата на импулсен одговор на самата инфлација. Шоковите кои се јавуваат во домашната инфлација имаат влијание на нејзината идна динамика. Ефектот е моментален и најсилен во првите месеци. Шок од една стандардна девијација предизвикува ефект со максимум од 0,5644 процентни поени во вториот месец. Фунцијата на импулсен одговор се намалува во првата година, иако ефектот е силен. Во втората година функцијата започнува да расте и останува значајна. Ова го птврдува постоењето на инфлациската инерција во македонската национална инфлација.</w:t>
      </w:r>
    </w:p>
    <w:p w:rsidR="007A01C4" w:rsidRDefault="007A01C4" w:rsidP="007A01C4">
      <w:pPr>
        <w:pStyle w:val="Default"/>
        <w:spacing w:after="22"/>
        <w:ind w:firstLine="720"/>
        <w:jc w:val="both"/>
        <w:rPr>
          <w:rFonts w:ascii="Times New Roman" w:hAnsi="Times New Roman" w:cs="Times New Roman"/>
          <w:lang w:val="mk-MK"/>
        </w:rPr>
      </w:pPr>
      <w:r>
        <w:rPr>
          <w:rFonts w:ascii="Times New Roman" w:hAnsi="Times New Roman" w:cs="Times New Roman"/>
          <w:lang w:val="mk-MK"/>
        </w:rPr>
        <w:t xml:space="preserve">Предвидувањето на македонскиот индекс на потрошувачки цени е прикажано на слика 4. Предвидените вредности се прикажани како годишна стапка на раст за следните 24 месеци. Моделот предвидува дека во 2016 година просечната вредност на </w:t>
      </w:r>
      <w:r>
        <w:rPr>
          <w:rFonts w:ascii="Times New Roman" w:hAnsi="Times New Roman" w:cs="Times New Roman"/>
          <w:lang w:val="mk-MK"/>
        </w:rPr>
        <w:lastRenderedPageBreak/>
        <w:t xml:space="preserve">индексот е </w:t>
      </w:r>
      <w:r w:rsidRPr="00216FBF">
        <w:rPr>
          <w:rFonts w:ascii="Times New Roman" w:hAnsi="Times New Roman" w:cs="Times New Roman"/>
        </w:rPr>
        <w:t xml:space="preserve">-0,5871% </w:t>
      </w:r>
      <w:r>
        <w:rPr>
          <w:rFonts w:ascii="Times New Roman" w:hAnsi="Times New Roman" w:cs="Times New Roman"/>
          <w:lang w:val="mk-MK"/>
        </w:rPr>
        <w:t>и укажува на ризик од дефлација. Авторот смета дека ниска инфлација и дури и мала дефлација е можно сценарио. Важно е да се нагласи дека падот на цената на нафтата предизвикува пад на инфлацијата, а силниот ефект на инфлациската инерција го одржува овој процес следните неколку месеци.</w:t>
      </w:r>
    </w:p>
    <w:p w:rsidR="00216FBF" w:rsidRPr="00216FBF" w:rsidRDefault="00216FBF" w:rsidP="005D2E08">
      <w:pPr>
        <w:pStyle w:val="Default"/>
        <w:spacing w:after="22"/>
        <w:jc w:val="both"/>
        <w:rPr>
          <w:rFonts w:ascii="Times New Roman" w:hAnsi="Times New Roman" w:cs="Times New Roman"/>
          <w:bCs/>
        </w:rPr>
      </w:pPr>
    </w:p>
    <w:p w:rsidR="00216FBF" w:rsidRPr="005C6EF9" w:rsidRDefault="005C6EF9" w:rsidP="005D2E08">
      <w:pPr>
        <w:pStyle w:val="Default"/>
        <w:spacing w:after="22"/>
        <w:jc w:val="center"/>
        <w:rPr>
          <w:rFonts w:ascii="Times New Roman" w:hAnsi="Times New Roman" w:cs="Times New Roman"/>
        </w:rPr>
      </w:pPr>
      <w:r>
        <w:rPr>
          <w:rFonts w:ascii="Times New Roman" w:hAnsi="Times New Roman" w:cs="Times New Roman"/>
          <w:lang w:val="mk-MK"/>
        </w:rPr>
        <w:t xml:space="preserve">Слика </w:t>
      </w:r>
      <w:r w:rsidR="00F265C6">
        <w:rPr>
          <w:rFonts w:ascii="Times New Roman" w:hAnsi="Times New Roman" w:cs="Times New Roman"/>
          <w:lang w:val="mk-MK"/>
        </w:rPr>
        <w:t>4</w:t>
      </w:r>
      <w:r w:rsidR="00216FBF" w:rsidRPr="005C6EF9">
        <w:rPr>
          <w:rFonts w:ascii="Times New Roman" w:hAnsi="Times New Roman" w:cs="Times New Roman"/>
        </w:rPr>
        <w:t xml:space="preserve"> </w:t>
      </w:r>
      <w:r>
        <w:rPr>
          <w:rFonts w:ascii="Times New Roman" w:hAnsi="Times New Roman" w:cs="Times New Roman"/>
          <w:lang w:val="mk-MK"/>
        </w:rPr>
        <w:t>Предвидув</w:t>
      </w:r>
      <w:r w:rsidR="005D2E08">
        <w:rPr>
          <w:rFonts w:ascii="Times New Roman" w:hAnsi="Times New Roman" w:cs="Times New Roman"/>
          <w:lang w:val="mk-MK"/>
        </w:rPr>
        <w:t>а</w:t>
      </w:r>
      <w:r>
        <w:rPr>
          <w:rFonts w:ascii="Times New Roman" w:hAnsi="Times New Roman" w:cs="Times New Roman"/>
          <w:lang w:val="mk-MK"/>
        </w:rPr>
        <w:t>ње на националната инфлација</w:t>
      </w:r>
      <w:r w:rsidR="00216FBF" w:rsidRPr="005C6EF9">
        <w:rPr>
          <w:rFonts w:ascii="Times New Roman" w:hAnsi="Times New Roman" w:cs="Times New Roman"/>
        </w:rPr>
        <w:t xml:space="preserve"> (</w:t>
      </w:r>
      <w:r>
        <w:rPr>
          <w:rFonts w:ascii="Times New Roman" w:hAnsi="Times New Roman" w:cs="Times New Roman"/>
          <w:lang w:val="mk-MK"/>
        </w:rPr>
        <w:t>24 месеци</w:t>
      </w:r>
      <w:r w:rsidR="00216FBF" w:rsidRPr="005C6EF9">
        <w:rPr>
          <w:rFonts w:ascii="Times New Roman" w:hAnsi="Times New Roman" w:cs="Times New Roman"/>
        </w:rPr>
        <w:t>)</w:t>
      </w:r>
    </w:p>
    <w:p w:rsidR="00216FBF" w:rsidRPr="00216FBF" w:rsidRDefault="00216FBF" w:rsidP="005C6EF9">
      <w:pPr>
        <w:pStyle w:val="Default"/>
        <w:spacing w:after="22"/>
        <w:jc w:val="center"/>
        <w:rPr>
          <w:rFonts w:ascii="Times New Roman" w:hAnsi="Times New Roman" w:cs="Times New Roman"/>
          <w:b/>
        </w:rPr>
      </w:pPr>
      <w:r w:rsidRPr="00216FBF">
        <w:rPr>
          <w:rFonts w:ascii="Times New Roman" w:hAnsi="Times New Roman" w:cs="Times New Roman"/>
          <w:b/>
          <w:noProof/>
        </w:rPr>
        <w:drawing>
          <wp:inline distT="0" distB="0" distL="0" distR="0">
            <wp:extent cx="3502072" cy="2361063"/>
            <wp:effectExtent l="19050" t="0" r="22178" b="1137"/>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6FBF" w:rsidRPr="005C6EF9" w:rsidRDefault="005C6EF9" w:rsidP="00216FBF">
      <w:pPr>
        <w:pStyle w:val="Default"/>
        <w:spacing w:after="22"/>
        <w:rPr>
          <w:rFonts w:ascii="Times New Roman" w:hAnsi="Times New Roman" w:cs="Times New Roman"/>
          <w:b/>
          <w:sz w:val="22"/>
          <w:lang w:val="mk-MK"/>
        </w:rPr>
      </w:pPr>
      <w:r>
        <w:rPr>
          <w:rFonts w:ascii="Times New Roman" w:hAnsi="Times New Roman" w:cs="Times New Roman"/>
          <w:sz w:val="22"/>
          <w:lang w:val="mk-MK"/>
        </w:rPr>
        <w:t>Извор: Пресметки на авторот</w:t>
      </w:r>
    </w:p>
    <w:p w:rsidR="00BC4E8B" w:rsidRDefault="00BC4E8B" w:rsidP="00BC4E8B">
      <w:pPr>
        <w:pStyle w:val="Default"/>
        <w:spacing w:after="22"/>
        <w:jc w:val="both"/>
        <w:rPr>
          <w:rFonts w:ascii="Times New Roman" w:hAnsi="Times New Roman" w:cs="Times New Roman"/>
          <w:lang w:val="mk-MK"/>
        </w:rPr>
      </w:pPr>
    </w:p>
    <w:p w:rsidR="007776AD" w:rsidRPr="007776AD" w:rsidRDefault="00F265C6" w:rsidP="007776AD">
      <w:pPr>
        <w:pStyle w:val="Default"/>
        <w:spacing w:after="22"/>
        <w:ind w:firstLine="720"/>
        <w:jc w:val="both"/>
        <w:rPr>
          <w:rFonts w:ascii="Times New Roman" w:hAnsi="Times New Roman" w:cs="Times New Roman"/>
          <w:bCs/>
          <w:lang w:val="mk-MK"/>
        </w:rPr>
      </w:pPr>
      <w:r>
        <w:rPr>
          <w:rFonts w:ascii="Times New Roman" w:hAnsi="Times New Roman" w:cs="Times New Roman"/>
          <w:lang w:val="mk-MK"/>
        </w:rPr>
        <w:t>Останати канали кои придонесуваат на овој ефект индиректно се Европската инфлација</w:t>
      </w:r>
      <w:r w:rsidR="007776AD">
        <w:rPr>
          <w:rFonts w:ascii="Times New Roman" w:hAnsi="Times New Roman" w:cs="Times New Roman"/>
          <w:lang w:val="mk-MK"/>
        </w:rPr>
        <w:t xml:space="preserve"> (која исто така е под влијане на глобалните цени на нафтата) или дефлација во моментот, како и националниот увоз кој е под влијание на ЕУ инфлацијата. Теоријата на </w:t>
      </w:r>
      <w:r w:rsidR="005D2E08" w:rsidRPr="00216FBF">
        <w:rPr>
          <w:rFonts w:ascii="Times New Roman" w:hAnsi="Times New Roman" w:cs="Times New Roman"/>
          <w:bCs/>
        </w:rPr>
        <w:t xml:space="preserve">Frisch (1977) </w:t>
      </w:r>
      <w:r w:rsidR="007776AD">
        <w:rPr>
          <w:rFonts w:ascii="Times New Roman" w:hAnsi="Times New Roman" w:cs="Times New Roman"/>
          <w:bCs/>
          <w:lang w:val="mk-MK"/>
        </w:rPr>
        <w:t>објаснува дека надворешна инфлација влије на домашната инфлација преку неколку канали: ефектот на цените, ефектот на ликвидноста и ефектот на побарувачката. Секако, клучниот ефект е директно од цената на нафтата.</w:t>
      </w:r>
    </w:p>
    <w:p w:rsidR="00EB4495" w:rsidRDefault="00EB4495" w:rsidP="008C59B6">
      <w:pPr>
        <w:spacing w:after="0" w:line="240" w:lineRule="auto"/>
        <w:jc w:val="center"/>
        <w:rPr>
          <w:rFonts w:ascii="Times New Roman" w:hAnsi="Times New Roman" w:cs="Times New Roman"/>
          <w:b/>
          <w:sz w:val="24"/>
          <w:szCs w:val="24"/>
          <w:lang w:val="en-US"/>
        </w:rPr>
      </w:pPr>
    </w:p>
    <w:p w:rsidR="00EB4495" w:rsidRDefault="00EB4495" w:rsidP="008C59B6">
      <w:pPr>
        <w:spacing w:after="0" w:line="240" w:lineRule="auto"/>
        <w:jc w:val="center"/>
        <w:rPr>
          <w:rFonts w:ascii="Times New Roman" w:hAnsi="Times New Roman" w:cs="Times New Roman"/>
          <w:b/>
          <w:sz w:val="24"/>
          <w:szCs w:val="24"/>
          <w:lang w:val="en-US"/>
        </w:rPr>
      </w:pPr>
    </w:p>
    <w:p w:rsidR="008C59B6" w:rsidRDefault="008C59B6" w:rsidP="008C59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Pr="004F46CD">
        <w:rPr>
          <w:rFonts w:ascii="Times New Roman" w:hAnsi="Times New Roman" w:cs="Times New Roman"/>
          <w:b/>
          <w:sz w:val="24"/>
          <w:szCs w:val="24"/>
        </w:rPr>
        <w:t>аклучок</w:t>
      </w:r>
    </w:p>
    <w:p w:rsidR="008C59B6" w:rsidRPr="004F46CD" w:rsidRDefault="008C59B6" w:rsidP="008C59B6">
      <w:pPr>
        <w:spacing w:after="0" w:line="240" w:lineRule="auto"/>
        <w:jc w:val="center"/>
        <w:rPr>
          <w:rFonts w:ascii="Times New Roman" w:hAnsi="Times New Roman" w:cs="Times New Roman"/>
          <w:b/>
          <w:sz w:val="24"/>
          <w:szCs w:val="24"/>
          <w:lang w:val="en-US"/>
        </w:rPr>
      </w:pPr>
    </w:p>
    <w:p w:rsidR="00754FAA" w:rsidRDefault="00216FBF" w:rsidP="006D1821">
      <w:pPr>
        <w:spacing w:after="0" w:line="240" w:lineRule="auto"/>
        <w:jc w:val="both"/>
        <w:rPr>
          <w:rFonts w:ascii="Times New Roman" w:hAnsi="Times New Roman" w:cs="Times New Roman"/>
          <w:sz w:val="24"/>
          <w:szCs w:val="24"/>
          <w:lang w:val="en-US"/>
        </w:rPr>
      </w:pPr>
      <w:r w:rsidRPr="00216FBF">
        <w:rPr>
          <w:rFonts w:ascii="Times New Roman" w:eastAsia="Calibri" w:hAnsi="Times New Roman" w:cs="Times New Roman"/>
          <w:sz w:val="24"/>
          <w:szCs w:val="24"/>
          <w:lang w:val="en-US"/>
        </w:rPr>
        <w:tab/>
      </w:r>
      <w:r w:rsidR="00754FAA" w:rsidRPr="00754FAA">
        <w:rPr>
          <w:rFonts w:ascii="Times New Roman" w:hAnsi="Times New Roman" w:cs="Times New Roman"/>
          <w:sz w:val="24"/>
          <w:szCs w:val="24"/>
        </w:rPr>
        <w:t>Значаен заклучок на ова истражување е тоа дека домашната инфлација е под значително големо влијание на глобалните цени на нафтата и овој ефект трае одреден период поради долгорочниот ефект на инфлациската инерција.</w:t>
      </w:r>
    </w:p>
    <w:p w:rsidR="00226540" w:rsidRPr="00226540" w:rsidRDefault="00226540" w:rsidP="006D1821">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Векторскиот модел со корекција на грешка со блок егзогени ограничување ги идентификува инфлациската инерција, глобалните цени на нафтата, Европската инфлација, националниот увоз и националниот монетарен агрегат М1 како главни детерминанти кои влијаат на домашната инфлација. Големината и насоката на ефектите на овие фактори се потврдуваат со функциите на импулсен одговор.</w:t>
      </w:r>
    </w:p>
    <w:p w:rsidR="00216FBF" w:rsidRPr="00226540" w:rsidRDefault="00226540" w:rsidP="00754FA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Предвидените вредности на македонскиот индекс на потрошувачки цени авторот ги смета за реални, иако во мала мера ја преценуваат инфлацијата. Најреални предвидувања се оние за период од 12 месеци. Авторот предлага дека во следниот период (крај на 2015 до средина на 2016 година) се очекува многу мала инфлација (1% и помалку). Исто така, дефлација од не повеќе од 1% е многу веројатно сценарио.</w:t>
      </w:r>
    </w:p>
    <w:p w:rsidR="00216FBF" w:rsidRPr="00216FBF" w:rsidRDefault="00216FBF" w:rsidP="00B532A9">
      <w:pPr>
        <w:spacing w:after="0" w:line="240" w:lineRule="auto"/>
        <w:jc w:val="both"/>
        <w:rPr>
          <w:rFonts w:ascii="Times New Roman" w:eastAsia="Calibri" w:hAnsi="Times New Roman" w:cs="Times New Roman"/>
          <w:sz w:val="24"/>
          <w:szCs w:val="24"/>
          <w:lang w:val="en-US"/>
        </w:rPr>
      </w:pPr>
      <w:r w:rsidRPr="00216FBF">
        <w:rPr>
          <w:rFonts w:ascii="Times New Roman" w:eastAsia="Calibri" w:hAnsi="Times New Roman" w:cs="Times New Roman"/>
          <w:sz w:val="24"/>
          <w:szCs w:val="24"/>
          <w:lang w:val="en-US"/>
        </w:rPr>
        <w:tab/>
      </w:r>
      <w:r w:rsidR="00226540">
        <w:rPr>
          <w:rFonts w:ascii="Times New Roman" w:eastAsia="Calibri" w:hAnsi="Times New Roman" w:cs="Times New Roman"/>
          <w:sz w:val="24"/>
          <w:szCs w:val="24"/>
        </w:rPr>
        <w:t>Македонската инфлација е под сериозно и значајно влијание на цената на нафтата и Европската инфлација. Дефлацијата која во моментот постои во Македонија е резултат на овие фактори. Таа ќе продолжи, пред се поради влијанието на инфлациската инерција,</w:t>
      </w:r>
      <w:r w:rsidRPr="00216FBF">
        <w:rPr>
          <w:rFonts w:ascii="Times New Roman" w:eastAsia="Calibri" w:hAnsi="Times New Roman" w:cs="Times New Roman"/>
          <w:sz w:val="24"/>
          <w:szCs w:val="24"/>
          <w:lang w:val="en-US"/>
        </w:rPr>
        <w:t xml:space="preserve"> </w:t>
      </w:r>
      <w:r w:rsidR="00226540">
        <w:rPr>
          <w:rFonts w:ascii="Times New Roman" w:eastAsia="Calibri" w:hAnsi="Times New Roman" w:cs="Times New Roman"/>
          <w:sz w:val="24"/>
          <w:szCs w:val="24"/>
        </w:rPr>
        <w:t xml:space="preserve">која исто така беше потврдена од моделот. Што значи тоа за националната економија? Дефлацијата ја ограничува економската активност и </w:t>
      </w:r>
      <w:r w:rsidR="00226540">
        <w:rPr>
          <w:rFonts w:ascii="Times New Roman" w:eastAsia="Calibri" w:hAnsi="Times New Roman" w:cs="Times New Roman"/>
          <w:sz w:val="24"/>
          <w:szCs w:val="24"/>
        </w:rPr>
        <w:lastRenderedPageBreak/>
        <w:t>економскиот раст, го намалува трошењето и инвестициите, може да доведе до рецесија, и го зголемува товарот од реалниот долг – озбилен проблем за земја како Макеодонија со голем јавен долг (45,8% од БДП за 2014 година). Авторот го потврдува ризикот од дефлација и може да препорача превземање одредени мерки од страна на монетарните власти со кои ќе се зголеми понудата на пари.</w:t>
      </w:r>
      <w:r w:rsidR="00B532A9">
        <w:rPr>
          <w:rFonts w:ascii="Times New Roman" w:eastAsia="Calibri" w:hAnsi="Times New Roman" w:cs="Times New Roman"/>
          <w:sz w:val="24"/>
          <w:szCs w:val="24"/>
        </w:rPr>
        <w:t xml:space="preserve"> Авторот смета дека негативните каматни стапки, како мерка против дефлацијата, не се најдобар избор за македонската економија – многу е веројатно дека депозитите ќе бидат испразнети. Фискалната политика може исто така да учествува со зголемување на јавните торшоци и намалување на даноците. </w:t>
      </w:r>
      <w:r w:rsidR="00B532A9">
        <w:rPr>
          <w:rFonts w:ascii="Times New Roman" w:eastAsia="Calibri" w:hAnsi="Times New Roman" w:cs="Times New Roman"/>
          <w:sz w:val="24"/>
          <w:szCs w:val="24"/>
        </w:rPr>
        <w:tab/>
        <w:t>Ризикот од дефлација е реален.</w:t>
      </w:r>
      <w:r w:rsidR="00231055">
        <w:rPr>
          <w:rFonts w:ascii="Times New Roman" w:eastAsia="Calibri" w:hAnsi="Times New Roman" w:cs="Times New Roman"/>
          <w:sz w:val="24"/>
          <w:szCs w:val="24"/>
        </w:rPr>
        <w:t xml:space="preserve"> Македонија е мала и отворена економија и неможе да влијае на глобалните трендови, така што е важно да се идентификуваат потенцијалните закани и да се превземат неопходните мерки. За да се постигне значаен економски раст монетарните и фискалните власти мораат да бидат претпазливи и ефективни.</w:t>
      </w:r>
    </w:p>
    <w:p w:rsidR="008C59B6" w:rsidRDefault="008C59B6" w:rsidP="008C59B6">
      <w:pPr>
        <w:spacing w:after="0" w:line="240" w:lineRule="auto"/>
        <w:rPr>
          <w:rFonts w:ascii="Times New Roman" w:hAnsi="Times New Roman" w:cs="Times New Roman"/>
          <w:sz w:val="24"/>
          <w:szCs w:val="24"/>
          <w:lang w:val="en-US"/>
        </w:rPr>
      </w:pPr>
    </w:p>
    <w:p w:rsidR="008C59B6" w:rsidRDefault="008C59B6" w:rsidP="008C59B6">
      <w:pPr>
        <w:spacing w:after="0" w:line="240" w:lineRule="auto"/>
        <w:rPr>
          <w:rFonts w:ascii="Times New Roman" w:hAnsi="Times New Roman" w:cs="Times New Roman"/>
          <w:sz w:val="24"/>
          <w:szCs w:val="24"/>
          <w:lang w:val="en-US"/>
        </w:rPr>
      </w:pPr>
    </w:p>
    <w:p w:rsidR="008C59B6" w:rsidRPr="00E2721C" w:rsidRDefault="008C59B6" w:rsidP="008C59B6">
      <w:pPr>
        <w:spacing w:after="0" w:line="240" w:lineRule="auto"/>
        <w:jc w:val="center"/>
        <w:rPr>
          <w:rFonts w:ascii="Times New Roman" w:hAnsi="Times New Roman" w:cs="Times New Roman"/>
          <w:b/>
          <w:sz w:val="24"/>
          <w:szCs w:val="24"/>
        </w:rPr>
      </w:pPr>
      <w:r w:rsidRPr="00E2721C">
        <w:rPr>
          <w:rFonts w:ascii="Times New Roman" w:hAnsi="Times New Roman" w:cs="Times New Roman"/>
          <w:b/>
          <w:sz w:val="24"/>
          <w:szCs w:val="24"/>
        </w:rPr>
        <w:t>Користена литература</w:t>
      </w:r>
    </w:p>
    <w:p w:rsidR="008C59B6" w:rsidRDefault="008C59B6" w:rsidP="008C59B6">
      <w:pPr>
        <w:spacing w:after="0" w:line="240" w:lineRule="auto"/>
        <w:rPr>
          <w:rFonts w:ascii="Times New Roman" w:hAnsi="Times New Roman" w:cs="Times New Roman"/>
          <w:sz w:val="24"/>
          <w:szCs w:val="24"/>
        </w:rPr>
      </w:pPr>
    </w:p>
    <w:p w:rsidR="00216FBF" w:rsidRPr="005741E3" w:rsidRDefault="00216FBF" w:rsidP="007A01C4">
      <w:pPr>
        <w:pStyle w:val="ListParagraph"/>
        <w:numPr>
          <w:ilvl w:val="0"/>
          <w:numId w:val="7"/>
        </w:numPr>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rPr>
        <w:t>Besimi F, Pugh G</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Adnett N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2006</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The Monetary Transmission Mechanism in Macedonia: Implications for Monetary Policy</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i/>
          <w:sz w:val="24"/>
          <w:szCs w:val="24"/>
        </w:rPr>
        <w:t>Working Papers: Centre for Research on Emerging Economies,</w:t>
      </w:r>
      <w:r w:rsidRPr="005741E3">
        <w:rPr>
          <w:rFonts w:ascii="Times New Roman" w:hAnsi="Times New Roman" w:cs="Times New Roman"/>
          <w:sz w:val="24"/>
          <w:szCs w:val="24"/>
        </w:rPr>
        <w:t xml:space="preserve"> 02 – 2006.</w:t>
      </w:r>
    </w:p>
    <w:p w:rsidR="00216FBF" w:rsidRPr="005741E3" w:rsidRDefault="00216FBF" w:rsidP="007A01C4">
      <w:pPr>
        <w:pStyle w:val="ListParagraph"/>
        <w:numPr>
          <w:ilvl w:val="0"/>
          <w:numId w:val="7"/>
        </w:numPr>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rPr>
        <w:t>Botrić V (2005)</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Odnos inflacije </w:t>
      </w:r>
      <w:r w:rsidRPr="005741E3">
        <w:rPr>
          <w:rFonts w:ascii="Times New Roman" w:hAnsi="Times New Roman" w:cs="Times New Roman"/>
          <w:sz w:val="24"/>
          <w:szCs w:val="24"/>
          <w:lang w:val="en-US"/>
        </w:rPr>
        <w:t xml:space="preserve">i </w:t>
      </w:r>
      <w:r w:rsidRPr="005741E3">
        <w:rPr>
          <w:rFonts w:ascii="Times New Roman" w:hAnsi="Times New Roman" w:cs="Times New Roman"/>
          <w:sz w:val="24"/>
          <w:szCs w:val="24"/>
        </w:rPr>
        <w:t>nezaposlenosti u Republici Hrvatskoj</w:t>
      </w:r>
      <w:r w:rsidRPr="005741E3">
        <w:rPr>
          <w:rFonts w:ascii="Times New Roman" w:hAnsi="Times New Roman" w:cs="Times New Roman"/>
          <w:sz w:val="24"/>
          <w:szCs w:val="24"/>
          <w:lang w:val="en-US"/>
        </w:rPr>
        <w:t xml:space="preserve">. </w:t>
      </w:r>
      <w:r w:rsidRPr="005741E3">
        <w:rPr>
          <w:rFonts w:ascii="Times New Roman" w:hAnsi="Times New Roman" w:cs="Times New Roman"/>
          <w:i/>
          <w:sz w:val="24"/>
          <w:szCs w:val="24"/>
          <w:lang w:val="en-US"/>
        </w:rPr>
        <w:t>D</w:t>
      </w:r>
      <w:r w:rsidRPr="005741E3">
        <w:rPr>
          <w:rFonts w:ascii="Times New Roman" w:hAnsi="Times New Roman" w:cs="Times New Roman"/>
          <w:i/>
          <w:sz w:val="24"/>
          <w:szCs w:val="24"/>
        </w:rPr>
        <w:t>octoral thesis</w:t>
      </w:r>
      <w:r w:rsidRPr="005741E3">
        <w:rPr>
          <w:rFonts w:ascii="Times New Roman" w:hAnsi="Times New Roman" w:cs="Times New Roman"/>
          <w:sz w:val="24"/>
          <w:szCs w:val="24"/>
        </w:rPr>
        <w:t>, Faculty of Economics, Zagreb.</w:t>
      </w:r>
    </w:p>
    <w:p w:rsidR="00216FBF" w:rsidRPr="005741E3" w:rsidRDefault="00216FBF" w:rsidP="007A01C4">
      <w:pPr>
        <w:pStyle w:val="ListParagraph"/>
        <w:numPr>
          <w:ilvl w:val="0"/>
          <w:numId w:val="7"/>
        </w:numPr>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rPr>
        <w:t>Botrić V</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 xml:space="preserve">Cota B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2006</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 xml:space="preserve">Sources of </w:t>
      </w:r>
      <w:r w:rsidRPr="005741E3">
        <w:rPr>
          <w:rFonts w:ascii="Times New Roman" w:hAnsi="Times New Roman" w:cs="Times New Roman"/>
          <w:sz w:val="24"/>
          <w:szCs w:val="24"/>
          <w:lang w:val="en-US"/>
        </w:rPr>
        <w:t>I</w:t>
      </w:r>
      <w:r w:rsidRPr="005741E3">
        <w:rPr>
          <w:rFonts w:ascii="Times New Roman" w:hAnsi="Times New Roman" w:cs="Times New Roman"/>
          <w:sz w:val="24"/>
          <w:szCs w:val="24"/>
        </w:rPr>
        <w:t xml:space="preserve">nflation in </w:t>
      </w:r>
      <w:r w:rsidRPr="005741E3">
        <w:rPr>
          <w:rFonts w:ascii="Times New Roman" w:hAnsi="Times New Roman" w:cs="Times New Roman"/>
          <w:sz w:val="24"/>
          <w:szCs w:val="24"/>
          <w:lang w:val="en-US"/>
        </w:rPr>
        <w:t>T</w:t>
      </w:r>
      <w:r w:rsidRPr="005741E3">
        <w:rPr>
          <w:rFonts w:ascii="Times New Roman" w:hAnsi="Times New Roman" w:cs="Times New Roman"/>
          <w:sz w:val="24"/>
          <w:szCs w:val="24"/>
        </w:rPr>
        <w:t>ransition Economy: The Case of Croatia</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i/>
          <w:sz w:val="24"/>
          <w:szCs w:val="24"/>
        </w:rPr>
        <w:t>Ekonomski pregled</w:t>
      </w:r>
      <w:r w:rsidRPr="005741E3">
        <w:rPr>
          <w:rFonts w:ascii="Times New Roman" w:hAnsi="Times New Roman" w:cs="Times New Roman"/>
          <w:i/>
          <w:sz w:val="24"/>
          <w:szCs w:val="24"/>
          <w:lang w:val="en-US"/>
        </w:rPr>
        <w:t>,</w:t>
      </w:r>
      <w:r w:rsidRPr="005741E3">
        <w:rPr>
          <w:rFonts w:ascii="Times New Roman" w:hAnsi="Times New Roman" w:cs="Times New Roman"/>
          <w:sz w:val="24"/>
          <w:szCs w:val="24"/>
        </w:rPr>
        <w:t xml:space="preserve"> 57 (12</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835 – 855.</w:t>
      </w:r>
    </w:p>
    <w:p w:rsidR="00216FBF" w:rsidRPr="005741E3" w:rsidRDefault="00216FBF" w:rsidP="007A01C4">
      <w:pPr>
        <w:pStyle w:val="ListParagraph"/>
        <w:numPr>
          <w:ilvl w:val="0"/>
          <w:numId w:val="7"/>
        </w:numPr>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sz w:val="24"/>
          <w:szCs w:val="24"/>
        </w:rPr>
        <w:t>Campa – Mencez G</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 xml:space="preserve">Kapetanious G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2004</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Forecasting Euro Area Inflation Using Dynamic Factor Measures of Underlying Inflation</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i/>
          <w:sz w:val="24"/>
          <w:szCs w:val="24"/>
        </w:rPr>
        <w:t>ECB Working Paper</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402.</w:t>
      </w:r>
    </w:p>
    <w:p w:rsidR="00216FBF" w:rsidRPr="005741E3" w:rsidRDefault="00216FBF" w:rsidP="007A01C4">
      <w:pPr>
        <w:pStyle w:val="ListParagraph"/>
        <w:numPr>
          <w:ilvl w:val="0"/>
          <w:numId w:val="7"/>
        </w:numPr>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sz w:val="24"/>
          <w:szCs w:val="24"/>
        </w:rPr>
        <w:t>Espasa</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A</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 xml:space="preserve">Albacete R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2001</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Forecasting Inflation in the European Monetary Union: A Disaggregated Approach by Countries and by Sectors</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i/>
          <w:sz w:val="24"/>
          <w:szCs w:val="24"/>
        </w:rPr>
        <w:t>University Carlos III de Madrid Working Pape</w:t>
      </w:r>
      <w:r w:rsidRPr="005741E3">
        <w:rPr>
          <w:rFonts w:ascii="Times New Roman" w:hAnsi="Times New Roman" w:cs="Times New Roman"/>
          <w:i/>
          <w:sz w:val="24"/>
          <w:szCs w:val="24"/>
          <w:lang w:val="en-US"/>
        </w:rPr>
        <w:t>r</w:t>
      </w:r>
      <w:r w:rsidRPr="005741E3">
        <w:rPr>
          <w:rFonts w:ascii="Times New Roman" w:hAnsi="Times New Roman" w:cs="Times New Roman"/>
          <w:sz w:val="24"/>
          <w:szCs w:val="24"/>
        </w:rPr>
        <w:t xml:space="preserve"> 37.</w:t>
      </w:r>
    </w:p>
    <w:p w:rsidR="00216FBF" w:rsidRPr="005741E3" w:rsidRDefault="00216FBF" w:rsidP="007A01C4">
      <w:pPr>
        <w:pStyle w:val="ListParagraph"/>
        <w:numPr>
          <w:ilvl w:val="0"/>
          <w:numId w:val="7"/>
        </w:numPr>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bCs/>
          <w:sz w:val="24"/>
          <w:szCs w:val="24"/>
          <w:lang w:val="en-US"/>
        </w:rPr>
        <w:t xml:space="preserve">Frisch H (1977): Inflation Theory 1963 – 1975: A “Second Generation” Survey. </w:t>
      </w:r>
      <w:r w:rsidRPr="005741E3">
        <w:rPr>
          <w:rFonts w:ascii="Times New Roman" w:hAnsi="Times New Roman" w:cs="Times New Roman"/>
          <w:bCs/>
          <w:i/>
          <w:sz w:val="24"/>
          <w:szCs w:val="24"/>
          <w:lang w:val="en-US"/>
        </w:rPr>
        <w:t>Journal of Economic Literature</w:t>
      </w:r>
      <w:r w:rsidRPr="005741E3">
        <w:rPr>
          <w:rFonts w:ascii="Times New Roman" w:hAnsi="Times New Roman" w:cs="Times New Roman"/>
          <w:bCs/>
          <w:sz w:val="24"/>
          <w:szCs w:val="24"/>
          <w:lang w:val="en-US"/>
        </w:rPr>
        <w:t>, 15 (4):1289 – 1317.</w:t>
      </w:r>
    </w:p>
    <w:p w:rsidR="00216FBF" w:rsidRPr="005741E3" w:rsidRDefault="00216FBF" w:rsidP="007A01C4">
      <w:pPr>
        <w:pStyle w:val="ListParagraph"/>
        <w:numPr>
          <w:ilvl w:val="0"/>
          <w:numId w:val="7"/>
        </w:numPr>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rPr>
        <w:t xml:space="preserve">Gorbanyov M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2005</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i/>
          <w:sz w:val="24"/>
          <w:szCs w:val="24"/>
        </w:rPr>
        <w:t>IMF Country Report</w:t>
      </w:r>
      <w:r w:rsidRPr="005741E3">
        <w:rPr>
          <w:rFonts w:ascii="Times New Roman" w:hAnsi="Times New Roman" w:cs="Times New Roman"/>
          <w:sz w:val="24"/>
          <w:szCs w:val="24"/>
        </w:rPr>
        <w:t>, Chapter Four.</w:t>
      </w:r>
    </w:p>
    <w:p w:rsidR="00216FBF" w:rsidRPr="005741E3" w:rsidRDefault="00216FBF" w:rsidP="007A01C4">
      <w:pPr>
        <w:pStyle w:val="ListParagraph"/>
        <w:numPr>
          <w:ilvl w:val="0"/>
          <w:numId w:val="7"/>
        </w:numPr>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rPr>
        <w:t xml:space="preserve">Hubrich K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2003</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Forecasting Euro Area Inflation: Does Aggregating Forecasts by HICP Component Improve Forecast Accuracy</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i/>
          <w:sz w:val="24"/>
          <w:szCs w:val="24"/>
        </w:rPr>
        <w:t>ECB Working Paper Series</w:t>
      </w:r>
      <w:r w:rsidRPr="005741E3">
        <w:rPr>
          <w:rFonts w:ascii="Times New Roman" w:hAnsi="Times New Roman" w:cs="Times New Roman"/>
          <w:sz w:val="24"/>
          <w:szCs w:val="24"/>
        </w:rPr>
        <w:t>, 247</w:t>
      </w:r>
      <w:r w:rsidRPr="005741E3">
        <w:rPr>
          <w:rFonts w:ascii="Times New Roman" w:hAnsi="Times New Roman" w:cs="Times New Roman"/>
          <w:sz w:val="24"/>
          <w:szCs w:val="24"/>
          <w:lang w:val="en-US"/>
        </w:rPr>
        <w:t>.</w:t>
      </w:r>
    </w:p>
    <w:p w:rsidR="00216FBF" w:rsidRPr="005741E3" w:rsidRDefault="00216FBF" w:rsidP="007A01C4">
      <w:pPr>
        <w:pStyle w:val="ListParagraph"/>
        <w:numPr>
          <w:ilvl w:val="0"/>
          <w:numId w:val="7"/>
        </w:numPr>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sz w:val="24"/>
          <w:szCs w:val="24"/>
          <w:lang w:val="en-US"/>
        </w:rPr>
        <w:t>Kozamernik D (2008): What Drives Inflation in Slovenia? Presented for research seminar at the Bank of Slovenia.</w:t>
      </w:r>
    </w:p>
    <w:p w:rsidR="00216FBF" w:rsidRPr="005741E3" w:rsidRDefault="00216FBF" w:rsidP="007A01C4">
      <w:pPr>
        <w:pStyle w:val="ListParagraph"/>
        <w:numPr>
          <w:ilvl w:val="0"/>
          <w:numId w:val="7"/>
        </w:numPr>
        <w:tabs>
          <w:tab w:val="left" w:pos="284"/>
          <w:tab w:val="left" w:pos="426"/>
        </w:tabs>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rPr>
        <w:t xml:space="preserve">Krušec D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2007</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Short Term Inflation Projections for Slovenija: Comparing Factor Models with AR and VAR models</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i/>
          <w:sz w:val="24"/>
          <w:szCs w:val="24"/>
        </w:rPr>
        <w:t>Prikazi in analize</w:t>
      </w:r>
      <w:r w:rsidRPr="005741E3">
        <w:rPr>
          <w:rFonts w:ascii="Times New Roman" w:hAnsi="Times New Roman" w:cs="Times New Roman"/>
          <w:i/>
          <w:sz w:val="24"/>
          <w:szCs w:val="24"/>
          <w:lang w:val="en-US"/>
        </w:rPr>
        <w:t>,</w:t>
      </w:r>
      <w:r w:rsidRPr="005741E3">
        <w:rPr>
          <w:rFonts w:ascii="Times New Roman" w:hAnsi="Times New Roman" w:cs="Times New Roman"/>
          <w:sz w:val="24"/>
          <w:szCs w:val="24"/>
        </w:rPr>
        <w:t xml:space="preserve"> XIV/1, Banka Slovenije.</w:t>
      </w:r>
    </w:p>
    <w:p w:rsidR="00216FBF" w:rsidRPr="005741E3" w:rsidRDefault="00216FBF" w:rsidP="007A01C4">
      <w:pPr>
        <w:pStyle w:val="ListParagraph"/>
        <w:numPr>
          <w:ilvl w:val="0"/>
          <w:numId w:val="7"/>
        </w:numPr>
        <w:tabs>
          <w:tab w:val="left" w:pos="284"/>
          <w:tab w:val="left" w:pos="426"/>
        </w:tabs>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sz w:val="24"/>
          <w:szCs w:val="24"/>
        </w:rPr>
        <w:t>Krznar I</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Kunovac</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D</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2010</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Impact of External Shocks on Domestic Inflation and GDP</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i/>
          <w:sz w:val="24"/>
          <w:szCs w:val="24"/>
        </w:rPr>
        <w:t>Working Papers</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 – 26, Croatian National Bank.</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rPr>
        <w:t xml:space="preserve">Malešević – Perović L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2009</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Cointegration Approach to Analyzing Inflation in Croatia</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i/>
          <w:sz w:val="24"/>
          <w:szCs w:val="24"/>
          <w:lang w:val="en-US"/>
        </w:rPr>
        <w:t>F</w:t>
      </w:r>
      <w:r w:rsidRPr="005741E3">
        <w:rPr>
          <w:rFonts w:ascii="Times New Roman" w:hAnsi="Times New Roman" w:cs="Times New Roman"/>
          <w:i/>
          <w:sz w:val="24"/>
          <w:szCs w:val="24"/>
        </w:rPr>
        <w:t>inansijska teorija I praksa</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33(2)</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208 – 218.</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rPr>
        <w:t xml:space="preserve">Marcellino M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2004</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Forecasting EMU Macroeconomic Variables</w:t>
      </w:r>
      <w:r w:rsidRPr="005741E3">
        <w:rPr>
          <w:rFonts w:ascii="Times New Roman" w:hAnsi="Times New Roman" w:cs="Times New Roman"/>
          <w:sz w:val="24"/>
          <w:szCs w:val="24"/>
          <w:lang w:val="en-US"/>
        </w:rPr>
        <w:t xml:space="preserve">. </w:t>
      </w:r>
      <w:r w:rsidRPr="005741E3">
        <w:rPr>
          <w:rFonts w:ascii="Times New Roman" w:hAnsi="Times New Roman" w:cs="Times New Roman"/>
          <w:i/>
          <w:sz w:val="24"/>
          <w:szCs w:val="24"/>
        </w:rPr>
        <w:t>International Journal of Forecasting</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20</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359 – 379.</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sz w:val="24"/>
          <w:szCs w:val="24"/>
        </w:rPr>
        <w:t>Marcellino</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M</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Stock J</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Watson M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2003</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Macroeconomic Forecasting in the Euro Area: Country Specific Versus Euro Wide Information</w:t>
      </w:r>
      <w:r w:rsidRPr="005741E3">
        <w:rPr>
          <w:rFonts w:ascii="Times New Roman" w:hAnsi="Times New Roman" w:cs="Times New Roman"/>
          <w:sz w:val="24"/>
          <w:szCs w:val="24"/>
          <w:lang w:val="en-US"/>
        </w:rPr>
        <w:t xml:space="preserve">. </w:t>
      </w:r>
      <w:r w:rsidRPr="005741E3">
        <w:rPr>
          <w:rFonts w:ascii="Times New Roman" w:hAnsi="Times New Roman" w:cs="Times New Roman"/>
          <w:i/>
          <w:sz w:val="24"/>
          <w:szCs w:val="24"/>
        </w:rPr>
        <w:t>European Economic Review</w:t>
      </w:r>
      <w:r w:rsidRPr="005741E3">
        <w:rPr>
          <w:rFonts w:ascii="Times New Roman" w:hAnsi="Times New Roman" w:cs="Times New Roman"/>
          <w:i/>
          <w:sz w:val="24"/>
          <w:szCs w:val="24"/>
          <w:lang w:val="en-US"/>
        </w:rPr>
        <w:t>,</w:t>
      </w:r>
      <w:r w:rsidRPr="005741E3">
        <w:rPr>
          <w:rFonts w:ascii="Times New Roman" w:hAnsi="Times New Roman" w:cs="Times New Roman"/>
          <w:sz w:val="24"/>
          <w:szCs w:val="24"/>
        </w:rPr>
        <w:t xml:space="preserve"> 47</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1 – 18.</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sz w:val="24"/>
          <w:szCs w:val="24"/>
          <w:lang w:val="en-US"/>
        </w:rPr>
        <w:t>Mladenović Z (2009</w:t>
      </w:r>
      <w:r w:rsidRPr="005741E3">
        <w:rPr>
          <w:rFonts w:ascii="Times New Roman" w:hAnsi="Times New Roman" w:cs="Times New Roman"/>
          <w:sz w:val="24"/>
          <w:szCs w:val="24"/>
        </w:rPr>
        <w:t>)</w:t>
      </w:r>
      <w:r w:rsidRPr="005741E3">
        <w:rPr>
          <w:rFonts w:ascii="Times New Roman" w:hAnsi="Times New Roman" w:cs="Times New Roman"/>
          <w:sz w:val="24"/>
          <w:szCs w:val="24"/>
          <w:lang w:val="en-US"/>
        </w:rPr>
        <w:t xml:space="preserve">: Relationship Between Inflation and Inflation Uncertainty: The Case of Serbia. </w:t>
      </w:r>
      <w:r w:rsidRPr="005741E3">
        <w:rPr>
          <w:rFonts w:ascii="Times New Roman" w:hAnsi="Times New Roman" w:cs="Times New Roman"/>
          <w:i/>
          <w:sz w:val="24"/>
          <w:szCs w:val="24"/>
          <w:lang w:val="en-US"/>
        </w:rPr>
        <w:t>Yugoslav Journal of Operations Research</w:t>
      </w:r>
      <w:r w:rsidRPr="005741E3">
        <w:rPr>
          <w:rFonts w:ascii="Times New Roman" w:hAnsi="Times New Roman" w:cs="Times New Roman"/>
          <w:sz w:val="24"/>
          <w:szCs w:val="24"/>
          <w:lang w:val="en-US"/>
        </w:rPr>
        <w:t>, 19(1):171 – 183.</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rPr>
        <w:lastRenderedPageBreak/>
        <w:t>Mladenović</w:t>
      </w:r>
      <w:r w:rsidRPr="005741E3">
        <w:rPr>
          <w:rFonts w:ascii="Times New Roman" w:hAnsi="Times New Roman" w:cs="Times New Roman"/>
          <w:sz w:val="24"/>
          <w:szCs w:val="24"/>
          <w:lang w:val="en-US"/>
        </w:rPr>
        <w:t xml:space="preserve"> Z, </w:t>
      </w:r>
      <w:r w:rsidRPr="005741E3">
        <w:rPr>
          <w:rFonts w:ascii="Times New Roman" w:hAnsi="Times New Roman" w:cs="Times New Roman"/>
          <w:sz w:val="24"/>
          <w:szCs w:val="24"/>
        </w:rPr>
        <w:t>Nojković</w:t>
      </w:r>
      <w:r w:rsidRPr="005741E3">
        <w:rPr>
          <w:rFonts w:ascii="Times New Roman" w:hAnsi="Times New Roman" w:cs="Times New Roman"/>
          <w:sz w:val="24"/>
          <w:szCs w:val="24"/>
          <w:lang w:val="en-US"/>
        </w:rPr>
        <w:t xml:space="preserve"> A </w:t>
      </w:r>
      <w:r w:rsidRPr="005741E3">
        <w:rPr>
          <w:rFonts w:ascii="Times New Roman" w:hAnsi="Times New Roman" w:cs="Times New Roman"/>
          <w:sz w:val="24"/>
          <w:szCs w:val="24"/>
        </w:rPr>
        <w:t>(2012)</w:t>
      </w:r>
      <w:r w:rsidRPr="005741E3">
        <w:rPr>
          <w:rFonts w:ascii="Times New Roman" w:hAnsi="Times New Roman" w:cs="Times New Roman"/>
          <w:sz w:val="24"/>
          <w:szCs w:val="24"/>
          <w:lang w:val="en-US"/>
        </w:rPr>
        <w:t xml:space="preserve">: Inflation Persistence in Central and Southeastern Europe: Evidence from Univariate and Structural Time Series Approach. </w:t>
      </w:r>
      <w:r w:rsidRPr="005741E3">
        <w:rPr>
          <w:rFonts w:ascii="Times New Roman" w:hAnsi="Times New Roman" w:cs="Times New Roman"/>
          <w:i/>
          <w:sz w:val="24"/>
          <w:szCs w:val="24"/>
          <w:lang w:val="en-US"/>
        </w:rPr>
        <w:t>Panoeconomics</w:t>
      </w:r>
      <w:r w:rsidRPr="005741E3">
        <w:rPr>
          <w:rFonts w:ascii="Times New Roman" w:hAnsi="Times New Roman" w:cs="Times New Roman"/>
          <w:sz w:val="24"/>
          <w:szCs w:val="24"/>
          <w:lang w:val="en-US"/>
        </w:rPr>
        <w:t>, 2 Special Issue:</w:t>
      </w:r>
      <w:r w:rsidR="00F46A6D">
        <w:rPr>
          <w:rFonts w:ascii="Times New Roman" w:hAnsi="Times New Roman" w:cs="Times New Roman"/>
          <w:sz w:val="24"/>
          <w:szCs w:val="24"/>
        </w:rPr>
        <w:t xml:space="preserve"> </w:t>
      </w:r>
      <w:r w:rsidRPr="005741E3">
        <w:rPr>
          <w:rFonts w:ascii="Times New Roman" w:hAnsi="Times New Roman" w:cs="Times New Roman"/>
          <w:sz w:val="24"/>
          <w:szCs w:val="24"/>
          <w:lang w:val="en-US"/>
        </w:rPr>
        <w:t>235 – 266.</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lang w:val="en-US"/>
        </w:rPr>
        <w:t xml:space="preserve">Petrevski G (2007): </w:t>
      </w:r>
      <w:r w:rsidRPr="005741E3">
        <w:rPr>
          <w:rFonts w:ascii="Times New Roman" w:hAnsi="Times New Roman" w:cs="Times New Roman"/>
          <w:sz w:val="24"/>
          <w:szCs w:val="24"/>
        </w:rPr>
        <w:t xml:space="preserve">Извори на инфлацијата во Македонија. </w:t>
      </w:r>
      <w:r w:rsidRPr="005741E3">
        <w:rPr>
          <w:rFonts w:ascii="Times New Roman" w:hAnsi="Times New Roman" w:cs="Times New Roman"/>
          <w:i/>
          <w:sz w:val="24"/>
          <w:szCs w:val="24"/>
        </w:rPr>
        <w:t>Збирка трудови од работилницата „Проблеми во мерењето на инфлацијата“</w:t>
      </w:r>
      <w:r w:rsidRPr="005741E3">
        <w:rPr>
          <w:rFonts w:ascii="Times New Roman" w:hAnsi="Times New Roman" w:cs="Times New Roman"/>
          <w:sz w:val="24"/>
          <w:szCs w:val="24"/>
        </w:rPr>
        <w:t>: 74-90.</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sz w:val="24"/>
          <w:szCs w:val="24"/>
        </w:rPr>
        <w:t>Petrevski G, Bogoev</w:t>
      </w:r>
      <w:r w:rsidRPr="005741E3">
        <w:rPr>
          <w:rFonts w:ascii="Times New Roman" w:hAnsi="Times New Roman" w:cs="Times New Roman"/>
          <w:sz w:val="24"/>
          <w:szCs w:val="24"/>
          <w:lang w:val="en-US"/>
        </w:rPr>
        <w:t xml:space="preserve"> J,</w:t>
      </w:r>
      <w:r w:rsidRPr="005741E3">
        <w:rPr>
          <w:rFonts w:ascii="Times New Roman" w:hAnsi="Times New Roman" w:cs="Times New Roman"/>
          <w:sz w:val="24"/>
          <w:szCs w:val="24"/>
        </w:rPr>
        <w:t xml:space="preserve"> Tevdovski </w:t>
      </w:r>
      <w:r w:rsidRPr="005741E3">
        <w:rPr>
          <w:rFonts w:ascii="Times New Roman" w:hAnsi="Times New Roman" w:cs="Times New Roman"/>
          <w:sz w:val="24"/>
          <w:szCs w:val="24"/>
          <w:lang w:val="en-US"/>
        </w:rPr>
        <w:t xml:space="preserve">D </w:t>
      </w:r>
      <w:r w:rsidRPr="005741E3">
        <w:rPr>
          <w:rFonts w:ascii="Times New Roman" w:hAnsi="Times New Roman" w:cs="Times New Roman"/>
          <w:sz w:val="24"/>
          <w:szCs w:val="24"/>
        </w:rPr>
        <w:t>(2014</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The transmission of foreign shocks to the South Eastern European economies</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i/>
          <w:sz w:val="24"/>
          <w:szCs w:val="24"/>
        </w:rPr>
        <w:t>Empirica</w:t>
      </w:r>
      <w:r w:rsidRPr="005741E3">
        <w:rPr>
          <w:rFonts w:ascii="Times New Roman" w:hAnsi="Times New Roman" w:cs="Times New Roman"/>
          <w:sz w:val="24"/>
          <w:szCs w:val="24"/>
        </w:rPr>
        <w:t>,</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42</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4</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747-767</w:t>
      </w:r>
      <w:r w:rsidRPr="005741E3">
        <w:rPr>
          <w:rFonts w:ascii="Times New Roman" w:hAnsi="Times New Roman" w:cs="Times New Roman"/>
          <w:sz w:val="24"/>
          <w:szCs w:val="24"/>
          <w:lang w:val="en-US"/>
        </w:rPr>
        <w:t>.</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sz w:val="24"/>
          <w:szCs w:val="24"/>
        </w:rPr>
        <w:t>Petrović P</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 xml:space="preserve">Mladenović Z </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2005</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sz w:val="24"/>
          <w:szCs w:val="24"/>
          <w:lang w:val="en-US"/>
        </w:rPr>
        <w:t xml:space="preserve">Econometric </w:t>
      </w:r>
      <w:r w:rsidRPr="005741E3">
        <w:rPr>
          <w:rFonts w:ascii="Times New Roman" w:hAnsi="Times New Roman" w:cs="Times New Roman"/>
          <w:sz w:val="24"/>
          <w:szCs w:val="24"/>
        </w:rPr>
        <w:t>Modeling inflation in Serbia</w:t>
      </w:r>
      <w:r w:rsidRPr="005741E3">
        <w:rPr>
          <w:rFonts w:ascii="Times New Roman" w:hAnsi="Times New Roman" w:cs="Times New Roman"/>
          <w:sz w:val="24"/>
          <w:szCs w:val="24"/>
          <w:lang w:val="en-US"/>
        </w:rPr>
        <w:t xml:space="preserve">. </w:t>
      </w:r>
      <w:r w:rsidRPr="005741E3">
        <w:rPr>
          <w:rFonts w:ascii="Times New Roman" w:hAnsi="Times New Roman" w:cs="Times New Roman"/>
          <w:i/>
          <w:sz w:val="24"/>
          <w:szCs w:val="24"/>
          <w:lang w:val="en-US"/>
        </w:rPr>
        <w:t>Manuscript</w:t>
      </w:r>
      <w:r w:rsidRPr="005741E3">
        <w:rPr>
          <w:rFonts w:ascii="Times New Roman" w:hAnsi="Times New Roman" w:cs="Times New Roman"/>
          <w:sz w:val="24"/>
          <w:szCs w:val="24"/>
          <w:lang w:val="en-US"/>
        </w:rPr>
        <w:t>, University of Belgrade, Belgrade.</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sz w:val="24"/>
          <w:szCs w:val="24"/>
          <w:lang w:val="en-US"/>
        </w:rPr>
        <w:t xml:space="preserve">Ross K (2000): Post Stabilization Inflation Dynamics in Slovenia. </w:t>
      </w:r>
      <w:r w:rsidRPr="005741E3">
        <w:rPr>
          <w:rFonts w:ascii="Times New Roman" w:hAnsi="Times New Roman" w:cs="Times New Roman"/>
          <w:i/>
          <w:sz w:val="24"/>
          <w:szCs w:val="24"/>
          <w:lang w:val="en-US"/>
        </w:rPr>
        <w:t>Applied Economics</w:t>
      </w:r>
      <w:r w:rsidRPr="005741E3">
        <w:rPr>
          <w:rFonts w:ascii="Times New Roman" w:hAnsi="Times New Roman" w:cs="Times New Roman"/>
          <w:sz w:val="24"/>
          <w:szCs w:val="24"/>
          <w:lang w:val="en-US"/>
        </w:rPr>
        <w:t>, 32(2):135 – 149.</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lang w:val="en-US"/>
        </w:rPr>
        <w:t xml:space="preserve">Shamloo M (2011): Inflation Dynamics in FYR Macedonia. </w:t>
      </w:r>
      <w:r w:rsidRPr="005741E3">
        <w:rPr>
          <w:rFonts w:ascii="Times New Roman" w:hAnsi="Times New Roman" w:cs="Times New Roman"/>
          <w:i/>
          <w:sz w:val="24"/>
          <w:szCs w:val="24"/>
          <w:lang w:val="en-US"/>
        </w:rPr>
        <w:t>IMF Working Paper</w:t>
      </w:r>
      <w:r w:rsidRPr="005741E3">
        <w:rPr>
          <w:rFonts w:ascii="Times New Roman" w:hAnsi="Times New Roman" w:cs="Times New Roman"/>
          <w:sz w:val="24"/>
          <w:szCs w:val="24"/>
          <w:lang w:val="en-US"/>
        </w:rPr>
        <w:t xml:space="preserve"> 11/287.</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lang w:val="en-US"/>
        </w:rPr>
      </w:pPr>
      <w:r w:rsidRPr="005741E3">
        <w:rPr>
          <w:rFonts w:ascii="Times New Roman" w:hAnsi="Times New Roman" w:cs="Times New Roman"/>
          <w:sz w:val="24"/>
          <w:szCs w:val="24"/>
          <w:lang w:val="en-US"/>
        </w:rPr>
        <w:t>Stoviček K (2007): Forecasting with ARMA Models – The Case of Slovenian Inflation</w:t>
      </w:r>
      <w:r w:rsidRPr="005741E3">
        <w:rPr>
          <w:rFonts w:ascii="Times New Roman" w:hAnsi="Times New Roman" w:cs="Times New Roman"/>
          <w:i/>
          <w:sz w:val="24"/>
          <w:szCs w:val="24"/>
          <w:lang w:val="en-US"/>
        </w:rPr>
        <w:t>. Prikazi in Analize</w:t>
      </w:r>
      <w:r w:rsidRPr="005741E3">
        <w:rPr>
          <w:rFonts w:ascii="Times New Roman" w:hAnsi="Times New Roman" w:cs="Times New Roman"/>
          <w:sz w:val="24"/>
          <w:szCs w:val="24"/>
          <w:lang w:val="en-US"/>
        </w:rPr>
        <w:t>, XIV/1:23 – 56.</w:t>
      </w:r>
    </w:p>
    <w:p w:rsidR="00216FBF" w:rsidRPr="005741E3" w:rsidRDefault="00216FBF" w:rsidP="007A01C4">
      <w:pPr>
        <w:pStyle w:val="ListParagraph"/>
        <w:numPr>
          <w:ilvl w:val="0"/>
          <w:numId w:val="7"/>
        </w:numPr>
        <w:tabs>
          <w:tab w:val="left" w:pos="426"/>
        </w:tabs>
        <w:spacing w:after="0" w:line="240" w:lineRule="auto"/>
        <w:ind w:left="284" w:hanging="284"/>
        <w:jc w:val="both"/>
        <w:rPr>
          <w:rFonts w:ascii="Times New Roman" w:hAnsi="Times New Roman" w:cs="Times New Roman"/>
          <w:sz w:val="24"/>
          <w:szCs w:val="24"/>
        </w:rPr>
      </w:pPr>
      <w:r w:rsidRPr="005741E3">
        <w:rPr>
          <w:rFonts w:ascii="Times New Roman" w:hAnsi="Times New Roman" w:cs="Times New Roman"/>
          <w:sz w:val="24"/>
          <w:szCs w:val="24"/>
        </w:rPr>
        <w:t>Vizek M</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Broz T</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2007</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Modeling Inflation in Croatia</w:t>
      </w:r>
      <w:r w:rsidRPr="005741E3">
        <w:rPr>
          <w:rFonts w:ascii="Times New Roman" w:hAnsi="Times New Roman" w:cs="Times New Roman"/>
          <w:sz w:val="24"/>
          <w:szCs w:val="24"/>
          <w:lang w:val="en-US"/>
        </w:rPr>
        <w:t>.</w:t>
      </w:r>
      <w:r w:rsidRPr="005741E3">
        <w:rPr>
          <w:rFonts w:ascii="Times New Roman" w:hAnsi="Times New Roman" w:cs="Times New Roman"/>
          <w:sz w:val="24"/>
          <w:szCs w:val="24"/>
        </w:rPr>
        <w:t xml:space="preserve"> </w:t>
      </w:r>
      <w:r w:rsidRPr="005741E3">
        <w:rPr>
          <w:rFonts w:ascii="Times New Roman" w:hAnsi="Times New Roman" w:cs="Times New Roman"/>
          <w:sz w:val="24"/>
          <w:szCs w:val="24"/>
          <w:lang w:val="en-US"/>
        </w:rPr>
        <w:t xml:space="preserve">EIZ </w:t>
      </w:r>
      <w:r w:rsidRPr="005741E3">
        <w:rPr>
          <w:rFonts w:ascii="Times New Roman" w:hAnsi="Times New Roman" w:cs="Times New Roman"/>
          <w:i/>
          <w:sz w:val="24"/>
          <w:szCs w:val="24"/>
        </w:rPr>
        <w:t>Working paper</w:t>
      </w:r>
      <w:r w:rsidRPr="005741E3">
        <w:rPr>
          <w:rFonts w:ascii="Times New Roman" w:hAnsi="Times New Roman" w:cs="Times New Roman"/>
          <w:i/>
          <w:sz w:val="24"/>
          <w:szCs w:val="24"/>
          <w:lang w:val="en-US"/>
        </w:rPr>
        <w:t>s</w:t>
      </w:r>
      <w:r w:rsidRPr="005741E3">
        <w:rPr>
          <w:rFonts w:ascii="Times New Roman" w:hAnsi="Times New Roman" w:cs="Times New Roman"/>
          <w:sz w:val="24"/>
          <w:szCs w:val="24"/>
          <w:lang w:val="en-US"/>
        </w:rPr>
        <w:t xml:space="preserve">, </w:t>
      </w:r>
      <w:r w:rsidRPr="005741E3">
        <w:rPr>
          <w:rFonts w:ascii="Times New Roman" w:hAnsi="Times New Roman" w:cs="Times New Roman"/>
          <w:sz w:val="24"/>
          <w:szCs w:val="24"/>
        </w:rPr>
        <w:t>703, The Institute of Economics in Zagreb.</w:t>
      </w:r>
    </w:p>
    <w:p w:rsidR="00B377E8" w:rsidRPr="00DE4FB6" w:rsidRDefault="00B377E8" w:rsidP="008C59B6">
      <w:pPr>
        <w:spacing w:after="0" w:line="240" w:lineRule="auto"/>
        <w:jc w:val="center"/>
        <w:rPr>
          <w:rFonts w:ascii="Times New Roman" w:hAnsi="Times New Roman" w:cs="Times New Roman"/>
          <w:b/>
          <w:color w:val="95B3D7" w:themeColor="accent1" w:themeTint="99"/>
          <w:sz w:val="24"/>
          <w:szCs w:val="24"/>
        </w:rPr>
      </w:pPr>
    </w:p>
    <w:p w:rsidR="00216FBF" w:rsidRDefault="00216FBF" w:rsidP="00216FBF">
      <w:pPr>
        <w:spacing w:after="0" w:line="240" w:lineRule="auto"/>
        <w:jc w:val="center"/>
        <w:rPr>
          <w:rFonts w:ascii="Times New Roman" w:hAnsi="Times New Roman" w:cs="Times New Roman"/>
          <w:b/>
          <w:sz w:val="28"/>
          <w:szCs w:val="24"/>
        </w:rPr>
      </w:pPr>
    </w:p>
    <w:p w:rsidR="00216FBF" w:rsidRPr="007443C8" w:rsidRDefault="007443C8" w:rsidP="00216FBF">
      <w:pPr>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DETERMINANTS AND FORECASTS OF THE NATIONAL INFLATION</w:t>
      </w:r>
    </w:p>
    <w:p w:rsidR="00D91CE7" w:rsidRPr="00D91CE7" w:rsidRDefault="00D91CE7" w:rsidP="00D91CE7">
      <w:pPr>
        <w:spacing w:after="0" w:line="240" w:lineRule="auto"/>
        <w:jc w:val="center"/>
        <w:rPr>
          <w:rFonts w:ascii="Times New Roman" w:hAnsi="Times New Roman" w:cs="Times New Roman"/>
          <w:b/>
          <w:sz w:val="28"/>
          <w:szCs w:val="24"/>
          <w:lang w:val="en-US"/>
        </w:rPr>
      </w:pPr>
    </w:p>
    <w:p w:rsidR="00D91CE7" w:rsidRPr="00D91CE7" w:rsidRDefault="00D91CE7" w:rsidP="00D91CE7">
      <w:pPr>
        <w:spacing w:after="0" w:line="240" w:lineRule="auto"/>
        <w:jc w:val="center"/>
        <w:rPr>
          <w:rFonts w:ascii="Times New Roman" w:hAnsi="Times New Roman" w:cs="Times New Roman"/>
          <w:sz w:val="24"/>
          <w:szCs w:val="24"/>
          <w:lang w:val="en-US"/>
        </w:rPr>
      </w:pPr>
    </w:p>
    <w:p w:rsidR="00D91CE7" w:rsidRPr="0010004F" w:rsidRDefault="00D91CE7" w:rsidP="00D91CE7">
      <w:pPr>
        <w:spacing w:after="0" w:line="240" w:lineRule="auto"/>
        <w:jc w:val="center"/>
        <w:rPr>
          <w:rFonts w:ascii="Times New Roman" w:hAnsi="Times New Roman" w:cs="Times New Roman"/>
          <w:b/>
          <w:sz w:val="24"/>
          <w:szCs w:val="24"/>
          <w:lang w:val="en-US"/>
        </w:rPr>
      </w:pPr>
      <w:r w:rsidRPr="00D91CE7">
        <w:rPr>
          <w:rFonts w:ascii="Times New Roman" w:hAnsi="Times New Roman" w:cs="Times New Roman"/>
          <w:b/>
          <w:sz w:val="24"/>
          <w:szCs w:val="24"/>
          <w:lang w:val="en-US"/>
        </w:rPr>
        <w:t>Marija Trpkova</w:t>
      </w:r>
      <w:r w:rsidR="0010004F">
        <w:rPr>
          <w:rFonts w:ascii="Times New Roman" w:hAnsi="Times New Roman" w:cs="Times New Roman"/>
          <w:b/>
          <w:sz w:val="24"/>
          <w:szCs w:val="24"/>
          <w:lang w:val="en-US"/>
        </w:rPr>
        <w:t>-</w:t>
      </w:r>
      <w:r w:rsidRPr="00D91CE7">
        <w:rPr>
          <w:rFonts w:ascii="Times New Roman" w:hAnsi="Times New Roman" w:cs="Times New Roman"/>
          <w:b/>
          <w:sz w:val="24"/>
          <w:szCs w:val="24"/>
          <w:lang w:val="en-US"/>
        </w:rPr>
        <w:t>Nestorovska</w:t>
      </w:r>
      <w:r w:rsidR="0010004F">
        <w:rPr>
          <w:rFonts w:ascii="Times New Roman" w:hAnsi="Times New Roman" w:cs="Times New Roman"/>
          <w:b/>
          <w:sz w:val="24"/>
          <w:szCs w:val="24"/>
        </w:rPr>
        <w:t xml:space="preserve">, </w:t>
      </w:r>
      <w:r w:rsidR="0010004F">
        <w:rPr>
          <w:rFonts w:ascii="Times New Roman" w:hAnsi="Times New Roman" w:cs="Times New Roman"/>
          <w:b/>
          <w:sz w:val="24"/>
          <w:szCs w:val="24"/>
          <w:lang w:val="en-US"/>
        </w:rPr>
        <w:t>PhD</w:t>
      </w:r>
    </w:p>
    <w:p w:rsidR="00D91CE7" w:rsidRPr="00D91CE7" w:rsidRDefault="00D91CE7" w:rsidP="00D91CE7">
      <w:pPr>
        <w:spacing w:after="0" w:line="240" w:lineRule="auto"/>
        <w:jc w:val="center"/>
        <w:rPr>
          <w:rFonts w:ascii="Times New Roman" w:hAnsi="Times New Roman" w:cs="Times New Roman"/>
          <w:sz w:val="24"/>
          <w:szCs w:val="24"/>
          <w:lang w:val="en-US"/>
        </w:rPr>
      </w:pPr>
      <w:r w:rsidRPr="00D91CE7">
        <w:rPr>
          <w:rFonts w:ascii="Times New Roman" w:hAnsi="Times New Roman" w:cs="Times New Roman"/>
          <w:sz w:val="24"/>
          <w:szCs w:val="24"/>
          <w:lang w:val="en-US"/>
        </w:rPr>
        <w:t>Faculty of Economics - Skopje, Ss. Cyril and Methodius University in Skopje</w:t>
      </w:r>
    </w:p>
    <w:p w:rsidR="00D91CE7" w:rsidRPr="00D91CE7" w:rsidRDefault="00D91CE7" w:rsidP="00D91CE7">
      <w:pPr>
        <w:spacing w:after="0" w:line="240" w:lineRule="auto"/>
        <w:jc w:val="center"/>
        <w:rPr>
          <w:rFonts w:ascii="Times New Roman" w:hAnsi="Times New Roman" w:cs="Times New Roman"/>
          <w:sz w:val="24"/>
          <w:szCs w:val="24"/>
          <w:lang w:val="en-US"/>
        </w:rPr>
      </w:pPr>
      <w:r w:rsidRPr="00D91CE7">
        <w:rPr>
          <w:rFonts w:ascii="Times New Roman" w:hAnsi="Times New Roman" w:cs="Times New Roman"/>
          <w:sz w:val="24"/>
          <w:szCs w:val="24"/>
          <w:lang w:val="en-US"/>
        </w:rPr>
        <w:t>marijat@eccf.ukim.edu.mk</w:t>
      </w:r>
    </w:p>
    <w:p w:rsidR="00D91CE7" w:rsidRPr="00D91CE7" w:rsidRDefault="00D91CE7" w:rsidP="00D91CE7">
      <w:pPr>
        <w:spacing w:after="0" w:line="240" w:lineRule="auto"/>
        <w:jc w:val="center"/>
        <w:rPr>
          <w:rFonts w:ascii="Times New Roman" w:hAnsi="Times New Roman" w:cs="Times New Roman"/>
          <w:sz w:val="24"/>
          <w:szCs w:val="24"/>
          <w:lang w:val="en-US"/>
        </w:rPr>
      </w:pPr>
    </w:p>
    <w:p w:rsidR="00D91CE7" w:rsidRPr="007443C8" w:rsidRDefault="00D91CE7" w:rsidP="00D91CE7">
      <w:pPr>
        <w:spacing w:after="0" w:line="240" w:lineRule="auto"/>
        <w:ind w:firstLine="720"/>
        <w:rPr>
          <w:rFonts w:ascii="Times New Roman" w:hAnsi="Times New Roman" w:cs="Times New Roman"/>
          <w:b/>
          <w:sz w:val="24"/>
          <w:szCs w:val="24"/>
          <w:lang w:val="en-US"/>
        </w:rPr>
      </w:pPr>
      <w:r w:rsidRPr="007443C8">
        <w:rPr>
          <w:rFonts w:ascii="Times New Roman" w:hAnsi="Times New Roman" w:cs="Times New Roman"/>
          <w:b/>
          <w:sz w:val="24"/>
          <w:szCs w:val="24"/>
          <w:lang w:val="en-US"/>
        </w:rPr>
        <w:t>Abstract</w:t>
      </w:r>
    </w:p>
    <w:p w:rsidR="00754FAA" w:rsidRPr="007443C8" w:rsidRDefault="007443C8" w:rsidP="00754FAA">
      <w:pPr>
        <w:spacing w:after="0" w:line="240" w:lineRule="auto"/>
        <w:ind w:firstLine="720"/>
        <w:jc w:val="both"/>
        <w:rPr>
          <w:rFonts w:ascii="Times New Roman" w:eastAsia="Calibri" w:hAnsi="Times New Roman" w:cs="Times New Roman"/>
          <w:sz w:val="24"/>
          <w:szCs w:val="24"/>
          <w:lang w:val="en-US"/>
        </w:rPr>
      </w:pPr>
      <w:r w:rsidRPr="007443C8">
        <w:rPr>
          <w:rFonts w:ascii="Times New Roman" w:eastAsia="Calibri" w:hAnsi="Times New Roman" w:cs="Times New Roman"/>
          <w:sz w:val="24"/>
          <w:szCs w:val="24"/>
          <w:lang w:val="en-US"/>
        </w:rPr>
        <w:t>The subject of this analysis is a v</w:t>
      </w:r>
      <w:r w:rsidR="00754FAA" w:rsidRPr="007443C8">
        <w:rPr>
          <w:rFonts w:ascii="Times New Roman" w:eastAsia="Calibri" w:hAnsi="Times New Roman" w:cs="Times New Roman"/>
          <w:sz w:val="24"/>
          <w:szCs w:val="24"/>
          <w:lang w:val="en-US"/>
        </w:rPr>
        <w:t xml:space="preserve">ector error correction model with block exogenous restrictions identified the inflation inertia, global oil prices, </w:t>
      </w:r>
      <w:r w:rsidRPr="007443C8">
        <w:rPr>
          <w:rFonts w:ascii="Times New Roman" w:eastAsia="Calibri" w:hAnsi="Times New Roman" w:cs="Times New Roman"/>
          <w:sz w:val="24"/>
          <w:szCs w:val="24"/>
          <w:lang w:val="en-US"/>
        </w:rPr>
        <w:t xml:space="preserve">Euro zone </w:t>
      </w:r>
      <w:r w:rsidR="00754FAA" w:rsidRPr="007443C8">
        <w:rPr>
          <w:rFonts w:ascii="Times New Roman" w:eastAsia="Calibri" w:hAnsi="Times New Roman" w:cs="Times New Roman"/>
          <w:sz w:val="24"/>
          <w:szCs w:val="24"/>
          <w:lang w:val="en-US"/>
        </w:rPr>
        <w:t xml:space="preserve">inflation, </w:t>
      </w:r>
      <w:r w:rsidRPr="007443C8">
        <w:rPr>
          <w:rFonts w:ascii="Times New Roman" w:eastAsia="Calibri" w:hAnsi="Times New Roman" w:cs="Times New Roman"/>
          <w:sz w:val="24"/>
          <w:szCs w:val="24"/>
          <w:lang w:val="en-US"/>
        </w:rPr>
        <w:t>domestic</w:t>
      </w:r>
      <w:r w:rsidR="00754FAA" w:rsidRPr="007443C8">
        <w:rPr>
          <w:rFonts w:ascii="Times New Roman" w:eastAsia="Calibri" w:hAnsi="Times New Roman" w:cs="Times New Roman"/>
          <w:sz w:val="24"/>
          <w:szCs w:val="24"/>
          <w:lang w:val="en-US"/>
        </w:rPr>
        <w:t xml:space="preserve"> import</w:t>
      </w:r>
      <w:r w:rsidRPr="007443C8">
        <w:rPr>
          <w:rFonts w:ascii="Times New Roman" w:eastAsia="Calibri" w:hAnsi="Times New Roman" w:cs="Times New Roman"/>
          <w:sz w:val="24"/>
          <w:szCs w:val="24"/>
          <w:lang w:val="en-US"/>
        </w:rPr>
        <w:t>s</w:t>
      </w:r>
      <w:r w:rsidR="00754FAA" w:rsidRPr="007443C8">
        <w:rPr>
          <w:rFonts w:ascii="Times New Roman" w:eastAsia="Calibri" w:hAnsi="Times New Roman" w:cs="Times New Roman"/>
          <w:sz w:val="24"/>
          <w:szCs w:val="24"/>
          <w:lang w:val="en-US"/>
        </w:rPr>
        <w:t xml:space="preserve"> and </w:t>
      </w:r>
      <w:r w:rsidRPr="007443C8">
        <w:rPr>
          <w:rFonts w:ascii="Times New Roman" w:eastAsia="Calibri" w:hAnsi="Times New Roman" w:cs="Times New Roman"/>
          <w:sz w:val="24"/>
          <w:szCs w:val="24"/>
          <w:lang w:val="en-US"/>
        </w:rPr>
        <w:t>domestic</w:t>
      </w:r>
      <w:r w:rsidR="00754FAA" w:rsidRPr="007443C8">
        <w:rPr>
          <w:rFonts w:ascii="Times New Roman" w:eastAsia="Calibri" w:hAnsi="Times New Roman" w:cs="Times New Roman"/>
          <w:sz w:val="24"/>
          <w:szCs w:val="24"/>
          <w:lang w:val="en-US"/>
        </w:rPr>
        <w:t xml:space="preserve"> monetary aggregate M1 as main determinants that influence the domestic inflation. The magnitude and direction of the effects of these factors are confirmed by the impulse response functions. </w:t>
      </w:r>
    </w:p>
    <w:p w:rsidR="00A0278F" w:rsidRPr="007443C8" w:rsidRDefault="00754FAA" w:rsidP="00754FAA">
      <w:pPr>
        <w:spacing w:after="0" w:line="240" w:lineRule="auto"/>
        <w:ind w:firstLine="720"/>
        <w:jc w:val="both"/>
        <w:rPr>
          <w:rFonts w:ascii="Times New Roman" w:eastAsia="Calibri" w:hAnsi="Times New Roman" w:cs="Times New Roman"/>
          <w:sz w:val="24"/>
          <w:szCs w:val="24"/>
        </w:rPr>
      </w:pPr>
      <w:r w:rsidRPr="007443C8">
        <w:rPr>
          <w:rFonts w:ascii="Times New Roman" w:eastAsia="Calibri" w:hAnsi="Times New Roman" w:cs="Times New Roman"/>
          <w:sz w:val="24"/>
          <w:szCs w:val="24"/>
          <w:lang w:val="en-US"/>
        </w:rPr>
        <w:t xml:space="preserve">Forecasted values of </w:t>
      </w:r>
      <w:r w:rsidR="007443C8">
        <w:rPr>
          <w:rFonts w:ascii="Times New Roman" w:eastAsia="Calibri" w:hAnsi="Times New Roman" w:cs="Times New Roman"/>
          <w:sz w:val="24"/>
          <w:szCs w:val="24"/>
          <w:lang w:val="en-US"/>
        </w:rPr>
        <w:t xml:space="preserve">the </w:t>
      </w:r>
      <w:r w:rsidRPr="007443C8">
        <w:rPr>
          <w:rFonts w:ascii="Times New Roman" w:eastAsia="Calibri" w:hAnsi="Times New Roman" w:cs="Times New Roman"/>
          <w:sz w:val="24"/>
          <w:szCs w:val="24"/>
          <w:lang w:val="en-US"/>
        </w:rPr>
        <w:t>Macedonian CPI</w:t>
      </w:r>
      <w:r w:rsidR="007443C8">
        <w:rPr>
          <w:rFonts w:ascii="Times New Roman" w:eastAsia="Calibri" w:hAnsi="Times New Roman" w:cs="Times New Roman"/>
          <w:sz w:val="24"/>
          <w:szCs w:val="24"/>
          <w:lang w:val="en-US"/>
        </w:rPr>
        <w:t xml:space="preserve"> indicate low inflation and possibility for low deflation.</w:t>
      </w:r>
    </w:p>
    <w:p w:rsidR="00754FAA" w:rsidRPr="007443C8" w:rsidRDefault="00754FAA" w:rsidP="00754FAA">
      <w:pPr>
        <w:spacing w:after="0" w:line="240" w:lineRule="auto"/>
        <w:ind w:firstLine="720"/>
        <w:jc w:val="both"/>
        <w:rPr>
          <w:rFonts w:ascii="Times New Roman" w:hAnsi="Times New Roman" w:cs="Times New Roman"/>
          <w:i/>
          <w:sz w:val="24"/>
          <w:szCs w:val="24"/>
        </w:rPr>
      </w:pPr>
    </w:p>
    <w:p w:rsidR="00D91CE7" w:rsidRPr="007443C8" w:rsidRDefault="00A0278F" w:rsidP="00844276">
      <w:pPr>
        <w:spacing w:after="0" w:line="240" w:lineRule="auto"/>
        <w:ind w:firstLine="720"/>
        <w:jc w:val="both"/>
        <w:rPr>
          <w:rFonts w:ascii="Times New Roman" w:hAnsi="Times New Roman" w:cs="Times New Roman"/>
          <w:sz w:val="24"/>
          <w:szCs w:val="24"/>
          <w:lang w:val="en-US"/>
        </w:rPr>
      </w:pPr>
      <w:r w:rsidRPr="007443C8">
        <w:rPr>
          <w:rFonts w:ascii="Times New Roman" w:hAnsi="Times New Roman" w:cs="Times New Roman"/>
          <w:b/>
          <w:sz w:val="24"/>
          <w:szCs w:val="24"/>
          <w:lang w:val="en-US"/>
        </w:rPr>
        <w:t xml:space="preserve">Keywords: </w:t>
      </w:r>
      <w:r w:rsidR="00216FBF" w:rsidRPr="007443C8">
        <w:rPr>
          <w:rFonts w:ascii="Times New Roman" w:hAnsi="Times New Roman" w:cs="Times New Roman"/>
          <w:sz w:val="24"/>
          <w:szCs w:val="24"/>
        </w:rPr>
        <w:t xml:space="preserve">inflation, vector error correction model, </w:t>
      </w:r>
      <w:r w:rsidR="007443C8" w:rsidRPr="007443C8">
        <w:rPr>
          <w:rFonts w:ascii="Times New Roman" w:hAnsi="Times New Roman" w:cs="Times New Roman"/>
          <w:sz w:val="24"/>
          <w:szCs w:val="24"/>
          <w:lang w:val="en-US"/>
        </w:rPr>
        <w:t>forecast</w:t>
      </w:r>
      <w:r w:rsidR="00587AE0">
        <w:rPr>
          <w:rFonts w:ascii="Times New Roman" w:hAnsi="Times New Roman" w:cs="Times New Roman"/>
          <w:sz w:val="24"/>
          <w:szCs w:val="24"/>
          <w:lang w:val="en-US"/>
        </w:rPr>
        <w:t>, Macedonia</w:t>
      </w:r>
    </w:p>
    <w:p w:rsidR="007443C8" w:rsidRDefault="007443C8" w:rsidP="00844276">
      <w:pPr>
        <w:spacing w:after="0" w:line="240" w:lineRule="auto"/>
        <w:ind w:firstLine="720"/>
        <w:jc w:val="both"/>
        <w:rPr>
          <w:rFonts w:ascii="Times New Roman" w:hAnsi="Times New Roman" w:cs="Times New Roman"/>
          <w:sz w:val="21"/>
          <w:szCs w:val="21"/>
          <w:lang w:val="en-US"/>
        </w:rPr>
      </w:pPr>
    </w:p>
    <w:p w:rsidR="007443C8" w:rsidRDefault="007443C8" w:rsidP="007443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443C8" w:rsidRPr="007443C8" w:rsidRDefault="007443C8" w:rsidP="00844276">
      <w:pPr>
        <w:spacing w:after="0" w:line="240" w:lineRule="auto"/>
        <w:ind w:firstLine="720"/>
        <w:jc w:val="both"/>
        <w:rPr>
          <w:rFonts w:ascii="Times New Roman" w:hAnsi="Times New Roman" w:cs="Times New Roman"/>
          <w:b/>
          <w:sz w:val="24"/>
          <w:szCs w:val="24"/>
          <w:lang w:val="en-US"/>
        </w:rPr>
      </w:pPr>
    </w:p>
    <w:sectPr w:rsidR="007443C8" w:rsidRPr="007443C8" w:rsidSect="008C59B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1C" w:rsidRDefault="00BA5A1C" w:rsidP="008C59B6">
      <w:pPr>
        <w:spacing w:after="0" w:line="240" w:lineRule="auto"/>
      </w:pPr>
      <w:r>
        <w:separator/>
      </w:r>
    </w:p>
  </w:endnote>
  <w:endnote w:type="continuationSeparator" w:id="0">
    <w:p w:rsidR="00BA5A1C" w:rsidRDefault="00BA5A1C" w:rsidP="008C5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1C" w:rsidRDefault="00BA5A1C" w:rsidP="008C59B6">
      <w:pPr>
        <w:spacing w:after="0" w:line="240" w:lineRule="auto"/>
      </w:pPr>
      <w:r>
        <w:separator/>
      </w:r>
    </w:p>
  </w:footnote>
  <w:footnote w:type="continuationSeparator" w:id="0">
    <w:p w:rsidR="00BA5A1C" w:rsidRDefault="00BA5A1C" w:rsidP="008C5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7A32"/>
    <w:multiLevelType w:val="hybridMultilevel"/>
    <w:tmpl w:val="2402A81E"/>
    <w:lvl w:ilvl="0" w:tplc="20F49B52">
      <w:start w:val="1"/>
      <w:numFmt w:val="decimal"/>
      <w:lvlText w:val="%1."/>
      <w:lvlJc w:val="center"/>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4C5F26B1"/>
    <w:multiLevelType w:val="hybridMultilevel"/>
    <w:tmpl w:val="B76AD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45D3F"/>
    <w:multiLevelType w:val="hybridMultilevel"/>
    <w:tmpl w:val="189C6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72B8C"/>
    <w:multiLevelType w:val="hybridMultilevel"/>
    <w:tmpl w:val="98D0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75E7A"/>
    <w:multiLevelType w:val="hybridMultilevel"/>
    <w:tmpl w:val="71EA8874"/>
    <w:lvl w:ilvl="0" w:tplc="042F000F">
      <w:start w:val="1"/>
      <w:numFmt w:val="decimal"/>
      <w:lvlText w:val="%1."/>
      <w:lvlJc w:val="left"/>
      <w:pPr>
        <w:ind w:left="1003" w:hanging="360"/>
      </w:pPr>
      <w:rPr>
        <w:rFonts w:hint="default"/>
      </w:rPr>
    </w:lvl>
    <w:lvl w:ilvl="1" w:tplc="042F000F">
      <w:start w:val="1"/>
      <w:numFmt w:val="decimal"/>
      <w:lvlText w:val="%2."/>
      <w:lvlJc w:val="left"/>
      <w:pPr>
        <w:ind w:left="1723" w:hanging="360"/>
      </w:pPr>
      <w:rPr>
        <w:rFonts w:hint="default"/>
      </w:rPr>
    </w:lvl>
    <w:lvl w:ilvl="2" w:tplc="042F0005" w:tentative="1">
      <w:start w:val="1"/>
      <w:numFmt w:val="bullet"/>
      <w:lvlText w:val=""/>
      <w:lvlJc w:val="left"/>
      <w:pPr>
        <w:ind w:left="2443" w:hanging="360"/>
      </w:pPr>
      <w:rPr>
        <w:rFonts w:ascii="Wingdings" w:hAnsi="Wingdings" w:hint="default"/>
      </w:rPr>
    </w:lvl>
    <w:lvl w:ilvl="3" w:tplc="042F0001" w:tentative="1">
      <w:start w:val="1"/>
      <w:numFmt w:val="bullet"/>
      <w:lvlText w:val=""/>
      <w:lvlJc w:val="left"/>
      <w:pPr>
        <w:ind w:left="3163" w:hanging="360"/>
      </w:pPr>
      <w:rPr>
        <w:rFonts w:ascii="Symbol" w:hAnsi="Symbol" w:hint="default"/>
      </w:rPr>
    </w:lvl>
    <w:lvl w:ilvl="4" w:tplc="042F0003" w:tentative="1">
      <w:start w:val="1"/>
      <w:numFmt w:val="bullet"/>
      <w:lvlText w:val="o"/>
      <w:lvlJc w:val="left"/>
      <w:pPr>
        <w:ind w:left="3883" w:hanging="360"/>
      </w:pPr>
      <w:rPr>
        <w:rFonts w:ascii="Courier New" w:hAnsi="Courier New" w:cs="Courier New" w:hint="default"/>
      </w:rPr>
    </w:lvl>
    <w:lvl w:ilvl="5" w:tplc="042F0005" w:tentative="1">
      <w:start w:val="1"/>
      <w:numFmt w:val="bullet"/>
      <w:lvlText w:val=""/>
      <w:lvlJc w:val="left"/>
      <w:pPr>
        <w:ind w:left="4603" w:hanging="360"/>
      </w:pPr>
      <w:rPr>
        <w:rFonts w:ascii="Wingdings" w:hAnsi="Wingdings" w:hint="default"/>
      </w:rPr>
    </w:lvl>
    <w:lvl w:ilvl="6" w:tplc="042F0001" w:tentative="1">
      <w:start w:val="1"/>
      <w:numFmt w:val="bullet"/>
      <w:lvlText w:val=""/>
      <w:lvlJc w:val="left"/>
      <w:pPr>
        <w:ind w:left="5323" w:hanging="360"/>
      </w:pPr>
      <w:rPr>
        <w:rFonts w:ascii="Symbol" w:hAnsi="Symbol" w:hint="default"/>
      </w:rPr>
    </w:lvl>
    <w:lvl w:ilvl="7" w:tplc="042F0003" w:tentative="1">
      <w:start w:val="1"/>
      <w:numFmt w:val="bullet"/>
      <w:lvlText w:val="o"/>
      <w:lvlJc w:val="left"/>
      <w:pPr>
        <w:ind w:left="6043" w:hanging="360"/>
      </w:pPr>
      <w:rPr>
        <w:rFonts w:ascii="Courier New" w:hAnsi="Courier New" w:cs="Courier New" w:hint="default"/>
      </w:rPr>
    </w:lvl>
    <w:lvl w:ilvl="8" w:tplc="042F0005" w:tentative="1">
      <w:start w:val="1"/>
      <w:numFmt w:val="bullet"/>
      <w:lvlText w:val=""/>
      <w:lvlJc w:val="left"/>
      <w:pPr>
        <w:ind w:left="6763" w:hanging="360"/>
      </w:pPr>
      <w:rPr>
        <w:rFonts w:ascii="Wingdings" w:hAnsi="Wingdings" w:hint="default"/>
      </w:rPr>
    </w:lvl>
  </w:abstractNum>
  <w:abstractNum w:abstractNumId="5">
    <w:nsid w:val="6DD96BF2"/>
    <w:multiLevelType w:val="hybridMultilevel"/>
    <w:tmpl w:val="52C48AB2"/>
    <w:lvl w:ilvl="0" w:tplc="7098F9EA">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12225"/>
    <w:multiLevelType w:val="hybridMultilevel"/>
    <w:tmpl w:val="4E988C6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8C59B6"/>
    <w:rsid w:val="0000649D"/>
    <w:rsid w:val="00006577"/>
    <w:rsid w:val="00011846"/>
    <w:rsid w:val="00014A69"/>
    <w:rsid w:val="000175E3"/>
    <w:rsid w:val="00023585"/>
    <w:rsid w:val="000258E3"/>
    <w:rsid w:val="000445CB"/>
    <w:rsid w:val="0005058C"/>
    <w:rsid w:val="00051579"/>
    <w:rsid w:val="00076ADA"/>
    <w:rsid w:val="0008347F"/>
    <w:rsid w:val="00084463"/>
    <w:rsid w:val="0009064F"/>
    <w:rsid w:val="000B75A6"/>
    <w:rsid w:val="000C20D7"/>
    <w:rsid w:val="000D1C4F"/>
    <w:rsid w:val="000D60A7"/>
    <w:rsid w:val="000D7A9C"/>
    <w:rsid w:val="000E087C"/>
    <w:rsid w:val="0010004F"/>
    <w:rsid w:val="00103D62"/>
    <w:rsid w:val="00111A1B"/>
    <w:rsid w:val="00121DA2"/>
    <w:rsid w:val="00160A28"/>
    <w:rsid w:val="00164C18"/>
    <w:rsid w:val="00166D00"/>
    <w:rsid w:val="00181CA1"/>
    <w:rsid w:val="001870A4"/>
    <w:rsid w:val="0019663A"/>
    <w:rsid w:val="00197F16"/>
    <w:rsid w:val="001B6DBD"/>
    <w:rsid w:val="001C5680"/>
    <w:rsid w:val="001C5926"/>
    <w:rsid w:val="0020007B"/>
    <w:rsid w:val="00216FBF"/>
    <w:rsid w:val="00226540"/>
    <w:rsid w:val="00230040"/>
    <w:rsid w:val="00231055"/>
    <w:rsid w:val="00236B48"/>
    <w:rsid w:val="00255A97"/>
    <w:rsid w:val="00262C8D"/>
    <w:rsid w:val="002704F8"/>
    <w:rsid w:val="00286022"/>
    <w:rsid w:val="0028681C"/>
    <w:rsid w:val="002A01F0"/>
    <w:rsid w:val="002D0343"/>
    <w:rsid w:val="002D08C7"/>
    <w:rsid w:val="002D7894"/>
    <w:rsid w:val="002F4812"/>
    <w:rsid w:val="00312554"/>
    <w:rsid w:val="00347747"/>
    <w:rsid w:val="003620D7"/>
    <w:rsid w:val="0037347B"/>
    <w:rsid w:val="00382098"/>
    <w:rsid w:val="0038351D"/>
    <w:rsid w:val="003A0F40"/>
    <w:rsid w:val="003A2C8D"/>
    <w:rsid w:val="003B037B"/>
    <w:rsid w:val="003C13BE"/>
    <w:rsid w:val="003C2138"/>
    <w:rsid w:val="003C57D5"/>
    <w:rsid w:val="003D3956"/>
    <w:rsid w:val="003D555B"/>
    <w:rsid w:val="003D63A3"/>
    <w:rsid w:val="003F3824"/>
    <w:rsid w:val="0040231E"/>
    <w:rsid w:val="00402D87"/>
    <w:rsid w:val="0042729F"/>
    <w:rsid w:val="00437DAB"/>
    <w:rsid w:val="00440F76"/>
    <w:rsid w:val="00446C54"/>
    <w:rsid w:val="004576CA"/>
    <w:rsid w:val="0047618C"/>
    <w:rsid w:val="00497784"/>
    <w:rsid w:val="004B1449"/>
    <w:rsid w:val="004B1A6E"/>
    <w:rsid w:val="004C6D63"/>
    <w:rsid w:val="004C7046"/>
    <w:rsid w:val="004E0893"/>
    <w:rsid w:val="004E1F50"/>
    <w:rsid w:val="004F1115"/>
    <w:rsid w:val="004F76FB"/>
    <w:rsid w:val="00503331"/>
    <w:rsid w:val="005114A5"/>
    <w:rsid w:val="00523D79"/>
    <w:rsid w:val="00542CDB"/>
    <w:rsid w:val="00542FCC"/>
    <w:rsid w:val="00555D59"/>
    <w:rsid w:val="00564BC5"/>
    <w:rsid w:val="005741E3"/>
    <w:rsid w:val="005755E0"/>
    <w:rsid w:val="00587AE0"/>
    <w:rsid w:val="00590805"/>
    <w:rsid w:val="005B1A75"/>
    <w:rsid w:val="005B2A3E"/>
    <w:rsid w:val="005C1E38"/>
    <w:rsid w:val="005C5036"/>
    <w:rsid w:val="005C6EF9"/>
    <w:rsid w:val="005D06C8"/>
    <w:rsid w:val="005D2010"/>
    <w:rsid w:val="005D2E08"/>
    <w:rsid w:val="005D315D"/>
    <w:rsid w:val="005F1167"/>
    <w:rsid w:val="005F6A2D"/>
    <w:rsid w:val="006054F1"/>
    <w:rsid w:val="00610AC9"/>
    <w:rsid w:val="006155FD"/>
    <w:rsid w:val="00636A52"/>
    <w:rsid w:val="00646A16"/>
    <w:rsid w:val="0066479D"/>
    <w:rsid w:val="00680ED5"/>
    <w:rsid w:val="00682049"/>
    <w:rsid w:val="006840BC"/>
    <w:rsid w:val="00690AC9"/>
    <w:rsid w:val="0069635D"/>
    <w:rsid w:val="006B1FD4"/>
    <w:rsid w:val="006B62F6"/>
    <w:rsid w:val="006D1821"/>
    <w:rsid w:val="006E54D1"/>
    <w:rsid w:val="006E7B19"/>
    <w:rsid w:val="006F2F09"/>
    <w:rsid w:val="00701DFF"/>
    <w:rsid w:val="00724884"/>
    <w:rsid w:val="007443C8"/>
    <w:rsid w:val="00754FAA"/>
    <w:rsid w:val="00761720"/>
    <w:rsid w:val="00770400"/>
    <w:rsid w:val="0077570F"/>
    <w:rsid w:val="007776AD"/>
    <w:rsid w:val="007959BE"/>
    <w:rsid w:val="00797F14"/>
    <w:rsid w:val="007A01C4"/>
    <w:rsid w:val="007A12A6"/>
    <w:rsid w:val="007B07B1"/>
    <w:rsid w:val="007D010E"/>
    <w:rsid w:val="007D3D80"/>
    <w:rsid w:val="007E1155"/>
    <w:rsid w:val="007F3C08"/>
    <w:rsid w:val="00800022"/>
    <w:rsid w:val="00812930"/>
    <w:rsid w:val="008146CB"/>
    <w:rsid w:val="00821436"/>
    <w:rsid w:val="008302CE"/>
    <w:rsid w:val="008360B8"/>
    <w:rsid w:val="00841AFF"/>
    <w:rsid w:val="00844276"/>
    <w:rsid w:val="00856351"/>
    <w:rsid w:val="008602DA"/>
    <w:rsid w:val="0086090C"/>
    <w:rsid w:val="00881A8B"/>
    <w:rsid w:val="008877B0"/>
    <w:rsid w:val="00894E73"/>
    <w:rsid w:val="00897130"/>
    <w:rsid w:val="008A33B5"/>
    <w:rsid w:val="008A6570"/>
    <w:rsid w:val="008C59B6"/>
    <w:rsid w:val="008D296C"/>
    <w:rsid w:val="008E0994"/>
    <w:rsid w:val="008E6410"/>
    <w:rsid w:val="008F27CF"/>
    <w:rsid w:val="008F6EF5"/>
    <w:rsid w:val="00912526"/>
    <w:rsid w:val="00923522"/>
    <w:rsid w:val="00934178"/>
    <w:rsid w:val="00935E8C"/>
    <w:rsid w:val="00941C88"/>
    <w:rsid w:val="00946A58"/>
    <w:rsid w:val="00951FCE"/>
    <w:rsid w:val="00954E05"/>
    <w:rsid w:val="00955CFB"/>
    <w:rsid w:val="00991C8B"/>
    <w:rsid w:val="009B212A"/>
    <w:rsid w:val="009B79E8"/>
    <w:rsid w:val="009D6634"/>
    <w:rsid w:val="009E4A4F"/>
    <w:rsid w:val="009F55C1"/>
    <w:rsid w:val="00A00E04"/>
    <w:rsid w:val="00A0278F"/>
    <w:rsid w:val="00A045CA"/>
    <w:rsid w:val="00A069AC"/>
    <w:rsid w:val="00A24823"/>
    <w:rsid w:val="00A45345"/>
    <w:rsid w:val="00A46887"/>
    <w:rsid w:val="00A474D2"/>
    <w:rsid w:val="00A61FB2"/>
    <w:rsid w:val="00A6609B"/>
    <w:rsid w:val="00A77E99"/>
    <w:rsid w:val="00A96BCA"/>
    <w:rsid w:val="00A9707E"/>
    <w:rsid w:val="00AA036F"/>
    <w:rsid w:val="00AA25FC"/>
    <w:rsid w:val="00AA366A"/>
    <w:rsid w:val="00AA6C2D"/>
    <w:rsid w:val="00AA7E6E"/>
    <w:rsid w:val="00AE70FE"/>
    <w:rsid w:val="00AF1B10"/>
    <w:rsid w:val="00B07F76"/>
    <w:rsid w:val="00B10240"/>
    <w:rsid w:val="00B10542"/>
    <w:rsid w:val="00B33FFF"/>
    <w:rsid w:val="00B377E8"/>
    <w:rsid w:val="00B4181C"/>
    <w:rsid w:val="00B45823"/>
    <w:rsid w:val="00B5216B"/>
    <w:rsid w:val="00B532A9"/>
    <w:rsid w:val="00B577B1"/>
    <w:rsid w:val="00B73213"/>
    <w:rsid w:val="00B83D70"/>
    <w:rsid w:val="00B85102"/>
    <w:rsid w:val="00B864E5"/>
    <w:rsid w:val="00B929E4"/>
    <w:rsid w:val="00B96537"/>
    <w:rsid w:val="00B967A3"/>
    <w:rsid w:val="00BA5A1C"/>
    <w:rsid w:val="00BB2196"/>
    <w:rsid w:val="00BC4E8B"/>
    <w:rsid w:val="00BC624E"/>
    <w:rsid w:val="00BD3036"/>
    <w:rsid w:val="00BD660E"/>
    <w:rsid w:val="00BE084C"/>
    <w:rsid w:val="00BF4B38"/>
    <w:rsid w:val="00C13E9B"/>
    <w:rsid w:val="00C26EC9"/>
    <w:rsid w:val="00C32A6C"/>
    <w:rsid w:val="00C4782A"/>
    <w:rsid w:val="00C66D17"/>
    <w:rsid w:val="00C71E33"/>
    <w:rsid w:val="00C80057"/>
    <w:rsid w:val="00C87BFC"/>
    <w:rsid w:val="00CA3E92"/>
    <w:rsid w:val="00CA4FC5"/>
    <w:rsid w:val="00CA52F3"/>
    <w:rsid w:val="00CB5929"/>
    <w:rsid w:val="00CC3140"/>
    <w:rsid w:val="00CC7D11"/>
    <w:rsid w:val="00CD4DE4"/>
    <w:rsid w:val="00CE4558"/>
    <w:rsid w:val="00CF1F4A"/>
    <w:rsid w:val="00D0593C"/>
    <w:rsid w:val="00D218E4"/>
    <w:rsid w:val="00D278B9"/>
    <w:rsid w:val="00D34CC1"/>
    <w:rsid w:val="00D57BEE"/>
    <w:rsid w:val="00D609B0"/>
    <w:rsid w:val="00D747C8"/>
    <w:rsid w:val="00D91CE7"/>
    <w:rsid w:val="00DA78A1"/>
    <w:rsid w:val="00DB1C73"/>
    <w:rsid w:val="00DB1D7D"/>
    <w:rsid w:val="00DD0A8A"/>
    <w:rsid w:val="00DE3971"/>
    <w:rsid w:val="00DE4FB6"/>
    <w:rsid w:val="00DE5577"/>
    <w:rsid w:val="00DE7D81"/>
    <w:rsid w:val="00E02BB0"/>
    <w:rsid w:val="00E04A0F"/>
    <w:rsid w:val="00E1133A"/>
    <w:rsid w:val="00E11357"/>
    <w:rsid w:val="00E160B9"/>
    <w:rsid w:val="00E37540"/>
    <w:rsid w:val="00E42ED6"/>
    <w:rsid w:val="00E52387"/>
    <w:rsid w:val="00E54E31"/>
    <w:rsid w:val="00E70484"/>
    <w:rsid w:val="00E75BB1"/>
    <w:rsid w:val="00E85AF8"/>
    <w:rsid w:val="00E9449D"/>
    <w:rsid w:val="00EB25A3"/>
    <w:rsid w:val="00EB4495"/>
    <w:rsid w:val="00EC74D0"/>
    <w:rsid w:val="00ED438D"/>
    <w:rsid w:val="00ED5CB1"/>
    <w:rsid w:val="00EF27D7"/>
    <w:rsid w:val="00F02213"/>
    <w:rsid w:val="00F02337"/>
    <w:rsid w:val="00F237C0"/>
    <w:rsid w:val="00F265C6"/>
    <w:rsid w:val="00F46A6D"/>
    <w:rsid w:val="00F61538"/>
    <w:rsid w:val="00F651D8"/>
    <w:rsid w:val="00F654CF"/>
    <w:rsid w:val="00F71DD0"/>
    <w:rsid w:val="00F743A5"/>
    <w:rsid w:val="00F8672B"/>
    <w:rsid w:val="00F90EE1"/>
    <w:rsid w:val="00F95566"/>
    <w:rsid w:val="00F9728E"/>
    <w:rsid w:val="00FA2F8D"/>
    <w:rsid w:val="00FB0795"/>
    <w:rsid w:val="00FB55D4"/>
    <w:rsid w:val="00FD094D"/>
    <w:rsid w:val="00FD1D26"/>
    <w:rsid w:val="00FF1934"/>
    <w:rsid w:val="00FF4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B6"/>
    <w:rPr>
      <w:lang w:val="mk-MK"/>
    </w:rPr>
  </w:style>
  <w:style w:type="paragraph" w:styleId="Heading1">
    <w:name w:val="heading 1"/>
    <w:basedOn w:val="Normal"/>
    <w:next w:val="Normal"/>
    <w:link w:val="Heading1Char"/>
    <w:uiPriority w:val="9"/>
    <w:qFormat/>
    <w:rsid w:val="008C5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C59B6"/>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3">
    <w:name w:val="heading 3"/>
    <w:basedOn w:val="Normal"/>
    <w:link w:val="Heading3Char"/>
    <w:uiPriority w:val="9"/>
    <w:qFormat/>
    <w:rsid w:val="008C59B6"/>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9B6"/>
    <w:rPr>
      <w:rFonts w:asciiTheme="majorHAnsi" w:eastAsiaTheme="majorEastAsia" w:hAnsiTheme="majorHAnsi" w:cstheme="majorBidi"/>
      <w:b/>
      <w:bCs/>
      <w:color w:val="365F91" w:themeColor="accent1" w:themeShade="BF"/>
      <w:sz w:val="28"/>
      <w:szCs w:val="28"/>
      <w:lang w:val="mk-MK"/>
    </w:rPr>
  </w:style>
  <w:style w:type="character" w:customStyle="1" w:styleId="Heading2Char">
    <w:name w:val="Heading 2 Char"/>
    <w:basedOn w:val="DefaultParagraphFont"/>
    <w:link w:val="Heading2"/>
    <w:uiPriority w:val="9"/>
    <w:rsid w:val="008C59B6"/>
    <w:rPr>
      <w:rFonts w:ascii="Times New Roman" w:eastAsia="Times New Roman" w:hAnsi="Times New Roman" w:cs="Times New Roman"/>
      <w:b/>
      <w:bCs/>
      <w:sz w:val="36"/>
      <w:szCs w:val="36"/>
      <w:lang w:val="mk-MK" w:eastAsia="mk-MK"/>
    </w:rPr>
  </w:style>
  <w:style w:type="character" w:customStyle="1" w:styleId="Heading3Char">
    <w:name w:val="Heading 3 Char"/>
    <w:basedOn w:val="DefaultParagraphFont"/>
    <w:link w:val="Heading3"/>
    <w:uiPriority w:val="9"/>
    <w:rsid w:val="008C59B6"/>
    <w:rPr>
      <w:rFonts w:ascii="Times New Roman" w:eastAsia="Times New Roman" w:hAnsi="Times New Roman" w:cs="Times New Roman"/>
      <w:b/>
      <w:bCs/>
      <w:sz w:val="27"/>
      <w:szCs w:val="27"/>
      <w:lang w:val="mk-MK" w:eastAsia="mk-MK"/>
    </w:rPr>
  </w:style>
  <w:style w:type="character" w:styleId="Hyperlink">
    <w:name w:val="Hyperlink"/>
    <w:basedOn w:val="DefaultParagraphFont"/>
    <w:uiPriority w:val="99"/>
    <w:unhideWhenUsed/>
    <w:rsid w:val="008C59B6"/>
    <w:rPr>
      <w:color w:val="0000FF" w:themeColor="hyperlink"/>
      <w:u w:val="single"/>
    </w:rPr>
  </w:style>
  <w:style w:type="paragraph" w:customStyle="1" w:styleId="Default">
    <w:name w:val="Default"/>
    <w:rsid w:val="008C59B6"/>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C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9B6"/>
    <w:rPr>
      <w:rFonts w:ascii="Tahoma" w:hAnsi="Tahoma" w:cs="Tahoma"/>
      <w:sz w:val="16"/>
      <w:szCs w:val="16"/>
      <w:lang w:val="mk-MK"/>
    </w:rPr>
  </w:style>
  <w:style w:type="table" w:styleId="TableGrid">
    <w:name w:val="Table Grid"/>
    <w:basedOn w:val="TableNormal"/>
    <w:uiPriority w:val="59"/>
    <w:rsid w:val="008C59B6"/>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59B6"/>
    <w:rPr>
      <w:color w:val="808080"/>
    </w:rPr>
  </w:style>
  <w:style w:type="paragraph" w:styleId="ListParagraph">
    <w:name w:val="List Paragraph"/>
    <w:basedOn w:val="Normal"/>
    <w:uiPriority w:val="34"/>
    <w:qFormat/>
    <w:rsid w:val="008C59B6"/>
    <w:pPr>
      <w:ind w:left="720"/>
      <w:contextualSpacing/>
    </w:pPr>
  </w:style>
  <w:style w:type="character" w:customStyle="1" w:styleId="apple-converted-space">
    <w:name w:val="apple-converted-space"/>
    <w:basedOn w:val="DefaultParagraphFont"/>
    <w:rsid w:val="008C59B6"/>
  </w:style>
  <w:style w:type="paragraph" w:styleId="FootnoteText">
    <w:name w:val="footnote text"/>
    <w:basedOn w:val="Normal"/>
    <w:link w:val="FootnoteTextChar"/>
    <w:uiPriority w:val="99"/>
    <w:semiHidden/>
    <w:unhideWhenUsed/>
    <w:rsid w:val="008C5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9B6"/>
    <w:rPr>
      <w:sz w:val="20"/>
      <w:szCs w:val="20"/>
      <w:lang w:val="mk-MK"/>
    </w:rPr>
  </w:style>
  <w:style w:type="character" w:styleId="FootnoteReference">
    <w:name w:val="footnote reference"/>
    <w:basedOn w:val="DefaultParagraphFont"/>
    <w:uiPriority w:val="99"/>
    <w:semiHidden/>
    <w:unhideWhenUsed/>
    <w:rsid w:val="008C59B6"/>
    <w:rPr>
      <w:vertAlign w:val="superscript"/>
    </w:rPr>
  </w:style>
  <w:style w:type="paragraph" w:styleId="Caption">
    <w:name w:val="caption"/>
    <w:basedOn w:val="Normal"/>
    <w:next w:val="Normal"/>
    <w:uiPriority w:val="35"/>
    <w:unhideWhenUsed/>
    <w:qFormat/>
    <w:rsid w:val="00FF460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821474509111044"/>
          <c:y val="6.9149484710179024E-2"/>
          <c:w val="0.8314445070717581"/>
          <c:h val="0.69547613035681044"/>
        </c:manualLayout>
      </c:layout>
      <c:lineChart>
        <c:grouping val="standard"/>
        <c:ser>
          <c:idx val="0"/>
          <c:order val="0"/>
          <c:tx>
            <c:strRef>
              <c:f>Sheet1!$B$1</c:f>
              <c:strCache>
                <c:ptCount val="1"/>
                <c:pt idx="0">
                  <c:v>Индекс на потрошувачки цени на РМ</c:v>
                </c:pt>
              </c:strCache>
            </c:strRef>
          </c:tx>
          <c:spPr>
            <a:ln>
              <a:solidFill>
                <a:schemeClr val="tx1"/>
              </a:solidFill>
            </a:ln>
          </c:spPr>
          <c:marker>
            <c:symbol val="none"/>
          </c:marker>
          <c:cat>
            <c:strRef>
              <c:f>Sheet1!$A$2:$A$148</c:f>
              <c:strCache>
                <c:ptCount val="147"/>
                <c:pt idx="0">
                  <c:v>2003/01</c:v>
                </c:pt>
                <c:pt idx="1">
                  <c:v>2003/02</c:v>
                </c:pt>
                <c:pt idx="2">
                  <c:v>2003/03</c:v>
                </c:pt>
                <c:pt idx="3">
                  <c:v>2003/04</c:v>
                </c:pt>
                <c:pt idx="4">
                  <c:v>2003/05</c:v>
                </c:pt>
                <c:pt idx="5">
                  <c:v>2003/06</c:v>
                </c:pt>
                <c:pt idx="6">
                  <c:v>2003/07</c:v>
                </c:pt>
                <c:pt idx="7">
                  <c:v>2003/08</c:v>
                </c:pt>
                <c:pt idx="8">
                  <c:v>2003/09</c:v>
                </c:pt>
                <c:pt idx="9">
                  <c:v>2003/10</c:v>
                </c:pt>
                <c:pt idx="10">
                  <c:v>2003/11</c:v>
                </c:pt>
                <c:pt idx="11">
                  <c:v>2003/12</c:v>
                </c:pt>
                <c:pt idx="12">
                  <c:v>2004/01</c:v>
                </c:pt>
                <c:pt idx="13">
                  <c:v>2004/02</c:v>
                </c:pt>
                <c:pt idx="14">
                  <c:v>2004/03</c:v>
                </c:pt>
                <c:pt idx="15">
                  <c:v>2004/04</c:v>
                </c:pt>
                <c:pt idx="16">
                  <c:v>2004/05</c:v>
                </c:pt>
                <c:pt idx="17">
                  <c:v>2004/06</c:v>
                </c:pt>
                <c:pt idx="18">
                  <c:v>2004/07</c:v>
                </c:pt>
                <c:pt idx="19">
                  <c:v>2004/08</c:v>
                </c:pt>
                <c:pt idx="20">
                  <c:v>2004/09</c:v>
                </c:pt>
                <c:pt idx="21">
                  <c:v>2004/10</c:v>
                </c:pt>
                <c:pt idx="22">
                  <c:v>2004/11</c:v>
                </c:pt>
                <c:pt idx="23">
                  <c:v>2004/12</c:v>
                </c:pt>
                <c:pt idx="24">
                  <c:v>2005/01</c:v>
                </c:pt>
                <c:pt idx="25">
                  <c:v>2005/02</c:v>
                </c:pt>
                <c:pt idx="26">
                  <c:v>2005/03</c:v>
                </c:pt>
                <c:pt idx="27">
                  <c:v>2005/04</c:v>
                </c:pt>
                <c:pt idx="28">
                  <c:v>2005/05</c:v>
                </c:pt>
                <c:pt idx="29">
                  <c:v>2005/06</c:v>
                </c:pt>
                <c:pt idx="30">
                  <c:v>2005/07</c:v>
                </c:pt>
                <c:pt idx="31">
                  <c:v>2005/08</c:v>
                </c:pt>
                <c:pt idx="32">
                  <c:v>2005/09</c:v>
                </c:pt>
                <c:pt idx="33">
                  <c:v>2005/10</c:v>
                </c:pt>
                <c:pt idx="34">
                  <c:v>2005/11</c:v>
                </c:pt>
                <c:pt idx="35">
                  <c:v>2005/12</c:v>
                </c:pt>
                <c:pt idx="36">
                  <c:v>2006/01</c:v>
                </c:pt>
                <c:pt idx="37">
                  <c:v>2006/02</c:v>
                </c:pt>
                <c:pt idx="38">
                  <c:v>2006/03</c:v>
                </c:pt>
                <c:pt idx="39">
                  <c:v>2006/04</c:v>
                </c:pt>
                <c:pt idx="40">
                  <c:v>2006/05</c:v>
                </c:pt>
                <c:pt idx="41">
                  <c:v>2006/06</c:v>
                </c:pt>
                <c:pt idx="42">
                  <c:v>2006/07</c:v>
                </c:pt>
                <c:pt idx="43">
                  <c:v>2006/08</c:v>
                </c:pt>
                <c:pt idx="44">
                  <c:v>2006/09</c:v>
                </c:pt>
                <c:pt idx="45">
                  <c:v>2006/10</c:v>
                </c:pt>
                <c:pt idx="46">
                  <c:v>2006/11</c:v>
                </c:pt>
                <c:pt idx="47">
                  <c:v>2006/12</c:v>
                </c:pt>
                <c:pt idx="48">
                  <c:v>2007/01</c:v>
                </c:pt>
                <c:pt idx="49">
                  <c:v>2007/02</c:v>
                </c:pt>
                <c:pt idx="50">
                  <c:v>2007/03</c:v>
                </c:pt>
                <c:pt idx="51">
                  <c:v>2007/04</c:v>
                </c:pt>
                <c:pt idx="52">
                  <c:v>2007/05</c:v>
                </c:pt>
                <c:pt idx="53">
                  <c:v>2007/06</c:v>
                </c:pt>
                <c:pt idx="54">
                  <c:v>2007/07</c:v>
                </c:pt>
                <c:pt idx="55">
                  <c:v>2007/08</c:v>
                </c:pt>
                <c:pt idx="56">
                  <c:v>2007/09</c:v>
                </c:pt>
                <c:pt idx="57">
                  <c:v>2007/10</c:v>
                </c:pt>
                <c:pt idx="58">
                  <c:v>2007/11</c:v>
                </c:pt>
                <c:pt idx="59">
                  <c:v>2007/12</c:v>
                </c:pt>
                <c:pt idx="60">
                  <c:v>2008/01</c:v>
                </c:pt>
                <c:pt idx="61">
                  <c:v>2008/02</c:v>
                </c:pt>
                <c:pt idx="62">
                  <c:v>2008/03</c:v>
                </c:pt>
                <c:pt idx="63">
                  <c:v>2008/04</c:v>
                </c:pt>
                <c:pt idx="64">
                  <c:v>2008/05</c:v>
                </c:pt>
                <c:pt idx="65">
                  <c:v>2008/06</c:v>
                </c:pt>
                <c:pt idx="66">
                  <c:v>2008/07</c:v>
                </c:pt>
                <c:pt idx="67">
                  <c:v>2008/08</c:v>
                </c:pt>
                <c:pt idx="68">
                  <c:v>2008/09</c:v>
                </c:pt>
                <c:pt idx="69">
                  <c:v>2008/10</c:v>
                </c:pt>
                <c:pt idx="70">
                  <c:v>2008/11</c:v>
                </c:pt>
                <c:pt idx="71">
                  <c:v>2008/12</c:v>
                </c:pt>
                <c:pt idx="72">
                  <c:v>2009/01</c:v>
                </c:pt>
                <c:pt idx="73">
                  <c:v>2009/02</c:v>
                </c:pt>
                <c:pt idx="74">
                  <c:v>2009/03</c:v>
                </c:pt>
                <c:pt idx="75">
                  <c:v>2009/04</c:v>
                </c:pt>
                <c:pt idx="76">
                  <c:v>2009/05</c:v>
                </c:pt>
                <c:pt idx="77">
                  <c:v>2009/06</c:v>
                </c:pt>
                <c:pt idx="78">
                  <c:v>2009/07</c:v>
                </c:pt>
                <c:pt idx="79">
                  <c:v>2009/08</c:v>
                </c:pt>
                <c:pt idx="80">
                  <c:v>2009/09</c:v>
                </c:pt>
                <c:pt idx="81">
                  <c:v>2009/10</c:v>
                </c:pt>
                <c:pt idx="82">
                  <c:v>2009/11</c:v>
                </c:pt>
                <c:pt idx="83">
                  <c:v>2009/12</c:v>
                </c:pt>
                <c:pt idx="84">
                  <c:v>2010/01</c:v>
                </c:pt>
                <c:pt idx="85">
                  <c:v>2010/02</c:v>
                </c:pt>
                <c:pt idx="86">
                  <c:v>2010/03</c:v>
                </c:pt>
                <c:pt idx="87">
                  <c:v>2010/04</c:v>
                </c:pt>
                <c:pt idx="88">
                  <c:v>2010/05</c:v>
                </c:pt>
                <c:pt idx="89">
                  <c:v>2010/06</c:v>
                </c:pt>
                <c:pt idx="90">
                  <c:v>2010/07</c:v>
                </c:pt>
                <c:pt idx="91">
                  <c:v>2010/08</c:v>
                </c:pt>
                <c:pt idx="92">
                  <c:v>2010/09</c:v>
                </c:pt>
                <c:pt idx="93">
                  <c:v>2010/10</c:v>
                </c:pt>
                <c:pt idx="94">
                  <c:v>2010/11</c:v>
                </c:pt>
                <c:pt idx="95">
                  <c:v>2010/12</c:v>
                </c:pt>
                <c:pt idx="96">
                  <c:v>2011/01</c:v>
                </c:pt>
                <c:pt idx="97">
                  <c:v>2011/02</c:v>
                </c:pt>
                <c:pt idx="98">
                  <c:v>2011/03</c:v>
                </c:pt>
                <c:pt idx="99">
                  <c:v>2011/04</c:v>
                </c:pt>
                <c:pt idx="100">
                  <c:v>2011/05</c:v>
                </c:pt>
                <c:pt idx="101">
                  <c:v>2011/06</c:v>
                </c:pt>
                <c:pt idx="102">
                  <c:v>2011/07</c:v>
                </c:pt>
                <c:pt idx="103">
                  <c:v>2011/08</c:v>
                </c:pt>
                <c:pt idx="104">
                  <c:v>2011/09</c:v>
                </c:pt>
                <c:pt idx="105">
                  <c:v>2011/10</c:v>
                </c:pt>
                <c:pt idx="106">
                  <c:v>2011/11</c:v>
                </c:pt>
                <c:pt idx="107">
                  <c:v>2011/12</c:v>
                </c:pt>
                <c:pt idx="108">
                  <c:v>2012/01</c:v>
                </c:pt>
                <c:pt idx="109">
                  <c:v>2012/02</c:v>
                </c:pt>
                <c:pt idx="110">
                  <c:v>2012/03</c:v>
                </c:pt>
                <c:pt idx="111">
                  <c:v>2012/04</c:v>
                </c:pt>
                <c:pt idx="112">
                  <c:v>2012/05</c:v>
                </c:pt>
                <c:pt idx="113">
                  <c:v>2012/06</c:v>
                </c:pt>
                <c:pt idx="114">
                  <c:v>2012/07</c:v>
                </c:pt>
                <c:pt idx="115">
                  <c:v>2012/08</c:v>
                </c:pt>
                <c:pt idx="116">
                  <c:v>2012/09</c:v>
                </c:pt>
                <c:pt idx="117">
                  <c:v>2012/10</c:v>
                </c:pt>
                <c:pt idx="118">
                  <c:v>2012/11</c:v>
                </c:pt>
                <c:pt idx="119">
                  <c:v>2012/12</c:v>
                </c:pt>
                <c:pt idx="120">
                  <c:v>2013/01</c:v>
                </c:pt>
                <c:pt idx="121">
                  <c:v>2013/02</c:v>
                </c:pt>
                <c:pt idx="122">
                  <c:v>2013/03</c:v>
                </c:pt>
                <c:pt idx="123">
                  <c:v>2013/04</c:v>
                </c:pt>
                <c:pt idx="124">
                  <c:v>2013/05</c:v>
                </c:pt>
                <c:pt idx="125">
                  <c:v>2013/06</c:v>
                </c:pt>
                <c:pt idx="126">
                  <c:v>2013/07</c:v>
                </c:pt>
                <c:pt idx="127">
                  <c:v>2013/08</c:v>
                </c:pt>
                <c:pt idx="128">
                  <c:v>2013/09</c:v>
                </c:pt>
                <c:pt idx="129">
                  <c:v>2013/10</c:v>
                </c:pt>
                <c:pt idx="130">
                  <c:v>2013/11</c:v>
                </c:pt>
                <c:pt idx="131">
                  <c:v>2013/12</c:v>
                </c:pt>
                <c:pt idx="132">
                  <c:v>2014/01</c:v>
                </c:pt>
                <c:pt idx="133">
                  <c:v>2014/02</c:v>
                </c:pt>
                <c:pt idx="134">
                  <c:v>2014/03</c:v>
                </c:pt>
                <c:pt idx="135">
                  <c:v>2014/04</c:v>
                </c:pt>
                <c:pt idx="136">
                  <c:v>2014/05</c:v>
                </c:pt>
                <c:pt idx="137">
                  <c:v>2014/06</c:v>
                </c:pt>
                <c:pt idx="138">
                  <c:v>2014/07</c:v>
                </c:pt>
                <c:pt idx="139">
                  <c:v>2014/08</c:v>
                </c:pt>
                <c:pt idx="140">
                  <c:v>2014/09</c:v>
                </c:pt>
                <c:pt idx="141">
                  <c:v>2014/10</c:v>
                </c:pt>
                <c:pt idx="142">
                  <c:v>2014/11</c:v>
                </c:pt>
                <c:pt idx="143">
                  <c:v>2014/12</c:v>
                </c:pt>
                <c:pt idx="144">
                  <c:v>2015/01</c:v>
                </c:pt>
                <c:pt idx="145">
                  <c:v>2015/02</c:v>
                </c:pt>
                <c:pt idx="146">
                  <c:v>2015/03</c:v>
                </c:pt>
              </c:strCache>
            </c:strRef>
          </c:cat>
          <c:val>
            <c:numRef>
              <c:f>Sheet1!$B$2:$B$148</c:f>
              <c:numCache>
                <c:formatCode>0.00</c:formatCode>
                <c:ptCount val="147"/>
                <c:pt idx="0">
                  <c:v>0.2</c:v>
                </c:pt>
                <c:pt idx="1">
                  <c:v>0.1</c:v>
                </c:pt>
                <c:pt idx="2">
                  <c:v>0</c:v>
                </c:pt>
                <c:pt idx="3">
                  <c:v>0.1</c:v>
                </c:pt>
                <c:pt idx="4">
                  <c:v>0.2</c:v>
                </c:pt>
                <c:pt idx="5">
                  <c:v>0.30000000000000032</c:v>
                </c:pt>
                <c:pt idx="6">
                  <c:v>0.60000000000000064</c:v>
                </c:pt>
                <c:pt idx="7">
                  <c:v>0.8</c:v>
                </c:pt>
                <c:pt idx="8">
                  <c:v>0.9</c:v>
                </c:pt>
                <c:pt idx="9">
                  <c:v>1</c:v>
                </c:pt>
                <c:pt idx="10">
                  <c:v>1.1000000000000001</c:v>
                </c:pt>
                <c:pt idx="11">
                  <c:v>1.2</c:v>
                </c:pt>
                <c:pt idx="12">
                  <c:v>2</c:v>
                </c:pt>
                <c:pt idx="13">
                  <c:v>1.7000000000000008</c:v>
                </c:pt>
                <c:pt idx="14">
                  <c:v>1.6</c:v>
                </c:pt>
                <c:pt idx="15">
                  <c:v>1</c:v>
                </c:pt>
                <c:pt idx="16">
                  <c:v>0.70000000000000062</c:v>
                </c:pt>
                <c:pt idx="17">
                  <c:v>0.5</c:v>
                </c:pt>
                <c:pt idx="18">
                  <c:v>0.30000000000000032</c:v>
                </c:pt>
                <c:pt idx="19">
                  <c:v>0</c:v>
                </c:pt>
                <c:pt idx="20">
                  <c:v>-0.2</c:v>
                </c:pt>
                <c:pt idx="21">
                  <c:v>-0.2</c:v>
                </c:pt>
                <c:pt idx="22">
                  <c:v>-0.30000000000000032</c:v>
                </c:pt>
                <c:pt idx="23">
                  <c:v>-1.9000000000000001</c:v>
                </c:pt>
                <c:pt idx="24">
                  <c:v>-1.4000000000000057</c:v>
                </c:pt>
                <c:pt idx="25">
                  <c:v>-0.70000000000000062</c:v>
                </c:pt>
                <c:pt idx="26">
                  <c:v>-0.4</c:v>
                </c:pt>
                <c:pt idx="27">
                  <c:v>-0.2</c:v>
                </c:pt>
                <c:pt idx="28">
                  <c:v>0</c:v>
                </c:pt>
                <c:pt idx="29">
                  <c:v>0.2</c:v>
                </c:pt>
                <c:pt idx="30">
                  <c:v>0.30000000000000032</c:v>
                </c:pt>
                <c:pt idx="31">
                  <c:v>0.30000000000000032</c:v>
                </c:pt>
                <c:pt idx="32">
                  <c:v>0.4</c:v>
                </c:pt>
                <c:pt idx="33">
                  <c:v>0.5</c:v>
                </c:pt>
                <c:pt idx="34">
                  <c:v>0.4</c:v>
                </c:pt>
                <c:pt idx="35">
                  <c:v>1.2</c:v>
                </c:pt>
                <c:pt idx="36">
                  <c:v>2.4</c:v>
                </c:pt>
                <c:pt idx="37">
                  <c:v>2.7</c:v>
                </c:pt>
                <c:pt idx="38">
                  <c:v>2.7</c:v>
                </c:pt>
                <c:pt idx="39">
                  <c:v>2.9</c:v>
                </c:pt>
                <c:pt idx="40">
                  <c:v>3.1</c:v>
                </c:pt>
                <c:pt idx="41">
                  <c:v>3.1</c:v>
                </c:pt>
                <c:pt idx="42">
                  <c:v>3.2</c:v>
                </c:pt>
                <c:pt idx="43">
                  <c:v>3.3</c:v>
                </c:pt>
                <c:pt idx="44">
                  <c:v>3.3</c:v>
                </c:pt>
                <c:pt idx="45">
                  <c:v>3.2</c:v>
                </c:pt>
                <c:pt idx="46">
                  <c:v>3.2</c:v>
                </c:pt>
                <c:pt idx="47">
                  <c:v>3.2</c:v>
                </c:pt>
                <c:pt idx="48">
                  <c:v>0.8</c:v>
                </c:pt>
                <c:pt idx="49">
                  <c:v>0.5</c:v>
                </c:pt>
                <c:pt idx="50">
                  <c:v>0.8</c:v>
                </c:pt>
                <c:pt idx="51">
                  <c:v>1</c:v>
                </c:pt>
                <c:pt idx="52">
                  <c:v>0.9</c:v>
                </c:pt>
                <c:pt idx="53">
                  <c:v>1.3</c:v>
                </c:pt>
                <c:pt idx="54">
                  <c:v>1.3</c:v>
                </c:pt>
                <c:pt idx="55">
                  <c:v>2.2000000000000002</c:v>
                </c:pt>
                <c:pt idx="56">
                  <c:v>3.6</c:v>
                </c:pt>
                <c:pt idx="57">
                  <c:v>3.9</c:v>
                </c:pt>
                <c:pt idx="58">
                  <c:v>4.5999999999999996</c:v>
                </c:pt>
                <c:pt idx="59">
                  <c:v>6.1</c:v>
                </c:pt>
                <c:pt idx="60">
                  <c:v>8.7000000000000011</c:v>
                </c:pt>
                <c:pt idx="61">
                  <c:v>9.6</c:v>
                </c:pt>
                <c:pt idx="62">
                  <c:v>10.200000000000001</c:v>
                </c:pt>
                <c:pt idx="63">
                  <c:v>10.1</c:v>
                </c:pt>
                <c:pt idx="64">
                  <c:v>9.5</c:v>
                </c:pt>
                <c:pt idx="65">
                  <c:v>10.1</c:v>
                </c:pt>
                <c:pt idx="66">
                  <c:v>9.5</c:v>
                </c:pt>
                <c:pt idx="67">
                  <c:v>8.6</c:v>
                </c:pt>
                <c:pt idx="68">
                  <c:v>7.1</c:v>
                </c:pt>
                <c:pt idx="69">
                  <c:v>7.1</c:v>
                </c:pt>
                <c:pt idx="70">
                  <c:v>5.2</c:v>
                </c:pt>
                <c:pt idx="71">
                  <c:v>4.0999999999999996</c:v>
                </c:pt>
                <c:pt idx="72">
                  <c:v>1.7000000000000008</c:v>
                </c:pt>
                <c:pt idx="73">
                  <c:v>0.70000000000000062</c:v>
                </c:pt>
                <c:pt idx="74">
                  <c:v>0.2</c:v>
                </c:pt>
                <c:pt idx="75">
                  <c:v>-0.5</c:v>
                </c:pt>
                <c:pt idx="76">
                  <c:v>0.4</c:v>
                </c:pt>
                <c:pt idx="77">
                  <c:v>-1.7000000000000008</c:v>
                </c:pt>
                <c:pt idx="78">
                  <c:v>-1.3</c:v>
                </c:pt>
                <c:pt idx="79">
                  <c:v>-1.4</c:v>
                </c:pt>
                <c:pt idx="80">
                  <c:v>-1.4</c:v>
                </c:pt>
                <c:pt idx="81">
                  <c:v>-2.4</c:v>
                </c:pt>
                <c:pt idx="82">
                  <c:v>-2.2999999999999998</c:v>
                </c:pt>
                <c:pt idx="83">
                  <c:v>-1.6</c:v>
                </c:pt>
                <c:pt idx="84">
                  <c:v>9.9999999999994579E-2</c:v>
                </c:pt>
                <c:pt idx="85">
                  <c:v>0.59999999999999454</c:v>
                </c:pt>
                <c:pt idx="86">
                  <c:v>0.70000000000000284</c:v>
                </c:pt>
                <c:pt idx="87">
                  <c:v>1.4000000000000057</c:v>
                </c:pt>
                <c:pt idx="88">
                  <c:v>0.20000000000000284</c:v>
                </c:pt>
                <c:pt idx="89">
                  <c:v>1.8</c:v>
                </c:pt>
                <c:pt idx="90">
                  <c:v>1.5</c:v>
                </c:pt>
                <c:pt idx="91">
                  <c:v>1.9000000000000061</c:v>
                </c:pt>
                <c:pt idx="92">
                  <c:v>2</c:v>
                </c:pt>
                <c:pt idx="93">
                  <c:v>2.7</c:v>
                </c:pt>
                <c:pt idx="94">
                  <c:v>2.9000000000000057</c:v>
                </c:pt>
                <c:pt idx="95">
                  <c:v>3</c:v>
                </c:pt>
                <c:pt idx="96">
                  <c:v>3.2</c:v>
                </c:pt>
                <c:pt idx="97">
                  <c:v>3.9000000000000057</c:v>
                </c:pt>
                <c:pt idx="98">
                  <c:v>5.2</c:v>
                </c:pt>
                <c:pt idx="99">
                  <c:v>4.8</c:v>
                </c:pt>
                <c:pt idx="100">
                  <c:v>5.2</c:v>
                </c:pt>
                <c:pt idx="101">
                  <c:v>4.0999999999999943</c:v>
                </c:pt>
                <c:pt idx="102">
                  <c:v>3.8</c:v>
                </c:pt>
                <c:pt idx="103">
                  <c:v>3.5999999999999943</c:v>
                </c:pt>
                <c:pt idx="104">
                  <c:v>3.4000000000000057</c:v>
                </c:pt>
                <c:pt idx="105">
                  <c:v>3.3</c:v>
                </c:pt>
                <c:pt idx="106">
                  <c:v>3.5</c:v>
                </c:pt>
                <c:pt idx="107">
                  <c:v>2.8091098501894742</c:v>
                </c:pt>
                <c:pt idx="108">
                  <c:v>3.3615917436264269</c:v>
                </c:pt>
                <c:pt idx="109">
                  <c:v>2.875754154084158</c:v>
                </c:pt>
                <c:pt idx="110">
                  <c:v>1.4200000000000017</c:v>
                </c:pt>
                <c:pt idx="111">
                  <c:v>2.1700000000000017</c:v>
                </c:pt>
                <c:pt idx="112">
                  <c:v>2.019999999999996</c:v>
                </c:pt>
                <c:pt idx="113">
                  <c:v>2.1400000000000006</c:v>
                </c:pt>
                <c:pt idx="114">
                  <c:v>2.2800000000000011</c:v>
                </c:pt>
                <c:pt idx="115">
                  <c:v>3.7399999999999949</c:v>
                </c:pt>
                <c:pt idx="116">
                  <c:v>5.3199999999999905</c:v>
                </c:pt>
                <c:pt idx="117">
                  <c:v>5.269999999999996</c:v>
                </c:pt>
                <c:pt idx="118">
                  <c:v>4.5999999999999943</c:v>
                </c:pt>
                <c:pt idx="119">
                  <c:v>4.6899999999999977</c:v>
                </c:pt>
                <c:pt idx="120">
                  <c:v>3.8100000000000023</c:v>
                </c:pt>
                <c:pt idx="121">
                  <c:v>3.5</c:v>
                </c:pt>
                <c:pt idx="122">
                  <c:v>3.1099999999999994</c:v>
                </c:pt>
                <c:pt idx="123">
                  <c:v>3.3400000000000034</c:v>
                </c:pt>
                <c:pt idx="124">
                  <c:v>3.4200000000000017</c:v>
                </c:pt>
                <c:pt idx="125">
                  <c:v>4.1800000000000068</c:v>
                </c:pt>
                <c:pt idx="126">
                  <c:v>3.9599999999999937</c:v>
                </c:pt>
                <c:pt idx="127">
                  <c:v>2.8100000000000023</c:v>
                </c:pt>
                <c:pt idx="128">
                  <c:v>1.609999999999983</c:v>
                </c:pt>
                <c:pt idx="129">
                  <c:v>1.3100000000000165</c:v>
                </c:pt>
                <c:pt idx="130">
                  <c:v>1.1199999999999879</c:v>
                </c:pt>
                <c:pt idx="131">
                  <c:v>1.3499999999999777</c:v>
                </c:pt>
                <c:pt idx="132">
                  <c:v>1.184670638114298</c:v>
                </c:pt>
                <c:pt idx="133">
                  <c:v>0.51816639179817459</c:v>
                </c:pt>
                <c:pt idx="134">
                  <c:v>0.16090367359198884</c:v>
                </c:pt>
                <c:pt idx="135">
                  <c:v>-1.1207575468698143</c:v>
                </c:pt>
                <c:pt idx="136">
                  <c:v>-0.63346608494390366</c:v>
                </c:pt>
                <c:pt idx="137">
                  <c:v>-1.1184304599132864</c:v>
                </c:pt>
                <c:pt idx="138">
                  <c:v>0.19319896661539834</c:v>
                </c:pt>
                <c:pt idx="139">
                  <c:v>-0.59070167182794298</c:v>
                </c:pt>
                <c:pt idx="140">
                  <c:v>-0.71663123388312244</c:v>
                </c:pt>
                <c:pt idx="141">
                  <c:v>-0.38314894705877184</c:v>
                </c:pt>
                <c:pt idx="142">
                  <c:v>-0.29195481372092114</c:v>
                </c:pt>
                <c:pt idx="143">
                  <c:v>-0.54934973087621586</c:v>
                </c:pt>
                <c:pt idx="144">
                  <c:v>-1.4617958391202419</c:v>
                </c:pt>
                <c:pt idx="145">
                  <c:v>-0.99651065575080977</c:v>
                </c:pt>
                <c:pt idx="146">
                  <c:v>-0.25588343762233035</c:v>
                </c:pt>
              </c:numCache>
            </c:numRef>
          </c:val>
        </c:ser>
        <c:marker val="1"/>
        <c:axId val="79586432"/>
        <c:axId val="79732736"/>
      </c:lineChart>
      <c:catAx>
        <c:axId val="79586432"/>
        <c:scaling>
          <c:orientation val="minMax"/>
        </c:scaling>
        <c:axPos val="b"/>
        <c:majorGridlines/>
        <c:numFmt formatCode="mmm/yy" sourceLinked="1"/>
        <c:majorTickMark val="cross"/>
        <c:tickLblPos val="low"/>
        <c:txPr>
          <a:bodyPr/>
          <a:lstStyle/>
          <a:p>
            <a:pPr>
              <a:defRPr sz="900"/>
            </a:pPr>
            <a:endParaRPr lang="en-US"/>
          </a:p>
        </c:txPr>
        <c:crossAx val="79732736"/>
        <c:crosses val="autoZero"/>
        <c:auto val="1"/>
        <c:lblAlgn val="ctr"/>
        <c:lblOffset val="100"/>
        <c:tickMarkSkip val="12"/>
      </c:catAx>
      <c:valAx>
        <c:axId val="79732736"/>
        <c:scaling>
          <c:orientation val="minMax"/>
        </c:scaling>
        <c:axPos val="l"/>
        <c:majorGridlines/>
        <c:title>
          <c:tx>
            <c:rich>
              <a:bodyPr rot="-5400000" vert="horz"/>
              <a:lstStyle/>
              <a:p>
                <a:pPr>
                  <a:defRPr b="0"/>
                </a:pPr>
                <a:r>
                  <a:rPr lang="mk-MK" b="0"/>
                  <a:t>Проценти  </a:t>
                </a:r>
                <a:r>
                  <a:rPr lang="en-US" b="0"/>
                  <a:t>(%)</a:t>
                </a:r>
              </a:p>
            </c:rich>
          </c:tx>
          <c:layout>
            <c:manualLayout>
              <c:xMode val="edge"/>
              <c:yMode val="edge"/>
              <c:x val="1.4026765715869277E-2"/>
              <c:y val="0.20232595317921545"/>
            </c:manualLayout>
          </c:layout>
        </c:title>
        <c:numFmt formatCode="0" sourceLinked="0"/>
        <c:tickLblPos val="nextTo"/>
        <c:crossAx val="79586432"/>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042883916899744"/>
          <c:y val="6.9149484710179024E-2"/>
          <c:w val="0.83957116083100336"/>
          <c:h val="0.6058716045661886"/>
        </c:manualLayout>
      </c:layout>
      <c:lineChart>
        <c:grouping val="standard"/>
        <c:ser>
          <c:idx val="0"/>
          <c:order val="0"/>
          <c:tx>
            <c:strRef>
              <c:f>Sheet1!$B$1</c:f>
              <c:strCache>
                <c:ptCount val="1"/>
                <c:pt idx="0">
                  <c:v>CPIMK&gt;CPIMK</c:v>
                </c:pt>
              </c:strCache>
            </c:strRef>
          </c:tx>
          <c:spPr>
            <a:ln>
              <a:solidFill>
                <a:schemeClr val="tx1"/>
              </a:solidFill>
            </a:ln>
          </c:spPr>
          <c:marker>
            <c:symbol val="none"/>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Sheet1!$B$2:$B$25</c:f>
              <c:numCache>
                <c:formatCode>General</c:formatCode>
                <c:ptCount val="24"/>
                <c:pt idx="0">
                  <c:v>0.4531</c:v>
                </c:pt>
                <c:pt idx="1">
                  <c:v>0.56440000000000001</c:v>
                </c:pt>
                <c:pt idx="2">
                  <c:v>0.51</c:v>
                </c:pt>
                <c:pt idx="3">
                  <c:v>0.47530000000000272</c:v>
                </c:pt>
                <c:pt idx="4">
                  <c:v>0.49590000000000306</c:v>
                </c:pt>
                <c:pt idx="5">
                  <c:v>0.43350000000000088</c:v>
                </c:pt>
                <c:pt idx="6">
                  <c:v>0.36890000000000306</c:v>
                </c:pt>
                <c:pt idx="7">
                  <c:v>0.33380000000000487</c:v>
                </c:pt>
                <c:pt idx="8">
                  <c:v>0.39740000000000403</c:v>
                </c:pt>
                <c:pt idx="9">
                  <c:v>0.33120000000000038</c:v>
                </c:pt>
                <c:pt idx="10">
                  <c:v>0.24560000000000001</c:v>
                </c:pt>
                <c:pt idx="11">
                  <c:v>-1.4600000000000005E-2</c:v>
                </c:pt>
                <c:pt idx="12">
                  <c:v>-0.10059999999999998</c:v>
                </c:pt>
                <c:pt idx="13">
                  <c:v>-0.20870000000000041</c:v>
                </c:pt>
                <c:pt idx="14">
                  <c:v>-0.17400000000000004</c:v>
                </c:pt>
                <c:pt idx="15">
                  <c:v>-0.12050000000000002</c:v>
                </c:pt>
                <c:pt idx="16">
                  <c:v>-0.1125</c:v>
                </c:pt>
                <c:pt idx="17">
                  <c:v>-7.010000000000001E-2</c:v>
                </c:pt>
                <c:pt idx="18">
                  <c:v>2.5000000000000092E-3</c:v>
                </c:pt>
                <c:pt idx="19">
                  <c:v>9.3300000000000063E-2</c:v>
                </c:pt>
                <c:pt idx="20">
                  <c:v>4.7600000000000003E-2</c:v>
                </c:pt>
                <c:pt idx="21">
                  <c:v>0.1173</c:v>
                </c:pt>
                <c:pt idx="22">
                  <c:v>0.20680000000000001</c:v>
                </c:pt>
                <c:pt idx="23">
                  <c:v>0.43960000000000032</c:v>
                </c:pt>
              </c:numCache>
            </c:numRef>
          </c:val>
        </c:ser>
        <c:marker val="1"/>
        <c:axId val="103669760"/>
        <c:axId val="103671296"/>
      </c:lineChart>
      <c:catAx>
        <c:axId val="103669760"/>
        <c:scaling>
          <c:orientation val="minMax"/>
        </c:scaling>
        <c:axPos val="b"/>
        <c:numFmt formatCode="General" sourceLinked="1"/>
        <c:tickLblPos val="low"/>
        <c:crossAx val="103671296"/>
        <c:crosses val="autoZero"/>
        <c:auto val="1"/>
        <c:lblAlgn val="ctr"/>
        <c:lblOffset val="100"/>
      </c:catAx>
      <c:valAx>
        <c:axId val="103671296"/>
        <c:scaling>
          <c:orientation val="minMax"/>
          <c:max val="0.60000000000000064"/>
          <c:min val="-0.2"/>
        </c:scaling>
        <c:axPos val="l"/>
        <c:majorGridlines/>
        <c:numFmt formatCode="0.0" sourceLinked="0"/>
        <c:tickLblPos val="nextTo"/>
        <c:crossAx val="103669760"/>
        <c:crosses val="autoZero"/>
        <c:crossBetween val="between"/>
        <c:majorUnit val="0.2"/>
      </c:valAx>
    </c:plotArea>
    <c:legend>
      <c:legendPos val="b"/>
      <c:layout>
        <c:manualLayout>
          <c:xMode val="edge"/>
          <c:yMode val="edge"/>
          <c:x val="0.23593740239672814"/>
          <c:y val="0.84379999748836276"/>
          <c:w val="0.51142373382867867"/>
          <c:h val="0.12172700900425724"/>
        </c:manualLayout>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821474509111044"/>
          <c:y val="6.9149484710179024E-2"/>
          <c:w val="0.81774075461612483"/>
          <c:h val="0.6014502789633317"/>
        </c:manualLayout>
      </c:layout>
      <c:lineChart>
        <c:grouping val="standard"/>
        <c:ser>
          <c:idx val="0"/>
          <c:order val="0"/>
          <c:tx>
            <c:strRef>
              <c:f>Sheet1!$B$1</c:f>
              <c:strCache>
                <c:ptCount val="1"/>
                <c:pt idx="0">
                  <c:v>Точкаста оценка</c:v>
                </c:pt>
              </c:strCache>
            </c:strRef>
          </c:tx>
          <c:spPr>
            <a:ln>
              <a:solidFill>
                <a:schemeClr val="tx1"/>
              </a:solidFill>
            </a:ln>
          </c:spPr>
          <c:marker>
            <c:symbol val="none"/>
          </c:marker>
          <c:cat>
            <c:strRef>
              <c:f>Sheet1!$A$2:$A$172</c:f>
              <c:strCache>
                <c:ptCount val="24"/>
                <c:pt idx="0">
                  <c:v>2015/04</c:v>
                </c:pt>
                <c:pt idx="1">
                  <c:v>2015/05</c:v>
                </c:pt>
                <c:pt idx="2">
                  <c:v>2015/06</c:v>
                </c:pt>
                <c:pt idx="3">
                  <c:v>2015/07</c:v>
                </c:pt>
                <c:pt idx="4">
                  <c:v>2015/08</c:v>
                </c:pt>
                <c:pt idx="5">
                  <c:v>2015/09</c:v>
                </c:pt>
                <c:pt idx="6">
                  <c:v>2015/10</c:v>
                </c:pt>
                <c:pt idx="7">
                  <c:v>2015/11</c:v>
                </c:pt>
                <c:pt idx="8">
                  <c:v>2015/12</c:v>
                </c:pt>
                <c:pt idx="9">
                  <c:v>2016/01</c:v>
                </c:pt>
                <c:pt idx="10">
                  <c:v>2016/02</c:v>
                </c:pt>
                <c:pt idx="11">
                  <c:v>2016/03</c:v>
                </c:pt>
                <c:pt idx="12">
                  <c:v>2016/04</c:v>
                </c:pt>
                <c:pt idx="13">
                  <c:v>2016/05</c:v>
                </c:pt>
                <c:pt idx="14">
                  <c:v>2016/06</c:v>
                </c:pt>
                <c:pt idx="15">
                  <c:v>2016/07</c:v>
                </c:pt>
                <c:pt idx="16">
                  <c:v>2016/08</c:v>
                </c:pt>
                <c:pt idx="17">
                  <c:v>2016/09</c:v>
                </c:pt>
                <c:pt idx="18">
                  <c:v>2016/10</c:v>
                </c:pt>
                <c:pt idx="19">
                  <c:v>2016/11</c:v>
                </c:pt>
                <c:pt idx="20">
                  <c:v>2016/12</c:v>
                </c:pt>
                <c:pt idx="21">
                  <c:v>2017/01</c:v>
                </c:pt>
                <c:pt idx="22">
                  <c:v>2017/02</c:v>
                </c:pt>
                <c:pt idx="23">
                  <c:v>2017/03</c:v>
                </c:pt>
              </c:strCache>
            </c:strRef>
          </c:cat>
          <c:val>
            <c:numRef>
              <c:f>Sheet1!$B$2:$B$172</c:f>
              <c:numCache>
                <c:formatCode>0.0000</c:formatCode>
                <c:ptCount val="24"/>
                <c:pt idx="0">
                  <c:v>0.97920000000000029</c:v>
                </c:pt>
                <c:pt idx="1">
                  <c:v>1.4972999999999994</c:v>
                </c:pt>
                <c:pt idx="2">
                  <c:v>1.6808000000000001</c:v>
                </c:pt>
                <c:pt idx="3">
                  <c:v>0.75849999999999995</c:v>
                </c:pt>
                <c:pt idx="4">
                  <c:v>0.90429999999999999</c:v>
                </c:pt>
                <c:pt idx="5">
                  <c:v>1.554</c:v>
                </c:pt>
                <c:pt idx="6">
                  <c:v>0.9425</c:v>
                </c:pt>
                <c:pt idx="7">
                  <c:v>0.1149</c:v>
                </c:pt>
                <c:pt idx="8">
                  <c:v>0.55800000000000005</c:v>
                </c:pt>
                <c:pt idx="9">
                  <c:v>1.3913</c:v>
                </c:pt>
                <c:pt idx="10">
                  <c:v>0.51149999999999962</c:v>
                </c:pt>
                <c:pt idx="11">
                  <c:v>0.26440000000000002</c:v>
                </c:pt>
                <c:pt idx="12">
                  <c:v>-0.60429999999999995</c:v>
                </c:pt>
                <c:pt idx="13">
                  <c:v>-1.2711999999999994</c:v>
                </c:pt>
                <c:pt idx="14">
                  <c:v>-1.7608999999999992</c:v>
                </c:pt>
                <c:pt idx="15">
                  <c:v>-1.1296999999999993</c:v>
                </c:pt>
                <c:pt idx="16">
                  <c:v>-0.77630000000000032</c:v>
                </c:pt>
                <c:pt idx="17">
                  <c:v>-1.6558999999999993</c:v>
                </c:pt>
                <c:pt idx="18">
                  <c:v>-1.6256999999999993</c:v>
                </c:pt>
                <c:pt idx="19">
                  <c:v>-0.35300000000000015</c:v>
                </c:pt>
                <c:pt idx="20">
                  <c:v>-3.4799999999999998E-2</c:v>
                </c:pt>
                <c:pt idx="21">
                  <c:v>-0.39180000000000026</c:v>
                </c:pt>
                <c:pt idx="22">
                  <c:v>0.23619999999999999</c:v>
                </c:pt>
                <c:pt idx="23">
                  <c:v>0.61670000000000036</c:v>
                </c:pt>
              </c:numCache>
            </c:numRef>
          </c:val>
        </c:ser>
        <c:ser>
          <c:idx val="1"/>
          <c:order val="1"/>
          <c:tx>
            <c:strRef>
              <c:f>Sheet1!$C$1</c:f>
              <c:strCache>
                <c:ptCount val="1"/>
                <c:pt idx="0">
                  <c:v>Долен ИД</c:v>
                </c:pt>
              </c:strCache>
            </c:strRef>
          </c:tx>
          <c:marker>
            <c:symbol val="none"/>
          </c:marker>
          <c:cat>
            <c:strRef>
              <c:f>Sheet1!$A$2:$A$172</c:f>
              <c:strCache>
                <c:ptCount val="24"/>
                <c:pt idx="0">
                  <c:v>2015/04</c:v>
                </c:pt>
                <c:pt idx="1">
                  <c:v>2015/05</c:v>
                </c:pt>
                <c:pt idx="2">
                  <c:v>2015/06</c:v>
                </c:pt>
                <c:pt idx="3">
                  <c:v>2015/07</c:v>
                </c:pt>
                <c:pt idx="4">
                  <c:v>2015/08</c:v>
                </c:pt>
                <c:pt idx="5">
                  <c:v>2015/09</c:v>
                </c:pt>
                <c:pt idx="6">
                  <c:v>2015/10</c:v>
                </c:pt>
                <c:pt idx="7">
                  <c:v>2015/11</c:v>
                </c:pt>
                <c:pt idx="8">
                  <c:v>2015/12</c:v>
                </c:pt>
                <c:pt idx="9">
                  <c:v>2016/01</c:v>
                </c:pt>
                <c:pt idx="10">
                  <c:v>2016/02</c:v>
                </c:pt>
                <c:pt idx="11">
                  <c:v>2016/03</c:v>
                </c:pt>
                <c:pt idx="12">
                  <c:v>2016/04</c:v>
                </c:pt>
                <c:pt idx="13">
                  <c:v>2016/05</c:v>
                </c:pt>
                <c:pt idx="14">
                  <c:v>2016/06</c:v>
                </c:pt>
                <c:pt idx="15">
                  <c:v>2016/07</c:v>
                </c:pt>
                <c:pt idx="16">
                  <c:v>2016/08</c:v>
                </c:pt>
                <c:pt idx="17">
                  <c:v>2016/09</c:v>
                </c:pt>
                <c:pt idx="18">
                  <c:v>2016/10</c:v>
                </c:pt>
                <c:pt idx="19">
                  <c:v>2016/11</c:v>
                </c:pt>
                <c:pt idx="20">
                  <c:v>2016/12</c:v>
                </c:pt>
                <c:pt idx="21">
                  <c:v>2017/01</c:v>
                </c:pt>
                <c:pt idx="22">
                  <c:v>2017/02</c:v>
                </c:pt>
                <c:pt idx="23">
                  <c:v>2017/03</c:v>
                </c:pt>
              </c:strCache>
            </c:strRef>
          </c:cat>
          <c:val>
            <c:numRef>
              <c:f>Sheet1!$C$2:$C$172</c:f>
              <c:numCache>
                <c:formatCode>0.0000</c:formatCode>
                <c:ptCount val="24"/>
                <c:pt idx="0">
                  <c:v>0.18830000000000008</c:v>
                </c:pt>
                <c:pt idx="1">
                  <c:v>0.23990000000000009</c:v>
                </c:pt>
                <c:pt idx="2">
                  <c:v>-0.12470000000000007</c:v>
                </c:pt>
                <c:pt idx="3">
                  <c:v>-1.4435999999999993</c:v>
                </c:pt>
                <c:pt idx="4">
                  <c:v>-1.6442000000000001</c:v>
                </c:pt>
                <c:pt idx="5">
                  <c:v>-1.3340000000000001</c:v>
                </c:pt>
                <c:pt idx="6">
                  <c:v>-2.2155999999999998</c:v>
                </c:pt>
                <c:pt idx="7">
                  <c:v>-3.3175999999999997</c:v>
                </c:pt>
                <c:pt idx="8">
                  <c:v>-3.1236000000000002</c:v>
                </c:pt>
                <c:pt idx="9">
                  <c:v>-2.5512999999999986</c:v>
                </c:pt>
                <c:pt idx="10">
                  <c:v>-3.7797999999999998</c:v>
                </c:pt>
                <c:pt idx="11">
                  <c:v>-4.4607999999999999</c:v>
                </c:pt>
                <c:pt idx="12">
                  <c:v>-5.7607999999999997</c:v>
                </c:pt>
                <c:pt idx="13">
                  <c:v>-6.7622999999999998</c:v>
                </c:pt>
                <c:pt idx="14">
                  <c:v>-7.5808999999999997</c:v>
                </c:pt>
                <c:pt idx="15">
                  <c:v>-7.1984999999999975</c:v>
                </c:pt>
                <c:pt idx="16">
                  <c:v>-7.0427999999999997</c:v>
                </c:pt>
                <c:pt idx="17">
                  <c:v>-8.0977000000000015</c:v>
                </c:pt>
                <c:pt idx="18">
                  <c:v>-8.2281999999999993</c:v>
                </c:pt>
                <c:pt idx="19">
                  <c:v>-7.0965999999999996</c:v>
                </c:pt>
                <c:pt idx="20">
                  <c:v>-6.8815</c:v>
                </c:pt>
                <c:pt idx="21">
                  <c:v>-7.3347999999999995</c:v>
                </c:pt>
                <c:pt idx="22">
                  <c:v>-6.7622</c:v>
                </c:pt>
                <c:pt idx="23">
                  <c:v>-6.4248999999999974</c:v>
                </c:pt>
              </c:numCache>
            </c:numRef>
          </c:val>
        </c:ser>
        <c:ser>
          <c:idx val="2"/>
          <c:order val="2"/>
          <c:tx>
            <c:strRef>
              <c:f>Sheet1!$D$1</c:f>
              <c:strCache>
                <c:ptCount val="1"/>
                <c:pt idx="0">
                  <c:v>Горен ИД</c:v>
                </c:pt>
              </c:strCache>
            </c:strRef>
          </c:tx>
          <c:marker>
            <c:symbol val="none"/>
          </c:marker>
          <c:cat>
            <c:strRef>
              <c:f>Sheet1!$A$2:$A$172</c:f>
              <c:strCache>
                <c:ptCount val="24"/>
                <c:pt idx="0">
                  <c:v>2015/04</c:v>
                </c:pt>
                <c:pt idx="1">
                  <c:v>2015/05</c:v>
                </c:pt>
                <c:pt idx="2">
                  <c:v>2015/06</c:v>
                </c:pt>
                <c:pt idx="3">
                  <c:v>2015/07</c:v>
                </c:pt>
                <c:pt idx="4">
                  <c:v>2015/08</c:v>
                </c:pt>
                <c:pt idx="5">
                  <c:v>2015/09</c:v>
                </c:pt>
                <c:pt idx="6">
                  <c:v>2015/10</c:v>
                </c:pt>
                <c:pt idx="7">
                  <c:v>2015/11</c:v>
                </c:pt>
                <c:pt idx="8">
                  <c:v>2015/12</c:v>
                </c:pt>
                <c:pt idx="9">
                  <c:v>2016/01</c:v>
                </c:pt>
                <c:pt idx="10">
                  <c:v>2016/02</c:v>
                </c:pt>
                <c:pt idx="11">
                  <c:v>2016/03</c:v>
                </c:pt>
                <c:pt idx="12">
                  <c:v>2016/04</c:v>
                </c:pt>
                <c:pt idx="13">
                  <c:v>2016/05</c:v>
                </c:pt>
                <c:pt idx="14">
                  <c:v>2016/06</c:v>
                </c:pt>
                <c:pt idx="15">
                  <c:v>2016/07</c:v>
                </c:pt>
                <c:pt idx="16">
                  <c:v>2016/08</c:v>
                </c:pt>
                <c:pt idx="17">
                  <c:v>2016/09</c:v>
                </c:pt>
                <c:pt idx="18">
                  <c:v>2016/10</c:v>
                </c:pt>
                <c:pt idx="19">
                  <c:v>2016/11</c:v>
                </c:pt>
                <c:pt idx="20">
                  <c:v>2016/12</c:v>
                </c:pt>
                <c:pt idx="21">
                  <c:v>2017/01</c:v>
                </c:pt>
                <c:pt idx="22">
                  <c:v>2017/02</c:v>
                </c:pt>
                <c:pt idx="23">
                  <c:v>2017/03</c:v>
                </c:pt>
              </c:strCache>
            </c:strRef>
          </c:cat>
          <c:val>
            <c:numRef>
              <c:f>Sheet1!$D$2:$D$172</c:f>
              <c:numCache>
                <c:formatCode>0.0000</c:formatCode>
                <c:ptCount val="24"/>
                <c:pt idx="0">
                  <c:v>1.7702</c:v>
                </c:pt>
                <c:pt idx="1">
                  <c:v>2.7545999999999999</c:v>
                </c:pt>
                <c:pt idx="2">
                  <c:v>3.4863</c:v>
                </c:pt>
                <c:pt idx="3">
                  <c:v>2.9605999999999999</c:v>
                </c:pt>
                <c:pt idx="4">
                  <c:v>3.4526999999999983</c:v>
                </c:pt>
                <c:pt idx="5">
                  <c:v>4.4420999999999999</c:v>
                </c:pt>
                <c:pt idx="6">
                  <c:v>4.1006999999999998</c:v>
                </c:pt>
                <c:pt idx="7">
                  <c:v>3.5474000000000001</c:v>
                </c:pt>
                <c:pt idx="8">
                  <c:v>4.2395000000000014</c:v>
                </c:pt>
                <c:pt idx="9">
                  <c:v>5.3338000000000001</c:v>
                </c:pt>
                <c:pt idx="10">
                  <c:v>4.8026999999999997</c:v>
                </c:pt>
                <c:pt idx="11">
                  <c:v>4.9896000000000029</c:v>
                </c:pt>
                <c:pt idx="12">
                  <c:v>4.5522999999999998</c:v>
                </c:pt>
                <c:pt idx="13">
                  <c:v>4.2198000000000002</c:v>
                </c:pt>
                <c:pt idx="14">
                  <c:v>4.0591999999999997</c:v>
                </c:pt>
                <c:pt idx="15">
                  <c:v>4.9392000000000031</c:v>
                </c:pt>
                <c:pt idx="16">
                  <c:v>5.4903000000000004</c:v>
                </c:pt>
                <c:pt idx="17">
                  <c:v>4.7858999999999998</c:v>
                </c:pt>
                <c:pt idx="18">
                  <c:v>4.9767000000000028</c:v>
                </c:pt>
                <c:pt idx="19">
                  <c:v>6.3906000000000001</c:v>
                </c:pt>
                <c:pt idx="20">
                  <c:v>6.8118999999999996</c:v>
                </c:pt>
                <c:pt idx="21">
                  <c:v>6.5510999999999999</c:v>
                </c:pt>
                <c:pt idx="22">
                  <c:v>7.2347000000000001</c:v>
                </c:pt>
                <c:pt idx="23">
                  <c:v>7.6581999999999972</c:v>
                </c:pt>
              </c:numCache>
            </c:numRef>
          </c:val>
        </c:ser>
        <c:marker val="1"/>
        <c:axId val="104837120"/>
        <c:axId val="104838656"/>
      </c:lineChart>
      <c:catAx>
        <c:axId val="104837120"/>
        <c:scaling>
          <c:orientation val="minMax"/>
        </c:scaling>
        <c:axPos val="b"/>
        <c:numFmt formatCode="mmm/yy" sourceLinked="1"/>
        <c:majorTickMark val="cross"/>
        <c:tickLblPos val="low"/>
        <c:txPr>
          <a:bodyPr rot="-5400000" vert="horz"/>
          <a:lstStyle/>
          <a:p>
            <a:pPr>
              <a:defRPr sz="900"/>
            </a:pPr>
            <a:endParaRPr lang="en-US"/>
          </a:p>
        </c:txPr>
        <c:crossAx val="104838656"/>
        <c:crosses val="autoZero"/>
        <c:auto val="1"/>
        <c:lblAlgn val="ctr"/>
        <c:lblOffset val="100"/>
        <c:tickLblSkip val="3"/>
      </c:catAx>
      <c:valAx>
        <c:axId val="104838656"/>
        <c:scaling>
          <c:orientation val="minMax"/>
        </c:scaling>
        <c:axPos val="l"/>
        <c:majorGridlines/>
        <c:numFmt formatCode="0.0" sourceLinked="0"/>
        <c:tickLblPos val="nextTo"/>
        <c:crossAx val="104837120"/>
        <c:crosses val="autoZero"/>
        <c:crossBetween val="midCat"/>
      </c:valAx>
    </c:plotArea>
    <c:legend>
      <c:legendPos val="b"/>
      <c:txPr>
        <a:bodyPr/>
        <a:lstStyle/>
        <a:p>
          <a:pPr>
            <a:defRPr sz="9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4836961362234424"/>
          <c:y val="6.9149484710179024E-2"/>
          <c:w val="0.70715687665142313"/>
          <c:h val="0.7410914642246903"/>
        </c:manualLayout>
      </c:layout>
      <c:lineChart>
        <c:grouping val="standard"/>
        <c:ser>
          <c:idx val="0"/>
          <c:order val="0"/>
          <c:tx>
            <c:strRef>
              <c:f>Sheet1!$B$1</c:f>
              <c:strCache>
                <c:ptCount val="1"/>
                <c:pt idx="0">
                  <c:v>CPIMK</c:v>
                </c:pt>
              </c:strCache>
            </c:strRef>
          </c:tx>
          <c:spPr>
            <a:ln>
              <a:solidFill>
                <a:schemeClr val="tx1"/>
              </a:solidFill>
            </a:ln>
          </c:spPr>
          <c:marker>
            <c:symbol val="none"/>
          </c:marker>
          <c:cat>
            <c:strRef>
              <c:f>Sheet1!$A$2:$A$136</c:f>
              <c:strCache>
                <c:ptCount val="135"/>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strCache>
            </c:strRef>
          </c:cat>
          <c:val>
            <c:numRef>
              <c:f>Sheet1!$B$2:$B$136</c:f>
              <c:numCache>
                <c:formatCode>0.00</c:formatCode>
                <c:ptCount val="135"/>
                <c:pt idx="0">
                  <c:v>2</c:v>
                </c:pt>
                <c:pt idx="1">
                  <c:v>1.7</c:v>
                </c:pt>
                <c:pt idx="2">
                  <c:v>1.6</c:v>
                </c:pt>
                <c:pt idx="3">
                  <c:v>1</c:v>
                </c:pt>
                <c:pt idx="4">
                  <c:v>0.70000000000000062</c:v>
                </c:pt>
                <c:pt idx="5">
                  <c:v>0.5</c:v>
                </c:pt>
                <c:pt idx="6">
                  <c:v>0.30000000000000032</c:v>
                </c:pt>
                <c:pt idx="7">
                  <c:v>0</c:v>
                </c:pt>
                <c:pt idx="8">
                  <c:v>-0.2</c:v>
                </c:pt>
                <c:pt idx="9">
                  <c:v>-0.2</c:v>
                </c:pt>
                <c:pt idx="10">
                  <c:v>-0.30000000000000032</c:v>
                </c:pt>
                <c:pt idx="11">
                  <c:v>-1.9000000000000001</c:v>
                </c:pt>
                <c:pt idx="12">
                  <c:v>-1.4000000000000057</c:v>
                </c:pt>
                <c:pt idx="13">
                  <c:v>-0.70000000000000062</c:v>
                </c:pt>
                <c:pt idx="14">
                  <c:v>-0.4</c:v>
                </c:pt>
                <c:pt idx="15">
                  <c:v>-0.2</c:v>
                </c:pt>
                <c:pt idx="16">
                  <c:v>0</c:v>
                </c:pt>
                <c:pt idx="17">
                  <c:v>0.2</c:v>
                </c:pt>
                <c:pt idx="18">
                  <c:v>0.30000000000000032</c:v>
                </c:pt>
                <c:pt idx="19">
                  <c:v>0.30000000000000032</c:v>
                </c:pt>
                <c:pt idx="20">
                  <c:v>0.4</c:v>
                </c:pt>
                <c:pt idx="21">
                  <c:v>0.5</c:v>
                </c:pt>
                <c:pt idx="22">
                  <c:v>0.4</c:v>
                </c:pt>
                <c:pt idx="23">
                  <c:v>1.2</c:v>
                </c:pt>
                <c:pt idx="24">
                  <c:v>2.4</c:v>
                </c:pt>
                <c:pt idx="25">
                  <c:v>2.7</c:v>
                </c:pt>
                <c:pt idx="26">
                  <c:v>2.7</c:v>
                </c:pt>
                <c:pt idx="27">
                  <c:v>2.9</c:v>
                </c:pt>
                <c:pt idx="28">
                  <c:v>3.1</c:v>
                </c:pt>
                <c:pt idx="29">
                  <c:v>3.1</c:v>
                </c:pt>
                <c:pt idx="30">
                  <c:v>3.2</c:v>
                </c:pt>
                <c:pt idx="31">
                  <c:v>3.3</c:v>
                </c:pt>
                <c:pt idx="32">
                  <c:v>3.3</c:v>
                </c:pt>
                <c:pt idx="33">
                  <c:v>3.2</c:v>
                </c:pt>
                <c:pt idx="34">
                  <c:v>3.2</c:v>
                </c:pt>
                <c:pt idx="35">
                  <c:v>3.2</c:v>
                </c:pt>
                <c:pt idx="36">
                  <c:v>0.8</c:v>
                </c:pt>
                <c:pt idx="37">
                  <c:v>0.5</c:v>
                </c:pt>
                <c:pt idx="38">
                  <c:v>0.8</c:v>
                </c:pt>
                <c:pt idx="39">
                  <c:v>1</c:v>
                </c:pt>
                <c:pt idx="40">
                  <c:v>0.9</c:v>
                </c:pt>
                <c:pt idx="41">
                  <c:v>1.3</c:v>
                </c:pt>
                <c:pt idx="42">
                  <c:v>1.3</c:v>
                </c:pt>
                <c:pt idx="43">
                  <c:v>2.2000000000000002</c:v>
                </c:pt>
                <c:pt idx="44">
                  <c:v>3.6</c:v>
                </c:pt>
                <c:pt idx="45">
                  <c:v>3.9</c:v>
                </c:pt>
                <c:pt idx="46">
                  <c:v>4.5999999999999996</c:v>
                </c:pt>
                <c:pt idx="47">
                  <c:v>6.1</c:v>
                </c:pt>
                <c:pt idx="48">
                  <c:v>8.7000000000000011</c:v>
                </c:pt>
                <c:pt idx="49">
                  <c:v>9.6</c:v>
                </c:pt>
                <c:pt idx="50">
                  <c:v>10.200000000000001</c:v>
                </c:pt>
                <c:pt idx="51">
                  <c:v>10.1</c:v>
                </c:pt>
                <c:pt idx="52">
                  <c:v>9.5</c:v>
                </c:pt>
                <c:pt idx="53">
                  <c:v>10.1</c:v>
                </c:pt>
                <c:pt idx="54">
                  <c:v>9.5</c:v>
                </c:pt>
                <c:pt idx="55">
                  <c:v>8.6</c:v>
                </c:pt>
                <c:pt idx="56">
                  <c:v>7.1</c:v>
                </c:pt>
                <c:pt idx="57">
                  <c:v>7.1</c:v>
                </c:pt>
                <c:pt idx="58">
                  <c:v>5.2</c:v>
                </c:pt>
                <c:pt idx="59">
                  <c:v>4.0999999999999996</c:v>
                </c:pt>
                <c:pt idx="60">
                  <c:v>1.7</c:v>
                </c:pt>
                <c:pt idx="61">
                  <c:v>0.70000000000000062</c:v>
                </c:pt>
                <c:pt idx="62">
                  <c:v>0.2</c:v>
                </c:pt>
                <c:pt idx="63">
                  <c:v>-0.5</c:v>
                </c:pt>
                <c:pt idx="64">
                  <c:v>0.4</c:v>
                </c:pt>
                <c:pt idx="65">
                  <c:v>-1.7</c:v>
                </c:pt>
                <c:pt idx="66">
                  <c:v>-1.3</c:v>
                </c:pt>
                <c:pt idx="67">
                  <c:v>-1.4</c:v>
                </c:pt>
                <c:pt idx="68">
                  <c:v>-1.4</c:v>
                </c:pt>
                <c:pt idx="69">
                  <c:v>-2.4</c:v>
                </c:pt>
                <c:pt idx="70">
                  <c:v>-2.2999999999999998</c:v>
                </c:pt>
                <c:pt idx="71">
                  <c:v>-1.6</c:v>
                </c:pt>
                <c:pt idx="72">
                  <c:v>9.9999999999994552E-2</c:v>
                </c:pt>
                <c:pt idx="73">
                  <c:v>0.59999999999999432</c:v>
                </c:pt>
                <c:pt idx="74">
                  <c:v>0.70000000000000284</c:v>
                </c:pt>
                <c:pt idx="75">
                  <c:v>1.4000000000000057</c:v>
                </c:pt>
                <c:pt idx="76">
                  <c:v>0.20000000000000284</c:v>
                </c:pt>
                <c:pt idx="77">
                  <c:v>1.8</c:v>
                </c:pt>
                <c:pt idx="78">
                  <c:v>1.5</c:v>
                </c:pt>
                <c:pt idx="79">
                  <c:v>1.9000000000000061</c:v>
                </c:pt>
                <c:pt idx="80">
                  <c:v>2</c:v>
                </c:pt>
                <c:pt idx="81">
                  <c:v>2.7</c:v>
                </c:pt>
                <c:pt idx="82">
                  <c:v>2.9000000000000057</c:v>
                </c:pt>
                <c:pt idx="83">
                  <c:v>3</c:v>
                </c:pt>
                <c:pt idx="84">
                  <c:v>3.2</c:v>
                </c:pt>
                <c:pt idx="85">
                  <c:v>3.9000000000000057</c:v>
                </c:pt>
                <c:pt idx="86">
                  <c:v>5.2</c:v>
                </c:pt>
                <c:pt idx="87">
                  <c:v>4.8</c:v>
                </c:pt>
                <c:pt idx="88">
                  <c:v>5.2</c:v>
                </c:pt>
                <c:pt idx="89">
                  <c:v>4.0999999999999943</c:v>
                </c:pt>
                <c:pt idx="90">
                  <c:v>3.8</c:v>
                </c:pt>
                <c:pt idx="91">
                  <c:v>3.5999999999999943</c:v>
                </c:pt>
                <c:pt idx="92">
                  <c:v>3.4000000000000057</c:v>
                </c:pt>
                <c:pt idx="93">
                  <c:v>3.3</c:v>
                </c:pt>
                <c:pt idx="94">
                  <c:v>3.5</c:v>
                </c:pt>
                <c:pt idx="95">
                  <c:v>2.8091098501894742</c:v>
                </c:pt>
                <c:pt idx="96">
                  <c:v>3.3615917436264269</c:v>
                </c:pt>
                <c:pt idx="97">
                  <c:v>2.875754154084158</c:v>
                </c:pt>
                <c:pt idx="98">
                  <c:v>1.4200000000000017</c:v>
                </c:pt>
                <c:pt idx="99">
                  <c:v>2.1700000000000017</c:v>
                </c:pt>
                <c:pt idx="100">
                  <c:v>2.019999999999996</c:v>
                </c:pt>
                <c:pt idx="101">
                  <c:v>2.1400000000000006</c:v>
                </c:pt>
                <c:pt idx="102">
                  <c:v>2.2800000000000011</c:v>
                </c:pt>
                <c:pt idx="103">
                  <c:v>3.7399999999999949</c:v>
                </c:pt>
                <c:pt idx="104">
                  <c:v>5.3199999999999905</c:v>
                </c:pt>
                <c:pt idx="105">
                  <c:v>5.269999999999996</c:v>
                </c:pt>
                <c:pt idx="106">
                  <c:v>4.5999999999999943</c:v>
                </c:pt>
                <c:pt idx="107">
                  <c:v>4.6899999999999977</c:v>
                </c:pt>
                <c:pt idx="108">
                  <c:v>3.8100000000000023</c:v>
                </c:pt>
                <c:pt idx="109">
                  <c:v>3.5</c:v>
                </c:pt>
                <c:pt idx="110">
                  <c:v>3.1099999999999994</c:v>
                </c:pt>
                <c:pt idx="111">
                  <c:v>3.3400000000000034</c:v>
                </c:pt>
                <c:pt idx="112">
                  <c:v>3.4200000000000017</c:v>
                </c:pt>
                <c:pt idx="113">
                  <c:v>4.1800000000000068</c:v>
                </c:pt>
                <c:pt idx="114">
                  <c:v>3.9599999999999937</c:v>
                </c:pt>
                <c:pt idx="115">
                  <c:v>2.8100000000000023</c:v>
                </c:pt>
                <c:pt idx="116">
                  <c:v>1.609999999999983</c:v>
                </c:pt>
                <c:pt idx="117">
                  <c:v>1.3100000000000165</c:v>
                </c:pt>
                <c:pt idx="118">
                  <c:v>1.1199999999999879</c:v>
                </c:pt>
                <c:pt idx="119">
                  <c:v>1.3499999999999777</c:v>
                </c:pt>
                <c:pt idx="120">
                  <c:v>1.184670638114298</c:v>
                </c:pt>
                <c:pt idx="121">
                  <c:v>0.51816639179817459</c:v>
                </c:pt>
                <c:pt idx="122">
                  <c:v>0.16090367359198871</c:v>
                </c:pt>
                <c:pt idx="123">
                  <c:v>-1.1207575468698143</c:v>
                </c:pt>
                <c:pt idx="124">
                  <c:v>-0.63346608494390366</c:v>
                </c:pt>
                <c:pt idx="125">
                  <c:v>-1.1184304599132864</c:v>
                </c:pt>
                <c:pt idx="126">
                  <c:v>0.1931989666153982</c:v>
                </c:pt>
                <c:pt idx="127">
                  <c:v>-0.59070167182794242</c:v>
                </c:pt>
                <c:pt idx="128">
                  <c:v>-0.71663123388312244</c:v>
                </c:pt>
                <c:pt idx="129">
                  <c:v>-0.38314894705877184</c:v>
                </c:pt>
                <c:pt idx="130">
                  <c:v>-0.29195481372092114</c:v>
                </c:pt>
                <c:pt idx="131">
                  <c:v>-0.54934973087621586</c:v>
                </c:pt>
                <c:pt idx="132">
                  <c:v>-1.4617958391202419</c:v>
                </c:pt>
                <c:pt idx="133">
                  <c:v>-0.99651065575080977</c:v>
                </c:pt>
                <c:pt idx="134">
                  <c:v>-0.25588343762233035</c:v>
                </c:pt>
              </c:numCache>
            </c:numRef>
          </c:val>
        </c:ser>
        <c:marker val="1"/>
        <c:axId val="113537792"/>
        <c:axId val="113558272"/>
      </c:lineChart>
      <c:lineChart>
        <c:grouping val="standard"/>
        <c:ser>
          <c:idx val="1"/>
          <c:order val="1"/>
          <c:tx>
            <c:strRef>
              <c:f>Sheet1!$C$1</c:f>
              <c:strCache>
                <c:ptCount val="1"/>
                <c:pt idx="0">
                  <c:v>OIL</c:v>
                </c:pt>
              </c:strCache>
            </c:strRef>
          </c:tx>
          <c:marker>
            <c:symbol val="none"/>
          </c:marker>
          <c:cat>
            <c:strRef>
              <c:f>Sheet1!$A$2:$A$136</c:f>
              <c:strCache>
                <c:ptCount val="135"/>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strCache>
            </c:strRef>
          </c:cat>
          <c:val>
            <c:numRef>
              <c:f>Sheet1!$C$2:$C$136</c:f>
              <c:numCache>
                <c:formatCode>0.00</c:formatCode>
                <c:ptCount val="135"/>
                <c:pt idx="0">
                  <c:v>31.4</c:v>
                </c:pt>
                <c:pt idx="1">
                  <c:v>31.32</c:v>
                </c:pt>
                <c:pt idx="2">
                  <c:v>33.67</c:v>
                </c:pt>
                <c:pt idx="3">
                  <c:v>33.71</c:v>
                </c:pt>
                <c:pt idx="4">
                  <c:v>37.630000000000003</c:v>
                </c:pt>
                <c:pt idx="5">
                  <c:v>35.54</c:v>
                </c:pt>
                <c:pt idx="6">
                  <c:v>37.93</c:v>
                </c:pt>
                <c:pt idx="7">
                  <c:v>42.08</c:v>
                </c:pt>
                <c:pt idx="8">
                  <c:v>41.65</c:v>
                </c:pt>
                <c:pt idx="9">
                  <c:v>46.87</c:v>
                </c:pt>
                <c:pt idx="10">
                  <c:v>42.230000000000011</c:v>
                </c:pt>
                <c:pt idx="11">
                  <c:v>39.090000000000003</c:v>
                </c:pt>
                <c:pt idx="12">
                  <c:v>42.89</c:v>
                </c:pt>
                <c:pt idx="13">
                  <c:v>44.56</c:v>
                </c:pt>
                <c:pt idx="14">
                  <c:v>50.93</c:v>
                </c:pt>
                <c:pt idx="15">
                  <c:v>50.64</c:v>
                </c:pt>
                <c:pt idx="16">
                  <c:v>47.809999999999995</c:v>
                </c:pt>
                <c:pt idx="17">
                  <c:v>53.89</c:v>
                </c:pt>
                <c:pt idx="18">
                  <c:v>56.37</c:v>
                </c:pt>
                <c:pt idx="19">
                  <c:v>61.87</c:v>
                </c:pt>
                <c:pt idx="20">
                  <c:v>61.65</c:v>
                </c:pt>
                <c:pt idx="21">
                  <c:v>58.190000000000012</c:v>
                </c:pt>
                <c:pt idx="22">
                  <c:v>54.98</c:v>
                </c:pt>
                <c:pt idx="23">
                  <c:v>56.47</c:v>
                </c:pt>
                <c:pt idx="24">
                  <c:v>62.36</c:v>
                </c:pt>
                <c:pt idx="25">
                  <c:v>59.71</c:v>
                </c:pt>
                <c:pt idx="26">
                  <c:v>60.93</c:v>
                </c:pt>
                <c:pt idx="27">
                  <c:v>68</c:v>
                </c:pt>
                <c:pt idx="28">
                  <c:v>68.61</c:v>
                </c:pt>
                <c:pt idx="29">
                  <c:v>68.290000000000006</c:v>
                </c:pt>
                <c:pt idx="30">
                  <c:v>72.510000000000005</c:v>
                </c:pt>
                <c:pt idx="31">
                  <c:v>71.81</c:v>
                </c:pt>
                <c:pt idx="32">
                  <c:v>61.97</c:v>
                </c:pt>
                <c:pt idx="33">
                  <c:v>57.949999999999996</c:v>
                </c:pt>
                <c:pt idx="34">
                  <c:v>58.13</c:v>
                </c:pt>
                <c:pt idx="35">
                  <c:v>61</c:v>
                </c:pt>
                <c:pt idx="36">
                  <c:v>53.4</c:v>
                </c:pt>
                <c:pt idx="37">
                  <c:v>57.58</c:v>
                </c:pt>
                <c:pt idx="38">
                  <c:v>60.6</c:v>
                </c:pt>
                <c:pt idx="39">
                  <c:v>65.099999999999994</c:v>
                </c:pt>
                <c:pt idx="40">
                  <c:v>65.099999999999994</c:v>
                </c:pt>
                <c:pt idx="41">
                  <c:v>68.19</c:v>
                </c:pt>
                <c:pt idx="42">
                  <c:v>73.669999999999987</c:v>
                </c:pt>
                <c:pt idx="43">
                  <c:v>70.13</c:v>
                </c:pt>
                <c:pt idx="44">
                  <c:v>76.910000000000025</c:v>
                </c:pt>
                <c:pt idx="45">
                  <c:v>82.149999999999991</c:v>
                </c:pt>
                <c:pt idx="46">
                  <c:v>91.27</c:v>
                </c:pt>
                <c:pt idx="47">
                  <c:v>89.43</c:v>
                </c:pt>
                <c:pt idx="48">
                  <c:v>90.82</c:v>
                </c:pt>
                <c:pt idx="49">
                  <c:v>93.75</c:v>
                </c:pt>
                <c:pt idx="50">
                  <c:v>101.84</c:v>
                </c:pt>
                <c:pt idx="51">
                  <c:v>109.05</c:v>
                </c:pt>
                <c:pt idx="52">
                  <c:v>122.77</c:v>
                </c:pt>
                <c:pt idx="53">
                  <c:v>131.52000000000001</c:v>
                </c:pt>
                <c:pt idx="54">
                  <c:v>132.55000000000001</c:v>
                </c:pt>
                <c:pt idx="55">
                  <c:v>114.57</c:v>
                </c:pt>
                <c:pt idx="56">
                  <c:v>99.29</c:v>
                </c:pt>
                <c:pt idx="57">
                  <c:v>72.69</c:v>
                </c:pt>
                <c:pt idx="58">
                  <c:v>54.04</c:v>
                </c:pt>
                <c:pt idx="59">
                  <c:v>41.53</c:v>
                </c:pt>
                <c:pt idx="60">
                  <c:v>43.91</c:v>
                </c:pt>
                <c:pt idx="61">
                  <c:v>41.760000000000012</c:v>
                </c:pt>
                <c:pt idx="62">
                  <c:v>46.949999999999996</c:v>
                </c:pt>
                <c:pt idx="63">
                  <c:v>50.28</c:v>
                </c:pt>
                <c:pt idx="64">
                  <c:v>58.1</c:v>
                </c:pt>
                <c:pt idx="65">
                  <c:v>69.13</c:v>
                </c:pt>
                <c:pt idx="66">
                  <c:v>64.649999999999991</c:v>
                </c:pt>
                <c:pt idx="67">
                  <c:v>71.63</c:v>
                </c:pt>
                <c:pt idx="68">
                  <c:v>68.38</c:v>
                </c:pt>
                <c:pt idx="69">
                  <c:v>74.08</c:v>
                </c:pt>
                <c:pt idx="70">
                  <c:v>77.56</c:v>
                </c:pt>
                <c:pt idx="71">
                  <c:v>74.88</c:v>
                </c:pt>
                <c:pt idx="72">
                  <c:v>77.11999999999999</c:v>
                </c:pt>
                <c:pt idx="73">
                  <c:v>74.72</c:v>
                </c:pt>
                <c:pt idx="74">
                  <c:v>79.3</c:v>
                </c:pt>
                <c:pt idx="75">
                  <c:v>84.14</c:v>
                </c:pt>
                <c:pt idx="76">
                  <c:v>75.540000000000006</c:v>
                </c:pt>
                <c:pt idx="77">
                  <c:v>74.73</c:v>
                </c:pt>
                <c:pt idx="78">
                  <c:v>74.52</c:v>
                </c:pt>
                <c:pt idx="79">
                  <c:v>75.88</c:v>
                </c:pt>
                <c:pt idx="80">
                  <c:v>76.11</c:v>
                </c:pt>
                <c:pt idx="81">
                  <c:v>81.72</c:v>
                </c:pt>
                <c:pt idx="82">
                  <c:v>84.53</c:v>
                </c:pt>
                <c:pt idx="83">
                  <c:v>90.07</c:v>
                </c:pt>
                <c:pt idx="84">
                  <c:v>92.66</c:v>
                </c:pt>
                <c:pt idx="85">
                  <c:v>97.73</c:v>
                </c:pt>
                <c:pt idx="86">
                  <c:v>108.64999999999999</c:v>
                </c:pt>
                <c:pt idx="87">
                  <c:v>116.32</c:v>
                </c:pt>
                <c:pt idx="88">
                  <c:v>108.17999999999998</c:v>
                </c:pt>
                <c:pt idx="89">
                  <c:v>105.85</c:v>
                </c:pt>
                <c:pt idx="90">
                  <c:v>107.88</c:v>
                </c:pt>
                <c:pt idx="91">
                  <c:v>100.45</c:v>
                </c:pt>
                <c:pt idx="92">
                  <c:v>100.83</c:v>
                </c:pt>
                <c:pt idx="93">
                  <c:v>99.92</c:v>
                </c:pt>
                <c:pt idx="94">
                  <c:v>105.36</c:v>
                </c:pt>
                <c:pt idx="95">
                  <c:v>104.26</c:v>
                </c:pt>
                <c:pt idx="96">
                  <c:v>106.89</c:v>
                </c:pt>
                <c:pt idx="97">
                  <c:v>112.7</c:v>
                </c:pt>
                <c:pt idx="98">
                  <c:v>117.79</c:v>
                </c:pt>
                <c:pt idx="99">
                  <c:v>113.75</c:v>
                </c:pt>
                <c:pt idx="100">
                  <c:v>104.16</c:v>
                </c:pt>
                <c:pt idx="101">
                  <c:v>90.73</c:v>
                </c:pt>
                <c:pt idx="102">
                  <c:v>96.75</c:v>
                </c:pt>
                <c:pt idx="103">
                  <c:v>105.28</c:v>
                </c:pt>
                <c:pt idx="104">
                  <c:v>106.32</c:v>
                </c:pt>
                <c:pt idx="105">
                  <c:v>103.39</c:v>
                </c:pt>
                <c:pt idx="106">
                  <c:v>101.16999999999999</c:v>
                </c:pt>
                <c:pt idx="107">
                  <c:v>101.16999999999999</c:v>
                </c:pt>
                <c:pt idx="108">
                  <c:v>105.04</c:v>
                </c:pt>
                <c:pt idx="109">
                  <c:v>107.66</c:v>
                </c:pt>
                <c:pt idx="110">
                  <c:v>102.61</c:v>
                </c:pt>
                <c:pt idx="111">
                  <c:v>98.85</c:v>
                </c:pt>
                <c:pt idx="112">
                  <c:v>99.35</c:v>
                </c:pt>
                <c:pt idx="113">
                  <c:v>99.740000000000023</c:v>
                </c:pt>
                <c:pt idx="114">
                  <c:v>105.21000000000002</c:v>
                </c:pt>
                <c:pt idx="115">
                  <c:v>108.06</c:v>
                </c:pt>
                <c:pt idx="116">
                  <c:v>108.78</c:v>
                </c:pt>
                <c:pt idx="117">
                  <c:v>105.46000000000002</c:v>
                </c:pt>
                <c:pt idx="118">
                  <c:v>102.58</c:v>
                </c:pt>
                <c:pt idx="119">
                  <c:v>105.49000000000002</c:v>
                </c:pt>
                <c:pt idx="120">
                  <c:v>102.25</c:v>
                </c:pt>
                <c:pt idx="121">
                  <c:v>104.82</c:v>
                </c:pt>
                <c:pt idx="122">
                  <c:v>104.04</c:v>
                </c:pt>
                <c:pt idx="123">
                  <c:v>104.94000000000013</c:v>
                </c:pt>
                <c:pt idx="124">
                  <c:v>105.73</c:v>
                </c:pt>
                <c:pt idx="125">
                  <c:v>108.36999999999999</c:v>
                </c:pt>
                <c:pt idx="126">
                  <c:v>105.22</c:v>
                </c:pt>
                <c:pt idx="127">
                  <c:v>100.05</c:v>
                </c:pt>
                <c:pt idx="128">
                  <c:v>95.89</c:v>
                </c:pt>
                <c:pt idx="129">
                  <c:v>86.13</c:v>
                </c:pt>
                <c:pt idx="130">
                  <c:v>76.959999999999994</c:v>
                </c:pt>
                <c:pt idx="131">
                  <c:v>60.55</c:v>
                </c:pt>
                <c:pt idx="132">
                  <c:v>47.449999999999996</c:v>
                </c:pt>
                <c:pt idx="133">
                  <c:v>54.93</c:v>
                </c:pt>
                <c:pt idx="134">
                  <c:v>52.83</c:v>
                </c:pt>
              </c:numCache>
            </c:numRef>
          </c:val>
        </c:ser>
        <c:marker val="1"/>
        <c:axId val="114133632"/>
        <c:axId val="113560576"/>
      </c:lineChart>
      <c:catAx>
        <c:axId val="113537792"/>
        <c:scaling>
          <c:orientation val="minMax"/>
        </c:scaling>
        <c:axPos val="b"/>
        <c:numFmt formatCode="mmm/yy" sourceLinked="1"/>
        <c:tickLblPos val="nextTo"/>
        <c:txPr>
          <a:bodyPr rot="-5400000" vert="horz"/>
          <a:lstStyle/>
          <a:p>
            <a:pPr>
              <a:defRPr sz="800"/>
            </a:pPr>
            <a:endParaRPr lang="en-US"/>
          </a:p>
        </c:txPr>
        <c:crossAx val="113558272"/>
        <c:crosses val="autoZero"/>
        <c:auto val="1"/>
        <c:lblAlgn val="ctr"/>
        <c:lblOffset val="100"/>
        <c:tickLblSkip val="12"/>
        <c:tickMarkSkip val="12"/>
      </c:catAx>
      <c:valAx>
        <c:axId val="113558272"/>
        <c:scaling>
          <c:orientation val="minMax"/>
        </c:scaling>
        <c:axPos val="l"/>
        <c:majorGridlines/>
        <c:title>
          <c:tx>
            <c:rich>
              <a:bodyPr rot="-5400000" vert="horz"/>
              <a:lstStyle/>
              <a:p>
                <a:pPr>
                  <a:defRPr b="0"/>
                </a:pPr>
                <a:r>
                  <a:rPr lang="mk-MK" b="0"/>
                  <a:t>Проценти </a:t>
                </a:r>
                <a:r>
                  <a:rPr lang="en-US" b="0"/>
                  <a:t>(%)</a:t>
                </a:r>
              </a:p>
            </c:rich>
          </c:tx>
          <c:layout>
            <c:manualLayout>
              <c:xMode val="edge"/>
              <c:yMode val="edge"/>
              <c:x val="1.4026765715869183E-2"/>
              <c:y val="0.20232595317921545"/>
            </c:manualLayout>
          </c:layout>
        </c:title>
        <c:numFmt formatCode="0" sourceLinked="0"/>
        <c:tickLblPos val="nextTo"/>
        <c:crossAx val="113537792"/>
        <c:crosses val="autoZero"/>
        <c:crossBetween val="between"/>
      </c:valAx>
      <c:valAx>
        <c:axId val="113560576"/>
        <c:scaling>
          <c:orientation val="minMax"/>
        </c:scaling>
        <c:axPos val="r"/>
        <c:title>
          <c:tx>
            <c:rich>
              <a:bodyPr rot="-5400000" vert="horz"/>
              <a:lstStyle/>
              <a:p>
                <a:pPr>
                  <a:defRPr b="0"/>
                </a:pPr>
                <a:r>
                  <a:rPr lang="mk-MK" b="0"/>
                  <a:t>САД долари по барел</a:t>
                </a:r>
                <a:endParaRPr lang="en-US" b="0"/>
              </a:p>
            </c:rich>
          </c:tx>
        </c:title>
        <c:numFmt formatCode="0" sourceLinked="0"/>
        <c:tickLblPos val="nextTo"/>
        <c:crossAx val="114133632"/>
        <c:crosses val="max"/>
        <c:crossBetween val="between"/>
      </c:valAx>
      <c:catAx>
        <c:axId val="114133632"/>
        <c:scaling>
          <c:orientation val="minMax"/>
        </c:scaling>
        <c:delete val="1"/>
        <c:axPos val="b"/>
        <c:numFmt formatCode="mmm/yy" sourceLinked="1"/>
        <c:tickLblPos val="none"/>
        <c:crossAx val="113560576"/>
        <c:crosses val="autoZero"/>
        <c:auto val="1"/>
        <c:lblAlgn val="ctr"/>
        <c:lblOffset val="100"/>
        <c:tickLblSkip val="1"/>
        <c:tickMarkSkip val="1"/>
      </c:catAx>
    </c:plotArea>
    <c:legend>
      <c:legendPos val="b"/>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4404328980098746"/>
          <c:y val="6.3430501236182019E-2"/>
          <c:w val="0.73290791570074454"/>
          <c:h val="0.74382239469351175"/>
        </c:manualLayout>
      </c:layout>
      <c:lineChart>
        <c:grouping val="standard"/>
        <c:ser>
          <c:idx val="0"/>
          <c:order val="0"/>
          <c:tx>
            <c:strRef>
              <c:f>Sheet1!$B$1</c:f>
              <c:strCache>
                <c:ptCount val="1"/>
                <c:pt idx="0">
                  <c:v>CPIMK</c:v>
                </c:pt>
              </c:strCache>
            </c:strRef>
          </c:tx>
          <c:spPr>
            <a:ln>
              <a:solidFill>
                <a:schemeClr val="tx1"/>
              </a:solidFill>
            </a:ln>
          </c:spPr>
          <c:marker>
            <c:symbol val="none"/>
          </c:marker>
          <c:cat>
            <c:strRef>
              <c:f>Sheet1!$A$2:$A$136</c:f>
              <c:strCache>
                <c:ptCount val="135"/>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strCache>
            </c:strRef>
          </c:cat>
          <c:val>
            <c:numRef>
              <c:f>Sheet1!$B$2:$B$136</c:f>
              <c:numCache>
                <c:formatCode>0.00</c:formatCode>
                <c:ptCount val="135"/>
                <c:pt idx="0">
                  <c:v>2</c:v>
                </c:pt>
                <c:pt idx="1">
                  <c:v>1.7</c:v>
                </c:pt>
                <c:pt idx="2">
                  <c:v>1.6</c:v>
                </c:pt>
                <c:pt idx="3">
                  <c:v>1</c:v>
                </c:pt>
                <c:pt idx="4">
                  <c:v>0.70000000000000062</c:v>
                </c:pt>
                <c:pt idx="5">
                  <c:v>0.5</c:v>
                </c:pt>
                <c:pt idx="6">
                  <c:v>0.30000000000000032</c:v>
                </c:pt>
                <c:pt idx="7">
                  <c:v>0</c:v>
                </c:pt>
                <c:pt idx="8">
                  <c:v>-0.2</c:v>
                </c:pt>
                <c:pt idx="9">
                  <c:v>-0.2</c:v>
                </c:pt>
                <c:pt idx="10">
                  <c:v>-0.30000000000000032</c:v>
                </c:pt>
                <c:pt idx="11">
                  <c:v>-1.9000000000000001</c:v>
                </c:pt>
                <c:pt idx="12">
                  <c:v>-1.4000000000000057</c:v>
                </c:pt>
                <c:pt idx="13">
                  <c:v>-0.70000000000000062</c:v>
                </c:pt>
                <c:pt idx="14">
                  <c:v>-0.4</c:v>
                </c:pt>
                <c:pt idx="15">
                  <c:v>-0.2</c:v>
                </c:pt>
                <c:pt idx="16">
                  <c:v>0</c:v>
                </c:pt>
                <c:pt idx="17">
                  <c:v>0.2</c:v>
                </c:pt>
                <c:pt idx="18">
                  <c:v>0.30000000000000032</c:v>
                </c:pt>
                <c:pt idx="19">
                  <c:v>0.30000000000000032</c:v>
                </c:pt>
                <c:pt idx="20">
                  <c:v>0.4</c:v>
                </c:pt>
                <c:pt idx="21">
                  <c:v>0.5</c:v>
                </c:pt>
                <c:pt idx="22">
                  <c:v>0.4</c:v>
                </c:pt>
                <c:pt idx="23">
                  <c:v>1.2</c:v>
                </c:pt>
                <c:pt idx="24">
                  <c:v>2.4</c:v>
                </c:pt>
                <c:pt idx="25">
                  <c:v>2.7</c:v>
                </c:pt>
                <c:pt idx="26">
                  <c:v>2.7</c:v>
                </c:pt>
                <c:pt idx="27">
                  <c:v>2.9</c:v>
                </c:pt>
                <c:pt idx="28">
                  <c:v>3.1</c:v>
                </c:pt>
                <c:pt idx="29">
                  <c:v>3.1</c:v>
                </c:pt>
                <c:pt idx="30">
                  <c:v>3.2</c:v>
                </c:pt>
                <c:pt idx="31">
                  <c:v>3.3</c:v>
                </c:pt>
                <c:pt idx="32">
                  <c:v>3.3</c:v>
                </c:pt>
                <c:pt idx="33">
                  <c:v>3.2</c:v>
                </c:pt>
                <c:pt idx="34">
                  <c:v>3.2</c:v>
                </c:pt>
                <c:pt idx="35">
                  <c:v>3.2</c:v>
                </c:pt>
                <c:pt idx="36">
                  <c:v>0.8</c:v>
                </c:pt>
                <c:pt idx="37">
                  <c:v>0.5</c:v>
                </c:pt>
                <c:pt idx="38">
                  <c:v>0.8</c:v>
                </c:pt>
                <c:pt idx="39">
                  <c:v>1</c:v>
                </c:pt>
                <c:pt idx="40">
                  <c:v>0.9</c:v>
                </c:pt>
                <c:pt idx="41">
                  <c:v>1.3</c:v>
                </c:pt>
                <c:pt idx="42">
                  <c:v>1.3</c:v>
                </c:pt>
                <c:pt idx="43">
                  <c:v>2.2000000000000002</c:v>
                </c:pt>
                <c:pt idx="44">
                  <c:v>3.6</c:v>
                </c:pt>
                <c:pt idx="45">
                  <c:v>3.9</c:v>
                </c:pt>
                <c:pt idx="46">
                  <c:v>4.5999999999999996</c:v>
                </c:pt>
                <c:pt idx="47">
                  <c:v>6.1</c:v>
                </c:pt>
                <c:pt idx="48">
                  <c:v>8.7000000000000011</c:v>
                </c:pt>
                <c:pt idx="49">
                  <c:v>9.6</c:v>
                </c:pt>
                <c:pt idx="50">
                  <c:v>10.200000000000001</c:v>
                </c:pt>
                <c:pt idx="51">
                  <c:v>10.1</c:v>
                </c:pt>
                <c:pt idx="52">
                  <c:v>9.5</c:v>
                </c:pt>
                <c:pt idx="53">
                  <c:v>10.1</c:v>
                </c:pt>
                <c:pt idx="54">
                  <c:v>9.5</c:v>
                </c:pt>
                <c:pt idx="55">
                  <c:v>8.6</c:v>
                </c:pt>
                <c:pt idx="56">
                  <c:v>7.1</c:v>
                </c:pt>
                <c:pt idx="57">
                  <c:v>7.1</c:v>
                </c:pt>
                <c:pt idx="58">
                  <c:v>5.2</c:v>
                </c:pt>
                <c:pt idx="59">
                  <c:v>4.0999999999999996</c:v>
                </c:pt>
                <c:pt idx="60">
                  <c:v>1.7</c:v>
                </c:pt>
                <c:pt idx="61">
                  <c:v>0.70000000000000062</c:v>
                </c:pt>
                <c:pt idx="62">
                  <c:v>0.2</c:v>
                </c:pt>
                <c:pt idx="63">
                  <c:v>-0.5</c:v>
                </c:pt>
                <c:pt idx="64">
                  <c:v>0.4</c:v>
                </c:pt>
                <c:pt idx="65">
                  <c:v>-1.7</c:v>
                </c:pt>
                <c:pt idx="66">
                  <c:v>-1.3</c:v>
                </c:pt>
                <c:pt idx="67">
                  <c:v>-1.4</c:v>
                </c:pt>
                <c:pt idx="68">
                  <c:v>-1.4</c:v>
                </c:pt>
                <c:pt idx="69">
                  <c:v>-2.4</c:v>
                </c:pt>
                <c:pt idx="70">
                  <c:v>-2.2999999999999998</c:v>
                </c:pt>
                <c:pt idx="71">
                  <c:v>-1.6</c:v>
                </c:pt>
                <c:pt idx="72">
                  <c:v>9.9999999999994552E-2</c:v>
                </c:pt>
                <c:pt idx="73">
                  <c:v>0.59999999999999432</c:v>
                </c:pt>
                <c:pt idx="74">
                  <c:v>0.70000000000000284</c:v>
                </c:pt>
                <c:pt idx="75">
                  <c:v>1.4000000000000057</c:v>
                </c:pt>
                <c:pt idx="76">
                  <c:v>0.20000000000000284</c:v>
                </c:pt>
                <c:pt idx="77">
                  <c:v>1.8</c:v>
                </c:pt>
                <c:pt idx="78">
                  <c:v>1.5</c:v>
                </c:pt>
                <c:pt idx="79">
                  <c:v>1.9000000000000061</c:v>
                </c:pt>
                <c:pt idx="80">
                  <c:v>2</c:v>
                </c:pt>
                <c:pt idx="81">
                  <c:v>2.7</c:v>
                </c:pt>
                <c:pt idx="82">
                  <c:v>2.9000000000000057</c:v>
                </c:pt>
                <c:pt idx="83">
                  <c:v>3</c:v>
                </c:pt>
                <c:pt idx="84">
                  <c:v>3.2</c:v>
                </c:pt>
                <c:pt idx="85">
                  <c:v>3.9000000000000057</c:v>
                </c:pt>
                <c:pt idx="86">
                  <c:v>5.2</c:v>
                </c:pt>
                <c:pt idx="87">
                  <c:v>4.8</c:v>
                </c:pt>
                <c:pt idx="88">
                  <c:v>5.2</c:v>
                </c:pt>
                <c:pt idx="89">
                  <c:v>4.0999999999999943</c:v>
                </c:pt>
                <c:pt idx="90">
                  <c:v>3.8</c:v>
                </c:pt>
                <c:pt idx="91">
                  <c:v>3.5999999999999943</c:v>
                </c:pt>
                <c:pt idx="92">
                  <c:v>3.4000000000000057</c:v>
                </c:pt>
                <c:pt idx="93">
                  <c:v>3.3</c:v>
                </c:pt>
                <c:pt idx="94">
                  <c:v>3.5</c:v>
                </c:pt>
                <c:pt idx="95">
                  <c:v>2.8091098501894742</c:v>
                </c:pt>
                <c:pt idx="96">
                  <c:v>3.3615917436264269</c:v>
                </c:pt>
                <c:pt idx="97">
                  <c:v>2.875754154084158</c:v>
                </c:pt>
                <c:pt idx="98">
                  <c:v>1.4200000000000017</c:v>
                </c:pt>
                <c:pt idx="99">
                  <c:v>2.1700000000000017</c:v>
                </c:pt>
                <c:pt idx="100">
                  <c:v>2.019999999999996</c:v>
                </c:pt>
                <c:pt idx="101">
                  <c:v>2.1400000000000006</c:v>
                </c:pt>
                <c:pt idx="102">
                  <c:v>2.2800000000000011</c:v>
                </c:pt>
                <c:pt idx="103">
                  <c:v>3.7399999999999949</c:v>
                </c:pt>
                <c:pt idx="104">
                  <c:v>5.3199999999999905</c:v>
                </c:pt>
                <c:pt idx="105">
                  <c:v>5.269999999999996</c:v>
                </c:pt>
                <c:pt idx="106">
                  <c:v>4.5999999999999943</c:v>
                </c:pt>
                <c:pt idx="107">
                  <c:v>4.6899999999999977</c:v>
                </c:pt>
                <c:pt idx="108">
                  <c:v>3.8100000000000023</c:v>
                </c:pt>
                <c:pt idx="109">
                  <c:v>3.5</c:v>
                </c:pt>
                <c:pt idx="110">
                  <c:v>3.1099999999999994</c:v>
                </c:pt>
                <c:pt idx="111">
                  <c:v>3.3400000000000034</c:v>
                </c:pt>
                <c:pt idx="112">
                  <c:v>3.4200000000000017</c:v>
                </c:pt>
                <c:pt idx="113">
                  <c:v>4.1800000000000068</c:v>
                </c:pt>
                <c:pt idx="114">
                  <c:v>3.9599999999999937</c:v>
                </c:pt>
                <c:pt idx="115">
                  <c:v>2.8100000000000023</c:v>
                </c:pt>
                <c:pt idx="116">
                  <c:v>1.609999999999983</c:v>
                </c:pt>
                <c:pt idx="117">
                  <c:v>1.3100000000000165</c:v>
                </c:pt>
                <c:pt idx="118">
                  <c:v>1.1199999999999879</c:v>
                </c:pt>
                <c:pt idx="119">
                  <c:v>1.3499999999999777</c:v>
                </c:pt>
                <c:pt idx="120">
                  <c:v>1.184670638114298</c:v>
                </c:pt>
                <c:pt idx="121">
                  <c:v>0.51816639179817459</c:v>
                </c:pt>
                <c:pt idx="122">
                  <c:v>0.16090367359198871</c:v>
                </c:pt>
                <c:pt idx="123">
                  <c:v>-1.1207575468698143</c:v>
                </c:pt>
                <c:pt idx="124">
                  <c:v>-0.63346608494390366</c:v>
                </c:pt>
                <c:pt idx="125">
                  <c:v>-1.1184304599132864</c:v>
                </c:pt>
                <c:pt idx="126">
                  <c:v>0.1931989666153982</c:v>
                </c:pt>
                <c:pt idx="127">
                  <c:v>-0.59070167182794242</c:v>
                </c:pt>
                <c:pt idx="128">
                  <c:v>-0.71663123388312244</c:v>
                </c:pt>
                <c:pt idx="129">
                  <c:v>-0.38314894705877184</c:v>
                </c:pt>
                <c:pt idx="130">
                  <c:v>-0.29195481372092114</c:v>
                </c:pt>
                <c:pt idx="131">
                  <c:v>-0.54934973087621586</c:v>
                </c:pt>
                <c:pt idx="132">
                  <c:v>-1.4617958391202419</c:v>
                </c:pt>
                <c:pt idx="133">
                  <c:v>-0.99651065575080977</c:v>
                </c:pt>
                <c:pt idx="134">
                  <c:v>-0.25588343762233035</c:v>
                </c:pt>
              </c:numCache>
            </c:numRef>
          </c:val>
        </c:ser>
        <c:marker val="1"/>
        <c:axId val="114489216"/>
        <c:axId val="114514944"/>
      </c:lineChart>
      <c:lineChart>
        <c:grouping val="standard"/>
        <c:ser>
          <c:idx val="1"/>
          <c:order val="1"/>
          <c:tx>
            <c:strRef>
              <c:f>Sheet1!$C$1</c:f>
              <c:strCache>
                <c:ptCount val="1"/>
                <c:pt idx="0">
                  <c:v>CPIEU</c:v>
                </c:pt>
              </c:strCache>
            </c:strRef>
          </c:tx>
          <c:marker>
            <c:symbol val="none"/>
          </c:marker>
          <c:cat>
            <c:strRef>
              <c:f>Sheet1!$A$2:$A$136</c:f>
              <c:strCache>
                <c:ptCount val="135"/>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strCache>
            </c:strRef>
          </c:cat>
          <c:val>
            <c:numRef>
              <c:f>Sheet1!$C$2:$C$136</c:f>
              <c:numCache>
                <c:formatCode>0.00</c:formatCode>
                <c:ptCount val="135"/>
                <c:pt idx="0">
                  <c:v>1.6</c:v>
                </c:pt>
                <c:pt idx="1">
                  <c:v>1.4</c:v>
                </c:pt>
                <c:pt idx="2">
                  <c:v>1.3</c:v>
                </c:pt>
                <c:pt idx="3">
                  <c:v>1.7</c:v>
                </c:pt>
                <c:pt idx="4">
                  <c:v>2.1</c:v>
                </c:pt>
                <c:pt idx="5">
                  <c:v>2.1</c:v>
                </c:pt>
                <c:pt idx="6">
                  <c:v>2</c:v>
                </c:pt>
                <c:pt idx="7">
                  <c:v>2</c:v>
                </c:pt>
                <c:pt idx="8">
                  <c:v>1.8</c:v>
                </c:pt>
                <c:pt idx="9">
                  <c:v>2</c:v>
                </c:pt>
                <c:pt idx="10">
                  <c:v>2</c:v>
                </c:pt>
                <c:pt idx="11">
                  <c:v>2</c:v>
                </c:pt>
                <c:pt idx="12">
                  <c:v>1.8</c:v>
                </c:pt>
                <c:pt idx="13">
                  <c:v>1.9000000000000001</c:v>
                </c:pt>
                <c:pt idx="14">
                  <c:v>2.1</c:v>
                </c:pt>
                <c:pt idx="15">
                  <c:v>2</c:v>
                </c:pt>
                <c:pt idx="16">
                  <c:v>1.9000000000000001</c:v>
                </c:pt>
                <c:pt idx="17">
                  <c:v>1.9000000000000001</c:v>
                </c:pt>
                <c:pt idx="18">
                  <c:v>2.1</c:v>
                </c:pt>
                <c:pt idx="19">
                  <c:v>2.1</c:v>
                </c:pt>
                <c:pt idx="20">
                  <c:v>2.4</c:v>
                </c:pt>
                <c:pt idx="21">
                  <c:v>2.2999999999999998</c:v>
                </c:pt>
                <c:pt idx="22">
                  <c:v>2.1</c:v>
                </c:pt>
                <c:pt idx="23">
                  <c:v>2.1</c:v>
                </c:pt>
                <c:pt idx="24">
                  <c:v>2.2999999999999998</c:v>
                </c:pt>
                <c:pt idx="25">
                  <c:v>2.2000000000000002</c:v>
                </c:pt>
                <c:pt idx="26">
                  <c:v>2</c:v>
                </c:pt>
                <c:pt idx="27">
                  <c:v>2.2999999999999998</c:v>
                </c:pt>
                <c:pt idx="28">
                  <c:v>2.4</c:v>
                </c:pt>
                <c:pt idx="29">
                  <c:v>2.4</c:v>
                </c:pt>
                <c:pt idx="30">
                  <c:v>2.4</c:v>
                </c:pt>
                <c:pt idx="31">
                  <c:v>2.2999999999999998</c:v>
                </c:pt>
                <c:pt idx="32">
                  <c:v>1.9000000000000001</c:v>
                </c:pt>
                <c:pt idx="33">
                  <c:v>1.7</c:v>
                </c:pt>
                <c:pt idx="34">
                  <c:v>2</c:v>
                </c:pt>
                <c:pt idx="35">
                  <c:v>2.1</c:v>
                </c:pt>
                <c:pt idx="36">
                  <c:v>2</c:v>
                </c:pt>
                <c:pt idx="37">
                  <c:v>2.1</c:v>
                </c:pt>
                <c:pt idx="38">
                  <c:v>2.2000000000000002</c:v>
                </c:pt>
                <c:pt idx="39">
                  <c:v>2.1</c:v>
                </c:pt>
                <c:pt idx="40">
                  <c:v>2</c:v>
                </c:pt>
                <c:pt idx="41">
                  <c:v>2</c:v>
                </c:pt>
                <c:pt idx="42">
                  <c:v>1.9000000000000001</c:v>
                </c:pt>
                <c:pt idx="43">
                  <c:v>1.8</c:v>
                </c:pt>
                <c:pt idx="44">
                  <c:v>2.1</c:v>
                </c:pt>
                <c:pt idx="45">
                  <c:v>2.6</c:v>
                </c:pt>
                <c:pt idx="46">
                  <c:v>3.1</c:v>
                </c:pt>
                <c:pt idx="47">
                  <c:v>3.1</c:v>
                </c:pt>
                <c:pt idx="48">
                  <c:v>3.4</c:v>
                </c:pt>
                <c:pt idx="49">
                  <c:v>3.5</c:v>
                </c:pt>
                <c:pt idx="50">
                  <c:v>3.7</c:v>
                </c:pt>
                <c:pt idx="51">
                  <c:v>3.6</c:v>
                </c:pt>
                <c:pt idx="52">
                  <c:v>3.9</c:v>
                </c:pt>
                <c:pt idx="53">
                  <c:v>4.2</c:v>
                </c:pt>
                <c:pt idx="54">
                  <c:v>4.4000000000000004</c:v>
                </c:pt>
                <c:pt idx="55">
                  <c:v>4.3</c:v>
                </c:pt>
                <c:pt idx="56">
                  <c:v>4.0999999999999996</c:v>
                </c:pt>
                <c:pt idx="57">
                  <c:v>3.6</c:v>
                </c:pt>
                <c:pt idx="58">
                  <c:v>2.6</c:v>
                </c:pt>
                <c:pt idx="59">
                  <c:v>2</c:v>
                </c:pt>
                <c:pt idx="60">
                  <c:v>1.6</c:v>
                </c:pt>
                <c:pt idx="61">
                  <c:v>1.7</c:v>
                </c:pt>
                <c:pt idx="62">
                  <c:v>1.2</c:v>
                </c:pt>
                <c:pt idx="63">
                  <c:v>1.1000000000000001</c:v>
                </c:pt>
                <c:pt idx="64">
                  <c:v>0.60000000000000064</c:v>
                </c:pt>
                <c:pt idx="65">
                  <c:v>0.4</c:v>
                </c:pt>
                <c:pt idx="66">
                  <c:v>0</c:v>
                </c:pt>
                <c:pt idx="67">
                  <c:v>0.30000000000000032</c:v>
                </c:pt>
                <c:pt idx="68">
                  <c:v>0.1</c:v>
                </c:pt>
                <c:pt idx="69">
                  <c:v>0.2</c:v>
                </c:pt>
                <c:pt idx="70">
                  <c:v>0.8</c:v>
                </c:pt>
                <c:pt idx="71">
                  <c:v>1.3</c:v>
                </c:pt>
                <c:pt idx="72">
                  <c:v>1.4</c:v>
                </c:pt>
                <c:pt idx="73">
                  <c:v>1.2</c:v>
                </c:pt>
                <c:pt idx="74">
                  <c:v>1.8</c:v>
                </c:pt>
                <c:pt idx="75">
                  <c:v>1.9000000000000001</c:v>
                </c:pt>
                <c:pt idx="76">
                  <c:v>1.9000000000000001</c:v>
                </c:pt>
                <c:pt idx="77">
                  <c:v>1.7</c:v>
                </c:pt>
                <c:pt idx="78">
                  <c:v>1.9000000000000001</c:v>
                </c:pt>
                <c:pt idx="79">
                  <c:v>1.8</c:v>
                </c:pt>
                <c:pt idx="80">
                  <c:v>2.1</c:v>
                </c:pt>
                <c:pt idx="81">
                  <c:v>2.2000000000000002</c:v>
                </c:pt>
                <c:pt idx="82">
                  <c:v>2.2000000000000002</c:v>
                </c:pt>
                <c:pt idx="83">
                  <c:v>2.5</c:v>
                </c:pt>
                <c:pt idx="84">
                  <c:v>2.6</c:v>
                </c:pt>
                <c:pt idx="85">
                  <c:v>2.8</c:v>
                </c:pt>
                <c:pt idx="86">
                  <c:v>3</c:v>
                </c:pt>
                <c:pt idx="87">
                  <c:v>3.2</c:v>
                </c:pt>
                <c:pt idx="88">
                  <c:v>3.1</c:v>
                </c:pt>
                <c:pt idx="89">
                  <c:v>3</c:v>
                </c:pt>
                <c:pt idx="90">
                  <c:v>2.9</c:v>
                </c:pt>
                <c:pt idx="91">
                  <c:v>2.9</c:v>
                </c:pt>
                <c:pt idx="92">
                  <c:v>3.2</c:v>
                </c:pt>
                <c:pt idx="93">
                  <c:v>3.2</c:v>
                </c:pt>
                <c:pt idx="94">
                  <c:v>3.2</c:v>
                </c:pt>
                <c:pt idx="95">
                  <c:v>2.9</c:v>
                </c:pt>
                <c:pt idx="96">
                  <c:v>2.8</c:v>
                </c:pt>
                <c:pt idx="97">
                  <c:v>2.8</c:v>
                </c:pt>
                <c:pt idx="98">
                  <c:v>2.8</c:v>
                </c:pt>
                <c:pt idx="99">
                  <c:v>2.6</c:v>
                </c:pt>
                <c:pt idx="100">
                  <c:v>2.4</c:v>
                </c:pt>
                <c:pt idx="101">
                  <c:v>2.4</c:v>
                </c:pt>
                <c:pt idx="102">
                  <c:v>2.4</c:v>
                </c:pt>
                <c:pt idx="103">
                  <c:v>2.6</c:v>
                </c:pt>
                <c:pt idx="104">
                  <c:v>2.6</c:v>
                </c:pt>
                <c:pt idx="105">
                  <c:v>2.5</c:v>
                </c:pt>
                <c:pt idx="106">
                  <c:v>2.2000000000000002</c:v>
                </c:pt>
                <c:pt idx="107">
                  <c:v>2.2000000000000002</c:v>
                </c:pt>
                <c:pt idx="108">
                  <c:v>2</c:v>
                </c:pt>
                <c:pt idx="109">
                  <c:v>1.9000000000000001</c:v>
                </c:pt>
                <c:pt idx="110">
                  <c:v>1.7</c:v>
                </c:pt>
                <c:pt idx="111">
                  <c:v>1.2</c:v>
                </c:pt>
                <c:pt idx="112">
                  <c:v>1.4</c:v>
                </c:pt>
                <c:pt idx="113">
                  <c:v>1.6</c:v>
                </c:pt>
                <c:pt idx="114">
                  <c:v>1.6</c:v>
                </c:pt>
                <c:pt idx="115">
                  <c:v>1.3</c:v>
                </c:pt>
                <c:pt idx="116">
                  <c:v>1.1000000000000001</c:v>
                </c:pt>
                <c:pt idx="117">
                  <c:v>0.70000000000000062</c:v>
                </c:pt>
                <c:pt idx="118">
                  <c:v>0.8</c:v>
                </c:pt>
                <c:pt idx="119">
                  <c:v>0.9</c:v>
                </c:pt>
                <c:pt idx="120">
                  <c:v>0.8</c:v>
                </c:pt>
                <c:pt idx="121">
                  <c:v>0.70000000000000062</c:v>
                </c:pt>
                <c:pt idx="122">
                  <c:v>0.5</c:v>
                </c:pt>
                <c:pt idx="123">
                  <c:v>0.70000000000000062</c:v>
                </c:pt>
                <c:pt idx="124">
                  <c:v>0.5</c:v>
                </c:pt>
                <c:pt idx="125">
                  <c:v>0.5</c:v>
                </c:pt>
                <c:pt idx="126">
                  <c:v>0.4</c:v>
                </c:pt>
                <c:pt idx="127">
                  <c:v>0.4</c:v>
                </c:pt>
                <c:pt idx="128">
                  <c:v>0.30000000000000032</c:v>
                </c:pt>
                <c:pt idx="129">
                  <c:v>0.4</c:v>
                </c:pt>
                <c:pt idx="130">
                  <c:v>0.30000000000000032</c:v>
                </c:pt>
                <c:pt idx="131">
                  <c:v>-0.2</c:v>
                </c:pt>
                <c:pt idx="132">
                  <c:v>-0.60000000000000064</c:v>
                </c:pt>
                <c:pt idx="133">
                  <c:v>-0.30000000000000032</c:v>
                </c:pt>
                <c:pt idx="134">
                  <c:v>-0.1</c:v>
                </c:pt>
              </c:numCache>
            </c:numRef>
          </c:val>
        </c:ser>
        <c:marker val="1"/>
        <c:axId val="73433472"/>
        <c:axId val="114558464"/>
      </c:lineChart>
      <c:catAx>
        <c:axId val="114489216"/>
        <c:scaling>
          <c:orientation val="minMax"/>
        </c:scaling>
        <c:axPos val="b"/>
        <c:numFmt formatCode="mmm/yy" sourceLinked="1"/>
        <c:tickLblPos val="nextTo"/>
        <c:txPr>
          <a:bodyPr rot="-5400000" vert="horz"/>
          <a:lstStyle/>
          <a:p>
            <a:pPr>
              <a:defRPr sz="800"/>
            </a:pPr>
            <a:endParaRPr lang="en-US"/>
          </a:p>
        </c:txPr>
        <c:crossAx val="114514944"/>
        <c:crosses val="autoZero"/>
        <c:auto val="1"/>
        <c:lblAlgn val="ctr"/>
        <c:lblOffset val="100"/>
        <c:tickLblSkip val="12"/>
        <c:tickMarkSkip val="12"/>
      </c:catAx>
      <c:valAx>
        <c:axId val="114514944"/>
        <c:scaling>
          <c:orientation val="minMax"/>
        </c:scaling>
        <c:axPos val="l"/>
        <c:majorGridlines/>
        <c:title>
          <c:tx>
            <c:rich>
              <a:bodyPr rot="-5400000" vert="horz"/>
              <a:lstStyle/>
              <a:p>
                <a:pPr>
                  <a:defRPr b="0"/>
                </a:pPr>
                <a:r>
                  <a:rPr lang="mk-MK" b="0"/>
                  <a:t>Проценти </a:t>
                </a:r>
                <a:r>
                  <a:rPr lang="en-US" b="0"/>
                  <a:t> (%)</a:t>
                </a:r>
              </a:p>
            </c:rich>
          </c:tx>
          <c:layout>
            <c:manualLayout>
              <c:xMode val="edge"/>
              <c:yMode val="edge"/>
              <c:x val="1.4026765715869183E-2"/>
              <c:y val="0.20232595317921545"/>
            </c:manualLayout>
          </c:layout>
        </c:title>
        <c:numFmt formatCode="0" sourceLinked="0"/>
        <c:tickLblPos val="nextTo"/>
        <c:crossAx val="114489216"/>
        <c:crosses val="autoZero"/>
        <c:crossBetween val="between"/>
      </c:valAx>
      <c:valAx>
        <c:axId val="114558464"/>
        <c:scaling>
          <c:orientation val="minMax"/>
        </c:scaling>
        <c:axPos val="r"/>
        <c:title>
          <c:tx>
            <c:rich>
              <a:bodyPr rot="-5400000" vert="horz"/>
              <a:lstStyle/>
              <a:p>
                <a:pPr>
                  <a:defRPr b="0"/>
                </a:pPr>
                <a:r>
                  <a:rPr lang="mk-MK" b="0"/>
                  <a:t>Проценти </a:t>
                </a:r>
                <a:r>
                  <a:rPr lang="en-US" b="0"/>
                  <a:t> (%)</a:t>
                </a:r>
              </a:p>
            </c:rich>
          </c:tx>
          <c:layout>
            <c:manualLayout>
              <c:xMode val="edge"/>
              <c:yMode val="edge"/>
              <c:x val="0.93636723577412229"/>
              <c:y val="0.19328140060074081"/>
            </c:manualLayout>
          </c:layout>
        </c:title>
        <c:numFmt formatCode="0" sourceLinked="0"/>
        <c:tickLblPos val="nextTo"/>
        <c:crossAx val="73433472"/>
        <c:crosses val="max"/>
        <c:crossBetween val="between"/>
      </c:valAx>
      <c:catAx>
        <c:axId val="73433472"/>
        <c:scaling>
          <c:orientation val="minMax"/>
        </c:scaling>
        <c:delete val="1"/>
        <c:axPos val="b"/>
        <c:numFmt formatCode="mmm/yy" sourceLinked="1"/>
        <c:tickLblPos val="none"/>
        <c:crossAx val="114558464"/>
        <c:crosses val="autoZero"/>
        <c:auto val="1"/>
        <c:lblAlgn val="ctr"/>
        <c:lblOffset val="100"/>
      </c:catAx>
    </c:plotArea>
    <c:legend>
      <c:legendPos val="b"/>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3566912695412031"/>
          <c:y val="6.3430296834857514E-2"/>
          <c:w val="0.70785560468825315"/>
          <c:h val="0.76754394497010769"/>
        </c:manualLayout>
      </c:layout>
      <c:lineChart>
        <c:grouping val="standard"/>
        <c:ser>
          <c:idx val="0"/>
          <c:order val="0"/>
          <c:tx>
            <c:strRef>
              <c:f>Sheet1!$B$1</c:f>
              <c:strCache>
                <c:ptCount val="1"/>
                <c:pt idx="0">
                  <c:v>CPIMK</c:v>
                </c:pt>
              </c:strCache>
            </c:strRef>
          </c:tx>
          <c:spPr>
            <a:ln>
              <a:solidFill>
                <a:schemeClr val="tx1"/>
              </a:solidFill>
            </a:ln>
          </c:spPr>
          <c:marker>
            <c:symbol val="none"/>
          </c:marker>
          <c:cat>
            <c:strRef>
              <c:f>Sheet1!$A$2:$A$136</c:f>
              <c:strCache>
                <c:ptCount val="135"/>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strCache>
            </c:strRef>
          </c:cat>
          <c:val>
            <c:numRef>
              <c:f>Sheet1!$B$2:$B$136</c:f>
              <c:numCache>
                <c:formatCode>0.00</c:formatCode>
                <c:ptCount val="135"/>
                <c:pt idx="0">
                  <c:v>2</c:v>
                </c:pt>
                <c:pt idx="1">
                  <c:v>1.7</c:v>
                </c:pt>
                <c:pt idx="2">
                  <c:v>1.6</c:v>
                </c:pt>
                <c:pt idx="3">
                  <c:v>1</c:v>
                </c:pt>
                <c:pt idx="4">
                  <c:v>0.70000000000000062</c:v>
                </c:pt>
                <c:pt idx="5">
                  <c:v>0.5</c:v>
                </c:pt>
                <c:pt idx="6">
                  <c:v>0.30000000000000032</c:v>
                </c:pt>
                <c:pt idx="7">
                  <c:v>0</c:v>
                </c:pt>
                <c:pt idx="8">
                  <c:v>-0.2</c:v>
                </c:pt>
                <c:pt idx="9">
                  <c:v>-0.2</c:v>
                </c:pt>
                <c:pt idx="10">
                  <c:v>-0.30000000000000032</c:v>
                </c:pt>
                <c:pt idx="11">
                  <c:v>-1.9000000000000001</c:v>
                </c:pt>
                <c:pt idx="12">
                  <c:v>-1.4000000000000057</c:v>
                </c:pt>
                <c:pt idx="13">
                  <c:v>-0.70000000000000062</c:v>
                </c:pt>
                <c:pt idx="14">
                  <c:v>-0.4</c:v>
                </c:pt>
                <c:pt idx="15">
                  <c:v>-0.2</c:v>
                </c:pt>
                <c:pt idx="16">
                  <c:v>0</c:v>
                </c:pt>
                <c:pt idx="17">
                  <c:v>0.2</c:v>
                </c:pt>
                <c:pt idx="18">
                  <c:v>0.30000000000000032</c:v>
                </c:pt>
                <c:pt idx="19">
                  <c:v>0.30000000000000032</c:v>
                </c:pt>
                <c:pt idx="20">
                  <c:v>0.4</c:v>
                </c:pt>
                <c:pt idx="21">
                  <c:v>0.5</c:v>
                </c:pt>
                <c:pt idx="22">
                  <c:v>0.4</c:v>
                </c:pt>
                <c:pt idx="23">
                  <c:v>1.2</c:v>
                </c:pt>
                <c:pt idx="24">
                  <c:v>2.4</c:v>
                </c:pt>
                <c:pt idx="25">
                  <c:v>2.7</c:v>
                </c:pt>
                <c:pt idx="26">
                  <c:v>2.7</c:v>
                </c:pt>
                <c:pt idx="27">
                  <c:v>2.9</c:v>
                </c:pt>
                <c:pt idx="28">
                  <c:v>3.1</c:v>
                </c:pt>
                <c:pt idx="29">
                  <c:v>3.1</c:v>
                </c:pt>
                <c:pt idx="30">
                  <c:v>3.2</c:v>
                </c:pt>
                <c:pt idx="31">
                  <c:v>3.3</c:v>
                </c:pt>
                <c:pt idx="32">
                  <c:v>3.3</c:v>
                </c:pt>
                <c:pt idx="33">
                  <c:v>3.2</c:v>
                </c:pt>
                <c:pt idx="34">
                  <c:v>3.2</c:v>
                </c:pt>
                <c:pt idx="35">
                  <c:v>3.2</c:v>
                </c:pt>
                <c:pt idx="36">
                  <c:v>0.8</c:v>
                </c:pt>
                <c:pt idx="37">
                  <c:v>0.5</c:v>
                </c:pt>
                <c:pt idx="38">
                  <c:v>0.8</c:v>
                </c:pt>
                <c:pt idx="39">
                  <c:v>1</c:v>
                </c:pt>
                <c:pt idx="40">
                  <c:v>0.9</c:v>
                </c:pt>
                <c:pt idx="41">
                  <c:v>1.3</c:v>
                </c:pt>
                <c:pt idx="42">
                  <c:v>1.3</c:v>
                </c:pt>
                <c:pt idx="43">
                  <c:v>2.2000000000000002</c:v>
                </c:pt>
                <c:pt idx="44">
                  <c:v>3.6</c:v>
                </c:pt>
                <c:pt idx="45">
                  <c:v>3.9</c:v>
                </c:pt>
                <c:pt idx="46">
                  <c:v>4.5999999999999996</c:v>
                </c:pt>
                <c:pt idx="47">
                  <c:v>6.1</c:v>
                </c:pt>
                <c:pt idx="48">
                  <c:v>8.7000000000000011</c:v>
                </c:pt>
                <c:pt idx="49">
                  <c:v>9.6</c:v>
                </c:pt>
                <c:pt idx="50">
                  <c:v>10.200000000000001</c:v>
                </c:pt>
                <c:pt idx="51">
                  <c:v>10.1</c:v>
                </c:pt>
                <c:pt idx="52">
                  <c:v>9.5</c:v>
                </c:pt>
                <c:pt idx="53">
                  <c:v>10.1</c:v>
                </c:pt>
                <c:pt idx="54">
                  <c:v>9.5</c:v>
                </c:pt>
                <c:pt idx="55">
                  <c:v>8.6</c:v>
                </c:pt>
                <c:pt idx="56">
                  <c:v>7.1</c:v>
                </c:pt>
                <c:pt idx="57">
                  <c:v>7.1</c:v>
                </c:pt>
                <c:pt idx="58">
                  <c:v>5.2</c:v>
                </c:pt>
                <c:pt idx="59">
                  <c:v>4.0999999999999996</c:v>
                </c:pt>
                <c:pt idx="60">
                  <c:v>1.7</c:v>
                </c:pt>
                <c:pt idx="61">
                  <c:v>0.70000000000000062</c:v>
                </c:pt>
                <c:pt idx="62">
                  <c:v>0.2</c:v>
                </c:pt>
                <c:pt idx="63">
                  <c:v>-0.5</c:v>
                </c:pt>
                <c:pt idx="64">
                  <c:v>0.4</c:v>
                </c:pt>
                <c:pt idx="65">
                  <c:v>-1.7</c:v>
                </c:pt>
                <c:pt idx="66">
                  <c:v>-1.3</c:v>
                </c:pt>
                <c:pt idx="67">
                  <c:v>-1.4</c:v>
                </c:pt>
                <c:pt idx="68">
                  <c:v>-1.4</c:v>
                </c:pt>
                <c:pt idx="69">
                  <c:v>-2.4</c:v>
                </c:pt>
                <c:pt idx="70">
                  <c:v>-2.2999999999999998</c:v>
                </c:pt>
                <c:pt idx="71">
                  <c:v>-1.6</c:v>
                </c:pt>
                <c:pt idx="72">
                  <c:v>9.9999999999994552E-2</c:v>
                </c:pt>
                <c:pt idx="73">
                  <c:v>0.59999999999999432</c:v>
                </c:pt>
                <c:pt idx="74">
                  <c:v>0.70000000000000284</c:v>
                </c:pt>
                <c:pt idx="75">
                  <c:v>1.4000000000000057</c:v>
                </c:pt>
                <c:pt idx="76">
                  <c:v>0.20000000000000284</c:v>
                </c:pt>
                <c:pt idx="77">
                  <c:v>1.8</c:v>
                </c:pt>
                <c:pt idx="78">
                  <c:v>1.5</c:v>
                </c:pt>
                <c:pt idx="79">
                  <c:v>1.9000000000000061</c:v>
                </c:pt>
                <c:pt idx="80">
                  <c:v>2</c:v>
                </c:pt>
                <c:pt idx="81">
                  <c:v>2.7</c:v>
                </c:pt>
                <c:pt idx="82">
                  <c:v>2.9000000000000057</c:v>
                </c:pt>
                <c:pt idx="83">
                  <c:v>3</c:v>
                </c:pt>
                <c:pt idx="84">
                  <c:v>3.2</c:v>
                </c:pt>
                <c:pt idx="85">
                  <c:v>3.9000000000000057</c:v>
                </c:pt>
                <c:pt idx="86">
                  <c:v>5.2</c:v>
                </c:pt>
                <c:pt idx="87">
                  <c:v>4.8</c:v>
                </c:pt>
                <c:pt idx="88">
                  <c:v>5.2</c:v>
                </c:pt>
                <c:pt idx="89">
                  <c:v>4.0999999999999943</c:v>
                </c:pt>
                <c:pt idx="90">
                  <c:v>3.8</c:v>
                </c:pt>
                <c:pt idx="91">
                  <c:v>3.5999999999999943</c:v>
                </c:pt>
                <c:pt idx="92">
                  <c:v>3.4000000000000057</c:v>
                </c:pt>
                <c:pt idx="93">
                  <c:v>3.3</c:v>
                </c:pt>
                <c:pt idx="94">
                  <c:v>3.5</c:v>
                </c:pt>
                <c:pt idx="95">
                  <c:v>2.8091098501894742</c:v>
                </c:pt>
                <c:pt idx="96">
                  <c:v>3.3615917436264269</c:v>
                </c:pt>
                <c:pt idx="97">
                  <c:v>2.875754154084158</c:v>
                </c:pt>
                <c:pt idx="98">
                  <c:v>1.4200000000000017</c:v>
                </c:pt>
                <c:pt idx="99">
                  <c:v>2.1700000000000017</c:v>
                </c:pt>
                <c:pt idx="100">
                  <c:v>2.019999999999996</c:v>
                </c:pt>
                <c:pt idx="101">
                  <c:v>2.1400000000000006</c:v>
                </c:pt>
                <c:pt idx="102">
                  <c:v>2.2800000000000011</c:v>
                </c:pt>
                <c:pt idx="103">
                  <c:v>3.7399999999999949</c:v>
                </c:pt>
                <c:pt idx="104">
                  <c:v>5.3199999999999905</c:v>
                </c:pt>
                <c:pt idx="105">
                  <c:v>5.269999999999996</c:v>
                </c:pt>
                <c:pt idx="106">
                  <c:v>4.5999999999999943</c:v>
                </c:pt>
                <c:pt idx="107">
                  <c:v>4.6899999999999977</c:v>
                </c:pt>
                <c:pt idx="108">
                  <c:v>3.8100000000000023</c:v>
                </c:pt>
                <c:pt idx="109">
                  <c:v>3.5</c:v>
                </c:pt>
                <c:pt idx="110">
                  <c:v>3.1099999999999994</c:v>
                </c:pt>
                <c:pt idx="111">
                  <c:v>3.3400000000000034</c:v>
                </c:pt>
                <c:pt idx="112">
                  <c:v>3.4200000000000017</c:v>
                </c:pt>
                <c:pt idx="113">
                  <c:v>4.1800000000000068</c:v>
                </c:pt>
                <c:pt idx="114">
                  <c:v>3.9599999999999937</c:v>
                </c:pt>
                <c:pt idx="115">
                  <c:v>2.8100000000000023</c:v>
                </c:pt>
                <c:pt idx="116">
                  <c:v>1.609999999999983</c:v>
                </c:pt>
                <c:pt idx="117">
                  <c:v>1.3100000000000165</c:v>
                </c:pt>
                <c:pt idx="118">
                  <c:v>1.1199999999999879</c:v>
                </c:pt>
                <c:pt idx="119">
                  <c:v>1.3499999999999777</c:v>
                </c:pt>
                <c:pt idx="120">
                  <c:v>1.184670638114298</c:v>
                </c:pt>
                <c:pt idx="121">
                  <c:v>0.51816639179817459</c:v>
                </c:pt>
                <c:pt idx="122">
                  <c:v>0.16090367359198871</c:v>
                </c:pt>
                <c:pt idx="123">
                  <c:v>-1.1207575468698143</c:v>
                </c:pt>
                <c:pt idx="124">
                  <c:v>-0.63346608494390366</c:v>
                </c:pt>
                <c:pt idx="125">
                  <c:v>-1.1184304599132864</c:v>
                </c:pt>
                <c:pt idx="126">
                  <c:v>0.1931989666153982</c:v>
                </c:pt>
                <c:pt idx="127">
                  <c:v>-0.59070167182794242</c:v>
                </c:pt>
                <c:pt idx="128">
                  <c:v>-0.71663123388312244</c:v>
                </c:pt>
                <c:pt idx="129">
                  <c:v>-0.38314894705877184</c:v>
                </c:pt>
                <c:pt idx="130">
                  <c:v>-0.29195481372092114</c:v>
                </c:pt>
                <c:pt idx="131">
                  <c:v>-0.54934973087621586</c:v>
                </c:pt>
                <c:pt idx="132">
                  <c:v>-1.4617958391202419</c:v>
                </c:pt>
                <c:pt idx="133">
                  <c:v>-0.99651065575080977</c:v>
                </c:pt>
                <c:pt idx="134">
                  <c:v>-0.25588343762233035</c:v>
                </c:pt>
              </c:numCache>
            </c:numRef>
          </c:val>
        </c:ser>
        <c:marker val="1"/>
        <c:axId val="74130944"/>
        <c:axId val="74132480"/>
      </c:lineChart>
      <c:lineChart>
        <c:grouping val="standard"/>
        <c:ser>
          <c:idx val="1"/>
          <c:order val="1"/>
          <c:tx>
            <c:strRef>
              <c:f>Sheet1!$C$1</c:f>
              <c:strCache>
                <c:ptCount val="1"/>
                <c:pt idx="0">
                  <c:v>M1</c:v>
                </c:pt>
              </c:strCache>
            </c:strRef>
          </c:tx>
          <c:marker>
            <c:symbol val="none"/>
          </c:marker>
          <c:cat>
            <c:strRef>
              <c:f>Sheet1!$A$2:$A$136</c:f>
              <c:strCache>
                <c:ptCount val="135"/>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strCache>
            </c:strRef>
          </c:cat>
          <c:val>
            <c:numRef>
              <c:f>Sheet1!$C$2:$C$136</c:f>
              <c:numCache>
                <c:formatCode>0.00</c:formatCode>
                <c:ptCount val="135"/>
                <c:pt idx="0">
                  <c:v>8.3804104856736377</c:v>
                </c:pt>
                <c:pt idx="1">
                  <c:v>11.749537601236071</c:v>
                </c:pt>
                <c:pt idx="2">
                  <c:v>12.784675892292348</c:v>
                </c:pt>
                <c:pt idx="3">
                  <c:v>12.371054889373752</c:v>
                </c:pt>
                <c:pt idx="4">
                  <c:v>11.773003799977303</c:v>
                </c:pt>
                <c:pt idx="5">
                  <c:v>8.7983443999549689</c:v>
                </c:pt>
                <c:pt idx="6">
                  <c:v>11.190978358188161</c:v>
                </c:pt>
                <c:pt idx="7">
                  <c:v>8.3637459948748756</c:v>
                </c:pt>
                <c:pt idx="8">
                  <c:v>6.4527460630223494</c:v>
                </c:pt>
                <c:pt idx="9">
                  <c:v>4.4271509226628165</c:v>
                </c:pt>
                <c:pt idx="10">
                  <c:v>5.0370895076768445</c:v>
                </c:pt>
                <c:pt idx="11">
                  <c:v>2.0419904240325479</c:v>
                </c:pt>
                <c:pt idx="12">
                  <c:v>4.0834035268309208</c:v>
                </c:pt>
                <c:pt idx="13">
                  <c:v>6.4895919485612978</c:v>
                </c:pt>
                <c:pt idx="14">
                  <c:v>6.9961468507072206</c:v>
                </c:pt>
                <c:pt idx="15">
                  <c:v>4.7748342150798875</c:v>
                </c:pt>
                <c:pt idx="16">
                  <c:v>3.7845820888954118</c:v>
                </c:pt>
                <c:pt idx="17">
                  <c:v>3.9493513739786721</c:v>
                </c:pt>
                <c:pt idx="18">
                  <c:v>3.4000992570083546</c:v>
                </c:pt>
                <c:pt idx="19">
                  <c:v>1.0953566147859988</c:v>
                </c:pt>
                <c:pt idx="20">
                  <c:v>4.9084319622093204</c:v>
                </c:pt>
                <c:pt idx="21">
                  <c:v>7.3747529129820899</c:v>
                </c:pt>
                <c:pt idx="22">
                  <c:v>6.1724013659949435</c:v>
                </c:pt>
                <c:pt idx="23">
                  <c:v>6.3539077738425505</c:v>
                </c:pt>
                <c:pt idx="24">
                  <c:v>3.0839702590360001</c:v>
                </c:pt>
                <c:pt idx="25">
                  <c:v>5.1101170487450087</c:v>
                </c:pt>
                <c:pt idx="26">
                  <c:v>3.2073127268932398</c:v>
                </c:pt>
                <c:pt idx="27">
                  <c:v>6.2685946281518286</c:v>
                </c:pt>
                <c:pt idx="28">
                  <c:v>7.533518225992708</c:v>
                </c:pt>
                <c:pt idx="29">
                  <c:v>11.600101272520689</c:v>
                </c:pt>
                <c:pt idx="30">
                  <c:v>13.00248078101545</c:v>
                </c:pt>
                <c:pt idx="31">
                  <c:v>17.147615858478932</c:v>
                </c:pt>
                <c:pt idx="32">
                  <c:v>14.298894238944754</c:v>
                </c:pt>
                <c:pt idx="33">
                  <c:v>15.921813326905449</c:v>
                </c:pt>
                <c:pt idx="34">
                  <c:v>15.002907750195073</c:v>
                </c:pt>
                <c:pt idx="35">
                  <c:v>17.8589084481642</c:v>
                </c:pt>
                <c:pt idx="36">
                  <c:v>19.111255668930141</c:v>
                </c:pt>
                <c:pt idx="37">
                  <c:v>17.843731471282027</c:v>
                </c:pt>
                <c:pt idx="38">
                  <c:v>22.842926871878689</c:v>
                </c:pt>
                <c:pt idx="39">
                  <c:v>23.265229773775221</c:v>
                </c:pt>
                <c:pt idx="40">
                  <c:v>23.409714931190745</c:v>
                </c:pt>
                <c:pt idx="41">
                  <c:v>19.959277364696035</c:v>
                </c:pt>
                <c:pt idx="42">
                  <c:v>19.11700320058009</c:v>
                </c:pt>
                <c:pt idx="43">
                  <c:v>22.912694688627052</c:v>
                </c:pt>
                <c:pt idx="44">
                  <c:v>24.475089381285489</c:v>
                </c:pt>
                <c:pt idx="45">
                  <c:v>20.405752640754283</c:v>
                </c:pt>
                <c:pt idx="46">
                  <c:v>25.227508405729733</c:v>
                </c:pt>
                <c:pt idx="47">
                  <c:v>30.710781702348157</c:v>
                </c:pt>
                <c:pt idx="48">
                  <c:v>30.86267605633801</c:v>
                </c:pt>
                <c:pt idx="49">
                  <c:v>30.562941361466102</c:v>
                </c:pt>
                <c:pt idx="50">
                  <c:v>24.288049429737484</c:v>
                </c:pt>
                <c:pt idx="51">
                  <c:v>24.107406314547063</c:v>
                </c:pt>
                <c:pt idx="52">
                  <c:v>28.325700287570509</c:v>
                </c:pt>
                <c:pt idx="53">
                  <c:v>30.153024489613596</c:v>
                </c:pt>
                <c:pt idx="54">
                  <c:v>22.474765057808572</c:v>
                </c:pt>
                <c:pt idx="55">
                  <c:v>22.692450575388687</c:v>
                </c:pt>
                <c:pt idx="56">
                  <c:v>22.170025638171222</c:v>
                </c:pt>
                <c:pt idx="57">
                  <c:v>21.992760809202689</c:v>
                </c:pt>
                <c:pt idx="58">
                  <c:v>18.70805081029669</c:v>
                </c:pt>
                <c:pt idx="59">
                  <c:v>14.523468726722541</c:v>
                </c:pt>
                <c:pt idx="60">
                  <c:v>11.264044117781054</c:v>
                </c:pt>
                <c:pt idx="61">
                  <c:v>7.0542405639017405</c:v>
                </c:pt>
                <c:pt idx="62">
                  <c:v>5.2394690934390153</c:v>
                </c:pt>
                <c:pt idx="63">
                  <c:v>1.1962366482276394</c:v>
                </c:pt>
                <c:pt idx="64">
                  <c:v>-1.80065637267505</c:v>
                </c:pt>
                <c:pt idx="65">
                  <c:v>-3.6399845450297352</c:v>
                </c:pt>
                <c:pt idx="66">
                  <c:v>-0.43106594032839496</c:v>
                </c:pt>
                <c:pt idx="67">
                  <c:v>-0.8546196869381234</c:v>
                </c:pt>
                <c:pt idx="68">
                  <c:v>-4.5290684180144334</c:v>
                </c:pt>
                <c:pt idx="69">
                  <c:v>-0.17803206897390569</c:v>
                </c:pt>
                <c:pt idx="70">
                  <c:v>-0.48124972244569625</c:v>
                </c:pt>
                <c:pt idx="71">
                  <c:v>-3.5044084866181273</c:v>
                </c:pt>
                <c:pt idx="72">
                  <c:v>0.71429975895931364</c:v>
                </c:pt>
                <c:pt idx="73">
                  <c:v>3.7975523991508027</c:v>
                </c:pt>
                <c:pt idx="74">
                  <c:v>7.4433843153203432</c:v>
                </c:pt>
                <c:pt idx="75">
                  <c:v>8.0282847977234155</c:v>
                </c:pt>
                <c:pt idx="76">
                  <c:v>11.865923572725219</c:v>
                </c:pt>
                <c:pt idx="77">
                  <c:v>10.271292146362581</c:v>
                </c:pt>
                <c:pt idx="78">
                  <c:v>9.0702432914105682</c:v>
                </c:pt>
                <c:pt idx="79">
                  <c:v>8.0498756585594986</c:v>
                </c:pt>
                <c:pt idx="80">
                  <c:v>12.23684451618066</c:v>
                </c:pt>
                <c:pt idx="81">
                  <c:v>9.4661267066796597</c:v>
                </c:pt>
                <c:pt idx="82">
                  <c:v>10.086382244717869</c:v>
                </c:pt>
                <c:pt idx="83">
                  <c:v>9.8416062866457068</c:v>
                </c:pt>
                <c:pt idx="84">
                  <c:v>9.3147040167485677</c:v>
                </c:pt>
                <c:pt idx="85">
                  <c:v>6.653805135681921</c:v>
                </c:pt>
                <c:pt idx="86">
                  <c:v>7.5165036371809757</c:v>
                </c:pt>
                <c:pt idx="87">
                  <c:v>13.037324020389335</c:v>
                </c:pt>
                <c:pt idx="88">
                  <c:v>9.8948478226502505</c:v>
                </c:pt>
                <c:pt idx="89">
                  <c:v>10.449233065472612</c:v>
                </c:pt>
                <c:pt idx="90">
                  <c:v>9.7652617796079557</c:v>
                </c:pt>
                <c:pt idx="91">
                  <c:v>8.2184624340440688</c:v>
                </c:pt>
                <c:pt idx="92">
                  <c:v>6.9290966640506708</c:v>
                </c:pt>
                <c:pt idx="93">
                  <c:v>6.9898882443634003</c:v>
                </c:pt>
                <c:pt idx="94">
                  <c:v>3.8475638884465622</c:v>
                </c:pt>
                <c:pt idx="95">
                  <c:v>6.8661941138938314</c:v>
                </c:pt>
                <c:pt idx="96">
                  <c:v>10.11786326835812</c:v>
                </c:pt>
                <c:pt idx="97">
                  <c:v>10.481232042718689</c:v>
                </c:pt>
                <c:pt idx="98">
                  <c:v>9.7654515584761548</c:v>
                </c:pt>
                <c:pt idx="99">
                  <c:v>6.4823349769031315</c:v>
                </c:pt>
                <c:pt idx="100">
                  <c:v>2.7050346852204585</c:v>
                </c:pt>
                <c:pt idx="101">
                  <c:v>5.4565981798124596</c:v>
                </c:pt>
                <c:pt idx="102">
                  <c:v>9.4737479038086239</c:v>
                </c:pt>
                <c:pt idx="103">
                  <c:v>7.6317386536830334</c:v>
                </c:pt>
                <c:pt idx="104">
                  <c:v>9.8854388958167316</c:v>
                </c:pt>
                <c:pt idx="105">
                  <c:v>10.824562165920653</c:v>
                </c:pt>
                <c:pt idx="106">
                  <c:v>10.909813822294964</c:v>
                </c:pt>
                <c:pt idx="107">
                  <c:v>7.568416725393476</c:v>
                </c:pt>
                <c:pt idx="108">
                  <c:v>3.9927790872792839</c:v>
                </c:pt>
                <c:pt idx="109">
                  <c:v>7.1701054117379455</c:v>
                </c:pt>
                <c:pt idx="110">
                  <c:v>11.601127903821418</c:v>
                </c:pt>
                <c:pt idx="111">
                  <c:v>4.9125798312702065</c:v>
                </c:pt>
                <c:pt idx="112">
                  <c:v>7.742217283471291</c:v>
                </c:pt>
                <c:pt idx="113">
                  <c:v>6.7417703128549897</c:v>
                </c:pt>
                <c:pt idx="114">
                  <c:v>4.1013721931560347</c:v>
                </c:pt>
                <c:pt idx="115">
                  <c:v>7.8849262827238515</c:v>
                </c:pt>
                <c:pt idx="116">
                  <c:v>5.2050878934689848</c:v>
                </c:pt>
                <c:pt idx="117">
                  <c:v>4.1980941375210445</c:v>
                </c:pt>
                <c:pt idx="118">
                  <c:v>5.200986585103152</c:v>
                </c:pt>
                <c:pt idx="119">
                  <c:v>6.1643661956345506</c:v>
                </c:pt>
                <c:pt idx="120">
                  <c:v>8.413919363784883</c:v>
                </c:pt>
                <c:pt idx="121">
                  <c:v>10.796373343122948</c:v>
                </c:pt>
                <c:pt idx="122">
                  <c:v>8.5868288280192928</c:v>
                </c:pt>
                <c:pt idx="123">
                  <c:v>12.716685866091737</c:v>
                </c:pt>
                <c:pt idx="124">
                  <c:v>12.406415762536781</c:v>
                </c:pt>
                <c:pt idx="125">
                  <c:v>11.648989385735968</c:v>
                </c:pt>
                <c:pt idx="126">
                  <c:v>12.479625815426662</c:v>
                </c:pt>
                <c:pt idx="127">
                  <c:v>12.632281653348116</c:v>
                </c:pt>
                <c:pt idx="128">
                  <c:v>15.416751829677594</c:v>
                </c:pt>
                <c:pt idx="129">
                  <c:v>15.740950030682653</c:v>
                </c:pt>
                <c:pt idx="130">
                  <c:v>18.048304584498627</c:v>
                </c:pt>
                <c:pt idx="131">
                  <c:v>22.202276999232087</c:v>
                </c:pt>
                <c:pt idx="132">
                  <c:v>22.382466763032227</c:v>
                </c:pt>
                <c:pt idx="133">
                  <c:v>16.467911526683096</c:v>
                </c:pt>
                <c:pt idx="134">
                  <c:v>16.427302850145246</c:v>
                </c:pt>
              </c:numCache>
            </c:numRef>
          </c:val>
        </c:ser>
        <c:marker val="1"/>
        <c:axId val="74140672"/>
        <c:axId val="74138752"/>
      </c:lineChart>
      <c:catAx>
        <c:axId val="74130944"/>
        <c:scaling>
          <c:orientation val="minMax"/>
        </c:scaling>
        <c:axPos val="b"/>
        <c:numFmt formatCode="mmm/yy" sourceLinked="1"/>
        <c:tickLblPos val="nextTo"/>
        <c:txPr>
          <a:bodyPr rot="-5400000" vert="horz"/>
          <a:lstStyle/>
          <a:p>
            <a:pPr>
              <a:defRPr sz="800"/>
            </a:pPr>
            <a:endParaRPr lang="en-US"/>
          </a:p>
        </c:txPr>
        <c:crossAx val="74132480"/>
        <c:crosses val="autoZero"/>
        <c:auto val="1"/>
        <c:lblAlgn val="ctr"/>
        <c:lblOffset val="100"/>
        <c:tickLblSkip val="12"/>
        <c:tickMarkSkip val="12"/>
      </c:catAx>
      <c:valAx>
        <c:axId val="74132480"/>
        <c:scaling>
          <c:orientation val="minMax"/>
        </c:scaling>
        <c:axPos val="l"/>
        <c:majorGridlines/>
        <c:title>
          <c:tx>
            <c:rich>
              <a:bodyPr rot="-5400000" vert="horz"/>
              <a:lstStyle/>
              <a:p>
                <a:pPr>
                  <a:defRPr b="0"/>
                </a:pPr>
                <a:r>
                  <a:rPr lang="mk-MK" b="0"/>
                  <a:t>Проценти</a:t>
                </a:r>
                <a:r>
                  <a:rPr lang="en-US" b="0"/>
                  <a:t> (%)</a:t>
                </a:r>
              </a:p>
            </c:rich>
          </c:tx>
          <c:layout>
            <c:manualLayout>
              <c:xMode val="edge"/>
              <c:yMode val="edge"/>
              <c:x val="1.4026765715869183E-2"/>
              <c:y val="0.20232595317921545"/>
            </c:manualLayout>
          </c:layout>
        </c:title>
        <c:numFmt formatCode="0" sourceLinked="0"/>
        <c:tickLblPos val="nextTo"/>
        <c:crossAx val="74130944"/>
        <c:crosses val="autoZero"/>
        <c:crossBetween val="between"/>
      </c:valAx>
      <c:valAx>
        <c:axId val="74138752"/>
        <c:scaling>
          <c:orientation val="minMax"/>
        </c:scaling>
        <c:axPos val="r"/>
        <c:title>
          <c:tx>
            <c:rich>
              <a:bodyPr rot="-5400000" vert="horz"/>
              <a:lstStyle/>
              <a:p>
                <a:pPr>
                  <a:defRPr b="0"/>
                </a:pPr>
                <a:r>
                  <a:rPr lang="mk-MK" b="0"/>
                  <a:t>Проценти</a:t>
                </a:r>
                <a:r>
                  <a:rPr lang="en-US" b="0"/>
                  <a:t> (%)</a:t>
                </a:r>
              </a:p>
            </c:rich>
          </c:tx>
          <c:layout>
            <c:manualLayout>
              <c:xMode val="edge"/>
              <c:yMode val="edge"/>
              <c:x val="0.93651330419244416"/>
              <c:y val="0.18737078442307492"/>
            </c:manualLayout>
          </c:layout>
        </c:title>
        <c:numFmt formatCode="0" sourceLinked="0"/>
        <c:tickLblPos val="nextTo"/>
        <c:crossAx val="74140672"/>
        <c:crosses val="max"/>
        <c:crossBetween val="between"/>
      </c:valAx>
      <c:catAx>
        <c:axId val="74140672"/>
        <c:scaling>
          <c:orientation val="minMax"/>
        </c:scaling>
        <c:delete val="1"/>
        <c:axPos val="b"/>
        <c:numFmt formatCode="mmm/yy" sourceLinked="1"/>
        <c:tickLblPos val="none"/>
        <c:crossAx val="74138752"/>
        <c:crosses val="autoZero"/>
        <c:auto val="1"/>
        <c:lblAlgn val="ctr"/>
        <c:lblOffset val="100"/>
        <c:tickLblSkip val="1"/>
        <c:tickMarkSkip val="1"/>
      </c:catAx>
    </c:plotArea>
    <c:legend>
      <c:legendPos val="b"/>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397760287272507"/>
          <c:y val="6.917597667427447E-2"/>
          <c:w val="0.72037921549220063"/>
          <c:h val="0.73115563226243818"/>
        </c:manualLayout>
      </c:layout>
      <c:lineChart>
        <c:grouping val="standard"/>
        <c:ser>
          <c:idx val="0"/>
          <c:order val="0"/>
          <c:tx>
            <c:strRef>
              <c:f>Sheet1!$B$1</c:f>
              <c:strCache>
                <c:ptCount val="1"/>
                <c:pt idx="0">
                  <c:v>CPIMK</c:v>
                </c:pt>
              </c:strCache>
            </c:strRef>
          </c:tx>
          <c:spPr>
            <a:ln>
              <a:solidFill>
                <a:schemeClr val="tx1"/>
              </a:solidFill>
            </a:ln>
          </c:spPr>
          <c:marker>
            <c:symbol val="none"/>
          </c:marker>
          <c:cat>
            <c:strRef>
              <c:f>Sheet1!$A$2:$A$136</c:f>
              <c:strCache>
                <c:ptCount val="135"/>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strCache>
            </c:strRef>
          </c:cat>
          <c:val>
            <c:numRef>
              <c:f>Sheet1!$B$2:$B$136</c:f>
              <c:numCache>
                <c:formatCode>0.00</c:formatCode>
                <c:ptCount val="135"/>
                <c:pt idx="0">
                  <c:v>2</c:v>
                </c:pt>
                <c:pt idx="1">
                  <c:v>1.7</c:v>
                </c:pt>
                <c:pt idx="2">
                  <c:v>1.6</c:v>
                </c:pt>
                <c:pt idx="3">
                  <c:v>1</c:v>
                </c:pt>
                <c:pt idx="4">
                  <c:v>0.70000000000000062</c:v>
                </c:pt>
                <c:pt idx="5">
                  <c:v>0.5</c:v>
                </c:pt>
                <c:pt idx="6">
                  <c:v>0.30000000000000032</c:v>
                </c:pt>
                <c:pt idx="7">
                  <c:v>0</c:v>
                </c:pt>
                <c:pt idx="8">
                  <c:v>-0.2</c:v>
                </c:pt>
                <c:pt idx="9">
                  <c:v>-0.2</c:v>
                </c:pt>
                <c:pt idx="10">
                  <c:v>-0.30000000000000032</c:v>
                </c:pt>
                <c:pt idx="11">
                  <c:v>-1.9000000000000001</c:v>
                </c:pt>
                <c:pt idx="12">
                  <c:v>-1.4000000000000057</c:v>
                </c:pt>
                <c:pt idx="13">
                  <c:v>-0.70000000000000062</c:v>
                </c:pt>
                <c:pt idx="14">
                  <c:v>-0.4</c:v>
                </c:pt>
                <c:pt idx="15">
                  <c:v>-0.2</c:v>
                </c:pt>
                <c:pt idx="16">
                  <c:v>0</c:v>
                </c:pt>
                <c:pt idx="17">
                  <c:v>0.2</c:v>
                </c:pt>
                <c:pt idx="18">
                  <c:v>0.30000000000000032</c:v>
                </c:pt>
                <c:pt idx="19">
                  <c:v>0.30000000000000032</c:v>
                </c:pt>
                <c:pt idx="20">
                  <c:v>0.4</c:v>
                </c:pt>
                <c:pt idx="21">
                  <c:v>0.5</c:v>
                </c:pt>
                <c:pt idx="22">
                  <c:v>0.4</c:v>
                </c:pt>
                <c:pt idx="23">
                  <c:v>1.2</c:v>
                </c:pt>
                <c:pt idx="24">
                  <c:v>2.4</c:v>
                </c:pt>
                <c:pt idx="25">
                  <c:v>2.7</c:v>
                </c:pt>
                <c:pt idx="26">
                  <c:v>2.7</c:v>
                </c:pt>
                <c:pt idx="27">
                  <c:v>2.9</c:v>
                </c:pt>
                <c:pt idx="28">
                  <c:v>3.1</c:v>
                </c:pt>
                <c:pt idx="29">
                  <c:v>3.1</c:v>
                </c:pt>
                <c:pt idx="30">
                  <c:v>3.2</c:v>
                </c:pt>
                <c:pt idx="31">
                  <c:v>3.3</c:v>
                </c:pt>
                <c:pt idx="32">
                  <c:v>3.3</c:v>
                </c:pt>
                <c:pt idx="33">
                  <c:v>3.2</c:v>
                </c:pt>
                <c:pt idx="34">
                  <c:v>3.2</c:v>
                </c:pt>
                <c:pt idx="35">
                  <c:v>3.2</c:v>
                </c:pt>
                <c:pt idx="36">
                  <c:v>0.8</c:v>
                </c:pt>
                <c:pt idx="37">
                  <c:v>0.5</c:v>
                </c:pt>
                <c:pt idx="38">
                  <c:v>0.8</c:v>
                </c:pt>
                <c:pt idx="39">
                  <c:v>1</c:v>
                </c:pt>
                <c:pt idx="40">
                  <c:v>0.9</c:v>
                </c:pt>
                <c:pt idx="41">
                  <c:v>1.3</c:v>
                </c:pt>
                <c:pt idx="42">
                  <c:v>1.3</c:v>
                </c:pt>
                <c:pt idx="43">
                  <c:v>2.2000000000000002</c:v>
                </c:pt>
                <c:pt idx="44">
                  <c:v>3.6</c:v>
                </c:pt>
                <c:pt idx="45">
                  <c:v>3.9</c:v>
                </c:pt>
                <c:pt idx="46">
                  <c:v>4.5999999999999996</c:v>
                </c:pt>
                <c:pt idx="47">
                  <c:v>6.1</c:v>
                </c:pt>
                <c:pt idx="48">
                  <c:v>8.7000000000000011</c:v>
                </c:pt>
                <c:pt idx="49">
                  <c:v>9.6</c:v>
                </c:pt>
                <c:pt idx="50">
                  <c:v>10.200000000000001</c:v>
                </c:pt>
                <c:pt idx="51">
                  <c:v>10.1</c:v>
                </c:pt>
                <c:pt idx="52">
                  <c:v>9.5</c:v>
                </c:pt>
                <c:pt idx="53">
                  <c:v>10.1</c:v>
                </c:pt>
                <c:pt idx="54">
                  <c:v>9.5</c:v>
                </c:pt>
                <c:pt idx="55">
                  <c:v>8.6</c:v>
                </c:pt>
                <c:pt idx="56">
                  <c:v>7.1</c:v>
                </c:pt>
                <c:pt idx="57">
                  <c:v>7.1</c:v>
                </c:pt>
                <c:pt idx="58">
                  <c:v>5.2</c:v>
                </c:pt>
                <c:pt idx="59">
                  <c:v>4.0999999999999996</c:v>
                </c:pt>
                <c:pt idx="60">
                  <c:v>1.7</c:v>
                </c:pt>
                <c:pt idx="61">
                  <c:v>0.70000000000000062</c:v>
                </c:pt>
                <c:pt idx="62">
                  <c:v>0.2</c:v>
                </c:pt>
                <c:pt idx="63">
                  <c:v>-0.5</c:v>
                </c:pt>
                <c:pt idx="64">
                  <c:v>0.4</c:v>
                </c:pt>
                <c:pt idx="65">
                  <c:v>-1.7</c:v>
                </c:pt>
                <c:pt idx="66">
                  <c:v>-1.3</c:v>
                </c:pt>
                <c:pt idx="67">
                  <c:v>-1.4</c:v>
                </c:pt>
                <c:pt idx="68">
                  <c:v>-1.4</c:v>
                </c:pt>
                <c:pt idx="69">
                  <c:v>-2.4</c:v>
                </c:pt>
                <c:pt idx="70">
                  <c:v>-2.2999999999999998</c:v>
                </c:pt>
                <c:pt idx="71">
                  <c:v>-1.6</c:v>
                </c:pt>
                <c:pt idx="72">
                  <c:v>9.9999999999994552E-2</c:v>
                </c:pt>
                <c:pt idx="73">
                  <c:v>0.59999999999999432</c:v>
                </c:pt>
                <c:pt idx="74">
                  <c:v>0.70000000000000284</c:v>
                </c:pt>
                <c:pt idx="75">
                  <c:v>1.4000000000000057</c:v>
                </c:pt>
                <c:pt idx="76">
                  <c:v>0.20000000000000284</c:v>
                </c:pt>
                <c:pt idx="77">
                  <c:v>1.8</c:v>
                </c:pt>
                <c:pt idx="78">
                  <c:v>1.5</c:v>
                </c:pt>
                <c:pt idx="79">
                  <c:v>1.9000000000000061</c:v>
                </c:pt>
                <c:pt idx="80">
                  <c:v>2</c:v>
                </c:pt>
                <c:pt idx="81">
                  <c:v>2.7</c:v>
                </c:pt>
                <c:pt idx="82">
                  <c:v>2.9000000000000057</c:v>
                </c:pt>
                <c:pt idx="83">
                  <c:v>3</c:v>
                </c:pt>
                <c:pt idx="84">
                  <c:v>3.2</c:v>
                </c:pt>
                <c:pt idx="85">
                  <c:v>3.9000000000000057</c:v>
                </c:pt>
                <c:pt idx="86">
                  <c:v>5.2</c:v>
                </c:pt>
                <c:pt idx="87">
                  <c:v>4.8</c:v>
                </c:pt>
                <c:pt idx="88">
                  <c:v>5.2</c:v>
                </c:pt>
                <c:pt idx="89">
                  <c:v>4.0999999999999943</c:v>
                </c:pt>
                <c:pt idx="90">
                  <c:v>3.8</c:v>
                </c:pt>
                <c:pt idx="91">
                  <c:v>3.5999999999999943</c:v>
                </c:pt>
                <c:pt idx="92">
                  <c:v>3.4000000000000057</c:v>
                </c:pt>
                <c:pt idx="93">
                  <c:v>3.3</c:v>
                </c:pt>
                <c:pt idx="94">
                  <c:v>3.5</c:v>
                </c:pt>
                <c:pt idx="95">
                  <c:v>2.8091098501894742</c:v>
                </c:pt>
                <c:pt idx="96">
                  <c:v>3.3615917436264269</c:v>
                </c:pt>
                <c:pt idx="97">
                  <c:v>2.875754154084158</c:v>
                </c:pt>
                <c:pt idx="98">
                  <c:v>1.4200000000000017</c:v>
                </c:pt>
                <c:pt idx="99">
                  <c:v>2.1700000000000017</c:v>
                </c:pt>
                <c:pt idx="100">
                  <c:v>2.019999999999996</c:v>
                </c:pt>
                <c:pt idx="101">
                  <c:v>2.1400000000000006</c:v>
                </c:pt>
                <c:pt idx="102">
                  <c:v>2.2800000000000011</c:v>
                </c:pt>
                <c:pt idx="103">
                  <c:v>3.7399999999999949</c:v>
                </c:pt>
                <c:pt idx="104">
                  <c:v>5.3199999999999905</c:v>
                </c:pt>
                <c:pt idx="105">
                  <c:v>5.269999999999996</c:v>
                </c:pt>
                <c:pt idx="106">
                  <c:v>4.5999999999999943</c:v>
                </c:pt>
                <c:pt idx="107">
                  <c:v>4.6899999999999977</c:v>
                </c:pt>
                <c:pt idx="108">
                  <c:v>3.8100000000000023</c:v>
                </c:pt>
                <c:pt idx="109">
                  <c:v>3.5</c:v>
                </c:pt>
                <c:pt idx="110">
                  <c:v>3.1099999999999994</c:v>
                </c:pt>
                <c:pt idx="111">
                  <c:v>3.3400000000000034</c:v>
                </c:pt>
                <c:pt idx="112">
                  <c:v>3.4200000000000017</c:v>
                </c:pt>
                <c:pt idx="113">
                  <c:v>4.1800000000000068</c:v>
                </c:pt>
                <c:pt idx="114">
                  <c:v>3.9599999999999937</c:v>
                </c:pt>
                <c:pt idx="115">
                  <c:v>2.8100000000000023</c:v>
                </c:pt>
                <c:pt idx="116">
                  <c:v>1.609999999999983</c:v>
                </c:pt>
                <c:pt idx="117">
                  <c:v>1.3100000000000165</c:v>
                </c:pt>
                <c:pt idx="118">
                  <c:v>1.1199999999999879</c:v>
                </c:pt>
                <c:pt idx="119">
                  <c:v>1.3499999999999777</c:v>
                </c:pt>
                <c:pt idx="120">
                  <c:v>1.184670638114298</c:v>
                </c:pt>
                <c:pt idx="121">
                  <c:v>0.51816639179817459</c:v>
                </c:pt>
                <c:pt idx="122">
                  <c:v>0.16090367359198871</c:v>
                </c:pt>
                <c:pt idx="123">
                  <c:v>-1.1207575468698143</c:v>
                </c:pt>
                <c:pt idx="124">
                  <c:v>-0.63346608494390366</c:v>
                </c:pt>
                <c:pt idx="125">
                  <c:v>-1.1184304599132864</c:v>
                </c:pt>
                <c:pt idx="126">
                  <c:v>0.1931989666153982</c:v>
                </c:pt>
                <c:pt idx="127">
                  <c:v>-0.59070167182794242</c:v>
                </c:pt>
                <c:pt idx="128">
                  <c:v>-0.71663123388312244</c:v>
                </c:pt>
                <c:pt idx="129">
                  <c:v>-0.38314894705877184</c:v>
                </c:pt>
                <c:pt idx="130">
                  <c:v>-0.29195481372092114</c:v>
                </c:pt>
                <c:pt idx="131">
                  <c:v>-0.54934973087621586</c:v>
                </c:pt>
                <c:pt idx="132">
                  <c:v>-1.4617958391202419</c:v>
                </c:pt>
                <c:pt idx="133">
                  <c:v>-0.99651065575080977</c:v>
                </c:pt>
                <c:pt idx="134">
                  <c:v>-0.25588343762233035</c:v>
                </c:pt>
              </c:numCache>
            </c:numRef>
          </c:val>
        </c:ser>
        <c:marker val="1"/>
        <c:axId val="74228096"/>
        <c:axId val="74229632"/>
      </c:lineChart>
      <c:lineChart>
        <c:grouping val="standard"/>
        <c:ser>
          <c:idx val="1"/>
          <c:order val="1"/>
          <c:tx>
            <c:strRef>
              <c:f>Sheet1!$C$1</c:f>
              <c:strCache>
                <c:ptCount val="1"/>
                <c:pt idx="0">
                  <c:v>IMP</c:v>
                </c:pt>
              </c:strCache>
            </c:strRef>
          </c:tx>
          <c:marker>
            <c:symbol val="none"/>
          </c:marker>
          <c:cat>
            <c:strRef>
              <c:f>Sheet1!$A$2:$A$136</c:f>
              <c:strCache>
                <c:ptCount val="135"/>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pt idx="116">
                  <c:v>2013/09</c:v>
                </c:pt>
                <c:pt idx="117">
                  <c:v>2013/10</c:v>
                </c:pt>
                <c:pt idx="118">
                  <c:v>2013/11</c:v>
                </c:pt>
                <c:pt idx="119">
                  <c:v>2013/12</c:v>
                </c:pt>
                <c:pt idx="120">
                  <c:v>2014/01</c:v>
                </c:pt>
                <c:pt idx="121">
                  <c:v>2014/02</c:v>
                </c:pt>
                <c:pt idx="122">
                  <c:v>2014/03</c:v>
                </c:pt>
                <c:pt idx="123">
                  <c:v>2014/04</c:v>
                </c:pt>
                <c:pt idx="124">
                  <c:v>2014/05</c:v>
                </c:pt>
                <c:pt idx="125">
                  <c:v>2014/06</c:v>
                </c:pt>
                <c:pt idx="126">
                  <c:v>2014/07</c:v>
                </c:pt>
                <c:pt idx="127">
                  <c:v>2014/08</c:v>
                </c:pt>
                <c:pt idx="128">
                  <c:v>2014/09</c:v>
                </c:pt>
                <c:pt idx="129">
                  <c:v>2014/10</c:v>
                </c:pt>
                <c:pt idx="130">
                  <c:v>2014/11</c:v>
                </c:pt>
                <c:pt idx="131">
                  <c:v>2014/12</c:v>
                </c:pt>
                <c:pt idx="132">
                  <c:v>2015/01</c:v>
                </c:pt>
                <c:pt idx="133">
                  <c:v>2015/02</c:v>
                </c:pt>
                <c:pt idx="134">
                  <c:v>2015/03</c:v>
                </c:pt>
              </c:strCache>
            </c:strRef>
          </c:cat>
          <c:val>
            <c:numRef>
              <c:f>Sheet1!$C$2:$C$136</c:f>
              <c:numCache>
                <c:formatCode>0.00</c:formatCode>
                <c:ptCount val="135"/>
                <c:pt idx="0">
                  <c:v>-6.201630916724743</c:v>
                </c:pt>
                <c:pt idx="1">
                  <c:v>25.037605918409795</c:v>
                </c:pt>
                <c:pt idx="2">
                  <c:v>8.7430146249380485</c:v>
                </c:pt>
                <c:pt idx="3">
                  <c:v>16.154613770654091</c:v>
                </c:pt>
                <c:pt idx="4">
                  <c:v>8.088411571667173</c:v>
                </c:pt>
                <c:pt idx="5">
                  <c:v>40.547681465993179</c:v>
                </c:pt>
                <c:pt idx="6">
                  <c:v>25.680023524786886</c:v>
                </c:pt>
                <c:pt idx="7">
                  <c:v>19.805651835690785</c:v>
                </c:pt>
                <c:pt idx="8">
                  <c:v>19.67394855858624</c:v>
                </c:pt>
                <c:pt idx="9">
                  <c:v>14.384248709721614</c:v>
                </c:pt>
                <c:pt idx="10">
                  <c:v>36.675892579595939</c:v>
                </c:pt>
                <c:pt idx="11">
                  <c:v>38.982425358173778</c:v>
                </c:pt>
                <c:pt idx="12">
                  <c:v>12.901926644822858</c:v>
                </c:pt>
                <c:pt idx="13">
                  <c:v>6.1232873350693895</c:v>
                </c:pt>
                <c:pt idx="14">
                  <c:v>-0.24426437125086881</c:v>
                </c:pt>
                <c:pt idx="15">
                  <c:v>27.193577156119343</c:v>
                </c:pt>
                <c:pt idx="16">
                  <c:v>27.082869605168106</c:v>
                </c:pt>
                <c:pt idx="17">
                  <c:v>14.60655880103654</c:v>
                </c:pt>
                <c:pt idx="18">
                  <c:v>0.50016281992959488</c:v>
                </c:pt>
                <c:pt idx="19">
                  <c:v>9.6852155428081037</c:v>
                </c:pt>
                <c:pt idx="20">
                  <c:v>20.508936287907204</c:v>
                </c:pt>
                <c:pt idx="21">
                  <c:v>12.679201771206362</c:v>
                </c:pt>
                <c:pt idx="22">
                  <c:v>5.0365547541161737</c:v>
                </c:pt>
                <c:pt idx="23">
                  <c:v>9.5502358964625778</c:v>
                </c:pt>
                <c:pt idx="24">
                  <c:v>19.179127093940874</c:v>
                </c:pt>
                <c:pt idx="25">
                  <c:v>16.152280046306664</c:v>
                </c:pt>
                <c:pt idx="26">
                  <c:v>26.180311654993549</c:v>
                </c:pt>
                <c:pt idx="27">
                  <c:v>5.021956877705728</c:v>
                </c:pt>
                <c:pt idx="28">
                  <c:v>14.545609442556183</c:v>
                </c:pt>
                <c:pt idx="29">
                  <c:v>15.759612136718257</c:v>
                </c:pt>
                <c:pt idx="30">
                  <c:v>30.990658462611496</c:v>
                </c:pt>
                <c:pt idx="31">
                  <c:v>27.270409377518092</c:v>
                </c:pt>
                <c:pt idx="32">
                  <c:v>10.917175664162118</c:v>
                </c:pt>
                <c:pt idx="33">
                  <c:v>13.299752119688026</c:v>
                </c:pt>
                <c:pt idx="34">
                  <c:v>13.228099435375418</c:v>
                </c:pt>
                <c:pt idx="35">
                  <c:v>13.52633328413666</c:v>
                </c:pt>
                <c:pt idx="36">
                  <c:v>38.744823811270621</c:v>
                </c:pt>
                <c:pt idx="37">
                  <c:v>35.173784940807963</c:v>
                </c:pt>
                <c:pt idx="38">
                  <c:v>17.312609311029426</c:v>
                </c:pt>
                <c:pt idx="39">
                  <c:v>15.855836851816877</c:v>
                </c:pt>
                <c:pt idx="40">
                  <c:v>12.17651383600948</c:v>
                </c:pt>
                <c:pt idx="41">
                  <c:v>15.54487523900945</c:v>
                </c:pt>
                <c:pt idx="42">
                  <c:v>27.124173554522887</c:v>
                </c:pt>
                <c:pt idx="43">
                  <c:v>15.90978570948252</c:v>
                </c:pt>
                <c:pt idx="44">
                  <c:v>24.370948943206105</c:v>
                </c:pt>
                <c:pt idx="45">
                  <c:v>39.427396114752696</c:v>
                </c:pt>
                <c:pt idx="46">
                  <c:v>44.288225805224052</c:v>
                </c:pt>
                <c:pt idx="47">
                  <c:v>31.518258292275387</c:v>
                </c:pt>
                <c:pt idx="48">
                  <c:v>24.317670883046858</c:v>
                </c:pt>
                <c:pt idx="49">
                  <c:v>40.907545308348325</c:v>
                </c:pt>
                <c:pt idx="50">
                  <c:v>21.577180038625322</c:v>
                </c:pt>
                <c:pt idx="51">
                  <c:v>28.94438865544673</c:v>
                </c:pt>
                <c:pt idx="52">
                  <c:v>44.072527350816394</c:v>
                </c:pt>
                <c:pt idx="53">
                  <c:v>40.005891741324277</c:v>
                </c:pt>
                <c:pt idx="54">
                  <c:v>34.683548301749575</c:v>
                </c:pt>
                <c:pt idx="55">
                  <c:v>31.228128020910283</c:v>
                </c:pt>
                <c:pt idx="56">
                  <c:v>18.155690435432149</c:v>
                </c:pt>
                <c:pt idx="57">
                  <c:v>19.800379762946953</c:v>
                </c:pt>
                <c:pt idx="58">
                  <c:v>-3.917627678670843</c:v>
                </c:pt>
                <c:pt idx="59">
                  <c:v>-9.7883401802067951</c:v>
                </c:pt>
                <c:pt idx="60">
                  <c:v>-9.8613720566987695</c:v>
                </c:pt>
                <c:pt idx="61">
                  <c:v>-15.45173832840185</c:v>
                </c:pt>
                <c:pt idx="62">
                  <c:v>-8.6767909145783193</c:v>
                </c:pt>
                <c:pt idx="63">
                  <c:v>-16.692313938863389</c:v>
                </c:pt>
                <c:pt idx="64">
                  <c:v>-37.315190622606799</c:v>
                </c:pt>
                <c:pt idx="65">
                  <c:v>-32.111454260698807</c:v>
                </c:pt>
                <c:pt idx="66">
                  <c:v>-29.091880743719333</c:v>
                </c:pt>
                <c:pt idx="67">
                  <c:v>-26.728148437011789</c:v>
                </c:pt>
                <c:pt idx="68">
                  <c:v>-26.719096104341922</c:v>
                </c:pt>
                <c:pt idx="69">
                  <c:v>-22.676993441059391</c:v>
                </c:pt>
                <c:pt idx="70">
                  <c:v>-5.2160610087750774</c:v>
                </c:pt>
                <c:pt idx="71">
                  <c:v>-5.0423769937080793</c:v>
                </c:pt>
                <c:pt idx="72">
                  <c:v>-15.236235172123603</c:v>
                </c:pt>
                <c:pt idx="73">
                  <c:v>-12.955780970332658</c:v>
                </c:pt>
                <c:pt idx="74">
                  <c:v>-1.6709703846192747</c:v>
                </c:pt>
                <c:pt idx="75">
                  <c:v>11.522436421918172</c:v>
                </c:pt>
                <c:pt idx="76">
                  <c:v>28.069586100081189</c:v>
                </c:pt>
                <c:pt idx="77">
                  <c:v>22.763115374540885</c:v>
                </c:pt>
                <c:pt idx="78">
                  <c:v>12.061293594649054</c:v>
                </c:pt>
                <c:pt idx="79">
                  <c:v>30.22180766035833</c:v>
                </c:pt>
                <c:pt idx="80">
                  <c:v>23.045395858284927</c:v>
                </c:pt>
                <c:pt idx="81">
                  <c:v>11.802502914956689</c:v>
                </c:pt>
                <c:pt idx="82">
                  <c:v>11.03212892374253</c:v>
                </c:pt>
                <c:pt idx="83">
                  <c:v>27.47338567135186</c:v>
                </c:pt>
                <c:pt idx="84">
                  <c:v>79.137112103930619</c:v>
                </c:pt>
                <c:pt idx="85">
                  <c:v>49.012900222481043</c:v>
                </c:pt>
                <c:pt idx="86">
                  <c:v>22.397555469941988</c:v>
                </c:pt>
                <c:pt idx="87">
                  <c:v>22.88269168869277</c:v>
                </c:pt>
                <c:pt idx="88">
                  <c:v>19.559166068846512</c:v>
                </c:pt>
                <c:pt idx="89">
                  <c:v>5.8923291165538414</c:v>
                </c:pt>
                <c:pt idx="90">
                  <c:v>12.868525809543829</c:v>
                </c:pt>
                <c:pt idx="91">
                  <c:v>12.561871009255848</c:v>
                </c:pt>
                <c:pt idx="92">
                  <c:v>32.480351682215286</c:v>
                </c:pt>
                <c:pt idx="93">
                  <c:v>3.6992684538276821</c:v>
                </c:pt>
                <c:pt idx="94">
                  <c:v>17.638140795794044</c:v>
                </c:pt>
                <c:pt idx="95">
                  <c:v>4.5005962750904045</c:v>
                </c:pt>
                <c:pt idx="96">
                  <c:v>-12.134037887209352</c:v>
                </c:pt>
                <c:pt idx="97">
                  <c:v>-9.7890979977101935</c:v>
                </c:pt>
                <c:pt idx="98">
                  <c:v>10.139136505403281</c:v>
                </c:pt>
                <c:pt idx="99">
                  <c:v>1.9319772194821718</c:v>
                </c:pt>
                <c:pt idx="100">
                  <c:v>8.8561578517588728</c:v>
                </c:pt>
                <c:pt idx="101">
                  <c:v>-2.3191347666105906</c:v>
                </c:pt>
                <c:pt idx="102">
                  <c:v>4.5527071478985706</c:v>
                </c:pt>
                <c:pt idx="103">
                  <c:v>3.4096355453547171</c:v>
                </c:pt>
                <c:pt idx="104">
                  <c:v>-5.0719699638767004</c:v>
                </c:pt>
                <c:pt idx="105">
                  <c:v>22.108013459370014</c:v>
                </c:pt>
                <c:pt idx="106">
                  <c:v>0.59078360002597918</c:v>
                </c:pt>
                <c:pt idx="107">
                  <c:v>0.68768031097679061</c:v>
                </c:pt>
                <c:pt idx="108">
                  <c:v>-0.64619530274376946</c:v>
                </c:pt>
                <c:pt idx="109">
                  <c:v>-0.45627453352579117</c:v>
                </c:pt>
                <c:pt idx="110">
                  <c:v>-8.8047074019870468</c:v>
                </c:pt>
                <c:pt idx="111">
                  <c:v>3.5139818237009752</c:v>
                </c:pt>
                <c:pt idx="112">
                  <c:v>0.55966279317658563</c:v>
                </c:pt>
                <c:pt idx="113">
                  <c:v>9.0095254453738889</c:v>
                </c:pt>
                <c:pt idx="114">
                  <c:v>8.5960240748492893</c:v>
                </c:pt>
                <c:pt idx="115">
                  <c:v>-11.50035017571911</c:v>
                </c:pt>
                <c:pt idx="116">
                  <c:v>-5.4434864282714273</c:v>
                </c:pt>
                <c:pt idx="117">
                  <c:v>-6.3040612071053497</c:v>
                </c:pt>
                <c:pt idx="118">
                  <c:v>-0.43277417928883155</c:v>
                </c:pt>
                <c:pt idx="119">
                  <c:v>-1.3789895114692541</c:v>
                </c:pt>
                <c:pt idx="120">
                  <c:v>3.0867369081326812</c:v>
                </c:pt>
                <c:pt idx="121">
                  <c:v>17.092834203881079</c:v>
                </c:pt>
                <c:pt idx="122">
                  <c:v>11.633133878046252</c:v>
                </c:pt>
                <c:pt idx="123">
                  <c:v>17.921799106173182</c:v>
                </c:pt>
                <c:pt idx="124">
                  <c:v>9.8607613527410098</c:v>
                </c:pt>
                <c:pt idx="125">
                  <c:v>6.522692074510994</c:v>
                </c:pt>
                <c:pt idx="126">
                  <c:v>5.5995904656827484</c:v>
                </c:pt>
                <c:pt idx="127">
                  <c:v>7.6082109885301508</c:v>
                </c:pt>
                <c:pt idx="128">
                  <c:v>21.904321650786574</c:v>
                </c:pt>
                <c:pt idx="129">
                  <c:v>16.07727432901347</c:v>
                </c:pt>
                <c:pt idx="130">
                  <c:v>1.1293513578299637</c:v>
                </c:pt>
                <c:pt idx="131">
                  <c:v>12.958653582237568</c:v>
                </c:pt>
                <c:pt idx="132">
                  <c:v>1.24821289072814</c:v>
                </c:pt>
                <c:pt idx="133">
                  <c:v>-3.1423836213309171</c:v>
                </c:pt>
                <c:pt idx="134">
                  <c:v>19.17010392530516</c:v>
                </c:pt>
              </c:numCache>
            </c:numRef>
          </c:val>
        </c:ser>
        <c:marker val="1"/>
        <c:axId val="74237824"/>
        <c:axId val="74235904"/>
      </c:lineChart>
      <c:catAx>
        <c:axId val="74228096"/>
        <c:scaling>
          <c:orientation val="minMax"/>
        </c:scaling>
        <c:axPos val="b"/>
        <c:numFmt formatCode="mmm/yy" sourceLinked="1"/>
        <c:tickLblPos val="nextTo"/>
        <c:txPr>
          <a:bodyPr rot="-5400000" vert="horz"/>
          <a:lstStyle/>
          <a:p>
            <a:pPr>
              <a:defRPr sz="800"/>
            </a:pPr>
            <a:endParaRPr lang="en-US"/>
          </a:p>
        </c:txPr>
        <c:crossAx val="74229632"/>
        <c:crosses val="autoZero"/>
        <c:auto val="1"/>
        <c:lblAlgn val="ctr"/>
        <c:lblOffset val="100"/>
        <c:tickLblSkip val="12"/>
        <c:tickMarkSkip val="12"/>
      </c:catAx>
      <c:valAx>
        <c:axId val="74229632"/>
        <c:scaling>
          <c:orientation val="minMax"/>
        </c:scaling>
        <c:axPos val="l"/>
        <c:majorGridlines/>
        <c:title>
          <c:tx>
            <c:rich>
              <a:bodyPr rot="-5400000" vert="horz"/>
              <a:lstStyle/>
              <a:p>
                <a:pPr>
                  <a:defRPr b="0"/>
                </a:pPr>
                <a:r>
                  <a:rPr lang="mk-MK" b="0"/>
                  <a:t>Проценти </a:t>
                </a:r>
                <a:r>
                  <a:rPr lang="en-US" b="0"/>
                  <a:t>(%)</a:t>
                </a:r>
              </a:p>
            </c:rich>
          </c:tx>
          <c:layout>
            <c:manualLayout>
              <c:xMode val="edge"/>
              <c:yMode val="edge"/>
              <c:x val="1.4026765715869183E-2"/>
              <c:y val="0.20232595317921545"/>
            </c:manualLayout>
          </c:layout>
        </c:title>
        <c:numFmt formatCode="0" sourceLinked="0"/>
        <c:tickLblPos val="nextTo"/>
        <c:crossAx val="74228096"/>
        <c:crosses val="autoZero"/>
        <c:crossBetween val="between"/>
      </c:valAx>
      <c:valAx>
        <c:axId val="74235904"/>
        <c:scaling>
          <c:orientation val="minMax"/>
        </c:scaling>
        <c:axPos val="r"/>
        <c:title>
          <c:tx>
            <c:rich>
              <a:bodyPr rot="-5400000" vert="horz"/>
              <a:lstStyle/>
              <a:p>
                <a:pPr>
                  <a:defRPr b="0"/>
                </a:pPr>
                <a:r>
                  <a:rPr lang="mk-MK" b="0"/>
                  <a:t>Проценти</a:t>
                </a:r>
                <a:r>
                  <a:rPr lang="en-US" b="0"/>
                  <a:t> (%)</a:t>
                </a:r>
              </a:p>
            </c:rich>
          </c:tx>
          <c:layout>
            <c:manualLayout>
              <c:xMode val="edge"/>
              <c:yMode val="edge"/>
              <c:x val="0.93650014879900256"/>
              <c:y val="0.20238233650842746"/>
            </c:manualLayout>
          </c:layout>
        </c:title>
        <c:numFmt formatCode="0" sourceLinked="0"/>
        <c:tickLblPos val="nextTo"/>
        <c:crossAx val="74237824"/>
        <c:crosses val="max"/>
        <c:crossBetween val="between"/>
      </c:valAx>
      <c:catAx>
        <c:axId val="74237824"/>
        <c:scaling>
          <c:orientation val="minMax"/>
        </c:scaling>
        <c:delete val="1"/>
        <c:axPos val="b"/>
        <c:numFmt formatCode="mmm/yy" sourceLinked="1"/>
        <c:tickLblPos val="none"/>
        <c:crossAx val="74235904"/>
        <c:crosses val="autoZero"/>
        <c:auto val="1"/>
        <c:lblAlgn val="ctr"/>
        <c:lblOffset val="100"/>
        <c:tickLblSkip val="1"/>
        <c:tickMarkSkip val="1"/>
      </c:catAx>
    </c:plotArea>
    <c:legend>
      <c:legendPos val="b"/>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5558293710816842"/>
          <c:y val="4.8664173541553106E-2"/>
          <c:w val="0.8444172306810156"/>
          <c:h val="0.64338934307853279"/>
        </c:manualLayout>
      </c:layout>
      <c:lineChart>
        <c:grouping val="standard"/>
        <c:ser>
          <c:idx val="0"/>
          <c:order val="0"/>
          <c:tx>
            <c:strRef>
              <c:f>Sheet1!$B$1</c:f>
              <c:strCache>
                <c:ptCount val="1"/>
                <c:pt idx="0">
                  <c:v>OIL&gt;CPIMK</c:v>
                </c:pt>
              </c:strCache>
            </c:strRef>
          </c:tx>
          <c:spPr>
            <a:ln>
              <a:solidFill>
                <a:schemeClr val="tx1"/>
              </a:solidFill>
            </a:ln>
          </c:spPr>
          <c:marker>
            <c:symbol val="none"/>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Sheet1!$B$2:$B$25</c:f>
              <c:numCache>
                <c:formatCode>General</c:formatCode>
                <c:ptCount val="24"/>
                <c:pt idx="0">
                  <c:v>0.18910000000000021</c:v>
                </c:pt>
                <c:pt idx="1">
                  <c:v>0.29600000000000032</c:v>
                </c:pt>
                <c:pt idx="2">
                  <c:v>0.35630000000000195</c:v>
                </c:pt>
                <c:pt idx="3">
                  <c:v>0.43040000000000195</c:v>
                </c:pt>
                <c:pt idx="4">
                  <c:v>0.4672</c:v>
                </c:pt>
                <c:pt idx="5">
                  <c:v>0.43740000000000195</c:v>
                </c:pt>
                <c:pt idx="6">
                  <c:v>0.49880000000000224</c:v>
                </c:pt>
                <c:pt idx="7">
                  <c:v>0.52529999999999999</c:v>
                </c:pt>
                <c:pt idx="8">
                  <c:v>0.53849999999999998</c:v>
                </c:pt>
                <c:pt idx="9">
                  <c:v>0.70560000000000389</c:v>
                </c:pt>
                <c:pt idx="10">
                  <c:v>0.86870000000000436</c:v>
                </c:pt>
                <c:pt idx="11">
                  <c:v>0.90980000000000005</c:v>
                </c:pt>
                <c:pt idx="12">
                  <c:v>0.76590000000000436</c:v>
                </c:pt>
                <c:pt idx="13">
                  <c:v>0.7408000000000039</c:v>
                </c:pt>
                <c:pt idx="14">
                  <c:v>0.68990000000000062</c:v>
                </c:pt>
                <c:pt idx="15">
                  <c:v>0.63170000000000448</c:v>
                </c:pt>
                <c:pt idx="16">
                  <c:v>0.61800000000000344</c:v>
                </c:pt>
                <c:pt idx="17">
                  <c:v>0.6380000000000039</c:v>
                </c:pt>
                <c:pt idx="18">
                  <c:v>0.61490000000000378</c:v>
                </c:pt>
                <c:pt idx="19">
                  <c:v>0.49970000000000031</c:v>
                </c:pt>
                <c:pt idx="20">
                  <c:v>0.52580000000000005</c:v>
                </c:pt>
                <c:pt idx="21">
                  <c:v>0.41520000000000001</c:v>
                </c:pt>
                <c:pt idx="22">
                  <c:v>0.2757</c:v>
                </c:pt>
                <c:pt idx="23">
                  <c:v>0.17440000000000044</c:v>
                </c:pt>
              </c:numCache>
            </c:numRef>
          </c:val>
        </c:ser>
        <c:marker val="1"/>
        <c:axId val="74347264"/>
        <c:axId val="74348800"/>
      </c:lineChart>
      <c:catAx>
        <c:axId val="74347264"/>
        <c:scaling>
          <c:orientation val="minMax"/>
        </c:scaling>
        <c:axPos val="b"/>
        <c:numFmt formatCode="General" sourceLinked="1"/>
        <c:tickLblPos val="nextTo"/>
        <c:crossAx val="74348800"/>
        <c:crosses val="autoZero"/>
        <c:auto val="1"/>
        <c:lblAlgn val="ctr"/>
        <c:lblOffset val="100"/>
      </c:catAx>
      <c:valAx>
        <c:axId val="74348800"/>
        <c:scaling>
          <c:orientation val="minMax"/>
          <c:max val="1"/>
          <c:min val="0.1"/>
        </c:scaling>
        <c:axPos val="l"/>
        <c:majorGridlines/>
        <c:numFmt formatCode="0.0" sourceLinked="0"/>
        <c:tickLblPos val="nextTo"/>
        <c:crossAx val="74347264"/>
        <c:crosses val="autoZero"/>
        <c:crossBetween val="between"/>
        <c:majorUnit val="0.2"/>
      </c:valAx>
    </c:plotArea>
    <c:legend>
      <c:legendPos val="b"/>
      <c:layout>
        <c:manualLayout>
          <c:xMode val="edge"/>
          <c:yMode val="edge"/>
          <c:x val="0.25256296169580567"/>
          <c:y val="0.85177447914704463"/>
          <c:w val="0.43220434608824132"/>
          <c:h val="0.11375252734556505"/>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0244045172850262"/>
          <c:y val="6.9149484710179024E-2"/>
          <c:w val="0.85747012312396231"/>
          <c:h val="0.61963720362292862"/>
        </c:manualLayout>
      </c:layout>
      <c:lineChart>
        <c:grouping val="standard"/>
        <c:ser>
          <c:idx val="0"/>
          <c:order val="0"/>
          <c:tx>
            <c:strRef>
              <c:f>Sheet1!$B$1</c:f>
              <c:strCache>
                <c:ptCount val="1"/>
                <c:pt idx="0">
                  <c:v>CPIEU&gt;CPIMK</c:v>
                </c:pt>
              </c:strCache>
            </c:strRef>
          </c:tx>
          <c:spPr>
            <a:ln>
              <a:solidFill>
                <a:schemeClr val="tx1"/>
              </a:solidFill>
            </a:ln>
          </c:spPr>
          <c:marker>
            <c:symbol val="none"/>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Sheet1!$B$2:$B$25</c:f>
              <c:numCache>
                <c:formatCode>General</c:formatCode>
                <c:ptCount val="24"/>
                <c:pt idx="0">
                  <c:v>1.9099999999999999E-2</c:v>
                </c:pt>
                <c:pt idx="1">
                  <c:v>-2.6400000000000052E-2</c:v>
                </c:pt>
                <c:pt idx="2">
                  <c:v>0.11950000000000002</c:v>
                </c:pt>
                <c:pt idx="3">
                  <c:v>0.1124</c:v>
                </c:pt>
                <c:pt idx="4">
                  <c:v>0.11749999999999998</c:v>
                </c:pt>
                <c:pt idx="5">
                  <c:v>0.1951</c:v>
                </c:pt>
                <c:pt idx="6">
                  <c:v>0.26250000000000001</c:v>
                </c:pt>
                <c:pt idx="7">
                  <c:v>0.2293</c:v>
                </c:pt>
                <c:pt idx="8">
                  <c:v>0.16320000000000001</c:v>
                </c:pt>
                <c:pt idx="9">
                  <c:v>0.22570000000000001</c:v>
                </c:pt>
                <c:pt idx="10">
                  <c:v>0.33530000000000465</c:v>
                </c:pt>
                <c:pt idx="11">
                  <c:v>0.39800000000000341</c:v>
                </c:pt>
                <c:pt idx="12">
                  <c:v>0.42360000000000031</c:v>
                </c:pt>
                <c:pt idx="13">
                  <c:v>0.47960000000000008</c:v>
                </c:pt>
                <c:pt idx="14">
                  <c:v>0.30230000000000296</c:v>
                </c:pt>
                <c:pt idx="15">
                  <c:v>0.25130000000000002</c:v>
                </c:pt>
                <c:pt idx="16">
                  <c:v>0.2306</c:v>
                </c:pt>
                <c:pt idx="17">
                  <c:v>0.14860000000000001</c:v>
                </c:pt>
                <c:pt idx="18">
                  <c:v>4.5000000000000012E-2</c:v>
                </c:pt>
                <c:pt idx="19">
                  <c:v>8.1000000000000048E-3</c:v>
                </c:pt>
                <c:pt idx="20">
                  <c:v>7.9400000000000123E-2</c:v>
                </c:pt>
                <c:pt idx="21">
                  <c:v>1.660000000000017E-2</c:v>
                </c:pt>
                <c:pt idx="22">
                  <c:v>-0.10290000000000002</c:v>
                </c:pt>
                <c:pt idx="23">
                  <c:v>-0.21900000000000044</c:v>
                </c:pt>
              </c:numCache>
            </c:numRef>
          </c:val>
        </c:ser>
        <c:marker val="1"/>
        <c:axId val="74364416"/>
        <c:axId val="74365952"/>
      </c:lineChart>
      <c:catAx>
        <c:axId val="74364416"/>
        <c:scaling>
          <c:orientation val="minMax"/>
        </c:scaling>
        <c:axPos val="b"/>
        <c:numFmt formatCode="General" sourceLinked="1"/>
        <c:tickLblPos val="low"/>
        <c:crossAx val="74365952"/>
        <c:crosses val="autoZero"/>
        <c:auto val="1"/>
        <c:lblAlgn val="ctr"/>
        <c:lblOffset val="100"/>
      </c:catAx>
      <c:valAx>
        <c:axId val="74365952"/>
        <c:scaling>
          <c:orientation val="minMax"/>
        </c:scaling>
        <c:axPos val="l"/>
        <c:majorGridlines/>
        <c:numFmt formatCode="0.0" sourceLinked="0"/>
        <c:tickLblPos val="nextTo"/>
        <c:crossAx val="74364416"/>
        <c:crosses val="autoZero"/>
        <c:crossBetween val="between"/>
      </c:valAx>
    </c:plotArea>
    <c:legend>
      <c:legendPos val="b"/>
      <c:layout>
        <c:manualLayout>
          <c:xMode val="edge"/>
          <c:yMode val="edge"/>
          <c:x val="0.28598681797322423"/>
          <c:y val="0.83565336707012361"/>
          <c:w val="0.44681251219087015"/>
          <c:h val="0.12987342409536939"/>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0244045172850262"/>
          <c:y val="6.9149484710179024E-2"/>
          <c:w val="0.85747012312396231"/>
          <c:h val="0.62628651562959659"/>
        </c:manualLayout>
      </c:layout>
      <c:lineChart>
        <c:grouping val="standard"/>
        <c:ser>
          <c:idx val="0"/>
          <c:order val="0"/>
          <c:tx>
            <c:strRef>
              <c:f>Sheet1!$B$1</c:f>
              <c:strCache>
                <c:ptCount val="1"/>
                <c:pt idx="0">
                  <c:v>M1&gt;CPIMK</c:v>
                </c:pt>
              </c:strCache>
            </c:strRef>
          </c:tx>
          <c:spPr>
            <a:ln>
              <a:solidFill>
                <a:schemeClr val="tx1"/>
              </a:solidFill>
            </a:ln>
          </c:spPr>
          <c:marker>
            <c:symbol val="none"/>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Sheet1!$B$2:$B$25</c:f>
              <c:numCache>
                <c:formatCode>General</c:formatCode>
                <c:ptCount val="24"/>
                <c:pt idx="0">
                  <c:v>-1.3700000000000143E-2</c:v>
                </c:pt>
                <c:pt idx="1">
                  <c:v>-3.7100000000000001E-2</c:v>
                </c:pt>
                <c:pt idx="2">
                  <c:v>-6.4400000000000124E-2</c:v>
                </c:pt>
                <c:pt idx="3">
                  <c:v>-1.900000000000018E-2</c:v>
                </c:pt>
                <c:pt idx="4">
                  <c:v>1.2800000000000021E-2</c:v>
                </c:pt>
                <c:pt idx="5">
                  <c:v>8.5800000000000043E-2</c:v>
                </c:pt>
                <c:pt idx="6">
                  <c:v>0.12939999999999999</c:v>
                </c:pt>
                <c:pt idx="7">
                  <c:v>0.14140000000000041</c:v>
                </c:pt>
                <c:pt idx="8">
                  <c:v>0.19320000000000001</c:v>
                </c:pt>
                <c:pt idx="9">
                  <c:v>0.29570000000000002</c:v>
                </c:pt>
                <c:pt idx="10">
                  <c:v>0.29810000000000031</c:v>
                </c:pt>
                <c:pt idx="11">
                  <c:v>0.35030000000000272</c:v>
                </c:pt>
                <c:pt idx="12">
                  <c:v>0.38590000000000352</c:v>
                </c:pt>
                <c:pt idx="13">
                  <c:v>0.37470000000000031</c:v>
                </c:pt>
                <c:pt idx="14">
                  <c:v>0.41180000000000272</c:v>
                </c:pt>
                <c:pt idx="15">
                  <c:v>0.39700000000000352</c:v>
                </c:pt>
                <c:pt idx="16">
                  <c:v>0.36270000000000002</c:v>
                </c:pt>
                <c:pt idx="17">
                  <c:v>0.33370000000000088</c:v>
                </c:pt>
                <c:pt idx="18">
                  <c:v>0.33160000000000306</c:v>
                </c:pt>
                <c:pt idx="19">
                  <c:v>0.32580000000000403</c:v>
                </c:pt>
                <c:pt idx="20">
                  <c:v>0.24380000000000004</c:v>
                </c:pt>
                <c:pt idx="21">
                  <c:v>0.12060000000000012</c:v>
                </c:pt>
                <c:pt idx="22">
                  <c:v>0.14950000000000024</c:v>
                </c:pt>
                <c:pt idx="23">
                  <c:v>0.1343</c:v>
                </c:pt>
              </c:numCache>
            </c:numRef>
          </c:val>
        </c:ser>
        <c:marker val="1"/>
        <c:axId val="79317248"/>
        <c:axId val="79319040"/>
      </c:lineChart>
      <c:catAx>
        <c:axId val="79317248"/>
        <c:scaling>
          <c:orientation val="minMax"/>
        </c:scaling>
        <c:axPos val="b"/>
        <c:numFmt formatCode="General" sourceLinked="1"/>
        <c:tickLblPos val="low"/>
        <c:crossAx val="79319040"/>
        <c:crosses val="autoZero"/>
        <c:auto val="1"/>
        <c:lblAlgn val="ctr"/>
        <c:lblOffset val="100"/>
      </c:catAx>
      <c:valAx>
        <c:axId val="79319040"/>
        <c:scaling>
          <c:orientation val="minMax"/>
        </c:scaling>
        <c:axPos val="l"/>
        <c:majorGridlines/>
        <c:numFmt formatCode="0.0" sourceLinked="0"/>
        <c:tickLblPos val="nextTo"/>
        <c:crossAx val="79317248"/>
        <c:crosses val="autoZero"/>
        <c:crossBetween val="between"/>
      </c:valAx>
    </c:plotArea>
    <c:legend>
      <c:legendPos val="b"/>
      <c:layout>
        <c:manualLayout>
          <c:xMode val="edge"/>
          <c:yMode val="edge"/>
          <c:x val="0.28598681797322451"/>
          <c:y val="0.84341605313776158"/>
          <c:w val="0.43638232812292338"/>
          <c:h val="0.12211072893866703"/>
        </c:manualLayout>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022175965717683"/>
          <c:y val="6.9149484710179024E-2"/>
          <c:w val="0.83977824034282877"/>
          <c:h val="0.63562441385475388"/>
        </c:manualLayout>
      </c:layout>
      <c:lineChart>
        <c:grouping val="standard"/>
        <c:ser>
          <c:idx val="0"/>
          <c:order val="0"/>
          <c:tx>
            <c:strRef>
              <c:f>Sheet1!$B$1</c:f>
              <c:strCache>
                <c:ptCount val="1"/>
                <c:pt idx="0">
                  <c:v>IMP&gt;CPIMK</c:v>
                </c:pt>
              </c:strCache>
            </c:strRef>
          </c:tx>
          <c:spPr>
            <a:ln>
              <a:solidFill>
                <a:schemeClr val="tx1"/>
              </a:solidFill>
            </a:ln>
          </c:spPr>
          <c:marker>
            <c:symbol val="none"/>
          </c:marker>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Sheet1!$B$2:$B$25</c:f>
              <c:numCache>
                <c:formatCode>General</c:formatCode>
                <c:ptCount val="24"/>
                <c:pt idx="0">
                  <c:v>8.4100000000000022E-2</c:v>
                </c:pt>
                <c:pt idx="1">
                  <c:v>0.1696</c:v>
                </c:pt>
                <c:pt idx="2">
                  <c:v>9.11E-2</c:v>
                </c:pt>
                <c:pt idx="3">
                  <c:v>6.4600000000000019E-2</c:v>
                </c:pt>
                <c:pt idx="4">
                  <c:v>5.0200000000000002E-2</c:v>
                </c:pt>
                <c:pt idx="5">
                  <c:v>2.1500000000000002E-2</c:v>
                </c:pt>
                <c:pt idx="6">
                  <c:v>-1.1100000000000115E-2</c:v>
                </c:pt>
                <c:pt idx="7">
                  <c:v>3.5799999999999998E-2</c:v>
                </c:pt>
                <c:pt idx="8">
                  <c:v>7.8000000000000014E-2</c:v>
                </c:pt>
                <c:pt idx="9">
                  <c:v>3.7700000000000011E-2</c:v>
                </c:pt>
                <c:pt idx="10">
                  <c:v>-4.9200000000000021E-2</c:v>
                </c:pt>
                <c:pt idx="11">
                  <c:v>-2.2100000000000002E-2</c:v>
                </c:pt>
                <c:pt idx="12">
                  <c:v>-4.6300000000000001E-2</c:v>
                </c:pt>
                <c:pt idx="13">
                  <c:v>-7.7600000000000002E-2</c:v>
                </c:pt>
                <c:pt idx="14">
                  <c:v>-5.16E-2</c:v>
                </c:pt>
                <c:pt idx="15">
                  <c:v>-2.1700000000000001E-2</c:v>
                </c:pt>
                <c:pt idx="16">
                  <c:v>2.2100000000000002E-2</c:v>
                </c:pt>
                <c:pt idx="17">
                  <c:v>-3.2000000000000357E-3</c:v>
                </c:pt>
                <c:pt idx="18">
                  <c:v>1.6799999999999999E-2</c:v>
                </c:pt>
                <c:pt idx="19">
                  <c:v>1.5599999999999998E-2</c:v>
                </c:pt>
                <c:pt idx="20">
                  <c:v>-3.3099999999999997E-2</c:v>
                </c:pt>
                <c:pt idx="21">
                  <c:v>1.9900000000000213E-2</c:v>
                </c:pt>
                <c:pt idx="22">
                  <c:v>7.6600000000000001E-2</c:v>
                </c:pt>
                <c:pt idx="23">
                  <c:v>7.8600000000000003E-2</c:v>
                </c:pt>
              </c:numCache>
            </c:numRef>
          </c:val>
        </c:ser>
        <c:marker val="1"/>
        <c:axId val="79334400"/>
        <c:axId val="79328000"/>
      </c:lineChart>
      <c:catAx>
        <c:axId val="79334400"/>
        <c:scaling>
          <c:orientation val="minMax"/>
        </c:scaling>
        <c:axPos val="b"/>
        <c:numFmt formatCode="General" sourceLinked="1"/>
        <c:tickLblPos val="low"/>
        <c:crossAx val="79328000"/>
        <c:crosses val="autoZero"/>
        <c:auto val="1"/>
        <c:lblAlgn val="ctr"/>
        <c:lblOffset val="100"/>
      </c:catAx>
      <c:valAx>
        <c:axId val="79328000"/>
        <c:scaling>
          <c:orientation val="minMax"/>
          <c:max val="0.18000000000000024"/>
          <c:min val="-8.0000000000000043E-2"/>
        </c:scaling>
        <c:axPos val="l"/>
        <c:majorGridlines/>
        <c:numFmt formatCode="0.00" sourceLinked="0"/>
        <c:tickLblPos val="nextTo"/>
        <c:crossAx val="79334400"/>
        <c:crosses val="autoZero"/>
        <c:crossBetween val="between"/>
        <c:majorUnit val="4.0000000000000022E-2"/>
      </c:valAx>
    </c:plotArea>
    <c:legend>
      <c:legendPos val="b"/>
      <c:layout>
        <c:manualLayout>
          <c:xMode val="edge"/>
          <c:yMode val="edge"/>
          <c:x val="0.28598681797322451"/>
          <c:y val="0.85164057730193865"/>
          <c:w val="0.43638232812292338"/>
          <c:h val="0.11388621386355482"/>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2664-B14D-4108-B006-8733EFD1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11</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dc:creator>
  <cp:lastModifiedBy>MTN</cp:lastModifiedBy>
  <cp:revision>188</cp:revision>
  <dcterms:created xsi:type="dcterms:W3CDTF">2014-08-19T11:39:00Z</dcterms:created>
  <dcterms:modified xsi:type="dcterms:W3CDTF">2016-09-18T12:46:00Z</dcterms:modified>
</cp:coreProperties>
</file>