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42" w:rsidRPr="00405016" w:rsidRDefault="003E5042" w:rsidP="008C59B6">
      <w:pPr>
        <w:spacing w:after="0" w:line="240" w:lineRule="auto"/>
        <w:jc w:val="center"/>
        <w:rPr>
          <w:rFonts w:ascii="Times New Roman" w:hAnsi="Times New Roman" w:cs="Times New Roman"/>
          <w:b/>
          <w:bCs/>
          <w:sz w:val="28"/>
          <w:szCs w:val="28"/>
        </w:rPr>
      </w:pPr>
      <w:r w:rsidRPr="00405016">
        <w:rPr>
          <w:rFonts w:ascii="Times New Roman" w:hAnsi="Times New Roman" w:cs="Times New Roman"/>
          <w:b/>
          <w:bCs/>
          <w:sz w:val="28"/>
          <w:szCs w:val="28"/>
        </w:rPr>
        <w:t>ОЧЕКУВАНО ТРАЕЊЕ НА ЖИВОТОТ ВО ЗЕМЈИТЕ ОД ЈУГОИСТОЧНА ЕВРОПА: ПРИМЕНА НА КОИНТЕГРИРАНА ПАНЕЛ РЕГРЕСИЈА</w:t>
      </w:r>
    </w:p>
    <w:p w:rsidR="003E5042" w:rsidRPr="00405016" w:rsidRDefault="003E5042" w:rsidP="008C59B6">
      <w:pPr>
        <w:spacing w:after="0" w:line="240" w:lineRule="auto"/>
        <w:jc w:val="center"/>
        <w:rPr>
          <w:rFonts w:ascii="Times New Roman" w:hAnsi="Times New Roman" w:cs="Times New Roman"/>
          <w:sz w:val="24"/>
          <w:szCs w:val="24"/>
        </w:rPr>
      </w:pPr>
    </w:p>
    <w:p w:rsidR="00405016" w:rsidRPr="00405016" w:rsidRDefault="00405016" w:rsidP="00405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доц</w:t>
      </w:r>
      <w:r w:rsidRPr="00405016">
        <w:rPr>
          <w:rFonts w:ascii="Times New Roman" w:hAnsi="Times New Roman" w:cs="Times New Roman"/>
          <w:b/>
          <w:sz w:val="24"/>
          <w:szCs w:val="24"/>
        </w:rPr>
        <w:t>.</w:t>
      </w:r>
      <w:r w:rsidRPr="00405016">
        <w:rPr>
          <w:rFonts w:ascii="Times New Roman" w:hAnsi="Times New Roman" w:cs="Times New Roman"/>
          <w:b/>
          <w:sz w:val="24"/>
          <w:szCs w:val="24"/>
          <w:lang w:val="en-US"/>
        </w:rPr>
        <w:t xml:space="preserve"> </w:t>
      </w:r>
      <w:r w:rsidRPr="00405016">
        <w:rPr>
          <w:rFonts w:ascii="Times New Roman" w:hAnsi="Times New Roman" w:cs="Times New Roman"/>
          <w:b/>
          <w:sz w:val="24"/>
          <w:szCs w:val="24"/>
        </w:rPr>
        <w:t xml:space="preserve">д-р </w:t>
      </w:r>
      <w:r>
        <w:rPr>
          <w:rFonts w:ascii="Times New Roman" w:hAnsi="Times New Roman" w:cs="Times New Roman"/>
          <w:b/>
          <w:sz w:val="24"/>
          <w:szCs w:val="24"/>
        </w:rPr>
        <w:t>Марија Трпкова-Несторовска</w:t>
      </w:r>
    </w:p>
    <w:p w:rsidR="00405016" w:rsidRPr="00405016" w:rsidRDefault="00405016" w:rsidP="00405016">
      <w:pPr>
        <w:spacing w:after="0" w:line="240" w:lineRule="auto"/>
        <w:jc w:val="center"/>
        <w:rPr>
          <w:rFonts w:ascii="Times New Roman" w:hAnsi="Times New Roman" w:cs="Times New Roman"/>
          <w:sz w:val="24"/>
          <w:szCs w:val="24"/>
        </w:rPr>
      </w:pPr>
      <w:r w:rsidRPr="00405016">
        <w:rPr>
          <w:rFonts w:ascii="Times New Roman" w:hAnsi="Times New Roman" w:cs="Times New Roman"/>
          <w:sz w:val="24"/>
          <w:szCs w:val="24"/>
        </w:rPr>
        <w:t>Универзитет „Св.Кирил и Методиј" во Скопје</w:t>
      </w:r>
    </w:p>
    <w:p w:rsidR="00405016" w:rsidRPr="00405016" w:rsidRDefault="00405016" w:rsidP="00405016">
      <w:pPr>
        <w:spacing w:after="0" w:line="240" w:lineRule="auto"/>
        <w:jc w:val="center"/>
        <w:rPr>
          <w:rFonts w:ascii="Times New Roman" w:hAnsi="Times New Roman" w:cs="Times New Roman"/>
          <w:sz w:val="24"/>
          <w:szCs w:val="24"/>
        </w:rPr>
      </w:pPr>
      <w:r w:rsidRPr="00405016">
        <w:rPr>
          <w:rFonts w:ascii="Times New Roman" w:hAnsi="Times New Roman" w:cs="Times New Roman"/>
          <w:sz w:val="24"/>
          <w:szCs w:val="24"/>
        </w:rPr>
        <w:t>Економски факултет – Скопје, Р.Македонија</w:t>
      </w:r>
    </w:p>
    <w:p w:rsidR="00405016" w:rsidRPr="00405016" w:rsidRDefault="00405016" w:rsidP="004050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marijat</w:t>
      </w:r>
      <w:r w:rsidRPr="00405016">
        <w:rPr>
          <w:rFonts w:ascii="Times New Roman" w:hAnsi="Times New Roman" w:cs="Times New Roman"/>
          <w:sz w:val="24"/>
          <w:szCs w:val="24"/>
          <w:lang w:val="en-US"/>
        </w:rPr>
        <w:t>@eccf.ukim.edu.mk</w:t>
      </w:r>
    </w:p>
    <w:p w:rsidR="003E5042" w:rsidRPr="00405016" w:rsidRDefault="003E5042" w:rsidP="008C59B6">
      <w:pPr>
        <w:spacing w:after="0" w:line="240" w:lineRule="auto"/>
        <w:jc w:val="center"/>
        <w:rPr>
          <w:rFonts w:ascii="Times New Roman" w:hAnsi="Times New Roman" w:cs="Times New Roman"/>
          <w:sz w:val="24"/>
          <w:szCs w:val="24"/>
        </w:rPr>
      </w:pPr>
    </w:p>
    <w:p w:rsidR="003E5042" w:rsidRPr="00405016" w:rsidRDefault="00C928B9" w:rsidP="008C59B6">
      <w:pPr>
        <w:spacing w:after="0" w:line="240" w:lineRule="auto"/>
        <w:ind w:firstLine="720"/>
        <w:rPr>
          <w:rFonts w:ascii="Times New Roman" w:hAnsi="Times New Roman" w:cs="Times New Roman"/>
          <w:b/>
          <w:bCs/>
          <w:sz w:val="24"/>
          <w:szCs w:val="24"/>
        </w:rPr>
      </w:pPr>
      <w:r w:rsidRPr="00405016">
        <w:rPr>
          <w:rFonts w:ascii="Times New Roman" w:hAnsi="Times New Roman" w:cs="Times New Roman"/>
          <w:b/>
          <w:bCs/>
          <w:sz w:val="24"/>
          <w:szCs w:val="24"/>
        </w:rPr>
        <w:t>Апстракт</w:t>
      </w:r>
    </w:p>
    <w:p w:rsidR="003E5042" w:rsidRPr="00405016" w:rsidRDefault="00C928B9" w:rsidP="008C59B6">
      <w:pPr>
        <w:spacing w:after="0" w:line="240" w:lineRule="auto"/>
        <w:ind w:firstLine="720"/>
        <w:jc w:val="both"/>
        <w:rPr>
          <w:rFonts w:ascii="Times New Roman" w:hAnsi="Times New Roman" w:cs="Times New Roman"/>
          <w:i/>
          <w:iCs/>
          <w:sz w:val="24"/>
          <w:szCs w:val="24"/>
          <w:lang w:val="en-US"/>
        </w:rPr>
      </w:pPr>
      <w:r w:rsidRPr="00405016">
        <w:rPr>
          <w:rFonts w:ascii="Times New Roman" w:hAnsi="Times New Roman" w:cs="Times New Roman"/>
          <w:i/>
          <w:iCs/>
          <w:sz w:val="24"/>
          <w:szCs w:val="24"/>
        </w:rPr>
        <w:t>Очекуваното траење на животот често се смета за показател за развојот на една земја. Подигањето на квалитетот на животот преку низа мерки би придонесло до  унапредување на знајачни сегменти во општеството. Со цел да се донесе ефикасна политика и да се превземат мерки кои би го зголемиле очекуваното траење на животот, најпрво е потребно да се утврди кои се неговите детерминанти.</w:t>
      </w:r>
    </w:p>
    <w:p w:rsidR="003E5042" w:rsidRPr="00405016" w:rsidRDefault="00C928B9" w:rsidP="008C59B6">
      <w:pPr>
        <w:spacing w:after="0" w:line="240" w:lineRule="auto"/>
        <w:ind w:firstLine="720"/>
        <w:jc w:val="both"/>
        <w:rPr>
          <w:rFonts w:ascii="Times New Roman" w:hAnsi="Times New Roman" w:cs="Times New Roman"/>
          <w:i/>
          <w:iCs/>
          <w:sz w:val="24"/>
          <w:szCs w:val="24"/>
        </w:rPr>
      </w:pPr>
      <w:r w:rsidRPr="00405016">
        <w:rPr>
          <w:rFonts w:ascii="Times New Roman" w:hAnsi="Times New Roman" w:cs="Times New Roman"/>
          <w:i/>
          <w:iCs/>
          <w:sz w:val="24"/>
          <w:szCs w:val="24"/>
        </w:rPr>
        <w:t>Цел на трудот е да се утврдат важни променливи големини кои го детерминираат очекуванот траење на живот во земјите од Југоисточна Европа.</w:t>
      </w:r>
    </w:p>
    <w:p w:rsidR="003E5042" w:rsidRPr="00405016" w:rsidRDefault="00C928B9" w:rsidP="008C59B6">
      <w:pPr>
        <w:spacing w:after="0" w:line="240" w:lineRule="auto"/>
        <w:ind w:firstLine="720"/>
        <w:jc w:val="both"/>
        <w:rPr>
          <w:rFonts w:ascii="Times New Roman" w:hAnsi="Times New Roman" w:cs="Times New Roman"/>
          <w:i/>
          <w:iCs/>
          <w:sz w:val="24"/>
          <w:szCs w:val="24"/>
        </w:rPr>
      </w:pPr>
      <w:r w:rsidRPr="00405016">
        <w:rPr>
          <w:rFonts w:ascii="Times New Roman" w:hAnsi="Times New Roman" w:cs="Times New Roman"/>
          <w:i/>
          <w:iCs/>
          <w:sz w:val="24"/>
          <w:szCs w:val="24"/>
        </w:rPr>
        <w:t xml:space="preserve">Во истражувањето е применет методот на коинтегрирана панел регресија. Се користат годишни податоци за перидот од 2000 </w:t>
      </w:r>
      <w:r w:rsidR="006C09BC" w:rsidRPr="00405016">
        <w:rPr>
          <w:rFonts w:ascii="Times New Roman" w:hAnsi="Times New Roman" w:cs="Times New Roman"/>
          <w:i/>
          <w:iCs/>
          <w:sz w:val="24"/>
          <w:szCs w:val="24"/>
        </w:rPr>
        <w:t>–</w:t>
      </w:r>
      <w:r w:rsidRPr="00405016">
        <w:rPr>
          <w:rFonts w:ascii="Times New Roman" w:hAnsi="Times New Roman" w:cs="Times New Roman"/>
          <w:i/>
          <w:iCs/>
          <w:sz w:val="24"/>
          <w:szCs w:val="24"/>
        </w:rPr>
        <w:t xml:space="preserve"> 2013 година за 12 земји од Југоисточна Европа. Се тестира влијанието на следни</w:t>
      </w:r>
      <w:r w:rsidR="003E5042" w:rsidRPr="00405016">
        <w:rPr>
          <w:rFonts w:ascii="Times New Roman" w:hAnsi="Times New Roman" w:cs="Times New Roman"/>
          <w:i/>
          <w:iCs/>
          <w:sz w:val="24"/>
          <w:szCs w:val="24"/>
        </w:rPr>
        <w:t>в</w:t>
      </w:r>
      <w:r w:rsidRPr="00405016">
        <w:rPr>
          <w:rFonts w:ascii="Times New Roman" w:hAnsi="Times New Roman" w:cs="Times New Roman"/>
          <w:i/>
          <w:iCs/>
          <w:sz w:val="24"/>
          <w:szCs w:val="24"/>
        </w:rPr>
        <w:t>е фактори врз (средното) очекувано</w:t>
      </w:r>
      <w:r w:rsidR="003E5042" w:rsidRPr="00405016">
        <w:rPr>
          <w:rFonts w:ascii="Times New Roman" w:hAnsi="Times New Roman" w:cs="Times New Roman"/>
          <w:i/>
          <w:iCs/>
          <w:sz w:val="24"/>
          <w:szCs w:val="24"/>
        </w:rPr>
        <w:t>то</w:t>
      </w:r>
      <w:r w:rsidRPr="00405016">
        <w:rPr>
          <w:rFonts w:ascii="Times New Roman" w:hAnsi="Times New Roman" w:cs="Times New Roman"/>
          <w:i/>
          <w:iCs/>
          <w:sz w:val="24"/>
          <w:szCs w:val="24"/>
        </w:rPr>
        <w:t xml:space="preserve"> траење на животот: бруто националниот доход </w:t>
      </w:r>
      <w:r w:rsidRPr="00405016">
        <w:rPr>
          <w:rFonts w:ascii="Times New Roman" w:hAnsi="Times New Roman" w:cs="Times New Roman"/>
          <w:i/>
          <w:iCs/>
          <w:sz w:val="24"/>
          <w:szCs w:val="24"/>
          <w:lang w:val="en-US"/>
        </w:rPr>
        <w:t>per capita</w:t>
      </w:r>
      <w:r w:rsidRPr="00405016">
        <w:rPr>
          <w:rFonts w:ascii="Times New Roman" w:hAnsi="Times New Roman" w:cs="Times New Roman"/>
          <w:i/>
          <w:iCs/>
          <w:sz w:val="24"/>
          <w:szCs w:val="24"/>
        </w:rPr>
        <w:t>, индексот на потрошувачки цени, здравствените трошоци, индексот на производство на храна, вработеноста и имунизацијата на децата.</w:t>
      </w:r>
    </w:p>
    <w:p w:rsidR="003E5042" w:rsidRPr="00405016" w:rsidRDefault="00C928B9" w:rsidP="008C59B6">
      <w:pPr>
        <w:spacing w:after="0" w:line="240" w:lineRule="auto"/>
        <w:ind w:firstLine="720"/>
        <w:jc w:val="both"/>
        <w:rPr>
          <w:rFonts w:ascii="Times New Roman" w:hAnsi="Times New Roman" w:cs="Times New Roman"/>
          <w:i/>
          <w:iCs/>
          <w:sz w:val="24"/>
          <w:szCs w:val="24"/>
        </w:rPr>
      </w:pPr>
      <w:r w:rsidRPr="00405016">
        <w:rPr>
          <w:rFonts w:ascii="Times New Roman" w:hAnsi="Times New Roman" w:cs="Times New Roman"/>
          <w:i/>
          <w:iCs/>
          <w:sz w:val="24"/>
          <w:szCs w:val="24"/>
        </w:rPr>
        <w:t xml:space="preserve">Добиените резултати потврдуваат дека имунизацијата, бруто националниот доход </w:t>
      </w:r>
      <w:r w:rsidRPr="00405016">
        <w:rPr>
          <w:rFonts w:ascii="Times New Roman" w:hAnsi="Times New Roman" w:cs="Times New Roman"/>
          <w:i/>
          <w:iCs/>
          <w:sz w:val="24"/>
          <w:szCs w:val="24"/>
          <w:lang w:val="en-US"/>
        </w:rPr>
        <w:t>per capita</w:t>
      </w:r>
      <w:r w:rsidRPr="00405016">
        <w:rPr>
          <w:rFonts w:ascii="Times New Roman" w:hAnsi="Times New Roman" w:cs="Times New Roman"/>
          <w:i/>
          <w:iCs/>
          <w:sz w:val="24"/>
          <w:szCs w:val="24"/>
        </w:rPr>
        <w:t xml:space="preserve"> и индексот на потрошувачки цени се основните детерминанти на очекуваното траење на животот во земјите од Југоисточна Европа.</w:t>
      </w:r>
    </w:p>
    <w:p w:rsidR="003E5042" w:rsidRPr="00405016" w:rsidRDefault="003E5042" w:rsidP="00382098">
      <w:pPr>
        <w:spacing w:after="0" w:line="240" w:lineRule="auto"/>
        <w:rPr>
          <w:rFonts w:ascii="Times New Roman" w:hAnsi="Times New Roman" w:cs="Times New Roman"/>
          <w:sz w:val="24"/>
          <w:szCs w:val="24"/>
        </w:rPr>
      </w:pPr>
    </w:p>
    <w:p w:rsidR="003E5042" w:rsidRPr="00405016" w:rsidRDefault="00C928B9" w:rsidP="00897130">
      <w:pPr>
        <w:spacing w:after="0" w:line="240" w:lineRule="auto"/>
        <w:ind w:firstLine="720"/>
        <w:jc w:val="both"/>
        <w:rPr>
          <w:rFonts w:ascii="Times New Roman" w:hAnsi="Times New Roman" w:cs="Times New Roman"/>
          <w:sz w:val="24"/>
          <w:szCs w:val="24"/>
        </w:rPr>
      </w:pPr>
      <w:r w:rsidRPr="00405016">
        <w:rPr>
          <w:rFonts w:ascii="Times New Roman" w:hAnsi="Times New Roman" w:cs="Times New Roman"/>
          <w:b/>
          <w:bCs/>
          <w:sz w:val="24"/>
          <w:szCs w:val="24"/>
        </w:rPr>
        <w:t>Клучни зборови</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 xml:space="preserve"> очекувано траење на животот, коинтегрирана панел регресија, Југоисточна Европа</w:t>
      </w:r>
    </w:p>
    <w:p w:rsidR="003E5042" w:rsidRPr="00405016" w:rsidRDefault="003E5042" w:rsidP="008C59B6">
      <w:pPr>
        <w:spacing w:after="0" w:line="240" w:lineRule="auto"/>
        <w:rPr>
          <w:rFonts w:ascii="Times New Roman" w:hAnsi="Times New Roman" w:cs="Times New Roman"/>
          <w:sz w:val="24"/>
          <w:szCs w:val="24"/>
        </w:rPr>
      </w:pPr>
    </w:p>
    <w:p w:rsidR="003E5042" w:rsidRPr="00405016" w:rsidRDefault="003E5042" w:rsidP="008C59B6">
      <w:pPr>
        <w:spacing w:after="0" w:line="240" w:lineRule="auto"/>
        <w:rPr>
          <w:rFonts w:ascii="Times New Roman" w:hAnsi="Times New Roman" w:cs="Times New Roman"/>
          <w:sz w:val="24"/>
          <w:szCs w:val="24"/>
        </w:rPr>
      </w:pPr>
    </w:p>
    <w:p w:rsidR="003E5042" w:rsidRPr="00405016" w:rsidRDefault="00C928B9" w:rsidP="008C59B6">
      <w:pPr>
        <w:spacing w:after="0" w:line="240" w:lineRule="auto"/>
        <w:jc w:val="center"/>
        <w:rPr>
          <w:rFonts w:ascii="Times New Roman" w:hAnsi="Times New Roman" w:cs="Times New Roman"/>
          <w:b/>
          <w:bCs/>
          <w:sz w:val="24"/>
          <w:szCs w:val="24"/>
        </w:rPr>
      </w:pPr>
      <w:r w:rsidRPr="00405016">
        <w:rPr>
          <w:rFonts w:ascii="Times New Roman" w:hAnsi="Times New Roman" w:cs="Times New Roman"/>
          <w:b/>
          <w:bCs/>
          <w:sz w:val="24"/>
          <w:szCs w:val="24"/>
        </w:rPr>
        <w:t>Вовед</w:t>
      </w:r>
    </w:p>
    <w:p w:rsidR="003E5042" w:rsidRPr="00405016" w:rsidRDefault="003E5042" w:rsidP="008C59B6">
      <w:pPr>
        <w:spacing w:after="0" w:line="240" w:lineRule="auto"/>
        <w:jc w:val="both"/>
        <w:rPr>
          <w:rFonts w:ascii="Times New Roman" w:hAnsi="Times New Roman" w:cs="Times New Roman"/>
          <w:sz w:val="24"/>
          <w:szCs w:val="24"/>
        </w:rPr>
      </w:pPr>
    </w:p>
    <w:p w:rsidR="003E5042" w:rsidRPr="00405016" w:rsidRDefault="00C928B9" w:rsidP="00590805">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color w:val="auto"/>
          <w:lang w:val="mk-MK"/>
        </w:rPr>
        <w:t>Населението</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без никаков сомнеж</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е основата на едно општество. Од развојот на популацијата на една земја во голема мера ќе зависи нејзиниот политички и економски систем, развојот на здравствениот сектор, образованието, нивото на позитивната социјална свест и развојот на уметностите и културата. Многу пати населението и квалитетните услови за живот не се на врвот на листата на приоритети на многу национални влади, што е сосема погрешно. Задоволните граѓани со висок квалитет на живот се спремни да придонесат многу повеќе за својата земја и да учествуваат во нејзината изградба и континуиран развој. Оттука</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потребно е да се знае што влијае на зголемувањето на квалитетот на животот</w:t>
      </w:r>
      <w:r w:rsidRPr="00405016">
        <w:rPr>
          <w:rFonts w:ascii="Times New Roman" w:hAnsi="Times New Roman" w:cs="Times New Roman"/>
          <w:color w:val="auto"/>
        </w:rPr>
        <w:t>.</w:t>
      </w:r>
      <w:r w:rsidRPr="00405016">
        <w:rPr>
          <w:rFonts w:ascii="Times New Roman" w:hAnsi="Times New Roman" w:cs="Times New Roman"/>
          <w:color w:val="auto"/>
          <w:lang w:val="mk-MK"/>
        </w:rPr>
        <w:t xml:space="preserve"> За мерење на квалитетот на животот</w:t>
      </w:r>
      <w:r w:rsidR="003E5042" w:rsidRPr="00405016">
        <w:rPr>
          <w:rFonts w:ascii="Times New Roman" w:hAnsi="Times New Roman" w:cs="Times New Roman"/>
          <w:color w:val="auto"/>
          <w:lang w:val="mk-MK"/>
        </w:rPr>
        <w:t xml:space="preserve"> е</w:t>
      </w:r>
      <w:r w:rsidRPr="00405016">
        <w:rPr>
          <w:rFonts w:ascii="Times New Roman" w:hAnsi="Times New Roman" w:cs="Times New Roman"/>
          <w:color w:val="auto"/>
          <w:lang w:val="mk-MK"/>
        </w:rPr>
        <w:t xml:space="preserve"> потребно да се разгледаат повеќе аспекти, бидејќи постојат различни критериуми за тоа што значи квалитет на живот и тие се разликуваат во различни земји. Во овој труд ќе биде земен еден од тие апсекти, а тоа е очекуваното траење на животот.</w:t>
      </w:r>
    </w:p>
    <w:p w:rsidR="003E5042" w:rsidRPr="00405016" w:rsidRDefault="00C928B9" w:rsidP="0086090C">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sz w:val="24"/>
          <w:szCs w:val="24"/>
        </w:rPr>
        <w:t>Показателот средно или очекувано траење на живот</w:t>
      </w:r>
      <w:r w:rsidR="003E5042" w:rsidRPr="00405016">
        <w:rPr>
          <w:rFonts w:ascii="Times New Roman" w:hAnsi="Times New Roman" w:cs="Times New Roman"/>
          <w:sz w:val="24"/>
          <w:szCs w:val="24"/>
        </w:rPr>
        <w:t>от,</w:t>
      </w:r>
      <w:r w:rsidRPr="00405016">
        <w:rPr>
          <w:rFonts w:ascii="Times New Roman" w:hAnsi="Times New Roman" w:cs="Times New Roman"/>
          <w:sz w:val="24"/>
          <w:szCs w:val="24"/>
        </w:rPr>
        <w:t xml:space="preserve"> всушност</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претставува предвидување за идните години на старост што средно ќе ги доживее такво лице. Ако за секоја старосна група го имаме бројот на преживеаните лица, со собирање може да се утврди вкупниот број на години на сите преживеани лица:</w:t>
      </w:r>
    </w:p>
    <w:p w:rsidR="003E5042" w:rsidRPr="00405016" w:rsidRDefault="001E4A4A" w:rsidP="0086090C">
      <w:pPr>
        <w:spacing w:after="0" w:line="240" w:lineRule="auto"/>
        <w:ind w:firstLine="720"/>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x</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x</m:t>
              </m:r>
            </m:sub>
            <m:sup>
              <m:r>
                <w:rPr>
                  <w:rFonts w:ascii="Cambria Math" w:hAnsi="Cambria Math" w:cs="Times New Roman"/>
                  <w:sz w:val="24"/>
                  <w:szCs w:val="24"/>
                  <w:lang w:val="en-US"/>
                </w:rPr>
                <m:t>100</m:t>
              </m:r>
            </m:sup>
            <m:e>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x</m:t>
                  </m:r>
                </m:sub>
              </m:sSub>
            </m:e>
          </m:nary>
        </m:oMath>
      </m:oMathPara>
    </w:p>
    <w:p w:rsidR="003E5042" w:rsidRPr="00405016" w:rsidRDefault="00C928B9" w:rsidP="0086090C">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а средното траење на животот е</w:t>
      </w:r>
    </w:p>
    <w:p w:rsidR="003E5042" w:rsidRPr="00405016" w:rsidRDefault="001E4A4A" w:rsidP="0086090C">
      <w:pPr>
        <w:spacing w:after="0" w:line="240" w:lineRule="auto"/>
        <w:ind w:firstLine="720"/>
        <w:jc w:val="both"/>
        <w:rPr>
          <w:rFonts w:ascii="Times New Roman" w:hAnsi="Times New Roman" w:cs="Times New Roman"/>
          <w:sz w:val="24"/>
          <w:szCs w:val="24"/>
          <w:lang w:val="en-US"/>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m:t>
              </m:r>
            </m:e>
            <m:sub>
              <m:r>
                <w:rPr>
                  <w:rFonts w:ascii="Cambria Math" w:hAnsi="Cambria Math" w:cs="Times New Roman"/>
                  <w:sz w:val="24"/>
                  <w:szCs w:val="24"/>
                  <w:lang w:val="en-US"/>
                </w:rPr>
                <m:t>x</m:t>
              </m:r>
            </m:sub>
            <m:sup>
              <m:r>
                <w:rPr>
                  <w:rFonts w:ascii="Cambria Math" w:hAnsi="Cambria Math" w:cs="Times New Roman"/>
                  <w:sz w:val="24"/>
                  <w:szCs w:val="24"/>
                  <w:lang w:val="en-US"/>
                </w:rPr>
                <m:t>0</m:t>
              </m:r>
            </m:sup>
          </m:sSubSup>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x</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x</m:t>
                  </m:r>
                </m:sub>
              </m:sSub>
            </m:den>
          </m:f>
          <m:r>
            <w:rPr>
              <w:rFonts w:ascii="Cambria Math" w:hAnsi="Cambria Math" w:cs="Times New Roman"/>
              <w:sz w:val="24"/>
              <w:szCs w:val="24"/>
              <w:lang w:val="en-US"/>
            </w:rPr>
            <m:t>-0,5</m:t>
          </m:r>
        </m:oMath>
      </m:oMathPara>
    </w:p>
    <w:p w:rsidR="003E5042" w:rsidRPr="00405016" w:rsidRDefault="00C928B9" w:rsidP="0086090C">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 xml:space="preserve">каде </w:t>
      </w:r>
      <w:r w:rsidR="00385CD1" w:rsidRPr="00405016">
        <w:rPr>
          <w:rFonts w:ascii="Times New Roman" w:hAnsi="Times New Roman" w:cs="Times New Roman"/>
          <w:sz w:val="24"/>
          <w:szCs w:val="24"/>
        </w:rPr>
        <w:fldChar w:fldCharType="begin"/>
      </w:r>
      <w:r w:rsidRPr="00405016">
        <w:rPr>
          <w:rFonts w:ascii="Times New Roman" w:hAnsi="Times New Roman" w:cs="Times New Roman"/>
          <w:sz w:val="24"/>
          <w:szCs w:val="24"/>
        </w:rPr>
        <w:instrText xml:space="preserve"> QUOTE </w:instrText>
      </w:r>
      <w:r w:rsidR="00983830" w:rsidRPr="00405016">
        <w:rPr>
          <w:rFonts w:ascii="Times New Roman" w:hAnsi="Times New Roman" w:cs="Times New Roman"/>
          <w:noProof/>
          <w:sz w:val="24"/>
          <w:szCs w:val="24"/>
          <w:lang w:val="en-US"/>
        </w:rPr>
        <w:drawing>
          <wp:inline distT="0" distB="0" distL="0" distR="0">
            <wp:extent cx="197485" cy="146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7485" cy="146050"/>
                    </a:xfrm>
                    <a:prstGeom prst="rect">
                      <a:avLst/>
                    </a:prstGeom>
                    <a:noFill/>
                    <a:ln w="9525">
                      <a:noFill/>
                      <a:miter lim="800000"/>
                      <a:headEnd/>
                      <a:tailEnd/>
                    </a:ln>
                  </pic:spPr>
                </pic:pic>
              </a:graphicData>
            </a:graphic>
          </wp:inline>
        </w:drawing>
      </w:r>
      <w:r w:rsidRPr="00405016">
        <w:rPr>
          <w:rFonts w:ascii="Times New Roman" w:hAnsi="Times New Roman" w:cs="Times New Roman"/>
          <w:sz w:val="24"/>
          <w:szCs w:val="24"/>
        </w:rPr>
        <w:instrText xml:space="preserve"> </w:instrText>
      </w:r>
      <w:r w:rsidR="00385CD1" w:rsidRPr="00405016">
        <w:rPr>
          <w:rFonts w:ascii="Times New Roman" w:hAnsi="Times New Roman" w:cs="Times New Roman"/>
          <w:sz w:val="24"/>
          <w:szCs w:val="24"/>
        </w:rPr>
        <w:fldChar w:fldCharType="separate"/>
      </w:r>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x</m:t>
            </m:r>
          </m:sub>
        </m:sSub>
      </m:oMath>
      <w:r w:rsidR="00385CD1" w:rsidRPr="00405016">
        <w:rPr>
          <w:rFonts w:ascii="Times New Roman" w:hAnsi="Times New Roman" w:cs="Times New Roman"/>
          <w:sz w:val="24"/>
          <w:szCs w:val="24"/>
        </w:rPr>
        <w:fldChar w:fldCharType="end"/>
      </w:r>
      <w:r w:rsidRPr="00405016">
        <w:rPr>
          <w:rFonts w:ascii="Times New Roman" w:hAnsi="Times New Roman" w:cs="Times New Roman"/>
          <w:sz w:val="24"/>
          <w:szCs w:val="24"/>
        </w:rPr>
        <w:t xml:space="preserve"> е збир на броевите на живите, </w:t>
      </w:r>
      <w:r w:rsidR="00385CD1" w:rsidRPr="00405016">
        <w:rPr>
          <w:rFonts w:ascii="Times New Roman" w:hAnsi="Times New Roman" w:cs="Times New Roman"/>
          <w:sz w:val="24"/>
          <w:szCs w:val="24"/>
        </w:rPr>
        <w:fldChar w:fldCharType="begin"/>
      </w:r>
      <w:r w:rsidRPr="00405016">
        <w:rPr>
          <w:rFonts w:ascii="Times New Roman" w:hAnsi="Times New Roman" w:cs="Times New Roman"/>
          <w:sz w:val="24"/>
          <w:szCs w:val="24"/>
        </w:rPr>
        <w:instrText xml:space="preserve"> QUOTE </w:instrText>
      </w:r>
      <w:r w:rsidR="00983830" w:rsidRPr="00405016">
        <w:rPr>
          <w:rFonts w:ascii="Times New Roman" w:hAnsi="Times New Roman" w:cs="Times New Roman"/>
          <w:noProof/>
          <w:sz w:val="24"/>
          <w:szCs w:val="24"/>
          <w:lang w:val="en-US"/>
        </w:rPr>
        <w:drawing>
          <wp:inline distT="0" distB="0" distL="0" distR="0">
            <wp:extent cx="153670" cy="153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405016">
        <w:rPr>
          <w:rFonts w:ascii="Times New Roman" w:hAnsi="Times New Roman" w:cs="Times New Roman"/>
          <w:sz w:val="24"/>
          <w:szCs w:val="24"/>
        </w:rPr>
        <w:instrText xml:space="preserve"> </w:instrText>
      </w:r>
      <w:r w:rsidR="00385CD1" w:rsidRPr="00405016">
        <w:rPr>
          <w:rFonts w:ascii="Times New Roman" w:hAnsi="Times New Roman" w:cs="Times New Roman"/>
          <w:sz w:val="24"/>
          <w:szCs w:val="24"/>
        </w:rPr>
        <w:fldChar w:fldCharType="separate"/>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x</m:t>
            </m:r>
          </m:sub>
        </m:sSub>
      </m:oMath>
      <w:r w:rsidR="00385CD1" w:rsidRPr="00405016">
        <w:rPr>
          <w:rFonts w:ascii="Times New Roman" w:hAnsi="Times New Roman" w:cs="Times New Roman"/>
          <w:sz w:val="24"/>
          <w:szCs w:val="24"/>
        </w:rPr>
        <w:fldChar w:fldCharType="end"/>
      </w:r>
      <w:r w:rsidRPr="00405016">
        <w:rPr>
          <w:rFonts w:ascii="Times New Roman" w:hAnsi="Times New Roman" w:cs="Times New Roman"/>
          <w:sz w:val="24"/>
          <w:szCs w:val="24"/>
        </w:rPr>
        <w:t xml:space="preserve"> е број на живи на определена старост</w:t>
      </w:r>
      <w:r w:rsidR="001E4A4A">
        <w:rPr>
          <w:rFonts w:ascii="Times New Roman" w:hAnsi="Times New Roman" w:cs="Times New Roman"/>
          <w:sz w:val="24"/>
          <w:szCs w:val="24"/>
          <w:lang w:val="en-US"/>
        </w:rPr>
        <w:t xml:space="preserve"> </w:t>
      </w:r>
      <m:oMath>
        <m:r>
          <w:rPr>
            <w:rFonts w:ascii="Cambria Math" w:hAnsi="Cambria Math" w:cs="Times New Roman"/>
            <w:sz w:val="24"/>
            <w:szCs w:val="24"/>
          </w:rPr>
          <m:t>x</m:t>
        </m:r>
      </m:oMath>
      <w:r w:rsidRPr="00405016">
        <w:rPr>
          <w:rFonts w:ascii="Times New Roman" w:hAnsi="Times New Roman" w:cs="Times New Roman"/>
          <w:sz w:val="24"/>
          <w:szCs w:val="24"/>
        </w:rPr>
        <w:t>. Средното (очекувано) траење на животот е детерминирано и од достигнатото ниво на економски развој на земјата, но и од подобрувањето на социоекономските услови на животот. Траењето на животот зависи од професијата, местото на живеење, брачната состојба, полот и слично (Ристески и Трпкова-Несторовска, 2014). Очекуваното траење на животот е и</w:t>
      </w:r>
      <w:r w:rsidR="003E5042" w:rsidRPr="00405016">
        <w:rPr>
          <w:rFonts w:ascii="Times New Roman" w:hAnsi="Times New Roman" w:cs="Times New Roman"/>
          <w:sz w:val="24"/>
          <w:szCs w:val="24"/>
        </w:rPr>
        <w:t>стовремено и</w:t>
      </w:r>
      <w:r w:rsidRPr="00405016">
        <w:rPr>
          <w:rFonts w:ascii="Times New Roman" w:hAnsi="Times New Roman" w:cs="Times New Roman"/>
          <w:sz w:val="24"/>
          <w:szCs w:val="24"/>
        </w:rPr>
        <w:t xml:space="preserve"> важен показател за развојот на една земја. Во голема мера очекуваното траење на животот говори и за квалитетот на живот и со себе носи значајни демографски и економски импликации. Оттука, многу земји креираат и имплементираат социјални програми со кои влијаат на зголемување</w:t>
      </w:r>
      <w:r w:rsidR="003E5042" w:rsidRPr="00405016">
        <w:rPr>
          <w:rFonts w:ascii="Times New Roman" w:hAnsi="Times New Roman" w:cs="Times New Roman"/>
          <w:sz w:val="24"/>
          <w:szCs w:val="24"/>
        </w:rPr>
        <w:t>то</w:t>
      </w:r>
      <w:r w:rsidRPr="00405016">
        <w:rPr>
          <w:rFonts w:ascii="Times New Roman" w:hAnsi="Times New Roman" w:cs="Times New Roman"/>
          <w:sz w:val="24"/>
          <w:szCs w:val="24"/>
        </w:rPr>
        <w:t xml:space="preserve"> на средното траење на животот преку низа мерки  (постојани инвестиции во здравствениот систем, промовирање на здрава храна и здрави навики, овозможување на пристап до чиста вода за пиење, зголемување на писменоста на населението). </w:t>
      </w:r>
    </w:p>
    <w:p w:rsidR="003E5042" w:rsidRPr="00405016" w:rsidRDefault="00C928B9" w:rsidP="008C59B6">
      <w:pPr>
        <w:spacing w:after="0" w:line="240" w:lineRule="auto"/>
        <w:ind w:firstLine="720"/>
        <w:jc w:val="both"/>
        <w:rPr>
          <w:rFonts w:ascii="Times New Roman" w:hAnsi="Times New Roman" w:cs="Times New Roman"/>
          <w:sz w:val="24"/>
          <w:szCs w:val="24"/>
        </w:rPr>
      </w:pPr>
      <w:r w:rsidRPr="00405016">
        <w:rPr>
          <w:rFonts w:ascii="Times New Roman" w:hAnsi="Times New Roman" w:cs="Times New Roman"/>
          <w:sz w:val="24"/>
          <w:szCs w:val="24"/>
        </w:rPr>
        <w:t xml:space="preserve">Во истражувањето на овој труд предмет беа земјите од Југоисточна Европа и тоа: Албанија, Босна и Херцеговина, Бугарија, Хрватска, Кипар, Грција, Македонија, Молдавија, Романија, Србија, Словенија и Турција. Косово и Црна Гора се изоставени од причина што за овие земји недостасуваат податоци за бројни години. </w:t>
      </w:r>
    </w:p>
    <w:p w:rsidR="003E5042" w:rsidRPr="00405016" w:rsidRDefault="00C928B9" w:rsidP="0086090C">
      <w:pPr>
        <w:spacing w:after="0" w:line="240" w:lineRule="auto"/>
        <w:ind w:firstLine="720"/>
        <w:jc w:val="both"/>
        <w:rPr>
          <w:rFonts w:ascii="Times New Roman" w:hAnsi="Times New Roman" w:cs="Times New Roman"/>
          <w:sz w:val="24"/>
          <w:szCs w:val="24"/>
        </w:rPr>
      </w:pPr>
      <w:r w:rsidRPr="00405016">
        <w:rPr>
          <w:rFonts w:ascii="Times New Roman" w:hAnsi="Times New Roman" w:cs="Times New Roman"/>
          <w:sz w:val="24"/>
          <w:szCs w:val="24"/>
        </w:rPr>
        <w:t xml:space="preserve">На слика 1 е прикажано очекуваното траење на животот во разгледуваните земји за периодот од 2000 </w:t>
      </w:r>
      <w:r w:rsidR="006C09BC" w:rsidRPr="00405016">
        <w:rPr>
          <w:rFonts w:ascii="Times New Roman" w:hAnsi="Times New Roman" w:cs="Times New Roman"/>
          <w:sz w:val="24"/>
          <w:szCs w:val="24"/>
        </w:rPr>
        <w:t>–</w:t>
      </w:r>
      <w:r w:rsidRPr="00405016">
        <w:rPr>
          <w:rFonts w:ascii="Times New Roman" w:hAnsi="Times New Roman" w:cs="Times New Roman"/>
          <w:sz w:val="24"/>
          <w:szCs w:val="24"/>
        </w:rPr>
        <w:t xml:space="preserve"> 2013 година. </w:t>
      </w:r>
    </w:p>
    <w:p w:rsidR="003E5042" w:rsidRPr="00405016" w:rsidRDefault="003E5042" w:rsidP="008C59B6">
      <w:pPr>
        <w:spacing w:after="0" w:line="240" w:lineRule="auto"/>
        <w:ind w:firstLine="720"/>
        <w:jc w:val="both"/>
        <w:rPr>
          <w:rFonts w:ascii="Times New Roman" w:hAnsi="Times New Roman" w:cs="Times New Roman"/>
          <w:sz w:val="24"/>
          <w:szCs w:val="24"/>
        </w:rPr>
      </w:pPr>
    </w:p>
    <w:p w:rsidR="003E5042" w:rsidRPr="00405016" w:rsidRDefault="00C928B9" w:rsidP="008C59B6">
      <w:pPr>
        <w:spacing w:after="0" w:line="240" w:lineRule="auto"/>
        <w:ind w:firstLine="720"/>
        <w:jc w:val="center"/>
        <w:rPr>
          <w:rFonts w:ascii="Times New Roman" w:hAnsi="Times New Roman" w:cs="Times New Roman"/>
          <w:i/>
          <w:iCs/>
        </w:rPr>
      </w:pPr>
      <w:r w:rsidRPr="00405016">
        <w:rPr>
          <w:rFonts w:ascii="Times New Roman" w:hAnsi="Times New Roman" w:cs="Times New Roman"/>
          <w:i/>
          <w:iCs/>
        </w:rPr>
        <w:t>Слика 1. Очекувано траење на животот во земјите од Југоисточна Европа</w:t>
      </w:r>
    </w:p>
    <w:p w:rsidR="003E5042" w:rsidRPr="00405016" w:rsidRDefault="001E4A4A" w:rsidP="00FF460F">
      <w:pPr>
        <w:spacing w:after="0" w:line="240" w:lineRule="auto"/>
        <w:jc w:val="center"/>
        <w:rPr>
          <w:rFonts w:ascii="Times New Roman" w:hAnsi="Times New Roman" w:cs="Times New Roman"/>
          <w:sz w:val="24"/>
          <w:szCs w:val="24"/>
        </w:rPr>
      </w:pPr>
      <w:r w:rsidRPr="001E4A4A">
        <w:rPr>
          <w:rFonts w:ascii="Times New Roman" w:hAnsi="Times New Roman" w:cs="Times New Roman"/>
          <w:sz w:val="24"/>
          <w:szCs w:val="24"/>
        </w:rPr>
        <w:drawing>
          <wp:inline distT="0" distB="0" distL="0" distR="0">
            <wp:extent cx="5339759" cy="3296093"/>
            <wp:effectExtent l="19050" t="0" r="13291" b="0"/>
            <wp:docPr id="7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5042" w:rsidRPr="00405016" w:rsidRDefault="003E5042" w:rsidP="00894E73">
      <w:pPr>
        <w:spacing w:after="0" w:line="240" w:lineRule="auto"/>
        <w:jc w:val="both"/>
        <w:rPr>
          <w:rFonts w:ascii="Times New Roman" w:hAnsi="Times New Roman" w:cs="Times New Roman"/>
        </w:rPr>
      </w:pPr>
      <w:r w:rsidRPr="00405016">
        <w:rPr>
          <w:rFonts w:ascii="Times New Roman" w:hAnsi="Times New Roman" w:cs="Times New Roman"/>
        </w:rPr>
        <w:t>Извор</w:t>
      </w:r>
      <w:r w:rsidRPr="00405016">
        <w:rPr>
          <w:rFonts w:ascii="Times New Roman" w:hAnsi="Times New Roman" w:cs="Times New Roman"/>
          <w:lang w:val="en-US"/>
        </w:rPr>
        <w:t>: The World Bank, World Development Indicators 2015</w:t>
      </w:r>
      <w:r w:rsidRPr="00405016">
        <w:rPr>
          <w:rFonts w:ascii="Times New Roman" w:hAnsi="Times New Roman" w:cs="Times New Roman"/>
        </w:rPr>
        <w:t>.</w:t>
      </w:r>
    </w:p>
    <w:p w:rsidR="003E5042" w:rsidRPr="00405016" w:rsidRDefault="003E5042" w:rsidP="008C59B6">
      <w:pPr>
        <w:spacing w:after="0" w:line="240" w:lineRule="auto"/>
        <w:jc w:val="center"/>
        <w:rPr>
          <w:rFonts w:ascii="Times New Roman" w:hAnsi="Times New Roman" w:cs="Times New Roman"/>
          <w:color w:val="8DB3E2"/>
          <w:sz w:val="24"/>
          <w:szCs w:val="24"/>
        </w:rPr>
      </w:pPr>
    </w:p>
    <w:p w:rsidR="003E5042" w:rsidRPr="00405016" w:rsidRDefault="003E5042" w:rsidP="008C59B6">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 xml:space="preserve">Од сликата може да се заклучи дека во сите разгледувани земји за периодот од 14 години се </w:t>
      </w:r>
      <w:r w:rsidRPr="00405016">
        <w:rPr>
          <w:rFonts w:ascii="Times New Roman" w:hAnsi="Times New Roman" w:cs="Times New Roman"/>
          <w:sz w:val="24"/>
          <w:szCs w:val="24"/>
        </w:rPr>
        <w:t>забележ</w:t>
      </w:r>
      <w:r w:rsidR="00C928B9" w:rsidRPr="00405016">
        <w:rPr>
          <w:rFonts w:ascii="Times New Roman" w:hAnsi="Times New Roman" w:cs="Times New Roman"/>
          <w:sz w:val="24"/>
          <w:szCs w:val="24"/>
        </w:rPr>
        <w:t xml:space="preserve">ува постојан раст на очекуваното траење на животот, што е добар показател и генерално ја следи и светската тенденција. Но, во разгледуваните земји постои и голема разлика кај овој индикатор. Имено, Молдавија има најмало очекувано </w:t>
      </w:r>
      <w:r w:rsidR="00C928B9" w:rsidRPr="00405016">
        <w:rPr>
          <w:rFonts w:ascii="Times New Roman" w:hAnsi="Times New Roman" w:cs="Times New Roman"/>
          <w:sz w:val="24"/>
          <w:szCs w:val="24"/>
        </w:rPr>
        <w:lastRenderedPageBreak/>
        <w:t>траење на живот</w:t>
      </w:r>
      <w:r w:rsidRPr="00405016">
        <w:rPr>
          <w:rFonts w:ascii="Times New Roman" w:hAnsi="Times New Roman" w:cs="Times New Roman"/>
          <w:sz w:val="24"/>
          <w:szCs w:val="24"/>
        </w:rPr>
        <w:t>от</w:t>
      </w:r>
      <w:r w:rsidR="00C928B9" w:rsidRPr="00405016">
        <w:rPr>
          <w:rFonts w:ascii="Times New Roman" w:hAnsi="Times New Roman" w:cs="Times New Roman"/>
          <w:sz w:val="24"/>
          <w:szCs w:val="24"/>
        </w:rPr>
        <w:t xml:space="preserve"> (во 2013</w:t>
      </w:r>
      <w:r w:rsidRPr="00405016">
        <w:rPr>
          <w:rFonts w:ascii="Times New Roman" w:hAnsi="Times New Roman" w:cs="Times New Roman"/>
          <w:sz w:val="24"/>
          <w:szCs w:val="24"/>
        </w:rPr>
        <w:t xml:space="preserve"> год.</w:t>
      </w:r>
      <w:r w:rsidR="00C928B9" w:rsidRPr="00405016">
        <w:rPr>
          <w:rFonts w:ascii="Times New Roman" w:hAnsi="Times New Roman" w:cs="Times New Roman"/>
          <w:sz w:val="24"/>
          <w:szCs w:val="24"/>
        </w:rPr>
        <w:t xml:space="preserve"> изнесува 68,8 години), за разлика од Грција каде во 2013 година очекуваното траење на живот</w:t>
      </w:r>
      <w:r w:rsidRPr="00405016">
        <w:rPr>
          <w:rFonts w:ascii="Times New Roman" w:hAnsi="Times New Roman" w:cs="Times New Roman"/>
          <w:sz w:val="24"/>
          <w:szCs w:val="24"/>
        </w:rPr>
        <w:t>от</w:t>
      </w:r>
      <w:r w:rsidR="00C928B9" w:rsidRPr="00405016">
        <w:rPr>
          <w:rFonts w:ascii="Times New Roman" w:hAnsi="Times New Roman" w:cs="Times New Roman"/>
          <w:sz w:val="24"/>
          <w:szCs w:val="24"/>
        </w:rPr>
        <w:t xml:space="preserve"> изнесувало 80,6. Во ова истражување ќе се направи обид да се утврдат најважните детерминанти на очекуваното траење на животот, со користење на панел регресија. Иако</w:t>
      </w:r>
      <w:r w:rsidRPr="00405016">
        <w:rPr>
          <w:rFonts w:ascii="Times New Roman" w:hAnsi="Times New Roman" w:cs="Times New Roman"/>
          <w:sz w:val="24"/>
          <w:szCs w:val="24"/>
        </w:rPr>
        <w:t xml:space="preserve"> е</w:t>
      </w:r>
      <w:r w:rsidR="00C928B9" w:rsidRPr="00405016">
        <w:rPr>
          <w:rFonts w:ascii="Times New Roman" w:hAnsi="Times New Roman" w:cs="Times New Roman"/>
          <w:sz w:val="24"/>
          <w:szCs w:val="24"/>
        </w:rPr>
        <w:t xml:space="preserve"> јасно дека постојат и одредени национални, културни, па дури и политички обележја кои посебно влијаат на должината на животот на една нација. На пример, може да се претпостави дека поголемиот животен век на Грција и</w:t>
      </w:r>
      <w:r w:rsidRPr="00405016">
        <w:rPr>
          <w:rFonts w:ascii="Times New Roman" w:hAnsi="Times New Roman" w:cs="Times New Roman"/>
          <w:sz w:val="24"/>
          <w:szCs w:val="24"/>
        </w:rPr>
        <w:t xml:space="preserve"> на</w:t>
      </w:r>
      <w:r w:rsidR="00C928B9" w:rsidRPr="00405016">
        <w:rPr>
          <w:rFonts w:ascii="Times New Roman" w:hAnsi="Times New Roman" w:cs="Times New Roman"/>
          <w:sz w:val="24"/>
          <w:szCs w:val="24"/>
        </w:rPr>
        <w:t xml:space="preserve"> Кипар се должи пред с</w:t>
      </w:r>
      <w:r w:rsidRPr="00405016">
        <w:rPr>
          <w:rFonts w:ascii="Times New Roman" w:hAnsi="Times New Roman" w:cs="Times New Roman"/>
          <w:sz w:val="24"/>
          <w:szCs w:val="24"/>
        </w:rPr>
        <w:t xml:space="preserve">è </w:t>
      </w:r>
      <w:r w:rsidR="00C928B9" w:rsidRPr="00405016">
        <w:rPr>
          <w:rFonts w:ascii="Times New Roman" w:hAnsi="Times New Roman" w:cs="Times New Roman"/>
          <w:sz w:val="24"/>
          <w:szCs w:val="24"/>
        </w:rPr>
        <w:t>на медитеранската исхрана.</w:t>
      </w:r>
    </w:p>
    <w:p w:rsidR="003E5042" w:rsidRPr="00405016" w:rsidRDefault="006C09BC" w:rsidP="008C59B6">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Македонија се наоѓа на средина во рамките на земјите од Југоисточна Европа, со очекувано траење на животот за 2013 година од 75,2 години. Како за споредба, според листата на Светската здравствена организација за 2013 година, во Сиера Леоне е најмало очекуваното траење на живот</w:t>
      </w:r>
      <w:r w:rsidR="003E5042" w:rsidRPr="00405016">
        <w:rPr>
          <w:rFonts w:ascii="Times New Roman" w:hAnsi="Times New Roman" w:cs="Times New Roman"/>
          <w:sz w:val="24"/>
          <w:szCs w:val="24"/>
        </w:rPr>
        <w:t>от</w:t>
      </w:r>
      <w:r w:rsidR="00C928B9" w:rsidRPr="00405016">
        <w:rPr>
          <w:rFonts w:ascii="Times New Roman" w:hAnsi="Times New Roman" w:cs="Times New Roman"/>
          <w:sz w:val="24"/>
          <w:szCs w:val="24"/>
        </w:rPr>
        <w:t xml:space="preserve"> и изнесува 46 години. Најдолг животен век се очекува во Јапонија, со 84 години.</w:t>
      </w:r>
    </w:p>
    <w:p w:rsidR="003E5042" w:rsidRPr="00405016" w:rsidRDefault="003E5042" w:rsidP="008C59B6">
      <w:pPr>
        <w:spacing w:after="0" w:line="240" w:lineRule="auto"/>
        <w:jc w:val="both"/>
        <w:rPr>
          <w:rFonts w:ascii="Times New Roman" w:hAnsi="Times New Roman" w:cs="Times New Roman"/>
          <w:color w:val="8DB3E2"/>
          <w:sz w:val="24"/>
          <w:szCs w:val="24"/>
        </w:rPr>
      </w:pPr>
    </w:p>
    <w:p w:rsidR="003E5042" w:rsidRPr="00405016" w:rsidRDefault="003E5042" w:rsidP="008C59B6">
      <w:pPr>
        <w:spacing w:after="0" w:line="240" w:lineRule="auto"/>
        <w:jc w:val="both"/>
        <w:rPr>
          <w:rFonts w:ascii="Times New Roman" w:hAnsi="Times New Roman" w:cs="Times New Roman"/>
          <w:color w:val="8DB3E2"/>
          <w:sz w:val="24"/>
          <w:szCs w:val="24"/>
        </w:rPr>
      </w:pPr>
    </w:p>
    <w:p w:rsidR="003E5042" w:rsidRPr="00405016" w:rsidRDefault="00C928B9" w:rsidP="008C59B6">
      <w:pPr>
        <w:spacing w:after="0" w:line="240" w:lineRule="auto"/>
        <w:jc w:val="center"/>
        <w:rPr>
          <w:rFonts w:ascii="Times New Roman" w:hAnsi="Times New Roman" w:cs="Times New Roman"/>
          <w:b/>
          <w:bCs/>
          <w:sz w:val="24"/>
          <w:szCs w:val="24"/>
        </w:rPr>
      </w:pPr>
      <w:r w:rsidRPr="00405016">
        <w:rPr>
          <w:rFonts w:ascii="Times New Roman" w:hAnsi="Times New Roman" w:cs="Times New Roman"/>
          <w:b/>
          <w:bCs/>
          <w:sz w:val="24"/>
          <w:szCs w:val="24"/>
        </w:rPr>
        <w:t>Некои теоретски пристапи кон истражуваната проблематика</w:t>
      </w:r>
    </w:p>
    <w:p w:rsidR="003E5042" w:rsidRPr="00405016" w:rsidRDefault="006C09BC" w:rsidP="008C59B6">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p>
    <w:p w:rsidR="003E5042" w:rsidRPr="00405016" w:rsidRDefault="00C928B9" w:rsidP="008C59B6">
      <w:pPr>
        <w:spacing w:after="0" w:line="240" w:lineRule="auto"/>
        <w:ind w:firstLine="720"/>
        <w:jc w:val="both"/>
        <w:rPr>
          <w:rFonts w:ascii="Times New Roman" w:hAnsi="Times New Roman" w:cs="Times New Roman"/>
          <w:sz w:val="24"/>
          <w:szCs w:val="24"/>
        </w:rPr>
      </w:pPr>
      <w:r w:rsidRPr="00405016">
        <w:rPr>
          <w:rFonts w:ascii="Times New Roman" w:hAnsi="Times New Roman" w:cs="Times New Roman"/>
          <w:sz w:val="24"/>
          <w:szCs w:val="24"/>
        </w:rPr>
        <w:t>Детерминантите на очекуваното траење на живот</w:t>
      </w:r>
      <w:r w:rsidR="003E5042" w:rsidRPr="00405016">
        <w:rPr>
          <w:rFonts w:ascii="Times New Roman" w:hAnsi="Times New Roman" w:cs="Times New Roman"/>
          <w:sz w:val="24"/>
          <w:szCs w:val="24"/>
        </w:rPr>
        <w:t>от</w:t>
      </w:r>
      <w:r w:rsidRPr="00405016">
        <w:rPr>
          <w:rFonts w:ascii="Times New Roman" w:hAnsi="Times New Roman" w:cs="Times New Roman"/>
          <w:sz w:val="24"/>
          <w:szCs w:val="24"/>
        </w:rPr>
        <w:t xml:space="preserve"> се предмет на бројни истражувања. Со акцент на земјите од Источен Медитеран </w:t>
      </w:r>
      <w:r w:rsidRPr="00405016">
        <w:rPr>
          <w:rFonts w:ascii="Times New Roman" w:hAnsi="Times New Roman" w:cs="Times New Roman"/>
          <w:sz w:val="24"/>
          <w:szCs w:val="24"/>
          <w:lang w:val="en-US"/>
        </w:rPr>
        <w:t xml:space="preserve">Bayati et al. (2013) </w:t>
      </w:r>
      <w:r w:rsidRPr="00405016">
        <w:rPr>
          <w:rFonts w:ascii="Times New Roman" w:hAnsi="Times New Roman" w:cs="Times New Roman"/>
          <w:sz w:val="24"/>
          <w:szCs w:val="24"/>
        </w:rPr>
        <w:t>спроведуваат панел регресија за 21 земја за периодот 1995-2007 година и доаѓаат до заклучок дека за да се подобри здравствената состојба во наведените земји</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фокусот треба да биде надвор од здравствениот систем, односно да се внимава на економскиот раст и нивото на развој. Политиките за економска стабилизација</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чија цел е зголемувањето на продуктивноста, економскиот раст и намалувањето на невработеноста имаат значајна улога за подобрување на здравствената состојба на луѓето во наведениот регион.</w:t>
      </w:r>
    </w:p>
    <w:p w:rsidR="003E5042" w:rsidRPr="00405016" w:rsidRDefault="00C928B9" w:rsidP="008C59B6">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sz w:val="24"/>
          <w:szCs w:val="24"/>
        </w:rPr>
        <w:t xml:space="preserve">Слично истражување за земјите од Источен Медитеран се наоѓа во трудот на </w:t>
      </w:r>
      <w:r w:rsidRPr="00405016">
        <w:rPr>
          <w:rFonts w:ascii="Times New Roman" w:hAnsi="Times New Roman" w:cs="Times New Roman"/>
          <w:sz w:val="24"/>
          <w:szCs w:val="24"/>
          <w:lang w:val="en-US"/>
        </w:rPr>
        <w:t xml:space="preserve">Gilligan and Skrepnek (2014). </w:t>
      </w:r>
      <w:r w:rsidRPr="00405016">
        <w:rPr>
          <w:rFonts w:ascii="Times New Roman" w:hAnsi="Times New Roman" w:cs="Times New Roman"/>
          <w:sz w:val="24"/>
          <w:szCs w:val="24"/>
        </w:rPr>
        <w:t>Истражувањето го имаат поделено на развиени и помалку развиени земји, а поделбата ја направиле со користење на кластер анализа. Тие како статистички значајни фактори на очекуваното траење на животот во развиените земји ги утврдуваат бруто домашниот производ, здравствените трошоци, писменоста и имунизацијата, додека</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пак</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кај помалку развиените земји како детерминанти се утврдени имунизацијата и бројот на доктори.</w:t>
      </w:r>
    </w:p>
    <w:p w:rsidR="003E5042" w:rsidRPr="00405016" w:rsidRDefault="00C928B9" w:rsidP="008C59B6">
      <w:pPr>
        <w:spacing w:after="0" w:line="240" w:lineRule="auto"/>
        <w:ind w:firstLine="720"/>
        <w:jc w:val="both"/>
        <w:rPr>
          <w:rFonts w:ascii="Times New Roman" w:hAnsi="Times New Roman" w:cs="Times New Roman"/>
          <w:sz w:val="24"/>
          <w:szCs w:val="24"/>
        </w:rPr>
      </w:pPr>
      <w:r w:rsidRPr="00405016">
        <w:rPr>
          <w:rFonts w:ascii="Times New Roman" w:hAnsi="Times New Roman" w:cs="Times New Roman"/>
          <w:sz w:val="24"/>
          <w:szCs w:val="24"/>
        </w:rPr>
        <w:t>Детерминантитите на очекуваното траење на живот</w:t>
      </w:r>
      <w:r w:rsidR="003E5042" w:rsidRPr="00405016">
        <w:rPr>
          <w:rFonts w:ascii="Times New Roman" w:hAnsi="Times New Roman" w:cs="Times New Roman"/>
          <w:sz w:val="24"/>
          <w:szCs w:val="24"/>
        </w:rPr>
        <w:t>от</w:t>
      </w:r>
      <w:r w:rsidRPr="00405016">
        <w:rPr>
          <w:rFonts w:ascii="Times New Roman" w:hAnsi="Times New Roman" w:cs="Times New Roman"/>
          <w:sz w:val="24"/>
          <w:szCs w:val="24"/>
        </w:rPr>
        <w:t xml:space="preserve"> за 28 земји од Европската </w:t>
      </w:r>
      <w:r w:rsidR="003E5042" w:rsidRPr="00405016">
        <w:rPr>
          <w:rFonts w:ascii="Times New Roman" w:hAnsi="Times New Roman" w:cs="Times New Roman"/>
          <w:sz w:val="24"/>
          <w:szCs w:val="24"/>
        </w:rPr>
        <w:t>у</w:t>
      </w:r>
      <w:r w:rsidRPr="00405016">
        <w:rPr>
          <w:rFonts w:ascii="Times New Roman" w:hAnsi="Times New Roman" w:cs="Times New Roman"/>
          <w:sz w:val="24"/>
          <w:szCs w:val="24"/>
        </w:rPr>
        <w:t xml:space="preserve">нија се испитувани во трудот на </w:t>
      </w:r>
      <w:r w:rsidRPr="00405016">
        <w:rPr>
          <w:rFonts w:ascii="Times New Roman" w:hAnsi="Times New Roman" w:cs="Times New Roman"/>
          <w:sz w:val="24"/>
          <w:szCs w:val="24"/>
          <w:lang w:val="en-US"/>
        </w:rPr>
        <w:t xml:space="preserve">Bilas et al. (2014). </w:t>
      </w:r>
      <w:r w:rsidRPr="00405016">
        <w:rPr>
          <w:rFonts w:ascii="Times New Roman" w:hAnsi="Times New Roman" w:cs="Times New Roman"/>
          <w:sz w:val="24"/>
          <w:szCs w:val="24"/>
        </w:rPr>
        <w:t>Добиените резултати покажуваат дека бруто домашниот производ по глава на жител и нивото на образование заедно објаснуваат од 72,6% до 82,6% од разликите кои се јавуваат во очекуваното траење на живот</w:t>
      </w:r>
      <w:r w:rsidR="003E5042" w:rsidRPr="00405016">
        <w:rPr>
          <w:rFonts w:ascii="Times New Roman" w:hAnsi="Times New Roman" w:cs="Times New Roman"/>
          <w:sz w:val="24"/>
          <w:szCs w:val="24"/>
        </w:rPr>
        <w:t>от</w:t>
      </w:r>
      <w:r w:rsidRPr="00405016">
        <w:rPr>
          <w:rFonts w:ascii="Times New Roman" w:hAnsi="Times New Roman" w:cs="Times New Roman"/>
          <w:sz w:val="24"/>
          <w:szCs w:val="24"/>
        </w:rPr>
        <w:t>.</w:t>
      </w:r>
    </w:p>
    <w:p w:rsidR="003E5042" w:rsidRPr="00405016" w:rsidRDefault="00C928B9" w:rsidP="00F8672B">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sz w:val="24"/>
          <w:szCs w:val="24"/>
        </w:rPr>
        <w:t>Социјалната еднаквост е прашање на живот и смрт. Таа влијае на начинот на кој луѓето живеат, на можноста тие да се разболат и починат од прерана смрт. Светот со зачуденост набљудува како очекуваното траење на живот</w:t>
      </w:r>
      <w:r w:rsidR="003E5042" w:rsidRPr="00405016">
        <w:rPr>
          <w:rFonts w:ascii="Times New Roman" w:hAnsi="Times New Roman" w:cs="Times New Roman"/>
          <w:sz w:val="24"/>
          <w:szCs w:val="24"/>
        </w:rPr>
        <w:t>от</w:t>
      </w:r>
      <w:r w:rsidRPr="00405016">
        <w:rPr>
          <w:rFonts w:ascii="Times New Roman" w:hAnsi="Times New Roman" w:cs="Times New Roman"/>
          <w:sz w:val="24"/>
          <w:szCs w:val="24"/>
        </w:rPr>
        <w:t xml:space="preserve"> се зголемува во некои земји, додека со загриженост следи како условите за живот се влошуваат во други земји. И во самите земји постојат драматични разлики во здравствените услови кои се директно поврзани со степенот на социјалната нееднаквост. Овие разлики, помеѓу земјите и во нив, не треба воопшто да постојат. Тие се јавуваат поради различните околности во кои</w:t>
      </w:r>
      <w:r w:rsidR="003E5042" w:rsidRPr="00405016">
        <w:rPr>
          <w:rFonts w:ascii="Times New Roman" w:hAnsi="Times New Roman" w:cs="Times New Roman"/>
          <w:sz w:val="24"/>
          <w:szCs w:val="24"/>
        </w:rPr>
        <w:t xml:space="preserve"> </w:t>
      </w:r>
      <w:r w:rsidRPr="00405016">
        <w:rPr>
          <w:rFonts w:ascii="Times New Roman" w:hAnsi="Times New Roman" w:cs="Times New Roman"/>
          <w:sz w:val="24"/>
          <w:szCs w:val="24"/>
        </w:rPr>
        <w:t>луѓето живееат, работат, стареат, се справуваат со болестите. Овие околности</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пак</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ги одредуваат политичките, општествените и економските сили. Развојот на едно општество, богато или сиромашно, може да се оцени според квалитетот на здравјето на својата популација. Во духот на социјалната еднаквост, во 2005 година</w:t>
      </w:r>
      <w:r w:rsidR="003E5042" w:rsidRPr="00405016">
        <w:rPr>
          <w:rFonts w:ascii="Times New Roman" w:hAnsi="Times New Roman" w:cs="Times New Roman"/>
          <w:sz w:val="24"/>
          <w:szCs w:val="24"/>
        </w:rPr>
        <w:t>,</w:t>
      </w:r>
      <w:r w:rsidRPr="00405016">
        <w:rPr>
          <w:rFonts w:ascii="Times New Roman" w:hAnsi="Times New Roman" w:cs="Times New Roman"/>
          <w:sz w:val="24"/>
          <w:szCs w:val="24"/>
        </w:rPr>
        <w:t xml:space="preserve"> Светската здравствена огранизација ја формирала Комисијата за </w:t>
      </w:r>
      <w:r w:rsidRPr="00405016">
        <w:rPr>
          <w:rFonts w:ascii="Times New Roman" w:hAnsi="Times New Roman" w:cs="Times New Roman"/>
          <w:sz w:val="24"/>
          <w:szCs w:val="24"/>
        </w:rPr>
        <w:lastRenderedPageBreak/>
        <w:t>социјални детерминанти на здравјето, со цел да излезе со решенија за постигнување на здравствена еднаквост, кои би се постигнале преку остварување на глобално движење (</w:t>
      </w:r>
      <w:r w:rsidRPr="00405016">
        <w:rPr>
          <w:rFonts w:ascii="Times New Roman" w:hAnsi="Times New Roman" w:cs="Times New Roman"/>
          <w:sz w:val="24"/>
          <w:szCs w:val="24"/>
          <w:lang w:val="en-US"/>
        </w:rPr>
        <w:t>World Health Organization, 2008).</w:t>
      </w:r>
    </w:p>
    <w:p w:rsidR="003E5042" w:rsidRPr="00405016" w:rsidRDefault="003E5042" w:rsidP="008C59B6">
      <w:pPr>
        <w:spacing w:after="0" w:line="240" w:lineRule="auto"/>
        <w:ind w:firstLine="720"/>
        <w:jc w:val="both"/>
        <w:rPr>
          <w:rFonts w:ascii="Times New Roman" w:hAnsi="Times New Roman" w:cs="Times New Roman"/>
          <w:sz w:val="24"/>
          <w:szCs w:val="24"/>
        </w:rPr>
      </w:pPr>
    </w:p>
    <w:p w:rsidR="003E5042" w:rsidRPr="00405016" w:rsidRDefault="00C928B9" w:rsidP="008C59B6">
      <w:pPr>
        <w:spacing w:after="0" w:line="240" w:lineRule="auto"/>
        <w:jc w:val="center"/>
        <w:rPr>
          <w:rFonts w:ascii="Times New Roman" w:hAnsi="Times New Roman" w:cs="Times New Roman"/>
          <w:b/>
          <w:bCs/>
          <w:sz w:val="24"/>
          <w:szCs w:val="24"/>
          <w:lang w:val="en-US"/>
        </w:rPr>
      </w:pPr>
      <w:r w:rsidRPr="00405016">
        <w:rPr>
          <w:rFonts w:ascii="Times New Roman" w:hAnsi="Times New Roman" w:cs="Times New Roman"/>
          <w:b/>
          <w:bCs/>
          <w:sz w:val="24"/>
          <w:szCs w:val="24"/>
        </w:rPr>
        <w:t>Методологија на истражување</w:t>
      </w:r>
      <w:r w:rsidR="003E5042" w:rsidRPr="00405016">
        <w:rPr>
          <w:rFonts w:ascii="Times New Roman" w:hAnsi="Times New Roman" w:cs="Times New Roman"/>
          <w:b/>
          <w:bCs/>
          <w:sz w:val="24"/>
          <w:szCs w:val="24"/>
        </w:rPr>
        <w:t>то</w:t>
      </w:r>
    </w:p>
    <w:p w:rsidR="003E5042" w:rsidRPr="00405016" w:rsidRDefault="003E5042" w:rsidP="008C59B6">
      <w:pPr>
        <w:spacing w:after="0" w:line="240" w:lineRule="auto"/>
        <w:jc w:val="both"/>
        <w:rPr>
          <w:rFonts w:ascii="Times New Roman" w:hAnsi="Times New Roman" w:cs="Times New Roman"/>
          <w:b/>
          <w:bCs/>
          <w:sz w:val="24"/>
          <w:szCs w:val="24"/>
          <w:lang w:val="en-US"/>
        </w:rPr>
      </w:pPr>
    </w:p>
    <w:p w:rsidR="003E5042" w:rsidRPr="00405016" w:rsidRDefault="006C09BC" w:rsidP="00E02BB0">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За спроведување на анализата се користи методот на коинтегрирана панел регресија. За оваа цел</w:t>
      </w:r>
      <w:r w:rsidR="003E5042" w:rsidRPr="00405016">
        <w:rPr>
          <w:rFonts w:ascii="Times New Roman" w:hAnsi="Times New Roman" w:cs="Times New Roman"/>
          <w:sz w:val="24"/>
          <w:szCs w:val="24"/>
        </w:rPr>
        <w:t>,</w:t>
      </w:r>
      <w:r w:rsidR="00C928B9" w:rsidRPr="00405016">
        <w:rPr>
          <w:rFonts w:ascii="Times New Roman" w:hAnsi="Times New Roman" w:cs="Times New Roman"/>
          <w:sz w:val="24"/>
          <w:szCs w:val="24"/>
        </w:rPr>
        <w:t xml:space="preserve"> најпрво се реализираат панел тестовите на единечен корен. Доколку се потврди дека сериите се стационарни во својата прва диференција, се спроведува тестирање за панел коинтеграција. Доколку сериите се коинтегрирани, се оценуваат параметрите на коинтегрираната панел регресија.</w:t>
      </w:r>
    </w:p>
    <w:p w:rsidR="003E5042" w:rsidRPr="00405016" w:rsidRDefault="006C09BC" w:rsidP="00E02BB0">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Од панел тестовите на единечен корен можат да се наведат следни</w:t>
      </w:r>
      <w:r w:rsidR="003E5042" w:rsidRPr="00405016">
        <w:rPr>
          <w:rFonts w:ascii="Times New Roman" w:hAnsi="Times New Roman" w:cs="Times New Roman"/>
          <w:sz w:val="24"/>
          <w:szCs w:val="24"/>
        </w:rPr>
        <w:t>в</w:t>
      </w:r>
      <w:r w:rsidR="00C928B9" w:rsidRPr="00405016">
        <w:rPr>
          <w:rFonts w:ascii="Times New Roman" w:hAnsi="Times New Roman" w:cs="Times New Roman"/>
          <w:sz w:val="24"/>
          <w:szCs w:val="24"/>
        </w:rPr>
        <w:t>е:</w:t>
      </w:r>
    </w:p>
    <w:p w:rsidR="003E5042" w:rsidRPr="00405016" w:rsidRDefault="00C928B9" w:rsidP="001B6DBD">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 xml:space="preserve">1) Тестот на </w:t>
      </w:r>
      <w:r w:rsidRPr="00405016">
        <w:rPr>
          <w:rFonts w:ascii="Times New Roman" w:hAnsi="Times New Roman" w:cs="Times New Roman"/>
          <w:sz w:val="24"/>
          <w:szCs w:val="24"/>
          <w:lang w:val="en-US"/>
        </w:rPr>
        <w:t>Levin, Lin and Chu</w:t>
      </w:r>
      <w:r w:rsidRPr="00405016">
        <w:rPr>
          <w:rFonts w:ascii="Times New Roman" w:hAnsi="Times New Roman" w:cs="Times New Roman"/>
          <w:sz w:val="24"/>
          <w:szCs w:val="24"/>
        </w:rPr>
        <w:t xml:space="preserve"> е тест со заеднички процес на единечен корен кој ја следи основната </w:t>
      </w:r>
      <w:r w:rsidRPr="00405016">
        <w:rPr>
          <w:rFonts w:ascii="Times New Roman" w:hAnsi="Times New Roman" w:cs="Times New Roman"/>
          <w:sz w:val="24"/>
          <w:szCs w:val="24"/>
          <w:lang w:val="en-US"/>
        </w:rPr>
        <w:t xml:space="preserve">ADF </w:t>
      </w:r>
      <w:r w:rsidRPr="00405016">
        <w:rPr>
          <w:rFonts w:ascii="Times New Roman" w:hAnsi="Times New Roman" w:cs="Times New Roman"/>
          <w:sz w:val="24"/>
          <w:szCs w:val="24"/>
        </w:rPr>
        <w:t>спецификација:</w:t>
      </w:r>
    </w:p>
    <w:p w:rsidR="003E5042" w:rsidRPr="00405016" w:rsidRDefault="001E4A4A" w:rsidP="001B6DBD">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αy</m:t>
              </m:r>
            </m:e>
            <m:sub>
              <m:r>
                <w:rPr>
                  <w:rFonts w:ascii="Cambria Math" w:hAnsi="Cambria Math" w:cs="Times New Roman"/>
                  <w:sz w:val="24"/>
                  <w:szCs w:val="24"/>
                  <w:lang w:val="en-US"/>
                </w:rPr>
                <m:t>it-1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ij</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it-j</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it</m:t>
              </m:r>
            </m:sub>
            <m:sup>
              <m:r>
                <w:rPr>
                  <w:rFonts w:ascii="Cambria Math" w:hAnsi="Cambria Math" w:cs="Times New Roman"/>
                  <w:sz w:val="24"/>
                  <w:szCs w:val="24"/>
                  <w:lang w:val="en-US"/>
                </w:rPr>
                <m:t>'</m:t>
              </m:r>
            </m:sup>
          </m:sSubSup>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m:t>
              </m:r>
            </m:sub>
          </m:sSub>
        </m:oMath>
      </m:oMathPara>
    </w:p>
    <w:p w:rsidR="001E4A4A" w:rsidRPr="005F1167"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:α=0</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и значи дека постои единечен корен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:α</m:t>
        </m:r>
        <m:r>
          <w:rPr>
            <w:rFonts w:ascii="Cambria Math" w:eastAsiaTheme="minorEastAsia" w:hAnsi="Cambria Math" w:cs="Times New Roman"/>
            <w:sz w:val="24"/>
            <w:szCs w:val="24"/>
            <w:lang w:val="en-US"/>
          </w:rPr>
          <m:t>&lt;</m:t>
        </m:r>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и значи дека не постои единечен корен.</w:t>
      </w:r>
    </w:p>
    <w:p w:rsidR="003E5042" w:rsidRPr="00405016" w:rsidRDefault="00C928B9" w:rsidP="001B6DBD">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lang w:val="en-US"/>
        </w:rPr>
        <w:t xml:space="preserve">2) </w:t>
      </w:r>
      <w:r w:rsidRPr="00405016">
        <w:rPr>
          <w:rFonts w:ascii="Times New Roman" w:hAnsi="Times New Roman" w:cs="Times New Roman"/>
          <w:sz w:val="24"/>
          <w:szCs w:val="24"/>
        </w:rPr>
        <w:t xml:space="preserve">Тестот на </w:t>
      </w:r>
      <w:r w:rsidRPr="00405016">
        <w:rPr>
          <w:rFonts w:ascii="Times New Roman" w:hAnsi="Times New Roman" w:cs="Times New Roman"/>
          <w:sz w:val="24"/>
          <w:szCs w:val="24"/>
          <w:lang w:val="en-US"/>
        </w:rPr>
        <w:t xml:space="preserve">Im, Pesaran and Shin </w:t>
      </w:r>
      <w:r w:rsidRPr="00405016">
        <w:rPr>
          <w:rFonts w:ascii="Times New Roman" w:hAnsi="Times New Roman" w:cs="Times New Roman"/>
          <w:sz w:val="24"/>
          <w:szCs w:val="24"/>
        </w:rPr>
        <w:t xml:space="preserve">кој е тест со индивидуален процес на единечен корен каде основната </w:t>
      </w:r>
      <w:r w:rsidRPr="00405016">
        <w:rPr>
          <w:rFonts w:ascii="Times New Roman" w:hAnsi="Times New Roman" w:cs="Times New Roman"/>
          <w:sz w:val="24"/>
          <w:szCs w:val="24"/>
          <w:lang w:val="en-US"/>
        </w:rPr>
        <w:t xml:space="preserve">ADF </w:t>
      </w:r>
      <w:r w:rsidRPr="00405016">
        <w:rPr>
          <w:rFonts w:ascii="Times New Roman" w:hAnsi="Times New Roman" w:cs="Times New Roman"/>
          <w:sz w:val="24"/>
          <w:szCs w:val="24"/>
        </w:rPr>
        <w:t>регресија</w:t>
      </w:r>
    </w:p>
    <w:p w:rsidR="001E4A4A" w:rsidRDefault="001E4A4A" w:rsidP="001E4A4A">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αy</m:t>
              </m:r>
            </m:e>
            <m:sub>
              <m:r>
                <w:rPr>
                  <w:rFonts w:ascii="Cambria Math" w:hAnsi="Cambria Math" w:cs="Times New Roman"/>
                  <w:sz w:val="24"/>
                  <w:szCs w:val="24"/>
                  <w:lang w:val="en-US"/>
                </w:rPr>
                <m:t>it-1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ij</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it-j</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it</m:t>
              </m:r>
            </m:sub>
            <m:sup>
              <m:r>
                <w:rPr>
                  <w:rFonts w:ascii="Cambria Math" w:hAnsi="Cambria Math" w:cs="Times New Roman"/>
                  <w:sz w:val="24"/>
                  <w:szCs w:val="24"/>
                  <w:lang w:val="en-US"/>
                </w:rPr>
                <m:t>'</m:t>
              </m:r>
            </m:sup>
          </m:sSubSup>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m:t>
              </m:r>
            </m:sub>
          </m:sSub>
        </m:oMath>
      </m:oMathPara>
    </w:p>
    <w:p w:rsidR="001E4A4A"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се оценува за секоја земја посебно. Нултата хипотеза гласи</w:t>
      </w:r>
    </w:p>
    <w:p w:rsidR="001E4A4A" w:rsidRDefault="001E4A4A" w:rsidP="001E4A4A">
      <w:pPr>
        <w:spacing w:after="0" w:line="24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за сите </w:t>
      </w:r>
      <m:oMath>
        <m:r>
          <w:rPr>
            <w:rFonts w:ascii="Cambria Math" w:eastAsiaTheme="minorEastAsia" w:hAnsi="Cambria Math" w:cs="Times New Roman"/>
            <w:sz w:val="24"/>
            <w:szCs w:val="24"/>
          </w:rPr>
          <m:t>i</m:t>
        </m:r>
      </m:oMath>
    </w:p>
    <w:p w:rsidR="001E4A4A" w:rsidRDefault="001E4A4A" w:rsidP="001E4A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Додека алтернативната хипотеза е дадена со</w:t>
      </w:r>
    </w:p>
    <w:p w:rsidR="001E4A4A" w:rsidRPr="005F1167" w:rsidRDefault="001E4A4A" w:rsidP="001E4A4A">
      <w:pPr>
        <w:spacing w:after="0" w:line="240" w:lineRule="auto"/>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r>
                      <m:rPr>
                        <m:sty m:val="p"/>
                      </m:rPr>
                      <w:rPr>
                        <w:rFonts w:ascii="Cambria Math" w:eastAsiaTheme="minorEastAsia" w:hAnsi="Cambria Math" w:cs="Times New Roman"/>
                        <w:sz w:val="24"/>
                        <w:szCs w:val="24"/>
                      </w:rPr>
                      <m:t xml:space="preserve"> </m:t>
                    </m:r>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&lt;0</m:t>
                    </m:r>
                    <m:r>
                      <m:rPr>
                        <m:sty m:val="p"/>
                      </m:rPr>
                      <w:rPr>
                        <w:rFonts w:ascii="Cambria Math" w:eastAsiaTheme="minorEastAsia" w:hAnsi="Cambria Math" w:cs="Times New Roman"/>
                        <w:sz w:val="24"/>
                        <w:szCs w:val="24"/>
                      </w:rPr>
                      <m:t xml:space="preserve"> </m:t>
                    </m:r>
                  </m:e>
                </m:mr>
              </m:m>
            </m:e>
          </m:d>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за </m:t>
                </m:r>
                <m:r>
                  <w:rPr>
                    <w:rFonts w:ascii="Cambria Math" w:hAnsi="Cambria Math" w:cs="Times New Roman"/>
                    <w:sz w:val="24"/>
                    <w:szCs w:val="24"/>
                    <w:lang w:val="en-US"/>
                  </w:rPr>
                  <m:t>i=1,2,…,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1</m:t>
                    </m:r>
                  </m:sub>
                </m:sSub>
              </m:e>
            </m:mr>
            <m:mr>
              <m:e>
                <m:r>
                  <w:rPr>
                    <w:rFonts w:ascii="Cambria Math" w:hAnsi="Cambria Math" w:cs="Times New Roman"/>
                    <w:sz w:val="24"/>
                    <w:szCs w:val="24"/>
                  </w:rPr>
                  <m:t xml:space="preserve">за </m:t>
                </m:r>
                <m:r>
                  <w:rPr>
                    <w:rFonts w:ascii="Cambria Math" w:hAnsi="Cambria Math" w:cs="Times New Roman"/>
                    <w:sz w:val="24"/>
                    <w:szCs w:val="24"/>
                    <w:lang w:val="en-US"/>
                  </w:rPr>
                  <m:t>i=N+1, N+2,…,N</m:t>
                </m:r>
              </m:e>
            </m:mr>
          </m:m>
        </m:oMath>
      </m:oMathPara>
    </w:p>
    <w:p w:rsidR="001E4A4A" w:rsidRDefault="00C928B9" w:rsidP="001E4A4A">
      <w:pPr>
        <w:spacing w:after="0" w:line="240" w:lineRule="auto"/>
        <w:jc w:val="both"/>
        <w:rPr>
          <w:rFonts w:ascii="Times New Roman" w:eastAsiaTheme="minorEastAsia" w:hAnsi="Times New Roman" w:cs="Times New Roman"/>
          <w:sz w:val="24"/>
          <w:szCs w:val="24"/>
        </w:rPr>
      </w:pPr>
      <w:r w:rsidRPr="00405016">
        <w:rPr>
          <w:rFonts w:ascii="Times New Roman" w:hAnsi="Times New Roman" w:cs="Times New Roman"/>
          <w:sz w:val="24"/>
          <w:szCs w:val="24"/>
          <w:lang w:val="en-US"/>
        </w:rPr>
        <w:t xml:space="preserve">3) Fisher-ADF </w:t>
      </w:r>
      <w:r w:rsidRPr="00405016">
        <w:rPr>
          <w:rFonts w:ascii="Times New Roman" w:hAnsi="Times New Roman" w:cs="Times New Roman"/>
          <w:sz w:val="24"/>
          <w:szCs w:val="24"/>
        </w:rPr>
        <w:t>тестот</w:t>
      </w:r>
      <w:r w:rsidRPr="00405016">
        <w:rPr>
          <w:rFonts w:ascii="Times New Roman" w:hAnsi="Times New Roman" w:cs="Times New Roman"/>
          <w:sz w:val="24"/>
          <w:szCs w:val="24"/>
          <w:lang w:val="en-US"/>
        </w:rPr>
        <w:t xml:space="preserve"> </w:t>
      </w:r>
      <w:r w:rsidRPr="00405016">
        <w:rPr>
          <w:rFonts w:ascii="Times New Roman" w:hAnsi="Times New Roman" w:cs="Times New Roman"/>
          <w:sz w:val="24"/>
          <w:szCs w:val="24"/>
        </w:rPr>
        <w:t xml:space="preserve">и </w:t>
      </w:r>
      <w:r w:rsidRPr="00405016">
        <w:rPr>
          <w:rFonts w:ascii="Times New Roman" w:hAnsi="Times New Roman" w:cs="Times New Roman"/>
          <w:sz w:val="24"/>
          <w:szCs w:val="24"/>
          <w:lang w:val="en-US"/>
        </w:rPr>
        <w:t xml:space="preserve">Fisher-PP </w:t>
      </w:r>
      <w:r w:rsidRPr="00405016">
        <w:rPr>
          <w:rFonts w:ascii="Times New Roman" w:hAnsi="Times New Roman" w:cs="Times New Roman"/>
          <w:sz w:val="24"/>
          <w:szCs w:val="24"/>
        </w:rPr>
        <w:t xml:space="preserve">тестот се алтернативен пристап на панел тестовите на единечен корен кои ги користат резултатите на </w:t>
      </w:r>
      <w:r w:rsidRPr="00405016">
        <w:rPr>
          <w:rFonts w:ascii="Times New Roman" w:hAnsi="Times New Roman" w:cs="Times New Roman"/>
          <w:sz w:val="24"/>
          <w:szCs w:val="24"/>
          <w:lang w:val="en-US"/>
        </w:rPr>
        <w:t xml:space="preserve">Fisher (1932) </w:t>
      </w:r>
      <w:r w:rsidRPr="00405016">
        <w:rPr>
          <w:rFonts w:ascii="Times New Roman" w:hAnsi="Times New Roman" w:cs="Times New Roman"/>
          <w:sz w:val="24"/>
          <w:szCs w:val="24"/>
        </w:rPr>
        <w:t xml:space="preserve">за да изведат тестови кои ги комбинираат </w:t>
      </w:r>
      <w:r w:rsidRPr="00405016">
        <w:rPr>
          <w:rFonts w:ascii="Times New Roman" w:hAnsi="Times New Roman" w:cs="Times New Roman"/>
          <w:sz w:val="24"/>
          <w:szCs w:val="24"/>
          <w:lang w:val="en-US"/>
        </w:rPr>
        <w:t>p</w:t>
      </w:r>
      <w:r w:rsidRPr="00405016">
        <w:rPr>
          <w:rFonts w:ascii="Times New Roman" w:hAnsi="Times New Roman" w:cs="Times New Roman"/>
          <w:sz w:val="24"/>
          <w:szCs w:val="24"/>
        </w:rPr>
        <w:t xml:space="preserve">-вредностите од индивидуалните тестови на единечен корен. </w:t>
      </w:r>
      <w:r w:rsidR="001E4A4A">
        <w:rPr>
          <w:rFonts w:ascii="Times New Roman" w:hAnsi="Times New Roman" w:cs="Times New Roman"/>
          <w:sz w:val="24"/>
          <w:szCs w:val="24"/>
        </w:rPr>
        <w:t xml:space="preserve">Ако се дефинира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lang w:val="en-US"/>
              </w:rPr>
              <m:t>i</m:t>
            </m:r>
          </m:sub>
        </m:sSub>
      </m:oMath>
      <w:r w:rsidR="001E4A4A">
        <w:rPr>
          <w:rFonts w:ascii="Times New Roman" w:eastAsiaTheme="minorEastAsia" w:hAnsi="Times New Roman" w:cs="Times New Roman"/>
          <w:sz w:val="24"/>
          <w:szCs w:val="24"/>
        </w:rPr>
        <w:t xml:space="preserve"> како </w:t>
      </w:r>
      <w:r w:rsidR="001E4A4A">
        <w:rPr>
          <w:rFonts w:ascii="Times New Roman" w:eastAsiaTheme="minorEastAsia" w:hAnsi="Times New Roman" w:cs="Times New Roman"/>
          <w:sz w:val="24"/>
          <w:szCs w:val="24"/>
          <w:lang w:val="en-US"/>
        </w:rPr>
        <w:t>p</w:t>
      </w:r>
      <w:r w:rsidR="001E4A4A">
        <w:rPr>
          <w:rFonts w:ascii="Times New Roman" w:eastAsiaTheme="minorEastAsia" w:hAnsi="Times New Roman" w:cs="Times New Roman"/>
          <w:sz w:val="24"/>
          <w:szCs w:val="24"/>
        </w:rPr>
        <w:t xml:space="preserve">-вредноста од било кој тест на единечен корен за поединечната земја </w:t>
      </w:r>
      <m:oMath>
        <m:r>
          <w:rPr>
            <w:rFonts w:ascii="Cambria Math" w:eastAsiaTheme="minorEastAsia" w:hAnsi="Cambria Math" w:cs="Times New Roman"/>
            <w:sz w:val="24"/>
            <w:szCs w:val="24"/>
          </w:rPr>
          <m:t>i</m:t>
        </m:r>
      </m:oMath>
      <w:r w:rsidR="001E4A4A">
        <w:rPr>
          <w:rFonts w:ascii="Times New Roman" w:eastAsiaTheme="minorEastAsia" w:hAnsi="Times New Roman" w:cs="Times New Roman"/>
          <w:sz w:val="24"/>
          <w:szCs w:val="24"/>
        </w:rPr>
        <w:t xml:space="preserve">, тогаш под нултата хипотеза за сите </w:t>
      </w:r>
      <m:oMath>
        <m:r>
          <w:rPr>
            <w:rFonts w:ascii="Cambria Math" w:eastAsiaTheme="minorEastAsia" w:hAnsi="Cambria Math" w:cs="Times New Roman"/>
            <w:sz w:val="24"/>
            <w:szCs w:val="24"/>
          </w:rPr>
          <m:t>N</m:t>
        </m:r>
      </m:oMath>
      <w:r w:rsidR="001E4A4A">
        <w:rPr>
          <w:rFonts w:ascii="Times New Roman" w:eastAsiaTheme="minorEastAsia" w:hAnsi="Times New Roman" w:cs="Times New Roman"/>
          <w:sz w:val="24"/>
          <w:szCs w:val="24"/>
        </w:rPr>
        <w:t xml:space="preserve"> земји постои асимптотскиот резултат дека</w:t>
      </w:r>
    </w:p>
    <w:p w:rsidR="001E4A4A" w:rsidRPr="00E85AF8" w:rsidRDefault="001E4A4A" w:rsidP="001E4A4A">
      <w:pPr>
        <w:spacing w:after="0" w:line="240" w:lineRule="auto"/>
        <w:jc w:val="both"/>
        <w:rPr>
          <w:rFonts w:ascii="Times New Roman" w:hAnsi="Times New Roman" w:cs="Times New Roman"/>
          <w:i/>
          <w:sz w:val="24"/>
          <w:szCs w:val="24"/>
          <w:lang w:val="en-US"/>
        </w:rPr>
      </w:pPr>
      <m:oMathPara>
        <m:oMath>
          <m:r>
            <w:rPr>
              <w:rFonts w:ascii="Cambria Math" w:hAnsi="Cambria Math" w:cs="Times New Roman"/>
              <w:sz w:val="24"/>
              <w:szCs w:val="24"/>
            </w:rPr>
            <m:t>-2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m:rPr>
                  <m:sty m:val="p"/>
                </m:rPr>
                <w:rPr>
                  <w:rFonts w:ascii="Cambria Math" w:hAnsi="Cambria Math" w:cs="Times New Roman"/>
                  <w:sz w:val="24"/>
                  <w:szCs w:val="24"/>
                </w:rPr>
                <m:t>log⁡</m:t>
              </m:r>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lang w:val="en-US"/>
                    </w:rPr>
                    <m:t>i</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2N</m:t>
                  </m:r>
                </m:sub>
                <m:sup>
                  <m:r>
                    <w:rPr>
                      <w:rFonts w:ascii="Cambria Math" w:hAnsi="Cambria Math" w:cs="Times New Roman"/>
                      <w:sz w:val="24"/>
                      <w:szCs w:val="24"/>
                    </w:rPr>
                    <m:t>2</m:t>
                  </m:r>
                </m:sup>
              </m:sSubSup>
            </m:e>
          </m:nary>
        </m:oMath>
      </m:oMathPara>
    </w:p>
    <w:p w:rsidR="001E4A4A" w:rsidRDefault="006C09BC" w:rsidP="001E4A4A">
      <w:pPr>
        <w:spacing w:after="0" w:line="240" w:lineRule="auto"/>
        <w:jc w:val="both"/>
        <w:rPr>
          <w:rFonts w:ascii="Times New Roman" w:eastAsiaTheme="minorEastAsia" w:hAnsi="Times New Roman" w:cs="Times New Roman"/>
          <w:sz w:val="24"/>
          <w:szCs w:val="24"/>
        </w:rPr>
      </w:pPr>
      <w:r w:rsidRPr="00405016">
        <w:rPr>
          <w:rFonts w:ascii="Times New Roman" w:hAnsi="Times New Roman" w:cs="Times New Roman"/>
          <w:sz w:val="24"/>
          <w:szCs w:val="24"/>
          <w:lang w:val="en-US"/>
        </w:rPr>
        <w:tab/>
      </w:r>
      <w:r w:rsidR="00C928B9" w:rsidRPr="00405016">
        <w:rPr>
          <w:rFonts w:ascii="Times New Roman" w:hAnsi="Times New Roman" w:cs="Times New Roman"/>
          <w:sz w:val="24"/>
          <w:szCs w:val="24"/>
        </w:rPr>
        <w:t>Во литературата често се нагласува дека развојот на техниките за панел коинтеграција е с</w:t>
      </w:r>
      <w:r w:rsidR="003E5042" w:rsidRPr="00405016">
        <w:rPr>
          <w:rFonts w:ascii="Times New Roman" w:hAnsi="Times New Roman" w:cs="Times New Roman"/>
          <w:sz w:val="24"/>
          <w:szCs w:val="24"/>
        </w:rPr>
        <w:t xml:space="preserve">è </w:t>
      </w:r>
      <w:r w:rsidR="00C928B9" w:rsidRPr="00405016">
        <w:rPr>
          <w:rFonts w:ascii="Times New Roman" w:hAnsi="Times New Roman" w:cs="Times New Roman"/>
          <w:sz w:val="24"/>
          <w:szCs w:val="24"/>
        </w:rPr>
        <w:t>уште во својата рана фаза, за разлика од тестовите на единечен корен кои имаат постигнато значаен развој. Тестирањето за коинтеграција во панел регресија е доста комплексно прашање, бидејќи мора да се земе во предвид можноста за коинтеграција помеѓу групите на променливи, како и коинтеграција во самите групи</w:t>
      </w:r>
      <w:r w:rsidR="00C928B9" w:rsidRPr="00405016">
        <w:rPr>
          <w:rFonts w:ascii="Times New Roman" w:hAnsi="Times New Roman" w:cs="Times New Roman"/>
          <w:sz w:val="24"/>
          <w:szCs w:val="24"/>
          <w:lang w:val="en-US"/>
        </w:rPr>
        <w:t xml:space="preserve"> (Brooks, 2014).</w:t>
      </w:r>
      <w:r w:rsidR="00C928B9" w:rsidRPr="00405016">
        <w:rPr>
          <w:rFonts w:ascii="Times New Roman" w:hAnsi="Times New Roman" w:cs="Times New Roman"/>
          <w:sz w:val="24"/>
          <w:szCs w:val="24"/>
        </w:rPr>
        <w:t xml:space="preserve"> </w:t>
      </w:r>
      <w:r w:rsidR="001E4A4A" w:rsidRPr="00A00E04">
        <w:rPr>
          <w:rFonts w:ascii="Times New Roman" w:hAnsi="Times New Roman" w:cs="Times New Roman"/>
          <w:sz w:val="24"/>
          <w:szCs w:val="24"/>
        </w:rPr>
        <w:t xml:space="preserve">За две групи на променливи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1E4A4A" w:rsidRPr="00A00E04">
        <w:rPr>
          <w:rFonts w:ascii="Times New Roman" w:eastAsiaTheme="minorEastAsia" w:hAnsi="Times New Roman" w:cs="Times New Roman"/>
          <w:sz w:val="24"/>
          <w:szCs w:val="24"/>
          <w:lang w:val="en-US"/>
        </w:rPr>
        <w:t xml:space="preserve"> </w:t>
      </w:r>
      <w:r w:rsidR="001E4A4A" w:rsidRPr="00A00E04">
        <w:rPr>
          <w:rFonts w:ascii="Times New Roman" w:eastAsiaTheme="minorEastAsia" w:hAnsi="Times New Roman" w:cs="Times New Roman"/>
          <w:sz w:val="24"/>
          <w:szCs w:val="24"/>
        </w:rPr>
        <w:t xml:space="preserve">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m,i,t</m:t>
            </m:r>
          </m:sub>
        </m:sSub>
      </m:oMath>
      <w:r w:rsidR="001E4A4A" w:rsidRPr="00A00E04">
        <w:rPr>
          <w:rFonts w:ascii="Times New Roman" w:eastAsiaTheme="minorEastAsia" w:hAnsi="Times New Roman" w:cs="Times New Roman"/>
          <w:sz w:val="24"/>
          <w:szCs w:val="24"/>
          <w:lang w:val="en-US"/>
        </w:rPr>
        <w:t xml:space="preserve"> </w:t>
      </w:r>
      <w:r w:rsidR="001E4A4A" w:rsidRPr="00A00E04">
        <w:rPr>
          <w:rFonts w:ascii="Times New Roman" w:eastAsiaTheme="minorEastAsia" w:hAnsi="Times New Roman" w:cs="Times New Roman"/>
          <w:sz w:val="24"/>
          <w:szCs w:val="24"/>
        </w:rPr>
        <w:t>кои се индивидуално</w:t>
      </w:r>
      <w:r w:rsidR="001E4A4A">
        <w:rPr>
          <w:rFonts w:ascii="Times New Roman" w:eastAsiaTheme="minorEastAsia" w:hAnsi="Times New Roman" w:cs="Times New Roman"/>
          <w:sz w:val="24"/>
          <w:szCs w:val="24"/>
        </w:rPr>
        <w:t xml:space="preserve"> интегрирани од прв ред и се смета дека се коинтегрирани</w:t>
      </w:r>
    </w:p>
    <w:p w:rsidR="001E4A4A" w:rsidRDefault="001E4A4A" w:rsidP="001E4A4A">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i</m:t>
              </m:r>
            </m:sub>
          </m:sSub>
          <m:r>
            <w:rPr>
              <w:rFonts w:ascii="Cambria Math"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Mi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m:t>
              </m:r>
            </m:sub>
          </m:sSub>
        </m:oMath>
      </m:oMathPara>
    </w:p>
    <w:p w:rsidR="001E4A4A"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каде </w:t>
      </w:r>
      <m:oMath>
        <m:r>
          <w:rPr>
            <w:rFonts w:ascii="Cambria Math" w:eastAsiaTheme="minorEastAsia" w:hAnsi="Cambria Math" w:cs="Times New Roman"/>
            <w:sz w:val="24"/>
            <w:szCs w:val="24"/>
          </w:rPr>
          <m:t>m=1,…,M</m:t>
        </m:r>
      </m:oMath>
      <w:r>
        <w:rPr>
          <w:rFonts w:ascii="Times New Roman" w:eastAsiaTheme="minorEastAsia" w:hAnsi="Times New Roman" w:cs="Times New Roman"/>
          <w:sz w:val="24"/>
          <w:szCs w:val="24"/>
        </w:rPr>
        <w:t xml:space="preserve"> се објаснувачките променливи по потенцијално коинтегрираната регресија; </w:t>
      </w:r>
      <m:oMath>
        <m:r>
          <w:rPr>
            <w:rFonts w:ascii="Cambria Math" w:eastAsiaTheme="minorEastAsia" w:hAnsi="Cambria Math" w:cs="Times New Roman"/>
            <w:sz w:val="24"/>
            <w:szCs w:val="24"/>
          </w:rPr>
          <m:t>t=1,…, T</m:t>
        </m:r>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и </w:t>
      </w:r>
      <m:oMath>
        <m:r>
          <w:rPr>
            <w:rFonts w:ascii="Cambria Math" w:eastAsiaTheme="minorEastAsia" w:hAnsi="Cambria Math" w:cs="Times New Roman"/>
            <w:sz w:val="24"/>
            <w:szCs w:val="24"/>
          </w:rPr>
          <m:t>i=1,…,N</m:t>
        </m:r>
      </m:oMath>
      <w:r>
        <w:rPr>
          <w:rFonts w:ascii="Times New Roman" w:eastAsiaTheme="minorEastAsia" w:hAnsi="Times New Roman" w:cs="Times New Roman"/>
          <w:sz w:val="24"/>
          <w:szCs w:val="24"/>
          <w:lang w:val="en-US"/>
        </w:rPr>
        <w:t>.</w:t>
      </w:r>
    </w:p>
    <w:p w:rsidR="003E5042" w:rsidRPr="00405016" w:rsidRDefault="006C09BC" w:rsidP="001E4A4A">
      <w:pPr>
        <w:spacing w:after="0" w:line="240" w:lineRule="auto"/>
        <w:jc w:val="both"/>
        <w:rPr>
          <w:rFonts w:ascii="Times New Roman" w:hAnsi="Times New Roman" w:cs="Times New Roman"/>
          <w:sz w:val="24"/>
          <w:szCs w:val="24"/>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Резидуалите од регресијата се тестираат за стационарност од прв ред преку Дики-Фулеровиот или проширениот Дики-Фулеров тест. Тестирањето се прави за секоја група на променливи:</w:t>
      </w:r>
    </w:p>
    <w:p w:rsidR="001E4A4A" w:rsidRDefault="001E4A4A" w:rsidP="001E4A4A">
      <w:pPr>
        <w:spacing w:after="0" w:line="240" w:lineRule="auto"/>
        <w:jc w:val="both"/>
        <w:rPr>
          <w:rFonts w:ascii="Times New Roman" w:eastAsiaTheme="minorEastAsia" w:hAnsi="Times New Roman" w:cs="Times New Roman"/>
          <w:i/>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ϵ</m:t>
              </m:r>
            </m:e>
            <m:sub>
              <m:r>
                <w:rPr>
                  <w:rFonts w:ascii="Cambria Math" w:hAnsi="Cambria Math" w:cs="Times New Roman"/>
                  <w:sz w:val="24"/>
                  <w:szCs w:val="24"/>
                  <w:lang w:val="en-US"/>
                </w:rPr>
                <m:t>i,t-1</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i</m:t>
                  </m:r>
                </m:sub>
              </m:s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ψ</m:t>
                  </m:r>
                </m:e>
                <m:sub>
                  <m:r>
                    <w:rPr>
                      <w:rFonts w:ascii="Cambria Math" w:hAnsi="Cambria Math" w:cs="Times New Roman"/>
                      <w:sz w:val="24"/>
                      <w:szCs w:val="24"/>
                      <w:lang w:val="en-US"/>
                    </w:rPr>
                    <m:t>i,j</m:t>
                  </m:r>
                </m:sub>
              </m:sSub>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Δ</m:t>
                  </m:r>
                  <m:r>
                    <w:rPr>
                      <w:rFonts w:ascii="Cambria Math" w:hAnsi="Cambria Math" w:cs="Times New Roman"/>
                      <w:sz w:val="24"/>
                      <w:szCs w:val="24"/>
                      <w:lang w:val="en-US"/>
                    </w:rPr>
                    <m:t>ϵ</m:t>
                  </m:r>
                </m:e>
                <m:sub>
                  <m:r>
                    <w:rPr>
                      <w:rFonts w:ascii="Cambria Math" w:hAnsi="Cambria Math" w:cs="Times New Roman"/>
                      <w:sz w:val="24"/>
                      <w:szCs w:val="24"/>
                      <w:lang w:val="en-US"/>
                    </w:rPr>
                    <m:t>i,t-1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υ</m:t>
                  </m:r>
                </m:e>
                <m:sub>
                  <m:r>
                    <w:rPr>
                      <w:rFonts w:ascii="Cambria Math" w:hAnsi="Cambria Math" w:cs="Times New Roman"/>
                      <w:sz w:val="24"/>
                      <w:szCs w:val="24"/>
                      <w:lang w:val="en-US"/>
                    </w:rPr>
                    <m:t>i,t</m:t>
                  </m:r>
                </m:sub>
              </m:sSub>
            </m:e>
          </m:nary>
        </m:oMath>
      </m:oMathPara>
    </w:p>
    <w:p w:rsidR="001E4A4A"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Нултата хипотеза гласи дека резидуалите од сите тестови имаат процеси на единечен корен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hAnsi="Cambria Math" w:cs="Times New Roman"/>
                <w:sz w:val="24"/>
                <w:szCs w:val="24"/>
                <w:lang w:val="en-US"/>
              </w:rPr>
              <m:t>ρ</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со што не постои коинтеграција.</w:t>
      </w:r>
    </w:p>
    <w:p w:rsidR="001E4A4A"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За да се прикаже оценувањето на коинтегрираната панел регресија се претпоставува дека постои еден коинтеграциски вектор, панел структура за векторски процес на временски вектор со димензија </w:t>
      </w:r>
      <m:oMath>
        <m:r>
          <w:rPr>
            <w:rFonts w:ascii="Cambria Math" w:eastAsiaTheme="minorEastAsia" w:hAnsi="Cambria Math" w:cs="Times New Roman"/>
            <w:sz w:val="24"/>
            <w:szCs w:val="24"/>
          </w:rPr>
          <m:t>n+1</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со коинтеграциска равенка</w:t>
      </w:r>
    </w:p>
    <w:p w:rsidR="001E4A4A" w:rsidRDefault="001E4A4A" w:rsidP="001E4A4A">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it</m:t>
              </m:r>
            </m:sub>
          </m:sSub>
          <m:r>
            <w:rPr>
              <w:rFonts w:ascii="Cambria Math"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β+</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1it</m:t>
              </m:r>
            </m:sub>
            <m:sup>
              <m:r>
                <w:rPr>
                  <w:rFonts w:ascii="Cambria Math" w:eastAsiaTheme="minorEastAsia" w:hAnsi="Cambria Math" w:cs="Times New Roman"/>
                  <w:sz w:val="24"/>
                  <w:szCs w:val="24"/>
                </w:rPr>
                <m:t>'</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ϵ</m:t>
              </m:r>
            </m:e>
            <m:sub>
              <m:r>
                <w:rPr>
                  <w:rFonts w:ascii="Cambria Math" w:eastAsiaTheme="minorEastAsia" w:hAnsi="Cambria Math" w:cs="Times New Roman"/>
                  <w:sz w:val="24"/>
                  <w:szCs w:val="24"/>
                </w:rPr>
                <m:t>1it</m:t>
              </m:r>
            </m:sub>
          </m:sSub>
        </m:oMath>
      </m:oMathPara>
    </w:p>
    <w:p w:rsidR="001E4A4A" w:rsidRDefault="001E4A4A" w:rsidP="001E4A4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каде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ја означува земјата и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периодите, и каде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1it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2it</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се детерминистички тренд регресори, додека пак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стохастичките регресори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се водат од следниот систем на равенки:</w:t>
      </w:r>
    </w:p>
    <w:p w:rsidR="001E4A4A" w:rsidRDefault="001E4A4A" w:rsidP="001E4A4A">
      <w:pPr>
        <w:spacing w:after="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m:rPr>
                  <m:sty m:val="p"/>
                </m:rP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21i</m:t>
              </m:r>
            </m:sub>
            <m:sup>
              <m:r>
                <w:rPr>
                  <w:rFonts w:ascii="Cambria Math" w:eastAsiaTheme="minorEastAsia" w:hAnsi="Cambria Math" w:cs="Times New Roman"/>
                  <w:sz w:val="24"/>
                  <w:szCs w:val="24"/>
                  <w:lang w:val="en-US"/>
                </w:rPr>
                <m:t>'</m:t>
              </m:r>
            </m:sup>
          </m:sSub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1it</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m:rPr>
                  <m:sty m:val="p"/>
                </m:rP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22i</m:t>
              </m:r>
            </m:sub>
            <m:sup>
              <m:r>
                <w:rPr>
                  <w:rFonts w:ascii="Cambria Math" w:eastAsiaTheme="minorEastAsia" w:hAnsi="Cambria Math" w:cs="Times New Roman"/>
                  <w:sz w:val="24"/>
                  <w:szCs w:val="24"/>
                  <w:lang w:val="en-US"/>
                </w:rPr>
                <m:t>'</m:t>
              </m:r>
            </m:sup>
          </m:sSub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lang w:val="en-US"/>
                </w:rPr>
                <m:t>2it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2it</m:t>
              </m:r>
            </m:sub>
          </m:sSub>
        </m:oMath>
      </m:oMathPara>
    </w:p>
    <w:p w:rsidR="001E4A4A" w:rsidRPr="00CA52F3" w:rsidRDefault="001E4A4A" w:rsidP="001E4A4A">
      <w:pPr>
        <w:spacing w:after="0" w:line="240" w:lineRule="auto"/>
        <w:jc w:val="both"/>
        <w:rPr>
          <w:rFonts w:ascii="Times New Roman" w:eastAsiaTheme="minorEastAsia" w:hAnsi="Times New Roman" w:cs="Times New Roman"/>
          <w:sz w:val="24"/>
          <w:szCs w:val="24"/>
          <w:lang w:val="en-US"/>
        </w:rPr>
      </w:pPr>
      <m:oMathPara>
        <m:oMath>
          <m:r>
            <m:rPr>
              <m:sty m:val="p"/>
            </m:rPr>
            <w:rPr>
              <w:rFonts w:ascii="Cambria Math" w:eastAsiaTheme="minorEastAsia" w:hAnsi="Cambria Math" w:cs="Times New Roman"/>
              <w:sz w:val="24"/>
              <w:szCs w:val="24"/>
              <w:lang w:val="en-US"/>
            </w:rPr>
            <m:t>Δ</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2it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υ</m:t>
              </m:r>
            </m:e>
            <m:sub>
              <m:r>
                <w:rPr>
                  <w:rFonts w:ascii="Cambria Math" w:eastAsiaTheme="minorEastAsia" w:hAnsi="Cambria Math" w:cs="Times New Roman"/>
                  <w:sz w:val="24"/>
                  <w:szCs w:val="24"/>
                  <w:lang w:val="en-US"/>
                </w:rPr>
                <m:t>2it</m:t>
              </m:r>
            </m:sub>
          </m:sSub>
        </m:oMath>
      </m:oMathPara>
    </w:p>
    <w:p w:rsidR="001E4A4A" w:rsidRPr="008360B8" w:rsidRDefault="001E4A4A" w:rsidP="001E4A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Векторот </w:t>
      </w:r>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1</m:t>
            </m:r>
          </m:sub>
        </m:sSub>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кој ги содржи регресорите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се наоѓа и во коинтеграциската равенка и во равенките на регресорите, додека пак векторот </w:t>
      </w:r>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кој ги содржи детерминистичките тренд регресори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2it</m:t>
            </m:r>
          </m:sub>
        </m:sSub>
      </m:oMath>
      <w:r>
        <w:rPr>
          <w:rFonts w:ascii="Times New Roman" w:eastAsiaTheme="minorEastAsia" w:hAnsi="Times New Roman" w:cs="Times New Roman"/>
          <w:sz w:val="24"/>
          <w:szCs w:val="24"/>
        </w:rPr>
        <w:t xml:space="preserve"> е содржан во равенките на регресорите, но е исклучен од коинтеграциската равенка.</w:t>
      </w:r>
    </w:p>
    <w:p w:rsidR="003E5042" w:rsidRPr="00405016" w:rsidRDefault="006C09BC" w:rsidP="00991C8B">
      <w:pPr>
        <w:spacing w:after="0" w:line="240" w:lineRule="auto"/>
        <w:jc w:val="both"/>
        <w:rPr>
          <w:rFonts w:ascii="Times New Roman" w:hAnsi="Times New Roman" w:cs="Times New Roman"/>
          <w:sz w:val="24"/>
          <w:szCs w:val="24"/>
          <w:lang w:val="en-US"/>
        </w:rPr>
      </w:pPr>
      <w:r w:rsidRPr="00405016">
        <w:rPr>
          <w:rFonts w:ascii="Times New Roman" w:hAnsi="Times New Roman" w:cs="Times New Roman"/>
          <w:sz w:val="24"/>
          <w:szCs w:val="24"/>
        </w:rPr>
        <w:tab/>
      </w:r>
      <w:r w:rsidR="00C928B9" w:rsidRPr="00405016">
        <w:rPr>
          <w:rFonts w:ascii="Times New Roman" w:hAnsi="Times New Roman" w:cs="Times New Roman"/>
          <w:sz w:val="24"/>
          <w:szCs w:val="24"/>
        </w:rPr>
        <w:t xml:space="preserve">Постојат повеќе методи за оценување на коинтегрираната панел регресија и тоа: методот на целосно модификувани најмали квадрати (англ. </w:t>
      </w:r>
      <w:r w:rsidR="00C928B9" w:rsidRPr="00405016">
        <w:rPr>
          <w:rFonts w:ascii="Times New Roman" w:hAnsi="Times New Roman" w:cs="Times New Roman"/>
          <w:sz w:val="24"/>
          <w:szCs w:val="24"/>
          <w:lang w:val="en-US"/>
        </w:rPr>
        <w:t xml:space="preserve">Fully Modified OLS) </w:t>
      </w:r>
      <w:r w:rsidR="00C928B9" w:rsidRPr="00405016">
        <w:rPr>
          <w:rFonts w:ascii="Times New Roman" w:hAnsi="Times New Roman" w:cs="Times New Roman"/>
          <w:sz w:val="24"/>
          <w:szCs w:val="24"/>
        </w:rPr>
        <w:t xml:space="preserve">и методот на динамични најмали квадрати (англ. </w:t>
      </w:r>
      <w:r w:rsidR="00C928B9" w:rsidRPr="00405016">
        <w:rPr>
          <w:rFonts w:ascii="Times New Roman" w:hAnsi="Times New Roman" w:cs="Times New Roman"/>
          <w:sz w:val="24"/>
          <w:szCs w:val="24"/>
          <w:lang w:val="en-US"/>
        </w:rPr>
        <w:t xml:space="preserve">Dynamic OLS) </w:t>
      </w:r>
      <w:r w:rsidR="00C928B9" w:rsidRPr="00405016">
        <w:rPr>
          <w:rFonts w:ascii="Times New Roman" w:hAnsi="Times New Roman" w:cs="Times New Roman"/>
          <w:sz w:val="24"/>
          <w:szCs w:val="24"/>
        </w:rPr>
        <w:t>преку кои се добиваат</w:t>
      </w:r>
      <w:r w:rsidR="003E5042" w:rsidRPr="00405016">
        <w:rPr>
          <w:rFonts w:ascii="Times New Roman" w:hAnsi="Times New Roman" w:cs="Times New Roman"/>
          <w:sz w:val="24"/>
          <w:szCs w:val="24"/>
        </w:rPr>
        <w:t xml:space="preserve"> </w:t>
      </w:r>
      <w:r w:rsidR="00C928B9" w:rsidRPr="00405016">
        <w:rPr>
          <w:rFonts w:ascii="Times New Roman" w:hAnsi="Times New Roman" w:cs="Times New Roman"/>
          <w:sz w:val="24"/>
          <w:szCs w:val="24"/>
        </w:rPr>
        <w:t>асим</w:t>
      </w:r>
      <w:r w:rsidR="003E5042" w:rsidRPr="00405016">
        <w:rPr>
          <w:rFonts w:ascii="Times New Roman" w:hAnsi="Times New Roman" w:cs="Times New Roman"/>
          <w:sz w:val="24"/>
          <w:szCs w:val="24"/>
        </w:rPr>
        <w:t>п</w:t>
      </w:r>
      <w:r w:rsidR="00C928B9" w:rsidRPr="00405016">
        <w:rPr>
          <w:rFonts w:ascii="Times New Roman" w:hAnsi="Times New Roman" w:cs="Times New Roman"/>
          <w:sz w:val="24"/>
          <w:szCs w:val="24"/>
        </w:rPr>
        <w:t>тотски непристрасни и нормално распределени оценки на коефициентите (</w:t>
      </w:r>
      <w:r w:rsidR="00C928B9" w:rsidRPr="00405016">
        <w:rPr>
          <w:rFonts w:ascii="Times New Roman" w:hAnsi="Times New Roman" w:cs="Times New Roman"/>
          <w:sz w:val="24"/>
          <w:szCs w:val="24"/>
          <w:lang w:val="en-US"/>
        </w:rPr>
        <w:t>Phillips and Moon (1999); Pedroni, (2000), (2001); Kao and Chiang, (2000); Mark and Sul, (2003)).</w:t>
      </w:r>
    </w:p>
    <w:p w:rsidR="003E5042" w:rsidRPr="00405016" w:rsidRDefault="003E5042" w:rsidP="008C59B6">
      <w:pPr>
        <w:spacing w:after="0" w:line="240" w:lineRule="auto"/>
        <w:jc w:val="center"/>
        <w:rPr>
          <w:rFonts w:ascii="Times New Roman" w:hAnsi="Times New Roman" w:cs="Times New Roman"/>
          <w:b/>
          <w:bCs/>
          <w:sz w:val="24"/>
          <w:szCs w:val="24"/>
          <w:lang w:val="en-US"/>
        </w:rPr>
      </w:pPr>
    </w:p>
    <w:p w:rsidR="003E5042" w:rsidRPr="00405016" w:rsidRDefault="003E5042" w:rsidP="008C59B6">
      <w:pPr>
        <w:spacing w:after="0" w:line="240" w:lineRule="auto"/>
        <w:jc w:val="center"/>
        <w:rPr>
          <w:rFonts w:ascii="Times New Roman" w:hAnsi="Times New Roman" w:cs="Times New Roman"/>
          <w:b/>
          <w:bCs/>
          <w:sz w:val="24"/>
          <w:szCs w:val="24"/>
          <w:lang w:val="en-US"/>
        </w:rPr>
      </w:pPr>
    </w:p>
    <w:p w:rsidR="003E5042" w:rsidRPr="00405016" w:rsidRDefault="00C928B9" w:rsidP="008C59B6">
      <w:pPr>
        <w:spacing w:after="0" w:line="240" w:lineRule="auto"/>
        <w:jc w:val="center"/>
        <w:rPr>
          <w:rFonts w:ascii="Times New Roman" w:hAnsi="Times New Roman" w:cs="Times New Roman"/>
          <w:b/>
          <w:bCs/>
          <w:sz w:val="24"/>
          <w:szCs w:val="24"/>
          <w:lang w:val="en-US"/>
        </w:rPr>
      </w:pPr>
      <w:r w:rsidRPr="00405016">
        <w:rPr>
          <w:rFonts w:ascii="Times New Roman" w:hAnsi="Times New Roman" w:cs="Times New Roman"/>
          <w:b/>
          <w:bCs/>
          <w:sz w:val="24"/>
          <w:szCs w:val="24"/>
        </w:rPr>
        <w:t>Анализа на добиените резултати</w:t>
      </w:r>
    </w:p>
    <w:p w:rsidR="003E5042" w:rsidRPr="00405016" w:rsidRDefault="003E5042" w:rsidP="008C59B6">
      <w:pPr>
        <w:spacing w:after="0" w:line="240" w:lineRule="auto"/>
        <w:jc w:val="both"/>
        <w:rPr>
          <w:rFonts w:ascii="Times New Roman" w:hAnsi="Times New Roman" w:cs="Times New Roman"/>
          <w:sz w:val="24"/>
          <w:szCs w:val="24"/>
        </w:rPr>
      </w:pPr>
    </w:p>
    <w:p w:rsidR="003E5042" w:rsidRPr="00405016" w:rsidRDefault="00C928B9" w:rsidP="008C59B6">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sz w:val="24"/>
          <w:szCs w:val="24"/>
        </w:rPr>
        <w:t xml:space="preserve">Во истражувањето се користат годишни податоци за перидот од 2000 </w:t>
      </w:r>
      <w:r w:rsidR="006C09BC" w:rsidRPr="00405016">
        <w:rPr>
          <w:rFonts w:ascii="Times New Roman" w:hAnsi="Times New Roman" w:cs="Times New Roman"/>
          <w:sz w:val="24"/>
          <w:szCs w:val="24"/>
        </w:rPr>
        <w:t>–</w:t>
      </w:r>
      <w:r w:rsidRPr="00405016">
        <w:rPr>
          <w:rFonts w:ascii="Times New Roman" w:hAnsi="Times New Roman" w:cs="Times New Roman"/>
          <w:sz w:val="24"/>
          <w:szCs w:val="24"/>
        </w:rPr>
        <w:t xml:space="preserve"> 2013 година за 12 земји од Југоисточна Европа. Податоците се однесуваат за Албанија, Босна и Херцеговина, Бугарија, Хрватска, Кипар, Грција, Македонија, Молдавија, Романија, Србија, Словенија и Турција. Исклучени се Косово и Црна Гора поради недостаток на податоци за повеќе години. Вкупниот број на опсервации изнесува 168. Податоците се добиени од базата на податоци на Светската банка.</w:t>
      </w:r>
    </w:p>
    <w:p w:rsidR="003E5042" w:rsidRPr="00405016" w:rsidRDefault="00C928B9" w:rsidP="008C59B6">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sz w:val="24"/>
          <w:szCs w:val="24"/>
        </w:rPr>
        <w:t xml:space="preserve">Во прелиминарното разгледување </w:t>
      </w:r>
      <w:r w:rsidR="003E5042" w:rsidRPr="00405016">
        <w:rPr>
          <w:rFonts w:ascii="Times New Roman" w:hAnsi="Times New Roman" w:cs="Times New Roman"/>
          <w:sz w:val="24"/>
          <w:szCs w:val="24"/>
        </w:rPr>
        <w:t xml:space="preserve">се </w:t>
      </w:r>
      <w:r w:rsidRPr="00405016">
        <w:rPr>
          <w:rFonts w:ascii="Times New Roman" w:hAnsi="Times New Roman" w:cs="Times New Roman"/>
          <w:sz w:val="24"/>
          <w:szCs w:val="24"/>
        </w:rPr>
        <w:t>земени следни</w:t>
      </w:r>
      <w:r w:rsidR="003E5042" w:rsidRPr="00405016">
        <w:rPr>
          <w:rFonts w:ascii="Times New Roman" w:hAnsi="Times New Roman" w:cs="Times New Roman"/>
          <w:sz w:val="24"/>
          <w:szCs w:val="24"/>
        </w:rPr>
        <w:t>в</w:t>
      </w:r>
      <w:r w:rsidRPr="00405016">
        <w:rPr>
          <w:rFonts w:ascii="Times New Roman" w:hAnsi="Times New Roman" w:cs="Times New Roman"/>
          <w:sz w:val="24"/>
          <w:szCs w:val="24"/>
        </w:rPr>
        <w:t>е променливи, прикажани во табела 1.</w:t>
      </w:r>
    </w:p>
    <w:p w:rsidR="003E5042" w:rsidRPr="00405016" w:rsidRDefault="003E5042" w:rsidP="008C59B6">
      <w:pPr>
        <w:spacing w:after="0" w:line="240" w:lineRule="auto"/>
        <w:jc w:val="center"/>
        <w:rPr>
          <w:rFonts w:ascii="Times New Roman" w:hAnsi="Times New Roman" w:cs="Times New Roman"/>
          <w:i/>
          <w:iCs/>
          <w:sz w:val="24"/>
          <w:szCs w:val="24"/>
        </w:rPr>
      </w:pPr>
    </w:p>
    <w:p w:rsidR="003E5042" w:rsidRPr="00405016" w:rsidRDefault="00C928B9" w:rsidP="008C59B6">
      <w:pPr>
        <w:spacing w:after="0" w:line="240" w:lineRule="auto"/>
        <w:jc w:val="center"/>
        <w:rPr>
          <w:rFonts w:ascii="Times New Roman" w:hAnsi="Times New Roman" w:cs="Times New Roman"/>
          <w:i/>
          <w:iCs/>
        </w:rPr>
      </w:pPr>
      <w:r w:rsidRPr="00405016">
        <w:rPr>
          <w:rFonts w:ascii="Times New Roman" w:hAnsi="Times New Roman" w:cs="Times New Roman"/>
          <w:i/>
          <w:iCs/>
        </w:rPr>
        <w:t>Табела 1. Променливи за коинтегрираната панел рег</w:t>
      </w:r>
      <w:r w:rsidR="003E5042" w:rsidRPr="00405016">
        <w:rPr>
          <w:rFonts w:ascii="Times New Roman" w:hAnsi="Times New Roman" w:cs="Times New Roman"/>
          <w:i/>
          <w:iCs/>
        </w:rPr>
        <w:t>р</w:t>
      </w:r>
      <w:r w:rsidRPr="00405016">
        <w:rPr>
          <w:rFonts w:ascii="Times New Roman" w:hAnsi="Times New Roman" w:cs="Times New Roman"/>
          <w:i/>
          <w:iCs/>
        </w:rPr>
        <w:t>есија</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3"/>
        <w:gridCol w:w="7188"/>
      </w:tblGrid>
      <w:tr w:rsidR="003E5042" w:rsidRPr="001E4A4A" w:rsidTr="00405016">
        <w:trPr>
          <w:trHeight w:val="300"/>
          <w:jc w:val="center"/>
        </w:trPr>
        <w:tc>
          <w:tcPr>
            <w:tcW w:w="1283" w:type="dxa"/>
            <w:noWrap/>
            <w:vAlign w:val="center"/>
          </w:tcPr>
          <w:p w:rsidR="003E5042" w:rsidRPr="001E4A4A" w:rsidRDefault="00C928B9" w:rsidP="007E1155">
            <w:pPr>
              <w:spacing w:after="0" w:line="240" w:lineRule="auto"/>
              <w:jc w:val="center"/>
              <w:rPr>
                <w:rFonts w:ascii="Times New Roman" w:hAnsi="Times New Roman" w:cs="Times New Roman"/>
                <w:b/>
                <w:bCs/>
                <w:color w:val="000000"/>
              </w:rPr>
            </w:pPr>
            <w:r w:rsidRPr="001E4A4A">
              <w:rPr>
                <w:rFonts w:ascii="Times New Roman" w:hAnsi="Times New Roman" w:cs="Times New Roman"/>
                <w:b/>
                <w:bCs/>
                <w:color w:val="000000"/>
              </w:rPr>
              <w:t>Ознака</w:t>
            </w:r>
          </w:p>
        </w:tc>
        <w:tc>
          <w:tcPr>
            <w:tcW w:w="7188" w:type="dxa"/>
            <w:noWrap/>
            <w:vAlign w:val="center"/>
          </w:tcPr>
          <w:p w:rsidR="003E5042" w:rsidRPr="001E4A4A" w:rsidRDefault="00C928B9" w:rsidP="007E1155">
            <w:pPr>
              <w:spacing w:after="0" w:line="240" w:lineRule="auto"/>
              <w:jc w:val="center"/>
              <w:rPr>
                <w:rFonts w:ascii="Times New Roman" w:hAnsi="Times New Roman" w:cs="Times New Roman"/>
                <w:b/>
                <w:bCs/>
                <w:color w:val="000000"/>
              </w:rPr>
            </w:pPr>
            <w:r w:rsidRPr="001E4A4A">
              <w:rPr>
                <w:rFonts w:ascii="Times New Roman" w:hAnsi="Times New Roman" w:cs="Times New Roman"/>
                <w:b/>
                <w:bCs/>
                <w:color w:val="000000"/>
              </w:rPr>
              <w:t>Опис на променливата</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LEB</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Очекувано траење на животот во години</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HEALTH</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Здравствени трошоци (% од БДП)</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FOOD</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Индекс на производство на храна (2004-2006 = 100)</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EMPLOY</w:t>
            </w:r>
          </w:p>
        </w:tc>
        <w:tc>
          <w:tcPr>
            <w:tcW w:w="7188" w:type="dxa"/>
            <w:noWrap/>
            <w:vAlign w:val="center"/>
          </w:tcPr>
          <w:p w:rsidR="003E5042" w:rsidRPr="001E4A4A" w:rsidRDefault="00C928B9" w:rsidP="00934178">
            <w:pPr>
              <w:spacing w:after="0" w:line="240" w:lineRule="auto"/>
              <w:rPr>
                <w:rFonts w:ascii="Times New Roman" w:hAnsi="Times New Roman" w:cs="Times New Roman"/>
                <w:color w:val="000000"/>
              </w:rPr>
            </w:pPr>
            <w:r w:rsidRPr="001E4A4A">
              <w:rPr>
                <w:rFonts w:ascii="Times New Roman" w:hAnsi="Times New Roman" w:cs="Times New Roman"/>
                <w:color w:val="000000"/>
              </w:rPr>
              <w:t>Вработеност на 15 години (%)</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VACCINE</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Вакцинација (Ди-Те-Пер) (% на деца на возраст од 12-23 месеци)</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URBAN</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Урбано население (%)</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CO2</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 xml:space="preserve">Емисија на јаглерод диоксид (метрички тони </w:t>
            </w:r>
            <w:r w:rsidRPr="001E4A4A">
              <w:rPr>
                <w:rFonts w:ascii="Times New Roman" w:hAnsi="Times New Roman" w:cs="Times New Roman"/>
                <w:color w:val="000000"/>
                <w:lang w:val="en-US"/>
              </w:rPr>
              <w:t>per capita</w:t>
            </w:r>
            <w:r w:rsidRPr="001E4A4A">
              <w:rPr>
                <w:rFonts w:ascii="Times New Roman" w:hAnsi="Times New Roman" w:cs="Times New Roman"/>
                <w:color w:val="000000"/>
              </w:rPr>
              <w:t>)</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CPI</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Индекс на потрошувачки цени (2010 = 100)</w:t>
            </w:r>
          </w:p>
        </w:tc>
      </w:tr>
      <w:tr w:rsidR="003E5042" w:rsidRPr="001E4A4A" w:rsidTr="00405016">
        <w:trPr>
          <w:trHeight w:val="300"/>
          <w:jc w:val="center"/>
        </w:trPr>
        <w:tc>
          <w:tcPr>
            <w:tcW w:w="1283"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GNI</w:t>
            </w:r>
          </w:p>
        </w:tc>
        <w:tc>
          <w:tcPr>
            <w:tcW w:w="7188" w:type="dxa"/>
            <w:noWrap/>
            <w:vAlign w:val="center"/>
          </w:tcPr>
          <w:p w:rsidR="003E5042" w:rsidRPr="001E4A4A" w:rsidRDefault="00C928B9" w:rsidP="00E02BB0">
            <w:pPr>
              <w:spacing w:after="0" w:line="240" w:lineRule="auto"/>
              <w:rPr>
                <w:rFonts w:ascii="Times New Roman" w:hAnsi="Times New Roman" w:cs="Times New Roman"/>
                <w:color w:val="000000"/>
              </w:rPr>
            </w:pPr>
            <w:r w:rsidRPr="001E4A4A">
              <w:rPr>
                <w:rFonts w:ascii="Times New Roman" w:hAnsi="Times New Roman" w:cs="Times New Roman"/>
                <w:color w:val="000000"/>
              </w:rPr>
              <w:t>Бруто национален доход per capita (во долари)</w:t>
            </w:r>
          </w:p>
        </w:tc>
      </w:tr>
    </w:tbl>
    <w:p w:rsidR="003E5042" w:rsidRPr="00405016" w:rsidRDefault="003E5042" w:rsidP="008C59B6">
      <w:pPr>
        <w:spacing w:after="0" w:line="240" w:lineRule="auto"/>
        <w:jc w:val="both"/>
        <w:rPr>
          <w:rFonts w:ascii="Times New Roman" w:hAnsi="Times New Roman" w:cs="Times New Roman"/>
          <w:sz w:val="24"/>
          <w:szCs w:val="24"/>
        </w:rPr>
      </w:pPr>
    </w:p>
    <w:p w:rsidR="003E5042" w:rsidRPr="00405016" w:rsidRDefault="00C928B9" w:rsidP="008C59B6">
      <w:pPr>
        <w:pStyle w:val="Default"/>
        <w:spacing w:after="22"/>
        <w:ind w:firstLine="720"/>
        <w:jc w:val="both"/>
        <w:rPr>
          <w:rFonts w:ascii="Times New Roman" w:hAnsi="Times New Roman" w:cs="Times New Roman"/>
        </w:rPr>
      </w:pPr>
      <w:r w:rsidRPr="00405016">
        <w:rPr>
          <w:rFonts w:ascii="Times New Roman" w:hAnsi="Times New Roman" w:cs="Times New Roman"/>
          <w:lang w:val="mk-MK"/>
        </w:rPr>
        <w:lastRenderedPageBreak/>
        <w:t xml:space="preserve">Променливата </w:t>
      </w:r>
      <w:r w:rsidRPr="00405016">
        <w:rPr>
          <w:rFonts w:ascii="Times New Roman" w:hAnsi="Times New Roman" w:cs="Times New Roman"/>
        </w:rPr>
        <w:t xml:space="preserve">GNI </w:t>
      </w:r>
      <w:r w:rsidRPr="00405016">
        <w:rPr>
          <w:rFonts w:ascii="Times New Roman" w:hAnsi="Times New Roman" w:cs="Times New Roman"/>
          <w:lang w:val="mk-MK"/>
        </w:rPr>
        <w:t xml:space="preserve">е дополнително трансформирана со логаритамска трансформација и како таква е вклучена во регресијата. Ознаката за </w:t>
      </w:r>
      <w:r w:rsidR="003E5042" w:rsidRPr="00405016">
        <w:rPr>
          <w:rFonts w:ascii="Times New Roman" w:hAnsi="Times New Roman" w:cs="Times New Roman"/>
          <w:lang w:val="mk-MK"/>
        </w:rPr>
        <w:t>неа</w:t>
      </w:r>
      <w:r w:rsidRPr="00405016">
        <w:rPr>
          <w:rFonts w:ascii="Times New Roman" w:hAnsi="Times New Roman" w:cs="Times New Roman"/>
          <w:lang w:val="mk-MK"/>
        </w:rPr>
        <w:t xml:space="preserve"> е </w:t>
      </w:r>
      <w:r w:rsidRPr="00405016">
        <w:rPr>
          <w:rFonts w:ascii="Times New Roman" w:hAnsi="Times New Roman" w:cs="Times New Roman"/>
        </w:rPr>
        <w:t>LOGGNI.</w:t>
      </w:r>
    </w:p>
    <w:p w:rsidR="003E5042" w:rsidRPr="00405016" w:rsidRDefault="00C928B9" w:rsidP="008C59B6">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 xml:space="preserve">Променливата </w:t>
      </w:r>
      <w:r w:rsidRPr="00405016">
        <w:rPr>
          <w:rFonts w:ascii="Times New Roman" w:hAnsi="Times New Roman" w:cs="Times New Roman"/>
        </w:rPr>
        <w:t xml:space="preserve">LEB </w:t>
      </w:r>
      <w:r w:rsidRPr="00405016">
        <w:rPr>
          <w:rFonts w:ascii="Times New Roman" w:hAnsi="Times New Roman" w:cs="Times New Roman"/>
          <w:lang w:val="mk-MK"/>
        </w:rPr>
        <w:t>го означува очекуваното траење на животот искажана во години и во овој труд таа е мерка за здравствениот статус на една земја, односно на група од земји. Во регресијата таа е зависната променлива и ги означува бројот на години кои би ги доживеало новороденчето доколку основните услови на морталитет останат непроменети во текот на неговиот живот и останат исти како и во моментот кога тоа било родено.</w:t>
      </w:r>
    </w:p>
    <w:p w:rsidR="003E5042" w:rsidRPr="00405016" w:rsidRDefault="00C928B9" w:rsidP="00934178">
      <w:pPr>
        <w:pStyle w:val="Default"/>
        <w:spacing w:after="22"/>
        <w:ind w:firstLine="720"/>
        <w:jc w:val="both"/>
        <w:rPr>
          <w:rFonts w:ascii="Times New Roman" w:hAnsi="Times New Roman" w:cs="Times New Roman"/>
        </w:rPr>
      </w:pPr>
      <w:r w:rsidRPr="00405016">
        <w:rPr>
          <w:rFonts w:ascii="Times New Roman" w:hAnsi="Times New Roman" w:cs="Times New Roman"/>
          <w:lang w:val="mk-MK"/>
        </w:rPr>
        <w:t xml:space="preserve"> Првата независна променлива е </w:t>
      </w:r>
      <w:r w:rsidRPr="00405016">
        <w:rPr>
          <w:rFonts w:ascii="Times New Roman" w:hAnsi="Times New Roman" w:cs="Times New Roman"/>
        </w:rPr>
        <w:t xml:space="preserve">HEALTH, </w:t>
      </w:r>
      <w:r w:rsidRPr="00405016">
        <w:rPr>
          <w:rFonts w:ascii="Times New Roman" w:hAnsi="Times New Roman" w:cs="Times New Roman"/>
          <w:lang w:val="mk-MK"/>
        </w:rPr>
        <w:t xml:space="preserve">односно здравствените трошоци како процент од БДП. Оваа променлива е показател за тоа колку се достапни здравствените услуги и институции на населението на една земја. Индексот на производство на храна </w:t>
      </w:r>
      <w:r w:rsidRPr="00405016">
        <w:rPr>
          <w:rFonts w:ascii="Times New Roman" w:hAnsi="Times New Roman" w:cs="Times New Roman"/>
        </w:rPr>
        <w:t>FOOD</w:t>
      </w:r>
      <w:r w:rsidRPr="00405016">
        <w:rPr>
          <w:rFonts w:ascii="Times New Roman" w:hAnsi="Times New Roman" w:cs="Times New Roman"/>
          <w:lang w:val="mk-MK"/>
        </w:rPr>
        <w:t xml:space="preserve"> е независна променлива и мерило за достапноста на храна. Со променливата </w:t>
      </w:r>
      <w:r w:rsidRPr="00405016">
        <w:rPr>
          <w:rFonts w:ascii="Times New Roman" w:hAnsi="Times New Roman" w:cs="Times New Roman"/>
        </w:rPr>
        <w:t xml:space="preserve">EMPLOY </w:t>
      </w:r>
      <w:r w:rsidRPr="00405016">
        <w:rPr>
          <w:rFonts w:ascii="Times New Roman" w:hAnsi="Times New Roman" w:cs="Times New Roman"/>
          <w:lang w:val="mk-MK"/>
        </w:rPr>
        <w:t xml:space="preserve">се покажува процентот на вработени лица над 15 години. Преку променливата </w:t>
      </w:r>
      <w:r w:rsidRPr="00405016">
        <w:rPr>
          <w:rFonts w:ascii="Times New Roman" w:hAnsi="Times New Roman" w:cs="Times New Roman"/>
        </w:rPr>
        <w:t>VACCINE</w:t>
      </w:r>
      <w:r w:rsidRPr="00405016">
        <w:rPr>
          <w:rFonts w:ascii="Times New Roman" w:hAnsi="Times New Roman" w:cs="Times New Roman"/>
          <w:lang w:val="mk-MK"/>
        </w:rPr>
        <w:t xml:space="preserve"> се покажува процентот на имунизација со вакцината </w:t>
      </w:r>
      <w:r w:rsidRPr="00405016">
        <w:rPr>
          <w:rFonts w:ascii="Times New Roman" w:hAnsi="Times New Roman" w:cs="Times New Roman"/>
        </w:rPr>
        <w:t xml:space="preserve">DPT </w:t>
      </w:r>
      <w:r w:rsidRPr="00405016">
        <w:rPr>
          <w:rFonts w:ascii="Times New Roman" w:hAnsi="Times New Roman" w:cs="Times New Roman"/>
          <w:lang w:val="mk-MK"/>
        </w:rPr>
        <w:t xml:space="preserve">(комбинирана вакцина против дифтерија, голема кашлица и тетанус) и се однесува на деца на возраст од 12-23 месеци. Процентот на урбано население е прикажан со променливата </w:t>
      </w:r>
      <w:r w:rsidRPr="00405016">
        <w:rPr>
          <w:rFonts w:ascii="Times New Roman" w:hAnsi="Times New Roman" w:cs="Times New Roman"/>
        </w:rPr>
        <w:t xml:space="preserve">URBAN. </w:t>
      </w:r>
      <w:r w:rsidRPr="00405016">
        <w:rPr>
          <w:rFonts w:ascii="Times New Roman" w:hAnsi="Times New Roman" w:cs="Times New Roman"/>
          <w:lang w:val="mk-MK"/>
        </w:rPr>
        <w:t xml:space="preserve">Емисијата на јаглерод диоксид </w:t>
      </w:r>
      <w:r w:rsidR="003E5042" w:rsidRPr="00405016">
        <w:rPr>
          <w:rFonts w:ascii="Times New Roman" w:hAnsi="Times New Roman" w:cs="Times New Roman"/>
          <w:lang w:val="mk-MK"/>
        </w:rPr>
        <w:t xml:space="preserve">е </w:t>
      </w:r>
      <w:r w:rsidRPr="00405016">
        <w:rPr>
          <w:rFonts w:ascii="Times New Roman" w:hAnsi="Times New Roman" w:cs="Times New Roman"/>
          <w:lang w:val="mk-MK"/>
        </w:rPr>
        <w:t xml:space="preserve">искажана во метрички тони по глава на жител и прикажана како независната променлива </w:t>
      </w:r>
      <w:r w:rsidRPr="00405016">
        <w:rPr>
          <w:rFonts w:ascii="Times New Roman" w:hAnsi="Times New Roman" w:cs="Times New Roman"/>
        </w:rPr>
        <w:t xml:space="preserve">CO2. </w:t>
      </w:r>
      <w:r w:rsidRPr="00405016">
        <w:rPr>
          <w:rFonts w:ascii="Times New Roman" w:hAnsi="Times New Roman" w:cs="Times New Roman"/>
          <w:lang w:val="mk-MK"/>
        </w:rPr>
        <w:t xml:space="preserve">Индексот на потрошувачки цени е прикажан со променливата </w:t>
      </w:r>
      <w:r w:rsidRPr="00405016">
        <w:rPr>
          <w:rFonts w:ascii="Times New Roman" w:hAnsi="Times New Roman" w:cs="Times New Roman"/>
        </w:rPr>
        <w:t xml:space="preserve">CPI. </w:t>
      </w:r>
      <w:r w:rsidRPr="00405016">
        <w:rPr>
          <w:rFonts w:ascii="Times New Roman" w:hAnsi="Times New Roman" w:cs="Times New Roman"/>
          <w:lang w:val="mk-MK"/>
        </w:rPr>
        <w:t>Последната независна променлива е бруто националниот доход по глава на жител кој го означувва домашниот и странскиот аутпут</w:t>
      </w:r>
      <w:r w:rsidR="003E5042" w:rsidRPr="00405016">
        <w:rPr>
          <w:rFonts w:ascii="Times New Roman" w:hAnsi="Times New Roman" w:cs="Times New Roman"/>
          <w:lang w:val="mk-MK"/>
        </w:rPr>
        <w:t>,</w:t>
      </w:r>
      <w:r w:rsidRPr="00405016">
        <w:rPr>
          <w:rFonts w:ascii="Times New Roman" w:hAnsi="Times New Roman" w:cs="Times New Roman"/>
          <w:lang w:val="mk-MK"/>
        </w:rPr>
        <w:t xml:space="preserve"> создаден од жителите на една земја. Тој е трансформиран со</w:t>
      </w:r>
      <w:r w:rsidR="003E5042" w:rsidRPr="00405016">
        <w:rPr>
          <w:rFonts w:ascii="Times New Roman" w:hAnsi="Times New Roman" w:cs="Times New Roman"/>
          <w:lang w:val="mk-MK"/>
        </w:rPr>
        <w:t xml:space="preserve"> </w:t>
      </w:r>
      <w:r w:rsidRPr="00405016">
        <w:rPr>
          <w:rFonts w:ascii="Times New Roman" w:hAnsi="Times New Roman" w:cs="Times New Roman"/>
          <w:lang w:val="mk-MK"/>
        </w:rPr>
        <w:t xml:space="preserve">логаритамска трансформација и добиениот коефициент во регресионата равенка ќе кажува за процентуалната промена во </w:t>
      </w:r>
      <w:r w:rsidRPr="00405016">
        <w:rPr>
          <w:rFonts w:ascii="Times New Roman" w:hAnsi="Times New Roman" w:cs="Times New Roman"/>
        </w:rPr>
        <w:t>LEB</w:t>
      </w:r>
      <w:r w:rsidR="003E5042" w:rsidRPr="00405016">
        <w:rPr>
          <w:rFonts w:ascii="Times New Roman" w:hAnsi="Times New Roman" w:cs="Times New Roman"/>
          <w:lang w:val="mk-MK"/>
        </w:rPr>
        <w:t>,</w:t>
      </w:r>
      <w:r w:rsidRPr="00405016">
        <w:rPr>
          <w:rFonts w:ascii="Times New Roman" w:hAnsi="Times New Roman" w:cs="Times New Roman"/>
          <w:lang w:val="mk-MK"/>
        </w:rPr>
        <w:t xml:space="preserve"> предизвикана од процен</w:t>
      </w:r>
      <w:r w:rsidR="003E5042" w:rsidRPr="00405016">
        <w:rPr>
          <w:rFonts w:ascii="Times New Roman" w:hAnsi="Times New Roman" w:cs="Times New Roman"/>
          <w:lang w:val="mk-MK"/>
        </w:rPr>
        <w:t>т</w:t>
      </w:r>
      <w:r w:rsidRPr="00405016">
        <w:rPr>
          <w:rFonts w:ascii="Times New Roman" w:hAnsi="Times New Roman" w:cs="Times New Roman"/>
          <w:lang w:val="mk-MK"/>
        </w:rPr>
        <w:t xml:space="preserve">уалната промена во </w:t>
      </w:r>
      <w:r w:rsidRPr="00405016">
        <w:rPr>
          <w:rFonts w:ascii="Times New Roman" w:hAnsi="Times New Roman" w:cs="Times New Roman"/>
        </w:rPr>
        <w:t xml:space="preserve">GNI, </w:t>
      </w:r>
      <w:r w:rsidRPr="00405016">
        <w:rPr>
          <w:rFonts w:ascii="Times New Roman" w:hAnsi="Times New Roman" w:cs="Times New Roman"/>
          <w:lang w:val="mk-MK"/>
        </w:rPr>
        <w:t xml:space="preserve">односно ќе ја прикажува еластичноста на </w:t>
      </w:r>
      <w:r w:rsidRPr="00405016">
        <w:rPr>
          <w:rFonts w:ascii="Times New Roman" w:hAnsi="Times New Roman" w:cs="Times New Roman"/>
        </w:rPr>
        <w:t xml:space="preserve">LEB </w:t>
      </w:r>
      <w:r w:rsidRPr="00405016">
        <w:rPr>
          <w:rFonts w:ascii="Times New Roman" w:hAnsi="Times New Roman" w:cs="Times New Roman"/>
          <w:lang w:val="mk-MK"/>
        </w:rPr>
        <w:t xml:space="preserve">во однос на </w:t>
      </w:r>
      <w:r w:rsidRPr="00405016">
        <w:rPr>
          <w:rFonts w:ascii="Times New Roman" w:hAnsi="Times New Roman" w:cs="Times New Roman"/>
        </w:rPr>
        <w:t>GNI.</w:t>
      </w:r>
    </w:p>
    <w:p w:rsidR="003E5042" w:rsidRPr="00405016" w:rsidRDefault="00C928B9" w:rsidP="008C59B6">
      <w:pPr>
        <w:pStyle w:val="Default"/>
        <w:spacing w:after="22"/>
        <w:ind w:firstLine="720"/>
        <w:jc w:val="both"/>
        <w:rPr>
          <w:rFonts w:ascii="Times New Roman" w:hAnsi="Times New Roman" w:cs="Times New Roman"/>
        </w:rPr>
      </w:pPr>
      <w:r w:rsidRPr="00405016">
        <w:rPr>
          <w:rFonts w:ascii="Times New Roman" w:hAnsi="Times New Roman" w:cs="Times New Roman"/>
          <w:lang w:val="mk-MK"/>
        </w:rPr>
        <w:t xml:space="preserve">За да се избегне проблемот на мултиколинеарност, се разгледува корелационата матрица на променливите. Најпрво е искажан коефициентот на корелација, а под него е </w:t>
      </w:r>
      <w:r w:rsidRPr="00405016">
        <w:rPr>
          <w:rFonts w:ascii="Times New Roman" w:hAnsi="Times New Roman" w:cs="Times New Roman"/>
        </w:rPr>
        <w:t>p</w:t>
      </w:r>
      <w:r w:rsidRPr="00405016">
        <w:rPr>
          <w:rFonts w:ascii="Times New Roman" w:hAnsi="Times New Roman" w:cs="Times New Roman"/>
          <w:lang w:val="mk-MK"/>
        </w:rPr>
        <w:t>-вредноста која кажува дали то</w:t>
      </w:r>
      <w:r w:rsidR="003E5042" w:rsidRPr="00405016">
        <w:rPr>
          <w:rFonts w:ascii="Times New Roman" w:hAnsi="Times New Roman" w:cs="Times New Roman"/>
          <w:lang w:val="mk-MK"/>
        </w:rPr>
        <w:t>ј</w:t>
      </w:r>
      <w:r w:rsidRPr="00405016">
        <w:rPr>
          <w:rFonts w:ascii="Times New Roman" w:hAnsi="Times New Roman" w:cs="Times New Roman"/>
          <w:lang w:val="mk-MK"/>
        </w:rPr>
        <w:t xml:space="preserve"> е статистички значаен.</w:t>
      </w:r>
    </w:p>
    <w:p w:rsidR="003E5042" w:rsidRPr="00405016" w:rsidRDefault="003E5042" w:rsidP="004C7046">
      <w:pPr>
        <w:pStyle w:val="Default"/>
        <w:spacing w:after="22"/>
        <w:jc w:val="both"/>
        <w:rPr>
          <w:rFonts w:ascii="Times New Roman" w:hAnsi="Times New Roman" w:cs="Times New Roman"/>
          <w:color w:val="auto"/>
        </w:rPr>
      </w:pPr>
    </w:p>
    <w:p w:rsidR="003E5042" w:rsidRDefault="00C928B9" w:rsidP="008C59B6">
      <w:pPr>
        <w:spacing w:after="0" w:line="240" w:lineRule="auto"/>
        <w:jc w:val="center"/>
        <w:rPr>
          <w:rFonts w:ascii="Times New Roman" w:hAnsi="Times New Roman" w:cs="Times New Roman"/>
          <w:i/>
          <w:iCs/>
          <w:lang w:val="en-US"/>
        </w:rPr>
      </w:pPr>
      <w:r w:rsidRPr="00405016">
        <w:rPr>
          <w:rFonts w:ascii="Times New Roman" w:hAnsi="Times New Roman" w:cs="Times New Roman"/>
          <w:i/>
          <w:iCs/>
        </w:rPr>
        <w:t xml:space="preserve">Табела </w:t>
      </w:r>
      <w:r w:rsidRPr="00405016">
        <w:rPr>
          <w:rFonts w:ascii="Times New Roman" w:hAnsi="Times New Roman" w:cs="Times New Roman"/>
          <w:i/>
          <w:iCs/>
          <w:lang w:val="en-US"/>
        </w:rPr>
        <w:t>2</w:t>
      </w:r>
      <w:r w:rsidRPr="00405016">
        <w:rPr>
          <w:rFonts w:ascii="Times New Roman" w:hAnsi="Times New Roman" w:cs="Times New Roman"/>
          <w:i/>
          <w:iCs/>
        </w:rPr>
        <w:t>. Корелациона матрица на променливите</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
        <w:gridCol w:w="921"/>
        <w:gridCol w:w="921"/>
        <w:gridCol w:w="921"/>
        <w:gridCol w:w="921"/>
        <w:gridCol w:w="921"/>
        <w:gridCol w:w="921"/>
        <w:gridCol w:w="861"/>
        <w:gridCol w:w="861"/>
        <w:gridCol w:w="961"/>
      </w:tblGrid>
      <w:tr w:rsidR="001E4A4A" w:rsidRPr="00F71DD0" w:rsidTr="00EC48D1">
        <w:trPr>
          <w:trHeight w:val="225"/>
          <w:jc w:val="center"/>
        </w:trPr>
        <w:tc>
          <w:tcPr>
            <w:tcW w:w="95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CO2</w:t>
            </w: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CPI</w:t>
            </w: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EMPLOY</w:t>
            </w: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FOOD</w:t>
            </w: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LOGGNI</w:t>
            </w:r>
          </w:p>
        </w:tc>
        <w:tc>
          <w:tcPr>
            <w:tcW w:w="92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HEALTH</w:t>
            </w:r>
          </w:p>
        </w:tc>
        <w:tc>
          <w:tcPr>
            <w:tcW w:w="86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LEB</w:t>
            </w:r>
          </w:p>
        </w:tc>
        <w:tc>
          <w:tcPr>
            <w:tcW w:w="86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URBAN</w:t>
            </w:r>
          </w:p>
        </w:tc>
        <w:tc>
          <w:tcPr>
            <w:tcW w:w="961" w:type="dxa"/>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VACCINE</w:t>
            </w: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CO2</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CPI</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098945</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2019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EMPLOY</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257988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178199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0007</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0208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FOOD</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058749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230639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135086</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4494</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0026</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0808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LOGGNI</w:t>
            </w:r>
          </w:p>
        </w:tc>
        <w:tc>
          <w:tcPr>
            <w:tcW w:w="921" w:type="dxa"/>
            <w:shd w:val="clear" w:color="auto" w:fill="BFBFBF" w:themeFill="background1" w:themeFillShade="BF"/>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712488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464419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399531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105001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1756</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HEALTH</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158575</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177945</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303977</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175284</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082083</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0401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0210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0231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2902</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shd w:val="clear" w:color="auto" w:fill="BFBFBF" w:themeFill="background1" w:themeFillShade="BF"/>
            <w:vAlign w:val="center"/>
          </w:tcPr>
          <w:p w:rsidR="001E4A4A" w:rsidRPr="000175E3" w:rsidRDefault="001E4A4A" w:rsidP="00EC48D1">
            <w:pPr>
              <w:spacing w:after="0" w:line="240" w:lineRule="auto"/>
              <w:jc w:val="center"/>
              <w:rPr>
                <w:rFonts w:ascii="Times New Roman" w:hAnsi="Times New Roman" w:cs="Times New Roman"/>
                <w:b/>
                <w:sz w:val="20"/>
                <w:szCs w:val="20"/>
                <w:lang w:val="en-US"/>
              </w:rPr>
            </w:pPr>
            <w:r w:rsidRPr="000175E3">
              <w:rPr>
                <w:rFonts w:ascii="Times New Roman" w:hAnsi="Times New Roman" w:cs="Times New Roman"/>
                <w:b/>
                <w:sz w:val="20"/>
                <w:szCs w:val="20"/>
                <w:lang w:val="en-US"/>
              </w:rPr>
              <w:t>LEB</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0,630810</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0,490008</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0,273422</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0,085864</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0,828586</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-0,069636</w:t>
            </w:r>
          </w:p>
        </w:tc>
        <w:tc>
          <w:tcPr>
            <w:tcW w:w="8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1,000000</w:t>
            </w:r>
          </w:p>
        </w:tc>
        <w:tc>
          <w:tcPr>
            <w:tcW w:w="8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p>
        </w:tc>
        <w:tc>
          <w:tcPr>
            <w:tcW w:w="9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shd w:val="clear" w:color="auto" w:fill="BFBFBF" w:themeFill="background1" w:themeFillShade="BF"/>
            <w:vAlign w:val="center"/>
          </w:tcPr>
          <w:p w:rsidR="001E4A4A" w:rsidRPr="000175E3" w:rsidRDefault="001E4A4A" w:rsidP="00EC48D1">
            <w:pPr>
              <w:spacing w:after="0" w:line="240" w:lineRule="auto"/>
              <w:jc w:val="center"/>
              <w:rPr>
                <w:rFonts w:ascii="Times New Roman" w:hAnsi="Times New Roman" w:cs="Times New Roman"/>
                <w:sz w:val="20"/>
                <w:szCs w:val="20"/>
                <w:lang w:val="en-US"/>
              </w:rPr>
            </w:pP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0,0000</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0,0000</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0,0003</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0,2684</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0,0000</w:t>
            </w:r>
          </w:p>
        </w:tc>
        <w:tc>
          <w:tcPr>
            <w:tcW w:w="92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0,3698</w:t>
            </w:r>
          </w:p>
        </w:tc>
        <w:tc>
          <w:tcPr>
            <w:tcW w:w="8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r w:rsidRPr="000175E3">
              <w:rPr>
                <w:rFonts w:ascii="Times New Roman" w:hAnsi="Times New Roman" w:cs="Times New Roman"/>
                <w:sz w:val="20"/>
                <w:szCs w:val="20"/>
                <w:lang w:val="en-US"/>
              </w:rPr>
              <w:t>----- </w:t>
            </w:r>
          </w:p>
        </w:tc>
        <w:tc>
          <w:tcPr>
            <w:tcW w:w="8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p>
        </w:tc>
        <w:tc>
          <w:tcPr>
            <w:tcW w:w="961" w:type="dxa"/>
            <w:shd w:val="clear" w:color="auto" w:fill="BFBFBF" w:themeFill="background1" w:themeFillShade="BF"/>
            <w:vAlign w:val="bottom"/>
          </w:tcPr>
          <w:p w:rsidR="001E4A4A" w:rsidRPr="000175E3"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URBAN</w:t>
            </w:r>
          </w:p>
        </w:tc>
        <w:tc>
          <w:tcPr>
            <w:tcW w:w="921" w:type="dxa"/>
            <w:shd w:val="clear" w:color="auto" w:fill="BFBFBF" w:themeFill="background1" w:themeFillShade="BF"/>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525925</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003959</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256004</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147603</w:t>
            </w:r>
          </w:p>
        </w:tc>
        <w:tc>
          <w:tcPr>
            <w:tcW w:w="921" w:type="dxa"/>
            <w:shd w:val="clear" w:color="auto" w:fill="BFBFBF" w:themeFill="background1" w:themeFillShade="BF"/>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539577</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225545</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328430</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9594</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0562</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0033</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p>
        </w:tc>
      </w:tr>
      <w:tr w:rsidR="001E4A4A" w:rsidRPr="00F71DD0" w:rsidTr="00EC48D1">
        <w:trPr>
          <w:trHeight w:val="225"/>
          <w:jc w:val="center"/>
        </w:trPr>
        <w:tc>
          <w:tcPr>
            <w:tcW w:w="951" w:type="dxa"/>
            <w:vMerge w:val="restart"/>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r w:rsidRPr="00F71DD0">
              <w:rPr>
                <w:rFonts w:ascii="Times New Roman" w:hAnsi="Times New Roman" w:cs="Times New Roman"/>
                <w:b/>
                <w:sz w:val="20"/>
                <w:szCs w:val="20"/>
                <w:lang w:val="en-US"/>
              </w:rPr>
              <w:t>VACCINE</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133263</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166408</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439603</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155201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249523</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077887</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314810</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214943</w:t>
            </w: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1</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000000</w:t>
            </w:r>
          </w:p>
        </w:tc>
      </w:tr>
      <w:tr w:rsidR="001E4A4A" w:rsidRPr="00F71DD0" w:rsidTr="00EC48D1">
        <w:trPr>
          <w:trHeight w:val="225"/>
          <w:jc w:val="center"/>
        </w:trPr>
        <w:tc>
          <w:tcPr>
            <w:tcW w:w="951" w:type="dxa"/>
            <w:vMerge/>
            <w:vAlign w:val="center"/>
          </w:tcPr>
          <w:p w:rsidR="001E4A4A" w:rsidRPr="00F71DD0" w:rsidRDefault="001E4A4A" w:rsidP="00EC48D1">
            <w:pPr>
              <w:spacing w:after="0" w:line="240" w:lineRule="auto"/>
              <w:jc w:val="center"/>
              <w:rPr>
                <w:rFonts w:ascii="Times New Roman" w:hAnsi="Times New Roman" w:cs="Times New Roman"/>
                <w:b/>
                <w:sz w:val="20"/>
                <w:szCs w:val="20"/>
                <w:lang w:val="en-US"/>
              </w:rPr>
            </w:pP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0851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0311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0446</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0011</w:t>
            </w:r>
          </w:p>
        </w:tc>
        <w:tc>
          <w:tcPr>
            <w:tcW w:w="92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3156</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0000</w:t>
            </w:r>
          </w:p>
        </w:tc>
        <w:tc>
          <w:tcPr>
            <w:tcW w:w="8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0</w:t>
            </w:r>
            <w:r>
              <w:rPr>
                <w:rFonts w:ascii="Times New Roman" w:hAnsi="Times New Roman" w:cs="Times New Roman"/>
                <w:sz w:val="20"/>
                <w:szCs w:val="20"/>
                <w:lang w:val="en-US"/>
              </w:rPr>
              <w:t>,</w:t>
            </w:r>
            <w:r w:rsidRPr="00F71DD0">
              <w:rPr>
                <w:rFonts w:ascii="Times New Roman" w:hAnsi="Times New Roman" w:cs="Times New Roman"/>
                <w:sz w:val="20"/>
                <w:szCs w:val="20"/>
                <w:lang w:val="en-US"/>
              </w:rPr>
              <w:t>0051</w:t>
            </w:r>
          </w:p>
        </w:tc>
        <w:tc>
          <w:tcPr>
            <w:tcW w:w="961" w:type="dxa"/>
            <w:vAlign w:val="bottom"/>
          </w:tcPr>
          <w:p w:rsidR="001E4A4A" w:rsidRPr="00F71DD0" w:rsidRDefault="001E4A4A" w:rsidP="00EC48D1">
            <w:pPr>
              <w:spacing w:after="0" w:line="240" w:lineRule="auto"/>
              <w:jc w:val="right"/>
              <w:rPr>
                <w:rFonts w:ascii="Times New Roman" w:hAnsi="Times New Roman" w:cs="Times New Roman"/>
                <w:sz w:val="20"/>
                <w:szCs w:val="20"/>
                <w:lang w:val="en-US"/>
              </w:rPr>
            </w:pPr>
            <w:r w:rsidRPr="00F71DD0">
              <w:rPr>
                <w:rFonts w:ascii="Times New Roman" w:hAnsi="Times New Roman" w:cs="Times New Roman"/>
                <w:sz w:val="20"/>
                <w:szCs w:val="20"/>
                <w:lang w:val="en-US"/>
              </w:rPr>
              <w:t>----- </w:t>
            </w:r>
          </w:p>
        </w:tc>
      </w:tr>
    </w:tbl>
    <w:p w:rsidR="003E5042" w:rsidRPr="00405016" w:rsidRDefault="00C928B9" w:rsidP="00894E73">
      <w:pPr>
        <w:spacing w:after="0" w:line="240" w:lineRule="auto"/>
        <w:rPr>
          <w:rFonts w:ascii="Times New Roman" w:hAnsi="Times New Roman" w:cs="Times New Roman"/>
        </w:rPr>
      </w:pPr>
      <w:r w:rsidRPr="00405016">
        <w:rPr>
          <w:rFonts w:ascii="Times New Roman" w:hAnsi="Times New Roman" w:cs="Times New Roman"/>
        </w:rPr>
        <w:t>Извор</w:t>
      </w:r>
      <w:r w:rsidRPr="00405016">
        <w:rPr>
          <w:rFonts w:ascii="Times New Roman" w:hAnsi="Times New Roman" w:cs="Times New Roman"/>
          <w:lang w:val="en-US"/>
        </w:rPr>
        <w:t xml:space="preserve">: </w:t>
      </w:r>
      <w:r w:rsidRPr="00405016">
        <w:rPr>
          <w:rFonts w:ascii="Times New Roman" w:hAnsi="Times New Roman" w:cs="Times New Roman"/>
        </w:rPr>
        <w:t>Пресметки на авторот</w:t>
      </w:r>
      <w:r w:rsidR="003E5042" w:rsidRPr="00405016">
        <w:rPr>
          <w:rFonts w:ascii="Times New Roman" w:hAnsi="Times New Roman" w:cs="Times New Roman"/>
        </w:rPr>
        <w:t>.</w:t>
      </w:r>
    </w:p>
    <w:p w:rsidR="003E5042" w:rsidRPr="00405016" w:rsidRDefault="003E5042" w:rsidP="008C59B6">
      <w:pPr>
        <w:pStyle w:val="Default"/>
        <w:spacing w:after="22"/>
        <w:ind w:firstLine="720"/>
        <w:jc w:val="both"/>
        <w:rPr>
          <w:rFonts w:ascii="Times New Roman" w:hAnsi="Times New Roman" w:cs="Times New Roman"/>
          <w:lang w:val="mk-MK"/>
        </w:rPr>
      </w:pPr>
    </w:p>
    <w:p w:rsidR="001E4A4A" w:rsidRPr="00405016" w:rsidRDefault="001E4A4A" w:rsidP="001E4A4A">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Од табелата може да се види дека проме</w:t>
      </w:r>
      <w:r>
        <w:rPr>
          <w:rFonts w:ascii="Times New Roman" w:hAnsi="Times New Roman" w:cs="Times New Roman"/>
          <w:lang w:val="mk-MK"/>
        </w:rPr>
        <w:t>н</w:t>
      </w:r>
      <w:r w:rsidRPr="00405016">
        <w:rPr>
          <w:rFonts w:ascii="Times New Roman" w:hAnsi="Times New Roman" w:cs="Times New Roman"/>
          <w:lang w:val="mk-MK"/>
        </w:rPr>
        <w:t xml:space="preserve">ливата </w:t>
      </w:r>
      <w:r w:rsidRPr="00405016">
        <w:rPr>
          <w:rFonts w:ascii="Times New Roman" w:hAnsi="Times New Roman" w:cs="Times New Roman"/>
        </w:rPr>
        <w:t>CO2</w:t>
      </w:r>
      <w:r w:rsidRPr="00405016">
        <w:rPr>
          <w:rFonts w:ascii="Times New Roman" w:hAnsi="Times New Roman" w:cs="Times New Roman"/>
          <w:lang w:val="mk-MK"/>
        </w:rPr>
        <w:t xml:space="preserve"> има коефициент на корелација (поголем од 0,5) со променивата </w:t>
      </w:r>
      <w:r w:rsidRPr="00405016">
        <w:rPr>
          <w:rFonts w:ascii="Times New Roman" w:hAnsi="Times New Roman" w:cs="Times New Roman"/>
        </w:rPr>
        <w:t xml:space="preserve">LOGGNI (0,712488) </w:t>
      </w:r>
      <w:r w:rsidRPr="00405016">
        <w:rPr>
          <w:rFonts w:ascii="Times New Roman" w:hAnsi="Times New Roman" w:cs="Times New Roman"/>
          <w:lang w:val="mk-MK"/>
        </w:rPr>
        <w:t xml:space="preserve">и променливата </w:t>
      </w:r>
      <w:r w:rsidRPr="00405016">
        <w:rPr>
          <w:rFonts w:ascii="Times New Roman" w:hAnsi="Times New Roman" w:cs="Times New Roman"/>
        </w:rPr>
        <w:lastRenderedPageBreak/>
        <w:t xml:space="preserve">URBAN (0,525925). </w:t>
      </w:r>
      <w:r w:rsidRPr="00405016">
        <w:rPr>
          <w:rFonts w:ascii="Times New Roman" w:hAnsi="Times New Roman" w:cs="Times New Roman"/>
          <w:lang w:val="mk-MK"/>
        </w:rPr>
        <w:t xml:space="preserve">Променливата </w:t>
      </w:r>
      <w:r w:rsidRPr="00405016">
        <w:rPr>
          <w:rFonts w:ascii="Times New Roman" w:hAnsi="Times New Roman" w:cs="Times New Roman"/>
        </w:rPr>
        <w:t>URBAN</w:t>
      </w:r>
      <w:r w:rsidRPr="00405016">
        <w:rPr>
          <w:rFonts w:ascii="Times New Roman" w:hAnsi="Times New Roman" w:cs="Times New Roman"/>
          <w:lang w:val="mk-MK"/>
        </w:rPr>
        <w:t>,</w:t>
      </w:r>
      <w:r w:rsidRPr="00405016">
        <w:rPr>
          <w:rFonts w:ascii="Times New Roman" w:hAnsi="Times New Roman" w:cs="Times New Roman"/>
        </w:rPr>
        <w:t xml:space="preserve"> </w:t>
      </w:r>
      <w:r w:rsidRPr="00405016">
        <w:rPr>
          <w:rFonts w:ascii="Times New Roman" w:hAnsi="Times New Roman" w:cs="Times New Roman"/>
          <w:lang w:val="mk-MK"/>
        </w:rPr>
        <w:t xml:space="preserve">пак, има висок коефициент на корелација (0,539577) со променливата </w:t>
      </w:r>
      <w:r w:rsidRPr="00405016">
        <w:rPr>
          <w:rFonts w:ascii="Times New Roman" w:hAnsi="Times New Roman" w:cs="Times New Roman"/>
        </w:rPr>
        <w:t xml:space="preserve">LOGGNI. </w:t>
      </w:r>
      <w:r w:rsidRPr="00405016">
        <w:rPr>
          <w:rFonts w:ascii="Times New Roman" w:hAnsi="Times New Roman" w:cs="Times New Roman"/>
          <w:lang w:val="mk-MK"/>
        </w:rPr>
        <w:t xml:space="preserve">За да се избегне постоењето на мултиколинеарност помеѓу независните променливи, променливите </w:t>
      </w:r>
      <w:r w:rsidRPr="00405016">
        <w:rPr>
          <w:rFonts w:ascii="Times New Roman" w:hAnsi="Times New Roman" w:cs="Times New Roman"/>
        </w:rPr>
        <w:t xml:space="preserve">CO2 </w:t>
      </w:r>
      <w:r w:rsidRPr="00405016">
        <w:rPr>
          <w:rFonts w:ascii="Times New Roman" w:hAnsi="Times New Roman" w:cs="Times New Roman"/>
          <w:lang w:val="mk-MK"/>
        </w:rPr>
        <w:t xml:space="preserve">и </w:t>
      </w:r>
      <w:r w:rsidRPr="00405016">
        <w:rPr>
          <w:rFonts w:ascii="Times New Roman" w:hAnsi="Times New Roman" w:cs="Times New Roman"/>
        </w:rPr>
        <w:t xml:space="preserve">URBAN </w:t>
      </w:r>
      <w:r w:rsidRPr="00405016">
        <w:rPr>
          <w:rFonts w:ascii="Times New Roman" w:hAnsi="Times New Roman" w:cs="Times New Roman"/>
          <w:lang w:val="mk-MK"/>
        </w:rPr>
        <w:t>се исклучуваат од понатомашната анализа.</w:t>
      </w:r>
    </w:p>
    <w:p w:rsidR="003E5042" w:rsidRPr="00405016" w:rsidRDefault="00C928B9" w:rsidP="008C59B6">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lang w:val="mk-MK"/>
        </w:rPr>
        <w:t>Следуваат тестовите на единечен корен за да се утврди дали променливите се стационарни. Тестовите на единечен корен кај панел серии се многу слични со тестовите кои се корист</w:t>
      </w:r>
      <w:r w:rsidRPr="00405016">
        <w:rPr>
          <w:rFonts w:ascii="Times New Roman" w:hAnsi="Times New Roman" w:cs="Times New Roman"/>
        </w:rPr>
        <w:t>a</w:t>
      </w:r>
      <w:r w:rsidRPr="00405016">
        <w:rPr>
          <w:rFonts w:ascii="Times New Roman" w:hAnsi="Times New Roman" w:cs="Times New Roman"/>
          <w:lang w:val="mk-MK"/>
        </w:rPr>
        <w:t>т и при оценување на една равенка (</w:t>
      </w:r>
      <w:r w:rsidRPr="00405016">
        <w:rPr>
          <w:rFonts w:ascii="Times New Roman" w:hAnsi="Times New Roman" w:cs="Times New Roman"/>
        </w:rPr>
        <w:t xml:space="preserve">Brooks, 2014). </w:t>
      </w:r>
      <w:r w:rsidRPr="00405016">
        <w:rPr>
          <w:rFonts w:ascii="Times New Roman" w:hAnsi="Times New Roman" w:cs="Times New Roman"/>
          <w:lang w:val="mk-MK"/>
        </w:rPr>
        <w:t>Но и покрај сличностите, при панел метод се користат неколку посебно дизајнирани тестови за оваа намена.</w:t>
      </w:r>
    </w:p>
    <w:p w:rsidR="003E5042" w:rsidRPr="00405016" w:rsidRDefault="003E5042" w:rsidP="008C59B6">
      <w:pPr>
        <w:pStyle w:val="Default"/>
        <w:spacing w:after="22"/>
        <w:ind w:firstLine="720"/>
        <w:jc w:val="both"/>
        <w:rPr>
          <w:rFonts w:ascii="Times New Roman" w:hAnsi="Times New Roman" w:cs="Times New Roman"/>
          <w:color w:val="auto"/>
          <w:lang w:val="mk-MK"/>
        </w:rPr>
      </w:pPr>
    </w:p>
    <w:p w:rsidR="003E5042" w:rsidRPr="00405016" w:rsidRDefault="00C928B9" w:rsidP="00812930">
      <w:pPr>
        <w:spacing w:after="0" w:line="240" w:lineRule="auto"/>
        <w:jc w:val="center"/>
        <w:rPr>
          <w:rFonts w:ascii="Times New Roman" w:hAnsi="Times New Roman" w:cs="Times New Roman"/>
          <w:i/>
          <w:iCs/>
        </w:rPr>
      </w:pPr>
      <w:r w:rsidRPr="00405016">
        <w:rPr>
          <w:rFonts w:ascii="Times New Roman" w:hAnsi="Times New Roman" w:cs="Times New Roman"/>
          <w:i/>
          <w:iCs/>
        </w:rPr>
        <w:t xml:space="preserve">Табела </w:t>
      </w:r>
      <w:r w:rsidRPr="00405016">
        <w:rPr>
          <w:rFonts w:ascii="Times New Roman" w:hAnsi="Times New Roman" w:cs="Times New Roman"/>
          <w:i/>
          <w:iCs/>
          <w:lang w:val="en-US"/>
        </w:rPr>
        <w:t>3</w:t>
      </w:r>
      <w:r w:rsidRPr="00405016">
        <w:rPr>
          <w:rFonts w:ascii="Times New Roman" w:hAnsi="Times New Roman" w:cs="Times New Roman"/>
          <w:i/>
          <w:iCs/>
        </w:rPr>
        <w:t>. Панел тестови на единечен корен (со индивидуален отсечок)</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81"/>
        <w:gridCol w:w="1558"/>
        <w:gridCol w:w="1838"/>
        <w:gridCol w:w="1978"/>
        <w:gridCol w:w="1858"/>
      </w:tblGrid>
      <w:tr w:rsidR="003E5042" w:rsidRPr="001E4A4A">
        <w:trPr>
          <w:trHeight w:val="207"/>
          <w:jc w:val="center"/>
        </w:trPr>
        <w:tc>
          <w:tcPr>
            <w:tcW w:w="2181" w:type="dxa"/>
            <w:vAlign w:val="center"/>
          </w:tcPr>
          <w:p w:rsidR="003E5042" w:rsidRPr="001E4A4A" w:rsidRDefault="003E5042" w:rsidP="008F6EF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32" w:type="dxa"/>
            <w:gridSpan w:val="4"/>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lang w:val="en-US"/>
              </w:rPr>
              <w:t>P-</w:t>
            </w:r>
            <w:r w:rsidRPr="001E4A4A">
              <w:rPr>
                <w:rFonts w:ascii="Times New Roman" w:hAnsi="Times New Roman" w:cs="Times New Roman"/>
                <w:b/>
                <w:bCs/>
                <w:color w:val="000000"/>
                <w:sz w:val="20"/>
                <w:szCs w:val="20"/>
              </w:rPr>
              <w:t>вредност на тестот на единечен корен</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Променлива</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Levin Lin and Chu</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Im, Pesaran and Shin</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 xml:space="preserve">ADF Fisher </w:t>
            </w:r>
            <w:r w:rsidR="00385CD1" w:rsidRPr="001E4A4A">
              <w:rPr>
                <w:rFonts w:ascii="Times New Roman" w:hAnsi="Times New Roman" w:cs="Times New Roman"/>
                <w:b/>
                <w:bCs/>
                <w:color w:val="000000"/>
                <w:sz w:val="20"/>
                <w:szCs w:val="20"/>
              </w:rPr>
              <w:fldChar w:fldCharType="begin"/>
            </w:r>
            <w:r w:rsidRPr="001E4A4A">
              <w:rPr>
                <w:rFonts w:ascii="Times New Roman" w:hAnsi="Times New Roman" w:cs="Times New Roman"/>
                <w:b/>
                <w:bCs/>
                <w:color w:val="000000"/>
                <w:sz w:val="20"/>
                <w:szCs w:val="20"/>
              </w:rPr>
              <w:instrText xml:space="preserve"> QUOTE </w:instrText>
            </w:r>
            <w:r w:rsidR="00983830" w:rsidRPr="001E4A4A">
              <w:rPr>
                <w:rFonts w:ascii="Times New Roman" w:hAnsi="Times New Roman" w:cs="Times New Roman"/>
                <w:noProof/>
                <w:sz w:val="20"/>
                <w:szCs w:val="20"/>
                <w:lang w:val="en-US"/>
              </w:rPr>
              <w:drawing>
                <wp:inline distT="0" distB="0" distL="0" distR="0">
                  <wp:extent cx="168275" cy="16065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68275" cy="160655"/>
                          </a:xfrm>
                          <a:prstGeom prst="rect">
                            <a:avLst/>
                          </a:prstGeom>
                          <a:noFill/>
                          <a:ln w="9525">
                            <a:noFill/>
                            <a:miter lim="800000"/>
                            <a:headEnd/>
                            <a:tailEnd/>
                          </a:ln>
                        </pic:spPr>
                      </pic:pic>
                    </a:graphicData>
                  </a:graphic>
                </wp:inline>
              </w:drawing>
            </w:r>
            <w:r w:rsidRPr="001E4A4A">
              <w:rPr>
                <w:rFonts w:ascii="Times New Roman" w:hAnsi="Times New Roman" w:cs="Times New Roman"/>
                <w:b/>
                <w:bCs/>
                <w:color w:val="000000"/>
                <w:sz w:val="20"/>
                <w:szCs w:val="20"/>
              </w:rPr>
              <w:instrText xml:space="preserve"> </w:instrText>
            </w:r>
            <w:r w:rsidR="00385CD1" w:rsidRPr="001E4A4A">
              <w:rPr>
                <w:rFonts w:ascii="Times New Roman" w:hAnsi="Times New Roman" w:cs="Times New Roman"/>
                <w:b/>
                <w:bCs/>
                <w:color w:val="000000"/>
                <w:sz w:val="20"/>
                <w:szCs w:val="20"/>
              </w:rPr>
              <w:fldChar w:fldCharType="separate"/>
            </w:r>
            <w:r w:rsidR="00983830" w:rsidRPr="001E4A4A">
              <w:rPr>
                <w:rFonts w:ascii="Times New Roman" w:hAnsi="Times New Roman" w:cs="Times New Roman"/>
                <w:noProof/>
                <w:sz w:val="20"/>
                <w:szCs w:val="20"/>
                <w:lang w:val="en-US"/>
              </w:rPr>
              <w:drawing>
                <wp:inline distT="0" distB="0" distL="0" distR="0">
                  <wp:extent cx="175260" cy="16065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75260" cy="160655"/>
                          </a:xfrm>
                          <a:prstGeom prst="rect">
                            <a:avLst/>
                          </a:prstGeom>
                          <a:noFill/>
                          <a:ln w="9525">
                            <a:noFill/>
                            <a:miter lim="800000"/>
                            <a:headEnd/>
                            <a:tailEnd/>
                          </a:ln>
                        </pic:spPr>
                      </pic:pic>
                    </a:graphicData>
                  </a:graphic>
                </wp:inline>
              </w:drawing>
            </w:r>
            <w:r w:rsidR="00385CD1" w:rsidRPr="001E4A4A">
              <w:rPr>
                <w:rFonts w:ascii="Times New Roman" w:hAnsi="Times New Roman" w:cs="Times New Roman"/>
                <w:b/>
                <w:bCs/>
                <w:color w:val="000000"/>
                <w:sz w:val="20"/>
                <w:szCs w:val="20"/>
              </w:rPr>
              <w:fldChar w:fldCharType="end"/>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 xml:space="preserve">PP Fisher </w:t>
            </w:r>
            <w:r w:rsidR="00385CD1" w:rsidRPr="001E4A4A">
              <w:rPr>
                <w:rFonts w:ascii="Times New Roman" w:hAnsi="Times New Roman" w:cs="Times New Roman"/>
                <w:b/>
                <w:bCs/>
                <w:color w:val="000000"/>
                <w:sz w:val="20"/>
                <w:szCs w:val="20"/>
              </w:rPr>
              <w:fldChar w:fldCharType="begin"/>
            </w:r>
            <w:r w:rsidRPr="001E4A4A">
              <w:rPr>
                <w:rFonts w:ascii="Times New Roman" w:hAnsi="Times New Roman" w:cs="Times New Roman"/>
                <w:b/>
                <w:bCs/>
                <w:color w:val="000000"/>
                <w:sz w:val="20"/>
                <w:szCs w:val="20"/>
              </w:rPr>
              <w:instrText xml:space="preserve"> QUOTE </w:instrText>
            </w:r>
            <w:r w:rsidR="00983830" w:rsidRPr="001E4A4A">
              <w:rPr>
                <w:rFonts w:ascii="Times New Roman" w:hAnsi="Times New Roman" w:cs="Times New Roman"/>
                <w:noProof/>
                <w:sz w:val="20"/>
                <w:szCs w:val="20"/>
                <w:lang w:val="en-US"/>
              </w:rPr>
              <w:drawing>
                <wp:inline distT="0" distB="0" distL="0" distR="0">
                  <wp:extent cx="168275" cy="16065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68275" cy="160655"/>
                          </a:xfrm>
                          <a:prstGeom prst="rect">
                            <a:avLst/>
                          </a:prstGeom>
                          <a:noFill/>
                          <a:ln w="9525">
                            <a:noFill/>
                            <a:miter lim="800000"/>
                            <a:headEnd/>
                            <a:tailEnd/>
                          </a:ln>
                        </pic:spPr>
                      </pic:pic>
                    </a:graphicData>
                  </a:graphic>
                </wp:inline>
              </w:drawing>
            </w:r>
            <w:r w:rsidRPr="001E4A4A">
              <w:rPr>
                <w:rFonts w:ascii="Times New Roman" w:hAnsi="Times New Roman" w:cs="Times New Roman"/>
                <w:b/>
                <w:bCs/>
                <w:color w:val="000000"/>
                <w:sz w:val="20"/>
                <w:szCs w:val="20"/>
              </w:rPr>
              <w:instrText xml:space="preserve"> </w:instrText>
            </w:r>
            <w:r w:rsidR="00385CD1" w:rsidRPr="001E4A4A">
              <w:rPr>
                <w:rFonts w:ascii="Times New Roman" w:hAnsi="Times New Roman" w:cs="Times New Roman"/>
                <w:b/>
                <w:bCs/>
                <w:color w:val="000000"/>
                <w:sz w:val="20"/>
                <w:szCs w:val="20"/>
              </w:rPr>
              <w:fldChar w:fldCharType="separate"/>
            </w:r>
            <w:r w:rsidR="00983830" w:rsidRPr="001E4A4A">
              <w:rPr>
                <w:rFonts w:ascii="Times New Roman" w:hAnsi="Times New Roman" w:cs="Times New Roman"/>
                <w:noProof/>
                <w:sz w:val="20"/>
                <w:szCs w:val="20"/>
                <w:lang w:val="en-US"/>
              </w:rPr>
              <w:drawing>
                <wp:inline distT="0" distB="0" distL="0" distR="0">
                  <wp:extent cx="175260" cy="16065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75260" cy="160655"/>
                          </a:xfrm>
                          <a:prstGeom prst="rect">
                            <a:avLst/>
                          </a:prstGeom>
                          <a:noFill/>
                          <a:ln w="9525">
                            <a:noFill/>
                            <a:miter lim="800000"/>
                            <a:headEnd/>
                            <a:tailEnd/>
                          </a:ln>
                        </pic:spPr>
                      </pic:pic>
                    </a:graphicData>
                  </a:graphic>
                </wp:inline>
              </w:drawing>
            </w:r>
            <w:r w:rsidR="00385CD1" w:rsidRPr="001E4A4A">
              <w:rPr>
                <w:rFonts w:ascii="Times New Roman" w:hAnsi="Times New Roman" w:cs="Times New Roman"/>
                <w:b/>
                <w:bCs/>
                <w:color w:val="000000"/>
                <w:sz w:val="20"/>
                <w:szCs w:val="20"/>
              </w:rPr>
              <w:fldChar w:fldCharType="end"/>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LEB</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1,0000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1,0000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1,0000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ΔLEB</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CPI</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0,3512</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0,9997</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0,9998</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0,1125</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ΔCPI</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0,0001</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EMPLOY</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0,0005</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0,0004</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0,0206</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ΔEMPLOY</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0,0001</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0,0002</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EMPLOY*</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0,0290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0,0007</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0,6184</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ΔEMPLOY *</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0,0003</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0,0005</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EMPLOY**</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0,0230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n/a</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0,3376</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0,0124</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ΔEMPLOY**</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n/a</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FOOD</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0,8633</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0,8922</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0,7565</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0,0298</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ΔFOOD</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LOGGNI</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0,0004</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0,0016</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0,8578</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ΔLOGGNI</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0,0665</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0,1926</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0,4258</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0,2529</w:t>
            </w:r>
          </w:p>
        </w:tc>
      </w:tr>
      <w:tr w:rsidR="003E5042" w:rsidRPr="001E4A4A">
        <w:trPr>
          <w:trHeight w:val="207"/>
          <w:jc w:val="center"/>
        </w:trPr>
        <w:tc>
          <w:tcPr>
            <w:tcW w:w="2181" w:type="dxa"/>
            <w:vAlign w:val="center"/>
          </w:tcPr>
          <w:p w:rsidR="003E5042" w:rsidRPr="001E4A4A" w:rsidRDefault="00C928B9" w:rsidP="006B1FD4">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ΔLOGGNI*</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0,0195</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HEALTH</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0,0011</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0,2036</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0,3246</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0,0043</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ΔHEALTH</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0,0019</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0,0002</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VACCINE</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0,0082</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0,1723</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0,1812</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r w:rsidR="003E5042" w:rsidRPr="001E4A4A">
        <w:trPr>
          <w:trHeight w:val="207"/>
          <w:jc w:val="center"/>
        </w:trPr>
        <w:tc>
          <w:tcPr>
            <w:tcW w:w="2181" w:type="dxa"/>
            <w:vAlign w:val="center"/>
          </w:tcPr>
          <w:p w:rsidR="003E5042" w:rsidRPr="001E4A4A" w:rsidRDefault="00C928B9" w:rsidP="008F6EF5">
            <w:pPr>
              <w:autoSpaceDE w:val="0"/>
              <w:autoSpaceDN w:val="0"/>
              <w:adjustRightInd w:val="0"/>
              <w:spacing w:after="0" w:line="240" w:lineRule="auto"/>
              <w:jc w:val="center"/>
              <w:rPr>
                <w:rFonts w:ascii="Times New Roman" w:hAnsi="Times New Roman" w:cs="Times New Roman"/>
                <w:b/>
                <w:bCs/>
                <w:color w:val="000000"/>
                <w:sz w:val="20"/>
                <w:szCs w:val="20"/>
              </w:rPr>
            </w:pPr>
            <w:r w:rsidRPr="001E4A4A">
              <w:rPr>
                <w:rFonts w:ascii="Times New Roman" w:hAnsi="Times New Roman" w:cs="Times New Roman"/>
                <w:b/>
                <w:bCs/>
                <w:color w:val="000000"/>
                <w:sz w:val="20"/>
                <w:szCs w:val="20"/>
              </w:rPr>
              <w:t>ΔVACCINE</w:t>
            </w:r>
          </w:p>
        </w:tc>
        <w:tc>
          <w:tcPr>
            <w:tcW w:w="15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3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97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c>
          <w:tcPr>
            <w:tcW w:w="1858" w:type="dxa"/>
            <w:vAlign w:val="center"/>
          </w:tcPr>
          <w:p w:rsidR="003E5042" w:rsidRPr="001E4A4A" w:rsidRDefault="00C928B9" w:rsidP="008F6EF5">
            <w:pPr>
              <w:autoSpaceDE w:val="0"/>
              <w:autoSpaceDN w:val="0"/>
              <w:adjustRightInd w:val="0"/>
              <w:spacing w:after="0" w:line="240" w:lineRule="auto"/>
              <w:ind w:right="10"/>
              <w:jc w:val="center"/>
              <w:rPr>
                <w:rFonts w:ascii="Times New Roman" w:hAnsi="Times New Roman" w:cs="Times New Roman"/>
                <w:color w:val="000000"/>
                <w:sz w:val="20"/>
                <w:szCs w:val="20"/>
              </w:rPr>
            </w:pPr>
            <w:r w:rsidRPr="001E4A4A">
              <w:rPr>
                <w:rFonts w:ascii="Times New Roman" w:hAnsi="Times New Roman" w:cs="Times New Roman"/>
                <w:color w:val="000000"/>
                <w:sz w:val="20"/>
                <w:szCs w:val="20"/>
              </w:rPr>
              <w:t>0,0000</w:t>
            </w:r>
          </w:p>
        </w:tc>
      </w:tr>
    </w:tbl>
    <w:p w:rsidR="003E5042" w:rsidRPr="00405016" w:rsidRDefault="00C928B9" w:rsidP="008F6EF5">
      <w:pPr>
        <w:spacing w:after="0" w:line="240" w:lineRule="auto"/>
        <w:jc w:val="both"/>
        <w:rPr>
          <w:rFonts w:ascii="Times New Roman" w:hAnsi="Times New Roman" w:cs="Times New Roman"/>
        </w:rPr>
      </w:pPr>
      <w:r w:rsidRPr="00405016">
        <w:rPr>
          <w:rFonts w:ascii="Times New Roman" w:hAnsi="Times New Roman" w:cs="Times New Roman"/>
        </w:rPr>
        <w:t>* Индивидуален отсечок и тренд; ** Без отсечок и тренд</w:t>
      </w:r>
    </w:p>
    <w:p w:rsidR="003E5042" w:rsidRPr="00405016" w:rsidRDefault="00C928B9" w:rsidP="00894E73">
      <w:pPr>
        <w:spacing w:after="0" w:line="240" w:lineRule="auto"/>
        <w:jc w:val="both"/>
        <w:rPr>
          <w:rFonts w:ascii="Times New Roman" w:hAnsi="Times New Roman" w:cs="Times New Roman"/>
        </w:rPr>
      </w:pPr>
      <w:r w:rsidRPr="00405016">
        <w:rPr>
          <w:rFonts w:ascii="Times New Roman" w:hAnsi="Times New Roman" w:cs="Times New Roman"/>
        </w:rPr>
        <w:t>Извор</w:t>
      </w:r>
      <w:r w:rsidRPr="00405016">
        <w:rPr>
          <w:rFonts w:ascii="Times New Roman" w:hAnsi="Times New Roman" w:cs="Times New Roman"/>
          <w:lang w:val="en-US"/>
        </w:rPr>
        <w:t xml:space="preserve">: </w:t>
      </w:r>
      <w:r w:rsidRPr="00405016">
        <w:rPr>
          <w:rFonts w:ascii="Times New Roman" w:hAnsi="Times New Roman" w:cs="Times New Roman"/>
        </w:rPr>
        <w:t>Пресметки на авторот</w:t>
      </w:r>
      <w:r w:rsidR="003E5042" w:rsidRPr="00405016">
        <w:rPr>
          <w:rFonts w:ascii="Times New Roman" w:hAnsi="Times New Roman" w:cs="Times New Roman"/>
        </w:rPr>
        <w:t>.</w:t>
      </w:r>
    </w:p>
    <w:p w:rsidR="003E5042" w:rsidRPr="00405016" w:rsidRDefault="003E5042" w:rsidP="008C59B6">
      <w:pPr>
        <w:pStyle w:val="Default"/>
        <w:spacing w:after="22"/>
        <w:ind w:firstLine="720"/>
        <w:jc w:val="both"/>
        <w:rPr>
          <w:rFonts w:ascii="Times New Roman" w:hAnsi="Times New Roman" w:cs="Times New Roman"/>
          <w:lang w:val="mk-MK"/>
        </w:rPr>
      </w:pPr>
    </w:p>
    <w:p w:rsidR="003E5042" w:rsidRPr="00405016" w:rsidRDefault="00C928B9" w:rsidP="008C59B6">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 xml:space="preserve">Дали сериите се стационарни или не најдобро може да се заклучи доколку се спроведат повеќе тестови на единечен корен, и тоа за повеќето опции (со вклучен отсечок, со вклучен отсечок и тренд и без отсечок и тренд). Од табелата 3 може да се согледа дека се вклучени четири тестови и тоа: </w:t>
      </w:r>
      <w:r w:rsidRPr="00405016">
        <w:rPr>
          <w:rFonts w:ascii="Times New Roman" w:hAnsi="Times New Roman" w:cs="Times New Roman"/>
        </w:rPr>
        <w:t xml:space="preserve">Levin Lin and Chu; Im, Pesaran and Shin; ADF Fisher </w:t>
      </w:r>
      <w:r w:rsidR="00385CD1" w:rsidRPr="00405016">
        <w:rPr>
          <w:rFonts w:ascii="Times New Roman" w:hAnsi="Times New Roman" w:cs="Times New Roman"/>
          <w:b/>
          <w:bCs/>
        </w:rPr>
        <w:fldChar w:fldCharType="begin"/>
      </w:r>
      <w:r w:rsidRPr="00405016">
        <w:rPr>
          <w:rFonts w:ascii="Times New Roman" w:hAnsi="Times New Roman" w:cs="Times New Roman"/>
          <w:b/>
          <w:bCs/>
        </w:rPr>
        <w:instrText xml:space="preserve"> QUOTE </w:instrText>
      </w:r>
      <w:r w:rsidR="00983830" w:rsidRPr="00405016">
        <w:rPr>
          <w:rFonts w:ascii="Times New Roman" w:hAnsi="Times New Roman" w:cs="Times New Roman"/>
          <w:noProof/>
        </w:rPr>
        <w:drawing>
          <wp:inline distT="0" distB="0" distL="0" distR="0">
            <wp:extent cx="190500" cy="16065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500" cy="160655"/>
                    </a:xfrm>
                    <a:prstGeom prst="rect">
                      <a:avLst/>
                    </a:prstGeom>
                    <a:noFill/>
                    <a:ln w="9525">
                      <a:noFill/>
                      <a:miter lim="800000"/>
                      <a:headEnd/>
                      <a:tailEnd/>
                    </a:ln>
                  </pic:spPr>
                </pic:pic>
              </a:graphicData>
            </a:graphic>
          </wp:inline>
        </w:drawing>
      </w:r>
      <w:r w:rsidRPr="00405016">
        <w:rPr>
          <w:rFonts w:ascii="Times New Roman" w:hAnsi="Times New Roman" w:cs="Times New Roman"/>
          <w:b/>
          <w:bCs/>
        </w:rPr>
        <w:instrText xml:space="preserve"> </w:instrText>
      </w:r>
      <w:r w:rsidR="00385CD1" w:rsidRPr="00405016">
        <w:rPr>
          <w:rFonts w:ascii="Times New Roman" w:hAnsi="Times New Roman" w:cs="Times New Roman"/>
          <w:b/>
          <w:bCs/>
        </w:rPr>
        <w:fldChar w:fldCharType="separate"/>
      </w:r>
      <w:r w:rsidR="00983830" w:rsidRPr="00405016">
        <w:rPr>
          <w:rFonts w:ascii="Times New Roman" w:hAnsi="Times New Roman" w:cs="Times New Roman"/>
          <w:noProof/>
        </w:rPr>
        <w:drawing>
          <wp:inline distT="0" distB="0" distL="0" distR="0">
            <wp:extent cx="190500" cy="16065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500" cy="160655"/>
                    </a:xfrm>
                    <a:prstGeom prst="rect">
                      <a:avLst/>
                    </a:prstGeom>
                    <a:noFill/>
                    <a:ln w="9525">
                      <a:noFill/>
                      <a:miter lim="800000"/>
                      <a:headEnd/>
                      <a:tailEnd/>
                    </a:ln>
                  </pic:spPr>
                </pic:pic>
              </a:graphicData>
            </a:graphic>
          </wp:inline>
        </w:drawing>
      </w:r>
      <w:r w:rsidR="00385CD1" w:rsidRPr="00405016">
        <w:rPr>
          <w:rFonts w:ascii="Times New Roman" w:hAnsi="Times New Roman" w:cs="Times New Roman"/>
          <w:b/>
          <w:bCs/>
        </w:rPr>
        <w:fldChar w:fldCharType="end"/>
      </w:r>
      <w:r w:rsidRPr="00405016">
        <w:rPr>
          <w:rFonts w:ascii="Times New Roman" w:hAnsi="Times New Roman" w:cs="Times New Roman"/>
          <w:b/>
          <w:bCs/>
        </w:rPr>
        <w:t xml:space="preserve"> </w:t>
      </w:r>
      <w:r w:rsidRPr="00405016">
        <w:rPr>
          <w:rFonts w:ascii="Times New Roman" w:hAnsi="Times New Roman" w:cs="Times New Roman"/>
          <w:lang w:val="mk-MK"/>
        </w:rPr>
        <w:t xml:space="preserve">и </w:t>
      </w:r>
      <w:r w:rsidRPr="00405016">
        <w:rPr>
          <w:rFonts w:ascii="Times New Roman" w:hAnsi="Times New Roman" w:cs="Times New Roman"/>
        </w:rPr>
        <w:t>PP Fisher</w:t>
      </w:r>
      <w:r w:rsidRPr="00405016">
        <w:rPr>
          <w:rFonts w:ascii="Times New Roman" w:hAnsi="Times New Roman" w:cs="Times New Roman"/>
          <w:b/>
          <w:bCs/>
        </w:rPr>
        <w:t xml:space="preserve"> </w:t>
      </w:r>
      <w:r w:rsidR="00385CD1" w:rsidRPr="00405016">
        <w:rPr>
          <w:rFonts w:ascii="Times New Roman" w:hAnsi="Times New Roman" w:cs="Times New Roman"/>
          <w:b/>
          <w:bCs/>
        </w:rPr>
        <w:fldChar w:fldCharType="begin"/>
      </w:r>
      <w:r w:rsidRPr="00405016">
        <w:rPr>
          <w:rFonts w:ascii="Times New Roman" w:hAnsi="Times New Roman" w:cs="Times New Roman"/>
          <w:b/>
          <w:bCs/>
        </w:rPr>
        <w:instrText xml:space="preserve"> QUOTE </w:instrText>
      </w:r>
      <w:r w:rsidR="00983830" w:rsidRPr="00405016">
        <w:rPr>
          <w:rFonts w:ascii="Times New Roman" w:hAnsi="Times New Roman" w:cs="Times New Roman"/>
          <w:noProof/>
        </w:rPr>
        <w:drawing>
          <wp:inline distT="0" distB="0" distL="0" distR="0">
            <wp:extent cx="190500" cy="16065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500" cy="160655"/>
                    </a:xfrm>
                    <a:prstGeom prst="rect">
                      <a:avLst/>
                    </a:prstGeom>
                    <a:noFill/>
                    <a:ln w="9525">
                      <a:noFill/>
                      <a:miter lim="800000"/>
                      <a:headEnd/>
                      <a:tailEnd/>
                    </a:ln>
                  </pic:spPr>
                </pic:pic>
              </a:graphicData>
            </a:graphic>
          </wp:inline>
        </w:drawing>
      </w:r>
      <w:r w:rsidRPr="00405016">
        <w:rPr>
          <w:rFonts w:ascii="Times New Roman" w:hAnsi="Times New Roman" w:cs="Times New Roman"/>
          <w:b/>
          <w:bCs/>
        </w:rPr>
        <w:instrText xml:space="preserve"> </w:instrText>
      </w:r>
      <w:r w:rsidR="00385CD1" w:rsidRPr="00405016">
        <w:rPr>
          <w:rFonts w:ascii="Times New Roman" w:hAnsi="Times New Roman" w:cs="Times New Roman"/>
          <w:b/>
          <w:bCs/>
        </w:rPr>
        <w:fldChar w:fldCharType="separate"/>
      </w:r>
      <w:r w:rsidR="00983830" w:rsidRPr="00405016">
        <w:rPr>
          <w:rFonts w:ascii="Times New Roman" w:hAnsi="Times New Roman" w:cs="Times New Roman"/>
          <w:noProof/>
        </w:rPr>
        <w:drawing>
          <wp:inline distT="0" distB="0" distL="0" distR="0">
            <wp:extent cx="190500" cy="16065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500" cy="160655"/>
                    </a:xfrm>
                    <a:prstGeom prst="rect">
                      <a:avLst/>
                    </a:prstGeom>
                    <a:noFill/>
                    <a:ln w="9525">
                      <a:noFill/>
                      <a:miter lim="800000"/>
                      <a:headEnd/>
                      <a:tailEnd/>
                    </a:ln>
                  </pic:spPr>
                </pic:pic>
              </a:graphicData>
            </a:graphic>
          </wp:inline>
        </w:drawing>
      </w:r>
      <w:r w:rsidR="00385CD1" w:rsidRPr="00405016">
        <w:rPr>
          <w:rFonts w:ascii="Times New Roman" w:hAnsi="Times New Roman" w:cs="Times New Roman"/>
          <w:b/>
          <w:bCs/>
        </w:rPr>
        <w:fldChar w:fldCharType="end"/>
      </w:r>
      <w:r w:rsidRPr="00405016">
        <w:rPr>
          <w:rFonts w:ascii="Times New Roman" w:hAnsi="Times New Roman" w:cs="Times New Roman"/>
          <w:b/>
          <w:bCs/>
        </w:rPr>
        <w:t xml:space="preserve">. </w:t>
      </w:r>
      <w:r w:rsidRPr="00405016">
        <w:rPr>
          <w:rFonts w:ascii="Times New Roman" w:hAnsi="Times New Roman" w:cs="Times New Roman"/>
          <w:lang w:val="mk-MK"/>
        </w:rPr>
        <w:t>Сите тестови имаат иста нулта хипотеза, дека серијата има заеднички процес на единечен корен.</w:t>
      </w:r>
    </w:p>
    <w:p w:rsidR="003E5042" w:rsidRPr="00405016" w:rsidRDefault="003E5042" w:rsidP="008C59B6">
      <w:pPr>
        <w:pStyle w:val="Default"/>
        <w:spacing w:after="22"/>
        <w:ind w:firstLine="720"/>
        <w:jc w:val="both"/>
        <w:rPr>
          <w:rFonts w:ascii="Times New Roman" w:hAnsi="Times New Roman" w:cs="Times New Roman"/>
          <w:lang w:val="mk-MK"/>
        </w:rPr>
      </w:pPr>
    </w:p>
    <w:p w:rsidR="003E5042" w:rsidRPr="00405016" w:rsidRDefault="00C928B9" w:rsidP="00AF1B10">
      <w:pPr>
        <w:spacing w:after="0" w:line="240" w:lineRule="auto"/>
        <w:jc w:val="center"/>
        <w:rPr>
          <w:rFonts w:ascii="Times New Roman" w:hAnsi="Times New Roman" w:cs="Times New Roman"/>
          <w:i/>
          <w:iCs/>
        </w:rPr>
      </w:pPr>
      <w:r w:rsidRPr="00405016">
        <w:rPr>
          <w:rFonts w:ascii="Times New Roman" w:hAnsi="Times New Roman" w:cs="Times New Roman"/>
          <w:i/>
          <w:iCs/>
        </w:rPr>
        <w:t xml:space="preserve">Табела </w:t>
      </w:r>
      <w:r w:rsidRPr="00405016">
        <w:rPr>
          <w:rFonts w:ascii="Times New Roman" w:hAnsi="Times New Roman" w:cs="Times New Roman"/>
          <w:i/>
          <w:iCs/>
          <w:lang w:val="en-US"/>
        </w:rPr>
        <w:t>4</w:t>
      </w:r>
      <w:r w:rsidRPr="00405016">
        <w:rPr>
          <w:rFonts w:ascii="Times New Roman" w:hAnsi="Times New Roman" w:cs="Times New Roman"/>
          <w:i/>
          <w:iCs/>
        </w:rPr>
        <w:t>. Тестирање за коинтеграција помеѓу променливите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3"/>
        <w:gridCol w:w="1781"/>
        <w:gridCol w:w="1470"/>
      </w:tblGrid>
      <w:tr w:rsidR="003E5042" w:rsidRPr="001E4A4A">
        <w:trPr>
          <w:trHeight w:val="272"/>
          <w:jc w:val="center"/>
        </w:trPr>
        <w:tc>
          <w:tcPr>
            <w:tcW w:w="6224" w:type="dxa"/>
            <w:gridSpan w:val="3"/>
            <w:vAlign w:val="bottom"/>
          </w:tcPr>
          <w:p w:rsidR="003E5042" w:rsidRPr="001E4A4A" w:rsidRDefault="00C928B9" w:rsidP="00405016">
            <w:pPr>
              <w:autoSpaceDE w:val="0"/>
              <w:autoSpaceDN w:val="0"/>
              <w:adjustRightInd w:val="0"/>
              <w:spacing w:after="0" w:line="240" w:lineRule="auto"/>
              <w:jc w:val="center"/>
              <w:rPr>
                <w:rFonts w:ascii="Times New Roman" w:hAnsi="Times New Roman" w:cs="Times New Roman"/>
                <w:b/>
                <w:bCs/>
                <w:color w:val="000000"/>
              </w:rPr>
            </w:pPr>
            <w:r w:rsidRPr="001E4A4A">
              <w:rPr>
                <w:rFonts w:ascii="Times New Roman" w:hAnsi="Times New Roman" w:cs="Times New Roman"/>
                <w:b/>
                <w:bCs/>
                <w:color w:val="000000"/>
              </w:rPr>
              <w:t>Тест на Као за коинтеграција на резидуалите</w:t>
            </w:r>
          </w:p>
        </w:tc>
      </w:tr>
      <w:tr w:rsidR="003E5042" w:rsidRPr="001E4A4A">
        <w:trPr>
          <w:trHeight w:val="272"/>
          <w:jc w:val="center"/>
        </w:trPr>
        <w:tc>
          <w:tcPr>
            <w:tcW w:w="2973" w:type="dxa"/>
            <w:vAlign w:val="bottom"/>
          </w:tcPr>
          <w:p w:rsidR="003E5042" w:rsidRPr="001E4A4A" w:rsidRDefault="003E5042" w:rsidP="00405016">
            <w:pPr>
              <w:keepNext/>
              <w:keepLines/>
              <w:autoSpaceDE w:val="0"/>
              <w:autoSpaceDN w:val="0"/>
              <w:adjustRightInd w:val="0"/>
              <w:spacing w:after="0" w:line="240" w:lineRule="auto"/>
              <w:jc w:val="center"/>
              <w:outlineLvl w:val="0"/>
              <w:rPr>
                <w:rFonts w:ascii="Times New Roman" w:hAnsi="Times New Roman" w:cs="Times New Roman"/>
                <w:color w:val="000000"/>
              </w:rPr>
            </w:pPr>
          </w:p>
        </w:tc>
        <w:tc>
          <w:tcPr>
            <w:tcW w:w="1781" w:type="dxa"/>
            <w:vAlign w:val="bottom"/>
          </w:tcPr>
          <w:p w:rsidR="003E5042" w:rsidRPr="001E4A4A" w:rsidRDefault="00C928B9"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t-статистика</w:t>
            </w:r>
          </w:p>
        </w:tc>
        <w:tc>
          <w:tcPr>
            <w:tcW w:w="1470" w:type="dxa"/>
            <w:vAlign w:val="bottom"/>
          </w:tcPr>
          <w:p w:rsidR="003E5042" w:rsidRPr="001E4A4A" w:rsidRDefault="00C928B9"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lang w:val="en-US"/>
              </w:rPr>
              <w:t>P</w:t>
            </w:r>
            <w:r w:rsidRPr="001E4A4A">
              <w:rPr>
                <w:rFonts w:ascii="Times New Roman" w:hAnsi="Times New Roman" w:cs="Times New Roman"/>
                <w:color w:val="000000"/>
              </w:rPr>
              <w:t>-вредност</w:t>
            </w:r>
          </w:p>
        </w:tc>
      </w:tr>
      <w:tr w:rsidR="003E5042" w:rsidRPr="001E4A4A">
        <w:trPr>
          <w:trHeight w:val="272"/>
          <w:jc w:val="center"/>
        </w:trPr>
        <w:tc>
          <w:tcPr>
            <w:tcW w:w="2973" w:type="dxa"/>
            <w:vAlign w:val="bottom"/>
          </w:tcPr>
          <w:p w:rsidR="003E5042" w:rsidRPr="001E4A4A" w:rsidRDefault="00C928B9"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ADF</w:t>
            </w:r>
          </w:p>
        </w:tc>
        <w:tc>
          <w:tcPr>
            <w:tcW w:w="1781" w:type="dxa"/>
            <w:vAlign w:val="bottom"/>
          </w:tcPr>
          <w:p w:rsidR="003E5042" w:rsidRPr="001E4A4A" w:rsidRDefault="00C928B9"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-3,280465</w:t>
            </w:r>
          </w:p>
        </w:tc>
        <w:tc>
          <w:tcPr>
            <w:tcW w:w="1470" w:type="dxa"/>
            <w:vAlign w:val="bottom"/>
          </w:tcPr>
          <w:p w:rsidR="003E5042" w:rsidRPr="001E4A4A" w:rsidRDefault="006C09BC"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 </w:t>
            </w:r>
            <w:r w:rsidR="00C928B9" w:rsidRPr="001E4A4A">
              <w:rPr>
                <w:rFonts w:ascii="Times New Roman" w:hAnsi="Times New Roman" w:cs="Times New Roman"/>
                <w:color w:val="000000"/>
              </w:rPr>
              <w:t>0,0005</w:t>
            </w:r>
          </w:p>
        </w:tc>
      </w:tr>
      <w:tr w:rsidR="003E5042" w:rsidRPr="001E4A4A" w:rsidTr="00405016">
        <w:trPr>
          <w:trHeight w:val="109"/>
          <w:jc w:val="center"/>
        </w:trPr>
        <w:tc>
          <w:tcPr>
            <w:tcW w:w="2973" w:type="dxa"/>
            <w:vAlign w:val="bottom"/>
          </w:tcPr>
          <w:p w:rsidR="003E5042" w:rsidRPr="001E4A4A" w:rsidRDefault="003E5042" w:rsidP="00405016">
            <w:pPr>
              <w:keepNext/>
              <w:keepLines/>
              <w:autoSpaceDE w:val="0"/>
              <w:autoSpaceDN w:val="0"/>
              <w:adjustRightInd w:val="0"/>
              <w:spacing w:after="0" w:line="240" w:lineRule="auto"/>
              <w:outlineLvl w:val="0"/>
              <w:rPr>
                <w:rFonts w:ascii="Times New Roman" w:hAnsi="Times New Roman" w:cs="Times New Roman"/>
                <w:color w:val="000000"/>
                <w:lang w:val="en-US"/>
              </w:rPr>
            </w:pPr>
          </w:p>
        </w:tc>
        <w:tc>
          <w:tcPr>
            <w:tcW w:w="1781" w:type="dxa"/>
            <w:vAlign w:val="bottom"/>
          </w:tcPr>
          <w:p w:rsidR="003E5042" w:rsidRPr="001E4A4A" w:rsidRDefault="003E5042" w:rsidP="00405016">
            <w:pPr>
              <w:keepNext/>
              <w:keepLines/>
              <w:autoSpaceDE w:val="0"/>
              <w:autoSpaceDN w:val="0"/>
              <w:adjustRightInd w:val="0"/>
              <w:spacing w:after="0" w:line="240" w:lineRule="auto"/>
              <w:outlineLvl w:val="0"/>
              <w:rPr>
                <w:rFonts w:ascii="Times New Roman" w:hAnsi="Times New Roman" w:cs="Times New Roman"/>
                <w:color w:val="000000"/>
                <w:lang w:val="en-US"/>
              </w:rPr>
            </w:pPr>
          </w:p>
        </w:tc>
        <w:tc>
          <w:tcPr>
            <w:tcW w:w="1470" w:type="dxa"/>
            <w:vAlign w:val="bottom"/>
          </w:tcPr>
          <w:p w:rsidR="003E5042" w:rsidRPr="001E4A4A" w:rsidRDefault="003E5042" w:rsidP="00405016">
            <w:pPr>
              <w:keepNext/>
              <w:keepLines/>
              <w:autoSpaceDE w:val="0"/>
              <w:autoSpaceDN w:val="0"/>
              <w:adjustRightInd w:val="0"/>
              <w:spacing w:after="0" w:line="240" w:lineRule="auto"/>
              <w:outlineLvl w:val="0"/>
              <w:rPr>
                <w:rFonts w:ascii="Times New Roman" w:hAnsi="Times New Roman" w:cs="Times New Roman"/>
                <w:color w:val="000000"/>
                <w:lang w:val="en-US"/>
              </w:rPr>
            </w:pPr>
          </w:p>
        </w:tc>
      </w:tr>
      <w:tr w:rsidR="003E5042" w:rsidRPr="001E4A4A">
        <w:trPr>
          <w:trHeight w:val="272"/>
          <w:jc w:val="center"/>
        </w:trPr>
        <w:tc>
          <w:tcPr>
            <w:tcW w:w="2973" w:type="dxa"/>
            <w:vAlign w:val="bottom"/>
          </w:tcPr>
          <w:p w:rsidR="003E5042" w:rsidRPr="001E4A4A" w:rsidRDefault="00C928B9" w:rsidP="00405016">
            <w:pPr>
              <w:autoSpaceDE w:val="0"/>
              <w:autoSpaceDN w:val="0"/>
              <w:adjustRightInd w:val="0"/>
              <w:spacing w:after="0" w:line="240" w:lineRule="auto"/>
              <w:rPr>
                <w:rFonts w:ascii="Times New Roman" w:hAnsi="Times New Roman" w:cs="Times New Roman"/>
                <w:color w:val="000000"/>
              </w:rPr>
            </w:pPr>
            <w:r w:rsidRPr="001E4A4A">
              <w:rPr>
                <w:rFonts w:ascii="Times New Roman" w:hAnsi="Times New Roman" w:cs="Times New Roman"/>
                <w:color w:val="000000"/>
              </w:rPr>
              <w:t>Варијанса на резидуалите</w:t>
            </w:r>
          </w:p>
        </w:tc>
        <w:tc>
          <w:tcPr>
            <w:tcW w:w="1781" w:type="dxa"/>
            <w:vAlign w:val="bottom"/>
          </w:tcPr>
          <w:p w:rsidR="003E5042" w:rsidRPr="001E4A4A" w:rsidRDefault="006C09BC"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 </w:t>
            </w:r>
            <w:r w:rsidR="00C928B9" w:rsidRPr="001E4A4A">
              <w:rPr>
                <w:rFonts w:ascii="Times New Roman" w:hAnsi="Times New Roman" w:cs="Times New Roman"/>
                <w:color w:val="000000"/>
              </w:rPr>
              <w:t>0,060541</w:t>
            </w:r>
          </w:p>
        </w:tc>
        <w:tc>
          <w:tcPr>
            <w:tcW w:w="1470" w:type="dxa"/>
            <w:vAlign w:val="bottom"/>
          </w:tcPr>
          <w:p w:rsidR="003E5042" w:rsidRPr="001E4A4A" w:rsidRDefault="003E5042" w:rsidP="00405016">
            <w:pPr>
              <w:keepNext/>
              <w:keepLines/>
              <w:autoSpaceDE w:val="0"/>
              <w:autoSpaceDN w:val="0"/>
              <w:adjustRightInd w:val="0"/>
              <w:spacing w:after="0" w:line="240" w:lineRule="auto"/>
              <w:outlineLvl w:val="0"/>
              <w:rPr>
                <w:rFonts w:ascii="Times New Roman" w:hAnsi="Times New Roman" w:cs="Times New Roman"/>
                <w:color w:val="000000"/>
              </w:rPr>
            </w:pPr>
          </w:p>
        </w:tc>
      </w:tr>
      <w:tr w:rsidR="003E5042" w:rsidRPr="001E4A4A">
        <w:trPr>
          <w:trHeight w:val="272"/>
          <w:jc w:val="center"/>
        </w:trPr>
        <w:tc>
          <w:tcPr>
            <w:tcW w:w="2973" w:type="dxa"/>
            <w:vAlign w:val="bottom"/>
          </w:tcPr>
          <w:p w:rsidR="003E5042" w:rsidRPr="001E4A4A" w:rsidRDefault="00C928B9" w:rsidP="00405016">
            <w:pPr>
              <w:autoSpaceDE w:val="0"/>
              <w:autoSpaceDN w:val="0"/>
              <w:adjustRightInd w:val="0"/>
              <w:spacing w:after="0" w:line="240" w:lineRule="auto"/>
              <w:rPr>
                <w:rFonts w:ascii="Times New Roman" w:hAnsi="Times New Roman" w:cs="Times New Roman"/>
                <w:color w:val="000000"/>
              </w:rPr>
            </w:pPr>
            <w:r w:rsidRPr="001E4A4A">
              <w:rPr>
                <w:rFonts w:ascii="Times New Roman" w:hAnsi="Times New Roman" w:cs="Times New Roman"/>
                <w:color w:val="000000"/>
              </w:rPr>
              <w:t>HAC варијанса</w:t>
            </w:r>
          </w:p>
        </w:tc>
        <w:tc>
          <w:tcPr>
            <w:tcW w:w="1781" w:type="dxa"/>
            <w:vAlign w:val="bottom"/>
          </w:tcPr>
          <w:p w:rsidR="003E5042" w:rsidRPr="001E4A4A" w:rsidRDefault="006C09BC" w:rsidP="00405016">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 </w:t>
            </w:r>
            <w:r w:rsidR="00C928B9" w:rsidRPr="001E4A4A">
              <w:rPr>
                <w:rFonts w:ascii="Times New Roman" w:hAnsi="Times New Roman" w:cs="Times New Roman"/>
                <w:color w:val="000000"/>
              </w:rPr>
              <w:t>0,072390</w:t>
            </w:r>
          </w:p>
        </w:tc>
        <w:tc>
          <w:tcPr>
            <w:tcW w:w="1470" w:type="dxa"/>
            <w:vAlign w:val="bottom"/>
          </w:tcPr>
          <w:p w:rsidR="003E5042" w:rsidRPr="001E4A4A" w:rsidRDefault="003E5042" w:rsidP="00405016">
            <w:pPr>
              <w:keepNext/>
              <w:keepLines/>
              <w:autoSpaceDE w:val="0"/>
              <w:autoSpaceDN w:val="0"/>
              <w:adjustRightInd w:val="0"/>
              <w:spacing w:after="0" w:line="240" w:lineRule="auto"/>
              <w:outlineLvl w:val="0"/>
              <w:rPr>
                <w:rFonts w:ascii="Times New Roman" w:hAnsi="Times New Roman" w:cs="Times New Roman"/>
                <w:color w:val="000000"/>
              </w:rPr>
            </w:pPr>
          </w:p>
        </w:tc>
      </w:tr>
    </w:tbl>
    <w:p w:rsidR="003E5042" w:rsidRPr="00405016" w:rsidRDefault="00C928B9" w:rsidP="00AF1B10">
      <w:pPr>
        <w:spacing w:after="0" w:line="240" w:lineRule="auto"/>
        <w:jc w:val="both"/>
        <w:rPr>
          <w:rFonts w:ascii="Times New Roman" w:hAnsi="Times New Roman" w:cs="Times New Roman"/>
        </w:rPr>
      </w:pPr>
      <w:r w:rsidRPr="00405016">
        <w:rPr>
          <w:rFonts w:ascii="Times New Roman" w:hAnsi="Times New Roman" w:cs="Times New Roman"/>
        </w:rPr>
        <w:t>Извор</w:t>
      </w:r>
      <w:r w:rsidRPr="00405016">
        <w:rPr>
          <w:rFonts w:ascii="Times New Roman" w:hAnsi="Times New Roman" w:cs="Times New Roman"/>
          <w:lang w:val="en-US"/>
        </w:rPr>
        <w:t xml:space="preserve">: </w:t>
      </w:r>
      <w:r w:rsidRPr="00405016">
        <w:rPr>
          <w:rFonts w:ascii="Times New Roman" w:hAnsi="Times New Roman" w:cs="Times New Roman"/>
        </w:rPr>
        <w:t>Пресметки на авторот.</w:t>
      </w:r>
    </w:p>
    <w:p w:rsidR="003E5042" w:rsidRDefault="003E5042" w:rsidP="008C59B6">
      <w:pPr>
        <w:pStyle w:val="Default"/>
        <w:spacing w:after="22"/>
        <w:ind w:firstLine="720"/>
        <w:jc w:val="both"/>
        <w:rPr>
          <w:rFonts w:ascii="Times New Roman" w:hAnsi="Times New Roman" w:cs="Times New Roman"/>
          <w:lang w:val="mk-MK"/>
        </w:rPr>
      </w:pPr>
    </w:p>
    <w:p w:rsidR="001E4A4A" w:rsidRPr="00405016" w:rsidRDefault="001E4A4A" w:rsidP="001E4A4A">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lastRenderedPageBreak/>
        <w:t xml:space="preserve">За повеќето променливи од тестовите може јасно да се согледа дека се стационарни во својата прва диференција. Кај променливата </w:t>
      </w:r>
      <w:r w:rsidRPr="00405016">
        <w:rPr>
          <w:rFonts w:ascii="Times New Roman" w:hAnsi="Times New Roman" w:cs="Times New Roman"/>
        </w:rPr>
        <w:t xml:space="preserve">EMPLOY </w:t>
      </w:r>
      <w:r w:rsidRPr="00405016">
        <w:rPr>
          <w:rFonts w:ascii="Times New Roman" w:hAnsi="Times New Roman" w:cs="Times New Roman"/>
          <w:lang w:val="mk-MK"/>
        </w:rPr>
        <w:t>ова својство се јавува кога тестовите на единечен корен се спроведуваат без отсечок и тренд. Општиот заклучок е дека сите променливи се стационарни во својата прва диференција и поради оваа карактеристика треба да се провери дали е можно тие да бидат коинтегрирани.</w:t>
      </w:r>
    </w:p>
    <w:p w:rsidR="003E5042" w:rsidRPr="00405016" w:rsidRDefault="00C928B9" w:rsidP="00C4782A">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За проверка на коинтеграцијата се користи тестот на</w:t>
      </w:r>
      <w:r w:rsidRPr="00405016">
        <w:rPr>
          <w:rFonts w:ascii="Times New Roman" w:hAnsi="Times New Roman" w:cs="Times New Roman"/>
        </w:rPr>
        <w:t xml:space="preserve"> Kao </w:t>
      </w:r>
      <w:r w:rsidRPr="00405016">
        <w:rPr>
          <w:rFonts w:ascii="Times New Roman" w:hAnsi="Times New Roman" w:cs="Times New Roman"/>
          <w:lang w:val="mk-MK"/>
        </w:rPr>
        <w:t xml:space="preserve">за коинтеграција на резидуалите (англ. </w:t>
      </w:r>
      <w:r w:rsidRPr="00405016">
        <w:rPr>
          <w:rFonts w:ascii="Times New Roman" w:hAnsi="Times New Roman" w:cs="Times New Roman"/>
        </w:rPr>
        <w:t xml:space="preserve">Kao Residual Cointegration Test). </w:t>
      </w:r>
      <w:r w:rsidRPr="00405016">
        <w:rPr>
          <w:rFonts w:ascii="Times New Roman" w:hAnsi="Times New Roman" w:cs="Times New Roman"/>
          <w:lang w:val="mk-MK"/>
        </w:rPr>
        <w:t>Во овој тест нултата хипотеза гласи дека не постои коинтеграција помеѓу променлив</w:t>
      </w:r>
      <w:r w:rsidR="003E5042" w:rsidRPr="00405016">
        <w:rPr>
          <w:rFonts w:ascii="Times New Roman" w:hAnsi="Times New Roman" w:cs="Times New Roman"/>
          <w:lang w:val="mk-MK"/>
        </w:rPr>
        <w:t>и</w:t>
      </w:r>
      <w:r w:rsidRPr="00405016">
        <w:rPr>
          <w:rFonts w:ascii="Times New Roman" w:hAnsi="Times New Roman" w:cs="Times New Roman"/>
          <w:lang w:val="mk-MK"/>
        </w:rPr>
        <w:t>те. Резултатите се прикажани во табелата 4.</w:t>
      </w:r>
    </w:p>
    <w:p w:rsidR="003E5042" w:rsidRPr="00405016" w:rsidRDefault="00C928B9" w:rsidP="00AF1B10">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 xml:space="preserve">Од прикажаниот тест и </w:t>
      </w:r>
      <w:r w:rsidRPr="00405016">
        <w:rPr>
          <w:rFonts w:ascii="Times New Roman" w:hAnsi="Times New Roman" w:cs="Times New Roman"/>
        </w:rPr>
        <w:t>p</w:t>
      </w:r>
      <w:r w:rsidRPr="00405016">
        <w:rPr>
          <w:rFonts w:ascii="Times New Roman" w:hAnsi="Times New Roman" w:cs="Times New Roman"/>
          <w:lang w:val="mk-MK"/>
        </w:rPr>
        <w:t xml:space="preserve">-вредност од 0,0005 може да се заклучи дека се отфрла нултата хипотеза која гласи дека нема коинтеграција. Бидејќи наведените променливи се коинтегрирани, потребно е да се оцени коинтегрирана панел регресија. За оценувањето се користи методот на целосно модификувани најмали квадрати (англ. </w:t>
      </w:r>
      <w:r w:rsidRPr="00405016">
        <w:rPr>
          <w:rFonts w:ascii="Times New Roman" w:hAnsi="Times New Roman" w:cs="Times New Roman"/>
        </w:rPr>
        <w:t xml:space="preserve">Fully Modified Least Squares Method). </w:t>
      </w:r>
      <w:r w:rsidRPr="00405016">
        <w:rPr>
          <w:rFonts w:ascii="Times New Roman" w:hAnsi="Times New Roman" w:cs="Times New Roman"/>
          <w:lang w:val="mk-MK"/>
        </w:rPr>
        <w:t xml:space="preserve">Резултатите од </w:t>
      </w:r>
      <w:r w:rsidR="003E5042" w:rsidRPr="00405016">
        <w:rPr>
          <w:rFonts w:ascii="Times New Roman" w:hAnsi="Times New Roman" w:cs="Times New Roman"/>
          <w:lang w:val="mk-MK"/>
        </w:rPr>
        <w:t>неа</w:t>
      </w:r>
      <w:r w:rsidRPr="00405016">
        <w:rPr>
          <w:rFonts w:ascii="Times New Roman" w:hAnsi="Times New Roman" w:cs="Times New Roman"/>
          <w:lang w:val="mk-MK"/>
        </w:rPr>
        <w:t xml:space="preserve"> се прикажани во табела 5.</w:t>
      </w:r>
    </w:p>
    <w:p w:rsidR="003E5042" w:rsidRPr="00405016" w:rsidRDefault="003E5042" w:rsidP="00AF1B10">
      <w:pPr>
        <w:pStyle w:val="Default"/>
        <w:spacing w:after="22"/>
        <w:ind w:firstLine="720"/>
        <w:jc w:val="both"/>
        <w:rPr>
          <w:rFonts w:ascii="Times New Roman" w:hAnsi="Times New Roman" w:cs="Times New Roman"/>
          <w:lang w:val="mk-MK"/>
        </w:rPr>
      </w:pPr>
    </w:p>
    <w:p w:rsidR="003E5042" w:rsidRPr="00405016" w:rsidRDefault="00C928B9" w:rsidP="00894E73">
      <w:pPr>
        <w:spacing w:after="0" w:line="240" w:lineRule="auto"/>
        <w:jc w:val="center"/>
        <w:rPr>
          <w:rFonts w:ascii="Times New Roman" w:hAnsi="Times New Roman" w:cs="Times New Roman"/>
          <w:i/>
          <w:iCs/>
        </w:rPr>
      </w:pPr>
      <w:r w:rsidRPr="00405016">
        <w:rPr>
          <w:rFonts w:ascii="Times New Roman" w:hAnsi="Times New Roman" w:cs="Times New Roman"/>
          <w:i/>
          <w:iCs/>
        </w:rPr>
        <w:t>Табела 5. Оценети параметри на коинтегрирана панел регресија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57"/>
        <w:gridCol w:w="1555"/>
        <w:gridCol w:w="1556"/>
        <w:gridCol w:w="1556"/>
        <w:gridCol w:w="1556"/>
      </w:tblGrid>
      <w:tr w:rsidR="003E5042" w:rsidRPr="001E4A4A">
        <w:trPr>
          <w:trHeight w:val="273"/>
          <w:jc w:val="center"/>
        </w:trPr>
        <w:tc>
          <w:tcPr>
            <w:tcW w:w="2257" w:type="dxa"/>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b/>
                <w:bCs/>
                <w:color w:val="000000"/>
              </w:rPr>
            </w:pPr>
            <w:r w:rsidRPr="001E4A4A">
              <w:rPr>
                <w:rFonts w:ascii="Times New Roman" w:hAnsi="Times New Roman" w:cs="Times New Roman"/>
                <w:b/>
                <w:bCs/>
                <w:color w:val="000000"/>
              </w:rPr>
              <w:t>Променлива</w:t>
            </w:r>
          </w:p>
        </w:tc>
        <w:tc>
          <w:tcPr>
            <w:tcW w:w="1555" w:type="dxa"/>
            <w:vAlign w:val="center"/>
          </w:tcPr>
          <w:p w:rsidR="003E5042" w:rsidRPr="001E4A4A" w:rsidRDefault="00C928B9" w:rsidP="00894E73">
            <w:pPr>
              <w:autoSpaceDE w:val="0"/>
              <w:autoSpaceDN w:val="0"/>
              <w:adjustRightInd w:val="0"/>
              <w:spacing w:after="0" w:line="240" w:lineRule="auto"/>
              <w:ind w:right="10"/>
              <w:jc w:val="center"/>
              <w:rPr>
                <w:rFonts w:ascii="Times New Roman" w:hAnsi="Times New Roman" w:cs="Times New Roman"/>
                <w:b/>
                <w:bCs/>
                <w:color w:val="000000"/>
              </w:rPr>
            </w:pPr>
            <w:r w:rsidRPr="001E4A4A">
              <w:rPr>
                <w:rFonts w:ascii="Times New Roman" w:hAnsi="Times New Roman" w:cs="Times New Roman"/>
                <w:b/>
                <w:bCs/>
                <w:color w:val="000000"/>
              </w:rPr>
              <w:t>Коефициент</w:t>
            </w:r>
          </w:p>
        </w:tc>
        <w:tc>
          <w:tcPr>
            <w:tcW w:w="1556" w:type="dxa"/>
            <w:vAlign w:val="center"/>
          </w:tcPr>
          <w:p w:rsidR="003E5042" w:rsidRPr="001E4A4A" w:rsidRDefault="00C928B9" w:rsidP="00894E73">
            <w:pPr>
              <w:autoSpaceDE w:val="0"/>
              <w:autoSpaceDN w:val="0"/>
              <w:adjustRightInd w:val="0"/>
              <w:spacing w:after="0" w:line="240" w:lineRule="auto"/>
              <w:ind w:right="10"/>
              <w:jc w:val="center"/>
              <w:rPr>
                <w:rFonts w:ascii="Times New Roman" w:hAnsi="Times New Roman" w:cs="Times New Roman"/>
                <w:b/>
                <w:bCs/>
                <w:color w:val="000000"/>
              </w:rPr>
            </w:pPr>
            <w:r w:rsidRPr="001E4A4A">
              <w:rPr>
                <w:rFonts w:ascii="Times New Roman" w:hAnsi="Times New Roman" w:cs="Times New Roman"/>
                <w:b/>
                <w:bCs/>
                <w:color w:val="000000"/>
              </w:rPr>
              <w:t>Стандардна грешка</w:t>
            </w:r>
          </w:p>
        </w:tc>
        <w:tc>
          <w:tcPr>
            <w:tcW w:w="1556" w:type="dxa"/>
            <w:vAlign w:val="center"/>
          </w:tcPr>
          <w:p w:rsidR="003E5042" w:rsidRPr="001E4A4A" w:rsidRDefault="00C928B9" w:rsidP="00894E73">
            <w:pPr>
              <w:autoSpaceDE w:val="0"/>
              <w:autoSpaceDN w:val="0"/>
              <w:adjustRightInd w:val="0"/>
              <w:spacing w:after="0" w:line="240" w:lineRule="auto"/>
              <w:ind w:right="10"/>
              <w:jc w:val="center"/>
              <w:rPr>
                <w:rFonts w:ascii="Times New Roman" w:hAnsi="Times New Roman" w:cs="Times New Roman"/>
                <w:b/>
                <w:bCs/>
                <w:color w:val="000000"/>
              </w:rPr>
            </w:pPr>
            <w:r w:rsidRPr="001E4A4A">
              <w:rPr>
                <w:rFonts w:ascii="Times New Roman" w:hAnsi="Times New Roman" w:cs="Times New Roman"/>
                <w:b/>
                <w:bCs/>
                <w:color w:val="000000"/>
              </w:rPr>
              <w:t>t-статистика</w:t>
            </w:r>
          </w:p>
        </w:tc>
        <w:tc>
          <w:tcPr>
            <w:tcW w:w="1556" w:type="dxa"/>
            <w:vAlign w:val="center"/>
          </w:tcPr>
          <w:p w:rsidR="003E5042" w:rsidRPr="001E4A4A" w:rsidRDefault="00C928B9" w:rsidP="00894E73">
            <w:pPr>
              <w:autoSpaceDE w:val="0"/>
              <w:autoSpaceDN w:val="0"/>
              <w:adjustRightInd w:val="0"/>
              <w:spacing w:after="0" w:line="240" w:lineRule="auto"/>
              <w:ind w:right="10"/>
              <w:jc w:val="center"/>
              <w:rPr>
                <w:rFonts w:ascii="Times New Roman" w:hAnsi="Times New Roman" w:cs="Times New Roman"/>
                <w:b/>
                <w:bCs/>
                <w:color w:val="000000"/>
              </w:rPr>
            </w:pPr>
            <w:r w:rsidRPr="001E4A4A">
              <w:rPr>
                <w:rFonts w:ascii="Times New Roman" w:hAnsi="Times New Roman" w:cs="Times New Roman"/>
                <w:b/>
                <w:bCs/>
                <w:color w:val="000000"/>
                <w:lang w:val="en-US"/>
              </w:rPr>
              <w:t>p</w:t>
            </w:r>
            <w:r w:rsidRPr="001E4A4A">
              <w:rPr>
                <w:rFonts w:ascii="Times New Roman" w:hAnsi="Times New Roman" w:cs="Times New Roman"/>
                <w:b/>
                <w:bCs/>
                <w:color w:val="000000"/>
              </w:rPr>
              <w:t>-вредност</w:t>
            </w:r>
          </w:p>
        </w:tc>
      </w:tr>
      <w:tr w:rsidR="003E5042" w:rsidRPr="001E4A4A">
        <w:trPr>
          <w:trHeight w:val="273"/>
          <w:jc w:val="center"/>
        </w:trPr>
        <w:tc>
          <w:tcPr>
            <w:tcW w:w="2257" w:type="dxa"/>
            <w:vAlign w:val="center"/>
          </w:tcPr>
          <w:p w:rsidR="003E5042" w:rsidRPr="001E4A4A" w:rsidRDefault="003E5042" w:rsidP="00894E73">
            <w:pPr>
              <w:keepNext/>
              <w:keepLines/>
              <w:autoSpaceDE w:val="0"/>
              <w:autoSpaceDN w:val="0"/>
              <w:adjustRightInd w:val="0"/>
              <w:spacing w:before="480" w:after="0" w:line="240" w:lineRule="auto"/>
              <w:jc w:val="center"/>
              <w:outlineLvl w:val="0"/>
              <w:rPr>
                <w:rFonts w:ascii="Times New Roman" w:hAnsi="Times New Roman" w:cs="Times New Roman"/>
                <w:color w:val="000000"/>
              </w:rPr>
            </w:pPr>
          </w:p>
        </w:tc>
        <w:tc>
          <w:tcPr>
            <w:tcW w:w="1555" w:type="dxa"/>
            <w:vAlign w:val="center"/>
          </w:tcPr>
          <w:p w:rsidR="003E5042" w:rsidRPr="001E4A4A" w:rsidRDefault="003E5042" w:rsidP="00894E73">
            <w:pPr>
              <w:keepNext/>
              <w:keepLines/>
              <w:autoSpaceDE w:val="0"/>
              <w:autoSpaceDN w:val="0"/>
              <w:adjustRightInd w:val="0"/>
              <w:spacing w:before="480" w:after="0" w:line="240" w:lineRule="auto"/>
              <w:jc w:val="center"/>
              <w:outlineLvl w:val="0"/>
              <w:rPr>
                <w:rFonts w:ascii="Times New Roman" w:hAnsi="Times New Roman" w:cs="Times New Roman"/>
                <w:color w:val="000000"/>
              </w:rPr>
            </w:pPr>
          </w:p>
        </w:tc>
        <w:tc>
          <w:tcPr>
            <w:tcW w:w="1556" w:type="dxa"/>
            <w:vAlign w:val="center"/>
          </w:tcPr>
          <w:p w:rsidR="003E5042" w:rsidRPr="001E4A4A" w:rsidRDefault="003E5042" w:rsidP="00894E73">
            <w:pPr>
              <w:keepNext/>
              <w:keepLines/>
              <w:autoSpaceDE w:val="0"/>
              <w:autoSpaceDN w:val="0"/>
              <w:adjustRightInd w:val="0"/>
              <w:spacing w:before="480" w:after="0" w:line="240" w:lineRule="auto"/>
              <w:jc w:val="center"/>
              <w:outlineLvl w:val="0"/>
              <w:rPr>
                <w:rFonts w:ascii="Times New Roman" w:hAnsi="Times New Roman" w:cs="Times New Roman"/>
                <w:color w:val="000000"/>
              </w:rPr>
            </w:pPr>
          </w:p>
        </w:tc>
        <w:tc>
          <w:tcPr>
            <w:tcW w:w="1556" w:type="dxa"/>
            <w:vAlign w:val="center"/>
          </w:tcPr>
          <w:p w:rsidR="003E5042" w:rsidRPr="001E4A4A" w:rsidRDefault="003E5042" w:rsidP="00894E73">
            <w:pPr>
              <w:keepNext/>
              <w:keepLines/>
              <w:autoSpaceDE w:val="0"/>
              <w:autoSpaceDN w:val="0"/>
              <w:adjustRightInd w:val="0"/>
              <w:spacing w:before="480" w:after="0" w:line="240" w:lineRule="auto"/>
              <w:jc w:val="center"/>
              <w:outlineLvl w:val="0"/>
              <w:rPr>
                <w:rFonts w:ascii="Times New Roman" w:hAnsi="Times New Roman" w:cs="Times New Roman"/>
                <w:color w:val="000000"/>
              </w:rPr>
            </w:pPr>
          </w:p>
        </w:tc>
        <w:tc>
          <w:tcPr>
            <w:tcW w:w="1556" w:type="dxa"/>
            <w:vAlign w:val="center"/>
          </w:tcPr>
          <w:p w:rsidR="003E5042" w:rsidRPr="001E4A4A" w:rsidRDefault="003E5042" w:rsidP="00894E73">
            <w:pPr>
              <w:keepNext/>
              <w:keepLines/>
              <w:autoSpaceDE w:val="0"/>
              <w:autoSpaceDN w:val="0"/>
              <w:adjustRightInd w:val="0"/>
              <w:spacing w:before="480" w:after="0" w:line="240" w:lineRule="auto"/>
              <w:jc w:val="center"/>
              <w:outlineLvl w:val="0"/>
              <w:rPr>
                <w:rFonts w:ascii="Times New Roman" w:hAnsi="Times New Roman" w:cs="Times New Roman"/>
                <w:color w:val="000000"/>
              </w:rPr>
            </w:pPr>
          </w:p>
        </w:tc>
      </w:tr>
      <w:tr w:rsidR="003E5042" w:rsidRPr="001E4A4A">
        <w:trPr>
          <w:trHeight w:val="273"/>
          <w:jc w:val="center"/>
        </w:trPr>
        <w:tc>
          <w:tcPr>
            <w:tcW w:w="2257" w:type="dxa"/>
            <w:shd w:val="clear" w:color="auto" w:fill="BFBFBF"/>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CPI</w:t>
            </w:r>
          </w:p>
        </w:tc>
        <w:tc>
          <w:tcPr>
            <w:tcW w:w="1555"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0,031788</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0,005649</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5,627383</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0,0000</w:t>
            </w:r>
          </w:p>
        </w:tc>
      </w:tr>
      <w:tr w:rsidR="003E5042" w:rsidRPr="001E4A4A">
        <w:trPr>
          <w:trHeight w:val="273"/>
          <w:jc w:val="center"/>
        </w:trPr>
        <w:tc>
          <w:tcPr>
            <w:tcW w:w="2257" w:type="dxa"/>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EMPLOY</w:t>
            </w:r>
          </w:p>
        </w:tc>
        <w:tc>
          <w:tcPr>
            <w:tcW w:w="1555"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0,017843</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0,019719</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0,904849</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0,3671</w:t>
            </w:r>
          </w:p>
        </w:tc>
      </w:tr>
      <w:tr w:rsidR="003E5042" w:rsidRPr="001E4A4A">
        <w:trPr>
          <w:trHeight w:val="273"/>
          <w:jc w:val="center"/>
        </w:trPr>
        <w:tc>
          <w:tcPr>
            <w:tcW w:w="2257" w:type="dxa"/>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FOOD</w:t>
            </w:r>
          </w:p>
        </w:tc>
        <w:tc>
          <w:tcPr>
            <w:tcW w:w="1555"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-0,004031</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0,005037</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-0,800167</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0,4250</w:t>
            </w:r>
          </w:p>
        </w:tc>
      </w:tr>
      <w:tr w:rsidR="003E5042" w:rsidRPr="001E4A4A">
        <w:trPr>
          <w:trHeight w:val="273"/>
          <w:jc w:val="center"/>
        </w:trPr>
        <w:tc>
          <w:tcPr>
            <w:tcW w:w="2257" w:type="dxa"/>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HEALTH</w:t>
            </w:r>
          </w:p>
        </w:tc>
        <w:tc>
          <w:tcPr>
            <w:tcW w:w="1555"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-0,091849</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0,066601</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-1,379096</w:t>
            </w:r>
          </w:p>
        </w:tc>
        <w:tc>
          <w:tcPr>
            <w:tcW w:w="1556" w:type="dxa"/>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0,1701</w:t>
            </w:r>
          </w:p>
        </w:tc>
      </w:tr>
      <w:tr w:rsidR="003E5042" w:rsidRPr="001E4A4A">
        <w:trPr>
          <w:trHeight w:val="273"/>
          <w:jc w:val="center"/>
        </w:trPr>
        <w:tc>
          <w:tcPr>
            <w:tcW w:w="2257" w:type="dxa"/>
            <w:shd w:val="clear" w:color="auto" w:fill="BFBFBF"/>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LOGGNI</w:t>
            </w:r>
          </w:p>
        </w:tc>
        <w:tc>
          <w:tcPr>
            <w:tcW w:w="1555"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0,798142</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0,219550</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3,635353</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0,0004</w:t>
            </w:r>
          </w:p>
        </w:tc>
      </w:tr>
      <w:tr w:rsidR="003E5042" w:rsidRPr="001E4A4A">
        <w:trPr>
          <w:trHeight w:val="273"/>
          <w:jc w:val="center"/>
        </w:trPr>
        <w:tc>
          <w:tcPr>
            <w:tcW w:w="2257" w:type="dxa"/>
            <w:shd w:val="clear" w:color="auto" w:fill="BFBFBF"/>
            <w:vAlign w:val="center"/>
          </w:tcPr>
          <w:p w:rsidR="003E5042" w:rsidRPr="001E4A4A" w:rsidRDefault="00C928B9" w:rsidP="00894E73">
            <w:pPr>
              <w:autoSpaceDE w:val="0"/>
              <w:autoSpaceDN w:val="0"/>
              <w:adjustRightInd w:val="0"/>
              <w:spacing w:after="0" w:line="240" w:lineRule="auto"/>
              <w:jc w:val="center"/>
              <w:rPr>
                <w:rFonts w:ascii="Times New Roman" w:hAnsi="Times New Roman" w:cs="Times New Roman"/>
                <w:color w:val="000000"/>
              </w:rPr>
            </w:pPr>
            <w:r w:rsidRPr="001E4A4A">
              <w:rPr>
                <w:rFonts w:ascii="Times New Roman" w:hAnsi="Times New Roman" w:cs="Times New Roman"/>
                <w:color w:val="000000"/>
              </w:rPr>
              <w:t>VACCINE</w:t>
            </w:r>
          </w:p>
        </w:tc>
        <w:tc>
          <w:tcPr>
            <w:tcW w:w="1555"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0,052611</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0,014292</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3,681104</w:t>
            </w:r>
          </w:p>
        </w:tc>
        <w:tc>
          <w:tcPr>
            <w:tcW w:w="1556" w:type="dxa"/>
            <w:shd w:val="clear" w:color="auto" w:fill="BFBFBF"/>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0,0003</w:t>
            </w:r>
          </w:p>
        </w:tc>
      </w:tr>
      <w:tr w:rsidR="003E5042" w:rsidRPr="001E4A4A">
        <w:trPr>
          <w:trHeight w:val="273"/>
          <w:jc w:val="center"/>
        </w:trPr>
        <w:tc>
          <w:tcPr>
            <w:tcW w:w="2257" w:type="dxa"/>
            <w:vAlign w:val="center"/>
          </w:tcPr>
          <w:p w:rsidR="003E5042" w:rsidRPr="001E4A4A" w:rsidRDefault="003E5042" w:rsidP="00894E73">
            <w:pPr>
              <w:autoSpaceDE w:val="0"/>
              <w:autoSpaceDN w:val="0"/>
              <w:adjustRightInd w:val="0"/>
              <w:spacing w:before="100" w:beforeAutospacing="1" w:after="0" w:afterAutospacing="1" w:line="240" w:lineRule="auto"/>
              <w:jc w:val="center"/>
              <w:outlineLvl w:val="1"/>
              <w:rPr>
                <w:rFonts w:ascii="Times New Roman" w:hAnsi="Times New Roman" w:cs="Times New Roman"/>
                <w:color w:val="000000"/>
              </w:rPr>
            </w:pPr>
          </w:p>
        </w:tc>
        <w:tc>
          <w:tcPr>
            <w:tcW w:w="1555" w:type="dxa"/>
            <w:vAlign w:val="center"/>
          </w:tcPr>
          <w:p w:rsidR="003E5042" w:rsidRPr="001E4A4A" w:rsidRDefault="003E5042" w:rsidP="00894E73">
            <w:pPr>
              <w:autoSpaceDE w:val="0"/>
              <w:autoSpaceDN w:val="0"/>
              <w:adjustRightInd w:val="0"/>
              <w:spacing w:before="100" w:beforeAutospacing="1" w:after="0" w:afterAutospacing="1" w:line="240" w:lineRule="auto"/>
              <w:jc w:val="center"/>
              <w:outlineLvl w:val="1"/>
              <w:rPr>
                <w:rFonts w:ascii="Times New Roman" w:hAnsi="Times New Roman" w:cs="Times New Roman"/>
                <w:color w:val="000000"/>
              </w:rPr>
            </w:pPr>
          </w:p>
        </w:tc>
        <w:tc>
          <w:tcPr>
            <w:tcW w:w="1556" w:type="dxa"/>
            <w:vAlign w:val="center"/>
          </w:tcPr>
          <w:p w:rsidR="003E5042" w:rsidRPr="001E4A4A" w:rsidRDefault="003E5042" w:rsidP="00894E73">
            <w:pPr>
              <w:autoSpaceDE w:val="0"/>
              <w:autoSpaceDN w:val="0"/>
              <w:adjustRightInd w:val="0"/>
              <w:spacing w:before="100" w:beforeAutospacing="1" w:after="0" w:afterAutospacing="1" w:line="240" w:lineRule="auto"/>
              <w:jc w:val="center"/>
              <w:outlineLvl w:val="1"/>
              <w:rPr>
                <w:rFonts w:ascii="Times New Roman" w:hAnsi="Times New Roman" w:cs="Times New Roman"/>
                <w:color w:val="000000"/>
              </w:rPr>
            </w:pPr>
          </w:p>
        </w:tc>
        <w:tc>
          <w:tcPr>
            <w:tcW w:w="1556" w:type="dxa"/>
            <w:vAlign w:val="center"/>
          </w:tcPr>
          <w:p w:rsidR="003E5042" w:rsidRPr="001E4A4A" w:rsidRDefault="003E5042" w:rsidP="00894E73">
            <w:pPr>
              <w:autoSpaceDE w:val="0"/>
              <w:autoSpaceDN w:val="0"/>
              <w:adjustRightInd w:val="0"/>
              <w:spacing w:before="100" w:beforeAutospacing="1" w:after="0" w:afterAutospacing="1" w:line="240" w:lineRule="auto"/>
              <w:jc w:val="center"/>
              <w:outlineLvl w:val="1"/>
              <w:rPr>
                <w:rFonts w:ascii="Times New Roman" w:hAnsi="Times New Roman" w:cs="Times New Roman"/>
                <w:color w:val="000000"/>
              </w:rPr>
            </w:pPr>
          </w:p>
        </w:tc>
        <w:tc>
          <w:tcPr>
            <w:tcW w:w="1556" w:type="dxa"/>
            <w:vAlign w:val="center"/>
          </w:tcPr>
          <w:p w:rsidR="003E5042" w:rsidRPr="001E4A4A" w:rsidRDefault="003E5042" w:rsidP="00894E73">
            <w:pPr>
              <w:autoSpaceDE w:val="0"/>
              <w:autoSpaceDN w:val="0"/>
              <w:adjustRightInd w:val="0"/>
              <w:spacing w:before="100" w:beforeAutospacing="1" w:after="0" w:afterAutospacing="1" w:line="240" w:lineRule="auto"/>
              <w:jc w:val="center"/>
              <w:outlineLvl w:val="1"/>
              <w:rPr>
                <w:rFonts w:ascii="Times New Roman" w:hAnsi="Times New Roman" w:cs="Times New Roman"/>
                <w:color w:val="000000"/>
              </w:rPr>
            </w:pPr>
          </w:p>
        </w:tc>
      </w:tr>
      <w:tr w:rsidR="003E5042" w:rsidRPr="001E4A4A">
        <w:trPr>
          <w:trHeight w:hRule="exact" w:val="257"/>
          <w:jc w:val="center"/>
        </w:trPr>
        <w:tc>
          <w:tcPr>
            <w:tcW w:w="5368" w:type="dxa"/>
            <w:gridSpan w:val="3"/>
            <w:vAlign w:val="center"/>
          </w:tcPr>
          <w:p w:rsidR="003E5042" w:rsidRPr="001E4A4A" w:rsidRDefault="00C928B9" w:rsidP="00894E73">
            <w:pPr>
              <w:autoSpaceDE w:val="0"/>
              <w:autoSpaceDN w:val="0"/>
              <w:adjustRightInd w:val="0"/>
              <w:spacing w:after="0" w:line="240" w:lineRule="auto"/>
              <w:ind w:right="10"/>
              <w:rPr>
                <w:rFonts w:ascii="Times New Roman" w:hAnsi="Times New Roman" w:cs="Times New Roman"/>
                <w:color w:val="000000"/>
              </w:rPr>
            </w:pPr>
            <w:r w:rsidRPr="001E4A4A">
              <w:rPr>
                <w:rFonts w:ascii="Times New Roman" w:hAnsi="Times New Roman" w:cs="Times New Roman"/>
                <w:color w:val="000000"/>
              </w:rPr>
              <w:t>Коефициент на детерминација</w:t>
            </w:r>
          </w:p>
        </w:tc>
        <w:tc>
          <w:tcPr>
            <w:tcW w:w="3112" w:type="dxa"/>
            <w:gridSpan w:val="2"/>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0,983560</w:t>
            </w:r>
          </w:p>
        </w:tc>
      </w:tr>
      <w:tr w:rsidR="003E5042" w:rsidRPr="001E4A4A">
        <w:trPr>
          <w:trHeight w:val="273"/>
          <w:jc w:val="center"/>
        </w:trPr>
        <w:tc>
          <w:tcPr>
            <w:tcW w:w="5368" w:type="dxa"/>
            <w:gridSpan w:val="3"/>
            <w:vAlign w:val="center"/>
          </w:tcPr>
          <w:p w:rsidR="003E5042" w:rsidRPr="001E4A4A" w:rsidRDefault="00C928B9" w:rsidP="00894E73">
            <w:pPr>
              <w:autoSpaceDE w:val="0"/>
              <w:autoSpaceDN w:val="0"/>
              <w:adjustRightInd w:val="0"/>
              <w:spacing w:after="0" w:line="240" w:lineRule="auto"/>
              <w:ind w:right="10"/>
              <w:rPr>
                <w:rFonts w:ascii="Times New Roman" w:hAnsi="Times New Roman" w:cs="Times New Roman"/>
                <w:color w:val="000000"/>
              </w:rPr>
            </w:pPr>
            <w:r w:rsidRPr="001E4A4A">
              <w:rPr>
                <w:rFonts w:ascii="Times New Roman" w:hAnsi="Times New Roman" w:cs="Times New Roman"/>
                <w:color w:val="000000"/>
              </w:rPr>
              <w:t>Прилагоден коефициент на детерминација</w:t>
            </w:r>
          </w:p>
        </w:tc>
        <w:tc>
          <w:tcPr>
            <w:tcW w:w="3112" w:type="dxa"/>
            <w:gridSpan w:val="2"/>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0,981535</w:t>
            </w:r>
          </w:p>
        </w:tc>
      </w:tr>
      <w:tr w:rsidR="003E5042" w:rsidRPr="001E4A4A">
        <w:trPr>
          <w:trHeight w:val="273"/>
          <w:jc w:val="center"/>
        </w:trPr>
        <w:tc>
          <w:tcPr>
            <w:tcW w:w="5368" w:type="dxa"/>
            <w:gridSpan w:val="3"/>
            <w:vAlign w:val="center"/>
          </w:tcPr>
          <w:p w:rsidR="003E5042" w:rsidRPr="001E4A4A" w:rsidRDefault="00C928B9" w:rsidP="00894E73">
            <w:pPr>
              <w:autoSpaceDE w:val="0"/>
              <w:autoSpaceDN w:val="0"/>
              <w:adjustRightInd w:val="0"/>
              <w:spacing w:after="0" w:line="240" w:lineRule="auto"/>
              <w:ind w:right="10"/>
              <w:rPr>
                <w:rFonts w:ascii="Times New Roman" w:hAnsi="Times New Roman" w:cs="Times New Roman"/>
                <w:color w:val="000000"/>
              </w:rPr>
            </w:pPr>
            <w:r w:rsidRPr="001E4A4A">
              <w:rPr>
                <w:rFonts w:ascii="Times New Roman" w:hAnsi="Times New Roman" w:cs="Times New Roman"/>
                <w:color w:val="000000"/>
              </w:rPr>
              <w:t>Стандардна грешка на регресијата</w:t>
            </w:r>
          </w:p>
        </w:tc>
        <w:tc>
          <w:tcPr>
            <w:tcW w:w="3112" w:type="dxa"/>
            <w:gridSpan w:val="2"/>
            <w:vAlign w:val="center"/>
          </w:tcPr>
          <w:p w:rsidR="003E5042" w:rsidRPr="001E4A4A" w:rsidRDefault="00C928B9" w:rsidP="003F3824">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0,439472</w:t>
            </w:r>
          </w:p>
        </w:tc>
      </w:tr>
      <w:tr w:rsidR="003E5042" w:rsidRPr="001E4A4A">
        <w:trPr>
          <w:trHeight w:val="273"/>
          <w:jc w:val="center"/>
        </w:trPr>
        <w:tc>
          <w:tcPr>
            <w:tcW w:w="5368" w:type="dxa"/>
            <w:gridSpan w:val="3"/>
            <w:vAlign w:val="center"/>
          </w:tcPr>
          <w:p w:rsidR="003E5042" w:rsidRPr="001E4A4A" w:rsidRDefault="00C928B9" w:rsidP="00894E73">
            <w:pPr>
              <w:autoSpaceDE w:val="0"/>
              <w:autoSpaceDN w:val="0"/>
              <w:adjustRightInd w:val="0"/>
              <w:spacing w:after="0" w:line="240" w:lineRule="auto"/>
              <w:ind w:right="10"/>
              <w:rPr>
                <w:rFonts w:ascii="Times New Roman" w:hAnsi="Times New Roman" w:cs="Times New Roman"/>
                <w:color w:val="000000"/>
              </w:rPr>
            </w:pPr>
            <w:r w:rsidRPr="001E4A4A">
              <w:rPr>
                <w:rFonts w:ascii="Times New Roman" w:hAnsi="Times New Roman" w:cs="Times New Roman"/>
                <w:color w:val="000000"/>
              </w:rPr>
              <w:t>Долгорочна варијанса</w:t>
            </w:r>
          </w:p>
        </w:tc>
        <w:tc>
          <w:tcPr>
            <w:tcW w:w="3112" w:type="dxa"/>
            <w:gridSpan w:val="2"/>
            <w:vAlign w:val="center"/>
          </w:tcPr>
          <w:p w:rsidR="003E5042" w:rsidRPr="001E4A4A" w:rsidRDefault="00C928B9" w:rsidP="00894E73">
            <w:pPr>
              <w:autoSpaceDE w:val="0"/>
              <w:autoSpaceDN w:val="0"/>
              <w:adjustRightInd w:val="0"/>
              <w:spacing w:after="0" w:line="240" w:lineRule="auto"/>
              <w:ind w:right="10"/>
              <w:jc w:val="right"/>
              <w:rPr>
                <w:rFonts w:ascii="Times New Roman" w:hAnsi="Times New Roman" w:cs="Times New Roman"/>
                <w:color w:val="000000"/>
              </w:rPr>
            </w:pPr>
            <w:r w:rsidRPr="001E4A4A">
              <w:rPr>
                <w:rFonts w:ascii="Times New Roman" w:hAnsi="Times New Roman" w:cs="Times New Roman"/>
                <w:color w:val="000000"/>
              </w:rPr>
              <w:t>0,294714</w:t>
            </w:r>
          </w:p>
        </w:tc>
      </w:tr>
    </w:tbl>
    <w:p w:rsidR="003E5042" w:rsidRPr="00405016" w:rsidRDefault="00C928B9" w:rsidP="00894E73">
      <w:pPr>
        <w:spacing w:after="0" w:line="240" w:lineRule="auto"/>
        <w:jc w:val="both"/>
        <w:rPr>
          <w:rFonts w:ascii="Times New Roman" w:hAnsi="Times New Roman" w:cs="Times New Roman"/>
        </w:rPr>
      </w:pPr>
      <w:r w:rsidRPr="00405016">
        <w:rPr>
          <w:rFonts w:ascii="Times New Roman" w:hAnsi="Times New Roman" w:cs="Times New Roman"/>
        </w:rPr>
        <w:t>Извор</w:t>
      </w:r>
      <w:r w:rsidRPr="00405016">
        <w:rPr>
          <w:rFonts w:ascii="Times New Roman" w:hAnsi="Times New Roman" w:cs="Times New Roman"/>
          <w:lang w:val="en-US"/>
        </w:rPr>
        <w:t xml:space="preserve">: </w:t>
      </w:r>
      <w:r w:rsidRPr="00405016">
        <w:rPr>
          <w:rFonts w:ascii="Times New Roman" w:hAnsi="Times New Roman" w:cs="Times New Roman"/>
        </w:rPr>
        <w:t>Пресметки на авторот</w:t>
      </w:r>
      <w:r w:rsidR="003E5042" w:rsidRPr="00405016">
        <w:rPr>
          <w:rFonts w:ascii="Times New Roman" w:hAnsi="Times New Roman" w:cs="Times New Roman"/>
        </w:rPr>
        <w:t>.</w:t>
      </w:r>
    </w:p>
    <w:p w:rsidR="003E5042" w:rsidRPr="00405016" w:rsidRDefault="003E5042" w:rsidP="008C59B6">
      <w:pPr>
        <w:pStyle w:val="Default"/>
        <w:spacing w:after="22"/>
        <w:ind w:firstLine="720"/>
        <w:jc w:val="both"/>
        <w:rPr>
          <w:rFonts w:ascii="Times New Roman" w:hAnsi="Times New Roman" w:cs="Times New Roman"/>
          <w:lang w:val="mk-MK"/>
        </w:rPr>
      </w:pPr>
    </w:p>
    <w:p w:rsidR="003E5042" w:rsidRPr="00405016" w:rsidRDefault="00C928B9" w:rsidP="008C59B6">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Резултатите потврдуваат дека статистички значајни променливи кои го детерминираат очекуваното траење на животот</w:t>
      </w:r>
      <w:r w:rsidRPr="00405016">
        <w:rPr>
          <w:rFonts w:ascii="Times New Roman" w:hAnsi="Times New Roman" w:cs="Times New Roman"/>
        </w:rPr>
        <w:t xml:space="preserve"> </w:t>
      </w:r>
      <w:r w:rsidRPr="00405016">
        <w:rPr>
          <w:rFonts w:ascii="Times New Roman" w:hAnsi="Times New Roman" w:cs="Times New Roman"/>
          <w:lang w:val="mk-MK"/>
        </w:rPr>
        <w:t>во земјите од Југоисточна Европа се бруто националниот доход, нивото на потрошувачки цени и имунизацијата на децата.</w:t>
      </w:r>
    </w:p>
    <w:p w:rsidR="003E5042" w:rsidRPr="00405016" w:rsidRDefault="00C928B9" w:rsidP="00E11357">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 xml:space="preserve">Бруто националниот доход има позитивен и статистички значаен ефект на очекуваното траење на животот. Со коефициент од 0,798142 тој покажува дека доколку националниот доход по глава на жител се зголеми за 1% во земјите од Југоисточна Европа, тогаш може да се очекува пораст на очекуваното траење на животот за 0,798142%. Овој резултат е јасен и очекуван, бидејќи поголемиот национален доход значи и подобар животен стандард каде што постојат подобри услови за домување, образование, здравствени услуги, поквалитетна храна. Историски, оваа променлива е една од основните кога станува збор за нејзиното влијание врз очекуваното траење на животот. И трудовите на </w:t>
      </w:r>
      <w:r w:rsidRPr="00405016">
        <w:rPr>
          <w:rFonts w:ascii="Times New Roman" w:hAnsi="Times New Roman" w:cs="Times New Roman"/>
        </w:rPr>
        <w:t xml:space="preserve">Bilas et al. (2014), Gilligan and Skrepnek (2014) </w:t>
      </w:r>
      <w:r w:rsidRPr="00405016">
        <w:rPr>
          <w:rFonts w:ascii="Times New Roman" w:hAnsi="Times New Roman" w:cs="Times New Roman"/>
          <w:lang w:val="mk-MK"/>
        </w:rPr>
        <w:t xml:space="preserve">и </w:t>
      </w:r>
      <w:r w:rsidRPr="00405016">
        <w:rPr>
          <w:rFonts w:ascii="Times New Roman" w:hAnsi="Times New Roman" w:cs="Times New Roman"/>
        </w:rPr>
        <w:t xml:space="preserve">Bayati et al. (2013) </w:t>
      </w:r>
      <w:r w:rsidRPr="00405016">
        <w:rPr>
          <w:rFonts w:ascii="Times New Roman" w:hAnsi="Times New Roman" w:cs="Times New Roman"/>
          <w:lang w:val="mk-MK"/>
        </w:rPr>
        <w:t>го потврдуваат значењето на оваа променлива за различни групи на земји.</w:t>
      </w:r>
    </w:p>
    <w:p w:rsidR="003E5042" w:rsidRPr="00405016" w:rsidRDefault="00C928B9" w:rsidP="00E11357">
      <w:pPr>
        <w:pStyle w:val="Default"/>
        <w:spacing w:after="22"/>
        <w:ind w:firstLine="720"/>
        <w:jc w:val="both"/>
        <w:rPr>
          <w:rFonts w:ascii="Times New Roman" w:hAnsi="Times New Roman" w:cs="Times New Roman"/>
        </w:rPr>
      </w:pPr>
      <w:r w:rsidRPr="00405016">
        <w:rPr>
          <w:rFonts w:ascii="Times New Roman" w:hAnsi="Times New Roman" w:cs="Times New Roman"/>
          <w:lang w:val="mk-MK"/>
        </w:rPr>
        <w:t>Нивото на потрошувачки цени има позитивно и статистички значајно влијание на очекуваното траење на животот. Ова</w:t>
      </w:r>
      <w:r w:rsidR="003E5042" w:rsidRPr="00405016">
        <w:rPr>
          <w:rFonts w:ascii="Times New Roman" w:hAnsi="Times New Roman" w:cs="Times New Roman"/>
          <w:lang w:val="mk-MK"/>
        </w:rPr>
        <w:t>,</w:t>
      </w:r>
      <w:r w:rsidRPr="00405016">
        <w:rPr>
          <w:rFonts w:ascii="Times New Roman" w:hAnsi="Times New Roman" w:cs="Times New Roman"/>
          <w:lang w:val="mk-MK"/>
        </w:rPr>
        <w:t xml:space="preserve"> пред с</w:t>
      </w:r>
      <w:r w:rsidR="003E5042" w:rsidRPr="00405016">
        <w:rPr>
          <w:rFonts w:ascii="Times New Roman" w:hAnsi="Times New Roman" w:cs="Times New Roman"/>
          <w:lang w:val="mk-MK"/>
        </w:rPr>
        <w:t>è,</w:t>
      </w:r>
      <w:r w:rsidRPr="00405016">
        <w:rPr>
          <w:rFonts w:ascii="Times New Roman" w:hAnsi="Times New Roman" w:cs="Times New Roman"/>
          <w:lang w:val="mk-MK"/>
        </w:rPr>
        <w:t xml:space="preserve"> се должи на тоа што индексот на потрошувачки цени се искажува како базичен индекс во однос на 2010 година и како </w:t>
      </w:r>
      <w:r w:rsidRPr="00405016">
        <w:rPr>
          <w:rFonts w:ascii="Times New Roman" w:hAnsi="Times New Roman" w:cs="Times New Roman"/>
          <w:lang w:val="mk-MK"/>
        </w:rPr>
        <w:lastRenderedPageBreak/>
        <w:t>таков бележи постојан раст. Постојан раст бележи и очекуваното траење на живот</w:t>
      </w:r>
      <w:r w:rsidR="003E5042" w:rsidRPr="00405016">
        <w:rPr>
          <w:rFonts w:ascii="Times New Roman" w:hAnsi="Times New Roman" w:cs="Times New Roman"/>
          <w:lang w:val="mk-MK"/>
        </w:rPr>
        <w:t>от</w:t>
      </w:r>
      <w:r w:rsidRPr="00405016">
        <w:rPr>
          <w:rFonts w:ascii="Times New Roman" w:hAnsi="Times New Roman" w:cs="Times New Roman"/>
          <w:lang w:val="mk-MK"/>
        </w:rPr>
        <w:t xml:space="preserve"> и</w:t>
      </w:r>
      <w:r w:rsidR="003E5042" w:rsidRPr="00405016">
        <w:rPr>
          <w:rFonts w:ascii="Times New Roman" w:hAnsi="Times New Roman" w:cs="Times New Roman"/>
          <w:lang w:val="mk-MK"/>
        </w:rPr>
        <w:t xml:space="preserve"> </w:t>
      </w:r>
      <w:r w:rsidRPr="00405016">
        <w:rPr>
          <w:rFonts w:ascii="Times New Roman" w:hAnsi="Times New Roman" w:cs="Times New Roman"/>
          <w:lang w:val="mk-MK"/>
        </w:rPr>
        <w:t>помеѓу овие променливи корелацијата изнесува 0,49. Нивната поврзаност не е случајна. Историски, постои статистички значајна врска помеѓу цените на храната и морталитетот</w:t>
      </w:r>
      <w:r w:rsidRPr="00405016">
        <w:rPr>
          <w:rFonts w:ascii="Times New Roman" w:hAnsi="Times New Roman" w:cs="Times New Roman"/>
        </w:rPr>
        <w:t>.</w:t>
      </w:r>
      <w:r w:rsidRPr="00405016">
        <w:rPr>
          <w:rFonts w:ascii="Times New Roman" w:hAnsi="Times New Roman" w:cs="Times New Roman"/>
          <w:lang w:val="mk-MK"/>
        </w:rPr>
        <w:t xml:space="preserve"> Дополнително, оваа поврзаност е објаснета и во моделот на Малтус во кој се говори меѓу</w:t>
      </w:r>
      <w:r w:rsidR="003E5042" w:rsidRPr="00405016">
        <w:rPr>
          <w:rFonts w:ascii="Times New Roman" w:hAnsi="Times New Roman" w:cs="Times New Roman"/>
          <w:lang w:val="mk-MK"/>
        </w:rPr>
        <w:t xml:space="preserve"> </w:t>
      </w:r>
      <w:r w:rsidRPr="00405016">
        <w:rPr>
          <w:rFonts w:ascii="Times New Roman" w:hAnsi="Times New Roman" w:cs="Times New Roman"/>
          <w:lang w:val="mk-MK"/>
        </w:rPr>
        <w:t>другото дека с</w:t>
      </w:r>
      <w:r w:rsidR="003E5042" w:rsidRPr="00405016">
        <w:rPr>
          <w:rFonts w:ascii="Times New Roman" w:hAnsi="Times New Roman" w:cs="Times New Roman"/>
          <w:lang w:val="mk-MK"/>
        </w:rPr>
        <w:t>о</w:t>
      </w:r>
      <w:r w:rsidRPr="00405016">
        <w:rPr>
          <w:rFonts w:ascii="Times New Roman" w:hAnsi="Times New Roman" w:cs="Times New Roman"/>
          <w:lang w:val="mk-MK"/>
        </w:rPr>
        <w:t xml:space="preserve"> порастот на храна расте и побарувачката за храна, со што цените постојано растат</w:t>
      </w:r>
      <w:r w:rsidRPr="00405016">
        <w:rPr>
          <w:rFonts w:ascii="Times New Roman" w:hAnsi="Times New Roman" w:cs="Times New Roman"/>
        </w:rPr>
        <w:t xml:space="preserve"> </w:t>
      </w:r>
      <w:r w:rsidRPr="00405016">
        <w:rPr>
          <w:rFonts w:ascii="Times New Roman" w:hAnsi="Times New Roman" w:cs="Times New Roman"/>
          <w:lang w:val="mk-MK"/>
        </w:rPr>
        <w:t>(Livi-Bacci,</w:t>
      </w:r>
      <w:r w:rsidRPr="00405016">
        <w:rPr>
          <w:rFonts w:ascii="Times New Roman" w:hAnsi="Times New Roman" w:cs="Times New Roman"/>
        </w:rPr>
        <w:t xml:space="preserve"> 2007</w:t>
      </w:r>
      <w:r w:rsidRPr="00405016">
        <w:rPr>
          <w:rFonts w:ascii="Times New Roman" w:hAnsi="Times New Roman" w:cs="Times New Roman"/>
          <w:lang w:val="mk-MK"/>
        </w:rPr>
        <w:t>).</w:t>
      </w:r>
    </w:p>
    <w:p w:rsidR="003E5042" w:rsidRPr="00405016" w:rsidRDefault="00C928B9" w:rsidP="00E11357">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Моделот потврди и дека помеѓу имунизацијата на децата и очекуваното траење на животот постои позитивна и статистички значајна условеност. Ова е важно да се знае, посебно во време кога се појавуваат бројни дебати за корисноста на вакцините и разните теории, кои</w:t>
      </w:r>
      <w:r w:rsidR="003E5042" w:rsidRPr="00405016">
        <w:rPr>
          <w:rFonts w:ascii="Times New Roman" w:hAnsi="Times New Roman" w:cs="Times New Roman"/>
          <w:lang w:val="mk-MK"/>
        </w:rPr>
        <w:t>,</w:t>
      </w:r>
      <w:r w:rsidRPr="00405016">
        <w:rPr>
          <w:rFonts w:ascii="Times New Roman" w:hAnsi="Times New Roman" w:cs="Times New Roman"/>
          <w:lang w:val="mk-MK"/>
        </w:rPr>
        <w:t xml:space="preserve"> иако научно непотврдени, влијаат на многу млади родители да ја избегнат имунизацијата на своите деца.</w:t>
      </w:r>
    </w:p>
    <w:p w:rsidR="003E5042" w:rsidRPr="00405016" w:rsidRDefault="00C928B9" w:rsidP="008C59B6">
      <w:pPr>
        <w:pStyle w:val="Default"/>
        <w:spacing w:after="22"/>
        <w:ind w:firstLine="720"/>
        <w:jc w:val="both"/>
        <w:rPr>
          <w:rFonts w:ascii="Times New Roman" w:hAnsi="Times New Roman" w:cs="Times New Roman"/>
          <w:lang w:val="mk-MK"/>
        </w:rPr>
      </w:pPr>
      <w:r w:rsidRPr="00405016">
        <w:rPr>
          <w:rFonts w:ascii="Times New Roman" w:hAnsi="Times New Roman" w:cs="Times New Roman"/>
          <w:lang w:val="mk-MK"/>
        </w:rPr>
        <w:t>Променливите кои ја прикажува</w:t>
      </w:r>
      <w:r w:rsidR="003E5042" w:rsidRPr="00405016">
        <w:rPr>
          <w:rFonts w:ascii="Times New Roman" w:hAnsi="Times New Roman" w:cs="Times New Roman"/>
          <w:lang w:val="mk-MK"/>
        </w:rPr>
        <w:t>ат</w:t>
      </w:r>
      <w:r w:rsidRPr="00405016">
        <w:rPr>
          <w:rFonts w:ascii="Times New Roman" w:hAnsi="Times New Roman" w:cs="Times New Roman"/>
          <w:lang w:val="mk-MK"/>
        </w:rPr>
        <w:t xml:space="preserve"> вработеноста, индексот на производство на храна и процентот на здравствените трошоци не се покажаа како статистички значајни променливи кои имаат влијание врз очекуваното траење на животот.</w:t>
      </w:r>
    </w:p>
    <w:p w:rsidR="003E5042" w:rsidRPr="00405016" w:rsidRDefault="003E5042" w:rsidP="00BC4E8B">
      <w:pPr>
        <w:pStyle w:val="Default"/>
        <w:spacing w:after="22"/>
        <w:jc w:val="both"/>
        <w:rPr>
          <w:rFonts w:ascii="Times New Roman" w:hAnsi="Times New Roman" w:cs="Times New Roman"/>
          <w:lang w:val="mk-MK"/>
        </w:rPr>
      </w:pPr>
    </w:p>
    <w:p w:rsidR="003E5042" w:rsidRPr="00405016" w:rsidRDefault="003E5042" w:rsidP="008C59B6">
      <w:pPr>
        <w:pStyle w:val="Default"/>
        <w:spacing w:after="22"/>
        <w:ind w:firstLine="720"/>
        <w:jc w:val="both"/>
        <w:rPr>
          <w:rFonts w:ascii="Times New Roman" w:hAnsi="Times New Roman" w:cs="Times New Roman"/>
          <w:lang w:val="mk-MK"/>
        </w:rPr>
      </w:pPr>
    </w:p>
    <w:p w:rsidR="003E5042" w:rsidRPr="00405016" w:rsidRDefault="00C928B9" w:rsidP="008C59B6">
      <w:pPr>
        <w:spacing w:after="0" w:line="240" w:lineRule="auto"/>
        <w:jc w:val="center"/>
        <w:rPr>
          <w:rFonts w:ascii="Times New Roman" w:hAnsi="Times New Roman" w:cs="Times New Roman"/>
          <w:b/>
          <w:bCs/>
          <w:sz w:val="24"/>
          <w:szCs w:val="24"/>
        </w:rPr>
      </w:pPr>
      <w:r w:rsidRPr="00405016">
        <w:rPr>
          <w:rFonts w:ascii="Times New Roman" w:hAnsi="Times New Roman" w:cs="Times New Roman"/>
          <w:b/>
          <w:bCs/>
          <w:sz w:val="24"/>
          <w:szCs w:val="24"/>
        </w:rPr>
        <w:t>Заклучок</w:t>
      </w:r>
    </w:p>
    <w:p w:rsidR="003E5042" w:rsidRPr="00405016" w:rsidRDefault="003E5042" w:rsidP="008C59B6">
      <w:pPr>
        <w:spacing w:after="0" w:line="240" w:lineRule="auto"/>
        <w:jc w:val="center"/>
        <w:rPr>
          <w:rFonts w:ascii="Times New Roman" w:hAnsi="Times New Roman" w:cs="Times New Roman"/>
          <w:b/>
          <w:bCs/>
          <w:sz w:val="24"/>
          <w:szCs w:val="24"/>
          <w:lang w:val="en-US"/>
        </w:rPr>
      </w:pPr>
    </w:p>
    <w:p w:rsidR="003E5042" w:rsidRPr="00405016" w:rsidRDefault="00C928B9" w:rsidP="008C59B6">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color w:val="auto"/>
          <w:lang w:val="mk-MK"/>
        </w:rPr>
        <w:t>Од панел анализата се издвоија три променливи</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бруто националниот доход, индексот на потрошувачки цени и имунизацијата на децата како основни детерминанти на очекуваното ниво на живот во земјите од Југоисточна Европа. Ова треба да го имаат предвид креаторите на социјалните и </w:t>
      </w:r>
      <w:r w:rsidR="003E5042" w:rsidRPr="00405016">
        <w:rPr>
          <w:rFonts w:ascii="Times New Roman" w:hAnsi="Times New Roman" w:cs="Times New Roman"/>
          <w:color w:val="auto"/>
          <w:lang w:val="mk-MK"/>
        </w:rPr>
        <w:t xml:space="preserve">на </w:t>
      </w:r>
      <w:r w:rsidRPr="00405016">
        <w:rPr>
          <w:rFonts w:ascii="Times New Roman" w:hAnsi="Times New Roman" w:cs="Times New Roman"/>
          <w:color w:val="auto"/>
          <w:lang w:val="mk-MK"/>
        </w:rPr>
        <w:t>економските политики</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со цел да го подобрат квалитетот на живот</w:t>
      </w:r>
      <w:r w:rsidR="003E5042" w:rsidRPr="00405016">
        <w:rPr>
          <w:rFonts w:ascii="Times New Roman" w:hAnsi="Times New Roman" w:cs="Times New Roman"/>
          <w:color w:val="auto"/>
          <w:lang w:val="mk-MK"/>
        </w:rPr>
        <w:t>от</w:t>
      </w:r>
      <w:r w:rsidRPr="00405016">
        <w:rPr>
          <w:rFonts w:ascii="Times New Roman" w:hAnsi="Times New Roman" w:cs="Times New Roman"/>
          <w:color w:val="auto"/>
          <w:lang w:val="mk-MK"/>
        </w:rPr>
        <w:t xml:space="preserve"> на својата нација. </w:t>
      </w:r>
    </w:p>
    <w:p w:rsidR="003E5042" w:rsidRPr="00405016" w:rsidRDefault="00C928B9" w:rsidP="00497784">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color w:val="auto"/>
          <w:lang w:val="mk-MK"/>
        </w:rPr>
        <w:t>Земјите од Југоисточна Европа се земји со турбулентни настани, нај</w:t>
      </w:r>
      <w:r w:rsidR="003E5042" w:rsidRPr="00405016">
        <w:rPr>
          <w:rFonts w:ascii="Times New Roman" w:hAnsi="Times New Roman" w:cs="Times New Roman"/>
          <w:color w:val="auto"/>
          <w:lang w:val="mk-MK"/>
        </w:rPr>
        <w:t>многу</w:t>
      </w:r>
      <w:r w:rsidRPr="00405016">
        <w:rPr>
          <w:rFonts w:ascii="Times New Roman" w:hAnsi="Times New Roman" w:cs="Times New Roman"/>
          <w:color w:val="auto"/>
          <w:lang w:val="mk-MK"/>
        </w:rPr>
        <w:t xml:space="preserve"> од политички и </w:t>
      </w:r>
      <w:r w:rsidR="003E5042" w:rsidRPr="00405016">
        <w:rPr>
          <w:rFonts w:ascii="Times New Roman" w:hAnsi="Times New Roman" w:cs="Times New Roman"/>
          <w:color w:val="auto"/>
          <w:lang w:val="mk-MK"/>
        </w:rPr>
        <w:t xml:space="preserve">од </w:t>
      </w:r>
      <w:r w:rsidRPr="00405016">
        <w:rPr>
          <w:rFonts w:ascii="Times New Roman" w:hAnsi="Times New Roman" w:cs="Times New Roman"/>
          <w:color w:val="auto"/>
          <w:lang w:val="mk-MK"/>
        </w:rPr>
        <w:t>економски карактер. И додека очекуваното траење на живот</w:t>
      </w:r>
      <w:r w:rsidR="003E5042" w:rsidRPr="00405016">
        <w:rPr>
          <w:rFonts w:ascii="Times New Roman" w:hAnsi="Times New Roman" w:cs="Times New Roman"/>
          <w:color w:val="auto"/>
          <w:lang w:val="mk-MK"/>
        </w:rPr>
        <w:t>от,</w:t>
      </w:r>
      <w:r w:rsidRPr="00405016">
        <w:rPr>
          <w:rFonts w:ascii="Times New Roman" w:hAnsi="Times New Roman" w:cs="Times New Roman"/>
          <w:color w:val="auto"/>
          <w:lang w:val="mk-MK"/>
        </w:rPr>
        <w:t xml:space="preserve"> генерално</w:t>
      </w:r>
      <w:r w:rsidR="003E5042" w:rsidRPr="00405016">
        <w:rPr>
          <w:rFonts w:ascii="Times New Roman" w:hAnsi="Times New Roman" w:cs="Times New Roman"/>
          <w:color w:val="auto"/>
          <w:lang w:val="mk-MK"/>
        </w:rPr>
        <w:t xml:space="preserve">, </w:t>
      </w:r>
      <w:r w:rsidRPr="00405016">
        <w:rPr>
          <w:rFonts w:ascii="Times New Roman" w:hAnsi="Times New Roman" w:cs="Times New Roman"/>
          <w:color w:val="auto"/>
          <w:lang w:val="mk-MK"/>
        </w:rPr>
        <w:t>постојано расте кај секоја земја, трендот на постојан раст/опаѓање не се задржува и кај променливите кои се покажаа како статистички незначајни. Имено, во поголем дел од земјите процентот на невработеност не бележи постојан пад. Иако разликата е мала, но тој постојано расте или опаѓа. Се смета дека контин</w:t>
      </w:r>
      <w:r w:rsidR="003E5042" w:rsidRPr="00405016">
        <w:rPr>
          <w:rFonts w:ascii="Times New Roman" w:hAnsi="Times New Roman" w:cs="Times New Roman"/>
          <w:color w:val="auto"/>
          <w:lang w:val="mk-MK"/>
        </w:rPr>
        <w:t>у</w:t>
      </w:r>
      <w:r w:rsidRPr="00405016">
        <w:rPr>
          <w:rFonts w:ascii="Times New Roman" w:hAnsi="Times New Roman" w:cs="Times New Roman"/>
          <w:color w:val="auto"/>
          <w:lang w:val="mk-MK"/>
        </w:rPr>
        <w:t>ираната вработеност и постојаните мерки за редуцирање на невработеноста ќе влијаат на зголемувањето на очекуваното траење на живот</w:t>
      </w:r>
      <w:r w:rsidR="003E5042" w:rsidRPr="00405016">
        <w:rPr>
          <w:rFonts w:ascii="Times New Roman" w:hAnsi="Times New Roman" w:cs="Times New Roman"/>
          <w:color w:val="auto"/>
          <w:lang w:val="mk-MK"/>
        </w:rPr>
        <w:t>от</w:t>
      </w:r>
      <w:r w:rsidRPr="00405016">
        <w:rPr>
          <w:rFonts w:ascii="Times New Roman" w:hAnsi="Times New Roman" w:cs="Times New Roman"/>
          <w:color w:val="auto"/>
          <w:lang w:val="mk-MK"/>
        </w:rPr>
        <w:t>.</w:t>
      </w:r>
    </w:p>
    <w:p w:rsidR="003E5042" w:rsidRPr="00405016" w:rsidRDefault="00C928B9" w:rsidP="00497784">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color w:val="auto"/>
          <w:lang w:val="mk-MK"/>
        </w:rPr>
        <w:t xml:space="preserve">Истото може да се каже и за здравствените трошоци. Потребно е тие постојано да бележат умерен раст за да се влијае </w:t>
      </w:r>
      <w:r w:rsidR="003E5042" w:rsidRPr="00405016">
        <w:rPr>
          <w:rFonts w:ascii="Times New Roman" w:hAnsi="Times New Roman" w:cs="Times New Roman"/>
          <w:color w:val="auto"/>
          <w:lang w:val="mk-MK"/>
        </w:rPr>
        <w:t>врз</w:t>
      </w:r>
      <w:r w:rsidRPr="00405016">
        <w:rPr>
          <w:rFonts w:ascii="Times New Roman" w:hAnsi="Times New Roman" w:cs="Times New Roman"/>
          <w:color w:val="auto"/>
          <w:lang w:val="mk-MK"/>
        </w:rPr>
        <w:t xml:space="preserve"> зголемувањето на очекуваното траење на животот. Во земјите од Југоисточна Европа различни влади и различни буџети и нивни ребаланси влијааат процентот на здравствени трошоци да флуктуира, што не придонесува оваа променлива да биде статистички значаен фактор на очекуваното траење на живот</w:t>
      </w:r>
      <w:r w:rsidR="003E5042" w:rsidRPr="00405016">
        <w:rPr>
          <w:rFonts w:ascii="Times New Roman" w:hAnsi="Times New Roman" w:cs="Times New Roman"/>
          <w:color w:val="auto"/>
          <w:lang w:val="mk-MK"/>
        </w:rPr>
        <w:t>от</w:t>
      </w:r>
      <w:r w:rsidRPr="00405016">
        <w:rPr>
          <w:rFonts w:ascii="Times New Roman" w:hAnsi="Times New Roman" w:cs="Times New Roman"/>
          <w:color w:val="auto"/>
          <w:lang w:val="mk-MK"/>
        </w:rPr>
        <w:t xml:space="preserve">. Сосема истиот заклучок може да се даде и за индексот на производство на храна, со таа разлика што тој не е под директно влијание на владата, иако на </w:t>
      </w:r>
      <w:r w:rsidR="003E5042" w:rsidRPr="00405016">
        <w:rPr>
          <w:rFonts w:ascii="Times New Roman" w:hAnsi="Times New Roman" w:cs="Times New Roman"/>
          <w:color w:val="auto"/>
          <w:lang w:val="mk-MK"/>
        </w:rPr>
        <w:t>него</w:t>
      </w:r>
      <w:r w:rsidRPr="00405016">
        <w:rPr>
          <w:rFonts w:ascii="Times New Roman" w:hAnsi="Times New Roman" w:cs="Times New Roman"/>
          <w:color w:val="auto"/>
          <w:lang w:val="mk-MK"/>
        </w:rPr>
        <w:t xml:space="preserve"> може да се влијае преку низа на соодветни мерки.</w:t>
      </w:r>
    </w:p>
    <w:p w:rsidR="003E5042" w:rsidRPr="00405016" w:rsidRDefault="00C928B9" w:rsidP="00497784">
      <w:pPr>
        <w:pStyle w:val="Default"/>
        <w:spacing w:after="22"/>
        <w:ind w:firstLine="720"/>
        <w:jc w:val="both"/>
        <w:rPr>
          <w:rFonts w:ascii="Times New Roman" w:hAnsi="Times New Roman" w:cs="Times New Roman"/>
          <w:color w:val="auto"/>
          <w:lang w:val="mk-MK"/>
        </w:rPr>
      </w:pPr>
      <w:r w:rsidRPr="00405016">
        <w:rPr>
          <w:rFonts w:ascii="Times New Roman" w:hAnsi="Times New Roman" w:cs="Times New Roman"/>
          <w:color w:val="auto"/>
          <w:lang w:val="mk-MK"/>
        </w:rPr>
        <w:t>На крај треба да се напомене дека истражувањето и заклучоците се однесуваат на цела група земји и за подетални заклучоци за дадена</w:t>
      </w:r>
      <w:r w:rsidR="003E5042" w:rsidRPr="00405016">
        <w:rPr>
          <w:rFonts w:ascii="Times New Roman" w:hAnsi="Times New Roman" w:cs="Times New Roman"/>
          <w:color w:val="auto"/>
          <w:lang w:val="mk-MK"/>
        </w:rPr>
        <w:t>та</w:t>
      </w:r>
      <w:r w:rsidRPr="00405016">
        <w:rPr>
          <w:rFonts w:ascii="Times New Roman" w:hAnsi="Times New Roman" w:cs="Times New Roman"/>
          <w:color w:val="auto"/>
          <w:lang w:val="mk-MK"/>
        </w:rPr>
        <w:t xml:space="preserve"> земја</w:t>
      </w:r>
      <w:r w:rsidR="003E5042" w:rsidRPr="00405016">
        <w:rPr>
          <w:rFonts w:ascii="Times New Roman" w:hAnsi="Times New Roman" w:cs="Times New Roman"/>
          <w:color w:val="auto"/>
          <w:lang w:val="mk-MK"/>
        </w:rPr>
        <w:t>,</w:t>
      </w:r>
      <w:r w:rsidRPr="00405016">
        <w:rPr>
          <w:rFonts w:ascii="Times New Roman" w:hAnsi="Times New Roman" w:cs="Times New Roman"/>
          <w:color w:val="auto"/>
          <w:lang w:val="mk-MK"/>
        </w:rPr>
        <w:t xml:space="preserve"> се препорачува оценување на посебна регресиона равенка, но и детално познавање на економските, здравствените и политичките услови во таа земја.</w:t>
      </w:r>
    </w:p>
    <w:p w:rsidR="003E5042" w:rsidRPr="00405016" w:rsidRDefault="003E5042" w:rsidP="008C59B6">
      <w:pPr>
        <w:spacing w:after="0" w:line="240" w:lineRule="auto"/>
        <w:rPr>
          <w:rFonts w:ascii="Times New Roman" w:hAnsi="Times New Roman" w:cs="Times New Roman"/>
          <w:sz w:val="24"/>
          <w:szCs w:val="24"/>
          <w:lang w:val="en-US"/>
        </w:rPr>
      </w:pPr>
    </w:p>
    <w:p w:rsidR="003E5042" w:rsidRDefault="003E5042" w:rsidP="008C59B6">
      <w:pPr>
        <w:spacing w:after="0" w:line="240" w:lineRule="auto"/>
        <w:rPr>
          <w:rFonts w:ascii="Times New Roman" w:hAnsi="Times New Roman" w:cs="Times New Roman"/>
          <w:sz w:val="24"/>
          <w:szCs w:val="24"/>
        </w:rPr>
      </w:pPr>
    </w:p>
    <w:p w:rsidR="001E4A4A" w:rsidRDefault="001E4A4A" w:rsidP="008C59B6">
      <w:pPr>
        <w:spacing w:after="0" w:line="240" w:lineRule="auto"/>
        <w:rPr>
          <w:rFonts w:ascii="Times New Roman" w:hAnsi="Times New Roman" w:cs="Times New Roman"/>
          <w:sz w:val="24"/>
          <w:szCs w:val="24"/>
        </w:rPr>
      </w:pPr>
    </w:p>
    <w:p w:rsidR="001E4A4A" w:rsidRDefault="001E4A4A" w:rsidP="008C59B6">
      <w:pPr>
        <w:spacing w:after="0" w:line="240" w:lineRule="auto"/>
        <w:rPr>
          <w:rFonts w:ascii="Times New Roman" w:hAnsi="Times New Roman" w:cs="Times New Roman"/>
          <w:sz w:val="24"/>
          <w:szCs w:val="24"/>
        </w:rPr>
      </w:pPr>
    </w:p>
    <w:p w:rsidR="001E4A4A" w:rsidRDefault="001E4A4A" w:rsidP="008C59B6">
      <w:pPr>
        <w:spacing w:after="0" w:line="240" w:lineRule="auto"/>
        <w:rPr>
          <w:rFonts w:ascii="Times New Roman" w:hAnsi="Times New Roman" w:cs="Times New Roman"/>
          <w:sz w:val="24"/>
          <w:szCs w:val="24"/>
        </w:rPr>
      </w:pPr>
    </w:p>
    <w:p w:rsidR="001E4A4A" w:rsidRDefault="001E4A4A" w:rsidP="008C59B6">
      <w:pPr>
        <w:spacing w:after="0" w:line="240" w:lineRule="auto"/>
        <w:rPr>
          <w:rFonts w:ascii="Times New Roman" w:hAnsi="Times New Roman" w:cs="Times New Roman"/>
          <w:sz w:val="24"/>
          <w:szCs w:val="24"/>
        </w:rPr>
      </w:pPr>
    </w:p>
    <w:p w:rsidR="001E4A4A" w:rsidRPr="001E4A4A" w:rsidRDefault="001E4A4A" w:rsidP="008C59B6">
      <w:pPr>
        <w:spacing w:after="0" w:line="240" w:lineRule="auto"/>
        <w:rPr>
          <w:rFonts w:ascii="Times New Roman" w:hAnsi="Times New Roman" w:cs="Times New Roman"/>
          <w:sz w:val="24"/>
          <w:szCs w:val="24"/>
        </w:rPr>
      </w:pPr>
    </w:p>
    <w:p w:rsidR="003E5042" w:rsidRPr="00405016" w:rsidRDefault="00C928B9" w:rsidP="008C59B6">
      <w:pPr>
        <w:spacing w:after="0" w:line="240" w:lineRule="auto"/>
        <w:jc w:val="center"/>
        <w:rPr>
          <w:rFonts w:ascii="Times New Roman" w:hAnsi="Times New Roman" w:cs="Times New Roman"/>
          <w:b/>
          <w:bCs/>
          <w:sz w:val="24"/>
          <w:szCs w:val="24"/>
        </w:rPr>
      </w:pPr>
      <w:r w:rsidRPr="00405016">
        <w:rPr>
          <w:rFonts w:ascii="Times New Roman" w:hAnsi="Times New Roman" w:cs="Times New Roman"/>
          <w:b/>
          <w:bCs/>
          <w:sz w:val="24"/>
          <w:szCs w:val="24"/>
        </w:rPr>
        <w:lastRenderedPageBreak/>
        <w:t>Користена литература</w:t>
      </w:r>
    </w:p>
    <w:p w:rsidR="003E5042" w:rsidRPr="00405016" w:rsidRDefault="003E5042" w:rsidP="008C59B6">
      <w:pPr>
        <w:spacing w:after="0" w:line="240" w:lineRule="auto"/>
        <w:rPr>
          <w:rFonts w:ascii="Times New Roman" w:hAnsi="Times New Roman" w:cs="Times New Roman"/>
          <w:sz w:val="24"/>
          <w:szCs w:val="24"/>
        </w:rPr>
      </w:pPr>
    </w:p>
    <w:p w:rsidR="003E5042" w:rsidRPr="00405016" w:rsidRDefault="00C928B9" w:rsidP="00E1133A">
      <w:pPr>
        <w:spacing w:after="0" w:line="240" w:lineRule="auto"/>
        <w:ind w:left="709" w:hanging="709"/>
        <w:jc w:val="both"/>
        <w:rPr>
          <w:rFonts w:ascii="Times New Roman" w:hAnsi="Times New Roman" w:cs="Times New Roman"/>
          <w:sz w:val="24"/>
          <w:szCs w:val="24"/>
        </w:rPr>
      </w:pPr>
      <w:r w:rsidRPr="00405016">
        <w:rPr>
          <w:rFonts w:ascii="Times New Roman" w:hAnsi="Times New Roman" w:cs="Times New Roman"/>
          <w:sz w:val="24"/>
          <w:szCs w:val="24"/>
          <w:lang w:val="en-US"/>
        </w:rPr>
        <w:t>Bilas, V, Franc, S. and Bošnjak, M.</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20</w:t>
      </w:r>
      <w:r w:rsidRPr="00405016">
        <w:rPr>
          <w:rFonts w:ascii="Times New Roman" w:hAnsi="Times New Roman" w:cs="Times New Roman"/>
          <w:sz w:val="24"/>
          <w:szCs w:val="24"/>
          <w:lang w:val="en-US"/>
        </w:rPr>
        <w:t>14)</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“Determinant Factors of Life Expectancy at Birth in the European Union Countries”,</w:t>
      </w:r>
      <w:r w:rsidRPr="00405016">
        <w:rPr>
          <w:rFonts w:ascii="Times New Roman" w:hAnsi="Times New Roman" w:cs="Times New Roman"/>
          <w:sz w:val="24"/>
          <w:szCs w:val="24"/>
        </w:rPr>
        <w:t xml:space="preserve"> </w:t>
      </w:r>
      <w:r w:rsidRPr="00405016">
        <w:rPr>
          <w:rFonts w:ascii="Times New Roman" w:hAnsi="Times New Roman" w:cs="Times New Roman"/>
          <w:i/>
          <w:iCs/>
          <w:sz w:val="24"/>
          <w:szCs w:val="24"/>
          <w:lang w:val="en-US"/>
        </w:rPr>
        <w:t>Collegium Antropologicum</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38 (2014), 1-9</w:t>
      </w:r>
    </w:p>
    <w:p w:rsidR="003E5042" w:rsidRPr="00405016" w:rsidRDefault="00C928B9" w:rsidP="004E0893">
      <w:pPr>
        <w:spacing w:after="0" w:line="240" w:lineRule="auto"/>
        <w:ind w:left="709" w:hanging="709"/>
        <w:jc w:val="both"/>
        <w:rPr>
          <w:rFonts w:ascii="Times New Roman" w:hAnsi="Times New Roman" w:cs="Times New Roman"/>
          <w:sz w:val="24"/>
          <w:szCs w:val="24"/>
        </w:rPr>
      </w:pPr>
      <w:r w:rsidRPr="00405016">
        <w:rPr>
          <w:rFonts w:ascii="Times New Roman" w:hAnsi="Times New Roman" w:cs="Times New Roman"/>
          <w:sz w:val="24"/>
          <w:szCs w:val="24"/>
          <w:lang w:val="en-US"/>
        </w:rPr>
        <w:t>Bayati, M., Akbarian, R. and Kavosi, Z.</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20</w:t>
      </w:r>
      <w:r w:rsidRPr="00405016">
        <w:rPr>
          <w:rFonts w:ascii="Times New Roman" w:hAnsi="Times New Roman" w:cs="Times New Roman"/>
          <w:sz w:val="24"/>
          <w:szCs w:val="24"/>
          <w:lang w:val="en-US"/>
        </w:rPr>
        <w:t>13)</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“Determinants of Life Expectancy in Eastern Mediterranean Region: A Health Production Function”,</w:t>
      </w:r>
      <w:r w:rsidRPr="00405016">
        <w:rPr>
          <w:rFonts w:ascii="Times New Roman" w:hAnsi="Times New Roman" w:cs="Times New Roman"/>
          <w:sz w:val="24"/>
          <w:szCs w:val="24"/>
        </w:rPr>
        <w:t xml:space="preserve"> </w:t>
      </w:r>
      <w:r w:rsidRPr="00405016">
        <w:rPr>
          <w:rFonts w:ascii="Times New Roman" w:hAnsi="Times New Roman" w:cs="Times New Roman"/>
          <w:i/>
          <w:iCs/>
          <w:sz w:val="24"/>
          <w:szCs w:val="24"/>
          <w:lang w:val="en-US"/>
        </w:rPr>
        <w:t>International Journal of Health Policy and Management</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2013, 1(1), 57-61</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rPr>
        <w:t>Brooks, C</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 xml:space="preserve"> </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2014</w:t>
      </w:r>
      <w:r w:rsidRPr="00405016">
        <w:rPr>
          <w:rFonts w:ascii="Times New Roman" w:hAnsi="Times New Roman" w:cs="Times New Roman"/>
          <w:sz w:val="24"/>
          <w:szCs w:val="24"/>
          <w:lang w:val="en-US"/>
        </w:rPr>
        <w:t>) “</w:t>
      </w:r>
      <w:r w:rsidRPr="00405016">
        <w:rPr>
          <w:rFonts w:ascii="Times New Roman" w:hAnsi="Times New Roman" w:cs="Times New Roman"/>
          <w:i/>
          <w:iCs/>
          <w:sz w:val="24"/>
          <w:szCs w:val="24"/>
        </w:rPr>
        <w:t>Introductory Econometric for Finance</w:t>
      </w:r>
      <w:r w:rsidRPr="00405016">
        <w:rPr>
          <w:rFonts w:ascii="Times New Roman" w:hAnsi="Times New Roman" w:cs="Times New Roman"/>
          <w:i/>
          <w:iCs/>
          <w:sz w:val="24"/>
          <w:szCs w:val="24"/>
          <w:lang w:val="en-US"/>
        </w:rPr>
        <w:t>”</w:t>
      </w:r>
      <w:r w:rsidRPr="00405016">
        <w:rPr>
          <w:rFonts w:ascii="Times New Roman" w:hAnsi="Times New Roman" w:cs="Times New Roman"/>
          <w:sz w:val="24"/>
          <w:szCs w:val="24"/>
        </w:rPr>
        <w:t>, Cambridge University Press, Cambridge</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Fisher, R. (1932) </w:t>
      </w:r>
      <w:r w:rsidRPr="00405016">
        <w:rPr>
          <w:rFonts w:ascii="Times New Roman" w:hAnsi="Times New Roman" w:cs="Times New Roman"/>
          <w:i/>
          <w:iCs/>
          <w:sz w:val="24"/>
          <w:szCs w:val="24"/>
          <w:lang w:val="en-US"/>
        </w:rPr>
        <w:t>Statistical Methods for Research Workers</w:t>
      </w:r>
      <w:r w:rsidRPr="00405016">
        <w:rPr>
          <w:rFonts w:ascii="Times New Roman" w:hAnsi="Times New Roman" w:cs="Times New Roman"/>
          <w:sz w:val="24"/>
          <w:szCs w:val="24"/>
          <w:lang w:val="en-US"/>
        </w:rPr>
        <w:t>, Oliver and Boyd, Edinburgh</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Gillian, A. and Skrepnek, G. (2014) “Determinants of Life Expectancy in the Eastern Mediterranean Region”, </w:t>
      </w:r>
      <w:r w:rsidRPr="00405016">
        <w:rPr>
          <w:rFonts w:ascii="Times New Roman" w:hAnsi="Times New Roman" w:cs="Times New Roman"/>
          <w:i/>
          <w:iCs/>
          <w:sz w:val="24"/>
          <w:szCs w:val="24"/>
          <w:lang w:val="en-US"/>
        </w:rPr>
        <w:t>Health Policy and Planning</w:t>
      </w:r>
      <w:r w:rsidRPr="00405016">
        <w:rPr>
          <w:rFonts w:ascii="Times New Roman" w:hAnsi="Times New Roman" w:cs="Times New Roman"/>
          <w:sz w:val="24"/>
          <w:szCs w:val="24"/>
          <w:lang w:val="en-US"/>
        </w:rPr>
        <w:t>, 2014; 1-14</w:t>
      </w:r>
    </w:p>
    <w:p w:rsidR="003E5042" w:rsidRPr="00405016" w:rsidRDefault="00C928B9" w:rsidP="003C13BE">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Kao, C. and Chiang, M. (2000) “On the Estimation and Inference of a Cointegrated Regression in Panel Data,” in Baltagi, B. H. et al. </w:t>
      </w:r>
      <w:r w:rsidRPr="00405016">
        <w:rPr>
          <w:rFonts w:ascii="Times New Roman" w:hAnsi="Times New Roman" w:cs="Times New Roman"/>
          <w:i/>
          <w:iCs/>
          <w:sz w:val="24"/>
          <w:szCs w:val="24"/>
          <w:lang w:val="en-US"/>
        </w:rPr>
        <w:t>eds.</w:t>
      </w:r>
      <w:r w:rsidRPr="00405016">
        <w:rPr>
          <w:rFonts w:ascii="Times New Roman" w:hAnsi="Times New Roman" w:cs="Times New Roman"/>
          <w:sz w:val="24"/>
          <w:szCs w:val="24"/>
          <w:lang w:val="en-US"/>
        </w:rPr>
        <w:t xml:space="preserve">, </w:t>
      </w:r>
      <w:r w:rsidRPr="00405016">
        <w:rPr>
          <w:rFonts w:ascii="Times New Roman" w:hAnsi="Times New Roman" w:cs="Times New Roman"/>
          <w:i/>
          <w:iCs/>
          <w:sz w:val="24"/>
          <w:szCs w:val="24"/>
          <w:lang w:val="en-US"/>
        </w:rPr>
        <w:t>Nonstationary Panels, Panel Cointegration and</w:t>
      </w:r>
      <w:r w:rsidRPr="00405016">
        <w:rPr>
          <w:rFonts w:ascii="Times New Roman" w:hAnsi="Times New Roman" w:cs="Times New Roman"/>
          <w:sz w:val="24"/>
          <w:szCs w:val="24"/>
          <w:lang w:val="en-US"/>
        </w:rPr>
        <w:t xml:space="preserve"> </w:t>
      </w:r>
      <w:r w:rsidRPr="00405016">
        <w:rPr>
          <w:rFonts w:ascii="Times New Roman" w:hAnsi="Times New Roman" w:cs="Times New Roman"/>
          <w:i/>
          <w:iCs/>
          <w:sz w:val="24"/>
          <w:szCs w:val="24"/>
          <w:lang w:val="en-US"/>
        </w:rPr>
        <w:t xml:space="preserve">Dynamic Panels, </w:t>
      </w:r>
      <w:r w:rsidRPr="00405016">
        <w:rPr>
          <w:rFonts w:ascii="Times New Roman" w:hAnsi="Times New Roman" w:cs="Times New Roman"/>
          <w:sz w:val="24"/>
          <w:szCs w:val="24"/>
          <w:lang w:val="en-US"/>
        </w:rPr>
        <w:t>15, Amsterdam: Elsevier, 179</w:t>
      </w:r>
      <w:r w:rsidR="006C09BC" w:rsidRPr="00405016">
        <w:rPr>
          <w:rFonts w:ascii="Times New Roman" w:hAnsi="Times New Roman" w:cs="Times New Roman"/>
          <w:sz w:val="24"/>
          <w:szCs w:val="24"/>
          <w:lang w:val="en-US"/>
        </w:rPr>
        <w:t>–</w:t>
      </w:r>
      <w:r w:rsidRPr="00405016">
        <w:rPr>
          <w:rFonts w:ascii="Times New Roman" w:hAnsi="Times New Roman" w:cs="Times New Roman"/>
          <w:sz w:val="24"/>
          <w:szCs w:val="24"/>
          <w:lang w:val="en-US"/>
        </w:rPr>
        <w:t>222</w:t>
      </w:r>
    </w:p>
    <w:p w:rsidR="003E5042" w:rsidRPr="00405016" w:rsidRDefault="00C928B9" w:rsidP="003C13BE">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rPr>
        <w:t>Livi-Bacci, M</w:t>
      </w:r>
      <w:r w:rsidRPr="00405016">
        <w:rPr>
          <w:rFonts w:ascii="Times New Roman" w:hAnsi="Times New Roman" w:cs="Times New Roman"/>
          <w:sz w:val="24"/>
          <w:szCs w:val="24"/>
          <w:lang w:val="en-US"/>
        </w:rPr>
        <w:t>.</w:t>
      </w:r>
      <w:r w:rsidRPr="00405016">
        <w:rPr>
          <w:rFonts w:ascii="Times New Roman" w:hAnsi="Times New Roman" w:cs="Times New Roman"/>
          <w:sz w:val="24"/>
          <w:szCs w:val="24"/>
        </w:rPr>
        <w:t>,</w:t>
      </w:r>
      <w:r w:rsidRPr="00405016">
        <w:rPr>
          <w:rFonts w:ascii="Times New Roman" w:hAnsi="Times New Roman" w:cs="Times New Roman"/>
          <w:sz w:val="24"/>
          <w:szCs w:val="24"/>
          <w:lang w:val="en-US"/>
        </w:rPr>
        <w:t xml:space="preserve"> (2007) </w:t>
      </w:r>
      <w:r w:rsidRPr="00405016">
        <w:rPr>
          <w:rFonts w:ascii="Times New Roman" w:hAnsi="Times New Roman" w:cs="Times New Roman"/>
          <w:sz w:val="24"/>
          <w:szCs w:val="24"/>
        </w:rPr>
        <w:t xml:space="preserve">A Concise History of World Population, Blackwell Publishers, </w:t>
      </w:r>
      <w:r w:rsidRPr="00405016">
        <w:rPr>
          <w:rFonts w:ascii="Times New Roman" w:hAnsi="Times New Roman" w:cs="Times New Roman"/>
          <w:sz w:val="24"/>
          <w:szCs w:val="24"/>
          <w:lang w:val="en-US"/>
        </w:rPr>
        <w:t>Hoboken</w:t>
      </w:r>
    </w:p>
    <w:p w:rsidR="003E5042" w:rsidRPr="00405016" w:rsidRDefault="00C928B9" w:rsidP="00841AFF">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Mark, N. and Sul, D. (2003) “Cointegration Vector Estimation by Panel DOLS and Long-run Money Demand,” </w:t>
      </w:r>
      <w:r w:rsidRPr="00405016">
        <w:rPr>
          <w:rFonts w:ascii="Times New Roman" w:hAnsi="Times New Roman" w:cs="Times New Roman"/>
          <w:i/>
          <w:iCs/>
          <w:sz w:val="24"/>
          <w:szCs w:val="24"/>
          <w:lang w:val="en-US"/>
        </w:rPr>
        <w:t xml:space="preserve">Oxford Bulletin of Economics and Statistics, </w:t>
      </w:r>
      <w:r w:rsidRPr="00405016">
        <w:rPr>
          <w:rFonts w:ascii="Times New Roman" w:hAnsi="Times New Roman" w:cs="Times New Roman"/>
          <w:sz w:val="24"/>
          <w:szCs w:val="24"/>
          <w:lang w:val="en-US"/>
        </w:rPr>
        <w:t>65, 655</w:t>
      </w:r>
      <w:r w:rsidR="006C09BC" w:rsidRPr="00405016">
        <w:rPr>
          <w:rFonts w:ascii="Times New Roman" w:hAnsi="Times New Roman" w:cs="Times New Roman"/>
          <w:sz w:val="24"/>
          <w:szCs w:val="24"/>
          <w:lang w:val="en-US"/>
        </w:rPr>
        <w:t>–</w:t>
      </w:r>
      <w:r w:rsidRPr="00405016">
        <w:rPr>
          <w:rFonts w:ascii="Times New Roman" w:hAnsi="Times New Roman" w:cs="Times New Roman"/>
          <w:sz w:val="24"/>
          <w:szCs w:val="24"/>
          <w:lang w:val="en-US"/>
        </w:rPr>
        <w:t>680</w:t>
      </w:r>
    </w:p>
    <w:p w:rsidR="003E5042" w:rsidRPr="00405016" w:rsidRDefault="00C928B9" w:rsidP="00841AFF">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Pedroni, P. (2000) “Fully Modified OLS for Heterogeneous Cointegrated Panels,” in Baltagi, B. H. </w:t>
      </w:r>
      <w:r w:rsidRPr="00405016">
        <w:rPr>
          <w:rFonts w:ascii="Times New Roman" w:hAnsi="Times New Roman" w:cs="Times New Roman"/>
          <w:i/>
          <w:iCs/>
          <w:sz w:val="24"/>
          <w:szCs w:val="24"/>
          <w:lang w:val="en-US"/>
        </w:rPr>
        <w:t>ed.</w:t>
      </w:r>
      <w:r w:rsidRPr="00405016">
        <w:rPr>
          <w:rFonts w:ascii="Times New Roman" w:hAnsi="Times New Roman" w:cs="Times New Roman"/>
          <w:sz w:val="24"/>
          <w:szCs w:val="24"/>
          <w:lang w:val="en-US"/>
        </w:rPr>
        <w:t xml:space="preserve">, </w:t>
      </w:r>
      <w:r w:rsidRPr="00405016">
        <w:rPr>
          <w:rFonts w:ascii="Times New Roman" w:hAnsi="Times New Roman" w:cs="Times New Roman"/>
          <w:i/>
          <w:iCs/>
          <w:sz w:val="24"/>
          <w:szCs w:val="24"/>
          <w:lang w:val="en-US"/>
        </w:rPr>
        <w:t xml:space="preserve">Nonstationary Panels, Panel Cointegration and Dynamic Panels, </w:t>
      </w:r>
      <w:r w:rsidRPr="00405016">
        <w:rPr>
          <w:rFonts w:ascii="Times New Roman" w:hAnsi="Times New Roman" w:cs="Times New Roman"/>
          <w:sz w:val="24"/>
          <w:szCs w:val="24"/>
          <w:lang w:val="en-US"/>
        </w:rPr>
        <w:t>15, Amsterdam: Elsevier, 93</w:t>
      </w:r>
      <w:r w:rsidR="006C09BC" w:rsidRPr="00405016">
        <w:rPr>
          <w:rFonts w:ascii="Times New Roman" w:hAnsi="Times New Roman" w:cs="Times New Roman"/>
          <w:sz w:val="24"/>
          <w:szCs w:val="24"/>
          <w:lang w:val="en-US"/>
        </w:rPr>
        <w:t>–</w:t>
      </w:r>
      <w:r w:rsidRPr="00405016">
        <w:rPr>
          <w:rFonts w:ascii="Times New Roman" w:hAnsi="Times New Roman" w:cs="Times New Roman"/>
          <w:sz w:val="24"/>
          <w:szCs w:val="24"/>
          <w:lang w:val="en-US"/>
        </w:rPr>
        <w:t>130</w:t>
      </w:r>
    </w:p>
    <w:p w:rsidR="003E5042" w:rsidRPr="00405016" w:rsidRDefault="00C928B9" w:rsidP="00841AFF">
      <w:pPr>
        <w:spacing w:after="0" w:line="240" w:lineRule="auto"/>
        <w:ind w:left="709" w:hanging="709"/>
        <w:jc w:val="both"/>
        <w:rPr>
          <w:rFonts w:ascii="Times New Roman" w:hAnsi="Times New Roman" w:cs="Times New Roman"/>
          <w:i/>
          <w:iCs/>
          <w:sz w:val="24"/>
          <w:szCs w:val="24"/>
          <w:lang w:val="en-US"/>
        </w:rPr>
      </w:pPr>
      <w:r w:rsidRPr="00405016">
        <w:rPr>
          <w:rFonts w:ascii="Times New Roman" w:hAnsi="Times New Roman" w:cs="Times New Roman"/>
          <w:sz w:val="24"/>
          <w:szCs w:val="24"/>
          <w:lang w:val="en-US"/>
        </w:rPr>
        <w:t xml:space="preserve">Pedroni, P. (2001) “Purchasing Power Parity Tests in Cointegrated Panels,” </w:t>
      </w:r>
      <w:r w:rsidRPr="00405016">
        <w:rPr>
          <w:rFonts w:ascii="Times New Roman" w:hAnsi="Times New Roman" w:cs="Times New Roman"/>
          <w:i/>
          <w:iCs/>
          <w:sz w:val="24"/>
          <w:szCs w:val="24"/>
          <w:lang w:val="en-US"/>
        </w:rPr>
        <w:t>The Review of Economics and Statistics</w:t>
      </w:r>
      <w:r w:rsidRPr="00405016">
        <w:rPr>
          <w:rFonts w:ascii="Times New Roman" w:hAnsi="Times New Roman" w:cs="Times New Roman"/>
          <w:sz w:val="24"/>
          <w:szCs w:val="24"/>
          <w:lang w:val="en-US"/>
        </w:rPr>
        <w:t>, 83, 727</w:t>
      </w:r>
      <w:r w:rsidR="006C09BC" w:rsidRPr="00405016">
        <w:rPr>
          <w:rFonts w:ascii="Times New Roman" w:hAnsi="Times New Roman" w:cs="Times New Roman"/>
          <w:sz w:val="24"/>
          <w:szCs w:val="24"/>
          <w:lang w:val="en-US"/>
        </w:rPr>
        <w:t>–</w:t>
      </w:r>
      <w:r w:rsidRPr="00405016">
        <w:rPr>
          <w:rFonts w:ascii="Times New Roman" w:hAnsi="Times New Roman" w:cs="Times New Roman"/>
          <w:sz w:val="24"/>
          <w:szCs w:val="24"/>
          <w:lang w:val="en-US"/>
        </w:rPr>
        <w:t>731</w:t>
      </w:r>
    </w:p>
    <w:p w:rsidR="003E5042" w:rsidRPr="00405016" w:rsidRDefault="00C928B9" w:rsidP="005D2010">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Phillips, P. and Moon, H. (1999) “Linear Regression Limit Theory for Nonstationary Panel Data”, </w:t>
      </w:r>
      <w:r w:rsidRPr="00405016">
        <w:rPr>
          <w:rFonts w:ascii="Times New Roman" w:hAnsi="Times New Roman" w:cs="Times New Roman"/>
          <w:i/>
          <w:iCs/>
          <w:sz w:val="24"/>
          <w:szCs w:val="24"/>
          <w:lang w:val="en-US"/>
        </w:rPr>
        <w:t>Econometrica</w:t>
      </w:r>
      <w:r w:rsidRPr="00405016">
        <w:rPr>
          <w:rFonts w:ascii="Times New Roman" w:hAnsi="Times New Roman" w:cs="Times New Roman"/>
          <w:sz w:val="24"/>
          <w:szCs w:val="24"/>
          <w:lang w:val="en-US"/>
        </w:rPr>
        <w:t>, 67, 1057-1111</w:t>
      </w:r>
    </w:p>
    <w:p w:rsidR="003E5042" w:rsidRPr="00405016" w:rsidRDefault="00C928B9" w:rsidP="004E0893">
      <w:pPr>
        <w:spacing w:after="0" w:line="240" w:lineRule="auto"/>
        <w:ind w:left="709" w:hanging="709"/>
        <w:jc w:val="both"/>
        <w:rPr>
          <w:rFonts w:ascii="Times New Roman" w:hAnsi="Times New Roman" w:cs="Times New Roman"/>
          <w:sz w:val="24"/>
          <w:szCs w:val="24"/>
        </w:rPr>
      </w:pPr>
      <w:r w:rsidRPr="00405016">
        <w:rPr>
          <w:rFonts w:ascii="Times New Roman" w:hAnsi="Times New Roman" w:cs="Times New Roman"/>
          <w:sz w:val="24"/>
          <w:szCs w:val="24"/>
        </w:rPr>
        <w:t xml:space="preserve">Ристески, С. и Трпкова, М. (2014) </w:t>
      </w:r>
      <w:r w:rsidRPr="00405016">
        <w:rPr>
          <w:rFonts w:ascii="Times New Roman" w:hAnsi="Times New Roman" w:cs="Times New Roman"/>
          <w:i/>
          <w:iCs/>
          <w:sz w:val="24"/>
          <w:szCs w:val="24"/>
        </w:rPr>
        <w:t>Демографија методи и анализа</w:t>
      </w:r>
      <w:r w:rsidRPr="00405016">
        <w:rPr>
          <w:rFonts w:ascii="Times New Roman" w:hAnsi="Times New Roman" w:cs="Times New Roman"/>
          <w:sz w:val="24"/>
          <w:szCs w:val="24"/>
        </w:rPr>
        <w:t>, Економски факултет, Скопје</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rPr>
        <w:t xml:space="preserve">Ристески, С., Тевдовски, Д. и Трпкова, М. (2012) </w:t>
      </w:r>
      <w:r w:rsidRPr="00405016">
        <w:rPr>
          <w:rFonts w:ascii="Times New Roman" w:hAnsi="Times New Roman" w:cs="Times New Roman"/>
          <w:i/>
          <w:iCs/>
          <w:sz w:val="24"/>
          <w:szCs w:val="24"/>
        </w:rPr>
        <w:t>Вовед во анализата на временските серии</w:t>
      </w:r>
      <w:r w:rsidRPr="00405016">
        <w:rPr>
          <w:rFonts w:ascii="Times New Roman" w:hAnsi="Times New Roman" w:cs="Times New Roman"/>
          <w:sz w:val="24"/>
          <w:szCs w:val="24"/>
        </w:rPr>
        <w:t>, Универзитет Св. „Кирил и Методиј“</w:t>
      </w:r>
      <w:r w:rsidRPr="00405016">
        <w:rPr>
          <w:rFonts w:ascii="Times New Roman" w:hAnsi="Times New Roman" w:cs="Times New Roman"/>
          <w:sz w:val="24"/>
          <w:szCs w:val="24"/>
          <w:lang w:val="en-US"/>
        </w:rPr>
        <w:t xml:space="preserve">, </w:t>
      </w:r>
      <w:r w:rsidRPr="00405016">
        <w:rPr>
          <w:rFonts w:ascii="Times New Roman" w:hAnsi="Times New Roman" w:cs="Times New Roman"/>
          <w:sz w:val="24"/>
          <w:szCs w:val="24"/>
        </w:rPr>
        <w:t>Скопје</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 xml:space="preserve">The World Bank (2015) </w:t>
      </w:r>
      <w:r w:rsidRPr="00405016">
        <w:rPr>
          <w:rFonts w:ascii="Times New Roman" w:hAnsi="Times New Roman" w:cs="Times New Roman"/>
          <w:i/>
          <w:iCs/>
          <w:sz w:val="24"/>
          <w:szCs w:val="24"/>
          <w:lang w:val="en-US"/>
        </w:rPr>
        <w:t>World Development Indicators</w:t>
      </w:r>
      <w:r w:rsidRPr="00405016">
        <w:rPr>
          <w:rFonts w:ascii="Times New Roman" w:hAnsi="Times New Roman" w:cs="Times New Roman"/>
          <w:sz w:val="24"/>
          <w:szCs w:val="24"/>
          <w:lang w:val="en-US"/>
        </w:rPr>
        <w:t xml:space="preserve"> (online database) available from: http://databank.worldbank.org/data/reports.aspx?source=World-Development-Indicators, Accessed 16</w:t>
      </w:r>
      <w:r w:rsidRPr="00405016">
        <w:rPr>
          <w:rFonts w:ascii="Times New Roman" w:hAnsi="Times New Roman" w:cs="Times New Roman"/>
          <w:sz w:val="24"/>
          <w:szCs w:val="24"/>
          <w:vertAlign w:val="superscript"/>
          <w:lang w:val="en-US"/>
        </w:rPr>
        <w:t>th</w:t>
      </w:r>
      <w:r w:rsidRPr="00405016">
        <w:rPr>
          <w:rFonts w:ascii="Times New Roman" w:hAnsi="Times New Roman" w:cs="Times New Roman"/>
          <w:sz w:val="24"/>
          <w:szCs w:val="24"/>
          <w:lang w:val="en-US"/>
        </w:rPr>
        <w:t xml:space="preserve"> of July, 2015 </w:t>
      </w:r>
    </w:p>
    <w:p w:rsidR="003E5042" w:rsidRPr="00405016" w:rsidRDefault="00C928B9" w:rsidP="004E0893">
      <w:pPr>
        <w:spacing w:after="0" w:line="240" w:lineRule="auto"/>
        <w:ind w:left="709" w:hanging="709"/>
        <w:jc w:val="both"/>
        <w:rPr>
          <w:rFonts w:ascii="Times New Roman" w:hAnsi="Times New Roman" w:cs="Times New Roman"/>
          <w:sz w:val="24"/>
          <w:szCs w:val="24"/>
          <w:lang w:val="en-US"/>
        </w:rPr>
      </w:pPr>
      <w:r w:rsidRPr="00405016">
        <w:rPr>
          <w:rFonts w:ascii="Times New Roman" w:hAnsi="Times New Roman" w:cs="Times New Roman"/>
          <w:sz w:val="24"/>
          <w:szCs w:val="24"/>
          <w:lang w:val="en-US"/>
        </w:rPr>
        <w:t>World Health Organization (2008) Closing the Gap in a Generation, Health Equity Through Action on the Social Determinants of Health, WHO press, Geneva</w:t>
      </w:r>
    </w:p>
    <w:p w:rsidR="003E5042" w:rsidRPr="00405016" w:rsidRDefault="003E5042" w:rsidP="008C59B6">
      <w:pPr>
        <w:spacing w:after="0" w:line="240" w:lineRule="auto"/>
        <w:jc w:val="center"/>
        <w:rPr>
          <w:rFonts w:ascii="Times New Roman" w:hAnsi="Times New Roman" w:cs="Times New Roman"/>
          <w:b/>
          <w:bCs/>
          <w:color w:val="95B3D7"/>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1E4A4A" w:rsidRDefault="001E4A4A" w:rsidP="00D91CE7">
      <w:pPr>
        <w:spacing w:after="0" w:line="240" w:lineRule="auto"/>
        <w:jc w:val="center"/>
        <w:rPr>
          <w:rFonts w:ascii="Times New Roman" w:hAnsi="Times New Roman" w:cs="Times New Roman"/>
          <w:b/>
          <w:bCs/>
          <w:sz w:val="24"/>
          <w:szCs w:val="24"/>
        </w:rPr>
      </w:pPr>
    </w:p>
    <w:p w:rsidR="003E5042" w:rsidRDefault="00C928B9" w:rsidP="00D91CE7">
      <w:pPr>
        <w:spacing w:after="0" w:line="240" w:lineRule="auto"/>
        <w:jc w:val="center"/>
        <w:rPr>
          <w:rFonts w:ascii="Times New Roman" w:hAnsi="Times New Roman" w:cs="Times New Roman"/>
          <w:b/>
          <w:bCs/>
          <w:sz w:val="24"/>
          <w:szCs w:val="24"/>
          <w:lang w:val="en-US"/>
        </w:rPr>
      </w:pPr>
      <w:r w:rsidRPr="00405016">
        <w:rPr>
          <w:rFonts w:ascii="Times New Roman" w:hAnsi="Times New Roman" w:cs="Times New Roman"/>
          <w:b/>
          <w:bCs/>
          <w:sz w:val="24"/>
          <w:szCs w:val="24"/>
          <w:lang w:val="en-US"/>
        </w:rPr>
        <w:lastRenderedPageBreak/>
        <w:t>LIFE EXPECTANCY AT BIRTH IN SOUTHEASTERN EUROPE: APPLIED COINTEGRATED PANEL REGRESSION</w:t>
      </w:r>
    </w:p>
    <w:p w:rsidR="00405016" w:rsidRDefault="00405016" w:rsidP="00D91CE7">
      <w:pPr>
        <w:spacing w:after="0" w:line="240" w:lineRule="auto"/>
        <w:jc w:val="center"/>
        <w:rPr>
          <w:rFonts w:ascii="Times New Roman" w:hAnsi="Times New Roman" w:cs="Times New Roman"/>
          <w:b/>
          <w:bCs/>
          <w:sz w:val="24"/>
          <w:szCs w:val="24"/>
          <w:lang w:val="en-US"/>
        </w:rPr>
      </w:pPr>
    </w:p>
    <w:p w:rsidR="00405016" w:rsidRPr="00BB2A63" w:rsidRDefault="00405016" w:rsidP="00405016">
      <w:pPr>
        <w:spacing w:after="0" w:line="240" w:lineRule="auto"/>
        <w:jc w:val="center"/>
        <w:rPr>
          <w:rFonts w:ascii="Times New Roman" w:hAnsi="Times New Roman" w:cs="Times New Roman"/>
          <w:b/>
          <w:bCs/>
          <w:sz w:val="24"/>
          <w:szCs w:val="24"/>
          <w:lang w:val="en-US"/>
        </w:rPr>
      </w:pPr>
      <w:r w:rsidRPr="00BB2A63">
        <w:rPr>
          <w:rFonts w:ascii="Times New Roman" w:hAnsi="Times New Roman" w:cs="Times New Roman"/>
          <w:b/>
          <w:bCs/>
          <w:sz w:val="24"/>
          <w:szCs w:val="24"/>
          <w:lang w:val="en-US"/>
        </w:rPr>
        <w:t>Marija Trpkova-Nestorovska, PhD</w:t>
      </w:r>
    </w:p>
    <w:p w:rsidR="00405016" w:rsidRPr="00405016" w:rsidRDefault="00405016" w:rsidP="00405016">
      <w:pPr>
        <w:spacing w:after="0" w:line="240" w:lineRule="auto"/>
        <w:jc w:val="center"/>
        <w:rPr>
          <w:rFonts w:ascii="Times New Roman" w:hAnsi="Times New Roman" w:cs="Times New Roman"/>
          <w:bCs/>
          <w:sz w:val="24"/>
          <w:szCs w:val="24"/>
          <w:lang w:val="en-US"/>
        </w:rPr>
      </w:pPr>
      <w:r w:rsidRPr="00405016">
        <w:rPr>
          <w:rFonts w:ascii="Times New Roman" w:hAnsi="Times New Roman" w:cs="Times New Roman"/>
          <w:bCs/>
          <w:sz w:val="24"/>
          <w:szCs w:val="24"/>
          <w:lang w:val="en-US"/>
        </w:rPr>
        <w:t>Ss. Cyril and Methodius University in Skopje</w:t>
      </w:r>
    </w:p>
    <w:p w:rsidR="00405016" w:rsidRPr="00405016" w:rsidRDefault="00405016" w:rsidP="00405016">
      <w:pPr>
        <w:spacing w:after="0" w:line="240" w:lineRule="auto"/>
        <w:jc w:val="center"/>
        <w:rPr>
          <w:rFonts w:ascii="Times New Roman" w:hAnsi="Times New Roman" w:cs="Times New Roman"/>
          <w:bCs/>
          <w:sz w:val="24"/>
          <w:szCs w:val="24"/>
          <w:lang w:val="en-US"/>
        </w:rPr>
      </w:pPr>
      <w:r w:rsidRPr="00405016">
        <w:rPr>
          <w:rFonts w:ascii="Times New Roman" w:hAnsi="Times New Roman" w:cs="Times New Roman"/>
          <w:bCs/>
          <w:sz w:val="24"/>
          <w:szCs w:val="24"/>
          <w:lang w:val="en-US"/>
        </w:rPr>
        <w:t>Faculty of Economics - Skopje</w:t>
      </w:r>
    </w:p>
    <w:p w:rsidR="00405016" w:rsidRPr="00405016" w:rsidRDefault="00BB2A63" w:rsidP="00405016">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marijat</w:t>
      </w:r>
      <w:r w:rsidR="00405016" w:rsidRPr="00405016">
        <w:rPr>
          <w:rFonts w:ascii="Times New Roman" w:hAnsi="Times New Roman" w:cs="Times New Roman"/>
          <w:bCs/>
          <w:sz w:val="24"/>
          <w:szCs w:val="24"/>
          <w:lang w:val="en-US"/>
        </w:rPr>
        <w:t>@eccf.ukim.edu.mk</w:t>
      </w:r>
    </w:p>
    <w:p w:rsidR="003E5042" w:rsidRPr="00405016" w:rsidRDefault="003E5042" w:rsidP="00D91CE7">
      <w:pPr>
        <w:spacing w:after="0" w:line="240" w:lineRule="auto"/>
        <w:jc w:val="center"/>
        <w:rPr>
          <w:rFonts w:ascii="Times New Roman" w:hAnsi="Times New Roman" w:cs="Times New Roman"/>
          <w:sz w:val="24"/>
          <w:szCs w:val="24"/>
          <w:lang w:val="en-US"/>
        </w:rPr>
      </w:pPr>
    </w:p>
    <w:p w:rsidR="003E5042" w:rsidRPr="00405016" w:rsidRDefault="00C928B9" w:rsidP="00D91CE7">
      <w:pPr>
        <w:spacing w:after="0" w:line="240" w:lineRule="auto"/>
        <w:ind w:firstLine="720"/>
        <w:rPr>
          <w:rFonts w:ascii="Times New Roman" w:hAnsi="Times New Roman" w:cs="Times New Roman"/>
          <w:b/>
          <w:bCs/>
          <w:sz w:val="24"/>
          <w:szCs w:val="24"/>
          <w:lang w:val="en-US"/>
        </w:rPr>
      </w:pPr>
      <w:r w:rsidRPr="00405016">
        <w:rPr>
          <w:rFonts w:ascii="Times New Roman" w:hAnsi="Times New Roman" w:cs="Times New Roman"/>
          <w:b/>
          <w:bCs/>
          <w:sz w:val="24"/>
          <w:szCs w:val="24"/>
          <w:lang w:val="en-US"/>
        </w:rPr>
        <w:t>Abstract</w:t>
      </w:r>
    </w:p>
    <w:p w:rsidR="003E5042" w:rsidRPr="00405016" w:rsidRDefault="00C928B9" w:rsidP="00D91CE7">
      <w:pPr>
        <w:spacing w:after="0" w:line="240" w:lineRule="auto"/>
        <w:ind w:firstLine="720"/>
        <w:jc w:val="both"/>
        <w:rPr>
          <w:rFonts w:ascii="Times New Roman" w:hAnsi="Times New Roman" w:cs="Times New Roman"/>
          <w:i/>
          <w:iCs/>
          <w:sz w:val="24"/>
          <w:szCs w:val="24"/>
          <w:lang w:val="en-US"/>
        </w:rPr>
      </w:pPr>
      <w:r w:rsidRPr="00405016">
        <w:rPr>
          <w:rFonts w:ascii="Times New Roman" w:hAnsi="Times New Roman" w:cs="Times New Roman"/>
          <w:i/>
          <w:iCs/>
          <w:sz w:val="24"/>
          <w:szCs w:val="24"/>
          <w:lang w:val="en-US"/>
        </w:rPr>
        <w:t xml:space="preserve">Life expectancy at birth is often considered as </w:t>
      </w:r>
      <w:r w:rsidR="00983830" w:rsidRPr="00405016">
        <w:rPr>
          <w:rFonts w:ascii="Times New Roman" w:hAnsi="Times New Roman" w:cs="Times New Roman"/>
          <w:i/>
          <w:iCs/>
          <w:sz w:val="24"/>
          <w:szCs w:val="24"/>
        </w:rPr>
        <w:t xml:space="preserve">ан </w:t>
      </w:r>
      <w:r w:rsidRPr="00405016">
        <w:rPr>
          <w:rFonts w:ascii="Times New Roman" w:hAnsi="Times New Roman" w:cs="Times New Roman"/>
          <w:i/>
          <w:iCs/>
          <w:sz w:val="24"/>
          <w:szCs w:val="24"/>
          <w:lang w:val="en-US"/>
        </w:rPr>
        <w:t xml:space="preserve">indicator of </w:t>
      </w:r>
      <w:r w:rsidR="00983830" w:rsidRPr="00405016">
        <w:rPr>
          <w:rFonts w:ascii="Times New Roman" w:hAnsi="Times New Roman" w:cs="Times New Roman"/>
          <w:i/>
          <w:iCs/>
          <w:sz w:val="24"/>
          <w:szCs w:val="24"/>
        </w:rPr>
        <w:t>а</w:t>
      </w:r>
      <w:r w:rsidRPr="00405016">
        <w:rPr>
          <w:rFonts w:ascii="Times New Roman" w:hAnsi="Times New Roman" w:cs="Times New Roman"/>
          <w:i/>
          <w:iCs/>
          <w:sz w:val="24"/>
          <w:szCs w:val="24"/>
          <w:lang w:val="en-US"/>
        </w:rPr>
        <w:t xml:space="preserve"> country</w:t>
      </w:r>
      <w:r w:rsidR="006C09BC" w:rsidRPr="00405016">
        <w:rPr>
          <w:rFonts w:ascii="Times New Roman" w:hAnsi="Times New Roman" w:cs="Times New Roman"/>
          <w:i/>
          <w:iCs/>
          <w:sz w:val="24"/>
          <w:szCs w:val="24"/>
          <w:lang w:val="en-US"/>
        </w:rPr>
        <w:t>’</w:t>
      </w:r>
      <w:r w:rsidRPr="00405016">
        <w:rPr>
          <w:rFonts w:ascii="Times New Roman" w:hAnsi="Times New Roman" w:cs="Times New Roman"/>
          <w:i/>
          <w:iCs/>
          <w:sz w:val="24"/>
          <w:szCs w:val="24"/>
          <w:lang w:val="en-US"/>
        </w:rPr>
        <w:t xml:space="preserve">s development. Raising the quality of life trough </w:t>
      </w:r>
      <w:r w:rsidR="00983830" w:rsidRPr="00405016">
        <w:rPr>
          <w:rFonts w:ascii="Times New Roman" w:hAnsi="Times New Roman" w:cs="Times New Roman"/>
          <w:i/>
          <w:iCs/>
          <w:sz w:val="24"/>
          <w:szCs w:val="24"/>
        </w:rPr>
        <w:t xml:space="preserve">а </w:t>
      </w:r>
      <w:r w:rsidRPr="00405016">
        <w:rPr>
          <w:rFonts w:ascii="Times New Roman" w:hAnsi="Times New Roman" w:cs="Times New Roman"/>
          <w:i/>
          <w:iCs/>
          <w:sz w:val="24"/>
          <w:szCs w:val="24"/>
          <w:lang w:val="en-US"/>
        </w:rPr>
        <w:t xml:space="preserve">set of measures would contribute to the improvement in significant segments of the society. </w:t>
      </w:r>
      <w:r w:rsidR="00983830" w:rsidRPr="00405016">
        <w:rPr>
          <w:rFonts w:ascii="Times New Roman" w:hAnsi="Times New Roman" w:cs="Times New Roman"/>
          <w:i/>
          <w:iCs/>
          <w:sz w:val="24"/>
          <w:szCs w:val="24"/>
          <w:lang w:val="en-US"/>
        </w:rPr>
        <w:t>F</w:t>
      </w:r>
      <w:r w:rsidRPr="00405016">
        <w:rPr>
          <w:rFonts w:ascii="Times New Roman" w:hAnsi="Times New Roman" w:cs="Times New Roman"/>
          <w:i/>
          <w:iCs/>
          <w:sz w:val="24"/>
          <w:szCs w:val="24"/>
          <w:lang w:val="en-US"/>
        </w:rPr>
        <w:t>or</w:t>
      </w:r>
      <w:r w:rsidR="00983830" w:rsidRPr="00405016">
        <w:rPr>
          <w:rFonts w:ascii="Times New Roman" w:hAnsi="Times New Roman" w:cs="Times New Roman"/>
          <w:i/>
          <w:iCs/>
          <w:sz w:val="24"/>
          <w:szCs w:val="24"/>
          <w:lang w:val="en-US"/>
        </w:rPr>
        <w:t xml:space="preserve"> an</w:t>
      </w:r>
      <w:r w:rsidRPr="00405016">
        <w:rPr>
          <w:rFonts w:ascii="Times New Roman" w:hAnsi="Times New Roman" w:cs="Times New Roman"/>
          <w:i/>
          <w:iCs/>
          <w:sz w:val="24"/>
          <w:szCs w:val="24"/>
          <w:lang w:val="en-US"/>
        </w:rPr>
        <w:t xml:space="preserve"> efficient policy to be created and measures increas</w:t>
      </w:r>
      <w:r w:rsidR="00510CB2" w:rsidRPr="00405016">
        <w:rPr>
          <w:rFonts w:ascii="Times New Roman" w:hAnsi="Times New Roman" w:cs="Times New Roman"/>
          <w:i/>
          <w:iCs/>
          <w:sz w:val="24"/>
          <w:szCs w:val="24"/>
          <w:lang w:val="en-US"/>
        </w:rPr>
        <w:t>ing</w:t>
      </w:r>
      <w:r w:rsidRPr="00405016">
        <w:rPr>
          <w:rFonts w:ascii="Times New Roman" w:hAnsi="Times New Roman" w:cs="Times New Roman"/>
          <w:i/>
          <w:iCs/>
          <w:sz w:val="24"/>
          <w:szCs w:val="24"/>
          <w:lang w:val="en-US"/>
        </w:rPr>
        <w:t xml:space="preserve"> life expectancy at birth to be taken, it is primary to find out what are the determinants of life expectancy at birth.</w:t>
      </w:r>
    </w:p>
    <w:p w:rsidR="003E5042" w:rsidRPr="00405016" w:rsidRDefault="00C928B9" w:rsidP="00D91CE7">
      <w:pPr>
        <w:spacing w:after="0" w:line="240" w:lineRule="auto"/>
        <w:ind w:firstLine="720"/>
        <w:jc w:val="both"/>
        <w:rPr>
          <w:rFonts w:ascii="Times New Roman" w:hAnsi="Times New Roman" w:cs="Times New Roman"/>
          <w:i/>
          <w:iCs/>
          <w:sz w:val="24"/>
          <w:szCs w:val="24"/>
          <w:lang w:val="en-US"/>
        </w:rPr>
      </w:pPr>
      <w:r w:rsidRPr="00405016">
        <w:rPr>
          <w:rFonts w:ascii="Times New Roman" w:hAnsi="Times New Roman" w:cs="Times New Roman"/>
          <w:i/>
          <w:iCs/>
          <w:sz w:val="24"/>
          <w:szCs w:val="24"/>
          <w:lang w:val="en-US"/>
        </w:rPr>
        <w:t>The purpose of this paper is to determine the significant variables that have influence on life expectancy at birth in Southeastern Europe.</w:t>
      </w:r>
    </w:p>
    <w:p w:rsidR="003E5042" w:rsidRPr="00405016" w:rsidRDefault="00C928B9" w:rsidP="00D91CE7">
      <w:pPr>
        <w:spacing w:after="0" w:line="240" w:lineRule="auto"/>
        <w:ind w:firstLine="720"/>
        <w:jc w:val="both"/>
        <w:rPr>
          <w:rFonts w:ascii="Times New Roman" w:hAnsi="Times New Roman" w:cs="Times New Roman"/>
          <w:i/>
          <w:iCs/>
          <w:sz w:val="24"/>
          <w:szCs w:val="24"/>
          <w:lang w:val="en-US"/>
        </w:rPr>
      </w:pPr>
      <w:r w:rsidRPr="00405016">
        <w:rPr>
          <w:rFonts w:ascii="Times New Roman" w:hAnsi="Times New Roman" w:cs="Times New Roman"/>
          <w:i/>
          <w:iCs/>
          <w:sz w:val="24"/>
          <w:szCs w:val="24"/>
          <w:lang w:val="en-US"/>
        </w:rPr>
        <w:t xml:space="preserve">The analysis uses the cointegrated panel regression model. Collected data for annual frequency for </w:t>
      </w:r>
      <w:r w:rsidR="00983830" w:rsidRPr="00405016">
        <w:rPr>
          <w:rFonts w:ascii="Times New Roman" w:hAnsi="Times New Roman" w:cs="Times New Roman"/>
          <w:i/>
          <w:iCs/>
          <w:sz w:val="24"/>
          <w:szCs w:val="24"/>
          <w:lang w:val="en-US"/>
        </w:rPr>
        <w:t xml:space="preserve">the </w:t>
      </w:r>
      <w:r w:rsidRPr="00405016">
        <w:rPr>
          <w:rFonts w:ascii="Times New Roman" w:hAnsi="Times New Roman" w:cs="Times New Roman"/>
          <w:i/>
          <w:iCs/>
          <w:sz w:val="24"/>
          <w:szCs w:val="24"/>
          <w:lang w:val="en-US"/>
        </w:rPr>
        <w:t xml:space="preserve">period 2000 </w:t>
      </w:r>
      <w:r w:rsidR="006C09BC" w:rsidRPr="00405016">
        <w:rPr>
          <w:rFonts w:ascii="Times New Roman" w:hAnsi="Times New Roman" w:cs="Times New Roman"/>
          <w:i/>
          <w:iCs/>
          <w:sz w:val="24"/>
          <w:szCs w:val="24"/>
          <w:lang w:val="en-US"/>
        </w:rPr>
        <w:t>–</w:t>
      </w:r>
      <w:r w:rsidRPr="00405016">
        <w:rPr>
          <w:rFonts w:ascii="Times New Roman" w:hAnsi="Times New Roman" w:cs="Times New Roman"/>
          <w:i/>
          <w:iCs/>
          <w:sz w:val="24"/>
          <w:szCs w:val="24"/>
          <w:lang w:val="en-US"/>
        </w:rPr>
        <w:t xml:space="preserve"> 2013 for 12 Southeastern countries are used. The influence of the following factors on life expectancy at birth is tested: gross national income per capita, consumer price index, health expenditures, food production index, employment and child immunization.</w:t>
      </w:r>
    </w:p>
    <w:p w:rsidR="003E5042" w:rsidRPr="00405016" w:rsidRDefault="00C928B9" w:rsidP="00D91CE7">
      <w:pPr>
        <w:spacing w:after="0" w:line="240" w:lineRule="auto"/>
        <w:ind w:firstLine="720"/>
        <w:jc w:val="both"/>
        <w:rPr>
          <w:rFonts w:ascii="Times New Roman" w:hAnsi="Times New Roman" w:cs="Times New Roman"/>
          <w:i/>
          <w:iCs/>
          <w:sz w:val="24"/>
          <w:szCs w:val="24"/>
          <w:lang w:val="en-US"/>
        </w:rPr>
      </w:pPr>
      <w:r w:rsidRPr="00405016">
        <w:rPr>
          <w:rFonts w:ascii="Times New Roman" w:hAnsi="Times New Roman" w:cs="Times New Roman"/>
          <w:i/>
          <w:iCs/>
          <w:sz w:val="24"/>
          <w:szCs w:val="24"/>
          <w:lang w:val="en-US"/>
        </w:rPr>
        <w:t>The results confirm that immunization, gross national income per capita</w:t>
      </w:r>
      <w:r w:rsidR="00983830" w:rsidRPr="00405016">
        <w:rPr>
          <w:rFonts w:ascii="Times New Roman" w:hAnsi="Times New Roman" w:cs="Times New Roman"/>
          <w:i/>
          <w:iCs/>
          <w:sz w:val="24"/>
          <w:szCs w:val="24"/>
          <w:lang w:val="en-US"/>
        </w:rPr>
        <w:t>,</w:t>
      </w:r>
      <w:r w:rsidRPr="00405016">
        <w:rPr>
          <w:rFonts w:ascii="Times New Roman" w:hAnsi="Times New Roman" w:cs="Times New Roman"/>
          <w:i/>
          <w:iCs/>
          <w:sz w:val="24"/>
          <w:szCs w:val="24"/>
          <w:lang w:val="en-US"/>
        </w:rPr>
        <w:t xml:space="preserve"> and </w:t>
      </w:r>
      <w:r w:rsidR="00983830" w:rsidRPr="00405016">
        <w:rPr>
          <w:rFonts w:ascii="Times New Roman" w:hAnsi="Times New Roman" w:cs="Times New Roman"/>
          <w:i/>
          <w:iCs/>
          <w:sz w:val="24"/>
          <w:szCs w:val="24"/>
          <w:lang w:val="en-US"/>
        </w:rPr>
        <w:t xml:space="preserve">the </w:t>
      </w:r>
      <w:r w:rsidRPr="00405016">
        <w:rPr>
          <w:rFonts w:ascii="Times New Roman" w:hAnsi="Times New Roman" w:cs="Times New Roman"/>
          <w:i/>
          <w:iCs/>
          <w:sz w:val="24"/>
          <w:szCs w:val="24"/>
          <w:lang w:val="en-US"/>
        </w:rPr>
        <w:t>consumer price index are the main determinants of life expectancy at birth in the Southeastern Europe.</w:t>
      </w:r>
    </w:p>
    <w:p w:rsidR="003E5042" w:rsidRPr="00405016" w:rsidRDefault="003E5042" w:rsidP="00D91CE7">
      <w:pPr>
        <w:spacing w:after="0" w:line="240" w:lineRule="auto"/>
        <w:ind w:firstLine="720"/>
        <w:jc w:val="both"/>
        <w:rPr>
          <w:rFonts w:ascii="Times New Roman" w:hAnsi="Times New Roman" w:cs="Times New Roman"/>
          <w:i/>
          <w:iCs/>
          <w:sz w:val="24"/>
          <w:szCs w:val="24"/>
          <w:lang w:val="en-US"/>
        </w:rPr>
      </w:pPr>
    </w:p>
    <w:p w:rsidR="003E5042" w:rsidRPr="00405016" w:rsidRDefault="00C928B9" w:rsidP="00844276">
      <w:pPr>
        <w:spacing w:after="0" w:line="240" w:lineRule="auto"/>
        <w:ind w:firstLine="720"/>
        <w:jc w:val="both"/>
        <w:rPr>
          <w:rFonts w:ascii="Times New Roman" w:hAnsi="Times New Roman" w:cs="Times New Roman"/>
          <w:sz w:val="24"/>
          <w:szCs w:val="24"/>
          <w:lang w:val="en-US"/>
        </w:rPr>
      </w:pPr>
      <w:r w:rsidRPr="00405016">
        <w:rPr>
          <w:rFonts w:ascii="Times New Roman" w:hAnsi="Times New Roman" w:cs="Times New Roman"/>
          <w:b/>
          <w:bCs/>
          <w:sz w:val="24"/>
          <w:szCs w:val="24"/>
          <w:lang w:val="en-US"/>
        </w:rPr>
        <w:t xml:space="preserve">Keywords: </w:t>
      </w:r>
      <w:r w:rsidRPr="00405016">
        <w:rPr>
          <w:rFonts w:ascii="Times New Roman" w:hAnsi="Times New Roman" w:cs="Times New Roman"/>
          <w:sz w:val="24"/>
          <w:szCs w:val="24"/>
          <w:lang w:val="en-US"/>
        </w:rPr>
        <w:t>Life expectancy at birth, cointegrated panel regression, Southeastern Europe</w:t>
      </w:r>
    </w:p>
    <w:sectPr w:rsidR="003E5042" w:rsidRPr="00405016" w:rsidSect="008C59B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B2" w:rsidRDefault="00015EB2" w:rsidP="008C59B6">
      <w:pPr>
        <w:spacing w:after="0" w:line="240" w:lineRule="auto"/>
      </w:pPr>
      <w:r>
        <w:separator/>
      </w:r>
    </w:p>
  </w:endnote>
  <w:endnote w:type="continuationSeparator" w:id="0">
    <w:p w:rsidR="00015EB2" w:rsidRDefault="00015EB2" w:rsidP="008C5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B2" w:rsidRDefault="00015EB2" w:rsidP="008C59B6">
      <w:pPr>
        <w:spacing w:after="0" w:line="240" w:lineRule="auto"/>
      </w:pPr>
      <w:r>
        <w:separator/>
      </w:r>
    </w:p>
  </w:footnote>
  <w:footnote w:type="continuationSeparator" w:id="0">
    <w:p w:rsidR="00015EB2" w:rsidRDefault="00015EB2" w:rsidP="008C5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A32"/>
    <w:multiLevelType w:val="hybridMultilevel"/>
    <w:tmpl w:val="2402A81E"/>
    <w:lvl w:ilvl="0" w:tplc="20F49B52">
      <w:start w:val="1"/>
      <w:numFmt w:val="decimal"/>
      <w:lvlText w:val="%1."/>
      <w:lvlJc w:val="center"/>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4C5F26B1"/>
    <w:multiLevelType w:val="hybridMultilevel"/>
    <w:tmpl w:val="B76AD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775E7A"/>
    <w:multiLevelType w:val="hybridMultilevel"/>
    <w:tmpl w:val="71EA8874"/>
    <w:lvl w:ilvl="0" w:tplc="042F000F">
      <w:start w:val="1"/>
      <w:numFmt w:val="decimal"/>
      <w:lvlText w:val="%1."/>
      <w:lvlJc w:val="left"/>
      <w:pPr>
        <w:ind w:left="1003" w:hanging="360"/>
      </w:pPr>
      <w:rPr>
        <w:rFonts w:hint="default"/>
      </w:rPr>
    </w:lvl>
    <w:lvl w:ilvl="1" w:tplc="042F000F">
      <w:start w:val="1"/>
      <w:numFmt w:val="decimal"/>
      <w:lvlText w:val="%2."/>
      <w:lvlJc w:val="left"/>
      <w:pPr>
        <w:ind w:left="1723" w:hanging="360"/>
      </w:pPr>
      <w:rPr>
        <w:rFonts w:hint="default"/>
      </w:rPr>
    </w:lvl>
    <w:lvl w:ilvl="2" w:tplc="042F0005">
      <w:start w:val="1"/>
      <w:numFmt w:val="bullet"/>
      <w:lvlText w:val=""/>
      <w:lvlJc w:val="left"/>
      <w:pPr>
        <w:ind w:left="2443" w:hanging="360"/>
      </w:pPr>
      <w:rPr>
        <w:rFonts w:ascii="Wingdings" w:hAnsi="Wingdings" w:cs="Wingdings" w:hint="default"/>
      </w:rPr>
    </w:lvl>
    <w:lvl w:ilvl="3" w:tplc="042F0001">
      <w:start w:val="1"/>
      <w:numFmt w:val="bullet"/>
      <w:lvlText w:val=""/>
      <w:lvlJc w:val="left"/>
      <w:pPr>
        <w:ind w:left="3163" w:hanging="360"/>
      </w:pPr>
      <w:rPr>
        <w:rFonts w:ascii="Symbol" w:hAnsi="Symbol" w:cs="Symbol" w:hint="default"/>
      </w:rPr>
    </w:lvl>
    <w:lvl w:ilvl="4" w:tplc="042F0003">
      <w:start w:val="1"/>
      <w:numFmt w:val="bullet"/>
      <w:lvlText w:val="o"/>
      <w:lvlJc w:val="left"/>
      <w:pPr>
        <w:ind w:left="3883" w:hanging="360"/>
      </w:pPr>
      <w:rPr>
        <w:rFonts w:ascii="Courier New" w:hAnsi="Courier New" w:cs="Courier New" w:hint="default"/>
      </w:rPr>
    </w:lvl>
    <w:lvl w:ilvl="5" w:tplc="042F0005">
      <w:start w:val="1"/>
      <w:numFmt w:val="bullet"/>
      <w:lvlText w:val=""/>
      <w:lvlJc w:val="left"/>
      <w:pPr>
        <w:ind w:left="4603" w:hanging="360"/>
      </w:pPr>
      <w:rPr>
        <w:rFonts w:ascii="Wingdings" w:hAnsi="Wingdings" w:cs="Wingdings" w:hint="default"/>
      </w:rPr>
    </w:lvl>
    <w:lvl w:ilvl="6" w:tplc="042F0001">
      <w:start w:val="1"/>
      <w:numFmt w:val="bullet"/>
      <w:lvlText w:val=""/>
      <w:lvlJc w:val="left"/>
      <w:pPr>
        <w:ind w:left="5323" w:hanging="360"/>
      </w:pPr>
      <w:rPr>
        <w:rFonts w:ascii="Symbol" w:hAnsi="Symbol" w:cs="Symbol" w:hint="default"/>
      </w:rPr>
    </w:lvl>
    <w:lvl w:ilvl="7" w:tplc="042F0003">
      <w:start w:val="1"/>
      <w:numFmt w:val="bullet"/>
      <w:lvlText w:val="o"/>
      <w:lvlJc w:val="left"/>
      <w:pPr>
        <w:ind w:left="6043" w:hanging="360"/>
      </w:pPr>
      <w:rPr>
        <w:rFonts w:ascii="Courier New" w:hAnsi="Courier New" w:cs="Courier New" w:hint="default"/>
      </w:rPr>
    </w:lvl>
    <w:lvl w:ilvl="8" w:tplc="042F0005">
      <w:start w:val="1"/>
      <w:numFmt w:val="bullet"/>
      <w:lvlText w:val=""/>
      <w:lvlJc w:val="left"/>
      <w:pPr>
        <w:ind w:left="6763" w:hanging="360"/>
      </w:pPr>
      <w:rPr>
        <w:rFonts w:ascii="Wingdings" w:hAnsi="Wingdings" w:cs="Wingdings" w:hint="default"/>
      </w:rPr>
    </w:lvl>
  </w:abstractNum>
  <w:abstractNum w:abstractNumId="3">
    <w:nsid w:val="6DD96BF2"/>
    <w:multiLevelType w:val="hybridMultilevel"/>
    <w:tmpl w:val="52C48AB2"/>
    <w:lvl w:ilvl="0" w:tplc="7098F9EA">
      <w:start w:val="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EC12225"/>
    <w:multiLevelType w:val="hybridMultilevel"/>
    <w:tmpl w:val="4E988C6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8C59B6"/>
    <w:rsid w:val="00006577"/>
    <w:rsid w:val="00011846"/>
    <w:rsid w:val="00015EB2"/>
    <w:rsid w:val="000175E3"/>
    <w:rsid w:val="00023585"/>
    <w:rsid w:val="000258E3"/>
    <w:rsid w:val="000416B9"/>
    <w:rsid w:val="0005058C"/>
    <w:rsid w:val="00076ADA"/>
    <w:rsid w:val="0008347F"/>
    <w:rsid w:val="00084463"/>
    <w:rsid w:val="0009064F"/>
    <w:rsid w:val="000A5931"/>
    <w:rsid w:val="000B75A6"/>
    <w:rsid w:val="000B7BDD"/>
    <w:rsid w:val="000C20D7"/>
    <w:rsid w:val="000D1C4F"/>
    <w:rsid w:val="000D60A7"/>
    <w:rsid w:val="000D7A9C"/>
    <w:rsid w:val="000E087C"/>
    <w:rsid w:val="001025B7"/>
    <w:rsid w:val="00111A1B"/>
    <w:rsid w:val="00117B5E"/>
    <w:rsid w:val="00160A28"/>
    <w:rsid w:val="00164C18"/>
    <w:rsid w:val="00166D00"/>
    <w:rsid w:val="00181CA1"/>
    <w:rsid w:val="001870A4"/>
    <w:rsid w:val="0019663A"/>
    <w:rsid w:val="00197F16"/>
    <w:rsid w:val="001B6DBD"/>
    <w:rsid w:val="001C5680"/>
    <w:rsid w:val="001E4A4A"/>
    <w:rsid w:val="00230040"/>
    <w:rsid w:val="00236B48"/>
    <w:rsid w:val="00262C8D"/>
    <w:rsid w:val="002704F8"/>
    <w:rsid w:val="00286022"/>
    <w:rsid w:val="0028681C"/>
    <w:rsid w:val="002A01F0"/>
    <w:rsid w:val="002D0343"/>
    <w:rsid w:val="002D08C7"/>
    <w:rsid w:val="002D7894"/>
    <w:rsid w:val="002F1EED"/>
    <w:rsid w:val="00312554"/>
    <w:rsid w:val="00347747"/>
    <w:rsid w:val="003620D7"/>
    <w:rsid w:val="00382098"/>
    <w:rsid w:val="00385CD1"/>
    <w:rsid w:val="003A0F40"/>
    <w:rsid w:val="003A2C8D"/>
    <w:rsid w:val="003B037B"/>
    <w:rsid w:val="003C13BE"/>
    <w:rsid w:val="003C2138"/>
    <w:rsid w:val="003C57D5"/>
    <w:rsid w:val="003D3956"/>
    <w:rsid w:val="003D555B"/>
    <w:rsid w:val="003D63A3"/>
    <w:rsid w:val="003E2CC9"/>
    <w:rsid w:val="003E5042"/>
    <w:rsid w:val="003F3824"/>
    <w:rsid w:val="00402D87"/>
    <w:rsid w:val="00405016"/>
    <w:rsid w:val="0042729F"/>
    <w:rsid w:val="00437DAB"/>
    <w:rsid w:val="00440F76"/>
    <w:rsid w:val="00446C54"/>
    <w:rsid w:val="004576CA"/>
    <w:rsid w:val="00497784"/>
    <w:rsid w:val="004B11EA"/>
    <w:rsid w:val="004B1449"/>
    <w:rsid w:val="004B1A6E"/>
    <w:rsid w:val="004B331B"/>
    <w:rsid w:val="004C6D63"/>
    <w:rsid w:val="004C7046"/>
    <w:rsid w:val="004E0893"/>
    <w:rsid w:val="004E16A9"/>
    <w:rsid w:val="004E1F50"/>
    <w:rsid w:val="004F46CD"/>
    <w:rsid w:val="004F76FB"/>
    <w:rsid w:val="00503331"/>
    <w:rsid w:val="005042CF"/>
    <w:rsid w:val="00510CB2"/>
    <w:rsid w:val="005114A5"/>
    <w:rsid w:val="005235BC"/>
    <w:rsid w:val="00523D79"/>
    <w:rsid w:val="00542CDB"/>
    <w:rsid w:val="00542FCC"/>
    <w:rsid w:val="00555D59"/>
    <w:rsid w:val="00564BC5"/>
    <w:rsid w:val="005755E0"/>
    <w:rsid w:val="00590805"/>
    <w:rsid w:val="005C1E38"/>
    <w:rsid w:val="005C5036"/>
    <w:rsid w:val="005D06C8"/>
    <w:rsid w:val="005D2010"/>
    <w:rsid w:val="005D315D"/>
    <w:rsid w:val="005F1167"/>
    <w:rsid w:val="005F6A2D"/>
    <w:rsid w:val="006054F1"/>
    <w:rsid w:val="00610AC9"/>
    <w:rsid w:val="00646A16"/>
    <w:rsid w:val="0065288F"/>
    <w:rsid w:val="00682049"/>
    <w:rsid w:val="0069635D"/>
    <w:rsid w:val="006B1FD4"/>
    <w:rsid w:val="006B62F6"/>
    <w:rsid w:val="006C09BC"/>
    <w:rsid w:val="006E54D1"/>
    <w:rsid w:val="006E7B19"/>
    <w:rsid w:val="006F2F09"/>
    <w:rsid w:val="00724884"/>
    <w:rsid w:val="00761720"/>
    <w:rsid w:val="0077570F"/>
    <w:rsid w:val="007959BE"/>
    <w:rsid w:val="00797F14"/>
    <w:rsid w:val="007A1B3F"/>
    <w:rsid w:val="007D010E"/>
    <w:rsid w:val="007D3D80"/>
    <w:rsid w:val="007E1155"/>
    <w:rsid w:val="00800022"/>
    <w:rsid w:val="00812930"/>
    <w:rsid w:val="008146CB"/>
    <w:rsid w:val="00821436"/>
    <w:rsid w:val="00825069"/>
    <w:rsid w:val="008302CE"/>
    <w:rsid w:val="008360B8"/>
    <w:rsid w:val="00841AFF"/>
    <w:rsid w:val="00844276"/>
    <w:rsid w:val="008533E9"/>
    <w:rsid w:val="00856351"/>
    <w:rsid w:val="0086090C"/>
    <w:rsid w:val="00881A8B"/>
    <w:rsid w:val="00894E73"/>
    <w:rsid w:val="00897130"/>
    <w:rsid w:val="008A33B5"/>
    <w:rsid w:val="008A6570"/>
    <w:rsid w:val="008C59B6"/>
    <w:rsid w:val="008D296C"/>
    <w:rsid w:val="008E0994"/>
    <w:rsid w:val="008F27CF"/>
    <w:rsid w:val="008F6EF5"/>
    <w:rsid w:val="00912526"/>
    <w:rsid w:val="00934178"/>
    <w:rsid w:val="00935E8C"/>
    <w:rsid w:val="00941C88"/>
    <w:rsid w:val="00946A58"/>
    <w:rsid w:val="00951F72"/>
    <w:rsid w:val="00960E74"/>
    <w:rsid w:val="00983830"/>
    <w:rsid w:val="00991C8B"/>
    <w:rsid w:val="009B212A"/>
    <w:rsid w:val="009B79E8"/>
    <w:rsid w:val="009E4A4F"/>
    <w:rsid w:val="009F55C1"/>
    <w:rsid w:val="00A00E04"/>
    <w:rsid w:val="00A0278F"/>
    <w:rsid w:val="00A045CA"/>
    <w:rsid w:val="00A069AC"/>
    <w:rsid w:val="00A46887"/>
    <w:rsid w:val="00A474D2"/>
    <w:rsid w:val="00A61FB2"/>
    <w:rsid w:val="00A77E99"/>
    <w:rsid w:val="00AA036F"/>
    <w:rsid w:val="00AA25FC"/>
    <w:rsid w:val="00AA2D26"/>
    <w:rsid w:val="00AA366A"/>
    <w:rsid w:val="00AA7E6E"/>
    <w:rsid w:val="00AC42E9"/>
    <w:rsid w:val="00AE70FE"/>
    <w:rsid w:val="00AF1B10"/>
    <w:rsid w:val="00B03512"/>
    <w:rsid w:val="00B07F76"/>
    <w:rsid w:val="00B10240"/>
    <w:rsid w:val="00B10542"/>
    <w:rsid w:val="00B12FFC"/>
    <w:rsid w:val="00B33DE8"/>
    <w:rsid w:val="00B372D1"/>
    <w:rsid w:val="00B377E8"/>
    <w:rsid w:val="00B4181C"/>
    <w:rsid w:val="00B5216B"/>
    <w:rsid w:val="00B577B1"/>
    <w:rsid w:val="00B7272B"/>
    <w:rsid w:val="00B73213"/>
    <w:rsid w:val="00B73A22"/>
    <w:rsid w:val="00B83D70"/>
    <w:rsid w:val="00B85102"/>
    <w:rsid w:val="00B864E5"/>
    <w:rsid w:val="00B929E4"/>
    <w:rsid w:val="00B96537"/>
    <w:rsid w:val="00B967A3"/>
    <w:rsid w:val="00BB2A63"/>
    <w:rsid w:val="00BC4E8B"/>
    <w:rsid w:val="00BC624E"/>
    <w:rsid w:val="00BD3036"/>
    <w:rsid w:val="00BD660E"/>
    <w:rsid w:val="00BE084C"/>
    <w:rsid w:val="00BF4B38"/>
    <w:rsid w:val="00C13E9B"/>
    <w:rsid w:val="00C26EC9"/>
    <w:rsid w:val="00C32A6C"/>
    <w:rsid w:val="00C4782A"/>
    <w:rsid w:val="00C631C9"/>
    <w:rsid w:val="00C66D17"/>
    <w:rsid w:val="00C71E33"/>
    <w:rsid w:val="00C80057"/>
    <w:rsid w:val="00C87BFC"/>
    <w:rsid w:val="00C928B9"/>
    <w:rsid w:val="00CA3E92"/>
    <w:rsid w:val="00CA4FC5"/>
    <w:rsid w:val="00CA52F3"/>
    <w:rsid w:val="00CB5929"/>
    <w:rsid w:val="00CC3140"/>
    <w:rsid w:val="00CC7D11"/>
    <w:rsid w:val="00CE4558"/>
    <w:rsid w:val="00CE76E0"/>
    <w:rsid w:val="00CF1F4A"/>
    <w:rsid w:val="00D0593C"/>
    <w:rsid w:val="00D218E4"/>
    <w:rsid w:val="00D278B9"/>
    <w:rsid w:val="00D34CC1"/>
    <w:rsid w:val="00D57BEE"/>
    <w:rsid w:val="00D609B0"/>
    <w:rsid w:val="00D747C8"/>
    <w:rsid w:val="00D91CE7"/>
    <w:rsid w:val="00DA78A1"/>
    <w:rsid w:val="00DB1C73"/>
    <w:rsid w:val="00DB1D7D"/>
    <w:rsid w:val="00DC6859"/>
    <w:rsid w:val="00DD0A8A"/>
    <w:rsid w:val="00DE3971"/>
    <w:rsid w:val="00DE4FB6"/>
    <w:rsid w:val="00DE5577"/>
    <w:rsid w:val="00DE5A54"/>
    <w:rsid w:val="00DE7D81"/>
    <w:rsid w:val="00E02043"/>
    <w:rsid w:val="00E02BB0"/>
    <w:rsid w:val="00E04A0F"/>
    <w:rsid w:val="00E1133A"/>
    <w:rsid w:val="00E11357"/>
    <w:rsid w:val="00E2721C"/>
    <w:rsid w:val="00E42ED6"/>
    <w:rsid w:val="00E52387"/>
    <w:rsid w:val="00E54E31"/>
    <w:rsid w:val="00E70484"/>
    <w:rsid w:val="00E75BB1"/>
    <w:rsid w:val="00E85AF8"/>
    <w:rsid w:val="00E87A81"/>
    <w:rsid w:val="00E9449D"/>
    <w:rsid w:val="00EB25A3"/>
    <w:rsid w:val="00EC5B3C"/>
    <w:rsid w:val="00EC5C48"/>
    <w:rsid w:val="00EC6D04"/>
    <w:rsid w:val="00ED438D"/>
    <w:rsid w:val="00ED5CB1"/>
    <w:rsid w:val="00EF27D7"/>
    <w:rsid w:val="00EF2907"/>
    <w:rsid w:val="00F02213"/>
    <w:rsid w:val="00F02337"/>
    <w:rsid w:val="00F237C0"/>
    <w:rsid w:val="00F61538"/>
    <w:rsid w:val="00F651D8"/>
    <w:rsid w:val="00F654CF"/>
    <w:rsid w:val="00F71DD0"/>
    <w:rsid w:val="00F743A5"/>
    <w:rsid w:val="00F821BA"/>
    <w:rsid w:val="00F8672B"/>
    <w:rsid w:val="00F95566"/>
    <w:rsid w:val="00F9728E"/>
    <w:rsid w:val="00FB0795"/>
    <w:rsid w:val="00FB55D4"/>
    <w:rsid w:val="00FD094D"/>
    <w:rsid w:val="00FF1934"/>
    <w:rsid w:val="00FF3553"/>
    <w:rsid w:val="00FF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B6"/>
    <w:pPr>
      <w:spacing w:after="200" w:line="276" w:lineRule="auto"/>
    </w:pPr>
    <w:rPr>
      <w:rFonts w:cs="Calibri"/>
      <w:lang w:val="mk-MK"/>
    </w:rPr>
  </w:style>
  <w:style w:type="paragraph" w:styleId="Heading1">
    <w:name w:val="heading 1"/>
    <w:basedOn w:val="Normal"/>
    <w:next w:val="Normal"/>
    <w:link w:val="Heading1Char"/>
    <w:uiPriority w:val="99"/>
    <w:qFormat/>
    <w:rsid w:val="008C59B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8C59B6"/>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9"/>
    <w:qFormat/>
    <w:rsid w:val="008C59B6"/>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9B6"/>
    <w:rPr>
      <w:rFonts w:ascii="Cambria" w:hAnsi="Cambria" w:cs="Cambria"/>
      <w:b/>
      <w:bCs/>
      <w:color w:val="365F91"/>
      <w:sz w:val="28"/>
      <w:szCs w:val="28"/>
      <w:lang w:val="mk-MK"/>
    </w:rPr>
  </w:style>
  <w:style w:type="character" w:customStyle="1" w:styleId="Heading2Char">
    <w:name w:val="Heading 2 Char"/>
    <w:basedOn w:val="DefaultParagraphFont"/>
    <w:link w:val="Heading2"/>
    <w:uiPriority w:val="99"/>
    <w:locked/>
    <w:rsid w:val="008C59B6"/>
    <w:rPr>
      <w:rFonts w:ascii="Times New Roman" w:hAnsi="Times New Roman" w:cs="Times New Roman"/>
      <w:b/>
      <w:bCs/>
      <w:sz w:val="36"/>
      <w:szCs w:val="36"/>
      <w:lang w:val="mk-MK" w:eastAsia="mk-MK"/>
    </w:rPr>
  </w:style>
  <w:style w:type="character" w:customStyle="1" w:styleId="Heading3Char">
    <w:name w:val="Heading 3 Char"/>
    <w:basedOn w:val="DefaultParagraphFont"/>
    <w:link w:val="Heading3"/>
    <w:uiPriority w:val="99"/>
    <w:locked/>
    <w:rsid w:val="008C59B6"/>
    <w:rPr>
      <w:rFonts w:ascii="Times New Roman" w:hAnsi="Times New Roman" w:cs="Times New Roman"/>
      <w:b/>
      <w:bCs/>
      <w:sz w:val="27"/>
      <w:szCs w:val="27"/>
      <w:lang w:val="mk-MK" w:eastAsia="mk-MK"/>
    </w:rPr>
  </w:style>
  <w:style w:type="character" w:styleId="Hyperlink">
    <w:name w:val="Hyperlink"/>
    <w:basedOn w:val="DefaultParagraphFont"/>
    <w:uiPriority w:val="99"/>
    <w:rsid w:val="008C59B6"/>
    <w:rPr>
      <w:color w:val="0000FF"/>
      <w:u w:val="single"/>
    </w:rPr>
  </w:style>
  <w:style w:type="paragraph" w:customStyle="1" w:styleId="Default">
    <w:name w:val="Default"/>
    <w:uiPriority w:val="99"/>
    <w:rsid w:val="008C59B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8C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9B6"/>
    <w:rPr>
      <w:rFonts w:ascii="Tahoma" w:hAnsi="Tahoma" w:cs="Tahoma"/>
      <w:sz w:val="16"/>
      <w:szCs w:val="16"/>
      <w:lang w:val="mk-MK"/>
    </w:rPr>
  </w:style>
  <w:style w:type="table" w:styleId="TableGrid">
    <w:name w:val="Table Grid"/>
    <w:basedOn w:val="TableNormal"/>
    <w:uiPriority w:val="99"/>
    <w:rsid w:val="008C59B6"/>
    <w:rPr>
      <w:rFonts w:cs="Calibri"/>
      <w:sz w:val="20"/>
      <w:szCs w:val="20"/>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59B6"/>
    <w:rPr>
      <w:color w:val="808080"/>
    </w:rPr>
  </w:style>
  <w:style w:type="paragraph" w:styleId="ListParagraph">
    <w:name w:val="List Paragraph"/>
    <w:basedOn w:val="Normal"/>
    <w:uiPriority w:val="99"/>
    <w:qFormat/>
    <w:rsid w:val="008C59B6"/>
    <w:pPr>
      <w:ind w:left="720"/>
    </w:pPr>
  </w:style>
  <w:style w:type="character" w:customStyle="1" w:styleId="apple-converted-space">
    <w:name w:val="apple-converted-space"/>
    <w:basedOn w:val="DefaultParagraphFont"/>
    <w:uiPriority w:val="99"/>
    <w:rsid w:val="008C59B6"/>
  </w:style>
  <w:style w:type="paragraph" w:styleId="FootnoteText">
    <w:name w:val="footnote text"/>
    <w:basedOn w:val="Normal"/>
    <w:link w:val="FootnoteTextChar"/>
    <w:uiPriority w:val="99"/>
    <w:semiHidden/>
    <w:rsid w:val="008C59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59B6"/>
    <w:rPr>
      <w:sz w:val="20"/>
      <w:szCs w:val="20"/>
      <w:lang w:val="mk-MK"/>
    </w:rPr>
  </w:style>
  <w:style w:type="character" w:styleId="FootnoteReference">
    <w:name w:val="footnote reference"/>
    <w:basedOn w:val="DefaultParagraphFont"/>
    <w:uiPriority w:val="99"/>
    <w:semiHidden/>
    <w:rsid w:val="008C59B6"/>
    <w:rPr>
      <w:vertAlign w:val="superscript"/>
    </w:rPr>
  </w:style>
  <w:style w:type="paragraph" w:styleId="Caption">
    <w:name w:val="caption"/>
    <w:basedOn w:val="Normal"/>
    <w:next w:val="Normal"/>
    <w:uiPriority w:val="99"/>
    <w:qFormat/>
    <w:rsid w:val="00FF460F"/>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5869969378828565E-2"/>
          <c:y val="4.0089363829521593E-2"/>
          <c:w val="0.74101228164042598"/>
          <c:h val="0.78439632545931759"/>
        </c:manualLayout>
      </c:layout>
      <c:lineChart>
        <c:grouping val="standard"/>
        <c:ser>
          <c:idx val="72"/>
          <c:order val="72"/>
          <c:tx>
            <c:strRef>
              <c:f>Sheet1!$B$1</c:f>
            </c:strRef>
          </c:tx>
          <c:marker>
            <c:symbol val="none"/>
          </c:marker>
          <c:dLbls>
            <c:showVal val="1"/>
          </c:dLbls>
          <c:cat>
            <c:multiLvlStrRef>
              <c:f>Sheet1!$A$2:$A$15</c:f>
            </c:multiLvlStrRef>
          </c:cat>
          <c:val>
            <c:numRef>
              <c:f>Sheet1!$B$2:$B$15</c:f>
            </c:numRef>
          </c:val>
        </c:ser>
        <c:ser>
          <c:idx val="73"/>
          <c:order val="73"/>
          <c:tx>
            <c:strRef>
              <c:f>Sheet1!$C$1</c:f>
            </c:strRef>
          </c:tx>
          <c:marker>
            <c:symbol val="none"/>
          </c:marker>
          <c:dLbls>
            <c:showVal val="1"/>
          </c:dLbls>
          <c:cat>
            <c:multiLvlStrRef>
              <c:f>Sheet1!$A$2:$A$15</c:f>
            </c:multiLvlStrRef>
          </c:cat>
          <c:val>
            <c:numRef>
              <c:f>Sheet1!$C$2:$C$15</c:f>
            </c:numRef>
          </c:val>
        </c:ser>
        <c:ser>
          <c:idx val="74"/>
          <c:order val="74"/>
          <c:tx>
            <c:strRef>
              <c:f>Sheet1!$D$1</c:f>
            </c:strRef>
          </c:tx>
          <c:marker>
            <c:symbol val="none"/>
          </c:marker>
          <c:dLbls>
            <c:showVal val="1"/>
          </c:dLbls>
          <c:cat>
            <c:multiLvlStrRef>
              <c:f>Sheet1!$A$2:$A$15</c:f>
            </c:multiLvlStrRef>
          </c:cat>
          <c:val>
            <c:numRef>
              <c:f>Sheet1!$D$2:$D$15</c:f>
            </c:numRef>
          </c:val>
        </c:ser>
        <c:ser>
          <c:idx val="75"/>
          <c:order val="75"/>
          <c:tx>
            <c:strRef>
              <c:f>Sheet1!$E$1</c:f>
            </c:strRef>
          </c:tx>
          <c:marker>
            <c:symbol val="none"/>
          </c:marker>
          <c:dLbls>
            <c:showVal val="1"/>
          </c:dLbls>
          <c:cat>
            <c:multiLvlStrRef>
              <c:f>Sheet1!$A$2:$A$15</c:f>
            </c:multiLvlStrRef>
          </c:cat>
          <c:val>
            <c:numRef>
              <c:f>Sheet1!$E$2:$E$15</c:f>
            </c:numRef>
          </c:val>
        </c:ser>
        <c:ser>
          <c:idx val="76"/>
          <c:order val="76"/>
          <c:tx>
            <c:strRef>
              <c:f>Sheet1!$F$1</c:f>
            </c:strRef>
          </c:tx>
          <c:marker>
            <c:symbol val="none"/>
          </c:marker>
          <c:dLbls>
            <c:showVal val="1"/>
          </c:dLbls>
          <c:cat>
            <c:multiLvlStrRef>
              <c:f>Sheet1!$A$2:$A$15</c:f>
            </c:multiLvlStrRef>
          </c:cat>
          <c:val>
            <c:numRef>
              <c:f>Sheet1!$F$2:$F$15</c:f>
            </c:numRef>
          </c:val>
        </c:ser>
        <c:ser>
          <c:idx val="77"/>
          <c:order val="77"/>
          <c:tx>
            <c:strRef>
              <c:f>Sheet1!$G$1</c:f>
            </c:strRef>
          </c:tx>
          <c:marker>
            <c:symbol val="none"/>
          </c:marker>
          <c:dLbls>
            <c:showVal val="1"/>
          </c:dLbls>
          <c:cat>
            <c:multiLvlStrRef>
              <c:f>Sheet1!$A$2:$A$15</c:f>
            </c:multiLvlStrRef>
          </c:cat>
          <c:val>
            <c:numRef>
              <c:f>Sheet1!$G$2:$G$15</c:f>
            </c:numRef>
          </c:val>
        </c:ser>
        <c:ser>
          <c:idx val="78"/>
          <c:order val="78"/>
          <c:tx>
            <c:strRef>
              <c:f>Sheet1!$H$1</c:f>
            </c:strRef>
          </c:tx>
          <c:marker>
            <c:symbol val="none"/>
          </c:marker>
          <c:dLbls>
            <c:showVal val="1"/>
          </c:dLbls>
          <c:cat>
            <c:multiLvlStrRef>
              <c:f>Sheet1!$A$2:$A$15</c:f>
            </c:multiLvlStrRef>
          </c:cat>
          <c:val>
            <c:numRef>
              <c:f>Sheet1!$H$2:$H$15</c:f>
            </c:numRef>
          </c:val>
        </c:ser>
        <c:ser>
          <c:idx val="79"/>
          <c:order val="79"/>
          <c:tx>
            <c:strRef>
              <c:f>Sheet1!$I$1</c:f>
            </c:strRef>
          </c:tx>
          <c:marker>
            <c:symbol val="none"/>
          </c:marker>
          <c:dLbls>
            <c:showVal val="1"/>
          </c:dLbls>
          <c:cat>
            <c:multiLvlStrRef>
              <c:f>Sheet1!$A$2:$A$15</c:f>
            </c:multiLvlStrRef>
          </c:cat>
          <c:val>
            <c:numRef>
              <c:f>Sheet1!$I$2:$I$15</c:f>
            </c:numRef>
          </c:val>
        </c:ser>
        <c:ser>
          <c:idx val="80"/>
          <c:order val="80"/>
          <c:tx>
            <c:strRef>
              <c:f>Sheet1!$J$1</c:f>
            </c:strRef>
          </c:tx>
          <c:marker>
            <c:symbol val="none"/>
          </c:marker>
          <c:dLbls>
            <c:showVal val="1"/>
          </c:dLbls>
          <c:cat>
            <c:multiLvlStrRef>
              <c:f>Sheet1!$A$2:$A$15</c:f>
            </c:multiLvlStrRef>
          </c:cat>
          <c:val>
            <c:numRef>
              <c:f>Sheet1!$J$2:$J$15</c:f>
            </c:numRef>
          </c:val>
        </c:ser>
        <c:ser>
          <c:idx val="81"/>
          <c:order val="81"/>
          <c:tx>
            <c:strRef>
              <c:f>Sheet1!$K$1</c:f>
            </c:strRef>
          </c:tx>
          <c:marker>
            <c:symbol val="none"/>
          </c:marker>
          <c:dLbls>
            <c:showVal val="1"/>
          </c:dLbls>
          <c:cat>
            <c:multiLvlStrRef>
              <c:f>Sheet1!$A$2:$A$15</c:f>
            </c:multiLvlStrRef>
          </c:cat>
          <c:val>
            <c:numRef>
              <c:f>Sheet1!$K$2:$K$15</c:f>
            </c:numRef>
          </c:val>
        </c:ser>
        <c:ser>
          <c:idx val="82"/>
          <c:order val="82"/>
          <c:tx>
            <c:strRef>
              <c:f>Sheet1!$L$1</c:f>
            </c:strRef>
          </c:tx>
          <c:marker>
            <c:symbol val="none"/>
          </c:marker>
          <c:dLbls>
            <c:showVal val="1"/>
          </c:dLbls>
          <c:cat>
            <c:multiLvlStrRef>
              <c:f>Sheet1!$A$2:$A$15</c:f>
            </c:multiLvlStrRef>
          </c:cat>
          <c:val>
            <c:numRef>
              <c:f>Sheet1!$L$2:$L$15</c:f>
            </c:numRef>
          </c:val>
        </c:ser>
        <c:ser>
          <c:idx val="83"/>
          <c:order val="83"/>
          <c:tx>
            <c:strRef>
              <c:f>Sheet1!$M$1</c:f>
            </c:strRef>
          </c:tx>
          <c:marker>
            <c:symbol val="none"/>
          </c:marker>
          <c:dLbls>
            <c:showVal val="1"/>
          </c:dLbls>
          <c:cat>
            <c:multiLvlStrRef>
              <c:f>Sheet1!$A$2:$A$15</c:f>
            </c:multiLvlStrRef>
          </c:cat>
          <c:val>
            <c:numRef>
              <c:f>Sheet1!$M$2:$M$15</c:f>
            </c:numRef>
          </c:val>
        </c:ser>
        <c:ser>
          <c:idx val="84"/>
          <c:order val="84"/>
          <c:tx>
            <c:strRef>
              <c:f>Sheet1!$B$1</c:f>
            </c:strRef>
          </c:tx>
          <c:marker>
            <c:symbol val="none"/>
          </c:marker>
          <c:dLbls>
            <c:showVal val="1"/>
          </c:dLbls>
          <c:cat>
            <c:multiLvlStrRef>
              <c:f>Sheet1!$A$2:$A$15</c:f>
            </c:multiLvlStrRef>
          </c:cat>
          <c:val>
            <c:numRef>
              <c:f>Sheet1!$B$2:$B$15</c:f>
            </c:numRef>
          </c:val>
        </c:ser>
        <c:ser>
          <c:idx val="85"/>
          <c:order val="85"/>
          <c:tx>
            <c:strRef>
              <c:f>Sheet1!$C$1</c:f>
            </c:strRef>
          </c:tx>
          <c:marker>
            <c:symbol val="none"/>
          </c:marker>
          <c:dLbls>
            <c:showVal val="1"/>
          </c:dLbls>
          <c:cat>
            <c:multiLvlStrRef>
              <c:f>Sheet1!$A$2:$A$15</c:f>
            </c:multiLvlStrRef>
          </c:cat>
          <c:val>
            <c:numRef>
              <c:f>Sheet1!$C$2:$C$15</c:f>
            </c:numRef>
          </c:val>
        </c:ser>
        <c:ser>
          <c:idx val="86"/>
          <c:order val="86"/>
          <c:tx>
            <c:strRef>
              <c:f>Sheet1!$D$1</c:f>
            </c:strRef>
          </c:tx>
          <c:marker>
            <c:symbol val="none"/>
          </c:marker>
          <c:dLbls>
            <c:showVal val="1"/>
          </c:dLbls>
          <c:cat>
            <c:multiLvlStrRef>
              <c:f>Sheet1!$A$2:$A$15</c:f>
            </c:multiLvlStrRef>
          </c:cat>
          <c:val>
            <c:numRef>
              <c:f>Sheet1!$D$2:$D$15</c:f>
            </c:numRef>
          </c:val>
        </c:ser>
        <c:ser>
          <c:idx val="87"/>
          <c:order val="87"/>
          <c:tx>
            <c:strRef>
              <c:f>Sheet1!$E$1</c:f>
            </c:strRef>
          </c:tx>
          <c:marker>
            <c:symbol val="none"/>
          </c:marker>
          <c:dLbls>
            <c:showVal val="1"/>
          </c:dLbls>
          <c:cat>
            <c:multiLvlStrRef>
              <c:f>Sheet1!$A$2:$A$15</c:f>
            </c:multiLvlStrRef>
          </c:cat>
          <c:val>
            <c:numRef>
              <c:f>Sheet1!$E$2:$E$15</c:f>
            </c:numRef>
          </c:val>
        </c:ser>
        <c:ser>
          <c:idx val="88"/>
          <c:order val="88"/>
          <c:tx>
            <c:strRef>
              <c:f>Sheet1!$F$1</c:f>
            </c:strRef>
          </c:tx>
          <c:marker>
            <c:symbol val="none"/>
          </c:marker>
          <c:dLbls>
            <c:showVal val="1"/>
          </c:dLbls>
          <c:cat>
            <c:multiLvlStrRef>
              <c:f>Sheet1!$A$2:$A$15</c:f>
            </c:multiLvlStrRef>
          </c:cat>
          <c:val>
            <c:numRef>
              <c:f>Sheet1!$F$2:$F$15</c:f>
            </c:numRef>
          </c:val>
        </c:ser>
        <c:ser>
          <c:idx val="89"/>
          <c:order val="89"/>
          <c:tx>
            <c:strRef>
              <c:f>Sheet1!$G$1</c:f>
            </c:strRef>
          </c:tx>
          <c:marker>
            <c:symbol val="none"/>
          </c:marker>
          <c:dLbls>
            <c:showVal val="1"/>
          </c:dLbls>
          <c:cat>
            <c:multiLvlStrRef>
              <c:f>Sheet1!$A$2:$A$15</c:f>
            </c:multiLvlStrRef>
          </c:cat>
          <c:val>
            <c:numRef>
              <c:f>Sheet1!$G$2:$G$15</c:f>
            </c:numRef>
          </c:val>
        </c:ser>
        <c:ser>
          <c:idx val="90"/>
          <c:order val="90"/>
          <c:tx>
            <c:strRef>
              <c:f>Sheet1!$H$1</c:f>
            </c:strRef>
          </c:tx>
          <c:marker>
            <c:symbol val="none"/>
          </c:marker>
          <c:dLbls>
            <c:showVal val="1"/>
          </c:dLbls>
          <c:cat>
            <c:multiLvlStrRef>
              <c:f>Sheet1!$A$2:$A$15</c:f>
            </c:multiLvlStrRef>
          </c:cat>
          <c:val>
            <c:numRef>
              <c:f>Sheet1!$H$2:$H$15</c:f>
            </c:numRef>
          </c:val>
        </c:ser>
        <c:ser>
          <c:idx val="91"/>
          <c:order val="91"/>
          <c:tx>
            <c:strRef>
              <c:f>Sheet1!$I$1</c:f>
            </c:strRef>
          </c:tx>
          <c:marker>
            <c:symbol val="none"/>
          </c:marker>
          <c:dLbls>
            <c:showVal val="1"/>
          </c:dLbls>
          <c:cat>
            <c:multiLvlStrRef>
              <c:f>Sheet1!$A$2:$A$15</c:f>
            </c:multiLvlStrRef>
          </c:cat>
          <c:val>
            <c:numRef>
              <c:f>Sheet1!$I$2:$I$15</c:f>
            </c:numRef>
          </c:val>
        </c:ser>
        <c:ser>
          <c:idx val="92"/>
          <c:order val="92"/>
          <c:tx>
            <c:strRef>
              <c:f>Sheet1!$J$1</c:f>
            </c:strRef>
          </c:tx>
          <c:marker>
            <c:symbol val="none"/>
          </c:marker>
          <c:dLbls>
            <c:showVal val="1"/>
          </c:dLbls>
          <c:cat>
            <c:multiLvlStrRef>
              <c:f>Sheet1!$A$2:$A$15</c:f>
            </c:multiLvlStrRef>
          </c:cat>
          <c:val>
            <c:numRef>
              <c:f>Sheet1!$J$2:$J$15</c:f>
            </c:numRef>
          </c:val>
        </c:ser>
        <c:ser>
          <c:idx val="93"/>
          <c:order val="93"/>
          <c:tx>
            <c:strRef>
              <c:f>Sheet1!$K$1</c:f>
            </c:strRef>
          </c:tx>
          <c:marker>
            <c:symbol val="none"/>
          </c:marker>
          <c:dLbls>
            <c:showVal val="1"/>
          </c:dLbls>
          <c:cat>
            <c:multiLvlStrRef>
              <c:f>Sheet1!$A$2:$A$15</c:f>
            </c:multiLvlStrRef>
          </c:cat>
          <c:val>
            <c:numRef>
              <c:f>Sheet1!$K$2:$K$15</c:f>
            </c:numRef>
          </c:val>
        </c:ser>
        <c:ser>
          <c:idx val="94"/>
          <c:order val="94"/>
          <c:tx>
            <c:strRef>
              <c:f>Sheet1!$L$1</c:f>
            </c:strRef>
          </c:tx>
          <c:marker>
            <c:symbol val="none"/>
          </c:marker>
          <c:dLbls>
            <c:showVal val="1"/>
          </c:dLbls>
          <c:cat>
            <c:multiLvlStrRef>
              <c:f>Sheet1!$A$2:$A$15</c:f>
            </c:multiLvlStrRef>
          </c:cat>
          <c:val>
            <c:numRef>
              <c:f>Sheet1!$L$2:$L$15</c:f>
            </c:numRef>
          </c:val>
        </c:ser>
        <c:ser>
          <c:idx val="95"/>
          <c:order val="95"/>
          <c:tx>
            <c:strRef>
              <c:f>Sheet1!$M$1</c:f>
            </c:strRef>
          </c:tx>
          <c:marker>
            <c:symbol val="none"/>
          </c:marker>
          <c:dLbls>
            <c:showVal val="1"/>
          </c:dLbls>
          <c:cat>
            <c:multiLvlStrRef>
              <c:f>Sheet1!$A$2:$A$15</c:f>
            </c:multiLvlStrRef>
          </c:cat>
          <c:val>
            <c:numRef>
              <c:f>Sheet1!$M$2:$M$15</c:f>
            </c:numRef>
          </c:val>
        </c:ser>
        <c:ser>
          <c:idx val="96"/>
          <c:order val="96"/>
          <c:tx>
            <c:strRef>
              <c:f>Sheet1!$B$1</c:f>
            </c:strRef>
          </c:tx>
          <c:marker>
            <c:symbol val="none"/>
          </c:marker>
          <c:dLbls>
            <c:showVal val="1"/>
          </c:dLbls>
          <c:cat>
            <c:multiLvlStrRef>
              <c:f>Sheet1!$A$2:$A$15</c:f>
            </c:multiLvlStrRef>
          </c:cat>
          <c:val>
            <c:numRef>
              <c:f>Sheet1!$B$2:$B$15</c:f>
            </c:numRef>
          </c:val>
        </c:ser>
        <c:ser>
          <c:idx val="97"/>
          <c:order val="97"/>
          <c:tx>
            <c:strRef>
              <c:f>Sheet1!$C$1</c:f>
            </c:strRef>
          </c:tx>
          <c:marker>
            <c:symbol val="none"/>
          </c:marker>
          <c:dLbls>
            <c:showVal val="1"/>
          </c:dLbls>
          <c:cat>
            <c:multiLvlStrRef>
              <c:f>Sheet1!$A$2:$A$15</c:f>
            </c:multiLvlStrRef>
          </c:cat>
          <c:val>
            <c:numRef>
              <c:f>Sheet1!$C$2:$C$15</c:f>
            </c:numRef>
          </c:val>
        </c:ser>
        <c:ser>
          <c:idx val="98"/>
          <c:order val="98"/>
          <c:tx>
            <c:strRef>
              <c:f>Sheet1!$D$1</c:f>
            </c:strRef>
          </c:tx>
          <c:marker>
            <c:symbol val="none"/>
          </c:marker>
          <c:dLbls>
            <c:showVal val="1"/>
          </c:dLbls>
          <c:cat>
            <c:multiLvlStrRef>
              <c:f>Sheet1!$A$2:$A$15</c:f>
            </c:multiLvlStrRef>
          </c:cat>
          <c:val>
            <c:numRef>
              <c:f>Sheet1!$D$2:$D$15</c:f>
            </c:numRef>
          </c:val>
        </c:ser>
        <c:ser>
          <c:idx val="99"/>
          <c:order val="99"/>
          <c:tx>
            <c:strRef>
              <c:f>Sheet1!$E$1</c:f>
            </c:strRef>
          </c:tx>
          <c:marker>
            <c:symbol val="none"/>
          </c:marker>
          <c:dLbls>
            <c:showVal val="1"/>
          </c:dLbls>
          <c:cat>
            <c:multiLvlStrRef>
              <c:f>Sheet1!$A$2:$A$15</c:f>
            </c:multiLvlStrRef>
          </c:cat>
          <c:val>
            <c:numRef>
              <c:f>Sheet1!$E$2:$E$15</c:f>
            </c:numRef>
          </c:val>
        </c:ser>
        <c:ser>
          <c:idx val="100"/>
          <c:order val="100"/>
          <c:tx>
            <c:strRef>
              <c:f>Sheet1!$F$1</c:f>
            </c:strRef>
          </c:tx>
          <c:marker>
            <c:symbol val="none"/>
          </c:marker>
          <c:dLbls>
            <c:showVal val="1"/>
          </c:dLbls>
          <c:cat>
            <c:multiLvlStrRef>
              <c:f>Sheet1!$A$2:$A$15</c:f>
            </c:multiLvlStrRef>
          </c:cat>
          <c:val>
            <c:numRef>
              <c:f>Sheet1!$F$2:$F$15</c:f>
            </c:numRef>
          </c:val>
        </c:ser>
        <c:ser>
          <c:idx val="101"/>
          <c:order val="101"/>
          <c:tx>
            <c:strRef>
              <c:f>Sheet1!$G$1</c:f>
            </c:strRef>
          </c:tx>
          <c:marker>
            <c:symbol val="none"/>
          </c:marker>
          <c:dLbls>
            <c:showVal val="1"/>
          </c:dLbls>
          <c:cat>
            <c:multiLvlStrRef>
              <c:f>Sheet1!$A$2:$A$15</c:f>
            </c:multiLvlStrRef>
          </c:cat>
          <c:val>
            <c:numRef>
              <c:f>Sheet1!$G$2:$G$15</c:f>
            </c:numRef>
          </c:val>
        </c:ser>
        <c:ser>
          <c:idx val="102"/>
          <c:order val="102"/>
          <c:tx>
            <c:strRef>
              <c:f>Sheet1!$H$1</c:f>
            </c:strRef>
          </c:tx>
          <c:marker>
            <c:symbol val="none"/>
          </c:marker>
          <c:dLbls>
            <c:showVal val="1"/>
          </c:dLbls>
          <c:cat>
            <c:multiLvlStrRef>
              <c:f>Sheet1!$A$2:$A$15</c:f>
            </c:multiLvlStrRef>
          </c:cat>
          <c:val>
            <c:numRef>
              <c:f>Sheet1!$H$2:$H$15</c:f>
            </c:numRef>
          </c:val>
        </c:ser>
        <c:ser>
          <c:idx val="103"/>
          <c:order val="103"/>
          <c:tx>
            <c:strRef>
              <c:f>Sheet1!$I$1</c:f>
            </c:strRef>
          </c:tx>
          <c:marker>
            <c:symbol val="none"/>
          </c:marker>
          <c:dLbls>
            <c:showVal val="1"/>
          </c:dLbls>
          <c:cat>
            <c:multiLvlStrRef>
              <c:f>Sheet1!$A$2:$A$15</c:f>
            </c:multiLvlStrRef>
          </c:cat>
          <c:val>
            <c:numRef>
              <c:f>Sheet1!$I$2:$I$15</c:f>
            </c:numRef>
          </c:val>
        </c:ser>
        <c:ser>
          <c:idx val="104"/>
          <c:order val="104"/>
          <c:tx>
            <c:strRef>
              <c:f>Sheet1!$J$1</c:f>
            </c:strRef>
          </c:tx>
          <c:marker>
            <c:symbol val="none"/>
          </c:marker>
          <c:dLbls>
            <c:showVal val="1"/>
          </c:dLbls>
          <c:cat>
            <c:multiLvlStrRef>
              <c:f>Sheet1!$A$2:$A$15</c:f>
            </c:multiLvlStrRef>
          </c:cat>
          <c:val>
            <c:numRef>
              <c:f>Sheet1!$J$2:$J$15</c:f>
            </c:numRef>
          </c:val>
        </c:ser>
        <c:ser>
          <c:idx val="105"/>
          <c:order val="105"/>
          <c:tx>
            <c:strRef>
              <c:f>Sheet1!$K$1</c:f>
            </c:strRef>
          </c:tx>
          <c:marker>
            <c:symbol val="none"/>
          </c:marker>
          <c:dLbls>
            <c:showVal val="1"/>
          </c:dLbls>
          <c:cat>
            <c:multiLvlStrRef>
              <c:f>Sheet1!$A$2:$A$15</c:f>
            </c:multiLvlStrRef>
          </c:cat>
          <c:val>
            <c:numRef>
              <c:f>Sheet1!$K$2:$K$15</c:f>
            </c:numRef>
          </c:val>
        </c:ser>
        <c:ser>
          <c:idx val="106"/>
          <c:order val="106"/>
          <c:tx>
            <c:strRef>
              <c:f>Sheet1!$L$1</c:f>
            </c:strRef>
          </c:tx>
          <c:marker>
            <c:symbol val="none"/>
          </c:marker>
          <c:dLbls>
            <c:showVal val="1"/>
          </c:dLbls>
          <c:cat>
            <c:multiLvlStrRef>
              <c:f>Sheet1!$A$2:$A$15</c:f>
            </c:multiLvlStrRef>
          </c:cat>
          <c:val>
            <c:numRef>
              <c:f>Sheet1!$L$2:$L$15</c:f>
            </c:numRef>
          </c:val>
        </c:ser>
        <c:ser>
          <c:idx val="107"/>
          <c:order val="107"/>
          <c:tx>
            <c:strRef>
              <c:f>Sheet1!$M$1</c:f>
            </c:strRef>
          </c:tx>
          <c:marker>
            <c:symbol val="none"/>
          </c:marker>
          <c:dLbls>
            <c:showVal val="1"/>
          </c:dLbls>
          <c:cat>
            <c:multiLvlStrRef>
              <c:f>Sheet1!$A$2:$A$15</c:f>
            </c:multiLvlStrRef>
          </c:cat>
          <c:val>
            <c:numRef>
              <c:f>Sheet1!$M$2:$M$15</c:f>
            </c:numRef>
          </c:val>
        </c:ser>
        <c:ser>
          <c:idx val="108"/>
          <c:order val="108"/>
          <c:tx>
            <c:strRef>
              <c:f>Sheet1!$B$1</c:f>
            </c:strRef>
          </c:tx>
          <c:marker>
            <c:symbol val="none"/>
          </c:marker>
          <c:dLbls>
            <c:showVal val="1"/>
          </c:dLbls>
          <c:cat>
            <c:multiLvlStrRef>
              <c:f>Sheet1!$A$2:$A$15</c:f>
            </c:multiLvlStrRef>
          </c:cat>
          <c:val>
            <c:numRef>
              <c:f>Sheet1!$B$2:$B$15</c:f>
            </c:numRef>
          </c:val>
        </c:ser>
        <c:ser>
          <c:idx val="109"/>
          <c:order val="109"/>
          <c:tx>
            <c:strRef>
              <c:f>Sheet1!$C$1</c:f>
            </c:strRef>
          </c:tx>
          <c:marker>
            <c:symbol val="none"/>
          </c:marker>
          <c:dLbls>
            <c:showVal val="1"/>
          </c:dLbls>
          <c:cat>
            <c:multiLvlStrRef>
              <c:f>Sheet1!$A$2:$A$15</c:f>
            </c:multiLvlStrRef>
          </c:cat>
          <c:val>
            <c:numRef>
              <c:f>Sheet1!$C$2:$C$15</c:f>
            </c:numRef>
          </c:val>
        </c:ser>
        <c:ser>
          <c:idx val="110"/>
          <c:order val="110"/>
          <c:tx>
            <c:strRef>
              <c:f>Sheet1!$D$1</c:f>
            </c:strRef>
          </c:tx>
          <c:marker>
            <c:symbol val="none"/>
          </c:marker>
          <c:dLbls>
            <c:showVal val="1"/>
          </c:dLbls>
          <c:cat>
            <c:multiLvlStrRef>
              <c:f>Sheet1!$A$2:$A$15</c:f>
            </c:multiLvlStrRef>
          </c:cat>
          <c:val>
            <c:numRef>
              <c:f>Sheet1!$D$2:$D$15</c:f>
            </c:numRef>
          </c:val>
        </c:ser>
        <c:ser>
          <c:idx val="111"/>
          <c:order val="111"/>
          <c:tx>
            <c:strRef>
              <c:f>Sheet1!$E$1</c:f>
            </c:strRef>
          </c:tx>
          <c:marker>
            <c:symbol val="none"/>
          </c:marker>
          <c:dLbls>
            <c:showVal val="1"/>
          </c:dLbls>
          <c:cat>
            <c:multiLvlStrRef>
              <c:f>Sheet1!$A$2:$A$15</c:f>
            </c:multiLvlStrRef>
          </c:cat>
          <c:val>
            <c:numRef>
              <c:f>Sheet1!$E$2:$E$15</c:f>
            </c:numRef>
          </c:val>
        </c:ser>
        <c:ser>
          <c:idx val="112"/>
          <c:order val="112"/>
          <c:tx>
            <c:strRef>
              <c:f>Sheet1!$F$1</c:f>
            </c:strRef>
          </c:tx>
          <c:marker>
            <c:symbol val="none"/>
          </c:marker>
          <c:dLbls>
            <c:showVal val="1"/>
          </c:dLbls>
          <c:cat>
            <c:multiLvlStrRef>
              <c:f>Sheet1!$A$2:$A$15</c:f>
            </c:multiLvlStrRef>
          </c:cat>
          <c:val>
            <c:numRef>
              <c:f>Sheet1!$F$2:$F$15</c:f>
            </c:numRef>
          </c:val>
        </c:ser>
        <c:ser>
          <c:idx val="113"/>
          <c:order val="113"/>
          <c:tx>
            <c:strRef>
              <c:f>Sheet1!$G$1</c:f>
            </c:strRef>
          </c:tx>
          <c:marker>
            <c:symbol val="none"/>
          </c:marker>
          <c:dLbls>
            <c:showVal val="1"/>
          </c:dLbls>
          <c:cat>
            <c:multiLvlStrRef>
              <c:f>Sheet1!$A$2:$A$15</c:f>
            </c:multiLvlStrRef>
          </c:cat>
          <c:val>
            <c:numRef>
              <c:f>Sheet1!$G$2:$G$15</c:f>
            </c:numRef>
          </c:val>
        </c:ser>
        <c:ser>
          <c:idx val="114"/>
          <c:order val="114"/>
          <c:tx>
            <c:strRef>
              <c:f>Sheet1!$H$1</c:f>
            </c:strRef>
          </c:tx>
          <c:marker>
            <c:symbol val="none"/>
          </c:marker>
          <c:dLbls>
            <c:showVal val="1"/>
          </c:dLbls>
          <c:cat>
            <c:multiLvlStrRef>
              <c:f>Sheet1!$A$2:$A$15</c:f>
            </c:multiLvlStrRef>
          </c:cat>
          <c:val>
            <c:numRef>
              <c:f>Sheet1!$H$2:$H$15</c:f>
            </c:numRef>
          </c:val>
        </c:ser>
        <c:ser>
          <c:idx val="115"/>
          <c:order val="115"/>
          <c:tx>
            <c:strRef>
              <c:f>Sheet1!$I$1</c:f>
            </c:strRef>
          </c:tx>
          <c:marker>
            <c:symbol val="none"/>
          </c:marker>
          <c:dLbls>
            <c:showVal val="1"/>
          </c:dLbls>
          <c:cat>
            <c:multiLvlStrRef>
              <c:f>Sheet1!$A$2:$A$15</c:f>
            </c:multiLvlStrRef>
          </c:cat>
          <c:val>
            <c:numRef>
              <c:f>Sheet1!$I$2:$I$15</c:f>
            </c:numRef>
          </c:val>
        </c:ser>
        <c:ser>
          <c:idx val="116"/>
          <c:order val="116"/>
          <c:tx>
            <c:strRef>
              <c:f>Sheet1!$J$1</c:f>
            </c:strRef>
          </c:tx>
          <c:marker>
            <c:symbol val="none"/>
          </c:marker>
          <c:dLbls>
            <c:showVal val="1"/>
          </c:dLbls>
          <c:cat>
            <c:multiLvlStrRef>
              <c:f>Sheet1!$A$2:$A$15</c:f>
            </c:multiLvlStrRef>
          </c:cat>
          <c:val>
            <c:numRef>
              <c:f>Sheet1!$J$2:$J$15</c:f>
            </c:numRef>
          </c:val>
        </c:ser>
        <c:ser>
          <c:idx val="117"/>
          <c:order val="117"/>
          <c:tx>
            <c:strRef>
              <c:f>Sheet1!$K$1</c:f>
            </c:strRef>
          </c:tx>
          <c:marker>
            <c:symbol val="none"/>
          </c:marker>
          <c:dLbls>
            <c:showVal val="1"/>
          </c:dLbls>
          <c:cat>
            <c:multiLvlStrRef>
              <c:f>Sheet1!$A$2:$A$15</c:f>
            </c:multiLvlStrRef>
          </c:cat>
          <c:val>
            <c:numRef>
              <c:f>Sheet1!$K$2:$K$15</c:f>
            </c:numRef>
          </c:val>
        </c:ser>
        <c:ser>
          <c:idx val="118"/>
          <c:order val="118"/>
          <c:tx>
            <c:strRef>
              <c:f>Sheet1!$L$1</c:f>
            </c:strRef>
          </c:tx>
          <c:marker>
            <c:symbol val="none"/>
          </c:marker>
          <c:dLbls>
            <c:showVal val="1"/>
          </c:dLbls>
          <c:cat>
            <c:multiLvlStrRef>
              <c:f>Sheet1!$A$2:$A$15</c:f>
            </c:multiLvlStrRef>
          </c:cat>
          <c:val>
            <c:numRef>
              <c:f>Sheet1!$L$2:$L$15</c:f>
            </c:numRef>
          </c:val>
        </c:ser>
        <c:ser>
          <c:idx val="119"/>
          <c:order val="119"/>
          <c:tx>
            <c:strRef>
              <c:f>Sheet1!$M$1</c:f>
            </c:strRef>
          </c:tx>
          <c:marker>
            <c:symbol val="none"/>
          </c:marker>
          <c:dLbls>
            <c:showVal val="1"/>
          </c:dLbls>
          <c:cat>
            <c:multiLvlStrRef>
              <c:f>Sheet1!$A$2:$A$15</c:f>
            </c:multiLvlStrRef>
          </c:cat>
          <c:val>
            <c:numRef>
              <c:f>Sheet1!$M$2:$M$15</c:f>
            </c:numRef>
          </c:val>
        </c:ser>
        <c:ser>
          <c:idx val="120"/>
          <c:order val="120"/>
          <c:tx>
            <c:strRef>
              <c:f>Sheet1!$B$1</c:f>
            </c:strRef>
          </c:tx>
          <c:marker>
            <c:symbol val="none"/>
          </c:marker>
          <c:dLbls>
            <c:showVal val="1"/>
          </c:dLbls>
          <c:cat>
            <c:multiLvlStrRef>
              <c:f>Sheet1!$A$2:$A$15</c:f>
            </c:multiLvlStrRef>
          </c:cat>
          <c:val>
            <c:numRef>
              <c:f>Sheet1!$B$2:$B$15</c:f>
            </c:numRef>
          </c:val>
        </c:ser>
        <c:ser>
          <c:idx val="121"/>
          <c:order val="121"/>
          <c:tx>
            <c:strRef>
              <c:f>Sheet1!$C$1</c:f>
            </c:strRef>
          </c:tx>
          <c:marker>
            <c:symbol val="none"/>
          </c:marker>
          <c:dLbls>
            <c:showVal val="1"/>
          </c:dLbls>
          <c:cat>
            <c:multiLvlStrRef>
              <c:f>Sheet1!$A$2:$A$15</c:f>
            </c:multiLvlStrRef>
          </c:cat>
          <c:val>
            <c:numRef>
              <c:f>Sheet1!$C$2:$C$15</c:f>
            </c:numRef>
          </c:val>
        </c:ser>
        <c:ser>
          <c:idx val="122"/>
          <c:order val="122"/>
          <c:tx>
            <c:strRef>
              <c:f>Sheet1!$D$1</c:f>
            </c:strRef>
          </c:tx>
          <c:marker>
            <c:symbol val="none"/>
          </c:marker>
          <c:dLbls>
            <c:showVal val="1"/>
          </c:dLbls>
          <c:cat>
            <c:multiLvlStrRef>
              <c:f>Sheet1!$A$2:$A$15</c:f>
            </c:multiLvlStrRef>
          </c:cat>
          <c:val>
            <c:numRef>
              <c:f>Sheet1!$D$2:$D$15</c:f>
            </c:numRef>
          </c:val>
        </c:ser>
        <c:ser>
          <c:idx val="123"/>
          <c:order val="123"/>
          <c:tx>
            <c:strRef>
              <c:f>Sheet1!$E$1</c:f>
            </c:strRef>
          </c:tx>
          <c:marker>
            <c:symbol val="none"/>
          </c:marker>
          <c:dLbls>
            <c:showVal val="1"/>
          </c:dLbls>
          <c:cat>
            <c:multiLvlStrRef>
              <c:f>Sheet1!$A$2:$A$15</c:f>
            </c:multiLvlStrRef>
          </c:cat>
          <c:val>
            <c:numRef>
              <c:f>Sheet1!$E$2:$E$15</c:f>
            </c:numRef>
          </c:val>
        </c:ser>
        <c:ser>
          <c:idx val="124"/>
          <c:order val="124"/>
          <c:tx>
            <c:strRef>
              <c:f>Sheet1!$F$1</c:f>
            </c:strRef>
          </c:tx>
          <c:marker>
            <c:symbol val="none"/>
          </c:marker>
          <c:dLbls>
            <c:showVal val="1"/>
          </c:dLbls>
          <c:cat>
            <c:multiLvlStrRef>
              <c:f>Sheet1!$A$2:$A$15</c:f>
            </c:multiLvlStrRef>
          </c:cat>
          <c:val>
            <c:numRef>
              <c:f>Sheet1!$F$2:$F$15</c:f>
            </c:numRef>
          </c:val>
        </c:ser>
        <c:ser>
          <c:idx val="125"/>
          <c:order val="125"/>
          <c:tx>
            <c:strRef>
              <c:f>Sheet1!$G$1</c:f>
            </c:strRef>
          </c:tx>
          <c:marker>
            <c:symbol val="none"/>
          </c:marker>
          <c:dLbls>
            <c:showVal val="1"/>
          </c:dLbls>
          <c:cat>
            <c:multiLvlStrRef>
              <c:f>Sheet1!$A$2:$A$15</c:f>
            </c:multiLvlStrRef>
          </c:cat>
          <c:val>
            <c:numRef>
              <c:f>Sheet1!$G$2:$G$15</c:f>
            </c:numRef>
          </c:val>
        </c:ser>
        <c:ser>
          <c:idx val="126"/>
          <c:order val="126"/>
          <c:tx>
            <c:strRef>
              <c:f>Sheet1!$H$1</c:f>
            </c:strRef>
          </c:tx>
          <c:marker>
            <c:symbol val="none"/>
          </c:marker>
          <c:dLbls>
            <c:showVal val="1"/>
          </c:dLbls>
          <c:cat>
            <c:multiLvlStrRef>
              <c:f>Sheet1!$A$2:$A$15</c:f>
            </c:multiLvlStrRef>
          </c:cat>
          <c:val>
            <c:numRef>
              <c:f>Sheet1!$H$2:$H$15</c:f>
            </c:numRef>
          </c:val>
        </c:ser>
        <c:ser>
          <c:idx val="127"/>
          <c:order val="127"/>
          <c:tx>
            <c:strRef>
              <c:f>Sheet1!$I$1</c:f>
            </c:strRef>
          </c:tx>
          <c:marker>
            <c:symbol val="none"/>
          </c:marker>
          <c:dLbls>
            <c:showVal val="1"/>
          </c:dLbls>
          <c:cat>
            <c:multiLvlStrRef>
              <c:f>Sheet1!$A$2:$A$15</c:f>
            </c:multiLvlStrRef>
          </c:cat>
          <c:val>
            <c:numRef>
              <c:f>Sheet1!$I$2:$I$15</c:f>
            </c:numRef>
          </c:val>
        </c:ser>
        <c:ser>
          <c:idx val="128"/>
          <c:order val="128"/>
          <c:tx>
            <c:strRef>
              <c:f>Sheet1!$J$1</c:f>
            </c:strRef>
          </c:tx>
          <c:marker>
            <c:symbol val="none"/>
          </c:marker>
          <c:dLbls>
            <c:showVal val="1"/>
          </c:dLbls>
          <c:cat>
            <c:multiLvlStrRef>
              <c:f>Sheet1!$A$2:$A$15</c:f>
            </c:multiLvlStrRef>
          </c:cat>
          <c:val>
            <c:numRef>
              <c:f>Sheet1!$J$2:$J$15</c:f>
            </c:numRef>
          </c:val>
        </c:ser>
        <c:ser>
          <c:idx val="129"/>
          <c:order val="129"/>
          <c:tx>
            <c:strRef>
              <c:f>Sheet1!$K$1</c:f>
            </c:strRef>
          </c:tx>
          <c:marker>
            <c:symbol val="none"/>
          </c:marker>
          <c:dLbls>
            <c:showVal val="1"/>
          </c:dLbls>
          <c:cat>
            <c:multiLvlStrRef>
              <c:f>Sheet1!$A$2:$A$15</c:f>
            </c:multiLvlStrRef>
          </c:cat>
          <c:val>
            <c:numRef>
              <c:f>Sheet1!$K$2:$K$15</c:f>
            </c:numRef>
          </c:val>
        </c:ser>
        <c:ser>
          <c:idx val="130"/>
          <c:order val="130"/>
          <c:tx>
            <c:strRef>
              <c:f>Sheet1!$L$1</c:f>
            </c:strRef>
          </c:tx>
          <c:marker>
            <c:symbol val="none"/>
          </c:marker>
          <c:dLbls>
            <c:showVal val="1"/>
          </c:dLbls>
          <c:cat>
            <c:multiLvlStrRef>
              <c:f>Sheet1!$A$2:$A$15</c:f>
            </c:multiLvlStrRef>
          </c:cat>
          <c:val>
            <c:numRef>
              <c:f>Sheet1!$L$2:$L$15</c:f>
            </c:numRef>
          </c:val>
        </c:ser>
        <c:ser>
          <c:idx val="131"/>
          <c:order val="131"/>
          <c:tx>
            <c:strRef>
              <c:f>Sheet1!$M$1</c:f>
            </c:strRef>
          </c:tx>
          <c:marker>
            <c:symbol val="none"/>
          </c:marker>
          <c:dLbls>
            <c:showVal val="1"/>
          </c:dLbls>
          <c:cat>
            <c:multiLvlStrRef>
              <c:f>Sheet1!$A$2:$A$15</c:f>
            </c:multiLvlStrRef>
          </c:cat>
          <c:val>
            <c:numRef>
              <c:f>Sheet1!$M$2:$M$15</c:f>
            </c:numRef>
          </c:val>
        </c:ser>
        <c:ser>
          <c:idx val="132"/>
          <c:order val="132"/>
          <c:tx>
            <c:strRef>
              <c:f>Sheet1!$B$1</c:f>
            </c:strRef>
          </c:tx>
          <c:marker>
            <c:symbol val="none"/>
          </c:marker>
          <c:dLbls>
            <c:showVal val="1"/>
          </c:dLbls>
          <c:cat>
            <c:multiLvlStrRef>
              <c:f>Sheet1!$A$2:$A$15</c:f>
            </c:multiLvlStrRef>
          </c:cat>
          <c:val>
            <c:numRef>
              <c:f>Sheet1!$B$2:$B$15</c:f>
            </c:numRef>
          </c:val>
        </c:ser>
        <c:ser>
          <c:idx val="133"/>
          <c:order val="133"/>
          <c:tx>
            <c:strRef>
              <c:f>Sheet1!$C$1</c:f>
            </c:strRef>
          </c:tx>
          <c:marker>
            <c:symbol val="none"/>
          </c:marker>
          <c:dLbls>
            <c:showVal val="1"/>
          </c:dLbls>
          <c:cat>
            <c:multiLvlStrRef>
              <c:f>Sheet1!$A$2:$A$15</c:f>
            </c:multiLvlStrRef>
          </c:cat>
          <c:val>
            <c:numRef>
              <c:f>Sheet1!$C$2:$C$15</c:f>
            </c:numRef>
          </c:val>
        </c:ser>
        <c:ser>
          <c:idx val="134"/>
          <c:order val="134"/>
          <c:tx>
            <c:strRef>
              <c:f>Sheet1!$D$1</c:f>
            </c:strRef>
          </c:tx>
          <c:marker>
            <c:symbol val="none"/>
          </c:marker>
          <c:dLbls>
            <c:showVal val="1"/>
          </c:dLbls>
          <c:cat>
            <c:multiLvlStrRef>
              <c:f>Sheet1!$A$2:$A$15</c:f>
            </c:multiLvlStrRef>
          </c:cat>
          <c:val>
            <c:numRef>
              <c:f>Sheet1!$D$2:$D$15</c:f>
            </c:numRef>
          </c:val>
        </c:ser>
        <c:ser>
          <c:idx val="135"/>
          <c:order val="135"/>
          <c:tx>
            <c:strRef>
              <c:f>Sheet1!$E$1</c:f>
            </c:strRef>
          </c:tx>
          <c:marker>
            <c:symbol val="none"/>
          </c:marker>
          <c:dLbls>
            <c:showVal val="1"/>
          </c:dLbls>
          <c:cat>
            <c:multiLvlStrRef>
              <c:f>Sheet1!$A$2:$A$15</c:f>
            </c:multiLvlStrRef>
          </c:cat>
          <c:val>
            <c:numRef>
              <c:f>Sheet1!$E$2:$E$15</c:f>
            </c:numRef>
          </c:val>
        </c:ser>
        <c:ser>
          <c:idx val="136"/>
          <c:order val="136"/>
          <c:tx>
            <c:strRef>
              <c:f>Sheet1!$F$1</c:f>
            </c:strRef>
          </c:tx>
          <c:marker>
            <c:symbol val="none"/>
          </c:marker>
          <c:dLbls>
            <c:showVal val="1"/>
          </c:dLbls>
          <c:cat>
            <c:multiLvlStrRef>
              <c:f>Sheet1!$A$2:$A$15</c:f>
            </c:multiLvlStrRef>
          </c:cat>
          <c:val>
            <c:numRef>
              <c:f>Sheet1!$F$2:$F$15</c:f>
            </c:numRef>
          </c:val>
        </c:ser>
        <c:ser>
          <c:idx val="137"/>
          <c:order val="137"/>
          <c:tx>
            <c:strRef>
              <c:f>Sheet1!$G$1</c:f>
            </c:strRef>
          </c:tx>
          <c:marker>
            <c:symbol val="none"/>
          </c:marker>
          <c:dLbls>
            <c:showVal val="1"/>
          </c:dLbls>
          <c:cat>
            <c:multiLvlStrRef>
              <c:f>Sheet1!$A$2:$A$15</c:f>
            </c:multiLvlStrRef>
          </c:cat>
          <c:val>
            <c:numRef>
              <c:f>Sheet1!$G$2:$G$15</c:f>
            </c:numRef>
          </c:val>
        </c:ser>
        <c:ser>
          <c:idx val="138"/>
          <c:order val="138"/>
          <c:tx>
            <c:strRef>
              <c:f>Sheet1!$H$1</c:f>
            </c:strRef>
          </c:tx>
          <c:marker>
            <c:symbol val="none"/>
          </c:marker>
          <c:dLbls>
            <c:showVal val="1"/>
          </c:dLbls>
          <c:cat>
            <c:multiLvlStrRef>
              <c:f>Sheet1!$A$2:$A$15</c:f>
            </c:multiLvlStrRef>
          </c:cat>
          <c:val>
            <c:numRef>
              <c:f>Sheet1!$H$2:$H$15</c:f>
            </c:numRef>
          </c:val>
        </c:ser>
        <c:ser>
          <c:idx val="139"/>
          <c:order val="139"/>
          <c:tx>
            <c:strRef>
              <c:f>Sheet1!$I$1</c:f>
            </c:strRef>
          </c:tx>
          <c:marker>
            <c:symbol val="none"/>
          </c:marker>
          <c:dLbls>
            <c:showVal val="1"/>
          </c:dLbls>
          <c:cat>
            <c:multiLvlStrRef>
              <c:f>Sheet1!$A$2:$A$15</c:f>
            </c:multiLvlStrRef>
          </c:cat>
          <c:val>
            <c:numRef>
              <c:f>Sheet1!$I$2:$I$15</c:f>
            </c:numRef>
          </c:val>
        </c:ser>
        <c:ser>
          <c:idx val="140"/>
          <c:order val="140"/>
          <c:tx>
            <c:strRef>
              <c:f>Sheet1!$J$1</c:f>
            </c:strRef>
          </c:tx>
          <c:marker>
            <c:symbol val="none"/>
          </c:marker>
          <c:dLbls>
            <c:showVal val="1"/>
          </c:dLbls>
          <c:cat>
            <c:multiLvlStrRef>
              <c:f>Sheet1!$A$2:$A$15</c:f>
            </c:multiLvlStrRef>
          </c:cat>
          <c:val>
            <c:numRef>
              <c:f>Sheet1!$J$2:$J$15</c:f>
            </c:numRef>
          </c:val>
        </c:ser>
        <c:ser>
          <c:idx val="141"/>
          <c:order val="141"/>
          <c:tx>
            <c:strRef>
              <c:f>Sheet1!$K$1</c:f>
            </c:strRef>
          </c:tx>
          <c:marker>
            <c:symbol val="none"/>
          </c:marker>
          <c:dLbls>
            <c:showVal val="1"/>
          </c:dLbls>
          <c:cat>
            <c:multiLvlStrRef>
              <c:f>Sheet1!$A$2:$A$15</c:f>
            </c:multiLvlStrRef>
          </c:cat>
          <c:val>
            <c:numRef>
              <c:f>Sheet1!$K$2:$K$15</c:f>
            </c:numRef>
          </c:val>
        </c:ser>
        <c:ser>
          <c:idx val="142"/>
          <c:order val="142"/>
          <c:tx>
            <c:strRef>
              <c:f>Sheet1!$L$1</c:f>
            </c:strRef>
          </c:tx>
          <c:marker>
            <c:symbol val="none"/>
          </c:marker>
          <c:dLbls>
            <c:showVal val="1"/>
          </c:dLbls>
          <c:cat>
            <c:multiLvlStrRef>
              <c:f>Sheet1!$A$2:$A$15</c:f>
            </c:multiLvlStrRef>
          </c:cat>
          <c:val>
            <c:numRef>
              <c:f>Sheet1!$L$2:$L$15</c:f>
            </c:numRef>
          </c:val>
        </c:ser>
        <c:ser>
          <c:idx val="143"/>
          <c:order val="143"/>
          <c:tx>
            <c:strRef>
              <c:f>Sheet1!$M$1</c:f>
            </c:strRef>
          </c:tx>
          <c:marker>
            <c:symbol val="none"/>
          </c:marker>
          <c:dLbls>
            <c:showVal val="1"/>
          </c:dLbls>
          <c:cat>
            <c:multiLvlStrRef>
              <c:f>Sheet1!$A$2:$A$15</c:f>
            </c:multiLvlStrRef>
          </c:cat>
          <c:val>
            <c:numRef>
              <c:f>Sheet1!$M$2:$M$15</c:f>
            </c:numRef>
          </c:val>
        </c:ser>
        <c:ser>
          <c:idx val="36"/>
          <c:order val="36"/>
          <c:tx>
            <c:strRef>
              <c:f>Sheet1!$B$1</c:f>
            </c:strRef>
          </c:tx>
          <c:marker>
            <c:symbol val="none"/>
          </c:marker>
          <c:dLbls>
            <c:showVal val="1"/>
          </c:dLbls>
          <c:cat>
            <c:multiLvlStrRef>
              <c:f>Sheet1!$A$2:$A$15</c:f>
            </c:multiLvlStrRef>
          </c:cat>
          <c:val>
            <c:numRef>
              <c:f>Sheet1!$B$2:$B$15</c:f>
            </c:numRef>
          </c:val>
        </c:ser>
        <c:ser>
          <c:idx val="37"/>
          <c:order val="37"/>
          <c:tx>
            <c:strRef>
              <c:f>Sheet1!$C$1</c:f>
            </c:strRef>
          </c:tx>
          <c:marker>
            <c:symbol val="none"/>
          </c:marker>
          <c:dLbls>
            <c:showVal val="1"/>
          </c:dLbls>
          <c:cat>
            <c:multiLvlStrRef>
              <c:f>Sheet1!$A$2:$A$15</c:f>
            </c:multiLvlStrRef>
          </c:cat>
          <c:val>
            <c:numRef>
              <c:f>Sheet1!$C$2:$C$15</c:f>
            </c:numRef>
          </c:val>
        </c:ser>
        <c:ser>
          <c:idx val="38"/>
          <c:order val="38"/>
          <c:tx>
            <c:strRef>
              <c:f>Sheet1!$D$1</c:f>
            </c:strRef>
          </c:tx>
          <c:marker>
            <c:symbol val="none"/>
          </c:marker>
          <c:dLbls>
            <c:showVal val="1"/>
          </c:dLbls>
          <c:cat>
            <c:multiLvlStrRef>
              <c:f>Sheet1!$A$2:$A$15</c:f>
            </c:multiLvlStrRef>
          </c:cat>
          <c:val>
            <c:numRef>
              <c:f>Sheet1!$D$2:$D$15</c:f>
            </c:numRef>
          </c:val>
        </c:ser>
        <c:ser>
          <c:idx val="39"/>
          <c:order val="39"/>
          <c:tx>
            <c:strRef>
              <c:f>Sheet1!$E$1</c:f>
            </c:strRef>
          </c:tx>
          <c:marker>
            <c:symbol val="none"/>
          </c:marker>
          <c:dLbls>
            <c:showVal val="1"/>
          </c:dLbls>
          <c:cat>
            <c:multiLvlStrRef>
              <c:f>Sheet1!$A$2:$A$15</c:f>
            </c:multiLvlStrRef>
          </c:cat>
          <c:val>
            <c:numRef>
              <c:f>Sheet1!$E$2:$E$15</c:f>
            </c:numRef>
          </c:val>
        </c:ser>
        <c:ser>
          <c:idx val="40"/>
          <c:order val="40"/>
          <c:tx>
            <c:strRef>
              <c:f>Sheet1!$F$1</c:f>
            </c:strRef>
          </c:tx>
          <c:marker>
            <c:symbol val="none"/>
          </c:marker>
          <c:dLbls>
            <c:showVal val="1"/>
          </c:dLbls>
          <c:cat>
            <c:multiLvlStrRef>
              <c:f>Sheet1!$A$2:$A$15</c:f>
            </c:multiLvlStrRef>
          </c:cat>
          <c:val>
            <c:numRef>
              <c:f>Sheet1!$F$2:$F$15</c:f>
            </c:numRef>
          </c:val>
        </c:ser>
        <c:ser>
          <c:idx val="41"/>
          <c:order val="41"/>
          <c:tx>
            <c:strRef>
              <c:f>Sheet1!$G$1</c:f>
            </c:strRef>
          </c:tx>
          <c:marker>
            <c:symbol val="none"/>
          </c:marker>
          <c:dLbls>
            <c:showVal val="1"/>
          </c:dLbls>
          <c:cat>
            <c:multiLvlStrRef>
              <c:f>Sheet1!$A$2:$A$15</c:f>
            </c:multiLvlStrRef>
          </c:cat>
          <c:val>
            <c:numRef>
              <c:f>Sheet1!$G$2:$G$15</c:f>
            </c:numRef>
          </c:val>
        </c:ser>
        <c:ser>
          <c:idx val="42"/>
          <c:order val="42"/>
          <c:tx>
            <c:strRef>
              <c:f>Sheet1!$H$1</c:f>
            </c:strRef>
          </c:tx>
          <c:marker>
            <c:symbol val="none"/>
          </c:marker>
          <c:dLbls>
            <c:showVal val="1"/>
          </c:dLbls>
          <c:cat>
            <c:multiLvlStrRef>
              <c:f>Sheet1!$A$2:$A$15</c:f>
            </c:multiLvlStrRef>
          </c:cat>
          <c:val>
            <c:numRef>
              <c:f>Sheet1!$H$2:$H$15</c:f>
            </c:numRef>
          </c:val>
        </c:ser>
        <c:ser>
          <c:idx val="43"/>
          <c:order val="43"/>
          <c:tx>
            <c:strRef>
              <c:f>Sheet1!$I$1</c:f>
            </c:strRef>
          </c:tx>
          <c:marker>
            <c:symbol val="none"/>
          </c:marker>
          <c:dLbls>
            <c:showVal val="1"/>
          </c:dLbls>
          <c:cat>
            <c:multiLvlStrRef>
              <c:f>Sheet1!$A$2:$A$15</c:f>
            </c:multiLvlStrRef>
          </c:cat>
          <c:val>
            <c:numRef>
              <c:f>Sheet1!$I$2:$I$15</c:f>
            </c:numRef>
          </c:val>
        </c:ser>
        <c:ser>
          <c:idx val="44"/>
          <c:order val="44"/>
          <c:tx>
            <c:strRef>
              <c:f>Sheet1!$J$1</c:f>
            </c:strRef>
          </c:tx>
          <c:marker>
            <c:symbol val="none"/>
          </c:marker>
          <c:dLbls>
            <c:showVal val="1"/>
          </c:dLbls>
          <c:cat>
            <c:multiLvlStrRef>
              <c:f>Sheet1!$A$2:$A$15</c:f>
            </c:multiLvlStrRef>
          </c:cat>
          <c:val>
            <c:numRef>
              <c:f>Sheet1!$J$2:$J$15</c:f>
            </c:numRef>
          </c:val>
        </c:ser>
        <c:ser>
          <c:idx val="45"/>
          <c:order val="45"/>
          <c:tx>
            <c:strRef>
              <c:f>Sheet1!$K$1</c:f>
            </c:strRef>
          </c:tx>
          <c:marker>
            <c:symbol val="none"/>
          </c:marker>
          <c:dLbls>
            <c:showVal val="1"/>
          </c:dLbls>
          <c:cat>
            <c:multiLvlStrRef>
              <c:f>Sheet1!$A$2:$A$15</c:f>
            </c:multiLvlStrRef>
          </c:cat>
          <c:val>
            <c:numRef>
              <c:f>Sheet1!$K$2:$K$15</c:f>
            </c:numRef>
          </c:val>
        </c:ser>
        <c:ser>
          <c:idx val="46"/>
          <c:order val="46"/>
          <c:tx>
            <c:strRef>
              <c:f>Sheet1!$L$1</c:f>
            </c:strRef>
          </c:tx>
          <c:marker>
            <c:symbol val="none"/>
          </c:marker>
          <c:dLbls>
            <c:showVal val="1"/>
          </c:dLbls>
          <c:cat>
            <c:multiLvlStrRef>
              <c:f>Sheet1!$A$2:$A$15</c:f>
            </c:multiLvlStrRef>
          </c:cat>
          <c:val>
            <c:numRef>
              <c:f>Sheet1!$L$2:$L$15</c:f>
            </c:numRef>
          </c:val>
        </c:ser>
        <c:ser>
          <c:idx val="47"/>
          <c:order val="47"/>
          <c:tx>
            <c:strRef>
              <c:f>Sheet1!$M$1</c:f>
            </c:strRef>
          </c:tx>
          <c:marker>
            <c:symbol val="none"/>
          </c:marker>
          <c:dLbls>
            <c:showVal val="1"/>
          </c:dLbls>
          <c:cat>
            <c:multiLvlStrRef>
              <c:f>Sheet1!$A$2:$A$15</c:f>
            </c:multiLvlStrRef>
          </c:cat>
          <c:val>
            <c:numRef>
              <c:f>Sheet1!$M$2:$M$15</c:f>
            </c:numRef>
          </c:val>
        </c:ser>
        <c:ser>
          <c:idx val="48"/>
          <c:order val="48"/>
          <c:tx>
            <c:strRef>
              <c:f>Sheet1!$B$1</c:f>
            </c:strRef>
          </c:tx>
          <c:marker>
            <c:symbol val="none"/>
          </c:marker>
          <c:dLbls>
            <c:showVal val="1"/>
          </c:dLbls>
          <c:cat>
            <c:multiLvlStrRef>
              <c:f>Sheet1!$A$2:$A$15</c:f>
            </c:multiLvlStrRef>
          </c:cat>
          <c:val>
            <c:numRef>
              <c:f>Sheet1!$B$2:$B$15</c:f>
            </c:numRef>
          </c:val>
        </c:ser>
        <c:ser>
          <c:idx val="49"/>
          <c:order val="49"/>
          <c:tx>
            <c:strRef>
              <c:f>Sheet1!$C$1</c:f>
            </c:strRef>
          </c:tx>
          <c:marker>
            <c:symbol val="none"/>
          </c:marker>
          <c:dLbls>
            <c:showVal val="1"/>
          </c:dLbls>
          <c:cat>
            <c:multiLvlStrRef>
              <c:f>Sheet1!$A$2:$A$15</c:f>
            </c:multiLvlStrRef>
          </c:cat>
          <c:val>
            <c:numRef>
              <c:f>Sheet1!$C$2:$C$15</c:f>
            </c:numRef>
          </c:val>
        </c:ser>
        <c:ser>
          <c:idx val="50"/>
          <c:order val="50"/>
          <c:tx>
            <c:strRef>
              <c:f>Sheet1!$D$1</c:f>
            </c:strRef>
          </c:tx>
          <c:marker>
            <c:symbol val="none"/>
          </c:marker>
          <c:dLbls>
            <c:showVal val="1"/>
          </c:dLbls>
          <c:cat>
            <c:multiLvlStrRef>
              <c:f>Sheet1!$A$2:$A$15</c:f>
            </c:multiLvlStrRef>
          </c:cat>
          <c:val>
            <c:numRef>
              <c:f>Sheet1!$D$2:$D$15</c:f>
            </c:numRef>
          </c:val>
        </c:ser>
        <c:ser>
          <c:idx val="51"/>
          <c:order val="51"/>
          <c:tx>
            <c:strRef>
              <c:f>Sheet1!$E$1</c:f>
            </c:strRef>
          </c:tx>
          <c:marker>
            <c:symbol val="none"/>
          </c:marker>
          <c:dLbls>
            <c:showVal val="1"/>
          </c:dLbls>
          <c:cat>
            <c:multiLvlStrRef>
              <c:f>Sheet1!$A$2:$A$15</c:f>
            </c:multiLvlStrRef>
          </c:cat>
          <c:val>
            <c:numRef>
              <c:f>Sheet1!$E$2:$E$15</c:f>
            </c:numRef>
          </c:val>
        </c:ser>
        <c:ser>
          <c:idx val="52"/>
          <c:order val="52"/>
          <c:tx>
            <c:strRef>
              <c:f>Sheet1!$F$1</c:f>
            </c:strRef>
          </c:tx>
          <c:marker>
            <c:symbol val="none"/>
          </c:marker>
          <c:dLbls>
            <c:showVal val="1"/>
          </c:dLbls>
          <c:cat>
            <c:multiLvlStrRef>
              <c:f>Sheet1!$A$2:$A$15</c:f>
            </c:multiLvlStrRef>
          </c:cat>
          <c:val>
            <c:numRef>
              <c:f>Sheet1!$F$2:$F$15</c:f>
            </c:numRef>
          </c:val>
        </c:ser>
        <c:ser>
          <c:idx val="53"/>
          <c:order val="53"/>
          <c:tx>
            <c:strRef>
              <c:f>Sheet1!$G$1</c:f>
            </c:strRef>
          </c:tx>
          <c:marker>
            <c:symbol val="none"/>
          </c:marker>
          <c:dLbls>
            <c:showVal val="1"/>
          </c:dLbls>
          <c:cat>
            <c:multiLvlStrRef>
              <c:f>Sheet1!$A$2:$A$15</c:f>
            </c:multiLvlStrRef>
          </c:cat>
          <c:val>
            <c:numRef>
              <c:f>Sheet1!$G$2:$G$15</c:f>
            </c:numRef>
          </c:val>
        </c:ser>
        <c:ser>
          <c:idx val="54"/>
          <c:order val="54"/>
          <c:tx>
            <c:strRef>
              <c:f>Sheet1!$H$1</c:f>
            </c:strRef>
          </c:tx>
          <c:marker>
            <c:symbol val="none"/>
          </c:marker>
          <c:dLbls>
            <c:showVal val="1"/>
          </c:dLbls>
          <c:cat>
            <c:multiLvlStrRef>
              <c:f>Sheet1!$A$2:$A$15</c:f>
            </c:multiLvlStrRef>
          </c:cat>
          <c:val>
            <c:numRef>
              <c:f>Sheet1!$H$2:$H$15</c:f>
            </c:numRef>
          </c:val>
        </c:ser>
        <c:ser>
          <c:idx val="55"/>
          <c:order val="55"/>
          <c:tx>
            <c:strRef>
              <c:f>Sheet1!$I$1</c:f>
            </c:strRef>
          </c:tx>
          <c:marker>
            <c:symbol val="none"/>
          </c:marker>
          <c:dLbls>
            <c:showVal val="1"/>
          </c:dLbls>
          <c:cat>
            <c:multiLvlStrRef>
              <c:f>Sheet1!$A$2:$A$15</c:f>
            </c:multiLvlStrRef>
          </c:cat>
          <c:val>
            <c:numRef>
              <c:f>Sheet1!$I$2:$I$15</c:f>
            </c:numRef>
          </c:val>
        </c:ser>
        <c:ser>
          <c:idx val="56"/>
          <c:order val="56"/>
          <c:tx>
            <c:strRef>
              <c:f>Sheet1!$J$1</c:f>
            </c:strRef>
          </c:tx>
          <c:marker>
            <c:symbol val="none"/>
          </c:marker>
          <c:dLbls>
            <c:showVal val="1"/>
          </c:dLbls>
          <c:cat>
            <c:multiLvlStrRef>
              <c:f>Sheet1!$A$2:$A$15</c:f>
            </c:multiLvlStrRef>
          </c:cat>
          <c:val>
            <c:numRef>
              <c:f>Sheet1!$J$2:$J$15</c:f>
            </c:numRef>
          </c:val>
        </c:ser>
        <c:ser>
          <c:idx val="57"/>
          <c:order val="57"/>
          <c:tx>
            <c:strRef>
              <c:f>Sheet1!$K$1</c:f>
            </c:strRef>
          </c:tx>
          <c:marker>
            <c:symbol val="none"/>
          </c:marker>
          <c:dLbls>
            <c:showVal val="1"/>
          </c:dLbls>
          <c:cat>
            <c:multiLvlStrRef>
              <c:f>Sheet1!$A$2:$A$15</c:f>
            </c:multiLvlStrRef>
          </c:cat>
          <c:val>
            <c:numRef>
              <c:f>Sheet1!$K$2:$K$15</c:f>
            </c:numRef>
          </c:val>
        </c:ser>
        <c:ser>
          <c:idx val="58"/>
          <c:order val="58"/>
          <c:tx>
            <c:strRef>
              <c:f>Sheet1!$L$1</c:f>
            </c:strRef>
          </c:tx>
          <c:marker>
            <c:symbol val="none"/>
          </c:marker>
          <c:dLbls>
            <c:showVal val="1"/>
          </c:dLbls>
          <c:cat>
            <c:multiLvlStrRef>
              <c:f>Sheet1!$A$2:$A$15</c:f>
            </c:multiLvlStrRef>
          </c:cat>
          <c:val>
            <c:numRef>
              <c:f>Sheet1!$L$2:$L$15</c:f>
            </c:numRef>
          </c:val>
        </c:ser>
        <c:ser>
          <c:idx val="59"/>
          <c:order val="59"/>
          <c:tx>
            <c:strRef>
              <c:f>Sheet1!$M$1</c:f>
            </c:strRef>
          </c:tx>
          <c:marker>
            <c:symbol val="none"/>
          </c:marker>
          <c:dLbls>
            <c:showVal val="1"/>
          </c:dLbls>
          <c:cat>
            <c:multiLvlStrRef>
              <c:f>Sheet1!$A$2:$A$15</c:f>
            </c:multiLvlStrRef>
          </c:cat>
          <c:val>
            <c:numRef>
              <c:f>Sheet1!$M$2:$M$15</c:f>
            </c:numRef>
          </c:val>
        </c:ser>
        <c:ser>
          <c:idx val="60"/>
          <c:order val="60"/>
          <c:tx>
            <c:strRef>
              <c:f>Sheet1!$B$1</c:f>
            </c:strRef>
          </c:tx>
          <c:marker>
            <c:symbol val="none"/>
          </c:marker>
          <c:dLbls>
            <c:showVal val="1"/>
          </c:dLbls>
          <c:cat>
            <c:multiLvlStrRef>
              <c:f>Sheet1!$A$2:$A$15</c:f>
            </c:multiLvlStrRef>
          </c:cat>
          <c:val>
            <c:numRef>
              <c:f>Sheet1!$B$2:$B$15</c:f>
            </c:numRef>
          </c:val>
        </c:ser>
        <c:ser>
          <c:idx val="61"/>
          <c:order val="61"/>
          <c:tx>
            <c:strRef>
              <c:f>Sheet1!$C$1</c:f>
            </c:strRef>
          </c:tx>
          <c:marker>
            <c:symbol val="none"/>
          </c:marker>
          <c:dLbls>
            <c:showVal val="1"/>
          </c:dLbls>
          <c:cat>
            <c:multiLvlStrRef>
              <c:f>Sheet1!$A$2:$A$15</c:f>
            </c:multiLvlStrRef>
          </c:cat>
          <c:val>
            <c:numRef>
              <c:f>Sheet1!$C$2:$C$15</c:f>
            </c:numRef>
          </c:val>
        </c:ser>
        <c:ser>
          <c:idx val="62"/>
          <c:order val="62"/>
          <c:tx>
            <c:strRef>
              <c:f>Sheet1!$D$1</c:f>
            </c:strRef>
          </c:tx>
          <c:marker>
            <c:symbol val="none"/>
          </c:marker>
          <c:dLbls>
            <c:showVal val="1"/>
          </c:dLbls>
          <c:cat>
            <c:multiLvlStrRef>
              <c:f>Sheet1!$A$2:$A$15</c:f>
            </c:multiLvlStrRef>
          </c:cat>
          <c:val>
            <c:numRef>
              <c:f>Sheet1!$D$2:$D$15</c:f>
            </c:numRef>
          </c:val>
        </c:ser>
        <c:ser>
          <c:idx val="63"/>
          <c:order val="63"/>
          <c:tx>
            <c:strRef>
              <c:f>Sheet1!$E$1</c:f>
            </c:strRef>
          </c:tx>
          <c:marker>
            <c:symbol val="none"/>
          </c:marker>
          <c:dLbls>
            <c:showVal val="1"/>
          </c:dLbls>
          <c:cat>
            <c:multiLvlStrRef>
              <c:f>Sheet1!$A$2:$A$15</c:f>
            </c:multiLvlStrRef>
          </c:cat>
          <c:val>
            <c:numRef>
              <c:f>Sheet1!$E$2:$E$15</c:f>
            </c:numRef>
          </c:val>
        </c:ser>
        <c:ser>
          <c:idx val="64"/>
          <c:order val="64"/>
          <c:tx>
            <c:strRef>
              <c:f>Sheet1!$F$1</c:f>
            </c:strRef>
          </c:tx>
          <c:marker>
            <c:symbol val="none"/>
          </c:marker>
          <c:dLbls>
            <c:showVal val="1"/>
          </c:dLbls>
          <c:cat>
            <c:multiLvlStrRef>
              <c:f>Sheet1!$A$2:$A$15</c:f>
            </c:multiLvlStrRef>
          </c:cat>
          <c:val>
            <c:numRef>
              <c:f>Sheet1!$F$2:$F$15</c:f>
            </c:numRef>
          </c:val>
        </c:ser>
        <c:ser>
          <c:idx val="65"/>
          <c:order val="65"/>
          <c:tx>
            <c:strRef>
              <c:f>Sheet1!$G$1</c:f>
            </c:strRef>
          </c:tx>
          <c:marker>
            <c:symbol val="none"/>
          </c:marker>
          <c:dLbls>
            <c:showVal val="1"/>
          </c:dLbls>
          <c:cat>
            <c:multiLvlStrRef>
              <c:f>Sheet1!$A$2:$A$15</c:f>
            </c:multiLvlStrRef>
          </c:cat>
          <c:val>
            <c:numRef>
              <c:f>Sheet1!$G$2:$G$15</c:f>
            </c:numRef>
          </c:val>
        </c:ser>
        <c:ser>
          <c:idx val="66"/>
          <c:order val="66"/>
          <c:tx>
            <c:strRef>
              <c:f>Sheet1!$H$1</c:f>
            </c:strRef>
          </c:tx>
          <c:marker>
            <c:symbol val="none"/>
          </c:marker>
          <c:dLbls>
            <c:showVal val="1"/>
          </c:dLbls>
          <c:cat>
            <c:multiLvlStrRef>
              <c:f>Sheet1!$A$2:$A$15</c:f>
            </c:multiLvlStrRef>
          </c:cat>
          <c:val>
            <c:numRef>
              <c:f>Sheet1!$H$2:$H$15</c:f>
            </c:numRef>
          </c:val>
        </c:ser>
        <c:ser>
          <c:idx val="67"/>
          <c:order val="67"/>
          <c:tx>
            <c:strRef>
              <c:f>Sheet1!$I$1</c:f>
            </c:strRef>
          </c:tx>
          <c:marker>
            <c:symbol val="none"/>
          </c:marker>
          <c:dLbls>
            <c:showVal val="1"/>
          </c:dLbls>
          <c:cat>
            <c:multiLvlStrRef>
              <c:f>Sheet1!$A$2:$A$15</c:f>
            </c:multiLvlStrRef>
          </c:cat>
          <c:val>
            <c:numRef>
              <c:f>Sheet1!$I$2:$I$15</c:f>
            </c:numRef>
          </c:val>
        </c:ser>
        <c:ser>
          <c:idx val="68"/>
          <c:order val="68"/>
          <c:tx>
            <c:strRef>
              <c:f>Sheet1!$J$1</c:f>
            </c:strRef>
          </c:tx>
          <c:marker>
            <c:symbol val="none"/>
          </c:marker>
          <c:dLbls>
            <c:showVal val="1"/>
          </c:dLbls>
          <c:cat>
            <c:multiLvlStrRef>
              <c:f>Sheet1!$A$2:$A$15</c:f>
            </c:multiLvlStrRef>
          </c:cat>
          <c:val>
            <c:numRef>
              <c:f>Sheet1!$J$2:$J$15</c:f>
            </c:numRef>
          </c:val>
        </c:ser>
        <c:ser>
          <c:idx val="69"/>
          <c:order val="69"/>
          <c:tx>
            <c:strRef>
              <c:f>Sheet1!$K$1</c:f>
            </c:strRef>
          </c:tx>
          <c:marker>
            <c:symbol val="none"/>
          </c:marker>
          <c:dLbls>
            <c:showVal val="1"/>
          </c:dLbls>
          <c:cat>
            <c:multiLvlStrRef>
              <c:f>Sheet1!$A$2:$A$15</c:f>
            </c:multiLvlStrRef>
          </c:cat>
          <c:val>
            <c:numRef>
              <c:f>Sheet1!$K$2:$K$15</c:f>
            </c:numRef>
          </c:val>
        </c:ser>
        <c:ser>
          <c:idx val="70"/>
          <c:order val="70"/>
          <c:tx>
            <c:strRef>
              <c:f>Sheet1!$L$1</c:f>
            </c:strRef>
          </c:tx>
          <c:marker>
            <c:symbol val="none"/>
          </c:marker>
          <c:dLbls>
            <c:showVal val="1"/>
          </c:dLbls>
          <c:cat>
            <c:multiLvlStrRef>
              <c:f>Sheet1!$A$2:$A$15</c:f>
            </c:multiLvlStrRef>
          </c:cat>
          <c:val>
            <c:numRef>
              <c:f>Sheet1!$L$2:$L$15</c:f>
            </c:numRef>
          </c:val>
        </c:ser>
        <c:ser>
          <c:idx val="71"/>
          <c:order val="71"/>
          <c:tx>
            <c:strRef>
              <c:f>Sheet1!$M$1</c:f>
            </c:strRef>
          </c:tx>
          <c:marker>
            <c:symbol val="none"/>
          </c:marker>
          <c:dLbls>
            <c:showVal val="1"/>
          </c:dLbls>
          <c:cat>
            <c:multiLvlStrRef>
              <c:f>Sheet1!$A$2:$A$15</c:f>
            </c:multiLvlStrRef>
          </c:cat>
          <c:val>
            <c:numRef>
              <c:f>Sheet1!$M$2:$M$15</c:f>
            </c:numRef>
          </c:val>
        </c:ser>
        <c:ser>
          <c:idx val="12"/>
          <c:order val="12"/>
          <c:tx>
            <c:strRef>
              <c:f>Sheet1!$B$1</c:f>
            </c:strRef>
          </c:tx>
          <c:marker>
            <c:symbol val="none"/>
          </c:marker>
          <c:dLbls>
            <c:showVal val="1"/>
          </c:dLbls>
          <c:cat>
            <c:multiLvlStrRef>
              <c:f>Sheet1!$A$2:$A$15</c:f>
            </c:multiLvlStrRef>
          </c:cat>
          <c:val>
            <c:numRef>
              <c:f>Sheet1!$B$2:$B$15</c:f>
            </c:numRef>
          </c:val>
        </c:ser>
        <c:ser>
          <c:idx val="13"/>
          <c:order val="13"/>
          <c:tx>
            <c:strRef>
              <c:f>Sheet1!$C$1</c:f>
            </c:strRef>
          </c:tx>
          <c:marker>
            <c:symbol val="none"/>
          </c:marker>
          <c:dLbls>
            <c:showVal val="1"/>
          </c:dLbls>
          <c:cat>
            <c:multiLvlStrRef>
              <c:f>Sheet1!$A$2:$A$15</c:f>
            </c:multiLvlStrRef>
          </c:cat>
          <c:val>
            <c:numRef>
              <c:f>Sheet1!$C$2:$C$15</c:f>
            </c:numRef>
          </c:val>
        </c:ser>
        <c:ser>
          <c:idx val="14"/>
          <c:order val="14"/>
          <c:tx>
            <c:strRef>
              <c:f>Sheet1!$D$1</c:f>
            </c:strRef>
          </c:tx>
          <c:marker>
            <c:symbol val="none"/>
          </c:marker>
          <c:dLbls>
            <c:showVal val="1"/>
          </c:dLbls>
          <c:cat>
            <c:multiLvlStrRef>
              <c:f>Sheet1!$A$2:$A$15</c:f>
            </c:multiLvlStrRef>
          </c:cat>
          <c:val>
            <c:numRef>
              <c:f>Sheet1!$D$2:$D$15</c:f>
            </c:numRef>
          </c:val>
        </c:ser>
        <c:ser>
          <c:idx val="15"/>
          <c:order val="15"/>
          <c:tx>
            <c:strRef>
              <c:f>Sheet1!$E$1</c:f>
            </c:strRef>
          </c:tx>
          <c:marker>
            <c:symbol val="none"/>
          </c:marker>
          <c:dLbls>
            <c:showVal val="1"/>
          </c:dLbls>
          <c:cat>
            <c:multiLvlStrRef>
              <c:f>Sheet1!$A$2:$A$15</c:f>
            </c:multiLvlStrRef>
          </c:cat>
          <c:val>
            <c:numRef>
              <c:f>Sheet1!$E$2:$E$15</c:f>
            </c:numRef>
          </c:val>
        </c:ser>
        <c:ser>
          <c:idx val="16"/>
          <c:order val="16"/>
          <c:tx>
            <c:strRef>
              <c:f>Sheet1!$F$1</c:f>
            </c:strRef>
          </c:tx>
          <c:marker>
            <c:symbol val="none"/>
          </c:marker>
          <c:dLbls>
            <c:showVal val="1"/>
          </c:dLbls>
          <c:cat>
            <c:multiLvlStrRef>
              <c:f>Sheet1!$A$2:$A$15</c:f>
            </c:multiLvlStrRef>
          </c:cat>
          <c:val>
            <c:numRef>
              <c:f>Sheet1!$F$2:$F$15</c:f>
            </c:numRef>
          </c:val>
        </c:ser>
        <c:ser>
          <c:idx val="17"/>
          <c:order val="17"/>
          <c:tx>
            <c:strRef>
              <c:f>Sheet1!$G$1</c:f>
            </c:strRef>
          </c:tx>
          <c:marker>
            <c:symbol val="none"/>
          </c:marker>
          <c:dLbls>
            <c:showVal val="1"/>
          </c:dLbls>
          <c:cat>
            <c:multiLvlStrRef>
              <c:f>Sheet1!$A$2:$A$15</c:f>
            </c:multiLvlStrRef>
          </c:cat>
          <c:val>
            <c:numRef>
              <c:f>Sheet1!$G$2:$G$15</c:f>
            </c:numRef>
          </c:val>
        </c:ser>
        <c:ser>
          <c:idx val="18"/>
          <c:order val="18"/>
          <c:tx>
            <c:strRef>
              <c:f>Sheet1!$H$1</c:f>
            </c:strRef>
          </c:tx>
          <c:marker>
            <c:symbol val="none"/>
          </c:marker>
          <c:dLbls>
            <c:showVal val="1"/>
          </c:dLbls>
          <c:cat>
            <c:multiLvlStrRef>
              <c:f>Sheet1!$A$2:$A$15</c:f>
            </c:multiLvlStrRef>
          </c:cat>
          <c:val>
            <c:numRef>
              <c:f>Sheet1!$H$2:$H$15</c:f>
            </c:numRef>
          </c:val>
        </c:ser>
        <c:ser>
          <c:idx val="19"/>
          <c:order val="19"/>
          <c:tx>
            <c:strRef>
              <c:f>Sheet1!$I$1</c:f>
            </c:strRef>
          </c:tx>
          <c:marker>
            <c:symbol val="none"/>
          </c:marker>
          <c:dLbls>
            <c:showVal val="1"/>
          </c:dLbls>
          <c:cat>
            <c:multiLvlStrRef>
              <c:f>Sheet1!$A$2:$A$15</c:f>
            </c:multiLvlStrRef>
          </c:cat>
          <c:val>
            <c:numRef>
              <c:f>Sheet1!$I$2:$I$15</c:f>
            </c:numRef>
          </c:val>
        </c:ser>
        <c:ser>
          <c:idx val="20"/>
          <c:order val="20"/>
          <c:tx>
            <c:strRef>
              <c:f>Sheet1!$J$1</c:f>
            </c:strRef>
          </c:tx>
          <c:marker>
            <c:symbol val="none"/>
          </c:marker>
          <c:dLbls>
            <c:showVal val="1"/>
          </c:dLbls>
          <c:cat>
            <c:multiLvlStrRef>
              <c:f>Sheet1!$A$2:$A$15</c:f>
            </c:multiLvlStrRef>
          </c:cat>
          <c:val>
            <c:numRef>
              <c:f>Sheet1!$J$2:$J$15</c:f>
            </c:numRef>
          </c:val>
        </c:ser>
        <c:ser>
          <c:idx val="21"/>
          <c:order val="21"/>
          <c:tx>
            <c:strRef>
              <c:f>Sheet1!$K$1</c:f>
            </c:strRef>
          </c:tx>
          <c:marker>
            <c:symbol val="none"/>
          </c:marker>
          <c:dLbls>
            <c:showVal val="1"/>
          </c:dLbls>
          <c:cat>
            <c:multiLvlStrRef>
              <c:f>Sheet1!$A$2:$A$15</c:f>
            </c:multiLvlStrRef>
          </c:cat>
          <c:val>
            <c:numRef>
              <c:f>Sheet1!$K$2:$K$15</c:f>
            </c:numRef>
          </c:val>
        </c:ser>
        <c:ser>
          <c:idx val="22"/>
          <c:order val="22"/>
          <c:tx>
            <c:strRef>
              <c:f>Sheet1!$L$1</c:f>
            </c:strRef>
          </c:tx>
          <c:marker>
            <c:symbol val="none"/>
          </c:marker>
          <c:dLbls>
            <c:showVal val="1"/>
          </c:dLbls>
          <c:cat>
            <c:multiLvlStrRef>
              <c:f>Sheet1!$A$2:$A$15</c:f>
            </c:multiLvlStrRef>
          </c:cat>
          <c:val>
            <c:numRef>
              <c:f>Sheet1!$L$2:$L$15</c:f>
            </c:numRef>
          </c:val>
        </c:ser>
        <c:ser>
          <c:idx val="23"/>
          <c:order val="23"/>
          <c:tx>
            <c:strRef>
              <c:f>Sheet1!$M$1</c:f>
            </c:strRef>
          </c:tx>
          <c:marker>
            <c:symbol val="none"/>
          </c:marker>
          <c:dLbls>
            <c:showVal val="1"/>
          </c:dLbls>
          <c:cat>
            <c:multiLvlStrRef>
              <c:f>Sheet1!$A$2:$A$15</c:f>
            </c:multiLvlStrRef>
          </c:cat>
          <c:val>
            <c:numRef>
              <c:f>Sheet1!$M$2:$M$15</c:f>
            </c:numRef>
          </c:val>
        </c:ser>
        <c:ser>
          <c:idx val="24"/>
          <c:order val="24"/>
          <c:tx>
            <c:strRef>
              <c:f>Sheet1!$B$1</c:f>
            </c:strRef>
          </c:tx>
          <c:marker>
            <c:symbol val="none"/>
          </c:marker>
          <c:dLbls>
            <c:showVal val="1"/>
          </c:dLbls>
          <c:cat>
            <c:multiLvlStrRef>
              <c:f>Sheet1!$A$2:$A$15</c:f>
            </c:multiLvlStrRef>
          </c:cat>
          <c:val>
            <c:numRef>
              <c:f>Sheet1!$B$2:$B$15</c:f>
            </c:numRef>
          </c:val>
        </c:ser>
        <c:ser>
          <c:idx val="25"/>
          <c:order val="25"/>
          <c:tx>
            <c:strRef>
              <c:f>Sheet1!$C$1</c:f>
            </c:strRef>
          </c:tx>
          <c:marker>
            <c:symbol val="none"/>
          </c:marker>
          <c:dLbls>
            <c:showVal val="1"/>
          </c:dLbls>
          <c:cat>
            <c:multiLvlStrRef>
              <c:f>Sheet1!$A$2:$A$15</c:f>
            </c:multiLvlStrRef>
          </c:cat>
          <c:val>
            <c:numRef>
              <c:f>Sheet1!$C$2:$C$15</c:f>
            </c:numRef>
          </c:val>
        </c:ser>
        <c:ser>
          <c:idx val="26"/>
          <c:order val="26"/>
          <c:tx>
            <c:strRef>
              <c:f>Sheet1!$D$1</c:f>
            </c:strRef>
          </c:tx>
          <c:marker>
            <c:symbol val="none"/>
          </c:marker>
          <c:dLbls>
            <c:showVal val="1"/>
          </c:dLbls>
          <c:cat>
            <c:multiLvlStrRef>
              <c:f>Sheet1!$A$2:$A$15</c:f>
            </c:multiLvlStrRef>
          </c:cat>
          <c:val>
            <c:numRef>
              <c:f>Sheet1!$D$2:$D$15</c:f>
            </c:numRef>
          </c:val>
        </c:ser>
        <c:ser>
          <c:idx val="27"/>
          <c:order val="27"/>
          <c:tx>
            <c:strRef>
              <c:f>Sheet1!$E$1</c:f>
            </c:strRef>
          </c:tx>
          <c:marker>
            <c:symbol val="none"/>
          </c:marker>
          <c:dLbls>
            <c:showVal val="1"/>
          </c:dLbls>
          <c:cat>
            <c:multiLvlStrRef>
              <c:f>Sheet1!$A$2:$A$15</c:f>
            </c:multiLvlStrRef>
          </c:cat>
          <c:val>
            <c:numRef>
              <c:f>Sheet1!$E$2:$E$15</c:f>
            </c:numRef>
          </c:val>
        </c:ser>
        <c:ser>
          <c:idx val="28"/>
          <c:order val="28"/>
          <c:tx>
            <c:strRef>
              <c:f>Sheet1!$F$1</c:f>
            </c:strRef>
          </c:tx>
          <c:marker>
            <c:symbol val="none"/>
          </c:marker>
          <c:dLbls>
            <c:showVal val="1"/>
          </c:dLbls>
          <c:cat>
            <c:multiLvlStrRef>
              <c:f>Sheet1!$A$2:$A$15</c:f>
            </c:multiLvlStrRef>
          </c:cat>
          <c:val>
            <c:numRef>
              <c:f>Sheet1!$F$2:$F$15</c:f>
            </c:numRef>
          </c:val>
        </c:ser>
        <c:ser>
          <c:idx val="29"/>
          <c:order val="29"/>
          <c:tx>
            <c:strRef>
              <c:f>Sheet1!$G$1</c:f>
            </c:strRef>
          </c:tx>
          <c:marker>
            <c:symbol val="none"/>
          </c:marker>
          <c:dLbls>
            <c:showVal val="1"/>
          </c:dLbls>
          <c:cat>
            <c:multiLvlStrRef>
              <c:f>Sheet1!$A$2:$A$15</c:f>
            </c:multiLvlStrRef>
          </c:cat>
          <c:val>
            <c:numRef>
              <c:f>Sheet1!$G$2:$G$15</c:f>
            </c:numRef>
          </c:val>
        </c:ser>
        <c:ser>
          <c:idx val="30"/>
          <c:order val="30"/>
          <c:tx>
            <c:strRef>
              <c:f>Sheet1!$H$1</c:f>
            </c:strRef>
          </c:tx>
          <c:marker>
            <c:symbol val="none"/>
          </c:marker>
          <c:dLbls>
            <c:showVal val="1"/>
          </c:dLbls>
          <c:cat>
            <c:multiLvlStrRef>
              <c:f>Sheet1!$A$2:$A$15</c:f>
            </c:multiLvlStrRef>
          </c:cat>
          <c:val>
            <c:numRef>
              <c:f>Sheet1!$H$2:$H$15</c:f>
            </c:numRef>
          </c:val>
        </c:ser>
        <c:ser>
          <c:idx val="31"/>
          <c:order val="31"/>
          <c:tx>
            <c:strRef>
              <c:f>Sheet1!$I$1</c:f>
            </c:strRef>
          </c:tx>
          <c:marker>
            <c:symbol val="none"/>
          </c:marker>
          <c:dLbls>
            <c:showVal val="1"/>
          </c:dLbls>
          <c:cat>
            <c:multiLvlStrRef>
              <c:f>Sheet1!$A$2:$A$15</c:f>
            </c:multiLvlStrRef>
          </c:cat>
          <c:val>
            <c:numRef>
              <c:f>Sheet1!$I$2:$I$15</c:f>
            </c:numRef>
          </c:val>
        </c:ser>
        <c:ser>
          <c:idx val="32"/>
          <c:order val="32"/>
          <c:tx>
            <c:strRef>
              <c:f>Sheet1!$J$1</c:f>
            </c:strRef>
          </c:tx>
          <c:marker>
            <c:symbol val="none"/>
          </c:marker>
          <c:dLbls>
            <c:showVal val="1"/>
          </c:dLbls>
          <c:cat>
            <c:multiLvlStrRef>
              <c:f>Sheet1!$A$2:$A$15</c:f>
            </c:multiLvlStrRef>
          </c:cat>
          <c:val>
            <c:numRef>
              <c:f>Sheet1!$J$2:$J$15</c:f>
            </c:numRef>
          </c:val>
        </c:ser>
        <c:ser>
          <c:idx val="33"/>
          <c:order val="33"/>
          <c:tx>
            <c:strRef>
              <c:f>Sheet1!$K$1</c:f>
            </c:strRef>
          </c:tx>
          <c:marker>
            <c:symbol val="none"/>
          </c:marker>
          <c:dLbls>
            <c:showVal val="1"/>
          </c:dLbls>
          <c:cat>
            <c:multiLvlStrRef>
              <c:f>Sheet1!$A$2:$A$15</c:f>
            </c:multiLvlStrRef>
          </c:cat>
          <c:val>
            <c:numRef>
              <c:f>Sheet1!$K$2:$K$15</c:f>
            </c:numRef>
          </c:val>
        </c:ser>
        <c:ser>
          <c:idx val="34"/>
          <c:order val="34"/>
          <c:tx>
            <c:strRef>
              <c:f>Sheet1!$L$1</c:f>
            </c:strRef>
          </c:tx>
          <c:marker>
            <c:symbol val="none"/>
          </c:marker>
          <c:dLbls>
            <c:showVal val="1"/>
          </c:dLbls>
          <c:cat>
            <c:multiLvlStrRef>
              <c:f>Sheet1!$A$2:$A$15</c:f>
            </c:multiLvlStrRef>
          </c:cat>
          <c:val>
            <c:numRef>
              <c:f>Sheet1!$L$2:$L$15</c:f>
            </c:numRef>
          </c:val>
        </c:ser>
        <c:ser>
          <c:idx val="35"/>
          <c:order val="35"/>
          <c:tx>
            <c:strRef>
              <c:f>Sheet1!$M$1</c:f>
            </c:strRef>
          </c:tx>
          <c:marker>
            <c:symbol val="none"/>
          </c:marker>
          <c:dLbls>
            <c:showVal val="1"/>
          </c:dLbls>
          <c:cat>
            <c:multiLvlStrRef>
              <c:f>Sheet1!$A$2:$A$15</c:f>
            </c:multiLvlStrRef>
          </c:cat>
          <c:val>
            <c:numRef>
              <c:f>Sheet1!$M$2:$M$15</c:f>
            </c:numRef>
          </c:val>
        </c:ser>
        <c:ser>
          <c:idx val="0"/>
          <c:order val="0"/>
          <c:tx>
            <c:strRef>
              <c:f>Sheet1!$B$1</c:f>
              <c:strCache>
                <c:ptCount val="1"/>
                <c:pt idx="0">
                  <c:v>Албанија</c:v>
                </c:pt>
              </c:strCache>
            </c:strRef>
          </c:tx>
          <c:spPr>
            <a:ln>
              <a:solidFill>
                <a:schemeClr val="tx1"/>
              </a:solidFill>
              <a:prstDash val="lgDashDot"/>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Sheet1!$B$2:$B$15</c:f>
              <c:numCache>
                <c:formatCode>0.0</c:formatCode>
                <c:ptCount val="14"/>
                <c:pt idx="0">
                  <c:v>74.272073170730977</c:v>
                </c:pt>
                <c:pt idx="1">
                  <c:v>74.734219512195125</c:v>
                </c:pt>
                <c:pt idx="2">
                  <c:v>75.157951219512199</c:v>
                </c:pt>
                <c:pt idx="3">
                  <c:v>75.529365853657836</c:v>
                </c:pt>
                <c:pt idx="4">
                  <c:v>75.838999999999999</c:v>
                </c:pt>
                <c:pt idx="5">
                  <c:v>76.089390243902443</c:v>
                </c:pt>
                <c:pt idx="6">
                  <c:v>76.290536585366027</c:v>
                </c:pt>
                <c:pt idx="7">
                  <c:v>76.464853658536597</c:v>
                </c:pt>
                <c:pt idx="8">
                  <c:v>76.632317073170228</c:v>
                </c:pt>
                <c:pt idx="9">
                  <c:v>76.801878048779869</c:v>
                </c:pt>
                <c:pt idx="10">
                  <c:v>76.978512195121297</c:v>
                </c:pt>
                <c:pt idx="11">
                  <c:v>77.163219512195113</c:v>
                </c:pt>
                <c:pt idx="12">
                  <c:v>77.350463414634149</c:v>
                </c:pt>
                <c:pt idx="13">
                  <c:v>77.53724390243903</c:v>
                </c:pt>
              </c:numCache>
            </c:numRef>
          </c:val>
        </c:ser>
        <c:ser>
          <c:idx val="1"/>
          <c:order val="1"/>
          <c:tx>
            <c:strRef>
              <c:f>Sheet1!$C$1</c:f>
              <c:strCache>
                <c:ptCount val="1"/>
                <c:pt idx="0">
                  <c:v>БиХ</c:v>
                </c:pt>
              </c:strCache>
            </c:strRef>
          </c:tx>
          <c:spPr>
            <a:ln cmpd="thickThin">
              <a:solidFill>
                <a:schemeClr val="tx1"/>
              </a:solidFill>
              <a:prstDash val="lgDash"/>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Sheet1!$C$2:$C$15</c:f>
              <c:numCache>
                <c:formatCode>0.0</c:formatCode>
                <c:ptCount val="14"/>
                <c:pt idx="0">
                  <c:v>74.669170731707311</c:v>
                </c:pt>
                <c:pt idx="1">
                  <c:v>74.921097560975625</c:v>
                </c:pt>
                <c:pt idx="2">
                  <c:v>74.987146341463429</c:v>
                </c:pt>
                <c:pt idx="3">
                  <c:v>75.010487804878053</c:v>
                </c:pt>
                <c:pt idx="4">
                  <c:v>75.041073170731678</c:v>
                </c:pt>
                <c:pt idx="5">
                  <c:v>75.112390243902453</c:v>
                </c:pt>
                <c:pt idx="6">
                  <c:v>75.230951219512207</c:v>
                </c:pt>
                <c:pt idx="7">
                  <c:v>75.370487804877527</c:v>
                </c:pt>
                <c:pt idx="8">
                  <c:v>75.510975609756116</c:v>
                </c:pt>
                <c:pt idx="9">
                  <c:v>75.655878048779556</c:v>
                </c:pt>
                <c:pt idx="10">
                  <c:v>75.806682926828756</c:v>
                </c:pt>
                <c:pt idx="11">
                  <c:v>75.962414634146427</c:v>
                </c:pt>
                <c:pt idx="12">
                  <c:v>76.121146341463358</c:v>
                </c:pt>
                <c:pt idx="13">
                  <c:v>76.279902439023942</c:v>
                </c:pt>
              </c:numCache>
            </c:numRef>
          </c:val>
        </c:ser>
        <c:ser>
          <c:idx val="2"/>
          <c:order val="2"/>
          <c:tx>
            <c:strRef>
              <c:f>Sheet1!$D$1</c:f>
              <c:strCache>
                <c:ptCount val="1"/>
                <c:pt idx="0">
                  <c:v>Бугарија</c:v>
                </c:pt>
              </c:strCache>
            </c:strRef>
          </c:tx>
          <c:spPr>
            <a:ln w="22225">
              <a:solidFill>
                <a:schemeClr val="tx1"/>
              </a:solidFill>
              <a:prstDash val="dash"/>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Sheet1!$D$2:$D$15</c:f>
              <c:numCache>
                <c:formatCode>0.0</c:formatCode>
                <c:ptCount val="14"/>
                <c:pt idx="0">
                  <c:v>71.663414634146363</c:v>
                </c:pt>
                <c:pt idx="1">
                  <c:v>71.768292682926841</c:v>
                </c:pt>
                <c:pt idx="2">
                  <c:v>71.865853658536579</c:v>
                </c:pt>
                <c:pt idx="3">
                  <c:v>72.065853658536582</c:v>
                </c:pt>
                <c:pt idx="4">
                  <c:v>72.563414634146397</c:v>
                </c:pt>
                <c:pt idx="5">
                  <c:v>72.560975609756099</c:v>
                </c:pt>
                <c:pt idx="6">
                  <c:v>72.612195121951189</c:v>
                </c:pt>
                <c:pt idx="7">
                  <c:v>72.663414634146363</c:v>
                </c:pt>
                <c:pt idx="8">
                  <c:v>72.963414634146844</c:v>
                </c:pt>
                <c:pt idx="9">
                  <c:v>73.412195121951228</c:v>
                </c:pt>
                <c:pt idx="10">
                  <c:v>73.512195121951208</c:v>
                </c:pt>
                <c:pt idx="11">
                  <c:v>74.163414634146363</c:v>
                </c:pt>
                <c:pt idx="12">
                  <c:v>74.31463414634149</c:v>
                </c:pt>
                <c:pt idx="13">
                  <c:v>74.465853658536602</c:v>
                </c:pt>
              </c:numCache>
            </c:numRef>
          </c:val>
        </c:ser>
        <c:ser>
          <c:idx val="3"/>
          <c:order val="3"/>
          <c:tx>
            <c:strRef>
              <c:f>Sheet1!$E$1</c:f>
              <c:strCache>
                <c:ptCount val="1"/>
                <c:pt idx="0">
                  <c:v>Хрватска</c:v>
                </c:pt>
              </c:strCache>
            </c:strRef>
          </c:tx>
          <c:spPr>
            <a:ln>
              <a:solidFill>
                <a:schemeClr val="tx1"/>
              </a:solidFill>
              <a:prstDash val="lgDashDot"/>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Sheet1!$E$2:$E$15</c:f>
              <c:numCache>
                <c:formatCode>0.0</c:formatCode>
                <c:ptCount val="14"/>
                <c:pt idx="0">
                  <c:v>72.807804878048799</c:v>
                </c:pt>
                <c:pt idx="1">
                  <c:v>74.512926829268324</c:v>
                </c:pt>
                <c:pt idx="2">
                  <c:v>74.717317073170747</c:v>
                </c:pt>
                <c:pt idx="3">
                  <c:v>74.613902439024358</c:v>
                </c:pt>
                <c:pt idx="4">
                  <c:v>75.520243902438978</c:v>
                </c:pt>
                <c:pt idx="5">
                  <c:v>75.244634146341497</c:v>
                </c:pt>
                <c:pt idx="6">
                  <c:v>75.836829268293215</c:v>
                </c:pt>
                <c:pt idx="7">
                  <c:v>75.705609756097573</c:v>
                </c:pt>
                <c:pt idx="8">
                  <c:v>75.912195121951228</c:v>
                </c:pt>
                <c:pt idx="9">
                  <c:v>76.168292682926818</c:v>
                </c:pt>
                <c:pt idx="10">
                  <c:v>76.475609756097555</c:v>
                </c:pt>
                <c:pt idx="11">
                  <c:v>76.775609756097552</c:v>
                </c:pt>
                <c:pt idx="12">
                  <c:v>76.924390243902437</c:v>
                </c:pt>
                <c:pt idx="13">
                  <c:v>77.126829268292695</c:v>
                </c:pt>
              </c:numCache>
            </c:numRef>
          </c:val>
        </c:ser>
        <c:ser>
          <c:idx val="4"/>
          <c:order val="4"/>
          <c:tx>
            <c:strRef>
              <c:f>Sheet1!$F$1</c:f>
              <c:strCache>
                <c:ptCount val="1"/>
                <c:pt idx="0">
                  <c:v>Кипар</c:v>
                </c:pt>
              </c:strCache>
            </c:strRef>
          </c:tx>
          <c:spPr>
            <a:ln>
              <a:solidFill>
                <a:schemeClr val="tx1"/>
              </a:solidFill>
              <a:prstDash val="lgDashDot"/>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Sheet1!$F$2:$F$15</c:f>
              <c:numCache>
                <c:formatCode>0.0</c:formatCode>
                <c:ptCount val="14"/>
                <c:pt idx="0">
                  <c:v>77.971658536584584</c:v>
                </c:pt>
                <c:pt idx="1">
                  <c:v>78.10197560975611</c:v>
                </c:pt>
                <c:pt idx="2">
                  <c:v>78.229268292682889</c:v>
                </c:pt>
                <c:pt idx="3">
                  <c:v>78.353048780487285</c:v>
                </c:pt>
                <c:pt idx="4">
                  <c:v>78.476341463414258</c:v>
                </c:pt>
                <c:pt idx="5">
                  <c:v>78.601195121951179</c:v>
                </c:pt>
                <c:pt idx="6">
                  <c:v>78.729146341463419</c:v>
                </c:pt>
                <c:pt idx="7">
                  <c:v>78.863731707317086</c:v>
                </c:pt>
                <c:pt idx="8">
                  <c:v>79.004951219512222</c:v>
                </c:pt>
                <c:pt idx="9">
                  <c:v>79.153829268292696</c:v>
                </c:pt>
                <c:pt idx="10">
                  <c:v>79.309829268293186</c:v>
                </c:pt>
                <c:pt idx="11">
                  <c:v>79.471951219512206</c:v>
                </c:pt>
                <c:pt idx="12">
                  <c:v>79.637121951219527</c:v>
                </c:pt>
                <c:pt idx="13">
                  <c:v>79.804317073170751</c:v>
                </c:pt>
              </c:numCache>
            </c:numRef>
          </c:val>
        </c:ser>
        <c:ser>
          <c:idx val="5"/>
          <c:order val="5"/>
          <c:tx>
            <c:strRef>
              <c:f>Sheet1!$G$1</c:f>
              <c:strCache>
                <c:ptCount val="1"/>
                <c:pt idx="0">
                  <c:v>Грција</c:v>
                </c:pt>
              </c:strCache>
            </c:strRef>
          </c:tx>
          <c:spPr>
            <a:ln w="22225">
              <a:solidFill>
                <a:schemeClr val="tx1"/>
              </a:solidFill>
              <a:prstDash val="dashDot"/>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Sheet1!$G$2:$G$15</c:f>
              <c:numCache>
                <c:formatCode>0.0</c:formatCode>
                <c:ptCount val="14"/>
                <c:pt idx="0">
                  <c:v>77.887804878048783</c:v>
                </c:pt>
                <c:pt idx="1">
                  <c:v>78.387804878048783</c:v>
                </c:pt>
                <c:pt idx="2">
                  <c:v>78.641463414634146</c:v>
                </c:pt>
                <c:pt idx="3">
                  <c:v>78.841463414634163</c:v>
                </c:pt>
                <c:pt idx="4">
                  <c:v>79.039024390243895</c:v>
                </c:pt>
                <c:pt idx="5">
                  <c:v>79.239024390243927</c:v>
                </c:pt>
                <c:pt idx="6">
                  <c:v>79.439024390244327</c:v>
                </c:pt>
                <c:pt idx="7">
                  <c:v>79.439024390244327</c:v>
                </c:pt>
                <c:pt idx="8">
                  <c:v>79.939024390244327</c:v>
                </c:pt>
                <c:pt idx="9">
                  <c:v>80.18780487804878</c:v>
                </c:pt>
                <c:pt idx="10">
                  <c:v>80.387804878048783</c:v>
                </c:pt>
                <c:pt idx="11">
                  <c:v>80.731707317073159</c:v>
                </c:pt>
                <c:pt idx="12">
                  <c:v>80.634146341463378</c:v>
                </c:pt>
                <c:pt idx="13">
                  <c:v>80.634146341463378</c:v>
                </c:pt>
              </c:numCache>
            </c:numRef>
          </c:val>
        </c:ser>
        <c:ser>
          <c:idx val="6"/>
          <c:order val="6"/>
          <c:tx>
            <c:strRef>
              <c:f>Sheet1!$H$1</c:f>
              <c:strCache>
                <c:ptCount val="1"/>
                <c:pt idx="0">
                  <c:v>Македонија</c:v>
                </c:pt>
              </c:strCache>
            </c:strRef>
          </c:tx>
          <c:spPr>
            <a:ln>
              <a:solidFill>
                <a:schemeClr val="tx1"/>
              </a:solidFill>
              <a:prstDash val="sysDash"/>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Sheet1!$H$2:$H$15</c:f>
              <c:numCache>
                <c:formatCode>0.0</c:formatCode>
                <c:ptCount val="14"/>
                <c:pt idx="0">
                  <c:v>73.242195121951212</c:v>
                </c:pt>
                <c:pt idx="1">
                  <c:v>73.455756097560297</c:v>
                </c:pt>
                <c:pt idx="2">
                  <c:v>73.647341463414548</c:v>
                </c:pt>
                <c:pt idx="3">
                  <c:v>73.815512195121471</c:v>
                </c:pt>
                <c:pt idx="4">
                  <c:v>73.960756097560989</c:v>
                </c:pt>
                <c:pt idx="5">
                  <c:v>74.088902439023769</c:v>
                </c:pt>
                <c:pt idx="6">
                  <c:v>74.20673170731709</c:v>
                </c:pt>
                <c:pt idx="7">
                  <c:v>74.322951219512149</c:v>
                </c:pt>
                <c:pt idx="8">
                  <c:v>74.44590243902438</c:v>
                </c:pt>
                <c:pt idx="9">
                  <c:v>74.578463414634058</c:v>
                </c:pt>
                <c:pt idx="10">
                  <c:v>74.722146341463358</c:v>
                </c:pt>
                <c:pt idx="11">
                  <c:v>74.874512195121326</c:v>
                </c:pt>
                <c:pt idx="12">
                  <c:v>75.031268292682938</c:v>
                </c:pt>
                <c:pt idx="13">
                  <c:v>75.18802439024391</c:v>
                </c:pt>
              </c:numCache>
            </c:numRef>
          </c:val>
        </c:ser>
        <c:ser>
          <c:idx val="7"/>
          <c:order val="7"/>
          <c:tx>
            <c:strRef>
              <c:f>Sheet1!$I$1</c:f>
              <c:strCache>
                <c:ptCount val="1"/>
                <c:pt idx="0">
                  <c:v>Молдавија</c:v>
                </c:pt>
              </c:strCache>
            </c:strRef>
          </c:tx>
          <c:spPr>
            <a:ln w="22225" cmpd="sng">
              <a:solidFill>
                <a:schemeClr val="tx1"/>
              </a:solidFill>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Sheet1!$I$2:$I$15</c:f>
              <c:numCache>
                <c:formatCode>0.0</c:formatCode>
                <c:ptCount val="14"/>
                <c:pt idx="0">
                  <c:v>66.897999999999996</c:v>
                </c:pt>
                <c:pt idx="1">
                  <c:v>67.101000000000013</c:v>
                </c:pt>
                <c:pt idx="2">
                  <c:v>67.315731707317084</c:v>
                </c:pt>
                <c:pt idx="3">
                  <c:v>67.520146341463388</c:v>
                </c:pt>
                <c:pt idx="4">
                  <c:v>67.703170731707317</c:v>
                </c:pt>
                <c:pt idx="5">
                  <c:v>67.859731707317081</c:v>
                </c:pt>
                <c:pt idx="6">
                  <c:v>67.991731707317427</c:v>
                </c:pt>
                <c:pt idx="7">
                  <c:v>68.111097560975622</c:v>
                </c:pt>
                <c:pt idx="8">
                  <c:v>68.22729268292683</c:v>
                </c:pt>
                <c:pt idx="9">
                  <c:v>68.341804878048791</c:v>
                </c:pt>
                <c:pt idx="10">
                  <c:v>68.458121951219525</c:v>
                </c:pt>
                <c:pt idx="11">
                  <c:v>68.575292682926758</c:v>
                </c:pt>
                <c:pt idx="12">
                  <c:v>68.693414634146365</c:v>
                </c:pt>
                <c:pt idx="13">
                  <c:v>68.811512195121949</c:v>
                </c:pt>
              </c:numCache>
            </c:numRef>
          </c:val>
        </c:ser>
        <c:ser>
          <c:idx val="8"/>
          <c:order val="8"/>
          <c:tx>
            <c:strRef>
              <c:f>Sheet1!$J$1</c:f>
              <c:strCache>
                <c:ptCount val="1"/>
                <c:pt idx="0">
                  <c:v>Романија</c:v>
                </c:pt>
              </c:strCache>
            </c:strRef>
          </c:tx>
          <c:spPr>
            <a:ln w="22225" cmpd="dbl">
              <a:solidFill>
                <a:schemeClr val="tx1"/>
              </a:solidFill>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Sheet1!$J$2:$J$15</c:f>
              <c:numCache>
                <c:formatCode>0.0</c:formatCode>
                <c:ptCount val="14"/>
                <c:pt idx="0">
                  <c:v>71.163414634146363</c:v>
                </c:pt>
                <c:pt idx="1">
                  <c:v>71.160975609756079</c:v>
                </c:pt>
                <c:pt idx="2">
                  <c:v>71.009756097560398</c:v>
                </c:pt>
                <c:pt idx="3">
                  <c:v>71.309756097560268</c:v>
                </c:pt>
                <c:pt idx="4">
                  <c:v>71.594275609756096</c:v>
                </c:pt>
                <c:pt idx="5">
                  <c:v>71.878895121950507</c:v>
                </c:pt>
                <c:pt idx="6">
                  <c:v>72.163414634146363</c:v>
                </c:pt>
                <c:pt idx="7">
                  <c:v>72.565853658536582</c:v>
                </c:pt>
                <c:pt idx="8">
                  <c:v>72.565853658536582</c:v>
                </c:pt>
                <c:pt idx="9">
                  <c:v>73.309756097560268</c:v>
                </c:pt>
                <c:pt idx="10">
                  <c:v>73.458536585365863</c:v>
                </c:pt>
                <c:pt idx="11">
                  <c:v>74.563414634146397</c:v>
                </c:pt>
                <c:pt idx="12">
                  <c:v>74.463414634146829</c:v>
                </c:pt>
                <c:pt idx="13">
                  <c:v>74.463414634146829</c:v>
                </c:pt>
              </c:numCache>
            </c:numRef>
          </c:val>
        </c:ser>
        <c:ser>
          <c:idx val="9"/>
          <c:order val="9"/>
          <c:tx>
            <c:strRef>
              <c:f>Sheet1!$K$1</c:f>
              <c:strCache>
                <c:ptCount val="1"/>
                <c:pt idx="0">
                  <c:v>Србија</c:v>
                </c:pt>
              </c:strCache>
            </c:strRef>
          </c:tx>
          <c:spPr>
            <a:ln w="22225" cmpd="tri">
              <a:solidFill>
                <a:schemeClr val="tx1"/>
              </a:solidFill>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Sheet1!$K$2:$K$15</c:f>
              <c:numCache>
                <c:formatCode>0.0</c:formatCode>
                <c:ptCount val="14"/>
                <c:pt idx="0">
                  <c:v>71.582926829268303</c:v>
                </c:pt>
                <c:pt idx="1">
                  <c:v>72.234146341463415</c:v>
                </c:pt>
                <c:pt idx="2">
                  <c:v>72.285365853657837</c:v>
                </c:pt>
                <c:pt idx="3">
                  <c:v>72.436585365853674</c:v>
                </c:pt>
                <c:pt idx="4">
                  <c:v>72.682926829268283</c:v>
                </c:pt>
                <c:pt idx="5">
                  <c:v>72.834146341463409</c:v>
                </c:pt>
                <c:pt idx="6">
                  <c:v>73.385365853657774</c:v>
                </c:pt>
                <c:pt idx="7">
                  <c:v>73.631707317072497</c:v>
                </c:pt>
                <c:pt idx="8">
                  <c:v>73.885365853657746</c:v>
                </c:pt>
                <c:pt idx="9">
                  <c:v>73.985365853657854</c:v>
                </c:pt>
                <c:pt idx="10">
                  <c:v>74.336585365853651</c:v>
                </c:pt>
                <c:pt idx="11">
                  <c:v>74.536585365853668</c:v>
                </c:pt>
                <c:pt idx="12">
                  <c:v>74.836585365853679</c:v>
                </c:pt>
                <c:pt idx="13">
                  <c:v>75.136585365853648</c:v>
                </c:pt>
              </c:numCache>
            </c:numRef>
          </c:val>
        </c:ser>
        <c:ser>
          <c:idx val="10"/>
          <c:order val="10"/>
          <c:tx>
            <c:strRef>
              <c:f>Sheet1!$L$1</c:f>
              <c:strCache>
                <c:ptCount val="1"/>
                <c:pt idx="0">
                  <c:v>Словенија</c:v>
                </c:pt>
              </c:strCache>
            </c:strRef>
          </c:tx>
          <c:spPr>
            <a:ln cmpd="thinThick">
              <a:solidFill>
                <a:schemeClr val="tx1"/>
              </a:solidFill>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Sheet1!$L$2:$L$15</c:f>
              <c:numCache>
                <c:formatCode>0.0</c:formatCode>
                <c:ptCount val="14"/>
                <c:pt idx="0">
                  <c:v>75.412195121951228</c:v>
                </c:pt>
                <c:pt idx="1">
                  <c:v>75.75853658536586</c:v>
                </c:pt>
                <c:pt idx="2">
                  <c:v>76.007317073170739</c:v>
                </c:pt>
                <c:pt idx="3">
                  <c:v>76.858536585365854</c:v>
                </c:pt>
                <c:pt idx="4">
                  <c:v>77.207317073170728</c:v>
                </c:pt>
                <c:pt idx="5">
                  <c:v>77.612195121951189</c:v>
                </c:pt>
                <c:pt idx="6">
                  <c:v>78.086585365853651</c:v>
                </c:pt>
                <c:pt idx="7">
                  <c:v>78.560975609756113</c:v>
                </c:pt>
                <c:pt idx="8">
                  <c:v>78.765853658536599</c:v>
                </c:pt>
                <c:pt idx="9">
                  <c:v>78.970731707317071</c:v>
                </c:pt>
                <c:pt idx="10">
                  <c:v>79.421951219512195</c:v>
                </c:pt>
                <c:pt idx="11">
                  <c:v>79.970731707317086</c:v>
                </c:pt>
                <c:pt idx="12">
                  <c:v>80.12439024390244</c:v>
                </c:pt>
                <c:pt idx="13">
                  <c:v>80.27804878048714</c:v>
                </c:pt>
              </c:numCache>
            </c:numRef>
          </c:val>
        </c:ser>
        <c:ser>
          <c:idx val="11"/>
          <c:order val="11"/>
          <c:tx>
            <c:strRef>
              <c:f>Sheet1!$M$1</c:f>
              <c:strCache>
                <c:ptCount val="1"/>
                <c:pt idx="0">
                  <c:v>Турција</c:v>
                </c:pt>
              </c:strCache>
            </c:strRef>
          </c:tx>
          <c:spPr>
            <a:ln w="22225">
              <a:solidFill>
                <a:schemeClr val="tx1"/>
              </a:solidFill>
              <a:prstDash val="sysDot"/>
            </a:ln>
          </c:spPr>
          <c:marker>
            <c:symbol val="none"/>
          </c:marker>
          <c:dLbls>
            <c:delete val="1"/>
          </c:dLbls>
          <c:cat>
            <c:numRef>
              <c:f>Sheet1!$A$2:$A$15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Sheet1!$M$2:$M$15</c:f>
              <c:numCache>
                <c:formatCode>0.0</c:formatCode>
                <c:ptCount val="14"/>
                <c:pt idx="0">
                  <c:v>69.998365853658115</c:v>
                </c:pt>
                <c:pt idx="1">
                  <c:v>70.551853658536601</c:v>
                </c:pt>
                <c:pt idx="2">
                  <c:v>71.073097560975611</c:v>
                </c:pt>
                <c:pt idx="3">
                  <c:v>71.559878048779794</c:v>
                </c:pt>
                <c:pt idx="4">
                  <c:v>72.011121951220076</c:v>
                </c:pt>
                <c:pt idx="5">
                  <c:v>72.428365853657837</c:v>
                </c:pt>
                <c:pt idx="6">
                  <c:v>72.81573170731707</c:v>
                </c:pt>
                <c:pt idx="7">
                  <c:v>73.181926829268306</c:v>
                </c:pt>
                <c:pt idx="8">
                  <c:v>73.534195121951228</c:v>
                </c:pt>
                <c:pt idx="9">
                  <c:v>73.876097560975609</c:v>
                </c:pt>
                <c:pt idx="10">
                  <c:v>74.211195121951221</c:v>
                </c:pt>
                <c:pt idx="11">
                  <c:v>74.540487804878055</c:v>
                </c:pt>
                <c:pt idx="12">
                  <c:v>74.862439024390255</c:v>
                </c:pt>
                <c:pt idx="13">
                  <c:v>75.175951219512058</c:v>
                </c:pt>
              </c:numCache>
            </c:numRef>
          </c:val>
        </c:ser>
        <c:dLbls>
          <c:showVal val="1"/>
        </c:dLbls>
        <c:marker val="1"/>
        <c:axId val="61707008"/>
        <c:axId val="61708544"/>
      </c:lineChart>
      <c:catAx>
        <c:axId val="61707008"/>
        <c:scaling>
          <c:orientation val="minMax"/>
        </c:scaling>
        <c:axPos val="b"/>
        <c:numFmt formatCode="General" sourceLinked="1"/>
        <c:tickLblPos val="nextTo"/>
        <c:txPr>
          <a:bodyPr rot="-5400000" vert="horz"/>
          <a:lstStyle/>
          <a:p>
            <a:pPr>
              <a:defRPr/>
            </a:pPr>
            <a:endParaRPr lang="en-US"/>
          </a:p>
        </c:txPr>
        <c:crossAx val="61708544"/>
        <c:crosses val="autoZero"/>
        <c:auto val="1"/>
        <c:lblAlgn val="ctr"/>
        <c:lblOffset val="100"/>
      </c:catAx>
      <c:valAx>
        <c:axId val="61708544"/>
        <c:scaling>
          <c:orientation val="minMax"/>
          <c:max val="81"/>
          <c:min val="65"/>
        </c:scaling>
        <c:axPos val="l"/>
        <c:majorGridlines/>
        <c:title>
          <c:tx>
            <c:rich>
              <a:bodyPr rot="-5400000" vert="horz"/>
              <a:lstStyle/>
              <a:p>
                <a:pPr>
                  <a:defRPr b="0"/>
                </a:pPr>
                <a:r>
                  <a:rPr lang="mk-MK" b="0"/>
                  <a:t>Години</a:t>
                </a:r>
                <a:endParaRPr lang="en-US" b="0"/>
              </a:p>
            </c:rich>
          </c:tx>
        </c:title>
        <c:numFmt formatCode="0" sourceLinked="0"/>
        <c:tickLblPos val="nextTo"/>
        <c:crossAx val="61707008"/>
        <c:crosses val="autoZero"/>
        <c:crossBetween val="between"/>
      </c:valAx>
    </c:plotArea>
    <c:plotVisOnly val="1"/>
  </c:chart>
  <c:spPr>
    <a:ln>
      <a:solidFill>
        <a:schemeClr val="bg1">
          <a:lumMod val="65000"/>
        </a:schemeClr>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0.82876</cdr:x>
      <cdr:y>0</cdr:y>
    </cdr:from>
    <cdr:to>
      <cdr:x>0.98169</cdr:x>
      <cdr:y>0.06774</cdr:y>
    </cdr:to>
    <cdr:sp macro="" textlink="">
      <cdr:nvSpPr>
        <cdr:cNvPr id="2" name="Rectangle 1"/>
        <cdr:cNvSpPr/>
      </cdr:nvSpPr>
      <cdr:spPr>
        <a:xfrm xmlns:a="http://schemas.openxmlformats.org/drawingml/2006/main">
          <a:off x="4425361" y="0"/>
          <a:ext cx="816638" cy="22328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mk-MK" sz="1000">
              <a:solidFill>
                <a:sysClr val="windowText" lastClr="000000"/>
              </a:solidFill>
            </a:rPr>
            <a:t>Грција</a:t>
          </a:r>
          <a:endParaRPr lang="en-US" sz="1000">
            <a:solidFill>
              <a:sysClr val="windowText" lastClr="000000"/>
            </a:solidFill>
          </a:endParaRPr>
        </a:p>
      </cdr:txBody>
    </cdr:sp>
  </cdr:relSizeAnchor>
  <cdr:relSizeAnchor xmlns:cdr="http://schemas.openxmlformats.org/drawingml/2006/chartDrawing">
    <cdr:from>
      <cdr:x>0.83075</cdr:x>
      <cdr:y>0.04516</cdr:y>
    </cdr:from>
    <cdr:to>
      <cdr:x>0.97611</cdr:x>
      <cdr:y>0.10645</cdr:y>
    </cdr:to>
    <cdr:sp macro="" textlink="">
      <cdr:nvSpPr>
        <cdr:cNvPr id="3" name="Rectangle 2"/>
        <cdr:cNvSpPr/>
      </cdr:nvSpPr>
      <cdr:spPr>
        <a:xfrm xmlns:a="http://schemas.openxmlformats.org/drawingml/2006/main">
          <a:off x="4435990" y="148855"/>
          <a:ext cx="776178" cy="20201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Словенија</a:t>
          </a:r>
          <a:endParaRPr lang="en-US" sz="1000">
            <a:solidFill>
              <a:sysClr val="windowText" lastClr="000000"/>
            </a:solidFill>
          </a:endParaRPr>
        </a:p>
      </cdr:txBody>
    </cdr:sp>
  </cdr:relSizeAnchor>
  <cdr:relSizeAnchor xmlns:cdr="http://schemas.openxmlformats.org/drawingml/2006/chartDrawing">
    <cdr:from>
      <cdr:x>0.83274</cdr:x>
      <cdr:y>0.0871</cdr:y>
    </cdr:from>
    <cdr:to>
      <cdr:x>0.98407</cdr:x>
      <cdr:y>0.15806</cdr:y>
    </cdr:to>
    <cdr:sp macro="" textlink="">
      <cdr:nvSpPr>
        <cdr:cNvPr id="4" name="Rectangle 3"/>
        <cdr:cNvSpPr/>
      </cdr:nvSpPr>
      <cdr:spPr>
        <a:xfrm xmlns:a="http://schemas.openxmlformats.org/drawingml/2006/main">
          <a:off x="4446624" y="287079"/>
          <a:ext cx="808075" cy="23391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Кипар</a:t>
          </a:r>
          <a:endParaRPr lang="en-US" sz="1000">
            <a:solidFill>
              <a:sysClr val="windowText" lastClr="000000"/>
            </a:solidFill>
          </a:endParaRPr>
        </a:p>
      </cdr:txBody>
    </cdr:sp>
  </cdr:relSizeAnchor>
  <cdr:relSizeAnchor xmlns:cdr="http://schemas.openxmlformats.org/drawingml/2006/chartDrawing">
    <cdr:from>
      <cdr:x>0.82876</cdr:x>
      <cdr:y>0.17097</cdr:y>
    </cdr:from>
    <cdr:to>
      <cdr:x>0.98368</cdr:x>
      <cdr:y>0.22258</cdr:y>
    </cdr:to>
    <cdr:sp macro="" textlink="">
      <cdr:nvSpPr>
        <cdr:cNvPr id="5" name="Rectangle 4"/>
        <cdr:cNvSpPr/>
      </cdr:nvSpPr>
      <cdr:spPr>
        <a:xfrm xmlns:a="http://schemas.openxmlformats.org/drawingml/2006/main">
          <a:off x="4425360" y="563525"/>
          <a:ext cx="827272" cy="17012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Албанија</a:t>
          </a:r>
          <a:endParaRPr lang="en-US" sz="1000">
            <a:solidFill>
              <a:sysClr val="windowText" lastClr="000000"/>
            </a:solidFill>
          </a:endParaRPr>
        </a:p>
      </cdr:txBody>
    </cdr:sp>
  </cdr:relSizeAnchor>
  <cdr:relSizeAnchor xmlns:cdr="http://schemas.openxmlformats.org/drawingml/2006/chartDrawing">
    <cdr:from>
      <cdr:x>0.82677</cdr:x>
      <cdr:y>0.2129</cdr:y>
    </cdr:from>
    <cdr:to>
      <cdr:x>0.98169</cdr:x>
      <cdr:y>0.26774</cdr:y>
    </cdr:to>
    <cdr:sp macro="" textlink="">
      <cdr:nvSpPr>
        <cdr:cNvPr id="6" name="Rectangle 5"/>
        <cdr:cNvSpPr/>
      </cdr:nvSpPr>
      <cdr:spPr>
        <a:xfrm xmlns:a="http://schemas.openxmlformats.org/drawingml/2006/main">
          <a:off x="4414727" y="701748"/>
          <a:ext cx="827272" cy="18075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Хрватска</a:t>
          </a:r>
          <a:endParaRPr lang="en-US" sz="1000">
            <a:solidFill>
              <a:sysClr val="windowText" lastClr="000000"/>
            </a:solidFill>
          </a:endParaRPr>
        </a:p>
      </cdr:txBody>
    </cdr:sp>
  </cdr:relSizeAnchor>
  <cdr:relSizeAnchor xmlns:cdr="http://schemas.openxmlformats.org/drawingml/2006/chartDrawing">
    <cdr:from>
      <cdr:x>0.83075</cdr:x>
      <cdr:y>0.25484</cdr:y>
    </cdr:from>
    <cdr:to>
      <cdr:x>0.98567</cdr:x>
      <cdr:y>0.31613</cdr:y>
    </cdr:to>
    <cdr:sp macro="" textlink="">
      <cdr:nvSpPr>
        <cdr:cNvPr id="7" name="Rectangle 6"/>
        <cdr:cNvSpPr/>
      </cdr:nvSpPr>
      <cdr:spPr>
        <a:xfrm xmlns:a="http://schemas.openxmlformats.org/drawingml/2006/main">
          <a:off x="4435992" y="839972"/>
          <a:ext cx="827272" cy="20201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БиХ</a:t>
          </a:r>
          <a:endParaRPr lang="en-US" sz="1000">
            <a:solidFill>
              <a:sysClr val="windowText" lastClr="000000"/>
            </a:solidFill>
          </a:endParaRPr>
        </a:p>
      </cdr:txBody>
    </cdr:sp>
  </cdr:relSizeAnchor>
  <cdr:relSizeAnchor xmlns:cdr="http://schemas.openxmlformats.org/drawingml/2006/chartDrawing">
    <cdr:from>
      <cdr:x>0.82876</cdr:x>
      <cdr:y>0.30645</cdr:y>
    </cdr:from>
    <cdr:to>
      <cdr:x>0.99961</cdr:x>
      <cdr:y>0.36774</cdr:y>
    </cdr:to>
    <cdr:sp macro="" textlink="">
      <cdr:nvSpPr>
        <cdr:cNvPr id="8" name="Rectangle 7"/>
        <cdr:cNvSpPr/>
      </cdr:nvSpPr>
      <cdr:spPr>
        <a:xfrm xmlns:a="http://schemas.openxmlformats.org/drawingml/2006/main">
          <a:off x="4425360" y="1010093"/>
          <a:ext cx="912332" cy="20201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Македонија</a:t>
          </a:r>
          <a:endParaRPr lang="en-US" sz="1000">
            <a:solidFill>
              <a:sysClr val="windowText" lastClr="000000"/>
            </a:solidFill>
          </a:endParaRPr>
        </a:p>
      </cdr:txBody>
    </cdr:sp>
  </cdr:relSizeAnchor>
  <cdr:relSizeAnchor xmlns:cdr="http://schemas.openxmlformats.org/drawingml/2006/chartDrawing">
    <cdr:from>
      <cdr:x>0.82876</cdr:x>
      <cdr:y>0.34194</cdr:y>
    </cdr:from>
    <cdr:to>
      <cdr:x>0.99961</cdr:x>
      <cdr:y>0.4</cdr:y>
    </cdr:to>
    <cdr:sp macro="" textlink="">
      <cdr:nvSpPr>
        <cdr:cNvPr id="9" name="Rectangle 8"/>
        <cdr:cNvSpPr/>
      </cdr:nvSpPr>
      <cdr:spPr>
        <a:xfrm xmlns:a="http://schemas.openxmlformats.org/drawingml/2006/main">
          <a:off x="4425360" y="1127051"/>
          <a:ext cx="912332" cy="1913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Србија</a:t>
          </a:r>
          <a:endParaRPr lang="en-US" sz="1000">
            <a:solidFill>
              <a:sysClr val="windowText" lastClr="000000"/>
            </a:solidFill>
          </a:endParaRPr>
        </a:p>
      </cdr:txBody>
    </cdr:sp>
  </cdr:relSizeAnchor>
  <cdr:relSizeAnchor xmlns:cdr="http://schemas.openxmlformats.org/drawingml/2006/chartDrawing">
    <cdr:from>
      <cdr:x>0.82914</cdr:x>
      <cdr:y>0.37742</cdr:y>
    </cdr:from>
    <cdr:to>
      <cdr:x>1</cdr:x>
      <cdr:y>0.43548</cdr:y>
    </cdr:to>
    <cdr:sp macro="" textlink="">
      <cdr:nvSpPr>
        <cdr:cNvPr id="10" name="Rectangle 9"/>
        <cdr:cNvSpPr/>
      </cdr:nvSpPr>
      <cdr:spPr>
        <a:xfrm xmlns:a="http://schemas.openxmlformats.org/drawingml/2006/main">
          <a:off x="4486940" y="1244010"/>
          <a:ext cx="912332" cy="1913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Турција</a:t>
          </a:r>
          <a:endParaRPr lang="en-US" sz="1000">
            <a:solidFill>
              <a:sysClr val="windowText" lastClr="000000"/>
            </a:solidFill>
          </a:endParaRPr>
        </a:p>
      </cdr:txBody>
    </cdr:sp>
  </cdr:relSizeAnchor>
  <cdr:relSizeAnchor xmlns:cdr="http://schemas.openxmlformats.org/drawingml/2006/chartDrawing">
    <cdr:from>
      <cdr:x>0.82876</cdr:x>
      <cdr:y>0.41613</cdr:y>
    </cdr:from>
    <cdr:to>
      <cdr:x>0.99961</cdr:x>
      <cdr:y>0.47419</cdr:y>
    </cdr:to>
    <cdr:sp macro="" textlink="">
      <cdr:nvSpPr>
        <cdr:cNvPr id="11" name="Rectangle 10"/>
        <cdr:cNvSpPr/>
      </cdr:nvSpPr>
      <cdr:spPr>
        <a:xfrm xmlns:a="http://schemas.openxmlformats.org/drawingml/2006/main">
          <a:off x="4425360" y="1371600"/>
          <a:ext cx="912332" cy="1913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Бугарија</a:t>
          </a:r>
          <a:endParaRPr lang="en-US" sz="1000">
            <a:solidFill>
              <a:sysClr val="windowText" lastClr="000000"/>
            </a:solidFill>
          </a:endParaRPr>
        </a:p>
      </cdr:txBody>
    </cdr:sp>
  </cdr:relSizeAnchor>
  <cdr:relSizeAnchor xmlns:cdr="http://schemas.openxmlformats.org/drawingml/2006/chartDrawing">
    <cdr:from>
      <cdr:x>0.82876</cdr:x>
      <cdr:y>0.46129</cdr:y>
    </cdr:from>
    <cdr:to>
      <cdr:x>0.99961</cdr:x>
      <cdr:y>0.51935</cdr:y>
    </cdr:to>
    <cdr:sp macro="" textlink="">
      <cdr:nvSpPr>
        <cdr:cNvPr id="12" name="Rectangle 11"/>
        <cdr:cNvSpPr/>
      </cdr:nvSpPr>
      <cdr:spPr>
        <a:xfrm xmlns:a="http://schemas.openxmlformats.org/drawingml/2006/main">
          <a:off x="4425360" y="1520456"/>
          <a:ext cx="912332" cy="1913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Романија</a:t>
          </a:r>
          <a:endParaRPr lang="en-US" sz="1000">
            <a:solidFill>
              <a:sysClr val="windowText" lastClr="000000"/>
            </a:solidFill>
          </a:endParaRPr>
        </a:p>
      </cdr:txBody>
    </cdr:sp>
  </cdr:relSizeAnchor>
  <cdr:relSizeAnchor xmlns:cdr="http://schemas.openxmlformats.org/drawingml/2006/chartDrawing">
    <cdr:from>
      <cdr:x>0.82876</cdr:x>
      <cdr:y>0.6129</cdr:y>
    </cdr:from>
    <cdr:to>
      <cdr:x>0.99961</cdr:x>
      <cdr:y>0.67097</cdr:y>
    </cdr:to>
    <cdr:sp macro="" textlink="">
      <cdr:nvSpPr>
        <cdr:cNvPr id="13" name="Rectangle 12"/>
        <cdr:cNvSpPr/>
      </cdr:nvSpPr>
      <cdr:spPr>
        <a:xfrm xmlns:a="http://schemas.openxmlformats.org/drawingml/2006/main">
          <a:off x="4425360" y="2020186"/>
          <a:ext cx="912332" cy="1913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mk-MK" sz="1000">
              <a:solidFill>
                <a:sysClr val="windowText" lastClr="000000"/>
              </a:solidFill>
            </a:rPr>
            <a:t>Молдавија</a:t>
          </a:r>
          <a:endParaRPr lang="en-US" sz="1000">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dc:creator>
  <cp:lastModifiedBy>MTN</cp:lastModifiedBy>
  <cp:revision>4</cp:revision>
  <dcterms:created xsi:type="dcterms:W3CDTF">2015-10-19T11:15:00Z</dcterms:created>
  <dcterms:modified xsi:type="dcterms:W3CDTF">2015-10-19T11:24:00Z</dcterms:modified>
</cp:coreProperties>
</file>